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215D48" w14:paraId="08AE1D54" w14:textId="77777777" w:rsidTr="00346EC2">
        <w:trPr>
          <w:trHeight w:val="1558"/>
        </w:trPr>
        <w:tc>
          <w:tcPr>
            <w:tcW w:w="8720" w:type="dxa"/>
          </w:tcPr>
          <w:p w14:paraId="2538A211" w14:textId="366234A5" w:rsidR="00F02AEC" w:rsidRPr="00215D48" w:rsidRDefault="00346EC2" w:rsidP="007452E8">
            <w:pPr>
              <w:pStyle w:val="Title"/>
            </w:pPr>
            <w:r w:rsidRPr="00346EC2">
              <w:t xml:space="preserve">Australian Public Assessment Report for </w:t>
            </w:r>
            <w:proofErr w:type="spellStart"/>
            <w:r w:rsidR="00A80EB4">
              <w:t>Win</w:t>
            </w:r>
            <w:r w:rsidR="003F4540">
              <w:t>revair</w:t>
            </w:r>
            <w:proofErr w:type="spellEnd"/>
          </w:p>
        </w:tc>
      </w:tr>
      <w:tr w:rsidR="00F02AEC" w:rsidRPr="00215D48" w14:paraId="318A40A3" w14:textId="77777777" w:rsidTr="00346EC2">
        <w:trPr>
          <w:trHeight w:val="995"/>
        </w:trPr>
        <w:tc>
          <w:tcPr>
            <w:tcW w:w="8720" w:type="dxa"/>
          </w:tcPr>
          <w:p w14:paraId="1AA7C701" w14:textId="21C22C8F" w:rsidR="00F02AEC" w:rsidRPr="00215D48" w:rsidRDefault="00346EC2" w:rsidP="007452E8">
            <w:pPr>
              <w:pStyle w:val="Subtitle"/>
              <w:ind w:left="0"/>
            </w:pPr>
            <w:r w:rsidRPr="00346EC2">
              <w:t xml:space="preserve">Active ingredient: </w:t>
            </w:r>
            <w:r w:rsidR="003F4540">
              <w:t>Sotatercept</w:t>
            </w:r>
          </w:p>
        </w:tc>
      </w:tr>
      <w:tr w:rsidR="00346EC2" w:rsidRPr="00215D48" w14:paraId="362CCAE4" w14:textId="77777777" w:rsidTr="007452E8">
        <w:trPr>
          <w:trHeight w:val="1916"/>
        </w:trPr>
        <w:tc>
          <w:tcPr>
            <w:tcW w:w="8720" w:type="dxa"/>
          </w:tcPr>
          <w:p w14:paraId="709C45C0" w14:textId="31AAD588" w:rsidR="00346EC2" w:rsidRPr="00215D48" w:rsidRDefault="00346EC2" w:rsidP="007452E8">
            <w:pPr>
              <w:pStyle w:val="Subtitle"/>
              <w:ind w:left="0"/>
            </w:pPr>
            <w:r w:rsidRPr="00346EC2">
              <w:t xml:space="preserve">Sponsor: </w:t>
            </w:r>
            <w:r w:rsidR="003F4540">
              <w:t>Merck Sharp &amp; Dohme (Australia) Pty Ltd</w:t>
            </w:r>
          </w:p>
        </w:tc>
      </w:tr>
      <w:tr w:rsidR="00F02AEC" w:rsidRPr="00215D48" w14:paraId="37F2AA1F" w14:textId="77777777" w:rsidTr="007452E8">
        <w:tc>
          <w:tcPr>
            <w:tcW w:w="8720" w:type="dxa"/>
          </w:tcPr>
          <w:p w14:paraId="1FDE8DCD" w14:textId="27FD6A35" w:rsidR="00F02AEC" w:rsidRPr="00215D48" w:rsidRDefault="0051128F" w:rsidP="007452E8">
            <w:pPr>
              <w:pStyle w:val="Date"/>
            </w:pPr>
            <w:r>
              <w:t>August</w:t>
            </w:r>
            <w:r w:rsidR="003F4540">
              <w:t xml:space="preserve"> 2025</w:t>
            </w:r>
          </w:p>
        </w:tc>
      </w:tr>
    </w:tbl>
    <w:p w14:paraId="73752706" w14:textId="77777777" w:rsidR="00F02AEC" w:rsidRPr="00215D48" w:rsidRDefault="00F02AEC" w:rsidP="007452E8">
      <w:pPr>
        <w:pStyle w:val="ListBullet"/>
        <w:numPr>
          <w:ilvl w:val="0"/>
          <w:numId w:val="0"/>
        </w:numPr>
        <w:sectPr w:rsidR="00F02AEC" w:rsidRPr="00215D48" w:rsidSect="00DC3712">
          <w:headerReference w:type="even" r:id="rId11"/>
          <w:headerReference w:type="default" r:id="rId12"/>
          <w:footerReference w:type="even" r:id="rId13"/>
          <w:footerReference w:type="default" r:id="rId14"/>
          <w:headerReference w:type="first" r:id="rId15"/>
          <w:footerReference w:type="first" r:id="rId16"/>
          <w:pgSz w:w="11906" w:h="16838"/>
          <w:pgMar w:top="1440" w:right="1440" w:bottom="1440" w:left="1440" w:header="709" w:footer="709" w:gutter="0"/>
          <w:cols w:space="708"/>
          <w:titlePg/>
          <w:docGrid w:linePitch="360"/>
          <w:sectPrChange w:id="0" w:author="STEWART, Kathryn" w:date="2025-08-19T12:53:00Z" w16du:dateUtc="2025-08-19T02:53:00Z">
            <w:sectPr w:rsidR="00F02AEC" w:rsidRPr="00215D48" w:rsidSect="00DC3712">
              <w:pgMar w:top="1440" w:right="1440" w:bottom="1440" w:left="1440" w:header="708" w:footer="708" w:gutter="0"/>
            </w:sectPr>
          </w:sectPrChange>
        </w:sectPr>
      </w:pPr>
    </w:p>
    <w:p w14:paraId="2170A423" w14:textId="77777777" w:rsidR="00346EC2" w:rsidRPr="001F6CBA" w:rsidRDefault="00346EC2" w:rsidP="00346EC2">
      <w:pPr>
        <w:pStyle w:val="NonTOCHeading20"/>
      </w:pPr>
      <w:r w:rsidRPr="001F6CBA">
        <w:lastRenderedPageBreak/>
        <w:t>About the Therapeutic Goods Administration (TGA)</w:t>
      </w:r>
    </w:p>
    <w:p w14:paraId="79558AE9" w14:textId="038D0DA4" w:rsidR="00346EC2" w:rsidRPr="00391B0C" w:rsidRDefault="00346EC2" w:rsidP="0056766D">
      <w:pPr>
        <w:pStyle w:val="ListBullet"/>
      </w:pPr>
      <w:r w:rsidRPr="00391B0C">
        <w:t xml:space="preserve">The Therapeutic Goods Administration (TGA) is part of the Australian Government </w:t>
      </w:r>
      <w:r w:rsidRPr="00C22214">
        <w:t>Department of Health</w:t>
      </w:r>
      <w:r w:rsidR="0006693A">
        <w:t>, Disability</w:t>
      </w:r>
      <w:r w:rsidRPr="00C22214">
        <w:t xml:space="preserve"> and Ag</w:t>
      </w:r>
      <w:r w:rsidR="0006693A">
        <w:t>eing</w:t>
      </w:r>
      <w:r>
        <w:t xml:space="preserve"> </w:t>
      </w:r>
      <w:r w:rsidRPr="00391B0C">
        <w:t>and is responsible for regulating therapeutic goods, including medicines, medical devices, and biologicals.</w:t>
      </w:r>
    </w:p>
    <w:p w14:paraId="61BEFDB6" w14:textId="77777777" w:rsidR="00346EC2" w:rsidRPr="00391B0C" w:rsidRDefault="00346EC2" w:rsidP="00346EC2">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safety, and efficacy.</w:t>
      </w:r>
    </w:p>
    <w:p w14:paraId="77180CB3" w14:textId="77777777" w:rsidR="00346EC2" w:rsidRPr="003C6D1F" w:rsidRDefault="00346EC2" w:rsidP="00346EC2">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70AC2A35" w14:textId="77777777" w:rsidR="00346EC2" w:rsidRPr="003C6D1F" w:rsidRDefault="00346EC2" w:rsidP="00346EC2">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17DC24C6" w14:textId="1C976CB8" w:rsidR="00346EC2" w:rsidRDefault="00346EC2" w:rsidP="00346EC2">
      <w:pPr>
        <w:pStyle w:val="ListBullet"/>
      </w:pPr>
      <w:r w:rsidRPr="003C6D1F">
        <w:t xml:space="preserve">To report a problem with a </w:t>
      </w:r>
      <w:r>
        <w:t>therapeutic good</w:t>
      </w:r>
      <w:r w:rsidRPr="003C6D1F">
        <w:t xml:space="preserve">, please see the information on the </w:t>
      </w:r>
      <w:hyperlink r:id="rId17" w:history="1">
        <w:r w:rsidRPr="00A63C07">
          <w:rPr>
            <w:rStyle w:val="Hyperlink"/>
          </w:rPr>
          <w:t>TGA website</w:t>
        </w:r>
      </w:hyperlink>
      <w:r w:rsidRPr="003C6D1F">
        <w:t>.</w:t>
      </w:r>
    </w:p>
    <w:p w14:paraId="737B7A99" w14:textId="77777777" w:rsidR="00346EC2" w:rsidRDefault="00346EC2" w:rsidP="00346EC2">
      <w:pPr>
        <w:pStyle w:val="NonTOCHeading20"/>
      </w:pPr>
      <w:r>
        <w:t xml:space="preserve">About </w:t>
      </w:r>
      <w:proofErr w:type="spellStart"/>
      <w:r>
        <w:t>AusPARs</w:t>
      </w:r>
      <w:proofErr w:type="spellEnd"/>
    </w:p>
    <w:p w14:paraId="631B2209" w14:textId="010FE2EE" w:rsidR="00346EC2" w:rsidRPr="003C6D1F" w:rsidRDefault="00346EC2" w:rsidP="00346EC2">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18"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22F5A730" w14:textId="77777777" w:rsidR="00346EC2" w:rsidRPr="003C6D1F" w:rsidRDefault="00346EC2" w:rsidP="00346EC2">
      <w:pPr>
        <w:pStyle w:val="ListBullet"/>
      </w:pPr>
      <w:proofErr w:type="spellStart"/>
      <w:r w:rsidRPr="003C6D1F">
        <w:t>AusPARs</w:t>
      </w:r>
      <w:proofErr w:type="spellEnd"/>
      <w:r w:rsidRPr="003C6D1F">
        <w:t xml:space="preserve"> are prepared and published by the TGA.</w:t>
      </w:r>
    </w:p>
    <w:p w14:paraId="451B8FD7" w14:textId="77777777" w:rsidR="00346EC2" w:rsidRPr="003C6D1F" w:rsidRDefault="00346EC2" w:rsidP="00346EC2">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t xml:space="preserve"> The publication of an </w:t>
      </w:r>
      <w:proofErr w:type="spellStart"/>
      <w:r>
        <w:t>AusPAR</w:t>
      </w:r>
      <w:proofErr w:type="spellEnd"/>
      <w:r>
        <w:t xml:space="preserve"> is an important part of the transparency of the TGA’s decision-making process.</w:t>
      </w:r>
    </w:p>
    <w:p w14:paraId="4D69F5CF" w14:textId="77777777" w:rsidR="00346EC2" w:rsidRPr="003C6D1F" w:rsidRDefault="00346EC2" w:rsidP="00346EC2">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7067011F" w14:textId="510D5C5C" w:rsidR="00F02AEC" w:rsidRPr="00E1198B" w:rsidRDefault="00F02AEC" w:rsidP="00FE087C">
      <w:pPr>
        <w:pStyle w:val="LegalSubheading"/>
        <w:spacing w:before="3600"/>
      </w:pPr>
      <w:r w:rsidRPr="00BA0DFC">
        <w:t>Copyright</w:t>
      </w:r>
    </w:p>
    <w:p w14:paraId="170A8A5D" w14:textId="796829F4" w:rsidR="00175CD8" w:rsidRPr="00346EC2" w:rsidRDefault="00F02AEC" w:rsidP="00346EC2">
      <w:pPr>
        <w:pStyle w:val="LegalCopy"/>
        <w:rPr>
          <w:rFonts w:cs="Arial"/>
        </w:rPr>
      </w:pPr>
      <w:r w:rsidRPr="00215D48">
        <w:rPr>
          <w:rFonts w:cs="Arial"/>
        </w:rPr>
        <w:t>© Commonwealth of Australia 20</w:t>
      </w:r>
      <w:r>
        <w:rPr>
          <w:rFonts w:cs="Arial"/>
        </w:rPr>
        <w:t>2</w:t>
      </w:r>
      <w:r w:rsidR="00210F9B">
        <w:rPr>
          <w:rFonts w:cs="Arial"/>
        </w:rPr>
        <w:t>5</w:t>
      </w:r>
      <w:r w:rsidRPr="00215D48">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215D48">
        <w:rPr>
          <w:rFonts w:cs="Arial"/>
          <w:i/>
        </w:rPr>
        <w:t>Copyright Act 1968</w:t>
      </w:r>
      <w:r w:rsidRPr="00215D48">
        <w:rPr>
          <w:rFonts w:cs="Arial"/>
        </w:rPr>
        <w:t xml:space="preserve"> or allowed by this copyright notice, all other rights are </w:t>
      </w:r>
      <w:proofErr w:type="gramStart"/>
      <w:r w:rsidRPr="00215D48">
        <w:rPr>
          <w:rFonts w:cs="Arial"/>
        </w:rPr>
        <w:t>reserved</w:t>
      </w:r>
      <w:proofErr w:type="gramEnd"/>
      <w:r w:rsidRPr="00215D48">
        <w:rPr>
          <w:rFonts w:cs="Arial"/>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9" w:history="1">
        <w:r w:rsidRPr="00215D48">
          <w:rPr>
            <w:rStyle w:val="Hyperlink"/>
            <w:rFonts w:cs="Arial"/>
          </w:rPr>
          <w:t>tga.copyright@tga.gov.au</w:t>
        </w:r>
      </w:hyperlink>
      <w:r w:rsidRPr="00215D48">
        <w:rPr>
          <w:rFonts w:cs="Arial"/>
        </w:rPr>
        <w:t>&gt;.</w:t>
      </w:r>
    </w:p>
    <w:sdt>
      <w:sdtPr>
        <w:rPr>
          <w:rFonts w:ascii="Cambria" w:eastAsiaTheme="minorEastAsia" w:hAnsi="Cambria" w:cstheme="minorBidi"/>
          <w:b w:val="0"/>
          <w:color w:val="auto"/>
          <w:sz w:val="22"/>
          <w:szCs w:val="22"/>
        </w:rPr>
        <w:id w:val="21514769"/>
        <w:docPartObj>
          <w:docPartGallery w:val="Table of Contents"/>
          <w:docPartUnique/>
        </w:docPartObj>
      </w:sdtPr>
      <w:sdtContent>
        <w:p w14:paraId="0A6ADA2B" w14:textId="77777777" w:rsidR="00F02AEC" w:rsidRPr="00215D48" w:rsidRDefault="00F02AEC" w:rsidP="007452E8">
          <w:pPr>
            <w:pStyle w:val="NonTOCheading2"/>
          </w:pPr>
          <w:r w:rsidRPr="00215D48">
            <w:t>Contents</w:t>
          </w:r>
        </w:p>
        <w:p w14:paraId="220D6F3F" w14:textId="551E1200" w:rsidR="00746C60" w:rsidRDefault="00F02AEC">
          <w:pPr>
            <w:pStyle w:val="TOC1"/>
            <w:rPr>
              <w:rFonts w:asciiTheme="minorHAnsi" w:eastAsiaTheme="minorEastAsia" w:hAnsiTheme="minorHAnsi" w:cstheme="minorBidi"/>
              <w:b w:val="0"/>
              <w:noProof/>
              <w:color w:val="auto"/>
              <w:kern w:val="2"/>
              <w:sz w:val="24"/>
              <w:szCs w:val="24"/>
              <w:lang w:eastAsia="en-AU"/>
              <w14:ligatures w14:val="standardContextual"/>
            </w:rPr>
          </w:pPr>
          <w:r w:rsidRPr="00215D48">
            <w:fldChar w:fldCharType="begin"/>
          </w:r>
          <w:r w:rsidRPr="00215D48">
            <w:instrText xml:space="preserve"> TOC \h \z \u \t "Heading 2,1,Heading 3,2,Heading 4,3" </w:instrText>
          </w:r>
          <w:r w:rsidRPr="00215D48">
            <w:fldChar w:fldCharType="separate"/>
          </w:r>
          <w:hyperlink w:anchor="_Toc202861294" w:history="1">
            <w:r w:rsidR="00746C60" w:rsidRPr="00A8127F">
              <w:rPr>
                <w:rStyle w:val="Hyperlink"/>
                <w:noProof/>
              </w:rPr>
              <w:t>List of abbreviations</w:t>
            </w:r>
            <w:r w:rsidR="00746C60">
              <w:rPr>
                <w:noProof/>
                <w:webHidden/>
              </w:rPr>
              <w:tab/>
            </w:r>
            <w:r w:rsidR="00746C60">
              <w:rPr>
                <w:noProof/>
                <w:webHidden/>
              </w:rPr>
              <w:fldChar w:fldCharType="begin"/>
            </w:r>
            <w:r w:rsidR="00746C60">
              <w:rPr>
                <w:noProof/>
                <w:webHidden/>
              </w:rPr>
              <w:instrText xml:space="preserve"> PAGEREF _Toc202861294 \h </w:instrText>
            </w:r>
            <w:r w:rsidR="00746C60">
              <w:rPr>
                <w:noProof/>
                <w:webHidden/>
              </w:rPr>
            </w:r>
            <w:r w:rsidR="00746C60">
              <w:rPr>
                <w:noProof/>
                <w:webHidden/>
              </w:rPr>
              <w:fldChar w:fldCharType="separate"/>
            </w:r>
            <w:r w:rsidR="00705ED7">
              <w:rPr>
                <w:noProof/>
                <w:webHidden/>
              </w:rPr>
              <w:t>4</w:t>
            </w:r>
            <w:r w:rsidR="00746C60">
              <w:rPr>
                <w:noProof/>
                <w:webHidden/>
              </w:rPr>
              <w:fldChar w:fldCharType="end"/>
            </w:r>
          </w:hyperlink>
        </w:p>
        <w:p w14:paraId="78718B37" w14:textId="4D7B1AB3" w:rsidR="00746C60" w:rsidRDefault="00746C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2861295" w:history="1">
            <w:r w:rsidRPr="00A8127F">
              <w:rPr>
                <w:rStyle w:val="Hyperlink"/>
                <w:noProof/>
              </w:rPr>
              <w:t>Product submission</w:t>
            </w:r>
            <w:r>
              <w:rPr>
                <w:noProof/>
                <w:webHidden/>
              </w:rPr>
              <w:tab/>
            </w:r>
            <w:r>
              <w:rPr>
                <w:noProof/>
                <w:webHidden/>
              </w:rPr>
              <w:fldChar w:fldCharType="begin"/>
            </w:r>
            <w:r>
              <w:rPr>
                <w:noProof/>
                <w:webHidden/>
              </w:rPr>
              <w:instrText xml:space="preserve"> PAGEREF _Toc202861295 \h </w:instrText>
            </w:r>
            <w:r>
              <w:rPr>
                <w:noProof/>
                <w:webHidden/>
              </w:rPr>
            </w:r>
            <w:r>
              <w:rPr>
                <w:noProof/>
                <w:webHidden/>
              </w:rPr>
              <w:fldChar w:fldCharType="separate"/>
            </w:r>
            <w:r w:rsidR="00705ED7">
              <w:rPr>
                <w:noProof/>
                <w:webHidden/>
              </w:rPr>
              <w:t>6</w:t>
            </w:r>
            <w:r>
              <w:rPr>
                <w:noProof/>
                <w:webHidden/>
              </w:rPr>
              <w:fldChar w:fldCharType="end"/>
            </w:r>
          </w:hyperlink>
        </w:p>
        <w:p w14:paraId="36F6BA30" w14:textId="79A2C032"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296" w:history="1">
            <w:r w:rsidRPr="00A8127F">
              <w:rPr>
                <w:rStyle w:val="Hyperlink"/>
                <w:noProof/>
                <w:lang w:eastAsia="en-AU"/>
              </w:rPr>
              <w:t>Submission details</w:t>
            </w:r>
            <w:r>
              <w:rPr>
                <w:noProof/>
                <w:webHidden/>
              </w:rPr>
              <w:tab/>
            </w:r>
            <w:r>
              <w:rPr>
                <w:noProof/>
                <w:webHidden/>
              </w:rPr>
              <w:fldChar w:fldCharType="begin"/>
            </w:r>
            <w:r>
              <w:rPr>
                <w:noProof/>
                <w:webHidden/>
              </w:rPr>
              <w:instrText xml:space="preserve"> PAGEREF _Toc202861296 \h </w:instrText>
            </w:r>
            <w:r>
              <w:rPr>
                <w:noProof/>
                <w:webHidden/>
              </w:rPr>
            </w:r>
            <w:r>
              <w:rPr>
                <w:noProof/>
                <w:webHidden/>
              </w:rPr>
              <w:fldChar w:fldCharType="separate"/>
            </w:r>
            <w:r w:rsidR="00705ED7">
              <w:rPr>
                <w:noProof/>
                <w:webHidden/>
              </w:rPr>
              <w:t>6</w:t>
            </w:r>
            <w:r>
              <w:rPr>
                <w:noProof/>
                <w:webHidden/>
              </w:rPr>
              <w:fldChar w:fldCharType="end"/>
            </w:r>
          </w:hyperlink>
        </w:p>
        <w:p w14:paraId="32518AFF" w14:textId="65FFDFED"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297" w:history="1">
            <w:r w:rsidRPr="00A8127F">
              <w:rPr>
                <w:rStyle w:val="Hyperlink"/>
                <w:noProof/>
              </w:rPr>
              <w:t>Product background</w:t>
            </w:r>
            <w:r>
              <w:rPr>
                <w:noProof/>
                <w:webHidden/>
              </w:rPr>
              <w:tab/>
            </w:r>
            <w:r>
              <w:rPr>
                <w:noProof/>
                <w:webHidden/>
              </w:rPr>
              <w:fldChar w:fldCharType="begin"/>
            </w:r>
            <w:r>
              <w:rPr>
                <w:noProof/>
                <w:webHidden/>
              </w:rPr>
              <w:instrText xml:space="preserve"> PAGEREF _Toc202861297 \h </w:instrText>
            </w:r>
            <w:r>
              <w:rPr>
                <w:noProof/>
                <w:webHidden/>
              </w:rPr>
            </w:r>
            <w:r>
              <w:rPr>
                <w:noProof/>
                <w:webHidden/>
              </w:rPr>
              <w:fldChar w:fldCharType="separate"/>
            </w:r>
            <w:r w:rsidR="00705ED7">
              <w:rPr>
                <w:noProof/>
                <w:webHidden/>
              </w:rPr>
              <w:t>7</w:t>
            </w:r>
            <w:r>
              <w:rPr>
                <w:noProof/>
                <w:webHidden/>
              </w:rPr>
              <w:fldChar w:fldCharType="end"/>
            </w:r>
          </w:hyperlink>
        </w:p>
        <w:p w14:paraId="7D4E1E04" w14:textId="0B61031A"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298" w:history="1">
            <w:r w:rsidRPr="00A8127F">
              <w:rPr>
                <w:rStyle w:val="Hyperlink"/>
                <w:noProof/>
              </w:rPr>
              <w:t>Disease</w:t>
            </w:r>
            <w:r>
              <w:rPr>
                <w:noProof/>
                <w:webHidden/>
              </w:rPr>
              <w:tab/>
            </w:r>
            <w:r>
              <w:rPr>
                <w:noProof/>
                <w:webHidden/>
              </w:rPr>
              <w:fldChar w:fldCharType="begin"/>
            </w:r>
            <w:r>
              <w:rPr>
                <w:noProof/>
                <w:webHidden/>
              </w:rPr>
              <w:instrText xml:space="preserve"> PAGEREF _Toc202861298 \h </w:instrText>
            </w:r>
            <w:r>
              <w:rPr>
                <w:noProof/>
                <w:webHidden/>
              </w:rPr>
            </w:r>
            <w:r>
              <w:rPr>
                <w:noProof/>
                <w:webHidden/>
              </w:rPr>
              <w:fldChar w:fldCharType="separate"/>
            </w:r>
            <w:r w:rsidR="00705ED7">
              <w:rPr>
                <w:noProof/>
                <w:webHidden/>
              </w:rPr>
              <w:t>7</w:t>
            </w:r>
            <w:r>
              <w:rPr>
                <w:noProof/>
                <w:webHidden/>
              </w:rPr>
              <w:fldChar w:fldCharType="end"/>
            </w:r>
          </w:hyperlink>
        </w:p>
        <w:p w14:paraId="38E2874D" w14:textId="2FFC1B7F"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299" w:history="1">
            <w:r w:rsidRPr="00A8127F">
              <w:rPr>
                <w:rStyle w:val="Hyperlink"/>
                <w:noProof/>
              </w:rPr>
              <w:t>Current treatment options</w:t>
            </w:r>
            <w:r>
              <w:rPr>
                <w:noProof/>
                <w:webHidden/>
              </w:rPr>
              <w:tab/>
            </w:r>
            <w:r>
              <w:rPr>
                <w:noProof/>
                <w:webHidden/>
              </w:rPr>
              <w:fldChar w:fldCharType="begin"/>
            </w:r>
            <w:r>
              <w:rPr>
                <w:noProof/>
                <w:webHidden/>
              </w:rPr>
              <w:instrText xml:space="preserve"> PAGEREF _Toc202861299 \h </w:instrText>
            </w:r>
            <w:r>
              <w:rPr>
                <w:noProof/>
                <w:webHidden/>
              </w:rPr>
            </w:r>
            <w:r>
              <w:rPr>
                <w:noProof/>
                <w:webHidden/>
              </w:rPr>
              <w:fldChar w:fldCharType="separate"/>
            </w:r>
            <w:r w:rsidR="00705ED7">
              <w:rPr>
                <w:noProof/>
                <w:webHidden/>
              </w:rPr>
              <w:t>8</w:t>
            </w:r>
            <w:r>
              <w:rPr>
                <w:noProof/>
                <w:webHidden/>
              </w:rPr>
              <w:fldChar w:fldCharType="end"/>
            </w:r>
          </w:hyperlink>
        </w:p>
        <w:p w14:paraId="656D5496" w14:textId="221043E0"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00" w:history="1">
            <w:r w:rsidRPr="00A8127F">
              <w:rPr>
                <w:rStyle w:val="Hyperlink"/>
                <w:noProof/>
              </w:rPr>
              <w:t>Clinical rationale</w:t>
            </w:r>
            <w:r>
              <w:rPr>
                <w:noProof/>
                <w:webHidden/>
              </w:rPr>
              <w:tab/>
            </w:r>
            <w:r>
              <w:rPr>
                <w:noProof/>
                <w:webHidden/>
              </w:rPr>
              <w:fldChar w:fldCharType="begin"/>
            </w:r>
            <w:r>
              <w:rPr>
                <w:noProof/>
                <w:webHidden/>
              </w:rPr>
              <w:instrText xml:space="preserve"> PAGEREF _Toc202861300 \h </w:instrText>
            </w:r>
            <w:r>
              <w:rPr>
                <w:noProof/>
                <w:webHidden/>
              </w:rPr>
            </w:r>
            <w:r>
              <w:rPr>
                <w:noProof/>
                <w:webHidden/>
              </w:rPr>
              <w:fldChar w:fldCharType="separate"/>
            </w:r>
            <w:r w:rsidR="00705ED7">
              <w:rPr>
                <w:noProof/>
                <w:webHidden/>
              </w:rPr>
              <w:t>8</w:t>
            </w:r>
            <w:r>
              <w:rPr>
                <w:noProof/>
                <w:webHidden/>
              </w:rPr>
              <w:fldChar w:fldCharType="end"/>
            </w:r>
          </w:hyperlink>
        </w:p>
        <w:p w14:paraId="2E52E080" w14:textId="18DF2E62"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301" w:history="1">
            <w:r w:rsidRPr="00A8127F">
              <w:rPr>
                <w:rStyle w:val="Hyperlink"/>
                <w:noProof/>
              </w:rPr>
              <w:t>Regulatory status</w:t>
            </w:r>
            <w:r>
              <w:rPr>
                <w:noProof/>
                <w:webHidden/>
              </w:rPr>
              <w:tab/>
            </w:r>
            <w:r>
              <w:rPr>
                <w:noProof/>
                <w:webHidden/>
              </w:rPr>
              <w:fldChar w:fldCharType="begin"/>
            </w:r>
            <w:r>
              <w:rPr>
                <w:noProof/>
                <w:webHidden/>
              </w:rPr>
              <w:instrText xml:space="preserve"> PAGEREF _Toc202861301 \h </w:instrText>
            </w:r>
            <w:r>
              <w:rPr>
                <w:noProof/>
                <w:webHidden/>
              </w:rPr>
            </w:r>
            <w:r>
              <w:rPr>
                <w:noProof/>
                <w:webHidden/>
              </w:rPr>
              <w:fldChar w:fldCharType="separate"/>
            </w:r>
            <w:r w:rsidR="00705ED7">
              <w:rPr>
                <w:noProof/>
                <w:webHidden/>
              </w:rPr>
              <w:t>8</w:t>
            </w:r>
            <w:r>
              <w:rPr>
                <w:noProof/>
                <w:webHidden/>
              </w:rPr>
              <w:fldChar w:fldCharType="end"/>
            </w:r>
          </w:hyperlink>
        </w:p>
        <w:p w14:paraId="3C7B5874" w14:textId="25C00517"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02" w:history="1">
            <w:r w:rsidRPr="00A8127F">
              <w:rPr>
                <w:rStyle w:val="Hyperlink"/>
                <w:noProof/>
              </w:rPr>
              <w:t>Australian regulatory status</w:t>
            </w:r>
            <w:r>
              <w:rPr>
                <w:noProof/>
                <w:webHidden/>
              </w:rPr>
              <w:tab/>
            </w:r>
            <w:r>
              <w:rPr>
                <w:noProof/>
                <w:webHidden/>
              </w:rPr>
              <w:fldChar w:fldCharType="begin"/>
            </w:r>
            <w:r>
              <w:rPr>
                <w:noProof/>
                <w:webHidden/>
              </w:rPr>
              <w:instrText xml:space="preserve"> PAGEREF _Toc202861302 \h </w:instrText>
            </w:r>
            <w:r>
              <w:rPr>
                <w:noProof/>
                <w:webHidden/>
              </w:rPr>
            </w:r>
            <w:r>
              <w:rPr>
                <w:noProof/>
                <w:webHidden/>
              </w:rPr>
              <w:fldChar w:fldCharType="separate"/>
            </w:r>
            <w:r w:rsidR="00705ED7">
              <w:rPr>
                <w:noProof/>
                <w:webHidden/>
              </w:rPr>
              <w:t>8</w:t>
            </w:r>
            <w:r>
              <w:rPr>
                <w:noProof/>
                <w:webHidden/>
              </w:rPr>
              <w:fldChar w:fldCharType="end"/>
            </w:r>
          </w:hyperlink>
        </w:p>
        <w:p w14:paraId="62FD3EB1" w14:textId="7C07EC7D"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03" w:history="1">
            <w:r w:rsidRPr="00A8127F">
              <w:rPr>
                <w:rStyle w:val="Hyperlink"/>
                <w:noProof/>
              </w:rPr>
              <w:t>International regulatory status</w:t>
            </w:r>
            <w:r>
              <w:rPr>
                <w:noProof/>
                <w:webHidden/>
              </w:rPr>
              <w:tab/>
            </w:r>
            <w:r>
              <w:rPr>
                <w:noProof/>
                <w:webHidden/>
              </w:rPr>
              <w:fldChar w:fldCharType="begin"/>
            </w:r>
            <w:r>
              <w:rPr>
                <w:noProof/>
                <w:webHidden/>
              </w:rPr>
              <w:instrText xml:space="preserve"> PAGEREF _Toc202861303 \h </w:instrText>
            </w:r>
            <w:r>
              <w:rPr>
                <w:noProof/>
                <w:webHidden/>
              </w:rPr>
            </w:r>
            <w:r>
              <w:rPr>
                <w:noProof/>
                <w:webHidden/>
              </w:rPr>
              <w:fldChar w:fldCharType="separate"/>
            </w:r>
            <w:r w:rsidR="00705ED7">
              <w:rPr>
                <w:noProof/>
                <w:webHidden/>
              </w:rPr>
              <w:t>8</w:t>
            </w:r>
            <w:r>
              <w:rPr>
                <w:noProof/>
                <w:webHidden/>
              </w:rPr>
              <w:fldChar w:fldCharType="end"/>
            </w:r>
          </w:hyperlink>
        </w:p>
        <w:p w14:paraId="285B035D" w14:textId="7CB33ED4" w:rsidR="00746C60" w:rsidRDefault="00746C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2861304" w:history="1">
            <w:r w:rsidRPr="00A8127F">
              <w:rPr>
                <w:rStyle w:val="Hyperlink"/>
                <w:noProof/>
              </w:rPr>
              <w:t>Registration timeline</w:t>
            </w:r>
            <w:r>
              <w:rPr>
                <w:noProof/>
                <w:webHidden/>
              </w:rPr>
              <w:tab/>
            </w:r>
            <w:r>
              <w:rPr>
                <w:noProof/>
                <w:webHidden/>
              </w:rPr>
              <w:fldChar w:fldCharType="begin"/>
            </w:r>
            <w:r>
              <w:rPr>
                <w:noProof/>
                <w:webHidden/>
              </w:rPr>
              <w:instrText xml:space="preserve"> PAGEREF _Toc202861304 \h </w:instrText>
            </w:r>
            <w:r>
              <w:rPr>
                <w:noProof/>
                <w:webHidden/>
              </w:rPr>
            </w:r>
            <w:r>
              <w:rPr>
                <w:noProof/>
                <w:webHidden/>
              </w:rPr>
              <w:fldChar w:fldCharType="separate"/>
            </w:r>
            <w:r w:rsidR="00705ED7">
              <w:rPr>
                <w:noProof/>
                <w:webHidden/>
              </w:rPr>
              <w:t>10</w:t>
            </w:r>
            <w:r>
              <w:rPr>
                <w:noProof/>
                <w:webHidden/>
              </w:rPr>
              <w:fldChar w:fldCharType="end"/>
            </w:r>
          </w:hyperlink>
        </w:p>
        <w:p w14:paraId="469CD250" w14:textId="1DC26468" w:rsidR="00746C60" w:rsidRDefault="00746C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2861305" w:history="1">
            <w:r w:rsidRPr="00A8127F">
              <w:rPr>
                <w:rStyle w:val="Hyperlink"/>
                <w:noProof/>
              </w:rPr>
              <w:t>Assessment overview</w:t>
            </w:r>
            <w:r>
              <w:rPr>
                <w:noProof/>
                <w:webHidden/>
              </w:rPr>
              <w:tab/>
            </w:r>
            <w:r>
              <w:rPr>
                <w:noProof/>
                <w:webHidden/>
              </w:rPr>
              <w:fldChar w:fldCharType="begin"/>
            </w:r>
            <w:r>
              <w:rPr>
                <w:noProof/>
                <w:webHidden/>
              </w:rPr>
              <w:instrText xml:space="preserve"> PAGEREF _Toc202861305 \h </w:instrText>
            </w:r>
            <w:r>
              <w:rPr>
                <w:noProof/>
                <w:webHidden/>
              </w:rPr>
            </w:r>
            <w:r>
              <w:rPr>
                <w:noProof/>
                <w:webHidden/>
              </w:rPr>
              <w:fldChar w:fldCharType="separate"/>
            </w:r>
            <w:r w:rsidR="00705ED7">
              <w:rPr>
                <w:noProof/>
                <w:webHidden/>
              </w:rPr>
              <w:t>10</w:t>
            </w:r>
            <w:r>
              <w:rPr>
                <w:noProof/>
                <w:webHidden/>
              </w:rPr>
              <w:fldChar w:fldCharType="end"/>
            </w:r>
          </w:hyperlink>
        </w:p>
        <w:p w14:paraId="093D2480" w14:textId="29172B91"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306" w:history="1">
            <w:r w:rsidRPr="00A8127F">
              <w:rPr>
                <w:rStyle w:val="Hyperlink"/>
                <w:noProof/>
              </w:rPr>
              <w:t>Quality evaluation summary</w:t>
            </w:r>
            <w:r>
              <w:rPr>
                <w:noProof/>
                <w:webHidden/>
              </w:rPr>
              <w:tab/>
            </w:r>
            <w:r>
              <w:rPr>
                <w:noProof/>
                <w:webHidden/>
              </w:rPr>
              <w:fldChar w:fldCharType="begin"/>
            </w:r>
            <w:r>
              <w:rPr>
                <w:noProof/>
                <w:webHidden/>
              </w:rPr>
              <w:instrText xml:space="preserve"> PAGEREF _Toc202861306 \h </w:instrText>
            </w:r>
            <w:r>
              <w:rPr>
                <w:noProof/>
                <w:webHidden/>
              </w:rPr>
            </w:r>
            <w:r>
              <w:rPr>
                <w:noProof/>
                <w:webHidden/>
              </w:rPr>
              <w:fldChar w:fldCharType="separate"/>
            </w:r>
            <w:r w:rsidR="00705ED7">
              <w:rPr>
                <w:noProof/>
                <w:webHidden/>
              </w:rPr>
              <w:t>11</w:t>
            </w:r>
            <w:r>
              <w:rPr>
                <w:noProof/>
                <w:webHidden/>
              </w:rPr>
              <w:fldChar w:fldCharType="end"/>
            </w:r>
          </w:hyperlink>
        </w:p>
        <w:p w14:paraId="09AE0963" w14:textId="090B9DFC"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307" w:history="1">
            <w:r w:rsidRPr="00A8127F">
              <w:rPr>
                <w:rStyle w:val="Hyperlink"/>
                <w:noProof/>
              </w:rPr>
              <w:t>Nonclinical evaluation summary</w:t>
            </w:r>
            <w:r>
              <w:rPr>
                <w:noProof/>
                <w:webHidden/>
              </w:rPr>
              <w:tab/>
            </w:r>
            <w:r>
              <w:rPr>
                <w:noProof/>
                <w:webHidden/>
              </w:rPr>
              <w:fldChar w:fldCharType="begin"/>
            </w:r>
            <w:r>
              <w:rPr>
                <w:noProof/>
                <w:webHidden/>
              </w:rPr>
              <w:instrText xml:space="preserve"> PAGEREF _Toc202861307 \h </w:instrText>
            </w:r>
            <w:r>
              <w:rPr>
                <w:noProof/>
                <w:webHidden/>
              </w:rPr>
            </w:r>
            <w:r>
              <w:rPr>
                <w:noProof/>
                <w:webHidden/>
              </w:rPr>
              <w:fldChar w:fldCharType="separate"/>
            </w:r>
            <w:r w:rsidR="00705ED7">
              <w:rPr>
                <w:noProof/>
                <w:webHidden/>
              </w:rPr>
              <w:t>11</w:t>
            </w:r>
            <w:r>
              <w:rPr>
                <w:noProof/>
                <w:webHidden/>
              </w:rPr>
              <w:fldChar w:fldCharType="end"/>
            </w:r>
          </w:hyperlink>
        </w:p>
        <w:p w14:paraId="74AAC7FE" w14:textId="4C3C1F05"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308" w:history="1">
            <w:r w:rsidRPr="00A8127F">
              <w:rPr>
                <w:rStyle w:val="Hyperlink"/>
                <w:noProof/>
              </w:rPr>
              <w:t>Clinical evaluation summary</w:t>
            </w:r>
            <w:r>
              <w:rPr>
                <w:noProof/>
                <w:webHidden/>
              </w:rPr>
              <w:tab/>
            </w:r>
            <w:r>
              <w:rPr>
                <w:noProof/>
                <w:webHidden/>
              </w:rPr>
              <w:fldChar w:fldCharType="begin"/>
            </w:r>
            <w:r>
              <w:rPr>
                <w:noProof/>
                <w:webHidden/>
              </w:rPr>
              <w:instrText xml:space="preserve"> PAGEREF _Toc202861308 \h </w:instrText>
            </w:r>
            <w:r>
              <w:rPr>
                <w:noProof/>
                <w:webHidden/>
              </w:rPr>
            </w:r>
            <w:r>
              <w:rPr>
                <w:noProof/>
                <w:webHidden/>
              </w:rPr>
              <w:fldChar w:fldCharType="separate"/>
            </w:r>
            <w:r w:rsidR="00705ED7">
              <w:rPr>
                <w:noProof/>
                <w:webHidden/>
              </w:rPr>
              <w:t>13</w:t>
            </w:r>
            <w:r>
              <w:rPr>
                <w:noProof/>
                <w:webHidden/>
              </w:rPr>
              <w:fldChar w:fldCharType="end"/>
            </w:r>
          </w:hyperlink>
        </w:p>
        <w:p w14:paraId="56C761D8" w14:textId="54FA92A6"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09" w:history="1">
            <w:r w:rsidRPr="00A8127F">
              <w:rPr>
                <w:rStyle w:val="Hyperlink"/>
                <w:noProof/>
              </w:rPr>
              <w:t>Summary of clinical studies</w:t>
            </w:r>
            <w:r>
              <w:rPr>
                <w:noProof/>
                <w:webHidden/>
              </w:rPr>
              <w:tab/>
            </w:r>
            <w:r>
              <w:rPr>
                <w:noProof/>
                <w:webHidden/>
              </w:rPr>
              <w:fldChar w:fldCharType="begin"/>
            </w:r>
            <w:r>
              <w:rPr>
                <w:noProof/>
                <w:webHidden/>
              </w:rPr>
              <w:instrText xml:space="preserve"> PAGEREF _Toc202861309 \h </w:instrText>
            </w:r>
            <w:r>
              <w:rPr>
                <w:noProof/>
                <w:webHidden/>
              </w:rPr>
            </w:r>
            <w:r>
              <w:rPr>
                <w:noProof/>
                <w:webHidden/>
              </w:rPr>
              <w:fldChar w:fldCharType="separate"/>
            </w:r>
            <w:r w:rsidR="00705ED7">
              <w:rPr>
                <w:noProof/>
                <w:webHidden/>
              </w:rPr>
              <w:t>13</w:t>
            </w:r>
            <w:r>
              <w:rPr>
                <w:noProof/>
                <w:webHidden/>
              </w:rPr>
              <w:fldChar w:fldCharType="end"/>
            </w:r>
          </w:hyperlink>
        </w:p>
        <w:p w14:paraId="3A017E00" w14:textId="35F51099"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10" w:history="1">
            <w:r w:rsidRPr="00A8127F">
              <w:rPr>
                <w:rStyle w:val="Hyperlink"/>
                <w:noProof/>
              </w:rPr>
              <w:t>Pharmacology</w:t>
            </w:r>
            <w:r>
              <w:rPr>
                <w:noProof/>
                <w:webHidden/>
              </w:rPr>
              <w:tab/>
            </w:r>
            <w:r>
              <w:rPr>
                <w:noProof/>
                <w:webHidden/>
              </w:rPr>
              <w:fldChar w:fldCharType="begin"/>
            </w:r>
            <w:r>
              <w:rPr>
                <w:noProof/>
                <w:webHidden/>
              </w:rPr>
              <w:instrText xml:space="preserve"> PAGEREF _Toc202861310 \h </w:instrText>
            </w:r>
            <w:r>
              <w:rPr>
                <w:noProof/>
                <w:webHidden/>
              </w:rPr>
            </w:r>
            <w:r>
              <w:rPr>
                <w:noProof/>
                <w:webHidden/>
              </w:rPr>
              <w:fldChar w:fldCharType="separate"/>
            </w:r>
            <w:r w:rsidR="00705ED7">
              <w:rPr>
                <w:noProof/>
                <w:webHidden/>
              </w:rPr>
              <w:t>14</w:t>
            </w:r>
            <w:r>
              <w:rPr>
                <w:noProof/>
                <w:webHidden/>
              </w:rPr>
              <w:fldChar w:fldCharType="end"/>
            </w:r>
          </w:hyperlink>
        </w:p>
        <w:p w14:paraId="664B9A5E" w14:textId="7E563921"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11" w:history="1">
            <w:r w:rsidRPr="00A8127F">
              <w:rPr>
                <w:rStyle w:val="Hyperlink"/>
                <w:noProof/>
              </w:rPr>
              <w:t>Efficacy</w:t>
            </w:r>
            <w:r>
              <w:rPr>
                <w:noProof/>
                <w:webHidden/>
              </w:rPr>
              <w:tab/>
            </w:r>
            <w:r>
              <w:rPr>
                <w:noProof/>
                <w:webHidden/>
              </w:rPr>
              <w:fldChar w:fldCharType="begin"/>
            </w:r>
            <w:r>
              <w:rPr>
                <w:noProof/>
                <w:webHidden/>
              </w:rPr>
              <w:instrText xml:space="preserve"> PAGEREF _Toc202861311 \h </w:instrText>
            </w:r>
            <w:r>
              <w:rPr>
                <w:noProof/>
                <w:webHidden/>
              </w:rPr>
            </w:r>
            <w:r>
              <w:rPr>
                <w:noProof/>
                <w:webHidden/>
              </w:rPr>
              <w:fldChar w:fldCharType="separate"/>
            </w:r>
            <w:r w:rsidR="00705ED7">
              <w:rPr>
                <w:noProof/>
                <w:webHidden/>
              </w:rPr>
              <w:t>18</w:t>
            </w:r>
            <w:r>
              <w:rPr>
                <w:noProof/>
                <w:webHidden/>
              </w:rPr>
              <w:fldChar w:fldCharType="end"/>
            </w:r>
          </w:hyperlink>
        </w:p>
        <w:p w14:paraId="7D6DF637" w14:textId="7CD3C2F5"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12" w:history="1">
            <w:r w:rsidRPr="00A8127F">
              <w:rPr>
                <w:rStyle w:val="Hyperlink"/>
                <w:noProof/>
              </w:rPr>
              <w:t>Safety</w:t>
            </w:r>
            <w:r>
              <w:rPr>
                <w:noProof/>
                <w:webHidden/>
              </w:rPr>
              <w:tab/>
            </w:r>
            <w:r>
              <w:rPr>
                <w:noProof/>
                <w:webHidden/>
              </w:rPr>
              <w:fldChar w:fldCharType="begin"/>
            </w:r>
            <w:r>
              <w:rPr>
                <w:noProof/>
                <w:webHidden/>
              </w:rPr>
              <w:instrText xml:space="preserve"> PAGEREF _Toc202861312 \h </w:instrText>
            </w:r>
            <w:r>
              <w:rPr>
                <w:noProof/>
                <w:webHidden/>
              </w:rPr>
            </w:r>
            <w:r>
              <w:rPr>
                <w:noProof/>
                <w:webHidden/>
              </w:rPr>
              <w:fldChar w:fldCharType="separate"/>
            </w:r>
            <w:r w:rsidR="00705ED7">
              <w:rPr>
                <w:noProof/>
                <w:webHidden/>
              </w:rPr>
              <w:t>26</w:t>
            </w:r>
            <w:r>
              <w:rPr>
                <w:noProof/>
                <w:webHidden/>
              </w:rPr>
              <w:fldChar w:fldCharType="end"/>
            </w:r>
          </w:hyperlink>
        </w:p>
        <w:p w14:paraId="7E8B95A9" w14:textId="7144CD2C"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313" w:history="1">
            <w:r w:rsidRPr="00A8127F">
              <w:rPr>
                <w:rStyle w:val="Hyperlink"/>
                <w:noProof/>
                <w:lang w:eastAsia="en-AU"/>
              </w:rPr>
              <w:t>Risk management plan</w:t>
            </w:r>
            <w:r>
              <w:rPr>
                <w:noProof/>
                <w:webHidden/>
              </w:rPr>
              <w:tab/>
            </w:r>
            <w:r>
              <w:rPr>
                <w:noProof/>
                <w:webHidden/>
              </w:rPr>
              <w:fldChar w:fldCharType="begin"/>
            </w:r>
            <w:r>
              <w:rPr>
                <w:noProof/>
                <w:webHidden/>
              </w:rPr>
              <w:instrText xml:space="preserve"> PAGEREF _Toc202861313 \h </w:instrText>
            </w:r>
            <w:r>
              <w:rPr>
                <w:noProof/>
                <w:webHidden/>
              </w:rPr>
            </w:r>
            <w:r>
              <w:rPr>
                <w:noProof/>
                <w:webHidden/>
              </w:rPr>
              <w:fldChar w:fldCharType="separate"/>
            </w:r>
            <w:r w:rsidR="00705ED7">
              <w:rPr>
                <w:noProof/>
                <w:webHidden/>
              </w:rPr>
              <w:t>36</w:t>
            </w:r>
            <w:r>
              <w:rPr>
                <w:noProof/>
                <w:webHidden/>
              </w:rPr>
              <w:fldChar w:fldCharType="end"/>
            </w:r>
          </w:hyperlink>
        </w:p>
        <w:p w14:paraId="4BF973FF" w14:textId="045FEFF3"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314" w:history="1">
            <w:r w:rsidRPr="00A8127F">
              <w:rPr>
                <w:rStyle w:val="Hyperlink"/>
                <w:noProof/>
              </w:rPr>
              <w:t>Risk-benefit analysis</w:t>
            </w:r>
            <w:r>
              <w:rPr>
                <w:noProof/>
                <w:webHidden/>
              </w:rPr>
              <w:tab/>
            </w:r>
            <w:r>
              <w:rPr>
                <w:noProof/>
                <w:webHidden/>
              </w:rPr>
              <w:fldChar w:fldCharType="begin"/>
            </w:r>
            <w:r>
              <w:rPr>
                <w:noProof/>
                <w:webHidden/>
              </w:rPr>
              <w:instrText xml:space="preserve"> PAGEREF _Toc202861314 \h </w:instrText>
            </w:r>
            <w:r>
              <w:rPr>
                <w:noProof/>
                <w:webHidden/>
              </w:rPr>
            </w:r>
            <w:r>
              <w:rPr>
                <w:noProof/>
                <w:webHidden/>
              </w:rPr>
              <w:fldChar w:fldCharType="separate"/>
            </w:r>
            <w:r w:rsidR="00705ED7">
              <w:rPr>
                <w:noProof/>
                <w:webHidden/>
              </w:rPr>
              <w:t>36</w:t>
            </w:r>
            <w:r>
              <w:rPr>
                <w:noProof/>
                <w:webHidden/>
              </w:rPr>
              <w:fldChar w:fldCharType="end"/>
            </w:r>
          </w:hyperlink>
        </w:p>
        <w:p w14:paraId="3BE3E45D" w14:textId="58320383"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15" w:history="1">
            <w:r w:rsidRPr="00A8127F">
              <w:rPr>
                <w:rStyle w:val="Hyperlink"/>
                <w:noProof/>
              </w:rPr>
              <w:t>Delegate’s considerations</w:t>
            </w:r>
            <w:r>
              <w:rPr>
                <w:noProof/>
                <w:webHidden/>
              </w:rPr>
              <w:tab/>
            </w:r>
            <w:r>
              <w:rPr>
                <w:noProof/>
                <w:webHidden/>
              </w:rPr>
              <w:fldChar w:fldCharType="begin"/>
            </w:r>
            <w:r>
              <w:rPr>
                <w:noProof/>
                <w:webHidden/>
              </w:rPr>
              <w:instrText xml:space="preserve"> PAGEREF _Toc202861315 \h </w:instrText>
            </w:r>
            <w:r>
              <w:rPr>
                <w:noProof/>
                <w:webHidden/>
              </w:rPr>
            </w:r>
            <w:r>
              <w:rPr>
                <w:noProof/>
                <w:webHidden/>
              </w:rPr>
              <w:fldChar w:fldCharType="separate"/>
            </w:r>
            <w:r w:rsidR="00705ED7">
              <w:rPr>
                <w:noProof/>
                <w:webHidden/>
              </w:rPr>
              <w:t>36</w:t>
            </w:r>
            <w:r>
              <w:rPr>
                <w:noProof/>
                <w:webHidden/>
              </w:rPr>
              <w:fldChar w:fldCharType="end"/>
            </w:r>
          </w:hyperlink>
        </w:p>
        <w:p w14:paraId="30BC9EC0" w14:textId="30E0D50C"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16" w:history="1">
            <w:r w:rsidRPr="00A8127F">
              <w:rPr>
                <w:rStyle w:val="Hyperlink"/>
                <w:noProof/>
              </w:rPr>
              <w:t>Proposed action</w:t>
            </w:r>
            <w:r>
              <w:rPr>
                <w:noProof/>
                <w:webHidden/>
              </w:rPr>
              <w:tab/>
            </w:r>
            <w:r>
              <w:rPr>
                <w:noProof/>
                <w:webHidden/>
              </w:rPr>
              <w:fldChar w:fldCharType="begin"/>
            </w:r>
            <w:r>
              <w:rPr>
                <w:noProof/>
                <w:webHidden/>
              </w:rPr>
              <w:instrText xml:space="preserve"> PAGEREF _Toc202861316 \h </w:instrText>
            </w:r>
            <w:r>
              <w:rPr>
                <w:noProof/>
                <w:webHidden/>
              </w:rPr>
            </w:r>
            <w:r>
              <w:rPr>
                <w:noProof/>
                <w:webHidden/>
              </w:rPr>
              <w:fldChar w:fldCharType="separate"/>
            </w:r>
            <w:r w:rsidR="00705ED7">
              <w:rPr>
                <w:noProof/>
                <w:webHidden/>
              </w:rPr>
              <w:t>38</w:t>
            </w:r>
            <w:r>
              <w:rPr>
                <w:noProof/>
                <w:webHidden/>
              </w:rPr>
              <w:fldChar w:fldCharType="end"/>
            </w:r>
          </w:hyperlink>
        </w:p>
        <w:p w14:paraId="4F22F2DB" w14:textId="63E74BCD"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17" w:history="1">
            <w:r w:rsidRPr="00A8127F">
              <w:rPr>
                <w:rStyle w:val="Hyperlink"/>
                <w:noProof/>
              </w:rPr>
              <w:t>Questions for the sponsor</w:t>
            </w:r>
            <w:r>
              <w:rPr>
                <w:noProof/>
                <w:webHidden/>
              </w:rPr>
              <w:tab/>
            </w:r>
            <w:r>
              <w:rPr>
                <w:noProof/>
                <w:webHidden/>
              </w:rPr>
              <w:fldChar w:fldCharType="begin"/>
            </w:r>
            <w:r>
              <w:rPr>
                <w:noProof/>
                <w:webHidden/>
              </w:rPr>
              <w:instrText xml:space="preserve"> PAGEREF _Toc202861317 \h </w:instrText>
            </w:r>
            <w:r>
              <w:rPr>
                <w:noProof/>
                <w:webHidden/>
              </w:rPr>
            </w:r>
            <w:r>
              <w:rPr>
                <w:noProof/>
                <w:webHidden/>
              </w:rPr>
              <w:fldChar w:fldCharType="separate"/>
            </w:r>
            <w:r w:rsidR="00705ED7">
              <w:rPr>
                <w:noProof/>
                <w:webHidden/>
              </w:rPr>
              <w:t>39</w:t>
            </w:r>
            <w:r>
              <w:rPr>
                <w:noProof/>
                <w:webHidden/>
              </w:rPr>
              <w:fldChar w:fldCharType="end"/>
            </w:r>
          </w:hyperlink>
        </w:p>
        <w:p w14:paraId="0ACBA3DD" w14:textId="1E2686F9" w:rsidR="00746C60" w:rsidRDefault="00746C60">
          <w:pPr>
            <w:pStyle w:val="TOC3"/>
            <w:rPr>
              <w:rFonts w:asciiTheme="minorHAnsi" w:eastAsiaTheme="minorEastAsia" w:hAnsiTheme="minorHAnsi" w:cstheme="minorBidi"/>
              <w:b w:val="0"/>
              <w:noProof/>
              <w:color w:val="auto"/>
              <w:kern w:val="2"/>
              <w:sz w:val="24"/>
              <w:szCs w:val="24"/>
              <w:lang w:eastAsia="en-AU"/>
              <w14:ligatures w14:val="standardContextual"/>
            </w:rPr>
          </w:pPr>
          <w:hyperlink w:anchor="_Toc202861318" w:history="1">
            <w:r w:rsidRPr="00A8127F">
              <w:rPr>
                <w:rStyle w:val="Hyperlink"/>
                <w:noProof/>
              </w:rPr>
              <w:t>Advisory Committee considerations</w:t>
            </w:r>
            <w:r>
              <w:rPr>
                <w:noProof/>
                <w:webHidden/>
              </w:rPr>
              <w:tab/>
            </w:r>
            <w:r>
              <w:rPr>
                <w:noProof/>
                <w:webHidden/>
              </w:rPr>
              <w:fldChar w:fldCharType="begin"/>
            </w:r>
            <w:r>
              <w:rPr>
                <w:noProof/>
                <w:webHidden/>
              </w:rPr>
              <w:instrText xml:space="preserve"> PAGEREF _Toc202861318 \h </w:instrText>
            </w:r>
            <w:r>
              <w:rPr>
                <w:noProof/>
                <w:webHidden/>
              </w:rPr>
            </w:r>
            <w:r>
              <w:rPr>
                <w:noProof/>
                <w:webHidden/>
              </w:rPr>
              <w:fldChar w:fldCharType="separate"/>
            </w:r>
            <w:r w:rsidR="00705ED7">
              <w:rPr>
                <w:noProof/>
                <w:webHidden/>
              </w:rPr>
              <w:t>42</w:t>
            </w:r>
            <w:r>
              <w:rPr>
                <w:noProof/>
                <w:webHidden/>
              </w:rPr>
              <w:fldChar w:fldCharType="end"/>
            </w:r>
          </w:hyperlink>
        </w:p>
        <w:p w14:paraId="415A02C4" w14:textId="00E6A4E5" w:rsidR="00746C60" w:rsidRDefault="00746C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2861319" w:history="1">
            <w:r w:rsidRPr="00A8127F">
              <w:rPr>
                <w:rStyle w:val="Hyperlink"/>
                <w:noProof/>
              </w:rPr>
              <w:t>Assessment outcome</w:t>
            </w:r>
            <w:r>
              <w:rPr>
                <w:noProof/>
                <w:webHidden/>
              </w:rPr>
              <w:tab/>
            </w:r>
            <w:r>
              <w:rPr>
                <w:noProof/>
                <w:webHidden/>
              </w:rPr>
              <w:fldChar w:fldCharType="begin"/>
            </w:r>
            <w:r>
              <w:rPr>
                <w:noProof/>
                <w:webHidden/>
              </w:rPr>
              <w:instrText xml:space="preserve"> PAGEREF _Toc202861319 \h </w:instrText>
            </w:r>
            <w:r>
              <w:rPr>
                <w:noProof/>
                <w:webHidden/>
              </w:rPr>
            </w:r>
            <w:r>
              <w:rPr>
                <w:noProof/>
                <w:webHidden/>
              </w:rPr>
              <w:fldChar w:fldCharType="separate"/>
            </w:r>
            <w:r w:rsidR="00705ED7">
              <w:rPr>
                <w:noProof/>
                <w:webHidden/>
              </w:rPr>
              <w:t>43</w:t>
            </w:r>
            <w:r>
              <w:rPr>
                <w:noProof/>
                <w:webHidden/>
              </w:rPr>
              <w:fldChar w:fldCharType="end"/>
            </w:r>
          </w:hyperlink>
        </w:p>
        <w:p w14:paraId="3528FCDC" w14:textId="4F061DE5" w:rsidR="00746C60" w:rsidRDefault="00746C60">
          <w:pPr>
            <w:pStyle w:val="TOC1"/>
            <w:rPr>
              <w:rFonts w:asciiTheme="minorHAnsi" w:eastAsiaTheme="minorEastAsia" w:hAnsiTheme="minorHAnsi" w:cstheme="minorBidi"/>
              <w:b w:val="0"/>
              <w:noProof/>
              <w:color w:val="auto"/>
              <w:kern w:val="2"/>
              <w:sz w:val="24"/>
              <w:szCs w:val="24"/>
              <w:lang w:eastAsia="en-AU"/>
              <w14:ligatures w14:val="standardContextual"/>
            </w:rPr>
          </w:pPr>
          <w:hyperlink w:anchor="_Toc202861320" w:history="1">
            <w:r w:rsidRPr="00A8127F">
              <w:rPr>
                <w:rStyle w:val="Hyperlink"/>
                <w:noProof/>
              </w:rPr>
              <w:t>Specific conditions of registration</w:t>
            </w:r>
            <w:r>
              <w:rPr>
                <w:noProof/>
                <w:webHidden/>
              </w:rPr>
              <w:tab/>
            </w:r>
            <w:r>
              <w:rPr>
                <w:noProof/>
                <w:webHidden/>
              </w:rPr>
              <w:fldChar w:fldCharType="begin"/>
            </w:r>
            <w:r>
              <w:rPr>
                <w:noProof/>
                <w:webHidden/>
              </w:rPr>
              <w:instrText xml:space="preserve"> PAGEREF _Toc202861320 \h </w:instrText>
            </w:r>
            <w:r>
              <w:rPr>
                <w:noProof/>
                <w:webHidden/>
              </w:rPr>
            </w:r>
            <w:r>
              <w:rPr>
                <w:noProof/>
                <w:webHidden/>
              </w:rPr>
              <w:fldChar w:fldCharType="separate"/>
            </w:r>
            <w:r w:rsidR="00705ED7">
              <w:rPr>
                <w:noProof/>
                <w:webHidden/>
              </w:rPr>
              <w:t>43</w:t>
            </w:r>
            <w:r>
              <w:rPr>
                <w:noProof/>
                <w:webHidden/>
              </w:rPr>
              <w:fldChar w:fldCharType="end"/>
            </w:r>
          </w:hyperlink>
        </w:p>
        <w:p w14:paraId="00794DBB" w14:textId="301CDDC8" w:rsidR="00746C60" w:rsidRDefault="00746C60">
          <w:pPr>
            <w:pStyle w:val="TOC2"/>
            <w:rPr>
              <w:rFonts w:asciiTheme="minorHAnsi" w:eastAsiaTheme="minorEastAsia" w:hAnsiTheme="minorHAnsi" w:cstheme="minorBidi"/>
              <w:b w:val="0"/>
              <w:noProof/>
              <w:color w:val="auto"/>
              <w:kern w:val="2"/>
              <w:sz w:val="24"/>
              <w:szCs w:val="24"/>
              <w:lang w:eastAsia="en-AU"/>
              <w14:ligatures w14:val="standardContextual"/>
            </w:rPr>
          </w:pPr>
          <w:hyperlink w:anchor="_Toc202861321" w:history="1">
            <w:r w:rsidRPr="00A8127F">
              <w:rPr>
                <w:rStyle w:val="Hyperlink"/>
                <w:noProof/>
              </w:rPr>
              <w:t>Product Information and Consumer Medicine Information</w:t>
            </w:r>
            <w:r>
              <w:rPr>
                <w:noProof/>
                <w:webHidden/>
              </w:rPr>
              <w:tab/>
            </w:r>
            <w:r>
              <w:rPr>
                <w:noProof/>
                <w:webHidden/>
              </w:rPr>
              <w:fldChar w:fldCharType="begin"/>
            </w:r>
            <w:r>
              <w:rPr>
                <w:noProof/>
                <w:webHidden/>
              </w:rPr>
              <w:instrText xml:space="preserve"> PAGEREF _Toc202861321 \h </w:instrText>
            </w:r>
            <w:r>
              <w:rPr>
                <w:noProof/>
                <w:webHidden/>
              </w:rPr>
            </w:r>
            <w:r>
              <w:rPr>
                <w:noProof/>
                <w:webHidden/>
              </w:rPr>
              <w:fldChar w:fldCharType="separate"/>
            </w:r>
            <w:r w:rsidR="00705ED7">
              <w:rPr>
                <w:noProof/>
                <w:webHidden/>
              </w:rPr>
              <w:t>44</w:t>
            </w:r>
            <w:r>
              <w:rPr>
                <w:noProof/>
                <w:webHidden/>
              </w:rPr>
              <w:fldChar w:fldCharType="end"/>
            </w:r>
          </w:hyperlink>
        </w:p>
        <w:p w14:paraId="77659F2D" w14:textId="48A7AF30" w:rsidR="00F02AEC" w:rsidRPr="00215D48" w:rsidRDefault="00F02AEC" w:rsidP="007452E8">
          <w:r w:rsidRPr="00215D48">
            <w:fldChar w:fldCharType="end"/>
          </w:r>
        </w:p>
      </w:sdtContent>
    </w:sdt>
    <w:p w14:paraId="10987AE2" w14:textId="77777777" w:rsidR="00F02AEC" w:rsidRPr="00215D48" w:rsidRDefault="00F02AEC" w:rsidP="007452E8">
      <w:r w:rsidRPr="00215D48">
        <w:br w:type="page"/>
      </w:r>
    </w:p>
    <w:p w14:paraId="1E73AB93" w14:textId="77777777" w:rsidR="00324B33" w:rsidRDefault="00324B33" w:rsidP="00324B33">
      <w:pPr>
        <w:pStyle w:val="Heading2"/>
      </w:pPr>
      <w:bookmarkStart w:id="1" w:name="_Toc98931917"/>
      <w:bookmarkStart w:id="2" w:name="_Toc103679287"/>
      <w:bookmarkStart w:id="3" w:name="_Toc202861294"/>
      <w:bookmarkStart w:id="4" w:name="_Toc323739589"/>
      <w:bookmarkStart w:id="5" w:name="_Toc356305216"/>
      <w:r>
        <w:lastRenderedPageBreak/>
        <w:t>List of 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324B33" w:rsidRPr="00D01DDB"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D01DDB" w:rsidRDefault="00324B33" w:rsidP="00324B33">
            <w:pPr>
              <w:rPr>
                <w:szCs w:val="22"/>
              </w:rPr>
            </w:pPr>
            <w:r w:rsidRPr="00D01DDB">
              <w:rPr>
                <w:szCs w:val="22"/>
              </w:rPr>
              <w:t>Abbreviation</w:t>
            </w:r>
          </w:p>
        </w:tc>
        <w:tc>
          <w:tcPr>
            <w:tcW w:w="3800" w:type="pct"/>
          </w:tcPr>
          <w:p w14:paraId="4CF6D0CD" w14:textId="2974FA0B"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Meaning</w:t>
            </w:r>
          </w:p>
        </w:tc>
      </w:tr>
      <w:tr w:rsidR="00625246" w:rsidRPr="00D01DDB" w14:paraId="66FE173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42297E" w14:textId="3F2D16FF" w:rsidR="00625246" w:rsidRPr="00D01DDB" w:rsidRDefault="004734A4" w:rsidP="004734A4">
            <w:pPr>
              <w:ind w:left="0"/>
              <w:rPr>
                <w:szCs w:val="22"/>
              </w:rPr>
            </w:pPr>
            <w:r>
              <w:t>6MWD</w:t>
            </w:r>
          </w:p>
        </w:tc>
        <w:tc>
          <w:tcPr>
            <w:tcW w:w="3800" w:type="pct"/>
          </w:tcPr>
          <w:p w14:paraId="5C3E8EEE" w14:textId="75E73C18" w:rsidR="00625246" w:rsidRPr="00D01DDB" w:rsidRDefault="004734A4" w:rsidP="00324B33">
            <w:pPr>
              <w:cnfStyle w:val="000000000000" w:firstRow="0" w:lastRow="0" w:firstColumn="0" w:lastColumn="0" w:oddVBand="0" w:evenVBand="0" w:oddHBand="0" w:evenHBand="0" w:firstRowFirstColumn="0" w:firstRowLastColumn="0" w:lastRowFirstColumn="0" w:lastRowLastColumn="0"/>
              <w:rPr>
                <w:szCs w:val="22"/>
              </w:rPr>
            </w:pPr>
            <w:r>
              <w:t>6</w:t>
            </w:r>
            <w:r w:rsidR="00020911">
              <w:t>-</w:t>
            </w:r>
            <w:r>
              <w:t>Minute walk distance</w:t>
            </w:r>
          </w:p>
        </w:tc>
      </w:tr>
      <w:tr w:rsidR="00324B33" w:rsidRPr="00D01DDB"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07A94E9E" w:rsidR="00324B33" w:rsidRPr="00D01DDB" w:rsidRDefault="00324B33" w:rsidP="00324B33">
            <w:pPr>
              <w:rPr>
                <w:szCs w:val="22"/>
              </w:rPr>
            </w:pPr>
            <w:r w:rsidRPr="00D01DDB">
              <w:rPr>
                <w:szCs w:val="22"/>
              </w:rPr>
              <w:t>ACM</w:t>
            </w:r>
          </w:p>
        </w:tc>
        <w:tc>
          <w:tcPr>
            <w:tcW w:w="3800" w:type="pct"/>
          </w:tcPr>
          <w:p w14:paraId="4F24A873" w14:textId="0539B5FB"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Advisory Committee on Medicines</w:t>
            </w:r>
          </w:p>
        </w:tc>
      </w:tr>
      <w:tr w:rsidR="00324B33" w:rsidRPr="00D01DDB"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6BE896BB" w:rsidR="00324B33" w:rsidRPr="00D01DDB" w:rsidRDefault="00936130" w:rsidP="00324B33">
            <w:pPr>
              <w:rPr>
                <w:szCs w:val="22"/>
              </w:rPr>
            </w:pPr>
            <w:proofErr w:type="spellStart"/>
            <w:r>
              <w:t>ActRIIA</w:t>
            </w:r>
            <w:proofErr w:type="spellEnd"/>
          </w:p>
        </w:tc>
        <w:tc>
          <w:tcPr>
            <w:tcW w:w="3800" w:type="pct"/>
          </w:tcPr>
          <w:p w14:paraId="5072E244" w14:textId="7B7C1658" w:rsidR="00324B33" w:rsidRPr="00D01DDB" w:rsidRDefault="00936130" w:rsidP="00324B33">
            <w:pPr>
              <w:cnfStyle w:val="000000000000" w:firstRow="0" w:lastRow="0" w:firstColumn="0" w:lastColumn="0" w:oddVBand="0" w:evenVBand="0" w:oddHBand="0" w:evenHBand="0" w:firstRowFirstColumn="0" w:firstRowLastColumn="0" w:lastRowFirstColumn="0" w:lastRowLastColumn="0"/>
              <w:rPr>
                <w:szCs w:val="22"/>
              </w:rPr>
            </w:pPr>
            <w:r>
              <w:t>Activin Receptor type IIA</w:t>
            </w:r>
          </w:p>
        </w:tc>
      </w:tr>
      <w:tr w:rsidR="00CE6B4F" w:rsidRPr="00D01DDB" w14:paraId="0FDA482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DDD2C8" w14:textId="7F9F86BC" w:rsidR="00CE6B4F" w:rsidRDefault="00CE6B4F" w:rsidP="00324B33">
            <w:r>
              <w:t>ADA</w:t>
            </w:r>
          </w:p>
        </w:tc>
        <w:tc>
          <w:tcPr>
            <w:tcW w:w="3800" w:type="pct"/>
          </w:tcPr>
          <w:p w14:paraId="2FEC1B26" w14:textId="57D5AFE7" w:rsidR="00CE6B4F" w:rsidRDefault="00CE6B4F" w:rsidP="00324B33">
            <w:pPr>
              <w:cnfStyle w:val="000000000000" w:firstRow="0" w:lastRow="0" w:firstColumn="0" w:lastColumn="0" w:oddVBand="0" w:evenVBand="0" w:oddHBand="0" w:evenHBand="0" w:firstRowFirstColumn="0" w:firstRowLastColumn="0" w:lastRowFirstColumn="0" w:lastRowLastColumn="0"/>
            </w:pPr>
            <w:r>
              <w:t>Antidrug antibody</w:t>
            </w:r>
          </w:p>
        </w:tc>
      </w:tr>
      <w:tr w:rsidR="009E0B6C" w:rsidRPr="00D01DDB" w14:paraId="329F16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078429" w14:textId="1FB3D472" w:rsidR="009E0B6C" w:rsidRDefault="009E0B6C" w:rsidP="00324B33">
            <w:r>
              <w:t>AE</w:t>
            </w:r>
          </w:p>
        </w:tc>
        <w:tc>
          <w:tcPr>
            <w:tcW w:w="3800" w:type="pct"/>
          </w:tcPr>
          <w:p w14:paraId="1B65FCC7" w14:textId="61010571" w:rsidR="009E0B6C" w:rsidRDefault="009E0B6C" w:rsidP="00324B33">
            <w:pPr>
              <w:cnfStyle w:val="000000000000" w:firstRow="0" w:lastRow="0" w:firstColumn="0" w:lastColumn="0" w:oddVBand="0" w:evenVBand="0" w:oddHBand="0" w:evenHBand="0" w:firstRowFirstColumn="0" w:firstRowLastColumn="0" w:lastRowFirstColumn="0" w:lastRowLastColumn="0"/>
            </w:pPr>
            <w:r>
              <w:t>Adverse event</w:t>
            </w:r>
          </w:p>
        </w:tc>
      </w:tr>
      <w:tr w:rsidR="00650454" w:rsidRPr="00D01DDB" w14:paraId="133FF39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AE69F8" w14:textId="5EBB7C06" w:rsidR="00650454" w:rsidRDefault="00650454" w:rsidP="00324B33">
            <w:r>
              <w:t>AEOI</w:t>
            </w:r>
          </w:p>
        </w:tc>
        <w:tc>
          <w:tcPr>
            <w:tcW w:w="3800" w:type="pct"/>
          </w:tcPr>
          <w:p w14:paraId="07243633" w14:textId="69CB0508" w:rsidR="00650454" w:rsidRDefault="006950C5" w:rsidP="00324B33">
            <w:pPr>
              <w:cnfStyle w:val="000000000000" w:firstRow="0" w:lastRow="0" w:firstColumn="0" w:lastColumn="0" w:oddVBand="0" w:evenVBand="0" w:oddHBand="0" w:evenHBand="0" w:firstRowFirstColumn="0" w:firstRowLastColumn="0" w:lastRowFirstColumn="0" w:lastRowLastColumn="0"/>
            </w:pPr>
            <w:r>
              <w:t>Adverse event of interest</w:t>
            </w:r>
          </w:p>
        </w:tc>
      </w:tr>
      <w:tr w:rsidR="00650454" w:rsidRPr="00D01DDB" w14:paraId="112112E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E6CB22" w14:textId="2EEC11F1" w:rsidR="00650454" w:rsidRDefault="00650454" w:rsidP="00324B33">
            <w:r>
              <w:t>AESI</w:t>
            </w:r>
          </w:p>
        </w:tc>
        <w:tc>
          <w:tcPr>
            <w:tcW w:w="3800" w:type="pct"/>
          </w:tcPr>
          <w:p w14:paraId="180BA0B6" w14:textId="4C244E4C" w:rsidR="00650454" w:rsidRDefault="0089621E" w:rsidP="00324B33">
            <w:pPr>
              <w:cnfStyle w:val="000000000000" w:firstRow="0" w:lastRow="0" w:firstColumn="0" w:lastColumn="0" w:oddVBand="0" w:evenVBand="0" w:oddHBand="0" w:evenHBand="0" w:firstRowFirstColumn="0" w:firstRowLastColumn="0" w:lastRowFirstColumn="0" w:lastRowLastColumn="0"/>
            </w:pPr>
            <w:r>
              <w:t>Adverse event of special interest</w:t>
            </w:r>
          </w:p>
        </w:tc>
      </w:tr>
      <w:tr w:rsidR="00324B33" w:rsidRPr="00D01DDB"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6D49EBE6" w:rsidR="00324B33" w:rsidRPr="00D01DDB" w:rsidRDefault="00324B33" w:rsidP="00324B33">
            <w:pPr>
              <w:rPr>
                <w:szCs w:val="22"/>
              </w:rPr>
            </w:pPr>
            <w:r w:rsidRPr="00D01DDB">
              <w:rPr>
                <w:szCs w:val="22"/>
              </w:rPr>
              <w:t>ARTG</w:t>
            </w:r>
          </w:p>
        </w:tc>
        <w:tc>
          <w:tcPr>
            <w:tcW w:w="3800" w:type="pct"/>
          </w:tcPr>
          <w:p w14:paraId="228A203A" w14:textId="47EBCFA3"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Australian Register of Therapeutic Goods</w:t>
            </w:r>
          </w:p>
        </w:tc>
      </w:tr>
      <w:tr w:rsidR="00324B33" w:rsidRPr="00D01DDB" w14:paraId="0536676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516A80" w14:textId="1329E9D5" w:rsidR="00324B33" w:rsidRPr="00D01DDB" w:rsidRDefault="00324B33" w:rsidP="00324B33">
            <w:pPr>
              <w:rPr>
                <w:szCs w:val="22"/>
              </w:rPr>
            </w:pPr>
            <w:r w:rsidRPr="00D01DDB">
              <w:rPr>
                <w:szCs w:val="22"/>
              </w:rPr>
              <w:t>ASA</w:t>
            </w:r>
          </w:p>
        </w:tc>
        <w:tc>
          <w:tcPr>
            <w:tcW w:w="3800" w:type="pct"/>
          </w:tcPr>
          <w:p w14:paraId="4E6F5284" w14:textId="21C063B1"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Australia</w:t>
            </w:r>
            <w:r w:rsidR="00873D7A">
              <w:rPr>
                <w:szCs w:val="22"/>
              </w:rPr>
              <w:noBreakHyphen/>
            </w:r>
            <w:r w:rsidRPr="00D01DDB">
              <w:rPr>
                <w:szCs w:val="22"/>
              </w:rPr>
              <w:t>specific annex</w:t>
            </w:r>
          </w:p>
        </w:tc>
      </w:tr>
      <w:tr w:rsidR="00946D49" w:rsidRPr="00D01DDB" w14:paraId="75DF107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F2FFA7" w14:textId="64500B0C" w:rsidR="00946D49" w:rsidRPr="00D01DDB" w:rsidRDefault="00946D49" w:rsidP="00324B33">
            <w:pPr>
              <w:rPr>
                <w:szCs w:val="22"/>
              </w:rPr>
            </w:pPr>
            <w:r>
              <w:rPr>
                <w:szCs w:val="22"/>
              </w:rPr>
              <w:t>AUC</w:t>
            </w:r>
          </w:p>
        </w:tc>
        <w:tc>
          <w:tcPr>
            <w:tcW w:w="3800" w:type="pct"/>
          </w:tcPr>
          <w:p w14:paraId="68468EBE" w14:textId="318A110D" w:rsidR="00946D49" w:rsidRPr="00D01DDB" w:rsidRDefault="00735C0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Area under the curve</w:t>
            </w:r>
          </w:p>
        </w:tc>
      </w:tr>
      <w:tr w:rsidR="00B659B3" w:rsidRPr="00D01DDB" w14:paraId="261BB5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F724CE" w14:textId="5318BE97" w:rsidR="00B659B3" w:rsidRDefault="00B659B3" w:rsidP="00324B33">
            <w:pPr>
              <w:rPr>
                <w:szCs w:val="22"/>
              </w:rPr>
            </w:pPr>
            <w:r>
              <w:rPr>
                <w:szCs w:val="22"/>
              </w:rPr>
              <w:t>BMPR2</w:t>
            </w:r>
          </w:p>
        </w:tc>
        <w:tc>
          <w:tcPr>
            <w:tcW w:w="3800" w:type="pct"/>
          </w:tcPr>
          <w:p w14:paraId="234B983A" w14:textId="327CB496" w:rsidR="00B659B3" w:rsidRDefault="00B659B3" w:rsidP="00324B33">
            <w:pPr>
              <w:cnfStyle w:val="000000000000" w:firstRow="0" w:lastRow="0" w:firstColumn="0" w:lastColumn="0" w:oddVBand="0" w:evenVBand="0" w:oddHBand="0" w:evenHBand="0" w:firstRowFirstColumn="0" w:firstRowLastColumn="0" w:lastRowFirstColumn="0" w:lastRowLastColumn="0"/>
              <w:rPr>
                <w:szCs w:val="22"/>
              </w:rPr>
            </w:pPr>
            <w:r>
              <w:t xml:space="preserve">Bone morphogenetic protein receptor type II </w:t>
            </w:r>
          </w:p>
        </w:tc>
      </w:tr>
      <w:tr w:rsidR="001F51EB" w:rsidRPr="00D01DDB" w14:paraId="140B02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99B755" w14:textId="2D9AEC93" w:rsidR="001F51EB" w:rsidRDefault="001F51EB" w:rsidP="00324B33">
            <w:pPr>
              <w:rPr>
                <w:szCs w:val="22"/>
              </w:rPr>
            </w:pPr>
            <w:r>
              <w:rPr>
                <w:szCs w:val="22"/>
              </w:rPr>
              <w:t>CL</w:t>
            </w:r>
          </w:p>
        </w:tc>
        <w:tc>
          <w:tcPr>
            <w:tcW w:w="3800" w:type="pct"/>
          </w:tcPr>
          <w:p w14:paraId="5C1B07E7" w14:textId="6939452A" w:rsidR="001F51EB" w:rsidRDefault="001F51E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Clearance</w:t>
            </w:r>
          </w:p>
        </w:tc>
      </w:tr>
      <w:tr w:rsidR="00395140" w:rsidRPr="00D01DDB" w14:paraId="7694A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C18809" w14:textId="14711A93" w:rsidR="00395140" w:rsidRPr="00D01DDB" w:rsidRDefault="00395140" w:rsidP="00324B33">
            <w:pPr>
              <w:rPr>
                <w:szCs w:val="22"/>
              </w:rPr>
            </w:pPr>
            <w:r w:rsidRPr="00D01DDB">
              <w:rPr>
                <w:szCs w:val="22"/>
              </w:rPr>
              <w:t>CMI</w:t>
            </w:r>
          </w:p>
        </w:tc>
        <w:tc>
          <w:tcPr>
            <w:tcW w:w="3800" w:type="pct"/>
          </w:tcPr>
          <w:p w14:paraId="5D8C9DF5" w14:textId="60C23379"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Consumer Medicines Information</w:t>
            </w:r>
          </w:p>
        </w:tc>
      </w:tr>
      <w:tr w:rsidR="00AF5C65" w:rsidRPr="00D01DDB" w14:paraId="5B7BD3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9463A7" w14:textId="54BB5913" w:rsidR="00AF5C65" w:rsidRPr="00D01DDB" w:rsidRDefault="00AF5C65" w:rsidP="00324B33">
            <w:pPr>
              <w:rPr>
                <w:szCs w:val="22"/>
              </w:rPr>
            </w:pPr>
            <w:r>
              <w:rPr>
                <w:szCs w:val="22"/>
              </w:rPr>
              <w:t>CTCAE</w:t>
            </w:r>
          </w:p>
        </w:tc>
        <w:tc>
          <w:tcPr>
            <w:tcW w:w="3800" w:type="pct"/>
          </w:tcPr>
          <w:p w14:paraId="0BBFE333" w14:textId="387642E3" w:rsidR="00AF5C65" w:rsidRPr="00D01DDB" w:rsidRDefault="00AF5C65" w:rsidP="00324B33">
            <w:pPr>
              <w:cnfStyle w:val="000000000000" w:firstRow="0" w:lastRow="0" w:firstColumn="0" w:lastColumn="0" w:oddVBand="0" w:evenVBand="0" w:oddHBand="0" w:evenHBand="0" w:firstRowFirstColumn="0" w:firstRowLastColumn="0" w:lastRowFirstColumn="0" w:lastRowLastColumn="0"/>
              <w:rPr>
                <w:szCs w:val="22"/>
              </w:rPr>
            </w:pPr>
            <w:r w:rsidRPr="00007456">
              <w:t>Common Terminology Criteria for Adverse Events</w:t>
            </w:r>
          </w:p>
        </w:tc>
      </w:tr>
      <w:tr w:rsidR="00324B33" w:rsidRPr="00D01DDB" w14:paraId="7B873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CE05B04" w14:textId="0D6731AA" w:rsidR="00324B33" w:rsidRPr="00D01DDB" w:rsidRDefault="00324B33" w:rsidP="00324B33">
            <w:pPr>
              <w:rPr>
                <w:szCs w:val="22"/>
              </w:rPr>
            </w:pPr>
            <w:r w:rsidRPr="00D01DDB">
              <w:rPr>
                <w:szCs w:val="22"/>
              </w:rPr>
              <w:t>DLP</w:t>
            </w:r>
          </w:p>
        </w:tc>
        <w:tc>
          <w:tcPr>
            <w:tcW w:w="3800" w:type="pct"/>
          </w:tcPr>
          <w:p w14:paraId="26109D0B" w14:textId="4AE8F60A"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Data lock point</w:t>
            </w:r>
          </w:p>
        </w:tc>
      </w:tr>
      <w:tr w:rsidR="00735C09" w:rsidRPr="00D01DDB" w14:paraId="2A2A613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F9163FC" w14:textId="1C6858F2" w:rsidR="00735C09" w:rsidRPr="00D01DDB" w:rsidRDefault="00735C09" w:rsidP="00324B33">
            <w:pPr>
              <w:rPr>
                <w:szCs w:val="22"/>
              </w:rPr>
            </w:pPr>
            <w:r>
              <w:t>ER</w:t>
            </w:r>
            <w:r>
              <w:rPr>
                <w:vertAlign w:val="subscript"/>
              </w:rPr>
              <w:t>AUC</w:t>
            </w:r>
          </w:p>
        </w:tc>
        <w:tc>
          <w:tcPr>
            <w:tcW w:w="3800" w:type="pct"/>
          </w:tcPr>
          <w:p w14:paraId="17B587E0" w14:textId="6E2027D5" w:rsidR="00735C09" w:rsidRPr="00D01DDB" w:rsidRDefault="00735C09"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Exposure ratio by Area under the curve</w:t>
            </w:r>
          </w:p>
        </w:tc>
      </w:tr>
      <w:tr w:rsidR="00EF05D2" w:rsidRPr="00D01DDB" w14:paraId="78B6A74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C5141E3" w14:textId="47A6F400" w:rsidR="00EF05D2" w:rsidRDefault="00EF05D2" w:rsidP="00324B33">
            <w:r w:rsidRPr="00EF05D2">
              <w:t>E−R</w:t>
            </w:r>
          </w:p>
        </w:tc>
        <w:tc>
          <w:tcPr>
            <w:tcW w:w="3800" w:type="pct"/>
          </w:tcPr>
          <w:p w14:paraId="04598101" w14:textId="430A6C46" w:rsidR="00EF05D2" w:rsidRDefault="00EF05D2" w:rsidP="00324B33">
            <w:pPr>
              <w:cnfStyle w:val="000000000000" w:firstRow="0" w:lastRow="0" w:firstColumn="0" w:lastColumn="0" w:oddVBand="0" w:evenVBand="0" w:oddHBand="0" w:evenHBand="0" w:firstRowFirstColumn="0" w:firstRowLastColumn="0" w:lastRowFirstColumn="0" w:lastRowLastColumn="0"/>
              <w:rPr>
                <w:szCs w:val="22"/>
              </w:rPr>
            </w:pPr>
            <w:r>
              <w:t>E</w:t>
            </w:r>
            <w:r w:rsidRPr="00EF05D2">
              <w:t>xposure-response</w:t>
            </w:r>
          </w:p>
        </w:tc>
      </w:tr>
      <w:tr w:rsidR="00370555" w:rsidRPr="00D01DDB" w14:paraId="0A9E837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0B2F41B" w14:textId="6188A26D" w:rsidR="00370555" w:rsidRDefault="00370555" w:rsidP="00324B33">
            <w:r>
              <w:t>FAS</w:t>
            </w:r>
          </w:p>
        </w:tc>
        <w:tc>
          <w:tcPr>
            <w:tcW w:w="3800" w:type="pct"/>
          </w:tcPr>
          <w:p w14:paraId="4C4B94F6" w14:textId="25448051" w:rsidR="00370555" w:rsidRDefault="00370555" w:rsidP="00324B33">
            <w:pPr>
              <w:cnfStyle w:val="000000000000" w:firstRow="0" w:lastRow="0" w:firstColumn="0" w:lastColumn="0" w:oddVBand="0" w:evenVBand="0" w:oddHBand="0" w:evenHBand="0" w:firstRowFirstColumn="0" w:firstRowLastColumn="0" w:lastRowFirstColumn="0" w:lastRowLastColumn="0"/>
              <w:rPr>
                <w:szCs w:val="22"/>
              </w:rPr>
            </w:pPr>
            <w:r>
              <w:t>Full analysis set</w:t>
            </w:r>
          </w:p>
        </w:tc>
      </w:tr>
      <w:tr w:rsidR="00D05D94" w:rsidRPr="00D01DDB" w14:paraId="7F1BB0B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B51A2CF" w14:textId="579C54B3" w:rsidR="00D05D94" w:rsidRDefault="00D05D94" w:rsidP="00324B33">
            <w:r>
              <w:t>FC</w:t>
            </w:r>
          </w:p>
        </w:tc>
        <w:tc>
          <w:tcPr>
            <w:tcW w:w="3800" w:type="pct"/>
          </w:tcPr>
          <w:p w14:paraId="55DFA076" w14:textId="4B6CCB0A" w:rsidR="00D05D94" w:rsidRDefault="00D05D94" w:rsidP="00324B33">
            <w:pPr>
              <w:cnfStyle w:val="000000000000" w:firstRow="0" w:lastRow="0" w:firstColumn="0" w:lastColumn="0" w:oddVBand="0" w:evenVBand="0" w:oddHBand="0" w:evenHBand="0" w:firstRowFirstColumn="0" w:firstRowLastColumn="0" w:lastRowFirstColumn="0" w:lastRowLastColumn="0"/>
            </w:pPr>
            <w:r w:rsidRPr="007655FC">
              <w:rPr>
                <w:szCs w:val="22"/>
              </w:rPr>
              <w:t>Functional Class</w:t>
            </w:r>
          </w:p>
        </w:tc>
      </w:tr>
      <w:tr w:rsidR="00402CAF" w:rsidRPr="00D01DDB" w14:paraId="6BBDBD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BC7E46" w14:textId="30780002" w:rsidR="00402CAF" w:rsidRDefault="00402CAF" w:rsidP="00324B33">
            <w:r>
              <w:t>FSH</w:t>
            </w:r>
          </w:p>
        </w:tc>
        <w:tc>
          <w:tcPr>
            <w:tcW w:w="3800" w:type="pct"/>
          </w:tcPr>
          <w:p w14:paraId="4D45042B" w14:textId="340CB987" w:rsidR="00402CAF" w:rsidRDefault="00402CAF" w:rsidP="00324B33">
            <w:pPr>
              <w:cnfStyle w:val="000000000000" w:firstRow="0" w:lastRow="0" w:firstColumn="0" w:lastColumn="0" w:oddVBand="0" w:evenVBand="0" w:oddHBand="0" w:evenHBand="0" w:firstRowFirstColumn="0" w:firstRowLastColumn="0" w:lastRowFirstColumn="0" w:lastRowLastColumn="0"/>
              <w:rPr>
                <w:szCs w:val="22"/>
              </w:rPr>
            </w:pPr>
            <w:r>
              <w:t>Follicle-stimulating hormone</w:t>
            </w:r>
          </w:p>
        </w:tc>
      </w:tr>
      <w:tr w:rsidR="0001586E" w:rsidRPr="00D01DDB" w14:paraId="30E0422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2E07B3F" w14:textId="4C343F11" w:rsidR="0001586E" w:rsidRDefault="0001586E" w:rsidP="00324B33">
            <w:r>
              <w:t>IgG</w:t>
            </w:r>
          </w:p>
        </w:tc>
        <w:tc>
          <w:tcPr>
            <w:tcW w:w="3800" w:type="pct"/>
          </w:tcPr>
          <w:p w14:paraId="68E4E98A" w14:textId="2473EC0C" w:rsidR="0001586E" w:rsidRDefault="0001586E" w:rsidP="00324B33">
            <w:pPr>
              <w:cnfStyle w:val="000000000000" w:firstRow="0" w:lastRow="0" w:firstColumn="0" w:lastColumn="0" w:oddVBand="0" w:evenVBand="0" w:oddHBand="0" w:evenHBand="0" w:firstRowFirstColumn="0" w:firstRowLastColumn="0" w:lastRowFirstColumn="0" w:lastRowLastColumn="0"/>
            </w:pPr>
            <w:r>
              <w:t>I</w:t>
            </w:r>
            <w:r w:rsidRPr="0001586E">
              <w:t>mmunoglobulin G</w:t>
            </w:r>
          </w:p>
        </w:tc>
      </w:tr>
      <w:tr w:rsidR="008B4CA5" w:rsidRPr="00D01DDB" w14:paraId="2576988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5D5E9A5" w14:textId="195C1207" w:rsidR="008B4CA5" w:rsidRDefault="008B4CA5" w:rsidP="00324B33">
            <w:r>
              <w:t>LS</w:t>
            </w:r>
          </w:p>
        </w:tc>
        <w:tc>
          <w:tcPr>
            <w:tcW w:w="3800" w:type="pct"/>
          </w:tcPr>
          <w:p w14:paraId="3A713E7A" w14:textId="2344298A" w:rsidR="008B4CA5" w:rsidRDefault="008B4CA5" w:rsidP="00324B33">
            <w:pPr>
              <w:cnfStyle w:val="000000000000" w:firstRow="0" w:lastRow="0" w:firstColumn="0" w:lastColumn="0" w:oddVBand="0" w:evenVBand="0" w:oddHBand="0" w:evenHBand="0" w:firstRowFirstColumn="0" w:firstRowLastColumn="0" w:lastRowFirstColumn="0" w:lastRowLastColumn="0"/>
            </w:pPr>
            <w:r>
              <w:t>L</w:t>
            </w:r>
            <w:r w:rsidRPr="008B4CA5">
              <w:t>east squares</w:t>
            </w:r>
          </w:p>
        </w:tc>
      </w:tr>
      <w:tr w:rsidR="00D01758" w:rsidRPr="00D01DDB" w14:paraId="66AC37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0A141C" w14:textId="770137A3" w:rsidR="00D01758" w:rsidRPr="00D01DDB" w:rsidRDefault="00D01758" w:rsidP="00324B33">
            <w:pPr>
              <w:rPr>
                <w:szCs w:val="22"/>
              </w:rPr>
            </w:pPr>
            <w:r w:rsidRPr="00D01758">
              <w:rPr>
                <w:szCs w:val="22"/>
              </w:rPr>
              <w:t>MK7962</w:t>
            </w:r>
          </w:p>
        </w:tc>
        <w:tc>
          <w:tcPr>
            <w:tcW w:w="3800" w:type="pct"/>
          </w:tcPr>
          <w:p w14:paraId="0EB23BC9" w14:textId="100E52F3" w:rsidR="00D01758" w:rsidRPr="00D01DDB" w:rsidRDefault="00D01758"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C</w:t>
            </w:r>
            <w:r w:rsidRPr="00D01758">
              <w:rPr>
                <w:szCs w:val="22"/>
              </w:rPr>
              <w:t xml:space="preserve">ompany product code </w:t>
            </w:r>
            <w:r w:rsidR="00E34160">
              <w:rPr>
                <w:szCs w:val="22"/>
              </w:rPr>
              <w:t>for sotatercept</w:t>
            </w:r>
          </w:p>
        </w:tc>
      </w:tr>
      <w:tr w:rsidR="007F08DC" w:rsidRPr="00D01DDB" w14:paraId="268E20E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B2AAA8" w14:textId="5011A26E" w:rsidR="007F08DC" w:rsidRPr="00D01758" w:rsidRDefault="007F08DC" w:rsidP="00324B33">
            <w:pPr>
              <w:rPr>
                <w:szCs w:val="22"/>
              </w:rPr>
            </w:pPr>
            <w:r>
              <w:rPr>
                <w:szCs w:val="22"/>
              </w:rPr>
              <w:t>Nab</w:t>
            </w:r>
          </w:p>
        </w:tc>
        <w:tc>
          <w:tcPr>
            <w:tcW w:w="3800" w:type="pct"/>
          </w:tcPr>
          <w:p w14:paraId="6349F022" w14:textId="41A323AD" w:rsidR="007F08DC" w:rsidRDefault="007F08DC" w:rsidP="00324B33">
            <w:pPr>
              <w:cnfStyle w:val="000000000000" w:firstRow="0" w:lastRow="0" w:firstColumn="0" w:lastColumn="0" w:oddVBand="0" w:evenVBand="0" w:oddHBand="0" w:evenHBand="0" w:firstRowFirstColumn="0" w:firstRowLastColumn="0" w:lastRowFirstColumn="0" w:lastRowLastColumn="0"/>
              <w:rPr>
                <w:szCs w:val="22"/>
              </w:rPr>
            </w:pPr>
            <w:r>
              <w:t>Neutralising antibody</w:t>
            </w:r>
          </w:p>
        </w:tc>
      </w:tr>
      <w:tr w:rsidR="00EC3100" w:rsidRPr="00D01DDB" w14:paraId="14C8E66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36A5B3" w14:textId="4B4C0E00" w:rsidR="00EC3100" w:rsidRDefault="00EC3100" w:rsidP="00324B33">
            <w:pPr>
              <w:rPr>
                <w:szCs w:val="22"/>
              </w:rPr>
            </w:pPr>
            <w:r>
              <w:rPr>
                <w:szCs w:val="22"/>
              </w:rPr>
              <w:t>NT-</w:t>
            </w:r>
            <w:proofErr w:type="spellStart"/>
            <w:r>
              <w:rPr>
                <w:szCs w:val="22"/>
              </w:rPr>
              <w:t>proBNP</w:t>
            </w:r>
            <w:proofErr w:type="spellEnd"/>
          </w:p>
        </w:tc>
        <w:tc>
          <w:tcPr>
            <w:tcW w:w="3800" w:type="pct"/>
          </w:tcPr>
          <w:p w14:paraId="597FBED5" w14:textId="11A11F8F" w:rsidR="00EC3100" w:rsidRDefault="00EC3100" w:rsidP="00324B33">
            <w:pPr>
              <w:cnfStyle w:val="000000000000" w:firstRow="0" w:lastRow="0" w:firstColumn="0" w:lastColumn="0" w:oddVBand="0" w:evenVBand="0" w:oddHBand="0" w:evenHBand="0" w:firstRowFirstColumn="0" w:firstRowLastColumn="0" w:lastRowFirstColumn="0" w:lastRowLastColumn="0"/>
            </w:pPr>
            <w:r w:rsidRPr="00EC3100">
              <w:t>N-terminal prohormone of brain natriuretic peptide</w:t>
            </w:r>
          </w:p>
        </w:tc>
      </w:tr>
      <w:tr w:rsidR="00DC5737" w:rsidRPr="00D01DDB" w14:paraId="423A91A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6C6275" w14:textId="0807199D" w:rsidR="00DC5737" w:rsidRPr="00D01DDB" w:rsidRDefault="00407231" w:rsidP="00324B33">
            <w:pPr>
              <w:rPr>
                <w:szCs w:val="22"/>
              </w:rPr>
            </w:pPr>
            <w:r>
              <w:rPr>
                <w:szCs w:val="22"/>
              </w:rPr>
              <w:t>PAH</w:t>
            </w:r>
          </w:p>
        </w:tc>
        <w:tc>
          <w:tcPr>
            <w:tcW w:w="3800" w:type="pct"/>
          </w:tcPr>
          <w:p w14:paraId="0609D4EF" w14:textId="21B21D54" w:rsidR="00DC5737" w:rsidRPr="00D01DDB" w:rsidRDefault="00407231"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P</w:t>
            </w:r>
            <w:r w:rsidRPr="007655FC">
              <w:rPr>
                <w:szCs w:val="22"/>
              </w:rPr>
              <w:t>ulmonary arterial hypertension</w:t>
            </w:r>
          </w:p>
        </w:tc>
      </w:tr>
      <w:tr w:rsidR="00BB2404" w:rsidRPr="00D01DDB" w14:paraId="76569F8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E13D7D" w14:textId="38572A17" w:rsidR="00BB2404" w:rsidRDefault="00BB2404" w:rsidP="00324B33">
            <w:pPr>
              <w:rPr>
                <w:szCs w:val="22"/>
              </w:rPr>
            </w:pPr>
            <w:r>
              <w:rPr>
                <w:szCs w:val="22"/>
              </w:rPr>
              <w:t>PAH-CTD</w:t>
            </w:r>
          </w:p>
        </w:tc>
        <w:tc>
          <w:tcPr>
            <w:tcW w:w="3800" w:type="pct"/>
          </w:tcPr>
          <w:p w14:paraId="1F00A214" w14:textId="26833877" w:rsidR="00BB2404" w:rsidRDefault="00BB2404" w:rsidP="00324B33">
            <w:pPr>
              <w:cnfStyle w:val="000000000000" w:firstRow="0" w:lastRow="0" w:firstColumn="0" w:lastColumn="0" w:oddVBand="0" w:evenVBand="0" w:oddHBand="0" w:evenHBand="0" w:firstRowFirstColumn="0" w:firstRowLastColumn="0" w:lastRowFirstColumn="0" w:lastRowLastColumn="0"/>
              <w:rPr>
                <w:szCs w:val="22"/>
              </w:rPr>
            </w:pPr>
            <w:r>
              <w:t>Pulmonary arterial hypertension associated with connective tissue disease</w:t>
            </w:r>
          </w:p>
        </w:tc>
      </w:tr>
      <w:tr w:rsidR="00CD6BA9" w:rsidRPr="00D01DDB" w14:paraId="349F6FC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A3696DC" w14:textId="2EEFEAE9" w:rsidR="00CD6BA9" w:rsidRDefault="00CD6BA9" w:rsidP="00324B33">
            <w:pPr>
              <w:rPr>
                <w:szCs w:val="22"/>
              </w:rPr>
            </w:pPr>
            <w:r w:rsidRPr="00CD6BA9">
              <w:rPr>
                <w:szCs w:val="22"/>
              </w:rPr>
              <w:t>PAH</w:t>
            </w:r>
            <w:r w:rsidR="008B4CA5">
              <w:rPr>
                <w:szCs w:val="22"/>
              </w:rPr>
              <w:t>-</w:t>
            </w:r>
            <w:r w:rsidRPr="00CD6BA9">
              <w:rPr>
                <w:szCs w:val="22"/>
              </w:rPr>
              <w:t>SYMPACT</w:t>
            </w:r>
          </w:p>
        </w:tc>
        <w:tc>
          <w:tcPr>
            <w:tcW w:w="3800" w:type="pct"/>
          </w:tcPr>
          <w:p w14:paraId="5B4657B4" w14:textId="347974CB" w:rsidR="00CD6BA9" w:rsidRDefault="00CD6BA9" w:rsidP="00324B33">
            <w:pPr>
              <w:cnfStyle w:val="000000000000" w:firstRow="0" w:lastRow="0" w:firstColumn="0" w:lastColumn="0" w:oddVBand="0" w:evenVBand="0" w:oddHBand="0" w:evenHBand="0" w:firstRowFirstColumn="0" w:firstRowLastColumn="0" w:lastRowFirstColumn="0" w:lastRowLastColumn="0"/>
            </w:pPr>
            <w:r w:rsidRPr="00CD6BA9">
              <w:t>Pulmonary Arterial Hypertension Symptoms and Impact Questionnaire</w:t>
            </w:r>
          </w:p>
        </w:tc>
      </w:tr>
      <w:tr w:rsidR="00395140" w:rsidRPr="00D01DDB" w14:paraId="2756B6F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2AA960E" w14:textId="72403C37" w:rsidR="00395140" w:rsidRPr="00D01DDB" w:rsidRDefault="00395140" w:rsidP="00324B33">
            <w:pPr>
              <w:rPr>
                <w:szCs w:val="22"/>
              </w:rPr>
            </w:pPr>
            <w:r w:rsidRPr="00D01DDB">
              <w:rPr>
                <w:szCs w:val="22"/>
              </w:rPr>
              <w:t>PI</w:t>
            </w:r>
          </w:p>
        </w:tc>
        <w:tc>
          <w:tcPr>
            <w:tcW w:w="3800" w:type="pct"/>
          </w:tcPr>
          <w:p w14:paraId="354B5DB5" w14:textId="3DAE38C1" w:rsidR="00395140" w:rsidRPr="00D01DDB" w:rsidRDefault="00395140"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Product Information</w:t>
            </w:r>
          </w:p>
        </w:tc>
      </w:tr>
      <w:tr w:rsidR="000436E3" w:rsidRPr="00D01DDB" w14:paraId="35093CC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DC3640" w14:textId="651CFB7C" w:rsidR="000436E3" w:rsidRPr="00D01DDB" w:rsidRDefault="009E4D34" w:rsidP="00324B33">
            <w:pPr>
              <w:rPr>
                <w:szCs w:val="22"/>
              </w:rPr>
            </w:pPr>
            <w:r>
              <w:rPr>
                <w:szCs w:val="22"/>
              </w:rPr>
              <w:t>PK</w:t>
            </w:r>
          </w:p>
        </w:tc>
        <w:tc>
          <w:tcPr>
            <w:tcW w:w="3800" w:type="pct"/>
          </w:tcPr>
          <w:p w14:paraId="701A1E4C" w14:textId="17E9E6E8" w:rsidR="000436E3" w:rsidRPr="00D01DDB" w:rsidRDefault="009E4D34" w:rsidP="00324B33">
            <w:pPr>
              <w:cnfStyle w:val="000000000000" w:firstRow="0" w:lastRow="0" w:firstColumn="0" w:lastColumn="0" w:oddVBand="0" w:evenVBand="0" w:oddHBand="0" w:evenHBand="0" w:firstRowFirstColumn="0" w:firstRowLastColumn="0" w:lastRowFirstColumn="0" w:lastRowLastColumn="0"/>
              <w:rPr>
                <w:szCs w:val="22"/>
              </w:rPr>
            </w:pPr>
            <w:r>
              <w:t>Pharmacokinetics</w:t>
            </w:r>
          </w:p>
        </w:tc>
      </w:tr>
      <w:tr w:rsidR="00490C9D" w:rsidRPr="00D01DDB" w14:paraId="516AA02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ECDD14" w14:textId="60820934" w:rsidR="00490C9D" w:rsidRDefault="00490C9D" w:rsidP="00324B33">
            <w:pPr>
              <w:rPr>
                <w:szCs w:val="22"/>
              </w:rPr>
            </w:pPr>
            <w:proofErr w:type="spellStart"/>
            <w:r>
              <w:rPr>
                <w:szCs w:val="22"/>
              </w:rPr>
              <w:lastRenderedPageBreak/>
              <w:t>popPK</w:t>
            </w:r>
            <w:proofErr w:type="spellEnd"/>
          </w:p>
        </w:tc>
        <w:tc>
          <w:tcPr>
            <w:tcW w:w="3800" w:type="pct"/>
          </w:tcPr>
          <w:p w14:paraId="15EA1D16" w14:textId="485E92B7" w:rsidR="00490C9D" w:rsidRDefault="00490C9D" w:rsidP="00324B33">
            <w:pPr>
              <w:cnfStyle w:val="000000000000" w:firstRow="0" w:lastRow="0" w:firstColumn="0" w:lastColumn="0" w:oddVBand="0" w:evenVBand="0" w:oddHBand="0" w:evenHBand="0" w:firstRowFirstColumn="0" w:firstRowLastColumn="0" w:lastRowFirstColumn="0" w:lastRowLastColumn="0"/>
            </w:pPr>
            <w:r>
              <w:t>Population pharmacokinetics</w:t>
            </w:r>
          </w:p>
        </w:tc>
      </w:tr>
      <w:tr w:rsidR="00A704DC" w:rsidRPr="00D01DDB" w14:paraId="3D3C703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6FC5D65" w14:textId="2915A0B8" w:rsidR="00A704DC" w:rsidRPr="00D01DDB" w:rsidRDefault="00A704DC" w:rsidP="00A704DC">
            <w:pPr>
              <w:rPr>
                <w:szCs w:val="22"/>
              </w:rPr>
            </w:pPr>
            <w:r w:rsidRPr="00D01DDB">
              <w:rPr>
                <w:szCs w:val="22"/>
              </w:rPr>
              <w:t>PSUR</w:t>
            </w:r>
          </w:p>
        </w:tc>
        <w:tc>
          <w:tcPr>
            <w:tcW w:w="3800" w:type="pct"/>
          </w:tcPr>
          <w:p w14:paraId="4A97D112" w14:textId="3DC38D8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Periodic safety update report</w:t>
            </w:r>
          </w:p>
        </w:tc>
      </w:tr>
      <w:tr w:rsidR="008B1FE4" w:rsidRPr="00D01DDB" w14:paraId="5F4FCC8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958CFD" w14:textId="15C5A18B" w:rsidR="008B1FE4" w:rsidRPr="00D01DDB" w:rsidRDefault="008B1FE4" w:rsidP="00A704DC">
            <w:pPr>
              <w:rPr>
                <w:szCs w:val="22"/>
              </w:rPr>
            </w:pPr>
            <w:r>
              <w:rPr>
                <w:szCs w:val="22"/>
              </w:rPr>
              <w:t>PVR</w:t>
            </w:r>
          </w:p>
        </w:tc>
        <w:tc>
          <w:tcPr>
            <w:tcW w:w="3800" w:type="pct"/>
          </w:tcPr>
          <w:p w14:paraId="584EBA59" w14:textId="67826D74" w:rsidR="008B1FE4" w:rsidRPr="00D01DDB" w:rsidRDefault="008B1FE4" w:rsidP="00A704DC">
            <w:pPr>
              <w:cnfStyle w:val="000000000000" w:firstRow="0" w:lastRow="0" w:firstColumn="0" w:lastColumn="0" w:oddVBand="0" w:evenVBand="0" w:oddHBand="0" w:evenHBand="0" w:firstRowFirstColumn="0" w:firstRowLastColumn="0" w:lastRowFirstColumn="0" w:lastRowLastColumn="0"/>
              <w:rPr>
                <w:szCs w:val="22"/>
              </w:rPr>
            </w:pPr>
            <w:r>
              <w:t>P</w:t>
            </w:r>
            <w:r w:rsidRPr="008B1FE4">
              <w:t>ulmonary vascular resistance</w:t>
            </w:r>
          </w:p>
        </w:tc>
      </w:tr>
      <w:tr w:rsidR="00A704DC" w:rsidRPr="00D01DDB" w14:paraId="07F369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9390BCA" w14:textId="201D691B" w:rsidR="00A704DC" w:rsidRPr="00D01DDB" w:rsidRDefault="00A704DC" w:rsidP="00A704DC">
            <w:pPr>
              <w:rPr>
                <w:szCs w:val="22"/>
              </w:rPr>
            </w:pPr>
            <w:r w:rsidRPr="00D01DDB">
              <w:rPr>
                <w:szCs w:val="22"/>
              </w:rPr>
              <w:t>RMP</w:t>
            </w:r>
          </w:p>
        </w:tc>
        <w:tc>
          <w:tcPr>
            <w:tcW w:w="3800" w:type="pct"/>
          </w:tcPr>
          <w:p w14:paraId="2C862F75" w14:textId="2355E842"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Risk management plan</w:t>
            </w:r>
          </w:p>
        </w:tc>
      </w:tr>
      <w:tr w:rsidR="00B4112F" w:rsidRPr="00D01DDB" w14:paraId="70C454C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8F9C85" w14:textId="1E88A12D" w:rsidR="00B4112F" w:rsidRPr="00D01DDB" w:rsidRDefault="00B4112F" w:rsidP="00A704DC">
            <w:pPr>
              <w:rPr>
                <w:szCs w:val="22"/>
              </w:rPr>
            </w:pPr>
            <w:r>
              <w:rPr>
                <w:szCs w:val="22"/>
              </w:rPr>
              <w:t>SAE</w:t>
            </w:r>
          </w:p>
        </w:tc>
        <w:tc>
          <w:tcPr>
            <w:tcW w:w="3800" w:type="pct"/>
          </w:tcPr>
          <w:p w14:paraId="3F746E9D" w14:textId="7C4E0E81" w:rsidR="00B4112F" w:rsidRPr="00D01DDB" w:rsidRDefault="00B4112F" w:rsidP="00A704DC">
            <w:pPr>
              <w:cnfStyle w:val="000000000000" w:firstRow="0" w:lastRow="0" w:firstColumn="0" w:lastColumn="0" w:oddVBand="0" w:evenVBand="0" w:oddHBand="0" w:evenHBand="0" w:firstRowFirstColumn="0" w:firstRowLastColumn="0" w:lastRowFirstColumn="0" w:lastRowLastColumn="0"/>
              <w:rPr>
                <w:szCs w:val="22"/>
              </w:rPr>
            </w:pPr>
            <w:r>
              <w:t>Serious adverse events</w:t>
            </w:r>
          </w:p>
        </w:tc>
      </w:tr>
      <w:tr w:rsidR="007E00B4" w:rsidRPr="00D01DDB" w14:paraId="28D3034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9BFBE69" w14:textId="69688245" w:rsidR="007E00B4" w:rsidRPr="007E00B4" w:rsidRDefault="007E00B4" w:rsidP="00A704DC">
            <w:pPr>
              <w:rPr>
                <w:szCs w:val="22"/>
              </w:rPr>
            </w:pPr>
            <w:r w:rsidRPr="007E00B4">
              <w:t>SUR1 [or 2]</w:t>
            </w:r>
          </w:p>
        </w:tc>
        <w:tc>
          <w:tcPr>
            <w:tcW w:w="3800" w:type="pct"/>
          </w:tcPr>
          <w:p w14:paraId="1BF88A01" w14:textId="70135FAB" w:rsidR="007E00B4" w:rsidRDefault="007E00B4" w:rsidP="00A704DC">
            <w:pPr>
              <w:cnfStyle w:val="000000000000" w:firstRow="0" w:lastRow="0" w:firstColumn="0" w:lastColumn="0" w:oddVBand="0" w:evenVBand="0" w:oddHBand="0" w:evenHBand="0" w:firstRowFirstColumn="0" w:firstRowLastColumn="0" w:lastRowFirstColumn="0" w:lastRowLastColumn="0"/>
            </w:pPr>
            <w:r w:rsidRPr="007E00B4">
              <w:t>Safety updated report 1 [or 2]</w:t>
            </w:r>
          </w:p>
        </w:tc>
      </w:tr>
      <w:tr w:rsidR="00ED1333" w:rsidRPr="00D01DDB" w14:paraId="36D217E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26261F" w14:textId="1769A2F7" w:rsidR="00ED1333" w:rsidRPr="00D01DDB" w:rsidRDefault="00A153C5" w:rsidP="00A704DC">
            <w:pPr>
              <w:rPr>
                <w:szCs w:val="22"/>
              </w:rPr>
            </w:pPr>
            <w:r>
              <w:t>t</w:t>
            </w:r>
            <w:r w:rsidR="00ED1333" w:rsidRPr="00A153C5">
              <w:rPr>
                <w:vertAlign w:val="subscript"/>
              </w:rPr>
              <w:t>1/2</w:t>
            </w:r>
          </w:p>
        </w:tc>
        <w:tc>
          <w:tcPr>
            <w:tcW w:w="3800" w:type="pct"/>
          </w:tcPr>
          <w:p w14:paraId="4391435D" w14:textId="032CA69E" w:rsidR="00ED1333" w:rsidRPr="00D01DDB" w:rsidRDefault="00A153C5" w:rsidP="00A704DC">
            <w:pPr>
              <w:cnfStyle w:val="000000000000" w:firstRow="0" w:lastRow="0" w:firstColumn="0" w:lastColumn="0" w:oddVBand="0" w:evenVBand="0" w:oddHBand="0" w:evenHBand="0" w:firstRowFirstColumn="0" w:firstRowLastColumn="0" w:lastRowFirstColumn="0" w:lastRowLastColumn="0"/>
              <w:rPr>
                <w:szCs w:val="22"/>
              </w:rPr>
            </w:pPr>
            <w:r>
              <w:t>H</w:t>
            </w:r>
            <w:r w:rsidR="00ED1333">
              <w:t>alf-life</w:t>
            </w:r>
          </w:p>
        </w:tc>
      </w:tr>
      <w:tr w:rsidR="006950C5" w:rsidRPr="00D01DDB" w14:paraId="004461E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2A66F19" w14:textId="0116282E" w:rsidR="006950C5" w:rsidRDefault="006950C5" w:rsidP="006950C5">
            <w:r>
              <w:t>TAR-EAIR</w:t>
            </w:r>
          </w:p>
        </w:tc>
        <w:tc>
          <w:tcPr>
            <w:tcW w:w="3800" w:type="pct"/>
          </w:tcPr>
          <w:p w14:paraId="560105B2" w14:textId="15606EE0" w:rsidR="006950C5" w:rsidRDefault="006950C5" w:rsidP="006950C5">
            <w:pPr>
              <w:cnfStyle w:val="000000000000" w:firstRow="0" w:lastRow="0" w:firstColumn="0" w:lastColumn="0" w:oddVBand="0" w:evenVBand="0" w:oddHBand="0" w:evenHBand="0" w:firstRowFirstColumn="0" w:firstRowLastColumn="0" w:lastRowFirstColumn="0" w:lastRowLastColumn="0"/>
            </w:pPr>
            <w:r>
              <w:t>Time-at-risk exposure-adjusted incidence rate</w:t>
            </w:r>
          </w:p>
        </w:tc>
      </w:tr>
      <w:tr w:rsidR="00650454" w:rsidRPr="00D01DDB" w14:paraId="26FE40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76660ED" w14:textId="31F85C7C" w:rsidR="00650454" w:rsidRPr="00D01DDB" w:rsidRDefault="00650454" w:rsidP="00A704DC">
            <w:pPr>
              <w:rPr>
                <w:szCs w:val="22"/>
              </w:rPr>
            </w:pPr>
            <w:r>
              <w:rPr>
                <w:szCs w:val="22"/>
              </w:rPr>
              <w:t>TEAE</w:t>
            </w:r>
          </w:p>
        </w:tc>
        <w:tc>
          <w:tcPr>
            <w:tcW w:w="3800" w:type="pct"/>
          </w:tcPr>
          <w:p w14:paraId="7DA11060" w14:textId="4DA4B4A6" w:rsidR="00650454" w:rsidRPr="00D01DDB" w:rsidRDefault="00FB4C85"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Treatment-emergent adverse event</w:t>
            </w:r>
          </w:p>
        </w:tc>
      </w:tr>
      <w:tr w:rsidR="00A704DC" w:rsidRPr="00D01DDB" w14:paraId="254AC9B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4FC2A0" w14:textId="41297C79" w:rsidR="00A704DC" w:rsidRPr="00D01DDB" w:rsidRDefault="00A704DC" w:rsidP="00A704DC">
            <w:pPr>
              <w:rPr>
                <w:szCs w:val="22"/>
              </w:rPr>
            </w:pPr>
            <w:r w:rsidRPr="00D01DDB">
              <w:rPr>
                <w:szCs w:val="22"/>
              </w:rPr>
              <w:t>TGA</w:t>
            </w:r>
          </w:p>
        </w:tc>
        <w:tc>
          <w:tcPr>
            <w:tcW w:w="3800" w:type="pct"/>
          </w:tcPr>
          <w:p w14:paraId="29EA6BA3" w14:textId="6F99059F" w:rsidR="00A704DC" w:rsidRPr="00D01DDB" w:rsidRDefault="00A704DC" w:rsidP="00A704DC">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Therapeutic Goods Administration</w:t>
            </w:r>
          </w:p>
        </w:tc>
      </w:tr>
      <w:tr w:rsidR="00B1455B" w:rsidRPr="00D01DDB" w14:paraId="40DF907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3AF9DCB" w14:textId="6CD6CBF0" w:rsidR="00B1455B" w:rsidRPr="00D01DDB" w:rsidRDefault="00B1455B" w:rsidP="00A704DC">
            <w:pPr>
              <w:rPr>
                <w:szCs w:val="22"/>
              </w:rPr>
            </w:pPr>
            <w:proofErr w:type="spellStart"/>
            <w:r>
              <w:rPr>
                <w:szCs w:val="22"/>
              </w:rPr>
              <w:t>V</w:t>
            </w:r>
            <w:r w:rsidRPr="00A11FDF">
              <w:rPr>
                <w:szCs w:val="22"/>
                <w:vertAlign w:val="subscript"/>
              </w:rPr>
              <w:t>c</w:t>
            </w:r>
            <w:proofErr w:type="spellEnd"/>
          </w:p>
        </w:tc>
        <w:tc>
          <w:tcPr>
            <w:tcW w:w="3800" w:type="pct"/>
          </w:tcPr>
          <w:p w14:paraId="734533C2" w14:textId="2E09612A" w:rsidR="00B1455B" w:rsidRPr="00D01DDB" w:rsidRDefault="00A11FDF" w:rsidP="00A704DC">
            <w:pPr>
              <w:cnfStyle w:val="000000000000" w:firstRow="0" w:lastRow="0" w:firstColumn="0" w:lastColumn="0" w:oddVBand="0" w:evenVBand="0" w:oddHBand="0" w:evenHBand="0" w:firstRowFirstColumn="0" w:firstRowLastColumn="0" w:lastRowFirstColumn="0" w:lastRowLastColumn="0"/>
              <w:rPr>
                <w:szCs w:val="22"/>
              </w:rPr>
            </w:pPr>
            <w:r>
              <w:t>Central volume of distribution</w:t>
            </w:r>
          </w:p>
        </w:tc>
      </w:tr>
      <w:tr w:rsidR="00A704DC" w:rsidRPr="00D01DDB" w14:paraId="4BDC33D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1819C5F" w14:textId="34CA8B49" w:rsidR="00A704DC" w:rsidRPr="00D01DDB" w:rsidRDefault="00407231" w:rsidP="00A704DC">
            <w:pPr>
              <w:rPr>
                <w:szCs w:val="22"/>
              </w:rPr>
            </w:pPr>
            <w:r>
              <w:rPr>
                <w:szCs w:val="22"/>
              </w:rPr>
              <w:t>WHO</w:t>
            </w:r>
          </w:p>
        </w:tc>
        <w:tc>
          <w:tcPr>
            <w:tcW w:w="3800" w:type="pct"/>
          </w:tcPr>
          <w:p w14:paraId="4458E485" w14:textId="65BACA5D" w:rsidR="00A704DC" w:rsidRPr="00D01DDB" w:rsidRDefault="00407231" w:rsidP="00A704DC">
            <w:pPr>
              <w:cnfStyle w:val="000000000000" w:firstRow="0" w:lastRow="0" w:firstColumn="0" w:lastColumn="0" w:oddVBand="0" w:evenVBand="0" w:oddHBand="0" w:evenHBand="0" w:firstRowFirstColumn="0" w:firstRowLastColumn="0" w:lastRowFirstColumn="0" w:lastRowLastColumn="0"/>
              <w:rPr>
                <w:szCs w:val="22"/>
              </w:rPr>
            </w:pPr>
            <w:r>
              <w:rPr>
                <w:szCs w:val="22"/>
              </w:rPr>
              <w:t>World Health Organization</w:t>
            </w:r>
          </w:p>
        </w:tc>
      </w:tr>
    </w:tbl>
    <w:p w14:paraId="7378F926" w14:textId="77777777" w:rsidR="00324B33" w:rsidRDefault="00324B33" w:rsidP="00324B33"/>
    <w:p w14:paraId="02FB1F38" w14:textId="77777777" w:rsidR="00324B33" w:rsidRPr="00FD119B" w:rsidRDefault="00324B33" w:rsidP="00324B33">
      <w:pPr>
        <w:spacing w:after="200" w:line="0" w:lineRule="auto"/>
        <w:rPr>
          <w:b/>
          <w:i/>
          <w:sz w:val="24"/>
          <w:szCs w:val="24"/>
        </w:rPr>
      </w:pPr>
      <w:r w:rsidRPr="00FD119B">
        <w:rPr>
          <w:b/>
          <w:i/>
          <w:sz w:val="24"/>
          <w:szCs w:val="24"/>
        </w:rPr>
        <w:br w:type="page"/>
      </w:r>
    </w:p>
    <w:p w14:paraId="44C2A39C" w14:textId="77777777" w:rsidR="00324B33" w:rsidRDefault="00324B33" w:rsidP="00324B33">
      <w:pPr>
        <w:pStyle w:val="Heading2"/>
      </w:pPr>
      <w:bookmarkStart w:id="6" w:name="_Toc103679288"/>
      <w:bookmarkStart w:id="7" w:name="_Toc202861295"/>
      <w:r>
        <w:lastRenderedPageBreak/>
        <w:t>Product submission</w:t>
      </w:r>
      <w:bookmarkEnd w:id="6"/>
      <w:bookmarkEnd w:id="7"/>
    </w:p>
    <w:p w14:paraId="21D559DF" w14:textId="77777777" w:rsidR="00324B33" w:rsidRDefault="00324B33" w:rsidP="00324B33">
      <w:pPr>
        <w:pStyle w:val="Heading3"/>
        <w:rPr>
          <w:lang w:eastAsia="en-AU"/>
        </w:rPr>
      </w:pPr>
      <w:bookmarkStart w:id="8" w:name="_Toc247691502"/>
      <w:bookmarkStart w:id="9" w:name="_Toc314842483"/>
      <w:bookmarkStart w:id="10" w:name="_Toc103679289"/>
      <w:bookmarkStart w:id="11" w:name="_Toc202861296"/>
      <w:r>
        <w:rPr>
          <w:lang w:eastAsia="en-AU"/>
        </w:rPr>
        <w:t>Submission details</w:t>
      </w:r>
      <w:bookmarkEnd w:id="8"/>
      <w:bookmarkEnd w:id="9"/>
      <w:bookmarkEnd w:id="10"/>
      <w:bookmarkEnd w:id="11"/>
    </w:p>
    <w:tbl>
      <w:tblPr>
        <w:tblW w:w="5000" w:type="pct"/>
        <w:tblLook w:val="01E0" w:firstRow="1" w:lastRow="1" w:firstColumn="1" w:lastColumn="1" w:noHBand="0" w:noVBand="0"/>
      </w:tblPr>
      <w:tblGrid>
        <w:gridCol w:w="2861"/>
        <w:gridCol w:w="6209"/>
      </w:tblGrid>
      <w:tr w:rsidR="00324B33" w:rsidRPr="00BD5DBD" w14:paraId="77D11C95" w14:textId="77777777" w:rsidTr="00F865A7">
        <w:tc>
          <w:tcPr>
            <w:tcW w:w="1577" w:type="pct"/>
          </w:tcPr>
          <w:p w14:paraId="10E57D62" w14:textId="30FE2DA1" w:rsidR="00324B33" w:rsidRPr="00BD5DBD" w:rsidRDefault="00324B33" w:rsidP="007452E8">
            <w:pPr>
              <w:rPr>
                <w:i/>
                <w:szCs w:val="22"/>
              </w:rPr>
            </w:pPr>
            <w:r w:rsidRPr="00BD5DBD">
              <w:rPr>
                <w:i/>
                <w:szCs w:val="22"/>
              </w:rPr>
              <w:t>Type of submission:</w:t>
            </w:r>
          </w:p>
        </w:tc>
        <w:tc>
          <w:tcPr>
            <w:tcW w:w="3423" w:type="pct"/>
          </w:tcPr>
          <w:p w14:paraId="4F07C303" w14:textId="7A245A02" w:rsidR="00324B33" w:rsidRPr="00BD5DBD" w:rsidRDefault="00324B33" w:rsidP="007452E8">
            <w:pPr>
              <w:rPr>
                <w:szCs w:val="22"/>
              </w:rPr>
            </w:pPr>
            <w:r w:rsidRPr="00BD5DBD">
              <w:rPr>
                <w:szCs w:val="22"/>
              </w:rPr>
              <w:t xml:space="preserve">New </w:t>
            </w:r>
            <w:r w:rsidR="001B5EEA">
              <w:rPr>
                <w:szCs w:val="22"/>
              </w:rPr>
              <w:t>biological</w:t>
            </w:r>
            <w:r w:rsidRPr="00BD5DBD">
              <w:rPr>
                <w:szCs w:val="22"/>
              </w:rPr>
              <w:t xml:space="preserve"> entity</w:t>
            </w:r>
          </w:p>
        </w:tc>
      </w:tr>
      <w:tr w:rsidR="00324B33" w:rsidRPr="00BD5DBD" w14:paraId="13482B61" w14:textId="77777777" w:rsidTr="00F865A7">
        <w:tc>
          <w:tcPr>
            <w:tcW w:w="1577" w:type="pct"/>
          </w:tcPr>
          <w:p w14:paraId="2C427FCF" w14:textId="4CEDEA3C" w:rsidR="00324B33" w:rsidRPr="00BD5DBD" w:rsidRDefault="00324B33" w:rsidP="007452E8">
            <w:pPr>
              <w:rPr>
                <w:i/>
                <w:szCs w:val="22"/>
              </w:rPr>
            </w:pPr>
            <w:r w:rsidRPr="00BD5DBD">
              <w:rPr>
                <w:i/>
                <w:szCs w:val="22"/>
              </w:rPr>
              <w:t>Product name:</w:t>
            </w:r>
          </w:p>
        </w:tc>
        <w:tc>
          <w:tcPr>
            <w:tcW w:w="3423" w:type="pct"/>
          </w:tcPr>
          <w:p w14:paraId="0E2DEF76" w14:textId="372D374F" w:rsidR="00324B33" w:rsidRPr="00BD5DBD" w:rsidRDefault="0098388E" w:rsidP="007452E8">
            <w:pPr>
              <w:rPr>
                <w:szCs w:val="22"/>
              </w:rPr>
            </w:pPr>
            <w:proofErr w:type="spellStart"/>
            <w:r>
              <w:rPr>
                <w:szCs w:val="22"/>
              </w:rPr>
              <w:t>Winrevair</w:t>
            </w:r>
            <w:proofErr w:type="spellEnd"/>
          </w:p>
        </w:tc>
      </w:tr>
      <w:tr w:rsidR="00324B33" w:rsidRPr="00BD5DBD" w14:paraId="01255B5B" w14:textId="77777777" w:rsidTr="00F865A7">
        <w:tc>
          <w:tcPr>
            <w:tcW w:w="1577" w:type="pct"/>
          </w:tcPr>
          <w:p w14:paraId="52B4F3D7" w14:textId="33577D13" w:rsidR="00324B33" w:rsidRPr="00BD5DBD" w:rsidRDefault="00324B33" w:rsidP="007452E8">
            <w:pPr>
              <w:rPr>
                <w:i/>
                <w:szCs w:val="22"/>
              </w:rPr>
            </w:pPr>
            <w:r w:rsidRPr="00BD5DBD">
              <w:rPr>
                <w:i/>
                <w:szCs w:val="22"/>
              </w:rPr>
              <w:t>Active ingredient:</w:t>
            </w:r>
          </w:p>
        </w:tc>
        <w:tc>
          <w:tcPr>
            <w:tcW w:w="3423" w:type="pct"/>
          </w:tcPr>
          <w:p w14:paraId="02FB6383" w14:textId="7ABE1641" w:rsidR="00324B33" w:rsidRPr="00BD5DBD" w:rsidRDefault="00606B35" w:rsidP="007452E8">
            <w:pPr>
              <w:rPr>
                <w:szCs w:val="22"/>
              </w:rPr>
            </w:pPr>
            <w:r>
              <w:rPr>
                <w:szCs w:val="22"/>
              </w:rPr>
              <w:t>so</w:t>
            </w:r>
            <w:r w:rsidR="00504CEA">
              <w:rPr>
                <w:szCs w:val="22"/>
              </w:rPr>
              <w:t>tatercept</w:t>
            </w:r>
          </w:p>
        </w:tc>
      </w:tr>
      <w:tr w:rsidR="00324B33" w:rsidRPr="00BD5DBD" w14:paraId="219A281B" w14:textId="77777777" w:rsidTr="00F865A7">
        <w:tc>
          <w:tcPr>
            <w:tcW w:w="1577" w:type="pct"/>
          </w:tcPr>
          <w:p w14:paraId="112E5F78" w14:textId="77777777" w:rsidR="00324B33" w:rsidRPr="00BD5DBD" w:rsidRDefault="00324B33" w:rsidP="007452E8">
            <w:pPr>
              <w:rPr>
                <w:i/>
                <w:szCs w:val="22"/>
              </w:rPr>
            </w:pPr>
            <w:r w:rsidRPr="00BD5DBD">
              <w:rPr>
                <w:i/>
                <w:szCs w:val="22"/>
              </w:rPr>
              <w:t>Decision:</w:t>
            </w:r>
          </w:p>
        </w:tc>
        <w:tc>
          <w:tcPr>
            <w:tcW w:w="3423" w:type="pct"/>
          </w:tcPr>
          <w:p w14:paraId="3B114BEA" w14:textId="02FA57E2" w:rsidR="00324B33" w:rsidRPr="00BD5DBD" w:rsidRDefault="00324B33" w:rsidP="007452E8">
            <w:pPr>
              <w:rPr>
                <w:szCs w:val="22"/>
              </w:rPr>
            </w:pPr>
            <w:r w:rsidRPr="00BD5DBD">
              <w:rPr>
                <w:szCs w:val="22"/>
              </w:rPr>
              <w:t>Approved</w:t>
            </w:r>
          </w:p>
        </w:tc>
      </w:tr>
      <w:tr w:rsidR="00AE1947" w:rsidRPr="00BD5DBD" w14:paraId="32B72632" w14:textId="77777777" w:rsidTr="00F865A7">
        <w:tc>
          <w:tcPr>
            <w:tcW w:w="1577" w:type="pct"/>
          </w:tcPr>
          <w:p w14:paraId="332A5CD5" w14:textId="65682B5F" w:rsidR="00AE1947" w:rsidRPr="00BD5DBD" w:rsidRDefault="00AE1947" w:rsidP="007F1E37">
            <w:r w:rsidRPr="00BD5DBD">
              <w:rPr>
                <w:i/>
                <w:szCs w:val="22"/>
              </w:rPr>
              <w:t>Date of decision:</w:t>
            </w:r>
          </w:p>
        </w:tc>
        <w:tc>
          <w:tcPr>
            <w:tcW w:w="3423" w:type="pct"/>
          </w:tcPr>
          <w:p w14:paraId="7B381CD6" w14:textId="0FEADDDC" w:rsidR="00AE1947" w:rsidRPr="00BD5DBD" w:rsidRDefault="00ED3CED" w:rsidP="00602658">
            <w:pPr>
              <w:rPr>
                <w:szCs w:val="22"/>
              </w:rPr>
            </w:pPr>
            <w:r>
              <w:rPr>
                <w:szCs w:val="22"/>
              </w:rPr>
              <w:t>7 November 2024</w:t>
            </w:r>
          </w:p>
        </w:tc>
      </w:tr>
      <w:tr w:rsidR="00324B33" w:rsidRPr="00BD5DBD" w14:paraId="60A25F5A" w14:textId="77777777" w:rsidTr="00F865A7">
        <w:tc>
          <w:tcPr>
            <w:tcW w:w="1577" w:type="pct"/>
          </w:tcPr>
          <w:p w14:paraId="5C5E4CBA" w14:textId="77777777" w:rsidR="00324B33" w:rsidRPr="00BD5DBD" w:rsidRDefault="00324B33" w:rsidP="007452E8">
            <w:pPr>
              <w:rPr>
                <w:i/>
                <w:szCs w:val="22"/>
              </w:rPr>
            </w:pPr>
            <w:r w:rsidRPr="00BD5DBD">
              <w:rPr>
                <w:i/>
                <w:szCs w:val="22"/>
              </w:rPr>
              <w:t>Date of entry onto ARTG:</w:t>
            </w:r>
          </w:p>
        </w:tc>
        <w:tc>
          <w:tcPr>
            <w:tcW w:w="3423" w:type="pct"/>
          </w:tcPr>
          <w:p w14:paraId="28B270E9" w14:textId="16CE6652" w:rsidR="00324B33" w:rsidRPr="006F3D07" w:rsidRDefault="006F3D07" w:rsidP="006F3D07">
            <w:pPr>
              <w:rPr>
                <w:szCs w:val="22"/>
              </w:rPr>
            </w:pPr>
            <w:r>
              <w:rPr>
                <w:szCs w:val="22"/>
              </w:rPr>
              <w:t>8 November 2024</w:t>
            </w:r>
          </w:p>
        </w:tc>
      </w:tr>
      <w:tr w:rsidR="00324B33" w:rsidRPr="00BD5DBD" w14:paraId="547E08D7" w14:textId="77777777" w:rsidTr="00F865A7">
        <w:tc>
          <w:tcPr>
            <w:tcW w:w="1577" w:type="pct"/>
          </w:tcPr>
          <w:p w14:paraId="5030EF30" w14:textId="71D42992" w:rsidR="00324B33" w:rsidRPr="00BD5DBD" w:rsidRDefault="00324B33" w:rsidP="007452E8">
            <w:pPr>
              <w:rPr>
                <w:i/>
                <w:szCs w:val="22"/>
              </w:rPr>
            </w:pPr>
            <w:r w:rsidRPr="00BD5DBD">
              <w:rPr>
                <w:i/>
                <w:szCs w:val="22"/>
              </w:rPr>
              <w:t>ARTG numbers:</w:t>
            </w:r>
          </w:p>
        </w:tc>
        <w:tc>
          <w:tcPr>
            <w:tcW w:w="3423" w:type="pct"/>
          </w:tcPr>
          <w:p w14:paraId="0054E912" w14:textId="32CF8F4A" w:rsidR="00324B33" w:rsidRPr="00BD5DBD" w:rsidRDefault="0061316B" w:rsidP="007452E8">
            <w:pPr>
              <w:rPr>
                <w:szCs w:val="22"/>
              </w:rPr>
            </w:pPr>
            <w:r>
              <w:rPr>
                <w:szCs w:val="22"/>
              </w:rPr>
              <w:t>433670, 433671</w:t>
            </w:r>
          </w:p>
        </w:tc>
      </w:tr>
      <w:tr w:rsidR="00324B33" w:rsidRPr="00BD5DBD" w14:paraId="7618393F" w14:textId="77777777" w:rsidTr="00F865A7">
        <w:tc>
          <w:tcPr>
            <w:tcW w:w="1577" w:type="pct"/>
          </w:tcPr>
          <w:p w14:paraId="6C24CEB6" w14:textId="6A7FE944" w:rsidR="00E47E0C" w:rsidRPr="00BD5DBD" w:rsidRDefault="00324B33" w:rsidP="007452E8">
            <w:pPr>
              <w:rPr>
                <w:rStyle w:val="Hyperlink"/>
                <w:i/>
                <w:szCs w:val="22"/>
              </w:rPr>
            </w:pPr>
            <w:r w:rsidRPr="00BD5DBD">
              <w:rPr>
                <w:rFonts w:ascii="Wingdings 3" w:hAnsi="Wingdings 3"/>
                <w:szCs w:val="22"/>
                <w:lang w:eastAsia="en-AU"/>
              </w:rPr>
              <w:t></w:t>
            </w:r>
            <w:hyperlink r:id="rId20" w:history="1">
              <w:r w:rsidRPr="00BD5DBD">
                <w:rPr>
                  <w:rStyle w:val="Hyperlink"/>
                  <w:i/>
                  <w:szCs w:val="22"/>
                </w:rPr>
                <w:t>Black Triangle Scheme</w:t>
              </w:r>
            </w:hyperlink>
          </w:p>
          <w:p w14:paraId="02260DE2" w14:textId="1FC334AE" w:rsidR="00324B33" w:rsidRPr="00BD5DBD" w:rsidRDefault="00E47E0C" w:rsidP="007452E8">
            <w:pPr>
              <w:rPr>
                <w:i/>
                <w:szCs w:val="22"/>
              </w:rPr>
            </w:pPr>
            <w:r w:rsidRPr="00BD5DBD">
              <w:rPr>
                <w:i/>
                <w:szCs w:val="22"/>
              </w:rPr>
              <w:t xml:space="preserve">for </w:t>
            </w:r>
            <w:r w:rsidR="007B04DE" w:rsidRPr="00BD5DBD">
              <w:rPr>
                <w:i/>
                <w:szCs w:val="22"/>
              </w:rPr>
              <w:t>the current</w:t>
            </w:r>
            <w:r w:rsidRPr="00BD5DBD">
              <w:rPr>
                <w:i/>
                <w:szCs w:val="22"/>
              </w:rPr>
              <w:t xml:space="preserve"> submission</w:t>
            </w:r>
            <w:r w:rsidR="00324B33" w:rsidRPr="00BD5DBD">
              <w:rPr>
                <w:i/>
                <w:szCs w:val="22"/>
              </w:rPr>
              <w:t>:</w:t>
            </w:r>
          </w:p>
        </w:tc>
        <w:tc>
          <w:tcPr>
            <w:tcW w:w="3423" w:type="pct"/>
          </w:tcPr>
          <w:p w14:paraId="6FF3C6A2" w14:textId="221E255F" w:rsidR="00324B33" w:rsidRPr="00BD5DBD" w:rsidRDefault="00324B33" w:rsidP="007452E8">
            <w:pPr>
              <w:rPr>
                <w:szCs w:val="22"/>
              </w:rPr>
            </w:pPr>
            <w:r w:rsidRPr="00BD5DBD">
              <w:rPr>
                <w:szCs w:val="22"/>
              </w:rPr>
              <w:t>Yes</w:t>
            </w:r>
          </w:p>
        </w:tc>
      </w:tr>
      <w:tr w:rsidR="00324B33" w:rsidRPr="00BD5DBD" w14:paraId="179E09FE" w14:textId="77777777" w:rsidTr="00F865A7">
        <w:tc>
          <w:tcPr>
            <w:tcW w:w="1577" w:type="pct"/>
          </w:tcPr>
          <w:p w14:paraId="1A592498" w14:textId="77777777" w:rsidR="00324B33" w:rsidRPr="00BD5DBD" w:rsidRDefault="00324B33" w:rsidP="007452E8">
            <w:pPr>
              <w:rPr>
                <w:i/>
                <w:szCs w:val="22"/>
              </w:rPr>
            </w:pPr>
            <w:r w:rsidRPr="00BD5DBD">
              <w:rPr>
                <w:i/>
                <w:szCs w:val="22"/>
              </w:rPr>
              <w:t>Sponsor’s name and address:</w:t>
            </w:r>
          </w:p>
        </w:tc>
        <w:tc>
          <w:tcPr>
            <w:tcW w:w="3423" w:type="pct"/>
          </w:tcPr>
          <w:p w14:paraId="673501C4" w14:textId="77777777" w:rsidR="00E40CE4" w:rsidRPr="00E40CE4" w:rsidRDefault="00E40CE4" w:rsidP="00E40CE4">
            <w:pPr>
              <w:rPr>
                <w:szCs w:val="22"/>
              </w:rPr>
            </w:pPr>
            <w:r w:rsidRPr="00E40CE4">
              <w:rPr>
                <w:szCs w:val="22"/>
              </w:rPr>
              <w:t>Merck Sharp &amp; Dohme (Australia) Pty Limited</w:t>
            </w:r>
          </w:p>
          <w:p w14:paraId="2C3DBBBB" w14:textId="6D18FD60" w:rsidR="00E40CE4" w:rsidRPr="00E40CE4" w:rsidRDefault="00E40CE4" w:rsidP="00E40CE4">
            <w:pPr>
              <w:rPr>
                <w:szCs w:val="22"/>
              </w:rPr>
            </w:pPr>
            <w:r w:rsidRPr="00E40CE4">
              <w:rPr>
                <w:szCs w:val="22"/>
              </w:rPr>
              <w:t>Level 1, Building A, 26 Talavera Road</w:t>
            </w:r>
          </w:p>
          <w:p w14:paraId="68DD94B0" w14:textId="373260C5" w:rsidR="00324B33" w:rsidRPr="00BD5DBD" w:rsidRDefault="00E40CE4" w:rsidP="00E40CE4">
            <w:pPr>
              <w:rPr>
                <w:szCs w:val="22"/>
              </w:rPr>
            </w:pPr>
            <w:r w:rsidRPr="00E40CE4">
              <w:rPr>
                <w:szCs w:val="22"/>
              </w:rPr>
              <w:t>Macquarie Park</w:t>
            </w:r>
            <w:r w:rsidR="00694A7C">
              <w:rPr>
                <w:szCs w:val="22"/>
              </w:rPr>
              <w:t xml:space="preserve">  </w:t>
            </w:r>
            <w:r w:rsidRPr="00E40CE4">
              <w:rPr>
                <w:szCs w:val="22"/>
              </w:rPr>
              <w:t xml:space="preserve"> NSW </w:t>
            </w:r>
            <w:r w:rsidR="00694A7C">
              <w:rPr>
                <w:szCs w:val="22"/>
              </w:rPr>
              <w:t xml:space="preserve">  </w:t>
            </w:r>
            <w:r w:rsidRPr="00E40CE4">
              <w:rPr>
                <w:szCs w:val="22"/>
              </w:rPr>
              <w:t>2113</w:t>
            </w:r>
          </w:p>
        </w:tc>
      </w:tr>
      <w:tr w:rsidR="00324B33" w:rsidRPr="00BD5DBD" w14:paraId="5322B989" w14:textId="77777777" w:rsidTr="00F865A7">
        <w:tc>
          <w:tcPr>
            <w:tcW w:w="1577" w:type="pct"/>
          </w:tcPr>
          <w:p w14:paraId="24F217E3" w14:textId="381FBE39" w:rsidR="00324B33" w:rsidRPr="00BD5DBD" w:rsidRDefault="00324B33" w:rsidP="007452E8">
            <w:pPr>
              <w:rPr>
                <w:i/>
                <w:szCs w:val="22"/>
              </w:rPr>
            </w:pPr>
            <w:r w:rsidRPr="00BD5DBD">
              <w:rPr>
                <w:i/>
                <w:szCs w:val="22"/>
              </w:rPr>
              <w:t>Dose form:</w:t>
            </w:r>
          </w:p>
        </w:tc>
        <w:tc>
          <w:tcPr>
            <w:tcW w:w="3423" w:type="pct"/>
          </w:tcPr>
          <w:p w14:paraId="768B254C" w14:textId="650B1A90" w:rsidR="00324B33" w:rsidRPr="00BD5DBD" w:rsidRDefault="008868EA" w:rsidP="007452E8">
            <w:pPr>
              <w:rPr>
                <w:szCs w:val="22"/>
              </w:rPr>
            </w:pPr>
            <w:r>
              <w:rPr>
                <w:szCs w:val="22"/>
              </w:rPr>
              <w:t>Powder for injection</w:t>
            </w:r>
          </w:p>
        </w:tc>
      </w:tr>
      <w:tr w:rsidR="00324B33" w:rsidRPr="00BD5DBD" w14:paraId="115243E6" w14:textId="77777777" w:rsidTr="00F865A7">
        <w:tc>
          <w:tcPr>
            <w:tcW w:w="1577" w:type="pct"/>
          </w:tcPr>
          <w:p w14:paraId="7634B062" w14:textId="01D4C9AB" w:rsidR="00324B33" w:rsidRPr="00BD5DBD" w:rsidRDefault="00324B33" w:rsidP="007452E8">
            <w:pPr>
              <w:rPr>
                <w:i/>
                <w:szCs w:val="22"/>
              </w:rPr>
            </w:pPr>
            <w:r w:rsidRPr="00BD5DBD">
              <w:rPr>
                <w:i/>
                <w:szCs w:val="22"/>
              </w:rPr>
              <w:t>Strengths:</w:t>
            </w:r>
          </w:p>
        </w:tc>
        <w:tc>
          <w:tcPr>
            <w:tcW w:w="3423" w:type="pct"/>
          </w:tcPr>
          <w:p w14:paraId="5E5F83DB" w14:textId="5A89944D" w:rsidR="00324B33" w:rsidRPr="00BD5DBD" w:rsidRDefault="008868EA" w:rsidP="007452E8">
            <w:pPr>
              <w:rPr>
                <w:szCs w:val="22"/>
              </w:rPr>
            </w:pPr>
            <w:r>
              <w:rPr>
                <w:szCs w:val="22"/>
              </w:rPr>
              <w:t>45</w:t>
            </w:r>
            <w:r w:rsidR="004276A0">
              <w:rPr>
                <w:szCs w:val="22"/>
              </w:rPr>
              <w:t> mg and 60 mg</w:t>
            </w:r>
          </w:p>
        </w:tc>
      </w:tr>
      <w:tr w:rsidR="00324B33" w:rsidRPr="00BD5DBD" w14:paraId="34B07BA6" w14:textId="77777777" w:rsidTr="00F865A7">
        <w:tc>
          <w:tcPr>
            <w:tcW w:w="1577" w:type="pct"/>
          </w:tcPr>
          <w:p w14:paraId="1C039224" w14:textId="701915CA" w:rsidR="00324B33" w:rsidRPr="00BD5DBD" w:rsidRDefault="00324B33" w:rsidP="007452E8">
            <w:pPr>
              <w:rPr>
                <w:i/>
                <w:szCs w:val="22"/>
              </w:rPr>
            </w:pPr>
            <w:r w:rsidRPr="00BD5DBD">
              <w:rPr>
                <w:i/>
                <w:szCs w:val="22"/>
              </w:rPr>
              <w:t>Container:</w:t>
            </w:r>
          </w:p>
        </w:tc>
        <w:tc>
          <w:tcPr>
            <w:tcW w:w="3423" w:type="pct"/>
          </w:tcPr>
          <w:p w14:paraId="500A42C6" w14:textId="4CAED87E" w:rsidR="00324B33" w:rsidRPr="00BD5DBD" w:rsidRDefault="004276A0" w:rsidP="007452E8">
            <w:pPr>
              <w:rPr>
                <w:szCs w:val="22"/>
              </w:rPr>
            </w:pPr>
            <w:r>
              <w:rPr>
                <w:szCs w:val="22"/>
              </w:rPr>
              <w:t>Vial</w:t>
            </w:r>
          </w:p>
        </w:tc>
      </w:tr>
      <w:tr w:rsidR="00324B33" w:rsidRPr="00BD5DBD" w14:paraId="176B6773" w14:textId="77777777" w:rsidTr="00F865A7">
        <w:tc>
          <w:tcPr>
            <w:tcW w:w="1577" w:type="pct"/>
          </w:tcPr>
          <w:p w14:paraId="71846159" w14:textId="24B96424" w:rsidR="00324B33" w:rsidRPr="00BD5DBD" w:rsidRDefault="00324B33" w:rsidP="007452E8">
            <w:pPr>
              <w:rPr>
                <w:i/>
                <w:szCs w:val="22"/>
              </w:rPr>
            </w:pPr>
            <w:r w:rsidRPr="00BD5DBD">
              <w:rPr>
                <w:i/>
                <w:szCs w:val="22"/>
              </w:rPr>
              <w:t>Pack size</w:t>
            </w:r>
            <w:r w:rsidR="00786C4D">
              <w:rPr>
                <w:i/>
                <w:szCs w:val="22"/>
              </w:rPr>
              <w:t>s</w:t>
            </w:r>
            <w:r w:rsidRPr="00BD5DBD">
              <w:rPr>
                <w:i/>
                <w:szCs w:val="22"/>
              </w:rPr>
              <w:t>:</w:t>
            </w:r>
          </w:p>
        </w:tc>
        <w:tc>
          <w:tcPr>
            <w:tcW w:w="3423" w:type="pct"/>
          </w:tcPr>
          <w:p w14:paraId="7E978F8F" w14:textId="6C564062" w:rsidR="00324B33" w:rsidRPr="00BD5DBD" w:rsidRDefault="00786C4D" w:rsidP="007452E8">
            <w:pPr>
              <w:rPr>
                <w:szCs w:val="22"/>
              </w:rPr>
            </w:pPr>
            <w:r>
              <w:rPr>
                <w:szCs w:val="22"/>
              </w:rPr>
              <w:t>1</w:t>
            </w:r>
            <w:r w:rsidR="004136E3">
              <w:rPr>
                <w:szCs w:val="22"/>
              </w:rPr>
              <w:t xml:space="preserve"> or 2 vials</w:t>
            </w:r>
          </w:p>
        </w:tc>
      </w:tr>
      <w:tr w:rsidR="00324B33" w:rsidRPr="00BD5DBD" w14:paraId="19A2544A" w14:textId="77777777" w:rsidTr="00F865A7">
        <w:tc>
          <w:tcPr>
            <w:tcW w:w="1577" w:type="pct"/>
          </w:tcPr>
          <w:p w14:paraId="0E6C5C0E" w14:textId="7DB3FC66" w:rsidR="00324B33" w:rsidRPr="00BD5DBD" w:rsidRDefault="00324B33" w:rsidP="007452E8">
            <w:pPr>
              <w:rPr>
                <w:i/>
                <w:szCs w:val="22"/>
              </w:rPr>
            </w:pPr>
            <w:r w:rsidRPr="00BD5DBD">
              <w:rPr>
                <w:i/>
                <w:szCs w:val="22"/>
              </w:rPr>
              <w:t>Approved therapeutic use</w:t>
            </w:r>
            <w:r w:rsidR="00E47E0C" w:rsidRPr="00BD5DBD">
              <w:rPr>
                <w:i/>
                <w:szCs w:val="22"/>
              </w:rPr>
              <w:t xml:space="preserve"> </w:t>
            </w:r>
            <w:r w:rsidR="007B04DE" w:rsidRPr="00BD5DBD">
              <w:rPr>
                <w:i/>
                <w:szCs w:val="22"/>
              </w:rPr>
              <w:t>for the current</w:t>
            </w:r>
            <w:r w:rsidR="00E47E0C" w:rsidRPr="00BD5DBD">
              <w:rPr>
                <w:i/>
                <w:szCs w:val="22"/>
              </w:rPr>
              <w:t xml:space="preserve"> submission</w:t>
            </w:r>
            <w:r w:rsidRPr="00BD5DBD">
              <w:rPr>
                <w:i/>
                <w:szCs w:val="22"/>
              </w:rPr>
              <w:t>:</w:t>
            </w:r>
          </w:p>
        </w:tc>
        <w:tc>
          <w:tcPr>
            <w:tcW w:w="3423" w:type="pct"/>
          </w:tcPr>
          <w:p w14:paraId="71DC4190" w14:textId="77777777" w:rsidR="007655FC" w:rsidRPr="007655FC" w:rsidRDefault="007655FC" w:rsidP="007655FC">
            <w:pPr>
              <w:rPr>
                <w:szCs w:val="22"/>
              </w:rPr>
            </w:pPr>
            <w:r w:rsidRPr="007655FC">
              <w:rPr>
                <w:szCs w:val="22"/>
              </w:rPr>
              <w:t>WINREVAIR is indicated for the treatment of adults with pulmonary arterial hypertension (PAH) in WHO Functional Class (FC) II or III, in combination with standard therapy.</w:t>
            </w:r>
          </w:p>
          <w:p w14:paraId="6E143E2E" w14:textId="1D8CDF04" w:rsidR="00324B33" w:rsidRPr="00BD5DBD" w:rsidRDefault="007655FC" w:rsidP="007655FC">
            <w:pPr>
              <w:rPr>
                <w:szCs w:val="22"/>
              </w:rPr>
            </w:pPr>
            <w:r w:rsidRPr="007655FC">
              <w:rPr>
                <w:szCs w:val="22"/>
              </w:rPr>
              <w:t>Efficacy has been shown in idiopathic and heritable PAH, PAH associated with connective tissue disease, drug or toxin-induced PAH and PAH associated with congenital heart disease with repaired shunts.</w:t>
            </w:r>
          </w:p>
        </w:tc>
      </w:tr>
      <w:tr w:rsidR="00324B33" w:rsidRPr="00BD5DBD" w14:paraId="5AFDEED3" w14:textId="77777777" w:rsidTr="00F865A7">
        <w:tc>
          <w:tcPr>
            <w:tcW w:w="1577" w:type="pct"/>
          </w:tcPr>
          <w:p w14:paraId="03884BD1" w14:textId="522C00F5" w:rsidR="00324B33" w:rsidRPr="00BD5DBD" w:rsidRDefault="00324B33" w:rsidP="007452E8">
            <w:pPr>
              <w:rPr>
                <w:i/>
                <w:szCs w:val="22"/>
              </w:rPr>
            </w:pPr>
            <w:r w:rsidRPr="00BD5DBD">
              <w:rPr>
                <w:i/>
                <w:szCs w:val="22"/>
              </w:rPr>
              <w:t>Route of administration:</w:t>
            </w:r>
          </w:p>
        </w:tc>
        <w:tc>
          <w:tcPr>
            <w:tcW w:w="3423" w:type="pct"/>
          </w:tcPr>
          <w:p w14:paraId="1ED1357E" w14:textId="7DBD6F0D" w:rsidR="00324B33" w:rsidRPr="00BD5DBD" w:rsidRDefault="00045C52" w:rsidP="007452E8">
            <w:pPr>
              <w:rPr>
                <w:szCs w:val="22"/>
              </w:rPr>
            </w:pPr>
            <w:r>
              <w:rPr>
                <w:szCs w:val="22"/>
              </w:rPr>
              <w:t>Subcutaneous injection</w:t>
            </w:r>
          </w:p>
        </w:tc>
      </w:tr>
      <w:tr w:rsidR="00324B33" w:rsidRPr="00BD5DBD" w14:paraId="70D7E9FA" w14:textId="77777777" w:rsidTr="00F865A7">
        <w:tc>
          <w:tcPr>
            <w:tcW w:w="1577" w:type="pct"/>
          </w:tcPr>
          <w:p w14:paraId="5ABFFC80" w14:textId="77777777" w:rsidR="00324B33" w:rsidRPr="00BD5DBD" w:rsidRDefault="00324B33" w:rsidP="007452E8">
            <w:pPr>
              <w:rPr>
                <w:i/>
                <w:szCs w:val="22"/>
              </w:rPr>
            </w:pPr>
            <w:r w:rsidRPr="00BD5DBD">
              <w:rPr>
                <w:i/>
                <w:szCs w:val="22"/>
              </w:rPr>
              <w:t>Dosage:</w:t>
            </w:r>
          </w:p>
        </w:tc>
        <w:tc>
          <w:tcPr>
            <w:tcW w:w="3423" w:type="pct"/>
          </w:tcPr>
          <w:p w14:paraId="4BD4ECF7" w14:textId="23C45F13" w:rsidR="00666911" w:rsidRDefault="000B0615" w:rsidP="000B0615">
            <w:pPr>
              <w:rPr>
                <w:szCs w:val="22"/>
              </w:rPr>
            </w:pPr>
            <w:proofErr w:type="spellStart"/>
            <w:r w:rsidRPr="000B0615">
              <w:rPr>
                <w:szCs w:val="22"/>
              </w:rPr>
              <w:t>W</w:t>
            </w:r>
            <w:r>
              <w:rPr>
                <w:szCs w:val="22"/>
              </w:rPr>
              <w:t>in</w:t>
            </w:r>
            <w:r w:rsidR="00EB46F9">
              <w:rPr>
                <w:szCs w:val="22"/>
              </w:rPr>
              <w:t>revair</w:t>
            </w:r>
            <w:proofErr w:type="spellEnd"/>
            <w:r w:rsidRPr="000B0615">
              <w:rPr>
                <w:szCs w:val="22"/>
              </w:rPr>
              <w:t xml:space="preserve"> is administered once every 3</w:t>
            </w:r>
            <w:r w:rsidR="00EB46F9">
              <w:rPr>
                <w:szCs w:val="22"/>
              </w:rPr>
              <w:t> </w:t>
            </w:r>
            <w:r w:rsidRPr="000B0615">
              <w:rPr>
                <w:szCs w:val="22"/>
              </w:rPr>
              <w:t>weeks by subcutaneous</w:t>
            </w:r>
            <w:r w:rsidR="00EB46F9">
              <w:rPr>
                <w:szCs w:val="22"/>
              </w:rPr>
              <w:t xml:space="preserve"> </w:t>
            </w:r>
            <w:r w:rsidRPr="000B0615">
              <w:rPr>
                <w:szCs w:val="22"/>
              </w:rPr>
              <w:t xml:space="preserve">injection according to patient weight. The starting dose of </w:t>
            </w:r>
            <w:proofErr w:type="spellStart"/>
            <w:r w:rsidRPr="000B0615">
              <w:rPr>
                <w:szCs w:val="22"/>
              </w:rPr>
              <w:t>W</w:t>
            </w:r>
            <w:r w:rsidR="00EB46F9">
              <w:rPr>
                <w:szCs w:val="22"/>
              </w:rPr>
              <w:t>inrevair</w:t>
            </w:r>
            <w:proofErr w:type="spellEnd"/>
            <w:r w:rsidRPr="000B0615">
              <w:rPr>
                <w:szCs w:val="22"/>
              </w:rPr>
              <w:t xml:space="preserve"> is 0.3</w:t>
            </w:r>
            <w:r w:rsidR="00EB46F9">
              <w:rPr>
                <w:szCs w:val="22"/>
              </w:rPr>
              <w:t> </w:t>
            </w:r>
            <w:r w:rsidRPr="000B0615">
              <w:rPr>
                <w:szCs w:val="22"/>
              </w:rPr>
              <w:t>mg/kg</w:t>
            </w:r>
            <w:r w:rsidR="00EB46F9">
              <w:rPr>
                <w:szCs w:val="22"/>
              </w:rPr>
              <w:t>.</w:t>
            </w:r>
          </w:p>
          <w:p w14:paraId="3D0B2D5C" w14:textId="16ED462A" w:rsidR="00324B33" w:rsidRPr="00BD5DBD" w:rsidRDefault="00324B33" w:rsidP="007452E8">
            <w:pPr>
              <w:rPr>
                <w:szCs w:val="22"/>
              </w:rPr>
            </w:pPr>
            <w:r w:rsidRPr="00BD5DBD">
              <w:rPr>
                <w:szCs w:val="22"/>
              </w:rPr>
              <w:t xml:space="preserve">For further information regarding dosage, </w:t>
            </w:r>
            <w:r w:rsidR="006B7126">
              <w:rPr>
                <w:szCs w:val="22"/>
              </w:rPr>
              <w:t xml:space="preserve">such as </w:t>
            </w:r>
            <w:r w:rsidR="00E577EF">
              <w:rPr>
                <w:szCs w:val="22"/>
              </w:rPr>
              <w:t>the target dose</w:t>
            </w:r>
            <w:r w:rsidR="002A3158">
              <w:rPr>
                <w:szCs w:val="22"/>
              </w:rPr>
              <w:t xml:space="preserve"> and </w:t>
            </w:r>
            <w:r w:rsidR="006B7126">
              <w:rPr>
                <w:szCs w:val="22"/>
              </w:rPr>
              <w:t xml:space="preserve">dosage modifications </w:t>
            </w:r>
            <w:r w:rsidR="009E5154">
              <w:rPr>
                <w:szCs w:val="22"/>
              </w:rPr>
              <w:t>due to increased haemoglobin or decreased platelet count</w:t>
            </w:r>
            <w:r w:rsidR="00E6404E">
              <w:rPr>
                <w:szCs w:val="22"/>
              </w:rPr>
              <w:t xml:space="preserve">, </w:t>
            </w:r>
            <w:r w:rsidRPr="00BD5DBD">
              <w:rPr>
                <w:szCs w:val="22"/>
              </w:rPr>
              <w:t>refer to the Product Information.</w:t>
            </w:r>
          </w:p>
        </w:tc>
      </w:tr>
      <w:tr w:rsidR="0017005C" w:rsidRPr="00BD5DBD" w14:paraId="7B7BB6AE" w14:textId="77777777" w:rsidTr="00F865A7">
        <w:tc>
          <w:tcPr>
            <w:tcW w:w="1577" w:type="pct"/>
          </w:tcPr>
          <w:p w14:paraId="3A76AFF7" w14:textId="7C436DD9" w:rsidR="0017005C" w:rsidRPr="00F8083B" w:rsidRDefault="0070330F" w:rsidP="0017005C">
            <w:r w:rsidRPr="00BD5DBD">
              <w:rPr>
                <w:i/>
                <w:szCs w:val="22"/>
              </w:rPr>
              <w:t>Pregnancy category:</w:t>
            </w:r>
          </w:p>
        </w:tc>
        <w:tc>
          <w:tcPr>
            <w:tcW w:w="3423" w:type="pct"/>
          </w:tcPr>
          <w:p w14:paraId="0153F186" w14:textId="4148D3F5" w:rsidR="00B92098" w:rsidRDefault="00B92098" w:rsidP="007967C3">
            <w:r>
              <w:t>Use in pregnancy Category D</w:t>
            </w:r>
            <w:r w:rsidR="0035040A">
              <w:t xml:space="preserve">: </w:t>
            </w:r>
            <w:r w:rsidR="0035040A" w:rsidRPr="0035040A">
              <w:t xml:space="preserve">Drugs which have caused, are suspected to have caused or may be expected to cause, an increased incidence of human </w:t>
            </w:r>
            <w:proofErr w:type="spellStart"/>
            <w:r w:rsidR="0035040A" w:rsidRPr="0035040A">
              <w:t>fetal</w:t>
            </w:r>
            <w:proofErr w:type="spellEnd"/>
            <w:r w:rsidR="0035040A" w:rsidRPr="0035040A">
              <w:t xml:space="preserve"> malformations or irreversible damage. These drugs may also have adverse pharmacological effects. Accompanying texts should be consulted for further details.</w:t>
            </w:r>
          </w:p>
          <w:p w14:paraId="76497789" w14:textId="77F3132C" w:rsidR="0017005C" w:rsidRPr="00BD5DBD" w:rsidRDefault="0070330F" w:rsidP="00306E72">
            <w:pPr>
              <w:rPr>
                <w:szCs w:val="22"/>
              </w:rPr>
            </w:pPr>
            <w:r w:rsidRPr="00BD5DBD">
              <w:rPr>
                <w:szCs w:val="22"/>
              </w:rPr>
              <w:lastRenderedPageBreak/>
              <w:t xml:space="preserve">The use of any medicine during pregnancy requires careful consideration of both risks and benefits by the treating health professional. </w:t>
            </w:r>
            <w:r w:rsidR="00721059">
              <w:rPr>
                <w:szCs w:val="22"/>
              </w:rPr>
              <w:t xml:space="preserve">The </w:t>
            </w:r>
            <w:hyperlink r:id="rId21" w:history="1">
              <w:r w:rsidR="00721059" w:rsidRPr="00065FDF">
                <w:rPr>
                  <w:rStyle w:val="Hyperlink"/>
                  <w:szCs w:val="22"/>
                </w:rPr>
                <w:t>pregnancy database</w:t>
              </w:r>
            </w:hyperlink>
            <w:r w:rsidR="00387984">
              <w:t xml:space="preserve"> </w:t>
            </w:r>
            <w:r w:rsidRPr="00BD5DBD">
              <w:rPr>
                <w:szCs w:val="22"/>
              </w:rPr>
              <w:t xml:space="preserve">must not be used as the sole basis of decision making in the use of medicines during pregnancy. The TGA does not provide advice on the use of medicines in pregnancy for specific cases. More information is available from </w:t>
            </w:r>
            <w:hyperlink r:id="rId22" w:history="1">
              <w:r w:rsidRPr="00C059D0">
                <w:rPr>
                  <w:rStyle w:val="Hyperlink"/>
                  <w:szCs w:val="22"/>
                </w:rPr>
                <w:t>obstetric drug information services</w:t>
              </w:r>
            </w:hyperlink>
            <w:r w:rsidRPr="00BD5DBD">
              <w:rPr>
                <w:szCs w:val="22"/>
              </w:rPr>
              <w:t xml:space="preserve"> in your </w:t>
            </w:r>
            <w:r w:rsidR="00306E72">
              <w:rPr>
                <w:szCs w:val="22"/>
              </w:rPr>
              <w:t>s</w:t>
            </w:r>
            <w:r w:rsidRPr="00BD5DBD">
              <w:rPr>
                <w:szCs w:val="22"/>
              </w:rPr>
              <w:t xml:space="preserve">tate or </w:t>
            </w:r>
            <w:r w:rsidR="00306E72">
              <w:rPr>
                <w:szCs w:val="22"/>
              </w:rPr>
              <w:t>t</w:t>
            </w:r>
            <w:r w:rsidRPr="00BD5DBD">
              <w:rPr>
                <w:szCs w:val="22"/>
              </w:rPr>
              <w:t>erritory.</w:t>
            </w:r>
          </w:p>
        </w:tc>
      </w:tr>
    </w:tbl>
    <w:p w14:paraId="51F2479F" w14:textId="1E34B277" w:rsidR="00324B33" w:rsidRDefault="00324B33" w:rsidP="00324B33">
      <w:pPr>
        <w:pStyle w:val="Heading3"/>
      </w:pPr>
      <w:bookmarkStart w:id="12" w:name="_Toc247691503"/>
      <w:bookmarkStart w:id="13" w:name="_Toc314842484"/>
      <w:bookmarkStart w:id="14" w:name="_Toc103679290"/>
      <w:bookmarkStart w:id="15" w:name="_Toc202861297"/>
      <w:r>
        <w:lastRenderedPageBreak/>
        <w:t>Product background</w:t>
      </w:r>
      <w:bookmarkEnd w:id="12"/>
      <w:bookmarkEnd w:id="13"/>
      <w:bookmarkEnd w:id="14"/>
      <w:bookmarkEnd w:id="15"/>
    </w:p>
    <w:p w14:paraId="59BF31D1" w14:textId="04800062" w:rsidR="001500A8" w:rsidRPr="00065839" w:rsidRDefault="00324B33" w:rsidP="00065839">
      <w:r w:rsidRPr="00065839">
        <w:t xml:space="preserve">This </w:t>
      </w:r>
      <w:proofErr w:type="spellStart"/>
      <w:r w:rsidRPr="00065839">
        <w:t>AusPAR</w:t>
      </w:r>
      <w:proofErr w:type="spellEnd"/>
      <w:r w:rsidRPr="00065839">
        <w:t xml:space="preserve"> describes the submission by </w:t>
      </w:r>
      <w:r w:rsidR="002C47F0">
        <w:t>Merck Sharp &amp; Dohme (Australia) Pty Ltd</w:t>
      </w:r>
      <w:r w:rsidRPr="00065839">
        <w:t xml:space="preserve"> (the sponsor) to register </w:t>
      </w:r>
      <w:proofErr w:type="spellStart"/>
      <w:r w:rsidR="009C654E">
        <w:t>Winrevair</w:t>
      </w:r>
      <w:proofErr w:type="spellEnd"/>
      <w:r w:rsidRPr="00065839">
        <w:t xml:space="preserve"> (</w:t>
      </w:r>
      <w:proofErr w:type="spellStart"/>
      <w:r w:rsidR="002736CB">
        <w:t>sotatercept</w:t>
      </w:r>
      <w:proofErr w:type="spellEnd"/>
      <w:r w:rsidRPr="00065839">
        <w:t xml:space="preserve">) </w:t>
      </w:r>
      <w:r w:rsidR="002736CB">
        <w:t>45 mg and 60 mg powder for injection in vials</w:t>
      </w:r>
      <w:r w:rsidRPr="00065839">
        <w:t xml:space="preserve"> for the following proposed indication:</w:t>
      </w:r>
      <w:r w:rsidR="00D63760" w:rsidRPr="00065839">
        <w:rPr>
          <w:vertAlign w:val="superscript"/>
        </w:rPr>
        <w:footnoteReference w:id="1"/>
      </w:r>
    </w:p>
    <w:p w14:paraId="5CE73217" w14:textId="2AF34DD7" w:rsidR="00556088" w:rsidRPr="0054640B" w:rsidRDefault="00556088" w:rsidP="0054640B">
      <w:pPr>
        <w:ind w:left="720"/>
        <w:rPr>
          <w:i/>
          <w:iCs/>
        </w:rPr>
      </w:pPr>
      <w:r w:rsidRPr="0054640B">
        <w:rPr>
          <w:i/>
          <w:iCs/>
        </w:rPr>
        <w:t>TRADEMARK is indicated for the treatment of pulmonary arterial hypertension (PAH) in adult patients on standard of care with WHO Functional Class (FC) II to III, to improve exercise capacity, provide clinical improvement, improve WHO FC and delay disease progression, including to reduce the risk of death and hospitalization for PAH.</w:t>
      </w:r>
    </w:p>
    <w:p w14:paraId="6436F9AB" w14:textId="03110B38" w:rsidR="00556088" w:rsidRPr="0054640B" w:rsidRDefault="00556088" w:rsidP="0054640B">
      <w:pPr>
        <w:ind w:left="720"/>
        <w:rPr>
          <w:i/>
          <w:iCs/>
        </w:rPr>
      </w:pPr>
      <w:r w:rsidRPr="0054640B">
        <w:rPr>
          <w:i/>
          <w:iCs/>
        </w:rPr>
        <w:t>Efficacy has been shown in a PAH population including aetiologies of idiopathic and heritable PAH, PAH associated with connective tissue disease, drug or toxin-induced PAH, or PAH associated with</w:t>
      </w:r>
      <w:r w:rsidR="00736413" w:rsidRPr="0054640B">
        <w:rPr>
          <w:i/>
          <w:iCs/>
        </w:rPr>
        <w:t xml:space="preserve"> </w:t>
      </w:r>
      <w:r w:rsidRPr="0054640B">
        <w:rPr>
          <w:i/>
          <w:iCs/>
        </w:rPr>
        <w:t>congenital heart disease with repaired shunts.</w:t>
      </w:r>
    </w:p>
    <w:p w14:paraId="1E63A2AE" w14:textId="40A023D5" w:rsidR="00CB6813" w:rsidRDefault="00005DFC" w:rsidP="00CB6813">
      <w:pPr>
        <w:pStyle w:val="Heading4"/>
      </w:pPr>
      <w:bookmarkStart w:id="16" w:name="_Toc202861298"/>
      <w:bookmarkStart w:id="17" w:name="_Toc314842485"/>
      <w:bookmarkStart w:id="18" w:name="_Toc247691504"/>
      <w:r>
        <w:t>D</w:t>
      </w:r>
      <w:r w:rsidR="00CB6813" w:rsidRPr="00C12D65">
        <w:t>isease</w:t>
      </w:r>
      <w:bookmarkEnd w:id="16"/>
    </w:p>
    <w:p w14:paraId="4A7A491F" w14:textId="77777777" w:rsidR="00856075" w:rsidRDefault="00856075" w:rsidP="00856075">
      <w:r>
        <w:t>Pulmonary arterial hypertension (PAH) is characterised by vasculopathy and remodelling of the pulmonary circulation leading to increased pulmonary arterial resistance and pressure. Initial symptoms are exertional dyspnoea and fatigue. As the disease progresses, right heart failure develops and then worsens, with its associated burden of morbidity and mortality.</w:t>
      </w:r>
    </w:p>
    <w:p w14:paraId="50540513" w14:textId="64D8B45B" w:rsidR="00856075" w:rsidRDefault="00856075" w:rsidP="00856075">
      <w:r w:rsidRPr="002602D0">
        <w:t xml:space="preserve">Pulmonary arterial hypertension is synonymous with </w:t>
      </w:r>
      <w:r w:rsidR="009D5A76">
        <w:t>Group 1</w:t>
      </w:r>
      <w:r w:rsidRPr="002602D0">
        <w:t xml:space="preserve"> Pulmonary Hypertension in the </w:t>
      </w:r>
      <w:r w:rsidR="002602D0">
        <w:t>World Health Organization (</w:t>
      </w:r>
      <w:r w:rsidRPr="002602D0">
        <w:t>WHO</w:t>
      </w:r>
      <w:r w:rsidR="002602D0">
        <w:t>)</w:t>
      </w:r>
      <w:r w:rsidRPr="002602D0">
        <w:t xml:space="preserve"> system. It has </w:t>
      </w:r>
      <w:proofErr w:type="gramStart"/>
      <w:r w:rsidRPr="002602D0">
        <w:t>a number of</w:t>
      </w:r>
      <w:proofErr w:type="gramEnd"/>
      <w:r w:rsidRPr="002602D0">
        <w:t xml:space="preserve"> recognised aetiologies, with idiopathic being the most common</w:t>
      </w:r>
      <w:r>
        <w:t xml:space="preserve"> (this reflects available registry data which are generally from areas without endemic schistosomiasis). Other aetiologies include heritable and associated with congenital heart disease, liver disease, HIV, connective tissue disease and use of certain drugs (such as anorectics).</w:t>
      </w:r>
    </w:p>
    <w:p w14:paraId="42538970" w14:textId="3B06F37A" w:rsidR="00856075" w:rsidRDefault="00856075" w:rsidP="00856075">
      <w:r>
        <w:t>PAH may be suspected on testing such as echocardiography or cross</w:t>
      </w:r>
      <w:r w:rsidR="00C774FA">
        <w:t>-</w:t>
      </w:r>
      <w:r>
        <w:t>sectional imaging. It is confirmed by invasive haemodynamic testing (</w:t>
      </w:r>
      <w:r w:rsidR="00C774FA">
        <w:t xml:space="preserve">that is, </w:t>
      </w:r>
      <w:r>
        <w:t xml:space="preserve">measurement of an elevated pulmonary artery pressure and resistance, together with a normal or insufficiently high left sided pressure / </w:t>
      </w:r>
      <w:r w:rsidRPr="000950A5">
        <w:t>pulmonary capillary wedge pressure). Current haemodynamic definitions</w:t>
      </w:r>
      <w:r w:rsidR="00A63108" w:rsidRPr="000950A5">
        <w:rPr>
          <w:noProof/>
        </w:rPr>
        <w:t xml:space="preserve"> (2022)</w:t>
      </w:r>
      <w:r w:rsidR="008B07C9" w:rsidRPr="000950A5">
        <w:rPr>
          <w:rStyle w:val="FootnoteReference"/>
        </w:rPr>
        <w:footnoteReference w:id="2"/>
      </w:r>
      <w:r w:rsidRPr="000950A5">
        <w:t xml:space="preserve"> for PAH are a</w:t>
      </w:r>
      <w:r>
        <w:t xml:space="preserve"> mean pulmonary artery pressure (</w:t>
      </w:r>
      <w:proofErr w:type="spellStart"/>
      <w:r>
        <w:t>mPAP</w:t>
      </w:r>
      <w:proofErr w:type="spellEnd"/>
      <w:r>
        <w:t>) of &gt;</w:t>
      </w:r>
      <w:r w:rsidR="005A5BA4">
        <w:t> </w:t>
      </w:r>
      <w:r>
        <w:t>20</w:t>
      </w:r>
      <w:r w:rsidR="00AD4CAA">
        <w:t> </w:t>
      </w:r>
      <w:r>
        <w:t xml:space="preserve">mmHg, pulmonary artery wedge pressure </w:t>
      </w:r>
      <w:r w:rsidR="005A5BA4">
        <w:t>≤ </w:t>
      </w:r>
      <w:r>
        <w:t>15 mmHg and pulmonary vascular resistance</w:t>
      </w:r>
      <w:r w:rsidR="00D05D94">
        <w:t xml:space="preserve"> (PVR)</w:t>
      </w:r>
      <w:r>
        <w:t xml:space="preserve"> &gt;</w:t>
      </w:r>
      <w:r w:rsidR="005A5BA4">
        <w:t> </w:t>
      </w:r>
      <w:r>
        <w:t>2</w:t>
      </w:r>
      <w:r w:rsidR="005A5BA4">
        <w:t> </w:t>
      </w:r>
      <w:r>
        <w:t>Wood units.</w:t>
      </w:r>
    </w:p>
    <w:p w14:paraId="3EE11D64" w14:textId="77777777" w:rsidR="00746C60" w:rsidRDefault="00746C60">
      <w:pPr>
        <w:rPr>
          <w:rFonts w:ascii="Arial" w:eastAsia="Cambria" w:hAnsi="Arial" w:cs="Times New Roman"/>
          <w:b/>
          <w:bCs/>
          <w:color w:val="001871"/>
          <w:sz w:val="28"/>
          <w:szCs w:val="26"/>
        </w:rPr>
      </w:pPr>
      <w:r>
        <w:br w:type="page"/>
      </w:r>
    </w:p>
    <w:p w14:paraId="255E083A" w14:textId="5AF33264" w:rsidR="00CB6813" w:rsidRDefault="00CB6813" w:rsidP="00CB6813">
      <w:pPr>
        <w:pStyle w:val="Heading4"/>
      </w:pPr>
      <w:bookmarkStart w:id="19" w:name="_Toc202861299"/>
      <w:r>
        <w:lastRenderedPageBreak/>
        <w:t>Current treatment options</w:t>
      </w:r>
      <w:bookmarkEnd w:id="19"/>
    </w:p>
    <w:p w14:paraId="6337703A" w14:textId="1111544D" w:rsidR="00A43063" w:rsidRDefault="00A43063" w:rsidP="00A43063">
      <w:r>
        <w:t>The following medicines appear in the ARTG:</w:t>
      </w:r>
    </w:p>
    <w:p w14:paraId="3767B816" w14:textId="6FC024E3" w:rsidR="00005A5A" w:rsidRPr="00ED2199" w:rsidRDefault="00A43063" w:rsidP="003A58F9">
      <w:pPr>
        <w:pStyle w:val="ListBullet"/>
      </w:pPr>
      <w:r w:rsidRPr="00ED2199">
        <w:t>Phosphodiesterase-5 inhibitors (PDE5i)</w:t>
      </w:r>
      <w:r w:rsidR="00005A5A" w:rsidRPr="00ED2199">
        <w:t>, such as s</w:t>
      </w:r>
      <w:r w:rsidRPr="00ED2199">
        <w:t xml:space="preserve">ildenafil </w:t>
      </w:r>
      <w:r w:rsidR="00005A5A" w:rsidRPr="00ED2199">
        <w:t>and t</w:t>
      </w:r>
      <w:r w:rsidRPr="00ED2199">
        <w:t>adalafil</w:t>
      </w:r>
    </w:p>
    <w:p w14:paraId="5210E9F5" w14:textId="3925FFC5" w:rsidR="003F6382" w:rsidRPr="00ED2199" w:rsidRDefault="00A43063" w:rsidP="004C0481">
      <w:pPr>
        <w:pStyle w:val="ListBullet"/>
      </w:pPr>
      <w:r w:rsidRPr="00ED2199">
        <w:t>Endothelin receptor antagonists (ERA)</w:t>
      </w:r>
      <w:r w:rsidR="003F6382" w:rsidRPr="00ED2199">
        <w:t xml:space="preserve">, such as </w:t>
      </w:r>
      <w:proofErr w:type="spellStart"/>
      <w:r w:rsidR="003F6382" w:rsidRPr="00ED2199">
        <w:t>a</w:t>
      </w:r>
      <w:r w:rsidRPr="00ED2199">
        <w:t>mbrisentan</w:t>
      </w:r>
      <w:proofErr w:type="spellEnd"/>
      <w:r w:rsidR="003F6382" w:rsidRPr="00ED2199">
        <w:t xml:space="preserve">, </w:t>
      </w:r>
      <w:proofErr w:type="spellStart"/>
      <w:r w:rsidR="003F6382" w:rsidRPr="00ED2199">
        <w:t>b</w:t>
      </w:r>
      <w:r w:rsidRPr="00ED2199">
        <w:t>osentan</w:t>
      </w:r>
      <w:proofErr w:type="spellEnd"/>
      <w:r w:rsidR="003F6382" w:rsidRPr="00ED2199">
        <w:t xml:space="preserve"> and </w:t>
      </w:r>
      <w:proofErr w:type="spellStart"/>
      <w:r w:rsidR="003F6382" w:rsidRPr="00ED2199">
        <w:t>m</w:t>
      </w:r>
      <w:r w:rsidRPr="00ED2199">
        <w:t>acitentan</w:t>
      </w:r>
      <w:proofErr w:type="spellEnd"/>
      <w:r w:rsidR="00F25997">
        <w:rPr>
          <w:rStyle w:val="FootnoteReference"/>
        </w:rPr>
        <w:footnoteReference w:id="3"/>
      </w:r>
    </w:p>
    <w:p w14:paraId="7F1D42DC" w14:textId="1B3DAA30" w:rsidR="00ED2199" w:rsidRPr="00ED2199" w:rsidRDefault="00A43063" w:rsidP="00ED2199">
      <w:pPr>
        <w:pStyle w:val="ListBullet"/>
      </w:pPr>
      <w:r w:rsidRPr="00ED2199">
        <w:t>Prostacyclin receptor agonists</w:t>
      </w:r>
      <w:r w:rsidR="003F6382" w:rsidRPr="00ED2199">
        <w:t>, such as</w:t>
      </w:r>
      <w:r w:rsidR="00ED2199" w:rsidRPr="00ED2199">
        <w:t xml:space="preserve"> </w:t>
      </w:r>
      <w:proofErr w:type="spellStart"/>
      <w:r w:rsidR="00ED2199" w:rsidRPr="00ED2199">
        <w:t>i</w:t>
      </w:r>
      <w:r w:rsidRPr="00ED2199">
        <w:t>loprost</w:t>
      </w:r>
      <w:proofErr w:type="spellEnd"/>
      <w:r w:rsidR="00ED2199">
        <w:t>,</w:t>
      </w:r>
      <w:r w:rsidR="00C008DF">
        <w:rPr>
          <w:rStyle w:val="FootnoteReference"/>
        </w:rPr>
        <w:footnoteReference w:id="4"/>
      </w:r>
      <w:r w:rsidR="00ED2199">
        <w:t xml:space="preserve"> </w:t>
      </w:r>
      <w:proofErr w:type="spellStart"/>
      <w:r w:rsidR="00ED2199">
        <w:t>e</w:t>
      </w:r>
      <w:r w:rsidRPr="00ED2199">
        <w:t>poprostenol</w:t>
      </w:r>
      <w:proofErr w:type="spellEnd"/>
      <w:r w:rsidRPr="00ED2199">
        <w:t xml:space="preserve"> </w:t>
      </w:r>
      <w:r w:rsidR="00ED2199">
        <w:t xml:space="preserve">and </w:t>
      </w:r>
      <w:proofErr w:type="spellStart"/>
      <w:r w:rsidR="00ED2199">
        <w:t>s</w:t>
      </w:r>
      <w:r w:rsidRPr="00ED2199">
        <w:t>elexipag</w:t>
      </w:r>
      <w:proofErr w:type="spellEnd"/>
      <w:r w:rsidR="00245E26">
        <w:rPr>
          <w:rStyle w:val="FootnoteReference"/>
        </w:rPr>
        <w:footnoteReference w:id="5"/>
      </w:r>
    </w:p>
    <w:p w14:paraId="5C2BB5D0" w14:textId="202787EF" w:rsidR="00BB5F5D" w:rsidRPr="00ED2199" w:rsidRDefault="00A43063" w:rsidP="00ED2199">
      <w:pPr>
        <w:pStyle w:val="ListBullet"/>
      </w:pPr>
      <w:r w:rsidRPr="00ED2199">
        <w:t>Soluble guanylate cyclase stimulator</w:t>
      </w:r>
      <w:r w:rsidR="00ED2199" w:rsidRPr="00ED2199">
        <w:t xml:space="preserve">, such as </w:t>
      </w:r>
      <w:proofErr w:type="spellStart"/>
      <w:r w:rsidR="00ED2199" w:rsidRPr="00ED2199">
        <w:t>r</w:t>
      </w:r>
      <w:r w:rsidRPr="00ED2199">
        <w:t>iociguat</w:t>
      </w:r>
      <w:proofErr w:type="spellEnd"/>
      <w:r w:rsidR="00ED2199">
        <w:t>.</w:t>
      </w:r>
      <w:r w:rsidR="00BE0D3D">
        <w:rPr>
          <w:rStyle w:val="FootnoteReference"/>
        </w:rPr>
        <w:footnoteReference w:id="6"/>
      </w:r>
    </w:p>
    <w:p w14:paraId="130C918D" w14:textId="35B71406" w:rsidR="008245A8" w:rsidRDefault="00E45627" w:rsidP="008245A8">
      <w:r>
        <w:t xml:space="preserve">Aside from these standard drug therapies, other important medical treatments include oxygen, diuretics, </w:t>
      </w:r>
      <w:r w:rsidR="008245A8">
        <w:t xml:space="preserve">and </w:t>
      </w:r>
      <w:r>
        <w:t>other supportive care</w:t>
      </w:r>
      <w:r w:rsidR="008245A8">
        <w:t>.</w:t>
      </w:r>
      <w:r>
        <w:t xml:space="preserve"> </w:t>
      </w:r>
      <w:r w:rsidR="008245A8">
        <w:t>Bilateral lung transplant with or without heart transplant is the only potentially curative option.</w:t>
      </w:r>
    </w:p>
    <w:p w14:paraId="37C47E09" w14:textId="14D3762D" w:rsidR="00CB6813" w:rsidRDefault="00CB6813" w:rsidP="00CB6813">
      <w:pPr>
        <w:pStyle w:val="Heading4"/>
      </w:pPr>
      <w:bookmarkStart w:id="20" w:name="_Toc202861300"/>
      <w:r>
        <w:t>C</w:t>
      </w:r>
      <w:r w:rsidRPr="00DE1344">
        <w:t>linical rational</w:t>
      </w:r>
      <w:r w:rsidR="0025785B">
        <w:t>e</w:t>
      </w:r>
      <w:bookmarkEnd w:id="20"/>
    </w:p>
    <w:p w14:paraId="34170AD0" w14:textId="77E1A046" w:rsidR="00E8199D" w:rsidRDefault="00E8199D" w:rsidP="00E8199D">
      <w:r>
        <w:t>Sotatercept is an activin signalling inhibitor with high selectivity for Activin A. Activin A is a ligand of the TGF-β superfamily that binds to Activin Receptor type IIA (</w:t>
      </w:r>
      <w:proofErr w:type="spellStart"/>
      <w:r>
        <w:t>ActRIIA</w:t>
      </w:r>
      <w:proofErr w:type="spellEnd"/>
      <w:r>
        <w:t xml:space="preserve">). Biological effects through this pathway include inflammation, cell proliferation, apoptosis and tissue </w:t>
      </w:r>
      <w:r w:rsidRPr="00EF05D2">
        <w:t>homeostasis. In PAH there is overactive Activin A-</w:t>
      </w:r>
      <w:proofErr w:type="spellStart"/>
      <w:r w:rsidRPr="00EF05D2">
        <w:t>ActRIIA</w:t>
      </w:r>
      <w:proofErr w:type="spellEnd"/>
      <w:r w:rsidRPr="00EF05D2">
        <w:t xml:space="preserve"> signalling (Smad2/3 mediated) and a simultaneous decrease in anti-proliferative</w:t>
      </w:r>
      <w:r w:rsidR="00B659B3">
        <w:t xml:space="preserve"> Bone morphogenetic protein receptor type II (</w:t>
      </w:r>
      <w:r w:rsidRPr="00EF05D2">
        <w:t>BMPR2</w:t>
      </w:r>
      <w:r w:rsidR="00B659B3">
        <w:t>)</w:t>
      </w:r>
      <w:r w:rsidRPr="00EF05D2">
        <w:t xml:space="preserve"> signalling (Smad1/5/8 mediated). This</w:t>
      </w:r>
      <w:r>
        <w:t xml:space="preserve"> imbalanced ActRIIA-</w:t>
      </w:r>
      <w:r w:rsidR="00B659B3">
        <w:t xml:space="preserve">BMPR2 </w:t>
      </w:r>
      <w:r>
        <w:t xml:space="preserve">signalling in PAH leads to pulmonary arterial wall remodelling, luminal narrowing, increased vascular resistance, high pulmonary pressures and eventually right ventricular dysfunction. Antagonising the </w:t>
      </w:r>
      <w:proofErr w:type="spellStart"/>
      <w:r>
        <w:t>ActRIIA</w:t>
      </w:r>
      <w:proofErr w:type="spellEnd"/>
      <w:r>
        <w:t xml:space="preserve"> pathway can potentially rebalance the signalling and interfere with the deleterious processes in PAH.</w:t>
      </w:r>
    </w:p>
    <w:p w14:paraId="7306AD3E" w14:textId="5A7A0099" w:rsidR="00E8199D" w:rsidRDefault="00E8199D" w:rsidP="00E8199D">
      <w:r>
        <w:t xml:space="preserve">According to the </w:t>
      </w:r>
      <w:r w:rsidR="00F639F6">
        <w:t>s</w:t>
      </w:r>
      <w:r>
        <w:t>ponsor’s overview in the dossier most heritable PAH and a proportion of idiopathic PAH involve mutations in BMPR2. These mutations reduce the pathway’s signalling. Therefore</w:t>
      </w:r>
      <w:r w:rsidR="00B659B3">
        <w:t>,</w:t>
      </w:r>
      <w:r>
        <w:t xml:space="preserve"> it is biologically plausible that sotatercept could treat PAH by rebalancing ActRIIA-BMPR2 signalling. It is worth noting that BMPR2 seems to be downregulated in PAH, regardless of the mutational status, and therefore sotatercept may be broadly effective in other subtypes.</w:t>
      </w:r>
    </w:p>
    <w:p w14:paraId="4523C4AC" w14:textId="61F0F048" w:rsidR="00E8199D" w:rsidRPr="00EF05D2" w:rsidRDefault="00E8199D" w:rsidP="00CB6813">
      <w:pPr>
        <w:rPr>
          <w:i/>
        </w:rPr>
      </w:pPr>
      <w:r w:rsidRPr="00EF05D2">
        <w:t xml:space="preserve">Sotatercept is a fusion protein comprised of a recombinant homodimer </w:t>
      </w:r>
      <w:proofErr w:type="spellStart"/>
      <w:r w:rsidRPr="00EF05D2">
        <w:t>ActRIIA</w:t>
      </w:r>
      <w:proofErr w:type="spellEnd"/>
      <w:r w:rsidRPr="00EF05D2">
        <w:t xml:space="preserve"> and the Fc portion of immunoglobulin. The receptor portion functions as a ligand trap, scavenging Activin A and other </w:t>
      </w:r>
      <w:proofErr w:type="spellStart"/>
      <w:r w:rsidRPr="00EF05D2">
        <w:t>ActRIIA</w:t>
      </w:r>
      <w:proofErr w:type="spellEnd"/>
      <w:r w:rsidRPr="00EF05D2">
        <w:t xml:space="preserve"> ligands.</w:t>
      </w:r>
    </w:p>
    <w:p w14:paraId="0D615854" w14:textId="77777777" w:rsidR="00324B33" w:rsidRPr="003F31A2" w:rsidRDefault="00324B33" w:rsidP="00324B33">
      <w:pPr>
        <w:pStyle w:val="Heading3"/>
      </w:pPr>
      <w:bookmarkStart w:id="21" w:name="_Toc103679291"/>
      <w:bookmarkStart w:id="22" w:name="_Toc202861301"/>
      <w:r>
        <w:t>Regulatory status</w:t>
      </w:r>
      <w:bookmarkEnd w:id="17"/>
      <w:bookmarkEnd w:id="18"/>
      <w:bookmarkEnd w:id="21"/>
      <w:bookmarkEnd w:id="22"/>
    </w:p>
    <w:p w14:paraId="72C889D6" w14:textId="7E200950" w:rsidR="0017005C" w:rsidRPr="00BD5DBD" w:rsidRDefault="0017005C" w:rsidP="00741AB9">
      <w:pPr>
        <w:pStyle w:val="Heading4"/>
      </w:pPr>
      <w:bookmarkStart w:id="23" w:name="_Toc202861302"/>
      <w:r w:rsidRPr="00BD5DBD">
        <w:t>Australian regulatory</w:t>
      </w:r>
      <w:r>
        <w:t xml:space="preserve"> sta</w:t>
      </w:r>
      <w:r w:rsidR="0025785B">
        <w:t>t</w:t>
      </w:r>
      <w:r>
        <w:t>us</w:t>
      </w:r>
      <w:bookmarkEnd w:id="23"/>
    </w:p>
    <w:p w14:paraId="6A8633FA" w14:textId="7DB9AA06" w:rsidR="00324B33" w:rsidRDefault="00324B33" w:rsidP="00324B33">
      <w:pPr>
        <w:rPr>
          <w:szCs w:val="22"/>
        </w:rPr>
      </w:pPr>
      <w:r w:rsidRPr="00BD5DBD">
        <w:rPr>
          <w:szCs w:val="22"/>
        </w:rPr>
        <w:t xml:space="preserve">This product is considered a </w:t>
      </w:r>
      <w:r w:rsidR="008C754C" w:rsidRPr="00BD5DBD">
        <w:rPr>
          <w:szCs w:val="22"/>
        </w:rPr>
        <w:t xml:space="preserve">new </w:t>
      </w:r>
      <w:r w:rsidRPr="00BD5DBD">
        <w:rPr>
          <w:szCs w:val="22"/>
        </w:rPr>
        <w:t>biological entity for Australian regulatory purposes.</w:t>
      </w:r>
    </w:p>
    <w:p w14:paraId="546C1031" w14:textId="4EF98FA1" w:rsidR="0017005C" w:rsidRDefault="00131B1B" w:rsidP="0017005C">
      <w:pPr>
        <w:pStyle w:val="Heading4"/>
      </w:pPr>
      <w:bookmarkStart w:id="24" w:name="_Toc202861303"/>
      <w:r>
        <w:t xml:space="preserve">International </w:t>
      </w:r>
      <w:r w:rsidR="0017005C" w:rsidRPr="00BD5DBD">
        <w:t>regulatory</w:t>
      </w:r>
      <w:r w:rsidR="0017005C">
        <w:t xml:space="preserve"> status</w:t>
      </w:r>
      <w:bookmarkEnd w:id="24"/>
    </w:p>
    <w:p w14:paraId="15923CF8" w14:textId="093F3ECA" w:rsidR="00674332" w:rsidRPr="0054640B" w:rsidRDefault="00C133AB" w:rsidP="00324B33">
      <w:pPr>
        <w:rPr>
          <w:i/>
          <w:color w:val="007099"/>
        </w:rPr>
      </w:pPr>
      <w:r w:rsidRPr="00BD5DBD">
        <w:rPr>
          <w:szCs w:val="22"/>
        </w:rPr>
        <w:t xml:space="preserve">This submission was evaluated as part of the </w:t>
      </w:r>
      <w:hyperlink r:id="rId23" w:history="1">
        <w:r w:rsidRPr="00BD5DBD">
          <w:rPr>
            <w:rStyle w:val="Hyperlink"/>
            <w:szCs w:val="22"/>
          </w:rPr>
          <w:t>Australia-Canada-Singapore-Switzerland-United Kingdom (ACCESS) Consortium</w:t>
        </w:r>
      </w:hyperlink>
      <w:r w:rsidRPr="00BD5DBD">
        <w:rPr>
          <w:szCs w:val="22"/>
        </w:rPr>
        <w:t xml:space="preserve"> with work-sharing between the TGA, </w:t>
      </w:r>
      <w:r w:rsidRPr="00774789">
        <w:t xml:space="preserve">Health Canada, Health </w:t>
      </w:r>
      <w:r w:rsidRPr="00774789">
        <w:lastRenderedPageBreak/>
        <w:t>Sciences Authority Singapore</w:t>
      </w:r>
      <w:r w:rsidR="0045172A">
        <w:t xml:space="preserve"> and</w:t>
      </w:r>
      <w:r w:rsidRPr="00774789">
        <w:t xml:space="preserve"> </w:t>
      </w:r>
      <w:proofErr w:type="spellStart"/>
      <w:r w:rsidRPr="00774789">
        <w:t>Swissmedic</w:t>
      </w:r>
      <w:proofErr w:type="spellEnd"/>
      <w:r w:rsidR="0045172A">
        <w:t>.</w:t>
      </w:r>
      <w:r w:rsidRPr="00BD5DBD">
        <w:rPr>
          <w:szCs w:val="22"/>
        </w:rPr>
        <w:t xml:space="preserve"> Each regulator made independent decisions regarding </w:t>
      </w:r>
      <w:r w:rsidRPr="0017005C">
        <w:t xml:space="preserve">approval </w:t>
      </w:r>
      <w:r w:rsidRPr="00774789">
        <w:t>(market authorisation) of the new medicine</w:t>
      </w:r>
      <w:r w:rsidR="00674332">
        <w:t>.</w:t>
      </w:r>
    </w:p>
    <w:p w14:paraId="7FDF4A0B" w14:textId="0E693FA5" w:rsidR="008F4A62" w:rsidRPr="0017005C" w:rsidRDefault="008F4A62" w:rsidP="008F4A62">
      <w:r w:rsidRPr="00BD5DBD">
        <w:rPr>
          <w:szCs w:val="22"/>
        </w:rPr>
        <w:t xml:space="preserve">At the time the TGA considered this submission, a similar submission had been </w:t>
      </w:r>
      <w:r>
        <w:rPr>
          <w:szCs w:val="22"/>
        </w:rPr>
        <w:t xml:space="preserve">considered by other regulatory agencies. </w:t>
      </w:r>
      <w:r w:rsidRPr="00BD5DBD">
        <w:rPr>
          <w:szCs w:val="22"/>
        </w:rPr>
        <w:t>The following table summarises these submissions and provides the indications where approved.</w:t>
      </w:r>
    </w:p>
    <w:p w14:paraId="19B9E0AC" w14:textId="465C3074" w:rsidR="00324B33" w:rsidRPr="006473BC" w:rsidRDefault="00324B33" w:rsidP="006473BC">
      <w:pPr>
        <w:pStyle w:val="TableTitle"/>
      </w:pPr>
      <w:bookmarkStart w:id="25" w:name="_Ref99705479"/>
      <w:r>
        <w:t xml:space="preserve">Table </w:t>
      </w:r>
      <w:r w:rsidR="007F1E37">
        <w:fldChar w:fldCharType="begin"/>
      </w:r>
      <w:r w:rsidR="007F1E37">
        <w:instrText xml:space="preserve"> SEQ Table \* ARABIC </w:instrText>
      </w:r>
      <w:r w:rsidR="007F1E37">
        <w:fldChar w:fldCharType="separate"/>
      </w:r>
      <w:r w:rsidR="00705ED7">
        <w:rPr>
          <w:noProof/>
        </w:rPr>
        <w:t>1</w:t>
      </w:r>
      <w:r w:rsidR="007F1E37">
        <w:rPr>
          <w:noProof/>
        </w:rPr>
        <w:fldChar w:fldCharType="end"/>
      </w:r>
      <w:bookmarkEnd w:id="25"/>
      <w:r>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D01DDB"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D01DDB" w:rsidRDefault="00324B33" w:rsidP="00324B33">
            <w:pPr>
              <w:rPr>
                <w:szCs w:val="22"/>
              </w:rPr>
            </w:pPr>
            <w:r w:rsidRPr="00D01DDB">
              <w:rPr>
                <w:szCs w:val="22"/>
              </w:rPr>
              <w:t>Region</w:t>
            </w:r>
          </w:p>
        </w:tc>
        <w:tc>
          <w:tcPr>
            <w:tcW w:w="1018" w:type="pct"/>
          </w:tcPr>
          <w:p w14:paraId="778C35C7" w14:textId="52D23C85"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Submission date</w:t>
            </w:r>
          </w:p>
        </w:tc>
        <w:tc>
          <w:tcPr>
            <w:tcW w:w="1173" w:type="pct"/>
          </w:tcPr>
          <w:p w14:paraId="58F81584" w14:textId="66689ABF"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Status</w:t>
            </w:r>
          </w:p>
        </w:tc>
        <w:tc>
          <w:tcPr>
            <w:tcW w:w="1795" w:type="pct"/>
          </w:tcPr>
          <w:p w14:paraId="50B2D435" w14:textId="560588D2" w:rsidR="00324B33" w:rsidRPr="00D01DDB"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Approved indications</w:t>
            </w:r>
          </w:p>
        </w:tc>
      </w:tr>
      <w:tr w:rsidR="00324B33" w:rsidRPr="00D01DDB"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36D4EB90" w:rsidR="00324B33" w:rsidRPr="00D01DDB" w:rsidRDefault="006B362B" w:rsidP="00324B33">
            <w:pPr>
              <w:rPr>
                <w:szCs w:val="22"/>
              </w:rPr>
            </w:pPr>
            <w:r>
              <w:rPr>
                <w:szCs w:val="22"/>
              </w:rPr>
              <w:t>USA</w:t>
            </w:r>
          </w:p>
        </w:tc>
        <w:tc>
          <w:tcPr>
            <w:tcW w:w="1018" w:type="pct"/>
          </w:tcPr>
          <w:p w14:paraId="4FA5DDA9" w14:textId="138C0480" w:rsidR="00324B33" w:rsidRPr="00D01DDB" w:rsidRDefault="00AC6EEB"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July 2023</w:t>
            </w:r>
          </w:p>
        </w:tc>
        <w:tc>
          <w:tcPr>
            <w:tcW w:w="1173" w:type="pct"/>
          </w:tcPr>
          <w:p w14:paraId="29358393" w14:textId="1EA8FC3F"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 xml:space="preserve">Approved on </w:t>
            </w:r>
            <w:r w:rsidR="00AC6EEB">
              <w:rPr>
                <w:szCs w:val="22"/>
              </w:rPr>
              <w:t>26 March 2024</w:t>
            </w:r>
          </w:p>
        </w:tc>
        <w:tc>
          <w:tcPr>
            <w:tcW w:w="1795" w:type="pct"/>
          </w:tcPr>
          <w:p w14:paraId="05055674" w14:textId="5F4C6893" w:rsidR="00324B33" w:rsidRPr="00D01DDB" w:rsidRDefault="00A14424" w:rsidP="00A14424">
            <w:pPr>
              <w:cnfStyle w:val="000000000000" w:firstRow="0" w:lastRow="0" w:firstColumn="0" w:lastColumn="0" w:oddVBand="0" w:evenVBand="0" w:oddHBand="0" w:evenHBand="0" w:firstRowFirstColumn="0" w:firstRowLastColumn="0" w:lastRowFirstColumn="0" w:lastRowLastColumn="0"/>
              <w:rPr>
                <w:szCs w:val="22"/>
              </w:rPr>
            </w:pPr>
            <w:r w:rsidRPr="00A14424">
              <w:rPr>
                <w:szCs w:val="22"/>
              </w:rPr>
              <w:t>WINREVAIR is indicated for</w:t>
            </w:r>
            <w:r>
              <w:rPr>
                <w:szCs w:val="22"/>
              </w:rPr>
              <w:t xml:space="preserve"> </w:t>
            </w:r>
            <w:r w:rsidRPr="00A14424">
              <w:rPr>
                <w:szCs w:val="22"/>
              </w:rPr>
              <w:t>the treatment of adults with</w:t>
            </w:r>
            <w:r>
              <w:rPr>
                <w:szCs w:val="22"/>
              </w:rPr>
              <w:t xml:space="preserve"> </w:t>
            </w:r>
            <w:r w:rsidRPr="00A14424">
              <w:rPr>
                <w:szCs w:val="22"/>
              </w:rPr>
              <w:t>pulmonary arterial hypertension</w:t>
            </w:r>
            <w:r>
              <w:rPr>
                <w:szCs w:val="22"/>
              </w:rPr>
              <w:t xml:space="preserve"> </w:t>
            </w:r>
            <w:r w:rsidRPr="00A14424">
              <w:rPr>
                <w:szCs w:val="22"/>
              </w:rPr>
              <w:t>(PAH, World Health</w:t>
            </w:r>
            <w:r>
              <w:rPr>
                <w:szCs w:val="22"/>
              </w:rPr>
              <w:t xml:space="preserve"> </w:t>
            </w:r>
            <w:r w:rsidRPr="00A14424">
              <w:rPr>
                <w:szCs w:val="22"/>
              </w:rPr>
              <w:t>Organization [WHO] Group 1)</w:t>
            </w:r>
            <w:r>
              <w:rPr>
                <w:szCs w:val="22"/>
              </w:rPr>
              <w:t xml:space="preserve"> </w:t>
            </w:r>
            <w:r w:rsidRPr="00A14424">
              <w:rPr>
                <w:szCs w:val="22"/>
              </w:rPr>
              <w:t>to increase exercise capacity,</w:t>
            </w:r>
            <w:r>
              <w:rPr>
                <w:szCs w:val="22"/>
              </w:rPr>
              <w:t xml:space="preserve"> </w:t>
            </w:r>
            <w:r w:rsidRPr="00A14424">
              <w:rPr>
                <w:szCs w:val="22"/>
              </w:rPr>
              <w:t>improve WHO functional class</w:t>
            </w:r>
            <w:r>
              <w:rPr>
                <w:szCs w:val="22"/>
              </w:rPr>
              <w:t xml:space="preserve"> </w:t>
            </w:r>
            <w:r w:rsidRPr="00A14424">
              <w:rPr>
                <w:szCs w:val="22"/>
              </w:rPr>
              <w:t>(FC), and reduce the risk of</w:t>
            </w:r>
            <w:r>
              <w:rPr>
                <w:szCs w:val="22"/>
              </w:rPr>
              <w:t xml:space="preserve"> </w:t>
            </w:r>
            <w:r w:rsidRPr="00A14424">
              <w:rPr>
                <w:szCs w:val="22"/>
              </w:rPr>
              <w:t>clinical worsening events.</w:t>
            </w:r>
          </w:p>
        </w:tc>
      </w:tr>
      <w:tr w:rsidR="0015511F" w:rsidRPr="00D01DDB" w14:paraId="06F02208"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5F3EF48" w14:textId="7E907DA5" w:rsidR="0015511F" w:rsidRDefault="0015511F" w:rsidP="00324B33">
            <w:pPr>
              <w:rPr>
                <w:szCs w:val="22"/>
              </w:rPr>
            </w:pPr>
            <w:r>
              <w:rPr>
                <w:szCs w:val="22"/>
              </w:rPr>
              <w:t>EU</w:t>
            </w:r>
          </w:p>
        </w:tc>
        <w:tc>
          <w:tcPr>
            <w:tcW w:w="1018" w:type="pct"/>
          </w:tcPr>
          <w:p w14:paraId="4A2F57C0" w14:textId="4916B4DC" w:rsidR="0015511F" w:rsidRDefault="00CF7D5A"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4 October 2023</w:t>
            </w:r>
          </w:p>
        </w:tc>
        <w:tc>
          <w:tcPr>
            <w:tcW w:w="1173" w:type="pct"/>
          </w:tcPr>
          <w:p w14:paraId="15463C3E" w14:textId="60E3C8BA" w:rsidR="0015511F" w:rsidRPr="00D01DDB" w:rsidRDefault="0063185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CF7D5A">
              <w:rPr>
                <w:szCs w:val="22"/>
              </w:rPr>
              <w:t>22 August 2024</w:t>
            </w:r>
          </w:p>
        </w:tc>
        <w:tc>
          <w:tcPr>
            <w:tcW w:w="1795" w:type="pct"/>
          </w:tcPr>
          <w:p w14:paraId="4281C1AF" w14:textId="08CC7A9F" w:rsidR="0015511F" w:rsidRPr="00A14424" w:rsidRDefault="00CF7D5A" w:rsidP="00CF7D5A">
            <w:pPr>
              <w:cnfStyle w:val="000000000000" w:firstRow="0" w:lastRow="0" w:firstColumn="0" w:lastColumn="0" w:oddVBand="0" w:evenVBand="0" w:oddHBand="0" w:evenHBand="0" w:firstRowFirstColumn="0" w:firstRowLastColumn="0" w:lastRowFirstColumn="0" w:lastRowLastColumn="0"/>
              <w:rPr>
                <w:szCs w:val="22"/>
              </w:rPr>
            </w:pPr>
            <w:proofErr w:type="spellStart"/>
            <w:r w:rsidRPr="00CF7D5A">
              <w:rPr>
                <w:szCs w:val="22"/>
              </w:rPr>
              <w:t>Winrevair</w:t>
            </w:r>
            <w:proofErr w:type="spellEnd"/>
            <w:r w:rsidRPr="00CF7D5A">
              <w:rPr>
                <w:szCs w:val="22"/>
              </w:rPr>
              <w:t>, in combination with</w:t>
            </w:r>
            <w:r>
              <w:rPr>
                <w:szCs w:val="22"/>
              </w:rPr>
              <w:t xml:space="preserve"> </w:t>
            </w:r>
            <w:r w:rsidRPr="00CF7D5A">
              <w:rPr>
                <w:szCs w:val="22"/>
              </w:rPr>
              <w:t>other pulmonary arterial</w:t>
            </w:r>
            <w:r>
              <w:rPr>
                <w:szCs w:val="22"/>
              </w:rPr>
              <w:t xml:space="preserve"> </w:t>
            </w:r>
            <w:r w:rsidRPr="00CF7D5A">
              <w:rPr>
                <w:szCs w:val="22"/>
              </w:rPr>
              <w:t>hypertension (PAH) therapies, is</w:t>
            </w:r>
            <w:r>
              <w:rPr>
                <w:szCs w:val="22"/>
              </w:rPr>
              <w:t xml:space="preserve"> </w:t>
            </w:r>
            <w:r w:rsidRPr="00CF7D5A">
              <w:rPr>
                <w:szCs w:val="22"/>
              </w:rPr>
              <w:t>indicated for the treatment of</w:t>
            </w:r>
            <w:r>
              <w:rPr>
                <w:szCs w:val="22"/>
              </w:rPr>
              <w:t xml:space="preserve"> </w:t>
            </w:r>
            <w:r w:rsidRPr="00CF7D5A">
              <w:rPr>
                <w:szCs w:val="22"/>
              </w:rPr>
              <w:t>PAH in adult patients with</w:t>
            </w:r>
            <w:r>
              <w:rPr>
                <w:szCs w:val="22"/>
              </w:rPr>
              <w:t xml:space="preserve"> </w:t>
            </w:r>
            <w:r w:rsidRPr="00CF7D5A">
              <w:rPr>
                <w:szCs w:val="22"/>
              </w:rPr>
              <w:t>WHO Functional Class (FC) II</w:t>
            </w:r>
            <w:r>
              <w:rPr>
                <w:szCs w:val="22"/>
              </w:rPr>
              <w:t xml:space="preserve"> </w:t>
            </w:r>
            <w:r w:rsidRPr="00CF7D5A">
              <w:rPr>
                <w:szCs w:val="22"/>
              </w:rPr>
              <w:t>to III, to improve exercise</w:t>
            </w:r>
            <w:r>
              <w:rPr>
                <w:szCs w:val="22"/>
              </w:rPr>
              <w:t xml:space="preserve"> </w:t>
            </w:r>
            <w:r w:rsidRPr="00CF7D5A">
              <w:rPr>
                <w:szCs w:val="22"/>
              </w:rPr>
              <w:t>capacity.</w:t>
            </w:r>
          </w:p>
        </w:tc>
      </w:tr>
      <w:tr w:rsidR="0015511F" w:rsidRPr="00D01DDB" w14:paraId="47598D3B"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32A0711A" w14:textId="1D137777" w:rsidR="0015511F" w:rsidRDefault="003C7B4E" w:rsidP="00324B33">
            <w:pPr>
              <w:rPr>
                <w:szCs w:val="22"/>
              </w:rPr>
            </w:pPr>
            <w:r>
              <w:rPr>
                <w:szCs w:val="22"/>
              </w:rPr>
              <w:t>Canada</w:t>
            </w:r>
          </w:p>
        </w:tc>
        <w:tc>
          <w:tcPr>
            <w:tcW w:w="1018" w:type="pct"/>
          </w:tcPr>
          <w:p w14:paraId="501FC4F1" w14:textId="32E09BB4" w:rsidR="0015511F" w:rsidRDefault="003C7B4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31 January 2024</w:t>
            </w:r>
          </w:p>
        </w:tc>
        <w:tc>
          <w:tcPr>
            <w:tcW w:w="1173" w:type="pct"/>
          </w:tcPr>
          <w:p w14:paraId="6DD32ADD" w14:textId="60F53716" w:rsidR="0015511F" w:rsidRPr="00D01DDB" w:rsidRDefault="0063185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 xml:space="preserve">Approved on </w:t>
            </w:r>
            <w:r w:rsidR="003C7B4E">
              <w:rPr>
                <w:szCs w:val="22"/>
              </w:rPr>
              <w:t>28 August 2024</w:t>
            </w:r>
          </w:p>
        </w:tc>
        <w:tc>
          <w:tcPr>
            <w:tcW w:w="1795" w:type="pct"/>
          </w:tcPr>
          <w:p w14:paraId="4B57D732" w14:textId="421BBDDA" w:rsidR="002F401D" w:rsidRPr="002F401D" w:rsidRDefault="002F401D" w:rsidP="002F401D">
            <w:pPr>
              <w:cnfStyle w:val="000000000000" w:firstRow="0" w:lastRow="0" w:firstColumn="0" w:lastColumn="0" w:oddVBand="0" w:evenVBand="0" w:oddHBand="0" w:evenHBand="0" w:firstRowFirstColumn="0" w:firstRowLastColumn="0" w:lastRowFirstColumn="0" w:lastRowLastColumn="0"/>
              <w:rPr>
                <w:szCs w:val="22"/>
              </w:rPr>
            </w:pPr>
            <w:r w:rsidRPr="002F401D">
              <w:rPr>
                <w:szCs w:val="22"/>
              </w:rPr>
              <w:t>WINREVAIR (</w:t>
            </w:r>
            <w:proofErr w:type="spellStart"/>
            <w:r w:rsidRPr="002F401D">
              <w:rPr>
                <w:szCs w:val="22"/>
              </w:rPr>
              <w:t>sotatercept</w:t>
            </w:r>
            <w:proofErr w:type="spellEnd"/>
            <w:r w:rsidRPr="002F401D">
              <w:rPr>
                <w:szCs w:val="22"/>
              </w:rPr>
              <w:t>) is</w:t>
            </w:r>
            <w:r>
              <w:rPr>
                <w:szCs w:val="22"/>
              </w:rPr>
              <w:t xml:space="preserve"> </w:t>
            </w:r>
            <w:r w:rsidRPr="002F401D">
              <w:rPr>
                <w:szCs w:val="22"/>
              </w:rPr>
              <w:t>indicated: In combination with</w:t>
            </w:r>
            <w:r>
              <w:rPr>
                <w:szCs w:val="22"/>
              </w:rPr>
              <w:t xml:space="preserve"> </w:t>
            </w:r>
            <w:r w:rsidRPr="002F401D">
              <w:rPr>
                <w:szCs w:val="22"/>
              </w:rPr>
              <w:t>standard pulmonary arterial</w:t>
            </w:r>
            <w:r>
              <w:rPr>
                <w:szCs w:val="22"/>
              </w:rPr>
              <w:t xml:space="preserve"> </w:t>
            </w:r>
            <w:r w:rsidRPr="002F401D">
              <w:rPr>
                <w:szCs w:val="22"/>
              </w:rPr>
              <w:t>hypertension (PAH) therapy, for</w:t>
            </w:r>
            <w:r>
              <w:rPr>
                <w:szCs w:val="22"/>
              </w:rPr>
              <w:t xml:space="preserve"> </w:t>
            </w:r>
            <w:r w:rsidRPr="002F401D">
              <w:rPr>
                <w:szCs w:val="22"/>
              </w:rPr>
              <w:t>the treatment of adults with</w:t>
            </w:r>
            <w:r>
              <w:rPr>
                <w:szCs w:val="22"/>
              </w:rPr>
              <w:t xml:space="preserve"> </w:t>
            </w:r>
            <w:r w:rsidRPr="002F401D">
              <w:rPr>
                <w:szCs w:val="22"/>
              </w:rPr>
              <w:t>World Health Organization</w:t>
            </w:r>
            <w:r>
              <w:rPr>
                <w:szCs w:val="22"/>
              </w:rPr>
              <w:t xml:space="preserve"> </w:t>
            </w:r>
            <w:r w:rsidRPr="002F401D">
              <w:rPr>
                <w:szCs w:val="22"/>
              </w:rPr>
              <w:t>[WHO] Group 1 PAH and</w:t>
            </w:r>
            <w:r>
              <w:rPr>
                <w:szCs w:val="22"/>
              </w:rPr>
              <w:t xml:space="preserve"> </w:t>
            </w:r>
            <w:r w:rsidRPr="002F401D">
              <w:rPr>
                <w:szCs w:val="22"/>
              </w:rPr>
              <w:t>Functional Class (FC) II or III.</w:t>
            </w:r>
          </w:p>
          <w:p w14:paraId="59204DE7" w14:textId="7F86A396" w:rsidR="002F401D" w:rsidRPr="00A14424" w:rsidRDefault="002F401D" w:rsidP="002F401D">
            <w:pPr>
              <w:cnfStyle w:val="000000000000" w:firstRow="0" w:lastRow="0" w:firstColumn="0" w:lastColumn="0" w:oddVBand="0" w:evenVBand="0" w:oddHBand="0" w:evenHBand="0" w:firstRowFirstColumn="0" w:firstRowLastColumn="0" w:lastRowFirstColumn="0" w:lastRowLastColumn="0"/>
              <w:rPr>
                <w:szCs w:val="22"/>
              </w:rPr>
            </w:pPr>
            <w:r w:rsidRPr="002F401D">
              <w:rPr>
                <w:szCs w:val="22"/>
              </w:rPr>
              <w:t>Efficacy has been shown in a</w:t>
            </w:r>
            <w:r>
              <w:rPr>
                <w:szCs w:val="22"/>
              </w:rPr>
              <w:t xml:space="preserve"> </w:t>
            </w:r>
            <w:r w:rsidRPr="002F401D">
              <w:rPr>
                <w:szCs w:val="22"/>
              </w:rPr>
              <w:t>PAH population including</w:t>
            </w:r>
            <w:r>
              <w:rPr>
                <w:szCs w:val="22"/>
              </w:rPr>
              <w:t xml:space="preserve"> </w:t>
            </w:r>
            <w:proofErr w:type="spellStart"/>
            <w:r w:rsidRPr="002F401D">
              <w:rPr>
                <w:szCs w:val="22"/>
              </w:rPr>
              <w:t>etiologies</w:t>
            </w:r>
            <w:proofErr w:type="spellEnd"/>
            <w:r w:rsidRPr="002F401D">
              <w:rPr>
                <w:szCs w:val="22"/>
              </w:rPr>
              <w:t xml:space="preserve"> of idiopathic PAH,</w:t>
            </w:r>
            <w:r>
              <w:rPr>
                <w:szCs w:val="22"/>
              </w:rPr>
              <w:t xml:space="preserve"> </w:t>
            </w:r>
            <w:r w:rsidRPr="002F401D">
              <w:rPr>
                <w:szCs w:val="22"/>
              </w:rPr>
              <w:t>heritable PAH, PAH associated</w:t>
            </w:r>
            <w:r>
              <w:rPr>
                <w:szCs w:val="22"/>
              </w:rPr>
              <w:t xml:space="preserve"> </w:t>
            </w:r>
            <w:r w:rsidRPr="002F401D">
              <w:rPr>
                <w:szCs w:val="22"/>
              </w:rPr>
              <w:t>with connective tissue disease,</w:t>
            </w:r>
            <w:r>
              <w:rPr>
                <w:szCs w:val="22"/>
              </w:rPr>
              <w:t xml:space="preserve"> </w:t>
            </w:r>
            <w:r w:rsidRPr="002F401D">
              <w:rPr>
                <w:szCs w:val="22"/>
              </w:rPr>
              <w:t>drug- or toxin-induced PAH, or</w:t>
            </w:r>
            <w:r>
              <w:rPr>
                <w:szCs w:val="22"/>
              </w:rPr>
              <w:t xml:space="preserve"> </w:t>
            </w:r>
            <w:r w:rsidRPr="002F401D">
              <w:rPr>
                <w:szCs w:val="22"/>
              </w:rPr>
              <w:t>PAH associated with congenital</w:t>
            </w:r>
            <w:r>
              <w:rPr>
                <w:szCs w:val="22"/>
              </w:rPr>
              <w:t xml:space="preserve"> </w:t>
            </w:r>
            <w:r w:rsidRPr="002F401D">
              <w:rPr>
                <w:szCs w:val="22"/>
              </w:rPr>
              <w:t>heart disease with repaired</w:t>
            </w:r>
            <w:r>
              <w:rPr>
                <w:szCs w:val="22"/>
              </w:rPr>
              <w:t xml:space="preserve"> </w:t>
            </w:r>
            <w:r w:rsidRPr="002F401D">
              <w:rPr>
                <w:szCs w:val="22"/>
              </w:rPr>
              <w:t>shunts (see 14 CLINICAL</w:t>
            </w:r>
            <w:r>
              <w:rPr>
                <w:szCs w:val="22"/>
              </w:rPr>
              <w:t xml:space="preserve"> </w:t>
            </w:r>
            <w:r w:rsidRPr="002F401D">
              <w:rPr>
                <w:szCs w:val="22"/>
              </w:rPr>
              <w:t>TRIALS).</w:t>
            </w:r>
          </w:p>
        </w:tc>
      </w:tr>
      <w:tr w:rsidR="00C37986" w:rsidRPr="00D01DDB" w14:paraId="476534DF"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087F63C" w14:textId="5687F371" w:rsidR="00C37986" w:rsidRDefault="00C37986" w:rsidP="00324B33">
            <w:pPr>
              <w:rPr>
                <w:szCs w:val="22"/>
              </w:rPr>
            </w:pPr>
            <w:r>
              <w:rPr>
                <w:szCs w:val="22"/>
              </w:rPr>
              <w:lastRenderedPageBreak/>
              <w:t>Switzerland</w:t>
            </w:r>
          </w:p>
        </w:tc>
        <w:tc>
          <w:tcPr>
            <w:tcW w:w="1018" w:type="pct"/>
          </w:tcPr>
          <w:p w14:paraId="3AFE3D6E" w14:textId="151BEF34" w:rsidR="00C37986" w:rsidRDefault="00C37986"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26 January 2024</w:t>
            </w:r>
          </w:p>
        </w:tc>
        <w:tc>
          <w:tcPr>
            <w:tcW w:w="1173" w:type="pct"/>
          </w:tcPr>
          <w:p w14:paraId="46877270" w14:textId="5C9C6629" w:rsidR="00C37986" w:rsidRPr="00D01DDB" w:rsidRDefault="00C04ADF"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95" w:type="pct"/>
          </w:tcPr>
          <w:p w14:paraId="553E057B" w14:textId="7708175F" w:rsidR="00C37986" w:rsidRPr="00D01DDB" w:rsidRDefault="00C04ADF"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C37986" w:rsidRPr="00D01DDB" w14:paraId="17CF984C"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0E5741B6" w14:textId="116979A7" w:rsidR="00C37986" w:rsidRDefault="00C04ADF" w:rsidP="00324B33">
            <w:pPr>
              <w:rPr>
                <w:szCs w:val="22"/>
              </w:rPr>
            </w:pPr>
            <w:r>
              <w:rPr>
                <w:szCs w:val="22"/>
              </w:rPr>
              <w:t>Singapore</w:t>
            </w:r>
          </w:p>
        </w:tc>
        <w:tc>
          <w:tcPr>
            <w:tcW w:w="1018" w:type="pct"/>
          </w:tcPr>
          <w:p w14:paraId="44808F1A" w14:textId="3B8DE81A" w:rsidR="00C37986" w:rsidRDefault="00C04ADF"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30 January 2024</w:t>
            </w:r>
          </w:p>
        </w:tc>
        <w:tc>
          <w:tcPr>
            <w:tcW w:w="1173" w:type="pct"/>
          </w:tcPr>
          <w:p w14:paraId="12FEA3D4" w14:textId="0C75879C" w:rsidR="00C37986" w:rsidRPr="00D01DDB" w:rsidRDefault="00C04ADF"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95" w:type="pct"/>
          </w:tcPr>
          <w:p w14:paraId="4DDFA527" w14:textId="13E014F6" w:rsidR="00C37986" w:rsidRPr="00D01DDB" w:rsidRDefault="00C04ADF"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r w:rsidR="00324B33" w:rsidRPr="00D01DDB"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476D518F" w:rsidR="00324B33" w:rsidRPr="00D01DDB" w:rsidRDefault="00CF7D5A" w:rsidP="00324B33">
            <w:pPr>
              <w:rPr>
                <w:szCs w:val="22"/>
              </w:rPr>
            </w:pPr>
            <w:r>
              <w:rPr>
                <w:szCs w:val="22"/>
              </w:rPr>
              <w:t>UK</w:t>
            </w:r>
          </w:p>
        </w:tc>
        <w:tc>
          <w:tcPr>
            <w:tcW w:w="1018" w:type="pct"/>
          </w:tcPr>
          <w:p w14:paraId="1D871E57" w14:textId="4AFF4165" w:rsidR="00324B33" w:rsidRPr="00D01DDB" w:rsidRDefault="003C7B4E" w:rsidP="00324B33">
            <w:pPr>
              <w:cnfStyle w:val="000000000000" w:firstRow="0" w:lastRow="0" w:firstColumn="0" w:lastColumn="0" w:oddVBand="0" w:evenVBand="0" w:oddHBand="0" w:evenHBand="0" w:firstRowFirstColumn="0" w:firstRowLastColumn="0" w:lastRowFirstColumn="0" w:lastRowLastColumn="0"/>
              <w:rPr>
                <w:szCs w:val="22"/>
              </w:rPr>
            </w:pPr>
            <w:r>
              <w:rPr>
                <w:szCs w:val="22"/>
              </w:rPr>
              <w:t>3 September 2024</w:t>
            </w:r>
          </w:p>
        </w:tc>
        <w:tc>
          <w:tcPr>
            <w:tcW w:w="1173" w:type="pct"/>
          </w:tcPr>
          <w:p w14:paraId="63A3A9D3" w14:textId="2FA15569"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c>
          <w:tcPr>
            <w:tcW w:w="1795" w:type="pct"/>
          </w:tcPr>
          <w:p w14:paraId="17C650B8" w14:textId="5B567795" w:rsidR="00324B33" w:rsidRPr="00D01DDB" w:rsidRDefault="00324B33" w:rsidP="00324B33">
            <w:pPr>
              <w:cnfStyle w:val="000000000000" w:firstRow="0" w:lastRow="0" w:firstColumn="0" w:lastColumn="0" w:oddVBand="0" w:evenVBand="0" w:oddHBand="0" w:evenHBand="0" w:firstRowFirstColumn="0" w:firstRowLastColumn="0" w:lastRowFirstColumn="0" w:lastRowLastColumn="0"/>
              <w:rPr>
                <w:szCs w:val="22"/>
              </w:rPr>
            </w:pPr>
            <w:r w:rsidRPr="00D01DDB">
              <w:rPr>
                <w:szCs w:val="22"/>
              </w:rPr>
              <w:t>Under consideration</w:t>
            </w:r>
          </w:p>
        </w:tc>
      </w:tr>
    </w:tbl>
    <w:p w14:paraId="6D92589C" w14:textId="09786CEF" w:rsidR="00324B33" w:rsidRDefault="00324B33" w:rsidP="00324B33">
      <w:pPr>
        <w:pStyle w:val="Heading2"/>
      </w:pPr>
      <w:bookmarkStart w:id="26" w:name="_Toc504480011"/>
      <w:bookmarkStart w:id="27" w:name="_Toc103679293"/>
      <w:bookmarkStart w:id="28" w:name="_Toc202861304"/>
      <w:r>
        <w:t>Registration timeline</w:t>
      </w:r>
      <w:bookmarkEnd w:id="26"/>
      <w:bookmarkEnd w:id="27"/>
      <w:bookmarkEnd w:id="28"/>
    </w:p>
    <w:p w14:paraId="225E3D87" w14:textId="1F3070CE" w:rsidR="00324B33" w:rsidRPr="00BD5DBD" w:rsidRDefault="00324B33" w:rsidP="00324B33">
      <w:pPr>
        <w:rPr>
          <w:szCs w:val="22"/>
        </w:rPr>
      </w:pPr>
      <w:r w:rsidRPr="00BD5DBD">
        <w:rPr>
          <w:szCs w:val="22"/>
        </w:rPr>
        <w:t>The following table captures the key steps and dates for this submission.</w:t>
      </w:r>
    </w:p>
    <w:p w14:paraId="1C4C6348" w14:textId="3B6E75DE" w:rsidR="00477C4E" w:rsidRPr="00BD5DBD" w:rsidRDefault="00477C4E" w:rsidP="00324B33">
      <w:pPr>
        <w:rPr>
          <w:szCs w:val="22"/>
        </w:rPr>
      </w:pPr>
      <w:r w:rsidRPr="00BD5DBD">
        <w:rPr>
          <w:szCs w:val="22"/>
        </w:rPr>
        <w:t>This submission was evaluated under the</w:t>
      </w:r>
      <w:r w:rsidR="00535DFE" w:rsidRPr="00BD5DBD">
        <w:rPr>
          <w:szCs w:val="22"/>
        </w:rPr>
        <w:t xml:space="preserve"> </w:t>
      </w:r>
      <w:hyperlink r:id="rId24" w:anchor="process" w:history="1">
        <w:r w:rsidR="00535DFE" w:rsidRPr="00BD5DBD">
          <w:rPr>
            <w:rStyle w:val="Hyperlink"/>
            <w:szCs w:val="22"/>
          </w:rPr>
          <w:t>priority registration process</w:t>
        </w:r>
      </w:hyperlink>
      <w:r w:rsidR="00535DFE" w:rsidRPr="00BD5DBD">
        <w:rPr>
          <w:szCs w:val="22"/>
        </w:rPr>
        <w:t>.</w:t>
      </w:r>
    </w:p>
    <w:p w14:paraId="5B779104" w14:textId="6782FF9D" w:rsidR="0017005C" w:rsidRDefault="0017005C" w:rsidP="0017005C">
      <w:r w:rsidRPr="00BD5DBD">
        <w:rPr>
          <w:szCs w:val="22"/>
        </w:rPr>
        <w:t>Th</w:t>
      </w:r>
      <w:r w:rsidR="00804897">
        <w:rPr>
          <w:szCs w:val="22"/>
        </w:rPr>
        <w:t>e active ingredient with its proposed indication was given</w:t>
      </w:r>
      <w:r w:rsidR="00804897" w:rsidRPr="00804897">
        <w:t xml:space="preserve"> </w:t>
      </w:r>
      <w:hyperlink r:id="rId25" w:history="1">
        <w:r w:rsidR="00804897">
          <w:rPr>
            <w:rStyle w:val="Hyperlink"/>
          </w:rPr>
          <w:t>orphan drug designation</w:t>
        </w:r>
      </w:hyperlink>
      <w:r w:rsidR="00804897">
        <w:t>.</w:t>
      </w:r>
    </w:p>
    <w:p w14:paraId="44628C5F" w14:textId="22C9EEA8" w:rsidR="00324B33" w:rsidRDefault="00324B33" w:rsidP="002C1232">
      <w:pPr>
        <w:pStyle w:val="TableTitle"/>
      </w:pPr>
      <w:r w:rsidRPr="002C1232">
        <w:t xml:space="preserve">Table </w:t>
      </w:r>
      <w:r w:rsidR="007F1E37">
        <w:fldChar w:fldCharType="begin"/>
      </w:r>
      <w:r w:rsidR="007F1E37">
        <w:instrText xml:space="preserve"> SEQ Table \* ARABIC </w:instrText>
      </w:r>
      <w:r w:rsidR="007F1E37">
        <w:fldChar w:fldCharType="separate"/>
      </w:r>
      <w:r w:rsidR="00705ED7">
        <w:rPr>
          <w:noProof/>
        </w:rPr>
        <w:t>2</w:t>
      </w:r>
      <w:r w:rsidR="007F1E37">
        <w:fldChar w:fldCharType="end"/>
      </w:r>
      <w:r w:rsidRPr="002C1232">
        <w:t>: Timeline for Submission PM-202</w:t>
      </w:r>
      <w:r w:rsidR="009F10EB">
        <w:t>4</w:t>
      </w:r>
      <w:r w:rsidRPr="002C1232">
        <w:t>-</w:t>
      </w:r>
      <w:r w:rsidR="009F10EB">
        <w:t>00043-1</w:t>
      </w:r>
      <w:r w:rsidR="002602D0">
        <w:t>-3</w:t>
      </w:r>
    </w:p>
    <w:p w14:paraId="096B8688" w14:textId="216FAE55" w:rsidR="007072A1" w:rsidRPr="0014498D" w:rsidRDefault="00D94C8E" w:rsidP="00854D98">
      <w:pPr>
        <w:spacing w:before="120"/>
        <w:rPr>
          <w:rStyle w:val="Hyperlink"/>
          <w:b/>
          <w:bCs/>
          <w:i/>
          <w:iCs/>
          <w:color w:val="auto"/>
        </w:rPr>
      </w:pPr>
      <w:r w:rsidRPr="0014498D">
        <w:rPr>
          <w:b/>
          <w:bCs/>
          <w:i/>
          <w:iCs/>
        </w:rPr>
        <w:t>Priority review pathway</w:t>
      </w:r>
    </w:p>
    <w:tbl>
      <w:tblPr>
        <w:tblStyle w:val="TableTGAblue2023"/>
        <w:tblW w:w="8642" w:type="dxa"/>
        <w:tblLook w:val="04A0" w:firstRow="1" w:lastRow="0" w:firstColumn="1" w:lastColumn="0" w:noHBand="0" w:noVBand="1"/>
      </w:tblPr>
      <w:tblGrid>
        <w:gridCol w:w="5665"/>
        <w:gridCol w:w="2977"/>
      </w:tblGrid>
      <w:tr w:rsidR="007072A1" w:rsidRPr="00D01DDB" w14:paraId="7429FB08" w14:textId="77777777" w:rsidTr="00336F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65" w:type="dxa"/>
          </w:tcPr>
          <w:p w14:paraId="21353B63" w14:textId="77777777" w:rsidR="007072A1" w:rsidRPr="00D01DDB" w:rsidRDefault="007072A1" w:rsidP="007452E8">
            <w:pPr>
              <w:rPr>
                <w:szCs w:val="22"/>
              </w:rPr>
            </w:pPr>
            <w:r w:rsidRPr="00D01DDB">
              <w:rPr>
                <w:szCs w:val="22"/>
              </w:rPr>
              <w:t>Description</w:t>
            </w:r>
          </w:p>
        </w:tc>
        <w:tc>
          <w:tcPr>
            <w:tcW w:w="2977" w:type="dxa"/>
          </w:tcPr>
          <w:p w14:paraId="12341C2F" w14:textId="77777777" w:rsidR="007072A1" w:rsidRPr="00D01DDB" w:rsidRDefault="007072A1" w:rsidP="007452E8">
            <w:pPr>
              <w:cnfStyle w:val="100000000000" w:firstRow="1" w:lastRow="0" w:firstColumn="0" w:lastColumn="0" w:oddVBand="0" w:evenVBand="0" w:oddHBand="0" w:evenHBand="0" w:firstRowFirstColumn="0" w:firstRowLastColumn="0" w:lastRowFirstColumn="0" w:lastRowLastColumn="0"/>
              <w:rPr>
                <w:szCs w:val="22"/>
              </w:rPr>
            </w:pPr>
            <w:r w:rsidRPr="00D01DDB">
              <w:rPr>
                <w:szCs w:val="22"/>
              </w:rPr>
              <w:t>Date</w:t>
            </w:r>
          </w:p>
        </w:tc>
      </w:tr>
      <w:tr w:rsidR="005F39BB" w:rsidRPr="00D01DDB" w14:paraId="5D0E3E22" w14:textId="77777777" w:rsidTr="00FF6CCC">
        <w:tc>
          <w:tcPr>
            <w:cnfStyle w:val="001000000000" w:firstRow="0" w:lastRow="0" w:firstColumn="1" w:lastColumn="0" w:oddVBand="0" w:evenVBand="0" w:oddHBand="0" w:evenHBand="0" w:firstRowFirstColumn="0" w:firstRowLastColumn="0" w:lastRowFirstColumn="0" w:lastRowLastColumn="0"/>
            <w:tcW w:w="5665" w:type="dxa"/>
          </w:tcPr>
          <w:p w14:paraId="20B6681A" w14:textId="77777777" w:rsidR="005F39BB" w:rsidRPr="00E679D1" w:rsidRDefault="005F39BB" w:rsidP="00FF6CCC">
            <w:r w:rsidRPr="00E679D1">
              <w:t>Designation (Orphan)</w:t>
            </w:r>
          </w:p>
        </w:tc>
        <w:tc>
          <w:tcPr>
            <w:tcW w:w="2977" w:type="dxa"/>
          </w:tcPr>
          <w:p w14:paraId="10C47D79" w14:textId="77777777" w:rsidR="005F39BB" w:rsidRPr="00D01DDB" w:rsidRDefault="005F39BB" w:rsidP="00FF6CCC">
            <w:pPr>
              <w:cnfStyle w:val="000000000000" w:firstRow="0" w:lastRow="0" w:firstColumn="0" w:lastColumn="0" w:oddVBand="0" w:evenVBand="0" w:oddHBand="0" w:evenHBand="0" w:firstRowFirstColumn="0" w:firstRowLastColumn="0" w:lastRowFirstColumn="0" w:lastRowLastColumn="0"/>
              <w:rPr>
                <w:szCs w:val="22"/>
              </w:rPr>
            </w:pPr>
            <w:r>
              <w:rPr>
                <w:szCs w:val="22"/>
              </w:rPr>
              <w:t>19 September 2023</w:t>
            </w:r>
          </w:p>
        </w:tc>
      </w:tr>
      <w:tr w:rsidR="00967223" w:rsidRPr="00D01DDB" w14:paraId="5590E581"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1FF6B74D" w14:textId="3901F269" w:rsidR="00967223" w:rsidRPr="00E679D1" w:rsidRDefault="0017005C" w:rsidP="00E679D1">
            <w:r w:rsidRPr="00E679D1">
              <w:t>P</w:t>
            </w:r>
            <w:r w:rsidR="00967223" w:rsidRPr="00E679D1">
              <w:t xml:space="preserve">riority </w:t>
            </w:r>
            <w:r w:rsidR="00336FE1" w:rsidRPr="00E679D1">
              <w:t>determination</w:t>
            </w:r>
          </w:p>
        </w:tc>
        <w:tc>
          <w:tcPr>
            <w:tcW w:w="2977" w:type="dxa"/>
          </w:tcPr>
          <w:p w14:paraId="56E2CAF4" w14:textId="4EC58CFA" w:rsidR="00967223" w:rsidRPr="00D01DDB" w:rsidRDefault="005B5250"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3 October 2023</w:t>
            </w:r>
          </w:p>
        </w:tc>
      </w:tr>
      <w:tr w:rsidR="007072A1" w:rsidRPr="00D01DDB" w14:paraId="0D1CC924"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DBF8D15" w14:textId="61E4370D" w:rsidR="00BB6847" w:rsidRPr="00E679D1" w:rsidRDefault="007072A1" w:rsidP="00E679D1">
            <w:r w:rsidRPr="00E679D1">
              <w:t>Submission dossier accepted and first round evaluation commenced</w:t>
            </w:r>
          </w:p>
        </w:tc>
        <w:tc>
          <w:tcPr>
            <w:tcW w:w="2977" w:type="dxa"/>
          </w:tcPr>
          <w:p w14:paraId="1894520F" w14:textId="37206F86" w:rsidR="007072A1" w:rsidRPr="00D01DDB" w:rsidRDefault="00F72D7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 March 2024</w:t>
            </w:r>
          </w:p>
        </w:tc>
      </w:tr>
      <w:tr w:rsidR="007072A1" w:rsidRPr="00D01DDB" w14:paraId="1C772CA1"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EA0BE18" w14:textId="2C21BD8C" w:rsidR="00BB6847" w:rsidRPr="00E679D1" w:rsidRDefault="007072A1" w:rsidP="00E679D1">
            <w:r w:rsidRPr="00E679D1">
              <w:t>Second round evaluation completed</w:t>
            </w:r>
          </w:p>
        </w:tc>
        <w:tc>
          <w:tcPr>
            <w:tcW w:w="2977" w:type="dxa"/>
          </w:tcPr>
          <w:p w14:paraId="57A97EED" w14:textId="5E7F8532" w:rsidR="007072A1" w:rsidRPr="00D01DDB" w:rsidRDefault="00F72D7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21 June 2024</w:t>
            </w:r>
          </w:p>
        </w:tc>
      </w:tr>
      <w:tr w:rsidR="007072A1" w:rsidRPr="00D01DDB" w14:paraId="55F8C6CF"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22F7F0DC" w14:textId="6DAEAFA3" w:rsidR="00BB6847" w:rsidRPr="00336FE1" w:rsidRDefault="007072A1" w:rsidP="00A32C50">
            <w:pPr>
              <w:rPr>
                <w:color w:val="007099"/>
                <w:szCs w:val="22"/>
              </w:rPr>
            </w:pPr>
            <w:r w:rsidRPr="00D01DDB">
              <w:rPr>
                <w:szCs w:val="22"/>
              </w:rPr>
              <w:t>Delegate’s</w:t>
            </w:r>
            <w:r w:rsidR="00877CB3">
              <w:rPr>
                <w:rStyle w:val="FootnoteReference"/>
                <w:szCs w:val="22"/>
              </w:rPr>
              <w:footnoteReference w:id="7"/>
            </w:r>
            <w:r w:rsidRPr="00D01DDB">
              <w:rPr>
                <w:szCs w:val="22"/>
              </w:rPr>
              <w:t xml:space="preserve"> Overall benefit-risk </w:t>
            </w:r>
            <w:r w:rsidRPr="0063185E">
              <w:rPr>
                <w:color w:val="auto"/>
                <w:szCs w:val="22"/>
              </w:rPr>
              <w:t>assessment and request for Advisory Committee advice</w:t>
            </w:r>
          </w:p>
        </w:tc>
        <w:tc>
          <w:tcPr>
            <w:tcW w:w="2977" w:type="dxa"/>
          </w:tcPr>
          <w:p w14:paraId="1CDFEFA1" w14:textId="3BF52315" w:rsidR="007072A1" w:rsidRPr="00D01DDB" w:rsidRDefault="00F72D7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27 August 2024</w:t>
            </w:r>
          </w:p>
        </w:tc>
      </w:tr>
      <w:tr w:rsidR="007072A1" w:rsidRPr="00D01DDB" w14:paraId="008A0804"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EE78B2C" w14:textId="77777777" w:rsidR="007072A1" w:rsidRPr="00D01DDB" w:rsidRDefault="007072A1" w:rsidP="007452E8">
            <w:pPr>
              <w:rPr>
                <w:szCs w:val="22"/>
              </w:rPr>
            </w:pPr>
            <w:r w:rsidRPr="00D01DDB">
              <w:rPr>
                <w:szCs w:val="22"/>
              </w:rPr>
              <w:t>Advisory Committee meeting</w:t>
            </w:r>
          </w:p>
        </w:tc>
        <w:tc>
          <w:tcPr>
            <w:tcW w:w="2977" w:type="dxa"/>
          </w:tcPr>
          <w:p w14:paraId="73D2FEE8" w14:textId="39582391" w:rsidR="007072A1" w:rsidRPr="00D01DDB" w:rsidRDefault="00F72D7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3 to 4 October 2024</w:t>
            </w:r>
          </w:p>
        </w:tc>
      </w:tr>
      <w:tr w:rsidR="007072A1" w:rsidRPr="00D01DDB" w14:paraId="14FAD894"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4A622D23" w14:textId="77777777" w:rsidR="007072A1" w:rsidRPr="00D01DDB" w:rsidRDefault="007072A1" w:rsidP="007452E8">
            <w:pPr>
              <w:rPr>
                <w:szCs w:val="22"/>
              </w:rPr>
            </w:pPr>
            <w:r w:rsidRPr="00D01DDB">
              <w:rPr>
                <w:szCs w:val="22"/>
              </w:rPr>
              <w:t>Registration decision (Outcome)</w:t>
            </w:r>
          </w:p>
        </w:tc>
        <w:tc>
          <w:tcPr>
            <w:tcW w:w="2977" w:type="dxa"/>
          </w:tcPr>
          <w:p w14:paraId="336A6D96" w14:textId="22B7A1A3" w:rsidR="007072A1" w:rsidRPr="00D01DDB" w:rsidRDefault="0009673F"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7 November 2024</w:t>
            </w:r>
          </w:p>
        </w:tc>
      </w:tr>
      <w:tr w:rsidR="007072A1" w:rsidRPr="00D01DDB" w14:paraId="4FFA7E18"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76536B5F" w14:textId="2963A273" w:rsidR="007072A1" w:rsidRPr="00D01DDB" w:rsidRDefault="0013132F" w:rsidP="007452E8">
            <w:pPr>
              <w:rPr>
                <w:szCs w:val="22"/>
              </w:rPr>
            </w:pPr>
            <w:r>
              <w:t xml:space="preserve">Administrative activities and registration </w:t>
            </w:r>
            <w:r w:rsidR="005C4B46">
              <w:t xml:space="preserve">in </w:t>
            </w:r>
            <w:r>
              <w:t>the ARTG completed</w:t>
            </w:r>
          </w:p>
        </w:tc>
        <w:tc>
          <w:tcPr>
            <w:tcW w:w="2977" w:type="dxa"/>
          </w:tcPr>
          <w:p w14:paraId="794B11E5" w14:textId="2D028292" w:rsidR="007072A1" w:rsidRPr="00D01DDB" w:rsidRDefault="0009673F"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8 November 2024</w:t>
            </w:r>
          </w:p>
        </w:tc>
      </w:tr>
      <w:tr w:rsidR="007072A1" w:rsidRPr="00D01DDB" w14:paraId="6324C4A7" w14:textId="77777777" w:rsidTr="00336FE1">
        <w:tc>
          <w:tcPr>
            <w:cnfStyle w:val="001000000000" w:firstRow="0" w:lastRow="0" w:firstColumn="1" w:lastColumn="0" w:oddVBand="0" w:evenVBand="0" w:oddHBand="0" w:evenHBand="0" w:firstRowFirstColumn="0" w:firstRowLastColumn="0" w:lastRowFirstColumn="0" w:lastRowLastColumn="0"/>
            <w:tcW w:w="5665" w:type="dxa"/>
          </w:tcPr>
          <w:p w14:paraId="57C43AF4" w14:textId="77777777" w:rsidR="007072A1" w:rsidRPr="00D01DDB" w:rsidRDefault="007072A1" w:rsidP="007452E8">
            <w:pPr>
              <w:rPr>
                <w:szCs w:val="22"/>
              </w:rPr>
            </w:pPr>
            <w:r w:rsidRPr="00D01DDB">
              <w:rPr>
                <w:szCs w:val="22"/>
              </w:rPr>
              <w:t>Number of working days from submission dossier acceptance to registration decision*</w:t>
            </w:r>
          </w:p>
        </w:tc>
        <w:tc>
          <w:tcPr>
            <w:tcW w:w="2977" w:type="dxa"/>
          </w:tcPr>
          <w:p w14:paraId="1E16937C" w14:textId="3395F744" w:rsidR="007072A1" w:rsidRPr="00D01DDB" w:rsidRDefault="00606B35" w:rsidP="007452E8">
            <w:pPr>
              <w:cnfStyle w:val="000000000000" w:firstRow="0" w:lastRow="0" w:firstColumn="0" w:lastColumn="0" w:oddVBand="0" w:evenVBand="0" w:oddHBand="0" w:evenHBand="0" w:firstRowFirstColumn="0" w:firstRowLastColumn="0" w:lastRowFirstColumn="0" w:lastRowLastColumn="0"/>
              <w:rPr>
                <w:szCs w:val="22"/>
              </w:rPr>
            </w:pPr>
            <w:r>
              <w:rPr>
                <w:szCs w:val="22"/>
              </w:rPr>
              <w:t>150 days</w:t>
            </w:r>
          </w:p>
        </w:tc>
      </w:tr>
    </w:tbl>
    <w:p w14:paraId="4909D74A" w14:textId="71D76268" w:rsidR="00C22214" w:rsidRPr="006473BC" w:rsidRDefault="00C22214" w:rsidP="006473BC">
      <w:pPr>
        <w:pStyle w:val="TableDescription"/>
      </w:pPr>
      <w:r>
        <w:t>*Target timeframe for priority submissions is 150 working days from acceptance for evaluation to the decision.</w:t>
      </w:r>
    </w:p>
    <w:p w14:paraId="220925F1" w14:textId="1F8C7C68" w:rsidR="00C22214" w:rsidRPr="00792A32" w:rsidRDefault="00083763" w:rsidP="00C22214">
      <w:pPr>
        <w:pStyle w:val="Heading2"/>
      </w:pPr>
      <w:bookmarkStart w:id="29" w:name="_Toc196046504"/>
      <w:bookmarkStart w:id="30" w:name="_Toc247691527"/>
      <w:bookmarkStart w:id="31" w:name="_Toc314842510"/>
      <w:bookmarkStart w:id="32" w:name="_Toc103679294"/>
      <w:bookmarkStart w:id="33" w:name="_Toc202861305"/>
      <w:r>
        <w:t xml:space="preserve">Assessment </w:t>
      </w:r>
      <w:r w:rsidR="00C22214" w:rsidRPr="00006FAB">
        <w:t>overview</w:t>
      </w:r>
      <w:bookmarkEnd w:id="29"/>
      <w:bookmarkEnd w:id="30"/>
      <w:bookmarkEnd w:id="31"/>
      <w:bookmarkEnd w:id="32"/>
      <w:bookmarkEnd w:id="33"/>
    </w:p>
    <w:p w14:paraId="540151FC" w14:textId="77777777" w:rsidR="00C22214" w:rsidRPr="00BD5DBD" w:rsidRDefault="00C22214" w:rsidP="00BD5DBD">
      <w:pPr>
        <w:rPr>
          <w:szCs w:val="22"/>
        </w:rPr>
      </w:pPr>
      <w:bookmarkStart w:id="34" w:name="_Toc247691528"/>
      <w:bookmarkStart w:id="35" w:name="_Toc314842511"/>
      <w:r w:rsidRPr="00BD5DBD">
        <w:rPr>
          <w:szCs w:val="22"/>
        </w:rPr>
        <w:t>A summary of the TGA’s assessment for this submission is provided below.</w:t>
      </w:r>
    </w:p>
    <w:p w14:paraId="5F5FAA14" w14:textId="77777777" w:rsidR="00C22214" w:rsidRPr="00BD5DBD" w:rsidRDefault="00C22214" w:rsidP="00C22214">
      <w:pPr>
        <w:rPr>
          <w:szCs w:val="22"/>
        </w:rPr>
      </w:pPr>
      <w:r w:rsidRPr="00BD5DBD">
        <w:rPr>
          <w:szCs w:val="22"/>
        </w:rPr>
        <w:lastRenderedPageBreak/>
        <w:t>This section is a TGA summary of wording used in TGA’s evaluation report, which discussed numerous aspects of overseas evaluation reports and included some information that was commercial-in-confidence.</w:t>
      </w:r>
    </w:p>
    <w:p w14:paraId="668E3E84" w14:textId="6045239F" w:rsidR="007072A1" w:rsidRPr="00BD5DBD" w:rsidRDefault="007072A1" w:rsidP="00966EF1">
      <w:pPr>
        <w:rPr>
          <w:szCs w:val="22"/>
        </w:rPr>
      </w:pPr>
      <w:r w:rsidRPr="00BD5DBD">
        <w:rPr>
          <w:szCs w:val="22"/>
        </w:rPr>
        <w:t xml:space="preserve">Relevant guidelines or guidance documents referred to by the </w:t>
      </w:r>
      <w:r w:rsidR="00C65797">
        <w:rPr>
          <w:szCs w:val="22"/>
        </w:rPr>
        <w:t>d</w:t>
      </w:r>
      <w:r w:rsidRPr="00BD5DBD">
        <w:rPr>
          <w:szCs w:val="22"/>
        </w:rPr>
        <w:t>elegate are listed below:</w:t>
      </w:r>
    </w:p>
    <w:p w14:paraId="3B757B18" w14:textId="59F308FD" w:rsidR="00FF62B5" w:rsidRDefault="00BD255B" w:rsidP="00C65797">
      <w:pPr>
        <w:pStyle w:val="ListBullet"/>
      </w:pPr>
      <w:r>
        <w:t xml:space="preserve">Guideline </w:t>
      </w:r>
      <w:r w:rsidR="00707507">
        <w:t>o</w:t>
      </w:r>
      <w:r>
        <w:t xml:space="preserve">n </w:t>
      </w:r>
      <w:r w:rsidR="00707507">
        <w:t>t</w:t>
      </w:r>
      <w:r>
        <w:t xml:space="preserve">he Clinical Investigations </w:t>
      </w:r>
      <w:r w:rsidR="00707507">
        <w:t>o</w:t>
      </w:r>
      <w:r>
        <w:t xml:space="preserve">f Medicinal Products </w:t>
      </w:r>
      <w:r w:rsidR="00707507">
        <w:t>for the</w:t>
      </w:r>
      <w:r>
        <w:t xml:space="preserve"> Treatment </w:t>
      </w:r>
      <w:r w:rsidR="00707507">
        <w:t>o</w:t>
      </w:r>
      <w:r>
        <w:t>f Pulmonary Arterial Hypertension. Ref</w:t>
      </w:r>
      <w:r w:rsidR="00092C6F">
        <w:t>er</w:t>
      </w:r>
      <w:r>
        <w:t xml:space="preserve"> E</w:t>
      </w:r>
      <w:r w:rsidR="00707507">
        <w:t>MEA</w:t>
      </w:r>
      <w:r>
        <w:t>/C</w:t>
      </w:r>
      <w:r w:rsidR="00707507">
        <w:t>HMP</w:t>
      </w:r>
      <w:r>
        <w:t>/E</w:t>
      </w:r>
      <w:r w:rsidR="00707507">
        <w:t>WP</w:t>
      </w:r>
      <w:r>
        <w:t>/356954/2008</w:t>
      </w:r>
      <w:r w:rsidR="00C337AE">
        <w:t>.</w:t>
      </w:r>
    </w:p>
    <w:p w14:paraId="2500095C" w14:textId="54678EF9" w:rsidR="00FF62B5" w:rsidRPr="00112CE1" w:rsidRDefault="00085769" w:rsidP="009D08AA">
      <w:pPr>
        <w:pStyle w:val="ListBullet"/>
      </w:pPr>
      <w:r>
        <w:t>The Extent of Population Exposure to Assess Clinical Safety for Drugs Intended for Long-Term Treatment of Non-Life-Threatening Conditions. E1 Current Step 4 version dated 27 October 1994.</w:t>
      </w:r>
      <w:r w:rsidR="008A509A">
        <w:rPr>
          <w:rStyle w:val="FootnoteReference"/>
        </w:rPr>
        <w:footnoteReference w:id="8"/>
      </w:r>
    </w:p>
    <w:p w14:paraId="37F5A1C0" w14:textId="5D3D5FE0" w:rsidR="00C22214" w:rsidRDefault="00095C6A" w:rsidP="00C22214">
      <w:pPr>
        <w:pStyle w:val="Heading3"/>
      </w:pPr>
      <w:bookmarkStart w:id="36" w:name="_Toc103679295"/>
      <w:bookmarkStart w:id="37" w:name="_Toc202861306"/>
      <w:r>
        <w:t>Q</w:t>
      </w:r>
      <w:r w:rsidR="00C22214">
        <w:t>uality</w:t>
      </w:r>
      <w:bookmarkEnd w:id="34"/>
      <w:bookmarkEnd w:id="35"/>
      <w:bookmarkEnd w:id="36"/>
      <w:r w:rsidR="007E6443">
        <w:t xml:space="preserve"> evaluation</w:t>
      </w:r>
      <w:r>
        <w:t xml:space="preserve"> summary</w:t>
      </w:r>
      <w:bookmarkEnd w:id="37"/>
    </w:p>
    <w:p w14:paraId="1CFE412B" w14:textId="51CA17E4" w:rsidR="00307A76" w:rsidRDefault="00307A76" w:rsidP="00307A76">
      <w:proofErr w:type="spellStart"/>
      <w:r>
        <w:t>Sotatercept</w:t>
      </w:r>
      <w:proofErr w:type="spellEnd"/>
      <w:r>
        <w:t xml:space="preserve"> is a </w:t>
      </w:r>
      <w:proofErr w:type="spellStart"/>
      <w:r>
        <w:t>homodimeric</w:t>
      </w:r>
      <w:proofErr w:type="spellEnd"/>
      <w:r>
        <w:t xml:space="preserve"> recombinant fusion protein expressed in Chinese Hamster Ovary cells and has a calculated molecular weight of 78</w:t>
      </w:r>
      <w:r w:rsidR="00EF14AB">
        <w:t> </w:t>
      </w:r>
      <w:proofErr w:type="spellStart"/>
      <w:r>
        <w:t>kDa</w:t>
      </w:r>
      <w:proofErr w:type="spellEnd"/>
      <w:r>
        <w:t xml:space="preserve"> (as the homodimer). It consists of the extracellular domain of the human activin receptor type IIA (</w:t>
      </w:r>
      <w:proofErr w:type="spellStart"/>
      <w:r>
        <w:t>ActRIIA</w:t>
      </w:r>
      <w:proofErr w:type="spellEnd"/>
      <w:r>
        <w:t>) linked to the human IgG1 Fc domain.</w:t>
      </w:r>
    </w:p>
    <w:p w14:paraId="271DF0BC" w14:textId="55011F61" w:rsidR="00307A76" w:rsidRDefault="00307A76" w:rsidP="00307A76">
      <w:r>
        <w:t xml:space="preserve">The finished product, sotatercept for injection, is a sterile, preservative free, white to off-white lyophilised cake or powder in single dose vials intended for reconstitution and subcutaneous injection. The excipients are citric acid monohydrate, polysorbate 80, sucrose and sodium citrate dihydrate. It is intended for reconstitution with water for injection. It is packaged in a glass vial, stoppered with a </w:t>
      </w:r>
      <w:proofErr w:type="spellStart"/>
      <w:r>
        <w:t>FluroTec</w:t>
      </w:r>
      <w:proofErr w:type="spellEnd"/>
      <w:r>
        <w:t xml:space="preserve"> coated </w:t>
      </w:r>
      <w:proofErr w:type="spellStart"/>
      <w:r>
        <w:t>bromobutyl</w:t>
      </w:r>
      <w:proofErr w:type="spellEnd"/>
      <w:r>
        <w:t xml:space="preserve"> rubber stopper and sealed with an aluminium crimp seal with flip-off cap. The manufacturing process for the finished product was described in sufficient detail and acceptable.</w:t>
      </w:r>
    </w:p>
    <w:p w14:paraId="42A92E91" w14:textId="2E786D68" w:rsidR="00307A76" w:rsidRPr="00392B35" w:rsidRDefault="00307A76" w:rsidP="00307A76">
      <w:r>
        <w:t>The drug product has a 36</w:t>
      </w:r>
      <w:r w:rsidR="00C65797">
        <w:t>-</w:t>
      </w:r>
      <w:r w:rsidR="00171C06">
        <w:t>m</w:t>
      </w:r>
      <w:r>
        <w:t xml:space="preserve">onth shelf life when stored at </w:t>
      </w:r>
      <w:r w:rsidR="0031571B">
        <w:t>+2</w:t>
      </w:r>
      <w:r w:rsidR="0031571B">
        <w:rPr>
          <w:rFonts w:ascii="Times New Roman" w:hAnsi="Times New Roman" w:cs="Times New Roman"/>
          <w:vertAlign w:val="superscript"/>
        </w:rPr>
        <w:t>°</w:t>
      </w:r>
      <w:r w:rsidR="0031571B">
        <w:t>C to +8</w:t>
      </w:r>
      <w:r w:rsidR="0031571B">
        <w:rPr>
          <w:rFonts w:ascii="Times New Roman" w:hAnsi="Times New Roman" w:cs="Times New Roman"/>
          <w:vertAlign w:val="superscript"/>
        </w:rPr>
        <w:t>°</w:t>
      </w:r>
      <w:r w:rsidR="0031571B">
        <w:t>C</w:t>
      </w:r>
      <w:r>
        <w:t xml:space="preserve"> and protected from light. When reconstituted the solution should be used within 4</w:t>
      </w:r>
      <w:r w:rsidR="00BC3E4E">
        <w:t> </w:t>
      </w:r>
      <w:r>
        <w:t xml:space="preserve">hours. These and additional storage condition details are presented appropriately in the </w:t>
      </w:r>
      <w:r w:rsidR="00DB4F38">
        <w:t>Product Information (</w:t>
      </w:r>
      <w:r>
        <w:t>PI</w:t>
      </w:r>
      <w:r w:rsidR="00DB4F38">
        <w:t>)</w:t>
      </w:r>
      <w:r>
        <w:t>, ARTG and product labels.</w:t>
      </w:r>
    </w:p>
    <w:p w14:paraId="6F6C5B72" w14:textId="77777777" w:rsidR="00307A76" w:rsidRDefault="00307A76" w:rsidP="00307A76">
      <w:r>
        <w:t>The quality evaluation included secondary evaluations for infectious disease/viral safety, container safety, microbiology (sterility) and endotoxin.</w:t>
      </w:r>
    </w:p>
    <w:p w14:paraId="2AFD1E66" w14:textId="52862F04" w:rsidR="00307A76" w:rsidRDefault="00307A76" w:rsidP="00307A76">
      <w:r>
        <w:t>There w</w:t>
      </w:r>
      <w:r w:rsidR="00BC3E4E">
        <w:t>as</w:t>
      </w:r>
      <w:r>
        <w:t xml:space="preserve"> no objection from a quality perspective to approval of </w:t>
      </w:r>
      <w:proofErr w:type="spellStart"/>
      <w:r>
        <w:t>W</w:t>
      </w:r>
      <w:r w:rsidR="00BC3E4E">
        <w:t>inrevair</w:t>
      </w:r>
      <w:proofErr w:type="spellEnd"/>
      <w:r>
        <w:t>.</w:t>
      </w:r>
    </w:p>
    <w:p w14:paraId="420A48BE" w14:textId="55358970" w:rsidR="00CC1130" w:rsidRPr="00F85ACE" w:rsidRDefault="00CC1130" w:rsidP="00307A76">
      <w:r>
        <w:t>Conditions of registration were recommended</w:t>
      </w:r>
      <w:r w:rsidR="00946F28">
        <w:t xml:space="preserve"> </w:t>
      </w:r>
      <w:r>
        <w:t xml:space="preserve">relating to </w:t>
      </w:r>
      <w:r w:rsidR="00946F28">
        <w:t>laboratory testing and Certified Product Details.</w:t>
      </w:r>
    </w:p>
    <w:p w14:paraId="2BE90AAE" w14:textId="35796FD3" w:rsidR="00C22214" w:rsidRDefault="00C22214" w:rsidP="00C22214">
      <w:pPr>
        <w:pStyle w:val="Heading3"/>
      </w:pPr>
      <w:bookmarkStart w:id="38" w:name="_Toc314842512"/>
      <w:bookmarkStart w:id="39" w:name="_Toc103679296"/>
      <w:bookmarkStart w:id="40" w:name="_Toc202861307"/>
      <w:r>
        <w:t>Nonclinical</w:t>
      </w:r>
      <w:bookmarkEnd w:id="38"/>
      <w:bookmarkEnd w:id="39"/>
      <w:r w:rsidR="007E6443">
        <w:t xml:space="preserve"> evaluation</w:t>
      </w:r>
      <w:r w:rsidR="00095C6A">
        <w:t xml:space="preserve"> summary</w:t>
      </w:r>
      <w:bookmarkEnd w:id="40"/>
    </w:p>
    <w:p w14:paraId="408B9250" w14:textId="77777777" w:rsidR="0048675F" w:rsidRDefault="0048675F" w:rsidP="4C6EA496">
      <w:pPr>
        <w:rPr>
          <w:highlight w:val="yellow"/>
        </w:rPr>
      </w:pPr>
      <w:bookmarkStart w:id="41" w:name="_Toc247691530"/>
      <w:bookmarkStart w:id="42" w:name="_Toc314842513"/>
      <w:bookmarkStart w:id="43" w:name="_Toc103679297"/>
      <w:r w:rsidRPr="6C63B393">
        <w:rPr>
          <w:i/>
          <w:iCs/>
        </w:rPr>
        <w:t>In vitro</w:t>
      </w:r>
      <w:r>
        <w:t>, sotatercept binds various human TGF-β ligands, in particular, Activin A, Activin B, GDF11. BMP10 and GDF8. Sotatercept is also expected to have similar binding to these ligands in other species (mouse, rat, rabbit, cynomolgus monkey). Sotatercept inhibited Smad2/3 signalling in cellular assays through binding GDF11, Activin A and Activin B. There was minimal inhibitory activity on Smad 1/5/8 signalling via BMP6, BMP9, BMP10.</w:t>
      </w:r>
    </w:p>
    <w:p w14:paraId="4578EF10" w14:textId="718A93FC" w:rsidR="0048675F" w:rsidRDefault="0048675F" w:rsidP="00EC4972">
      <w:r>
        <w:t xml:space="preserve">A rodent model of PAH was tested using a similar molecule to </w:t>
      </w:r>
      <w:proofErr w:type="spellStart"/>
      <w:r>
        <w:t>sotatercept</w:t>
      </w:r>
      <w:proofErr w:type="spellEnd"/>
      <w:r>
        <w:t xml:space="preserve"> (same </w:t>
      </w:r>
      <w:proofErr w:type="spellStart"/>
      <w:r>
        <w:t>ActRIIA</w:t>
      </w:r>
      <w:proofErr w:type="spellEnd"/>
      <w:r>
        <w:t xml:space="preserve"> domain with a murine IgG2a Fc). The molecule induced positive effects on PAH disease aspects including pulmonary vascular remodelling, pressure and right heart function.</w:t>
      </w:r>
    </w:p>
    <w:p w14:paraId="4B781726" w14:textId="44AD522A" w:rsidR="0048675F" w:rsidRDefault="0048675F" w:rsidP="006473BC">
      <w:r>
        <w:lastRenderedPageBreak/>
        <w:t>Secondary pharmacology studies were not conducted. Given the range of ligands that sotatercept can bind, off</w:t>
      </w:r>
      <w:r w:rsidR="00773129">
        <w:t>-</w:t>
      </w:r>
      <w:r>
        <w:t>target activity is possible, depending on plasma levels. Sotatercept is not expected to have clinically relevant antibody dependant cell-mediated cytotoxicity or complement dependant cytotoxicity.</w:t>
      </w:r>
    </w:p>
    <w:p w14:paraId="591CDA94" w14:textId="40A1F193" w:rsidR="0048675F" w:rsidRDefault="0048675F" w:rsidP="00EC4972">
      <w:r>
        <w:t xml:space="preserve">There was no relevant </w:t>
      </w:r>
      <w:proofErr w:type="spellStart"/>
      <w:r>
        <w:t>hERG</w:t>
      </w:r>
      <w:proofErr w:type="spellEnd"/>
      <w:r>
        <w:t xml:space="preserve"> inhibition </w:t>
      </w:r>
      <w:r w:rsidRPr="008A509A">
        <w:rPr>
          <w:i/>
          <w:iCs/>
        </w:rPr>
        <w:t>in vitro</w:t>
      </w:r>
      <w:r>
        <w:t xml:space="preserve"> (</w:t>
      </w:r>
      <w:r w:rsidR="00A674C5">
        <w:t xml:space="preserve">that is, </w:t>
      </w:r>
      <w:r>
        <w:t xml:space="preserve">no </w:t>
      </w:r>
      <w:r w:rsidRPr="008A509A">
        <w:rPr>
          <w:i/>
          <w:iCs/>
        </w:rPr>
        <w:t>in vitro</w:t>
      </w:r>
      <w:r>
        <w:t xml:space="preserve"> signal for QT prolongation). </w:t>
      </w:r>
      <w:r w:rsidR="001B0C32">
        <w:t>C</w:t>
      </w:r>
      <w:r w:rsidR="0011576D">
        <w:t>entral nervous system</w:t>
      </w:r>
      <w:r>
        <w:t>, respiratory and cardiovascular safety assessments were done as part of the 9</w:t>
      </w:r>
      <w:r w:rsidR="001B0C32">
        <w:t>-</w:t>
      </w:r>
      <w:r>
        <w:t>month repeat dose monkey study. No adverse effects were seen at 10</w:t>
      </w:r>
      <w:r w:rsidR="001B0C32">
        <w:t> </w:t>
      </w:r>
      <w:r>
        <w:t xml:space="preserve">mg/kg subcutaneous, which corresponds to an exposure ratio by </w:t>
      </w:r>
      <w:r w:rsidR="00585BD0">
        <w:t>m</w:t>
      </w:r>
      <w:r w:rsidR="00585BD0" w:rsidRPr="006719DD">
        <w:rPr>
          <w:rFonts w:cs="Cambria"/>
          <w:szCs w:val="22"/>
        </w:rPr>
        <w:t xml:space="preserve">aximum observed plasma (peak) concentration </w:t>
      </w:r>
      <w:r w:rsidR="00585BD0">
        <w:rPr>
          <w:rFonts w:cs="Cambria"/>
          <w:szCs w:val="22"/>
        </w:rPr>
        <w:t>(</w:t>
      </w:r>
      <w:proofErr w:type="spellStart"/>
      <w:r>
        <w:t>C</w:t>
      </w:r>
      <w:r w:rsidRPr="00585BD0">
        <w:rPr>
          <w:vertAlign w:val="subscript"/>
        </w:rPr>
        <w:t>max</w:t>
      </w:r>
      <w:proofErr w:type="spellEnd"/>
      <w:r w:rsidR="00585BD0">
        <w:t>)</w:t>
      </w:r>
      <w:r>
        <w:t xml:space="preserve"> of 17.</w:t>
      </w:r>
    </w:p>
    <w:p w14:paraId="42FA4E6F" w14:textId="39B27284" w:rsidR="0048675F" w:rsidRDefault="0048675F" w:rsidP="00EC4972">
      <w:r>
        <w:t>Whil</w:t>
      </w:r>
      <w:r w:rsidR="00963A4D">
        <w:t>e</w:t>
      </w:r>
      <w:r>
        <w:t xml:space="preserve"> animal pharmacokinetics </w:t>
      </w:r>
      <w:r w:rsidR="000436E3">
        <w:t xml:space="preserve">(PK) </w:t>
      </w:r>
      <w:r>
        <w:t>were studied, no distribution, metabolism or excretion studies were conducted given that sotatercept is a protein. Overall PK similarity was considered acceptable in terms of the pre-clinical species chosen.</w:t>
      </w:r>
    </w:p>
    <w:p w14:paraId="179FDD08" w14:textId="77777777" w:rsidR="0048675F" w:rsidRDefault="0048675F" w:rsidP="00EC4972">
      <w:r>
        <w:t>Across the single dose toxicology studies, no acute effects were observed.</w:t>
      </w:r>
    </w:p>
    <w:p w14:paraId="6AEF342D" w14:textId="3D5EF48A" w:rsidR="0048675F" w:rsidRDefault="0048675F" w:rsidP="00EC4972">
      <w:r>
        <w:t>Repeat dose toxicology studies were conducted in rats (3</w:t>
      </w:r>
      <w:r w:rsidR="002D5E3C">
        <w:t> </w:t>
      </w:r>
      <w:r>
        <w:t>months) and monkeys (9</w:t>
      </w:r>
      <w:r w:rsidR="002D5E3C">
        <w:t> </w:t>
      </w:r>
      <w:r>
        <w:t>months) using the subcutaneous route. Major findings were as follows:</w:t>
      </w:r>
    </w:p>
    <w:p w14:paraId="75B18BFE" w14:textId="77777777" w:rsidR="0048675F" w:rsidRDefault="0048675F" w:rsidP="006473BC">
      <w:pPr>
        <w:pStyle w:val="ListBullet"/>
      </w:pPr>
      <w:r>
        <w:t>Dose-dependent increases in red blood cell count, haemoglobin, haematocrit, reticulocytes and red cell distribution width in rats and monkeys (likely due TGF-β signalling). The changes were reversible.</w:t>
      </w:r>
    </w:p>
    <w:p w14:paraId="375493F9" w14:textId="77777777" w:rsidR="0048675F" w:rsidRDefault="0048675F" w:rsidP="009A6384">
      <w:pPr>
        <w:pStyle w:val="ListBullet"/>
      </w:pPr>
      <w:r>
        <w:t>Lower platelet counts were seen in rats and monkeys.</w:t>
      </w:r>
    </w:p>
    <w:p w14:paraId="42BD854F" w14:textId="1DBB30EA" w:rsidR="0048675F" w:rsidRDefault="0048675F" w:rsidP="009A6384">
      <w:pPr>
        <w:pStyle w:val="ListBullet"/>
      </w:pPr>
      <w:r>
        <w:t>Renal injury associated with membranoproliferative glomerulonephritis in rats and monkeys (lower exposures; likely direct effect rather than related to antidrug antibodies) and interstitial inflammation and fibrosis (higher exposure). Two monkeys at high exposure (</w:t>
      </w:r>
      <w:r w:rsidR="00D96862">
        <w:t>ER</w:t>
      </w:r>
      <w:r w:rsidR="00D96862" w:rsidRPr="00D96862">
        <w:rPr>
          <w:vertAlign w:val="subscript"/>
        </w:rPr>
        <w:t>AUC</w:t>
      </w:r>
      <w:r>
        <w:t xml:space="preserve"> 32) had renal failure and were terminated. There was partial recovery for the changes.</w:t>
      </w:r>
    </w:p>
    <w:p w14:paraId="7BAFF6F8" w14:textId="77777777" w:rsidR="0048675F" w:rsidRDefault="0048675F" w:rsidP="009A6384">
      <w:pPr>
        <w:pStyle w:val="ListBullet"/>
      </w:pPr>
      <w:r>
        <w:t>Adrenal cortical toxicity in rats (zona fasciculata or zona reticularis). Considered to be pharmacologically mediated and related to being given to rats during early life when adrenal gland still in development. Not considered relevant to adult humans.</w:t>
      </w:r>
    </w:p>
    <w:p w14:paraId="28A28F0B" w14:textId="77777777" w:rsidR="0048675F" w:rsidRDefault="0048675F" w:rsidP="009A6384">
      <w:pPr>
        <w:pStyle w:val="ListBullet"/>
      </w:pPr>
      <w:r>
        <w:t>Spermatogenesis defects in testes of rats.</w:t>
      </w:r>
    </w:p>
    <w:p w14:paraId="7F5651B7" w14:textId="75B4B845" w:rsidR="0048675F" w:rsidRDefault="0048675F" w:rsidP="009A6384">
      <w:pPr>
        <w:pStyle w:val="ListBullet"/>
      </w:pPr>
      <w:r>
        <w:t>Inflammatory infiltrate in choroid plexus of all treated monkeys, but without an effect on function (</w:t>
      </w:r>
      <w:r w:rsidR="00406D4E">
        <w:t xml:space="preserve">that is, </w:t>
      </w:r>
      <w:r>
        <w:t>neurological function).</w:t>
      </w:r>
    </w:p>
    <w:p w14:paraId="2D89C694" w14:textId="77777777" w:rsidR="0048675F" w:rsidRDefault="0048675F" w:rsidP="009A6384">
      <w:pPr>
        <w:pStyle w:val="ListBullet"/>
      </w:pPr>
      <w:r>
        <w:t>Lower heart weights in rats that was reversible and not considered adverse.</w:t>
      </w:r>
    </w:p>
    <w:p w14:paraId="1993E13A" w14:textId="77777777" w:rsidR="0048675F" w:rsidRDefault="0048675F" w:rsidP="00EC4972">
      <w:r>
        <w:t>Genotoxicity studies were not conducted.</w:t>
      </w:r>
    </w:p>
    <w:p w14:paraId="59343028" w14:textId="1331C3A3" w:rsidR="0048675F" w:rsidRDefault="0048675F" w:rsidP="00EC4972">
      <w:r>
        <w:t>Long</w:t>
      </w:r>
      <w:r w:rsidR="00FF7BC9">
        <w:t>-</w:t>
      </w:r>
      <w:r>
        <w:t>term rodent studies were not conducted due to potential for antidrug antibodies to affect exposure. A weight of evidence approach was taken and sotatercept was considered to have a low carcinogenic potential.</w:t>
      </w:r>
    </w:p>
    <w:p w14:paraId="42285050" w14:textId="713504FF" w:rsidR="0048675F" w:rsidRDefault="0048675F" w:rsidP="00EC4972">
      <w:r>
        <w:t xml:space="preserve">A set of reproductive and developmental toxicology studies were done and considered sufficiently comprehensive and acceptable. There were deleterious findings in </w:t>
      </w:r>
      <w:proofErr w:type="gramStart"/>
      <w:r>
        <w:t>all of</w:t>
      </w:r>
      <w:proofErr w:type="gramEnd"/>
      <w:r>
        <w:t xml:space="preserve"> the </w:t>
      </w:r>
      <w:r w:rsidR="00020911">
        <w:t>studies,</w:t>
      </w:r>
      <w:r>
        <w:t xml:space="preserve"> and these were generally attributable to sotatercept pharmacology (Activin A stimulates </w:t>
      </w:r>
      <w:r w:rsidR="005532BE">
        <w:t>follic</w:t>
      </w:r>
      <w:r w:rsidR="00402CAF">
        <w:t xml:space="preserve">le-stimulating hormone </w:t>
      </w:r>
      <w:r w:rsidR="007743B4">
        <w:t>(</w:t>
      </w:r>
      <w:r>
        <w:t>FSH</w:t>
      </w:r>
      <w:r w:rsidR="007743B4">
        <w:t>)</w:t>
      </w:r>
      <w:r>
        <w:t xml:space="preserve"> and has significant direct effects on reproductive organs). The findings are outlined as follows:</w:t>
      </w:r>
    </w:p>
    <w:p w14:paraId="1F9DE87A" w14:textId="4BA03262" w:rsidR="0048675F" w:rsidRPr="008545A8" w:rsidRDefault="0048675F" w:rsidP="00E72A03">
      <w:pPr>
        <w:pStyle w:val="ListBullet"/>
      </w:pPr>
      <w:r>
        <w:t>A fertility study was conducted in male rats. Male rats were allowed to mate naturally with untreated females following at least 10</w:t>
      </w:r>
      <w:r w:rsidR="00E72A03">
        <w:t> </w:t>
      </w:r>
      <w:r>
        <w:t>weeks of sotatercept dosing. Sperm analysis and detailed reproductive organ examination was also done at the end of 13</w:t>
      </w:r>
      <w:r w:rsidR="000D65C4">
        <w:t> </w:t>
      </w:r>
      <w:r>
        <w:t>weeks. Effects were seen in the efferent ducts, epididymis and testis/seminiferous tubules. Some of the effects were seen at the lowest dose (</w:t>
      </w:r>
      <w:r w:rsidR="000D65C4">
        <w:t>ER</w:t>
      </w:r>
      <w:r w:rsidR="000D65C4">
        <w:rPr>
          <w:vertAlign w:val="subscript"/>
        </w:rPr>
        <w:t>AUC</w:t>
      </w:r>
      <w:r w:rsidR="000D65C4">
        <w:t xml:space="preserve"> </w:t>
      </w:r>
      <w:r>
        <w:t>0.5) and some of the effects were severe (</w:t>
      </w:r>
      <w:r w:rsidR="009B0FB0">
        <w:t xml:space="preserve">for example, </w:t>
      </w:r>
      <w:r>
        <w:lastRenderedPageBreak/>
        <w:t>decreased sperm cellularity in the epididymis). At high exposure (</w:t>
      </w:r>
      <w:r w:rsidR="009B0FB0">
        <w:t>ER</w:t>
      </w:r>
      <w:r w:rsidR="009B0FB0">
        <w:rPr>
          <w:vertAlign w:val="subscript"/>
        </w:rPr>
        <w:t>AUC</w:t>
      </w:r>
      <w:r w:rsidR="009B0FB0">
        <w:t xml:space="preserve"> </w:t>
      </w:r>
      <w:r>
        <w:t xml:space="preserve">20) there was lower sperm density and lower fertility and pregnancy indices. There was partial recovery after a treatment free period. These effects on male reproductive organs and function are consistent with pharmacological effects of sotatercept (via Activin A). The </w:t>
      </w:r>
      <w:r w:rsidR="009B0FB0">
        <w:t>s</w:t>
      </w:r>
      <w:r>
        <w:t xml:space="preserve">ponsor suggested that the effects seen in rats are less likely to occur in humans due to anatomical differences. The </w:t>
      </w:r>
      <w:r w:rsidR="00DE7F90" w:rsidRPr="003A057B">
        <w:t>nonclinical</w:t>
      </w:r>
      <w:r w:rsidRPr="003A057B">
        <w:t xml:space="preserve"> evaluat</w:t>
      </w:r>
      <w:r w:rsidR="003A057B" w:rsidRPr="003A057B">
        <w:t>ion stated</w:t>
      </w:r>
      <w:r w:rsidRPr="003A057B">
        <w:t xml:space="preserve"> there to be potential risk and that effects may be seen at lower</w:t>
      </w:r>
      <w:r>
        <w:t xml:space="preserve"> concentrations in humans (due to greater susceptibility to changes in sperm number</w:t>
      </w:r>
      <w:r w:rsidR="00B95683">
        <w:t xml:space="preserve"> </w:t>
      </w:r>
      <w:r w:rsidR="00B95683" w:rsidRPr="00DE7F90">
        <w:t>and</w:t>
      </w:r>
      <w:r w:rsidRPr="00DE7F90">
        <w:t>/</w:t>
      </w:r>
      <w:r w:rsidR="00B95683" w:rsidRPr="00DE7F90">
        <w:t xml:space="preserve">or </w:t>
      </w:r>
      <w:r w:rsidRPr="00DE7F90">
        <w:t xml:space="preserve">quality). The potential risks for male patients should be reflected in the PI and </w:t>
      </w:r>
      <w:r w:rsidR="00DB4F38" w:rsidRPr="00DE7F90">
        <w:t>risk</w:t>
      </w:r>
      <w:r w:rsidR="00DB4F38">
        <w:t xml:space="preserve"> management plan (</w:t>
      </w:r>
      <w:r w:rsidRPr="008545A8">
        <w:t>RMP</w:t>
      </w:r>
      <w:r w:rsidR="00DB4F38">
        <w:t>)</w:t>
      </w:r>
      <w:r w:rsidRPr="008545A8">
        <w:t>.</w:t>
      </w:r>
    </w:p>
    <w:p w14:paraId="07EC5AE1" w14:textId="33358C47" w:rsidR="0048675F" w:rsidRDefault="0048675F" w:rsidP="00E72A03">
      <w:pPr>
        <w:pStyle w:val="ListBullet"/>
      </w:pPr>
      <w:r>
        <w:t>Prolonged oestrous cycling in female rats was seen, as were lower mating and fertility indices (</w:t>
      </w:r>
      <w:r w:rsidR="00B95683">
        <w:t>ER</w:t>
      </w:r>
      <w:r w:rsidR="00B95683">
        <w:rPr>
          <w:vertAlign w:val="subscript"/>
        </w:rPr>
        <w:t>AUC</w:t>
      </w:r>
      <w:r w:rsidR="00B95683">
        <w:t xml:space="preserve"> </w:t>
      </w:r>
      <w:r>
        <w:t>9). There were adverse effects on early embryonic development (higher pre- and post-implantation loss and total litter loss). The no</w:t>
      </w:r>
      <w:r w:rsidR="003D39A8">
        <w:t>-</w:t>
      </w:r>
      <w:r>
        <w:t>observed</w:t>
      </w:r>
      <w:r w:rsidR="003D39A8">
        <w:t>-</w:t>
      </w:r>
      <w:r>
        <w:t xml:space="preserve">effect level for female fertility and embryonic development was at a dose corresponding to an </w:t>
      </w:r>
      <w:r w:rsidR="00B95683">
        <w:t>ER</w:t>
      </w:r>
      <w:r w:rsidR="00B95683">
        <w:rPr>
          <w:vertAlign w:val="subscript"/>
        </w:rPr>
        <w:t>AUC</w:t>
      </w:r>
      <w:r w:rsidR="00B95683">
        <w:t xml:space="preserve"> </w:t>
      </w:r>
      <w:r>
        <w:t>of 2. These adverse effects are attributable to sotatercept inhibiting Activin A and are relevant in humans.</w:t>
      </w:r>
    </w:p>
    <w:p w14:paraId="116712F4" w14:textId="7FDE269C" w:rsidR="0048675F" w:rsidRDefault="0048675F" w:rsidP="00E72A03">
      <w:pPr>
        <w:pStyle w:val="ListBullet"/>
      </w:pPr>
      <w:r>
        <w:t>Embryo-</w:t>
      </w:r>
      <w:proofErr w:type="spellStart"/>
      <w:r>
        <w:t>fetal</w:t>
      </w:r>
      <w:proofErr w:type="spellEnd"/>
      <w:r>
        <w:t xml:space="preserve"> development studies were conducted in rats and rabbits. An increase in embryo-</w:t>
      </w:r>
      <w:proofErr w:type="spellStart"/>
      <w:r>
        <w:t>fetal</w:t>
      </w:r>
      <w:proofErr w:type="spellEnd"/>
      <w:r>
        <w:t xml:space="preserve"> death was seen in rats (ER</w:t>
      </w:r>
      <w:r>
        <w:rPr>
          <w:vertAlign w:val="subscript"/>
        </w:rPr>
        <w:t>AUC</w:t>
      </w:r>
      <w:r>
        <w:t xml:space="preserve"> 15) and rabbits (ER</w:t>
      </w:r>
      <w:r>
        <w:rPr>
          <w:vertAlign w:val="subscript"/>
        </w:rPr>
        <w:t>AUC</w:t>
      </w:r>
      <w:r>
        <w:t xml:space="preserve"> 4). There was no evidence of teratogenicity. Lower </w:t>
      </w:r>
      <w:proofErr w:type="spellStart"/>
      <w:r>
        <w:t>fetal</w:t>
      </w:r>
      <w:proofErr w:type="spellEnd"/>
      <w:r>
        <w:t xml:space="preserve"> weights with ossification problems were seen in both species. Rats had an increased incidence of extra ribs with corresponding vertebral changes. </w:t>
      </w:r>
      <w:proofErr w:type="gramStart"/>
      <w:r>
        <w:t>All of</w:t>
      </w:r>
      <w:proofErr w:type="gramEnd"/>
      <w:r>
        <w:t xml:space="preserve"> these effects occurred in the absence of maternal toxicity (</w:t>
      </w:r>
      <w:r w:rsidR="00E11D28">
        <w:t xml:space="preserve">that is, </w:t>
      </w:r>
      <w:r>
        <w:t>could not be attributed to that, rather than direct effects). The embryofetal effects occurred at clinically relevant exposures (ER</w:t>
      </w:r>
      <w:r>
        <w:rPr>
          <w:vertAlign w:val="subscript"/>
        </w:rPr>
        <w:t>AUC</w:t>
      </w:r>
      <w:r>
        <w:t xml:space="preserve"> 2 in rats and </w:t>
      </w:r>
      <w:r w:rsidR="00E11D28">
        <w:t>ER</w:t>
      </w:r>
      <w:r w:rsidR="00E11D28">
        <w:rPr>
          <w:vertAlign w:val="subscript"/>
        </w:rPr>
        <w:t>AUC</w:t>
      </w:r>
      <w:r w:rsidR="00E11D28">
        <w:t xml:space="preserve"> </w:t>
      </w:r>
      <w:r>
        <w:t>0.4 in rabbits).</w:t>
      </w:r>
    </w:p>
    <w:p w14:paraId="3A4ECA5F" w14:textId="77777777" w:rsidR="0048675F" w:rsidRDefault="0048675F" w:rsidP="00E72A03">
      <w:pPr>
        <w:pStyle w:val="ListBullet"/>
      </w:pPr>
      <w:r>
        <w:t>When sotatercept was commenced in rats during gestation, lower pup birth weights were seen. The effects did not persist upon cessation of maternal dosing. When maternal dosing occurred during lactation, lower weights and delayed sexual maturation were seen in the offspring (ER</w:t>
      </w:r>
      <w:r>
        <w:rPr>
          <w:vertAlign w:val="subscript"/>
        </w:rPr>
        <w:t>AUC</w:t>
      </w:r>
      <w:r>
        <w:t xml:space="preserve"> 2).</w:t>
      </w:r>
    </w:p>
    <w:p w14:paraId="7BB66D09" w14:textId="061E858B" w:rsidR="0048675F" w:rsidRDefault="0048675F" w:rsidP="00EC4972">
      <w:r w:rsidRPr="003A057B">
        <w:t xml:space="preserve">The </w:t>
      </w:r>
      <w:r w:rsidR="00C86F04" w:rsidRPr="003A057B">
        <w:t>s</w:t>
      </w:r>
      <w:r w:rsidRPr="003A057B">
        <w:t>ponsor proposed Pregnancy Category C. The nonclinical evaluat</w:t>
      </w:r>
      <w:r w:rsidR="003A057B" w:rsidRPr="003A057B">
        <w:t>ion</w:t>
      </w:r>
      <w:r w:rsidRPr="003A057B">
        <w:t xml:space="preserve"> </w:t>
      </w:r>
      <w:r w:rsidR="003A057B" w:rsidRPr="003A057B">
        <w:t>proposed</w:t>
      </w:r>
      <w:r w:rsidRPr="003A057B">
        <w:t xml:space="preserve"> </w:t>
      </w:r>
      <w:r w:rsidR="00C86F04" w:rsidRPr="003A057B">
        <w:t>Pregnancy</w:t>
      </w:r>
      <w:r w:rsidR="00C86F04">
        <w:t xml:space="preserve"> Category </w:t>
      </w:r>
      <w:r>
        <w:t xml:space="preserve">D as the appropriate pregnancy classification due to the severity of effects in animal studies at clinically relevant exposure. The similarly acting drug </w:t>
      </w:r>
      <w:proofErr w:type="spellStart"/>
      <w:r>
        <w:t>luspatercept</w:t>
      </w:r>
      <w:proofErr w:type="spellEnd"/>
      <w:r>
        <w:t xml:space="preserve"> also has </w:t>
      </w:r>
      <w:r w:rsidR="00023A80">
        <w:t>P</w:t>
      </w:r>
      <w:r>
        <w:t xml:space="preserve">regnancy </w:t>
      </w:r>
      <w:r w:rsidR="00023A80">
        <w:t>C</w:t>
      </w:r>
      <w:r>
        <w:t>ategory</w:t>
      </w:r>
      <w:r w:rsidR="00023A80">
        <w:t> </w:t>
      </w:r>
      <w:r>
        <w:t>D.</w:t>
      </w:r>
    </w:p>
    <w:p w14:paraId="2081D9E6" w14:textId="11C8BB8A" w:rsidR="0048675F" w:rsidRDefault="0048675F" w:rsidP="00EC4972">
      <w:r>
        <w:t xml:space="preserve">Juvenile toxicity studies found similar findings as in adults, as well as delayed sexual maturation in males, together with lower mating, fertility and copulation indices. Delayed sexual maturation was also seen in females. The </w:t>
      </w:r>
      <w:r w:rsidR="00023A80">
        <w:t>s</w:t>
      </w:r>
      <w:r>
        <w:t>ponsor has not requested a paediatric indication for sotatercept, so these data are currently of limited relevance.</w:t>
      </w:r>
    </w:p>
    <w:p w14:paraId="30910820" w14:textId="5FF989CD" w:rsidR="0048675F" w:rsidRDefault="0048675F" w:rsidP="00EC4972">
      <w:r>
        <w:t>There were no additional issues found for the RMP to consider.</w:t>
      </w:r>
    </w:p>
    <w:p w14:paraId="46F1769C" w14:textId="0CD1F120" w:rsidR="0048675F" w:rsidRDefault="0048675F" w:rsidP="00EC4972">
      <w:r>
        <w:t>There w</w:t>
      </w:r>
      <w:r w:rsidR="006B7BC9">
        <w:t>as</w:t>
      </w:r>
      <w:r>
        <w:t xml:space="preserve"> no nonclinical objection to registration.</w:t>
      </w:r>
    </w:p>
    <w:p w14:paraId="35B580A5" w14:textId="40B226DC" w:rsidR="00C22214" w:rsidRDefault="00C22214" w:rsidP="008804CF">
      <w:pPr>
        <w:pStyle w:val="Heading3"/>
      </w:pPr>
      <w:bookmarkStart w:id="44" w:name="_Toc202861308"/>
      <w:r>
        <w:t>Clinical</w:t>
      </w:r>
      <w:bookmarkEnd w:id="41"/>
      <w:bookmarkEnd w:id="42"/>
      <w:bookmarkEnd w:id="43"/>
      <w:r w:rsidR="00095C6A">
        <w:t xml:space="preserve"> evaluation summary</w:t>
      </w:r>
      <w:bookmarkEnd w:id="44"/>
    </w:p>
    <w:p w14:paraId="32B0DEDA" w14:textId="77777777" w:rsidR="00C22214" w:rsidRPr="00433318" w:rsidRDefault="00C22214" w:rsidP="00433318">
      <w:pPr>
        <w:pStyle w:val="Heading4"/>
      </w:pPr>
      <w:bookmarkStart w:id="45" w:name="_Toc98931928"/>
      <w:bookmarkStart w:id="46" w:name="_Toc202861309"/>
      <w:r>
        <w:t>Summary of clinical studies</w:t>
      </w:r>
      <w:bookmarkEnd w:id="45"/>
      <w:bookmarkEnd w:id="46"/>
    </w:p>
    <w:p w14:paraId="46622364" w14:textId="4E2A5EC9" w:rsidR="00C22214" w:rsidRPr="00EF05D2" w:rsidRDefault="00C22214" w:rsidP="00C22214">
      <w:pPr>
        <w:rPr>
          <w:szCs w:val="22"/>
        </w:rPr>
      </w:pPr>
      <w:r w:rsidRPr="00EF05D2">
        <w:rPr>
          <w:szCs w:val="22"/>
        </w:rPr>
        <w:t>The clinical dossier consisted of</w:t>
      </w:r>
      <w:r w:rsidR="007357B9" w:rsidRPr="00EF05D2">
        <w:rPr>
          <w:szCs w:val="22"/>
        </w:rPr>
        <w:t>:</w:t>
      </w:r>
    </w:p>
    <w:p w14:paraId="3DF49722" w14:textId="1AD40B06" w:rsidR="00C22214" w:rsidRPr="00EF05D2" w:rsidRDefault="00EF05D2" w:rsidP="00C22214">
      <w:pPr>
        <w:pStyle w:val="ListBullet"/>
        <w:rPr>
          <w:szCs w:val="22"/>
        </w:rPr>
      </w:pPr>
      <w:r w:rsidRPr="00EF05D2">
        <w:rPr>
          <w:szCs w:val="22"/>
        </w:rPr>
        <w:t>two</w:t>
      </w:r>
      <w:r w:rsidR="00C22214" w:rsidRPr="00EF05D2">
        <w:rPr>
          <w:szCs w:val="22"/>
        </w:rPr>
        <w:t xml:space="preserve"> Phase I studies</w:t>
      </w:r>
      <w:r w:rsidR="00741046" w:rsidRPr="00EF05D2">
        <w:rPr>
          <w:szCs w:val="22"/>
        </w:rPr>
        <w:t>, 7962-009 and 7962-010</w:t>
      </w:r>
    </w:p>
    <w:p w14:paraId="6B56CB17" w14:textId="18E3420E" w:rsidR="00C22214" w:rsidRPr="00EF05D2" w:rsidRDefault="00EF05D2" w:rsidP="00C22214">
      <w:pPr>
        <w:pStyle w:val="ListBullet"/>
        <w:rPr>
          <w:szCs w:val="22"/>
        </w:rPr>
      </w:pPr>
      <w:r w:rsidRPr="00EF05D2">
        <w:rPr>
          <w:szCs w:val="22"/>
        </w:rPr>
        <w:t>one</w:t>
      </w:r>
      <w:r w:rsidR="00C22214" w:rsidRPr="00EF05D2">
        <w:rPr>
          <w:szCs w:val="22"/>
        </w:rPr>
        <w:t xml:space="preserve"> Phase II stud</w:t>
      </w:r>
      <w:r w:rsidR="00741046" w:rsidRPr="00EF05D2">
        <w:rPr>
          <w:szCs w:val="22"/>
        </w:rPr>
        <w:t>y, 7962-001 (PULSAR)</w:t>
      </w:r>
    </w:p>
    <w:p w14:paraId="546A4BFA" w14:textId="39A7BB53" w:rsidR="00741046" w:rsidRPr="00EF05D2" w:rsidRDefault="00EF05D2" w:rsidP="00741046">
      <w:pPr>
        <w:pStyle w:val="ListBullet"/>
        <w:rPr>
          <w:szCs w:val="22"/>
        </w:rPr>
      </w:pPr>
      <w:r w:rsidRPr="00EF05D2">
        <w:rPr>
          <w:szCs w:val="22"/>
        </w:rPr>
        <w:t>one</w:t>
      </w:r>
      <w:r w:rsidR="00741046" w:rsidRPr="00EF05D2">
        <w:rPr>
          <w:szCs w:val="22"/>
        </w:rPr>
        <w:t xml:space="preserve"> Phase </w:t>
      </w:r>
      <w:proofErr w:type="spellStart"/>
      <w:r w:rsidR="00741046" w:rsidRPr="00EF05D2">
        <w:rPr>
          <w:szCs w:val="22"/>
        </w:rPr>
        <w:t>IIa</w:t>
      </w:r>
      <w:proofErr w:type="spellEnd"/>
      <w:r w:rsidR="00741046" w:rsidRPr="00EF05D2">
        <w:rPr>
          <w:szCs w:val="22"/>
        </w:rPr>
        <w:t xml:space="preserve"> study, 7962-002 (SPECTRA)</w:t>
      </w:r>
    </w:p>
    <w:p w14:paraId="3779BD92" w14:textId="6C3A6D00" w:rsidR="00741046" w:rsidRPr="00EF05D2" w:rsidRDefault="00EF05D2" w:rsidP="0069686D">
      <w:pPr>
        <w:pStyle w:val="ListBullet"/>
        <w:rPr>
          <w:szCs w:val="22"/>
        </w:rPr>
      </w:pPr>
      <w:r w:rsidRPr="00EF05D2">
        <w:rPr>
          <w:szCs w:val="22"/>
        </w:rPr>
        <w:t>one</w:t>
      </w:r>
      <w:r w:rsidR="00741046" w:rsidRPr="00EF05D2">
        <w:rPr>
          <w:szCs w:val="22"/>
        </w:rPr>
        <w:t xml:space="preserve"> Phase III study</w:t>
      </w:r>
      <w:r w:rsidR="00741046" w:rsidRPr="00EF05D2">
        <w:rPr>
          <w:rFonts w:ascii="TimesNewRoman,Bold" w:eastAsia="TimesNewRoman,Bold" w:hAnsiTheme="minorHAnsi" w:cs="TimesNewRoman,Bold"/>
          <w:color w:val="auto"/>
          <w:sz w:val="18"/>
          <w:szCs w:val="18"/>
        </w:rPr>
        <w:t xml:space="preserve"> </w:t>
      </w:r>
      <w:r w:rsidR="00741046" w:rsidRPr="00EF05D2">
        <w:rPr>
          <w:szCs w:val="22"/>
        </w:rPr>
        <w:t>7962-003 (STELLAR).</w:t>
      </w:r>
    </w:p>
    <w:p w14:paraId="00BB8CE7" w14:textId="77777777" w:rsidR="005140BC" w:rsidRDefault="005140BC" w:rsidP="005140BC">
      <w:pPr>
        <w:pStyle w:val="Heading4"/>
      </w:pPr>
      <w:bookmarkStart w:id="47" w:name="_Toc202861310"/>
      <w:r w:rsidRPr="00AA53F4">
        <w:lastRenderedPageBreak/>
        <w:t>Pharmacology</w:t>
      </w:r>
      <w:bookmarkEnd w:id="47"/>
    </w:p>
    <w:p w14:paraId="36192860" w14:textId="5B70217A" w:rsidR="005140BC" w:rsidRDefault="005140BC" w:rsidP="005140BC">
      <w:pPr>
        <w:pStyle w:val="Heading5"/>
      </w:pPr>
      <w:r w:rsidRPr="00AA53F4">
        <w:t>Pharmacokinetics</w:t>
      </w:r>
    </w:p>
    <w:p w14:paraId="7E2EB607" w14:textId="5D64B2F9" w:rsidR="005140BC" w:rsidRDefault="005140BC" w:rsidP="005140BC">
      <w:r>
        <w:t xml:space="preserve">Study 7962-009 was a single centre, randomised, </w:t>
      </w:r>
      <w:r w:rsidRPr="005663BE">
        <w:t>double</w:t>
      </w:r>
      <w:r w:rsidR="00020911">
        <w:t>-</w:t>
      </w:r>
      <w:r w:rsidRPr="005663BE">
        <w:t>blind, placebo</w:t>
      </w:r>
      <w:r w:rsidR="005663BE" w:rsidRPr="005663BE">
        <w:t>-</w:t>
      </w:r>
      <w:r w:rsidRPr="005663BE">
        <w:t>controlled</w:t>
      </w:r>
      <w:r>
        <w:t xml:space="preserve">, single dose, dose escalation study of the safety, tolerability, pharmacokinetics and pharmacodynamics </w:t>
      </w:r>
      <w:r w:rsidR="00B3158F">
        <w:t xml:space="preserve">(PD) </w:t>
      </w:r>
      <w:r>
        <w:t>of sotatercept administered to healthy, postmenopausal women. Eight cohorts with 5</w:t>
      </w:r>
      <w:r w:rsidR="00B3158F">
        <w:t> </w:t>
      </w:r>
      <w:r>
        <w:t xml:space="preserve">participants receiving sotatercept and </w:t>
      </w:r>
      <w:r w:rsidR="00417DF7">
        <w:t>one</w:t>
      </w:r>
      <w:r>
        <w:t xml:space="preserve"> participant receiving placebo were dosed. Single doses given by either intravenous (between 0.01</w:t>
      </w:r>
      <w:r w:rsidR="00417DF7">
        <w:t> </w:t>
      </w:r>
      <w:r>
        <w:t>mg/kg and 3.0</w:t>
      </w:r>
      <w:r w:rsidR="00417DF7">
        <w:t> </w:t>
      </w:r>
      <w:r>
        <w:t>mg/kg) and subcutaneous administration (between 0.03</w:t>
      </w:r>
      <w:r w:rsidR="00417DF7">
        <w:t> </w:t>
      </w:r>
      <w:r>
        <w:t>mg/kg and 0.1</w:t>
      </w:r>
      <w:r w:rsidR="00417DF7">
        <w:t> </w:t>
      </w:r>
      <w:r>
        <w:t xml:space="preserve">mg/kg) resulted in dose proportional increases in exposure. The </w:t>
      </w:r>
      <w:r w:rsidR="00417DF7">
        <w:t>half-life (</w:t>
      </w:r>
      <w:r w:rsidR="00A153C5">
        <w:t>t</w:t>
      </w:r>
      <w:r w:rsidR="00A153C5" w:rsidRPr="00A153C5">
        <w:rPr>
          <w:vertAlign w:val="subscript"/>
        </w:rPr>
        <w:t>1/2</w:t>
      </w:r>
      <w:r w:rsidR="00417DF7">
        <w:t>)</w:t>
      </w:r>
      <w:r>
        <w:t xml:space="preserve"> in this study was approximately 25 to 30</w:t>
      </w:r>
      <w:r w:rsidR="00A153C5">
        <w:t> </w:t>
      </w:r>
      <w:r>
        <w:t>days for all doses and absolute bioavailability was 100% (note</w:t>
      </w:r>
      <w:r w:rsidR="00D24FEF">
        <w:t>:</w:t>
      </w:r>
      <w:r>
        <w:t xml:space="preserve"> this is higher than the bioavailability based on the </w:t>
      </w:r>
      <w:r w:rsidR="003C5069">
        <w:t>population pharmacokinetic (</w:t>
      </w:r>
      <w:proofErr w:type="spellStart"/>
      <w:r>
        <w:t>popPK</w:t>
      </w:r>
      <w:proofErr w:type="spellEnd"/>
      <w:r w:rsidR="003C5069">
        <w:t>)</w:t>
      </w:r>
      <w:r>
        <w:t xml:space="preserve"> modelling, </w:t>
      </w:r>
      <w:r w:rsidR="003C5069">
        <w:t>as</w:t>
      </w:r>
      <w:r>
        <w:t xml:space="preserve"> below).</w:t>
      </w:r>
    </w:p>
    <w:p w14:paraId="610A16F6" w14:textId="675799A0" w:rsidR="005140BC" w:rsidRDefault="005140BC" w:rsidP="005140BC">
      <w:r>
        <w:t>Study 7962-010 was a randomised, double</w:t>
      </w:r>
      <w:r w:rsidR="00020911">
        <w:t>-</w:t>
      </w:r>
      <w:r>
        <w:t>blind, placebo</w:t>
      </w:r>
      <w:r w:rsidR="00020911">
        <w:t>-</w:t>
      </w:r>
      <w:r>
        <w:t xml:space="preserve">controlled, multiple </w:t>
      </w:r>
      <w:proofErr w:type="gramStart"/>
      <w:r>
        <w:t>dose</w:t>
      </w:r>
      <w:proofErr w:type="gramEnd"/>
      <w:r>
        <w:t>, dose escalation study of the safety, tolerability and pharmacodynamics of sotatercept administered to healthy postmenopausal women. Single doses of 0.1, 0.3, 1.0 and 2.0</w:t>
      </w:r>
      <w:r w:rsidR="005F0228">
        <w:t> </w:t>
      </w:r>
      <w:r>
        <w:t>mg/kg were administered subcutaneously every 28</w:t>
      </w:r>
      <w:r w:rsidR="005F0228">
        <w:t> </w:t>
      </w:r>
      <w:r>
        <w:t>days for a total of 4</w:t>
      </w:r>
      <w:r w:rsidR="005F0228">
        <w:t> </w:t>
      </w:r>
      <w:r>
        <w:t>doses. Dosing did not actually proceed to 2.0</w:t>
      </w:r>
      <w:r w:rsidR="005F0228">
        <w:t> </w:t>
      </w:r>
      <w:r>
        <w:t>mg/kg because of a serious event of hypertension in one participant at 1.0</w:t>
      </w:r>
      <w:r w:rsidR="005F0228">
        <w:t> </w:t>
      </w:r>
      <w:r>
        <w:t>mg/kg (also, participants in the 0.3</w:t>
      </w:r>
      <w:r w:rsidR="005F0228">
        <w:t> </w:t>
      </w:r>
      <w:r>
        <w:t>mg/kg cohort only received 3 of 4 doses and in the 1</w:t>
      </w:r>
      <w:r w:rsidR="005F0228">
        <w:t> </w:t>
      </w:r>
      <w:r>
        <w:t>mg/kg cohort only 2 of 4 doses). The accumulation ratio based on the 0.1</w:t>
      </w:r>
      <w:r w:rsidR="007F3A34">
        <w:t> </w:t>
      </w:r>
      <w:r>
        <w:t>mg/kg dose was 2.25 and the half-life was independent of dose level.</w:t>
      </w:r>
    </w:p>
    <w:p w14:paraId="5B1FD546" w14:textId="40834F6E" w:rsidR="005140BC" w:rsidRDefault="005140BC" w:rsidP="005140BC">
      <w:r>
        <w:t xml:space="preserve">Other studies (not included in the dossier) of </w:t>
      </w:r>
      <w:r w:rsidR="00AD1ADE">
        <w:t xml:space="preserve">the pharmacokinetics of </w:t>
      </w:r>
      <w:r>
        <w:t>sotatercept in patients with malignancy, myeloproliferative and lymphoproliferative diseases, and beta thalassemia</w:t>
      </w:r>
      <w:r w:rsidR="009927F9">
        <w:t>,</w:t>
      </w:r>
      <w:r>
        <w:t xml:space="preserve"> found the following:</w:t>
      </w:r>
    </w:p>
    <w:p w14:paraId="6F45CC92" w14:textId="77777777" w:rsidR="005140BC" w:rsidRDefault="005140BC" w:rsidP="007F3A34">
      <w:pPr>
        <w:pStyle w:val="ListBullet"/>
      </w:pPr>
      <w:r>
        <w:t>PK appeared linear</w:t>
      </w:r>
    </w:p>
    <w:p w14:paraId="63C5FDB0" w14:textId="26795683" w:rsidR="005140BC" w:rsidRDefault="009927F9" w:rsidP="007F3A34">
      <w:pPr>
        <w:pStyle w:val="ListBullet"/>
      </w:pPr>
      <w:r>
        <w:t>t</w:t>
      </w:r>
      <w:r w:rsidRPr="00A153C5">
        <w:rPr>
          <w:vertAlign w:val="subscript"/>
        </w:rPr>
        <w:t>1/2</w:t>
      </w:r>
      <w:r w:rsidR="005140BC">
        <w:t xml:space="preserve"> was </w:t>
      </w:r>
      <w:proofErr w:type="gramStart"/>
      <w:r w:rsidR="005140BC">
        <w:t>similar to</w:t>
      </w:r>
      <w:proofErr w:type="gramEnd"/>
      <w:r w:rsidR="005140BC">
        <w:t xml:space="preserve"> the healthy volunteer studies</w:t>
      </w:r>
    </w:p>
    <w:p w14:paraId="3DA2447F" w14:textId="0BDEE99C" w:rsidR="005140BC" w:rsidRDefault="009927F9" w:rsidP="007F3A34">
      <w:pPr>
        <w:pStyle w:val="ListBullet"/>
      </w:pPr>
      <w:r>
        <w:t>i</w:t>
      </w:r>
      <w:r w:rsidR="005140BC">
        <w:t>nter-participant variability was &gt;</w:t>
      </w:r>
      <w:r w:rsidR="00453126">
        <w:t> </w:t>
      </w:r>
      <w:r w:rsidR="005140BC">
        <w:t xml:space="preserve">50% for </w:t>
      </w:r>
      <w:r>
        <w:t>t</w:t>
      </w:r>
      <w:r w:rsidRPr="00A153C5">
        <w:rPr>
          <w:vertAlign w:val="subscript"/>
        </w:rPr>
        <w:t>1/2</w:t>
      </w:r>
      <w:r w:rsidR="005140BC">
        <w:t xml:space="preserve"> and clearance corrected for fraction absorbed</w:t>
      </w:r>
    </w:p>
    <w:p w14:paraId="152A83C5" w14:textId="690312E9" w:rsidR="005140BC" w:rsidRDefault="008C1F12" w:rsidP="007F3A34">
      <w:pPr>
        <w:pStyle w:val="ListBullet"/>
      </w:pPr>
      <w:r>
        <w:t>n</w:t>
      </w:r>
      <w:r w:rsidR="005140BC">
        <w:t>o apparent sex differences</w:t>
      </w:r>
    </w:p>
    <w:p w14:paraId="7FAD5CBA" w14:textId="5DC4AF40" w:rsidR="005140BC" w:rsidRPr="0030086D" w:rsidRDefault="005140BC" w:rsidP="00916115">
      <w:pPr>
        <w:pStyle w:val="ListBullet"/>
      </w:pPr>
      <w:r>
        <w:t xml:space="preserve">PK in patients with end stage kidney disease was </w:t>
      </w:r>
      <w:proofErr w:type="gramStart"/>
      <w:r>
        <w:t>similar to</w:t>
      </w:r>
      <w:proofErr w:type="gramEnd"/>
      <w:r>
        <w:t xml:space="preserve"> healthy post-menopausal women, however with greater variability (</w:t>
      </w:r>
      <w:r w:rsidR="008C1F12">
        <w:t xml:space="preserve">that is, </w:t>
      </w:r>
      <w:r>
        <w:t>linear PK). Sotatercept was not removed by haemodialysis</w:t>
      </w:r>
      <w:r w:rsidR="008C1F12">
        <w:t>.</w:t>
      </w:r>
    </w:p>
    <w:p w14:paraId="38CB5836" w14:textId="1FBB57ED" w:rsidR="005140BC" w:rsidRDefault="005140BC" w:rsidP="005140BC">
      <w:pPr>
        <w:pStyle w:val="Heading5"/>
        <w:rPr>
          <w:color w:val="7295D2" w:themeColor="accent1" w:themeTint="BF"/>
        </w:rPr>
      </w:pPr>
      <w:bookmarkStart w:id="48" w:name="_Ref201840290"/>
      <w:r w:rsidRPr="00AA53F4">
        <w:t>Population PK data</w:t>
      </w:r>
      <w:bookmarkEnd w:id="48"/>
    </w:p>
    <w:p w14:paraId="6C03E735" w14:textId="77777777" w:rsidR="005140BC" w:rsidRDefault="005140BC" w:rsidP="005140BC">
      <w:r>
        <w:t xml:space="preserve">A </w:t>
      </w:r>
      <w:proofErr w:type="spellStart"/>
      <w:r>
        <w:t>popPK</w:t>
      </w:r>
      <w:proofErr w:type="spellEnd"/>
      <w:r>
        <w:t xml:space="preserve"> model was developed based on the healthy volunteer studies (P009 and P010) and PAH studies (PULSAR, SPECTRA and STELLAR). The final analysis included 3906 sotatercept serum concentrations from 350 participants. The analysis included both intravenous and subcutaneous dosing.</w:t>
      </w:r>
    </w:p>
    <w:p w14:paraId="6CC9C30E" w14:textId="0CF55028" w:rsidR="005140BC" w:rsidRDefault="005140BC" w:rsidP="005140BC">
      <w:r>
        <w:t>The population was characterised as mainly female (85%) and white (83%), with a median age of 60</w:t>
      </w:r>
      <w:r w:rsidR="002A0D14">
        <w:t xml:space="preserve"> years</w:t>
      </w:r>
      <w:r>
        <w:t xml:space="preserve"> (range 18 </w:t>
      </w:r>
      <w:r w:rsidR="002A0D14">
        <w:t xml:space="preserve">to </w:t>
      </w:r>
      <w:r>
        <w:t>81 years) and a median weight of 67.2</w:t>
      </w:r>
      <w:r w:rsidR="002A0D14">
        <w:t> </w:t>
      </w:r>
      <w:r>
        <w:t>kg (range 39.6</w:t>
      </w:r>
      <w:r w:rsidR="002A0D14">
        <w:t xml:space="preserve"> kg to </w:t>
      </w:r>
      <w:r>
        <w:t>136</w:t>
      </w:r>
      <w:r w:rsidR="002A0D14">
        <w:t> </w:t>
      </w:r>
      <w:r>
        <w:t>kg). In terms of renal function, 33% had normal function, 52% had mild impairment and 15% moderate impairment.</w:t>
      </w:r>
    </w:p>
    <w:p w14:paraId="134CD205" w14:textId="144E2916" w:rsidR="005140BC" w:rsidRDefault="005140BC" w:rsidP="005140BC">
      <w:r>
        <w:t xml:space="preserve">A </w:t>
      </w:r>
      <w:r w:rsidR="002A0D14">
        <w:t>2-compartment</w:t>
      </w:r>
      <w:r>
        <w:t xml:space="preserve"> model with first order absorption for s</w:t>
      </w:r>
      <w:r w:rsidR="002C45A5">
        <w:t>ubcutaneous</w:t>
      </w:r>
      <w:r>
        <w:t xml:space="preserve"> dosing and linear disposition described the PK in healthy people and participants with PAH. Following development of the base model the influence of covariates on CL (clearance) and </w:t>
      </w:r>
      <w:proofErr w:type="spellStart"/>
      <w:r>
        <w:t>V</w:t>
      </w:r>
      <w:r w:rsidRPr="00DB6578">
        <w:rPr>
          <w:vertAlign w:val="subscript"/>
        </w:rPr>
        <w:t>c</w:t>
      </w:r>
      <w:proofErr w:type="spellEnd"/>
      <w:r w:rsidRPr="00DB6578">
        <w:rPr>
          <w:vertAlign w:val="subscript"/>
        </w:rPr>
        <w:t xml:space="preserve"> </w:t>
      </w:r>
      <w:r>
        <w:t xml:space="preserve">(central volume of distribution) was examined. The examined covariates were time varying body weight, </w:t>
      </w:r>
      <w:r w:rsidRPr="008B1FE4">
        <w:t xml:space="preserve">baseline albumin, age, disease status, race, sex, baseline </w:t>
      </w:r>
      <w:r w:rsidR="008B1FE4" w:rsidRPr="008B1FE4">
        <w:t>estimated glomerular filtration rate</w:t>
      </w:r>
      <w:r w:rsidRPr="008B1FE4">
        <w:t>,</w:t>
      </w:r>
      <w:r>
        <w:t xml:space="preserve"> </w:t>
      </w:r>
      <w:r w:rsidRPr="00D05D94">
        <w:t>baseline background PAH therapy, baseline WHO FC and time varying antidrug antibody (ADA)</w:t>
      </w:r>
      <w:r>
        <w:t xml:space="preserve"> </w:t>
      </w:r>
      <w:r>
        <w:lastRenderedPageBreak/>
        <w:t xml:space="preserve">status. The only significant covariates identified were time varying bodyweight (on both CL and </w:t>
      </w:r>
      <w:proofErr w:type="spellStart"/>
      <w:r>
        <w:t>V</w:t>
      </w:r>
      <w:r w:rsidRPr="007B65CB">
        <w:rPr>
          <w:vertAlign w:val="subscript"/>
        </w:rPr>
        <w:t>c</w:t>
      </w:r>
      <w:proofErr w:type="spellEnd"/>
      <w:r>
        <w:t xml:space="preserve">) and baseline albumin (on CL). Higher baseline body weight was related to higher CL and higher </w:t>
      </w:r>
      <w:proofErr w:type="spellStart"/>
      <w:r>
        <w:t>V</w:t>
      </w:r>
      <w:r w:rsidRPr="007B65CB">
        <w:rPr>
          <w:vertAlign w:val="subscript"/>
        </w:rPr>
        <w:t>c</w:t>
      </w:r>
      <w:proofErr w:type="spellEnd"/>
      <w:r>
        <w:t>. Higher albumin was related to lower CL. Using weight-based dosing reduces any influence of body weight on sotatercept PK. The effect of albumin concentration is small and not clinically significant.</w:t>
      </w:r>
    </w:p>
    <w:p w14:paraId="0521CCE2" w14:textId="7263CEDC" w:rsidR="005140BC" w:rsidRDefault="005140BC" w:rsidP="005140BC">
      <w:r>
        <w:t>Model qualifications w</w:t>
      </w:r>
      <w:r w:rsidR="00D82550">
        <w:t>ere</w:t>
      </w:r>
      <w:r>
        <w:t xml:space="preserve"> performed using simulation-based, prediction-corrected, visual predictive checks. The central tendency of the observed data was captured by the model, as was the distribution, which fell within the </w:t>
      </w:r>
      <w:r w:rsidRPr="00BB45B9">
        <w:t>5th and 95th</w:t>
      </w:r>
      <w:r>
        <w:t xml:space="preserve"> percentiles (</w:t>
      </w:r>
      <w:r w:rsidR="00BB45B9">
        <w:t xml:space="preserve">that is, </w:t>
      </w:r>
      <w:r>
        <w:t>of the model-stimulated data).</w:t>
      </w:r>
    </w:p>
    <w:p w14:paraId="7CBD9D04" w14:textId="0C7FC2A9" w:rsidR="005140BC" w:rsidRDefault="005140BC" w:rsidP="005140BC">
      <w:r>
        <w:t>Over the dose range 0.03</w:t>
      </w:r>
      <w:r w:rsidR="00C63596">
        <w:t xml:space="preserve"> mg/kg </w:t>
      </w:r>
      <w:r>
        <w:t>to 1</w:t>
      </w:r>
      <w:r w:rsidR="00C63596">
        <w:t> </w:t>
      </w:r>
      <w:r>
        <w:t xml:space="preserve">mg/kg given via the subcutaneous route, the sotatercept exposure increase is dose proportional. The PK remains linear over time with an accumulation ratio of approximately 2.2 after multiple </w:t>
      </w:r>
      <w:r w:rsidR="00DA4C93">
        <w:t xml:space="preserve">every </w:t>
      </w:r>
      <w:r w:rsidR="00C51704">
        <w:t>3-week</w:t>
      </w:r>
      <w:r>
        <w:t xml:space="preserve"> dosing. The geometric mean half-life is 21</w:t>
      </w:r>
      <w:r w:rsidR="00C51704">
        <w:t> </w:t>
      </w:r>
      <w:r>
        <w:t>days. Steady state is achieved at approximately 15</w:t>
      </w:r>
      <w:r w:rsidR="00C51704">
        <w:t> </w:t>
      </w:r>
      <w:r>
        <w:t>weeks. P</w:t>
      </w:r>
      <w:r w:rsidR="00C51704">
        <w:t>harmacokinetic</w:t>
      </w:r>
      <w:r>
        <w:t xml:space="preserve"> variability is </w:t>
      </w:r>
      <w:r w:rsidRPr="008B1FE4">
        <w:t xml:space="preserve">moderate at 34% CV. Steady state PK based on the </w:t>
      </w:r>
      <w:proofErr w:type="spellStart"/>
      <w:r w:rsidRPr="008B1FE4">
        <w:t>popPK</w:t>
      </w:r>
      <w:proofErr w:type="spellEnd"/>
      <w:r w:rsidRPr="008B1FE4">
        <w:t xml:space="preserve"> model is shown </w:t>
      </w:r>
      <w:r w:rsidR="00783621" w:rsidRPr="008B1FE4">
        <w:t>below.</w:t>
      </w:r>
    </w:p>
    <w:p w14:paraId="6DFB6E49" w14:textId="50FC5074" w:rsidR="0064427C" w:rsidRDefault="0064427C" w:rsidP="0064427C">
      <w:pPr>
        <w:pStyle w:val="TableTitle"/>
      </w:pPr>
      <w:r>
        <w:t xml:space="preserve">Table </w:t>
      </w:r>
      <w:r>
        <w:fldChar w:fldCharType="begin"/>
      </w:r>
      <w:r>
        <w:instrText xml:space="preserve"> SEQ Table \* ARABIC </w:instrText>
      </w:r>
      <w:r>
        <w:fldChar w:fldCharType="separate"/>
      </w:r>
      <w:r w:rsidR="00705ED7">
        <w:rPr>
          <w:noProof/>
        </w:rPr>
        <w:t>3</w:t>
      </w:r>
      <w:r>
        <w:fldChar w:fldCharType="end"/>
      </w:r>
      <w:r>
        <w:t xml:space="preserve">: Integrated Population pharmacokinetics model. Steady state pharmacokinetic parameter following 0.3 mg/kg once every 3 weeks or 0.7 mg/kg once every </w:t>
      </w:r>
      <w:r w:rsidR="00156BA2">
        <w:t>3</w:t>
      </w:r>
      <w:r>
        <w:t xml:space="preserve"> weeks</w:t>
      </w:r>
    </w:p>
    <w:p w14:paraId="71FE1F36" w14:textId="2CA9F4EF" w:rsidR="0064427C" w:rsidRPr="0064427C" w:rsidRDefault="0064427C" w:rsidP="0064427C">
      <w:r>
        <w:rPr>
          <w:noProof/>
        </w:rPr>
        <w:drawing>
          <wp:inline distT="0" distB="0" distL="0" distR="0" wp14:anchorId="0F26356A" wp14:editId="38FA2925">
            <wp:extent cx="5759450" cy="3225800"/>
            <wp:effectExtent l="0" t="0" r="0" b="0"/>
            <wp:docPr id="96992267"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92267" name="Picture 1" descr="A white sheet with black text&#10;&#10;AI-generated content may be incorrect."/>
                    <pic:cNvPicPr/>
                  </pic:nvPicPr>
                  <pic:blipFill>
                    <a:blip r:embed="rId26"/>
                    <a:stretch>
                      <a:fillRect/>
                    </a:stretch>
                  </pic:blipFill>
                  <pic:spPr>
                    <a:xfrm>
                      <a:off x="0" y="0"/>
                      <a:ext cx="5759450" cy="3225800"/>
                    </a:xfrm>
                    <a:prstGeom prst="rect">
                      <a:avLst/>
                    </a:prstGeom>
                  </pic:spPr>
                </pic:pic>
              </a:graphicData>
            </a:graphic>
          </wp:inline>
        </w:drawing>
      </w:r>
    </w:p>
    <w:p w14:paraId="3DE862F5" w14:textId="24272581" w:rsidR="0098027F" w:rsidRPr="006473BC" w:rsidRDefault="0064427C" w:rsidP="006473BC">
      <w:pPr>
        <w:pStyle w:val="TableDescription"/>
      </w:pPr>
      <w:r w:rsidRPr="0064427C">
        <w:t xml:space="preserve">AUC=area under the curve; </w:t>
      </w:r>
      <w:proofErr w:type="spellStart"/>
      <w:r w:rsidRPr="0064427C">
        <w:t>Cavg</w:t>
      </w:r>
      <w:proofErr w:type="spellEnd"/>
      <w:r w:rsidRPr="0064427C">
        <w:t xml:space="preserve">=average concentration; </w:t>
      </w:r>
      <w:proofErr w:type="spellStart"/>
      <w:r w:rsidRPr="0064427C">
        <w:t>Cmax</w:t>
      </w:r>
      <w:proofErr w:type="spellEnd"/>
      <w:r w:rsidRPr="0064427C">
        <w:t xml:space="preserve">=maximum concentration; </w:t>
      </w:r>
      <w:proofErr w:type="spellStart"/>
      <w:r w:rsidRPr="0064427C">
        <w:t>Cmin</w:t>
      </w:r>
      <w:proofErr w:type="spellEnd"/>
      <w:r w:rsidRPr="0064427C">
        <w:t>=minimum concentration; CV%=coefficient of variation expressed as a percentage; n=number</w:t>
      </w:r>
      <w:r>
        <w:t xml:space="preserve"> </w:t>
      </w:r>
      <w:r w:rsidRPr="0064427C">
        <w:t>of participants; NA=not applicable</w:t>
      </w:r>
      <w:r>
        <w:t>.</w:t>
      </w:r>
    </w:p>
    <w:p w14:paraId="7DC4D4DF" w14:textId="28741738" w:rsidR="00783171" w:rsidRDefault="00783171" w:rsidP="00783171">
      <w:r>
        <w:t xml:space="preserve">Following subcutaneous </w:t>
      </w:r>
      <w:proofErr w:type="gramStart"/>
      <w:r>
        <w:t>injection</w:t>
      </w:r>
      <w:proofErr w:type="gramEnd"/>
      <w:r>
        <w:t xml:space="preserve"> the absorption rate is slow (</w:t>
      </w:r>
      <w:r w:rsidR="001A6235">
        <w:t xml:space="preserve">time to maximum level </w:t>
      </w:r>
      <w:r>
        <w:t>of approximately 7 days) and the estimated bioavailability is 66%. The central volume of distribution is approximately 3.6</w:t>
      </w:r>
      <w:r w:rsidR="000A57B9">
        <w:t> </w:t>
      </w:r>
      <w:proofErr w:type="gramStart"/>
      <w:r>
        <w:t>L</w:t>
      </w:r>
      <w:proofErr w:type="gramEnd"/>
      <w:r>
        <w:t xml:space="preserve"> and the peripheral volume of distribution is 1.7</w:t>
      </w:r>
      <w:r w:rsidR="000A57B9">
        <w:t> </w:t>
      </w:r>
      <w:r>
        <w:t>L. Metabolism is expected to be via protein degradation processes. Elimination is not via renal or biliary pathways.</w:t>
      </w:r>
    </w:p>
    <w:p w14:paraId="032775BD" w14:textId="77777777" w:rsidR="00783171" w:rsidRDefault="00783171" w:rsidP="00783171">
      <w:r>
        <w:t xml:space="preserve">Sotatercept has been tested for another indication in haemodialysis patients and was not removed by dialysis. As detailed above, a significant number of participants in the PAH program had renal impairment (mild and moderate). Renal function did not influence exposure as determined by the </w:t>
      </w:r>
      <w:proofErr w:type="spellStart"/>
      <w:r>
        <w:t>popPK</w:t>
      </w:r>
      <w:proofErr w:type="spellEnd"/>
      <w:r>
        <w:t xml:space="preserve"> analysis.</w:t>
      </w:r>
    </w:p>
    <w:p w14:paraId="1BDC778E" w14:textId="77777777" w:rsidR="00783171" w:rsidRDefault="00783171" w:rsidP="00783171">
      <w:r>
        <w:t>Antidrug antibodies did not influence sotatercept exposure.</w:t>
      </w:r>
    </w:p>
    <w:p w14:paraId="6EA68C19" w14:textId="77777777" w:rsidR="00783171" w:rsidRPr="00954D96" w:rsidRDefault="00783171" w:rsidP="00783171">
      <w:pPr>
        <w:pStyle w:val="Heading5"/>
      </w:pPr>
      <w:r w:rsidRPr="00954D96">
        <w:lastRenderedPageBreak/>
        <w:t>Population PD data</w:t>
      </w:r>
    </w:p>
    <w:p w14:paraId="06598569" w14:textId="1A305015" w:rsidR="00783171" w:rsidRDefault="00783171" w:rsidP="00783171">
      <w:r>
        <w:t>Exposure-response models were developed to investigate the relationship between sotatercept exposure and various effects (6</w:t>
      </w:r>
      <w:r w:rsidR="00505F6A">
        <w:t>-</w:t>
      </w:r>
      <w:r>
        <w:t>minute walk distance</w:t>
      </w:r>
      <w:r w:rsidR="00186F94">
        <w:t xml:space="preserve"> [6MWD</w:t>
      </w:r>
      <w:r w:rsidR="00A26BB1">
        <w:t>]</w:t>
      </w:r>
      <w:r>
        <w:t xml:space="preserve">, </w:t>
      </w:r>
      <w:r w:rsidR="00D05D94">
        <w:t>PVR</w:t>
      </w:r>
      <w:r>
        <w:t xml:space="preserve">, </w:t>
      </w:r>
      <w:r w:rsidR="00EC3100" w:rsidRPr="00EC3100">
        <w:t>N-terminal prohormone of brain natriuretic peptide [</w:t>
      </w:r>
      <w:r w:rsidRPr="00EC3100">
        <w:t>NT-</w:t>
      </w:r>
      <w:proofErr w:type="spellStart"/>
      <w:r w:rsidRPr="00EC3100">
        <w:t>proBNP</w:t>
      </w:r>
      <w:proofErr w:type="spellEnd"/>
      <w:r w:rsidR="00EC3100" w:rsidRPr="00EC3100">
        <w:t>]</w:t>
      </w:r>
      <w:r w:rsidRPr="00EC3100">
        <w:t xml:space="preserve">, </w:t>
      </w:r>
      <w:r w:rsidR="008B1FE4">
        <w:t>haemoglobin).</w:t>
      </w:r>
      <w:r>
        <w:t xml:space="preserve"> The outcome data w</w:t>
      </w:r>
      <w:r w:rsidR="00A26BB1">
        <w:t>ere</w:t>
      </w:r>
      <w:r>
        <w:t xml:space="preserve"> sourced from the SPECTRA, PULSAR and STELLAR clinical trials</w:t>
      </w:r>
      <w:r w:rsidR="00B30D30">
        <w:t>.</w:t>
      </w:r>
    </w:p>
    <w:p w14:paraId="335FB708" w14:textId="7281ADFA" w:rsidR="00783171" w:rsidRPr="009C0225" w:rsidRDefault="00783171" w:rsidP="00783171">
      <w:r>
        <w:t xml:space="preserve">For both participants in placebo arms and sotatercept arms the 6MWD increased by </w:t>
      </w:r>
      <w:r w:rsidR="00435498">
        <w:t>W</w:t>
      </w:r>
      <w:r>
        <w:t>e</w:t>
      </w:r>
      <w:r w:rsidR="00B30D30">
        <w:t>e</w:t>
      </w:r>
      <w:r>
        <w:t>k</w:t>
      </w:r>
      <w:r w:rsidR="00B30D30">
        <w:t> </w:t>
      </w:r>
      <w:r>
        <w:t>24, although the change was significantly greater in the active arm. The increase in 6MWD was greater with the 0.7</w:t>
      </w:r>
      <w:r w:rsidR="00F85B30">
        <w:t> </w:t>
      </w:r>
      <w:r>
        <w:t>mg/kg dose than with 0.3</w:t>
      </w:r>
      <w:r w:rsidR="00F85B30">
        <w:t> </w:t>
      </w:r>
      <w:r>
        <w:t xml:space="preserve">mg/kg. A range of </w:t>
      </w:r>
      <w:r w:rsidR="00EC3100">
        <w:t>average concentrations</w:t>
      </w:r>
      <w:r>
        <w:t xml:space="preserve"> was experienced by participants at each dose level. The clinical effect appeared to only plateau at the highest exposure in those taking 0.7</w:t>
      </w:r>
      <w:r w:rsidR="00CA4D6C">
        <w:t> </w:t>
      </w:r>
      <w:r>
        <w:t>mg/kg (</w:t>
      </w:r>
      <w:r w:rsidR="00CA4D6C">
        <w:t>see figure below</w:t>
      </w:r>
      <w:r>
        <w:t>). Within the exposures experienced by participants at the target clinical dose of 0.7</w:t>
      </w:r>
      <w:r w:rsidR="001551E8">
        <w:t> </w:t>
      </w:r>
      <w:r>
        <w:t>mg/kg, the dose-response curve was not flat (</w:t>
      </w:r>
      <w:r w:rsidR="001551E8">
        <w:t xml:space="preserve">that is, </w:t>
      </w:r>
      <w:r>
        <w:t>at 0.7</w:t>
      </w:r>
      <w:r w:rsidR="001551E8">
        <w:t> </w:t>
      </w:r>
      <w:r>
        <w:t>mg/kg a participant’s clinical benefit was related to the exposure achieved).</w:t>
      </w:r>
    </w:p>
    <w:p w14:paraId="2D132367" w14:textId="7CEEAA4D" w:rsidR="00AC0FB6" w:rsidRPr="0001586E" w:rsidRDefault="00AC0FB6" w:rsidP="00AC0FB6">
      <w:pPr>
        <w:pStyle w:val="FigureTitle"/>
      </w:pPr>
      <w:r w:rsidRPr="0001586E">
        <w:t xml:space="preserve">Figure </w:t>
      </w:r>
      <w:r w:rsidRPr="0001586E">
        <w:fldChar w:fldCharType="begin"/>
      </w:r>
      <w:r w:rsidRPr="0001586E">
        <w:instrText xml:space="preserve"> SEQ Figure \* ARABIC </w:instrText>
      </w:r>
      <w:r w:rsidRPr="0001586E">
        <w:fldChar w:fldCharType="separate"/>
      </w:r>
      <w:r w:rsidR="00705ED7">
        <w:rPr>
          <w:noProof/>
        </w:rPr>
        <w:t>1</w:t>
      </w:r>
      <w:r w:rsidRPr="0001586E">
        <w:fldChar w:fldCharType="end"/>
      </w:r>
      <w:r w:rsidRPr="0001586E">
        <w:t>: Model predicted 6-minute walk distance</w:t>
      </w:r>
      <w:r w:rsidRPr="0001586E">
        <w:rPr>
          <w:noProof/>
        </w:rPr>
        <w:t xml:space="preserve"> (total and change from baseline) versus Week 24 average concentration of sotatercept</w:t>
      </w:r>
    </w:p>
    <w:p w14:paraId="52420055" w14:textId="77777777" w:rsidR="00AC0FB6" w:rsidRPr="0001586E" w:rsidRDefault="00AC0FB6" w:rsidP="00AC0FB6">
      <w:r w:rsidRPr="0001586E">
        <w:rPr>
          <w:noProof/>
        </w:rPr>
        <w:drawing>
          <wp:inline distT="0" distB="0" distL="0" distR="0" wp14:anchorId="49139585" wp14:editId="0F5BE497">
            <wp:extent cx="5759450" cy="2392045"/>
            <wp:effectExtent l="0" t="0" r="0" b="8255"/>
            <wp:docPr id="834782302" name="Picture 1" descr="A graph of a graph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566580" name="Picture 1" descr="A graph of a graph of a line&#10;&#10;AI-generated content may be incorrect."/>
                    <pic:cNvPicPr/>
                  </pic:nvPicPr>
                  <pic:blipFill>
                    <a:blip r:embed="rId27"/>
                    <a:stretch>
                      <a:fillRect/>
                    </a:stretch>
                  </pic:blipFill>
                  <pic:spPr>
                    <a:xfrm>
                      <a:off x="0" y="0"/>
                      <a:ext cx="5759450" cy="2392045"/>
                    </a:xfrm>
                    <a:prstGeom prst="rect">
                      <a:avLst/>
                    </a:prstGeom>
                  </pic:spPr>
                </pic:pic>
              </a:graphicData>
            </a:graphic>
          </wp:inline>
        </w:drawing>
      </w:r>
    </w:p>
    <w:p w14:paraId="2DD9A456" w14:textId="2F6C00F6" w:rsidR="002479CD" w:rsidRPr="0001586E" w:rsidRDefault="002479CD" w:rsidP="002479CD">
      <w:r w:rsidRPr="0001586E">
        <w:t xml:space="preserve">No covariates were identified as impacting the relationship between </w:t>
      </w:r>
      <w:r w:rsidR="00435498" w:rsidRPr="0001586E">
        <w:t>W</w:t>
      </w:r>
      <w:r w:rsidRPr="0001586E">
        <w:t>eek 24 sotatercept av</w:t>
      </w:r>
      <w:r w:rsidR="00EC3100" w:rsidRPr="0001586E">
        <w:t>erage concentration</w:t>
      </w:r>
      <w:r w:rsidRPr="0001586E">
        <w:t xml:space="preserve"> and 6MWD.</w:t>
      </w:r>
    </w:p>
    <w:p w14:paraId="118232F7" w14:textId="6AA6D59A" w:rsidR="002479CD" w:rsidRDefault="002479CD" w:rsidP="002479CD">
      <w:r w:rsidRPr="008B1FE4">
        <w:t xml:space="preserve">The relationship between sotatercept exposure and </w:t>
      </w:r>
      <w:r w:rsidR="008B1FE4" w:rsidRPr="008B1FE4">
        <w:t>pulmonary vascular resistance</w:t>
      </w:r>
      <w:r w:rsidR="00083025" w:rsidRPr="008B1FE4">
        <w:t xml:space="preserve"> (</w:t>
      </w:r>
      <w:r w:rsidRPr="008B1FE4">
        <w:t>PVR</w:t>
      </w:r>
      <w:r w:rsidR="00083025" w:rsidRPr="008B1FE4">
        <w:t>)</w:t>
      </w:r>
      <w:r w:rsidRPr="008B1FE4">
        <w:t xml:space="preserve"> was</w:t>
      </w:r>
      <w:r>
        <w:t xml:space="preserve"> best described by a saturable inhibitory function (</w:t>
      </w:r>
      <w:r w:rsidR="00083025">
        <w:t xml:space="preserve">that is, </w:t>
      </w:r>
      <w:r>
        <w:t>sotatercept reduced the PVR steeply initially at a relatively low concentration, followed by a shallower curve across most of the exposure range) (</w:t>
      </w:r>
      <w:r w:rsidR="00453261">
        <w:t>see figure below</w:t>
      </w:r>
      <w:r>
        <w:t>). Interesting most of the change in PVR was achieved at low concentrations, even below those associated with the lower, sub-target dose of 0.3</w:t>
      </w:r>
      <w:r w:rsidR="00453261">
        <w:t> </w:t>
      </w:r>
      <w:r>
        <w:t>mg/kg.</w:t>
      </w:r>
    </w:p>
    <w:p w14:paraId="7FC73434" w14:textId="7E34D903" w:rsidR="00AC0FB6" w:rsidRDefault="00AC0FB6" w:rsidP="00AC0FB6">
      <w:pPr>
        <w:pStyle w:val="FigureTitle"/>
      </w:pPr>
      <w:r>
        <w:lastRenderedPageBreak/>
        <w:t xml:space="preserve">Figure </w:t>
      </w:r>
      <w:r>
        <w:fldChar w:fldCharType="begin"/>
      </w:r>
      <w:r>
        <w:instrText xml:space="preserve"> SEQ Figure \* ARABIC </w:instrText>
      </w:r>
      <w:r>
        <w:fldChar w:fldCharType="separate"/>
      </w:r>
      <w:r w:rsidR="00705ED7">
        <w:rPr>
          <w:noProof/>
        </w:rPr>
        <w:t>2</w:t>
      </w:r>
      <w:r>
        <w:fldChar w:fldCharType="end"/>
      </w:r>
      <w:r>
        <w:t>: Model predicted pulmonary vascular resistance versus Week 24 average concentration of sotatercept</w:t>
      </w:r>
    </w:p>
    <w:p w14:paraId="182AAEDF" w14:textId="77777777" w:rsidR="00AC0FB6" w:rsidRDefault="00AC0FB6" w:rsidP="00AC0FB6">
      <w:r>
        <w:rPr>
          <w:noProof/>
        </w:rPr>
        <w:drawing>
          <wp:inline distT="0" distB="0" distL="0" distR="0" wp14:anchorId="38835DC8" wp14:editId="22B1810C">
            <wp:extent cx="5759450" cy="2543810"/>
            <wp:effectExtent l="0" t="0" r="0" b="8890"/>
            <wp:docPr id="930536577" name="Picture 1" descr="A graph of a graph of a graph of a graph of a graph of a graph of a graph of a graph of a graph of a graph of a graph of a graph of a graph 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963099" name="Picture 1" descr="A graph of a graph of a graph of a graph of a graph of a graph of a graph of a graph of a graph of a graph of a graph of a graph of a graph of&#10;&#10;AI-generated content may be incorrect."/>
                    <pic:cNvPicPr/>
                  </pic:nvPicPr>
                  <pic:blipFill>
                    <a:blip r:embed="rId28"/>
                    <a:stretch>
                      <a:fillRect/>
                    </a:stretch>
                  </pic:blipFill>
                  <pic:spPr>
                    <a:xfrm>
                      <a:off x="0" y="0"/>
                      <a:ext cx="5759450" cy="2543810"/>
                    </a:xfrm>
                    <a:prstGeom prst="rect">
                      <a:avLst/>
                    </a:prstGeom>
                  </pic:spPr>
                </pic:pic>
              </a:graphicData>
            </a:graphic>
          </wp:inline>
        </w:drawing>
      </w:r>
    </w:p>
    <w:p w14:paraId="3A1D98AC" w14:textId="65359B50" w:rsidR="00EE7E6A" w:rsidRDefault="00EE7E6A" w:rsidP="00EE7E6A">
      <w:r w:rsidRPr="00EF05D2">
        <w:t xml:space="preserve">Covariates affecting the </w:t>
      </w:r>
      <w:r w:rsidR="00EF05D2" w:rsidRPr="00EF05D2">
        <w:t>exposure-response (</w:t>
      </w:r>
      <w:r w:rsidRPr="00EF05D2">
        <w:t>E</w:t>
      </w:r>
      <w:r w:rsidR="00EF05D2" w:rsidRPr="00EF05D2">
        <w:t>−</w:t>
      </w:r>
      <w:r w:rsidRPr="00EF05D2">
        <w:t>R</w:t>
      </w:r>
      <w:r w:rsidR="00EF05D2" w:rsidRPr="00EF05D2">
        <w:t>)</w:t>
      </w:r>
      <w:r w:rsidRPr="00EF05D2">
        <w:t xml:space="preserve"> relationship for PVR were PAH duration,</w:t>
      </w:r>
      <w:r>
        <w:t xml:space="preserve"> baseline PVR and prostacyclin infusion.</w:t>
      </w:r>
    </w:p>
    <w:p w14:paraId="1C76E0F1" w14:textId="407FF90E" w:rsidR="00EE7E6A" w:rsidRDefault="00EE7E6A" w:rsidP="00EE7E6A">
      <w:r>
        <w:t>The E-R relationship for time to NT-</w:t>
      </w:r>
      <w:proofErr w:type="spellStart"/>
      <w:r>
        <w:t>proBNP</w:t>
      </w:r>
      <w:proofErr w:type="spellEnd"/>
      <w:r w:rsidR="00453126">
        <w:t> </w:t>
      </w:r>
      <w:r>
        <w:t>&lt;</w:t>
      </w:r>
      <w:r w:rsidR="00453126">
        <w:t> </w:t>
      </w:r>
      <w:r>
        <w:t>300</w:t>
      </w:r>
      <w:r w:rsidR="005D4D79">
        <w:t> </w:t>
      </w:r>
      <w:proofErr w:type="spellStart"/>
      <w:r>
        <w:t>pg</w:t>
      </w:r>
      <w:proofErr w:type="spellEnd"/>
      <w:r>
        <w:t>/mL was described by a Cox proportional hazard model. The probability of achieving this low NT-</w:t>
      </w:r>
      <w:proofErr w:type="spellStart"/>
      <w:r>
        <w:t>proBNP</w:t>
      </w:r>
      <w:proofErr w:type="spellEnd"/>
      <w:r>
        <w:t xml:space="preserve"> increased with increasing sotatercept exposures and approached a plateau in the range of exposures associated with the 0.7</w:t>
      </w:r>
      <w:r w:rsidR="005D4D79">
        <w:t> </w:t>
      </w:r>
      <w:r>
        <w:t>mg/kg dose.</w:t>
      </w:r>
    </w:p>
    <w:p w14:paraId="17A04AF4" w14:textId="3A497981" w:rsidR="00EE7E6A" w:rsidRDefault="00EE7E6A" w:rsidP="00EE7E6A">
      <w:r>
        <w:t xml:space="preserve">The E-R model for the relationship to </w:t>
      </w:r>
      <w:r w:rsidR="00AC0FB6">
        <w:t>haemoglobin</w:t>
      </w:r>
      <w:r>
        <w:t xml:space="preserve"> also included data from the </w:t>
      </w:r>
      <w:r w:rsidR="005D4D79">
        <w:t>P</w:t>
      </w:r>
      <w:r>
        <w:t xml:space="preserve">hase </w:t>
      </w:r>
      <w:r w:rsidR="007F70BF">
        <w:t>I</w:t>
      </w:r>
      <w:r>
        <w:t xml:space="preserve"> studies in </w:t>
      </w:r>
      <w:r w:rsidRPr="00495DB1">
        <w:t>post</w:t>
      </w:r>
      <w:r w:rsidR="007F70BF" w:rsidRPr="00495DB1">
        <w:t>-</w:t>
      </w:r>
      <w:r w:rsidRPr="00495DB1">
        <w:t>menopausal women. H</w:t>
      </w:r>
      <w:r w:rsidR="00495DB1">
        <w:t>aemoglobin</w:t>
      </w:r>
      <w:r w:rsidRPr="00495DB1">
        <w:t xml:space="preserve"> increased with increasing sotatercept concentration </w:t>
      </w:r>
      <w:r w:rsidR="00495DB1" w:rsidRPr="00495DB1">
        <w:t xml:space="preserve">and </w:t>
      </w:r>
      <w:r w:rsidRPr="00495DB1">
        <w:t>approach</w:t>
      </w:r>
      <w:r w:rsidR="00495DB1" w:rsidRPr="00495DB1">
        <w:t>ed</w:t>
      </w:r>
      <w:r w:rsidRPr="00495DB1">
        <w:t xml:space="preserve"> a plateau at the exposures associated with 0.7</w:t>
      </w:r>
      <w:r w:rsidR="00181B89" w:rsidRPr="00495DB1">
        <w:t> </w:t>
      </w:r>
      <w:r w:rsidRPr="00495DB1">
        <w:t>mg/kg (</w:t>
      </w:r>
      <w:r w:rsidR="00495DB1" w:rsidRPr="00495DB1">
        <w:t>see figure below)</w:t>
      </w:r>
      <w:r w:rsidRPr="00495DB1">
        <w:t xml:space="preserve">. Iron supplementation influenced this E-R relationship (slightly increasing </w:t>
      </w:r>
      <w:r w:rsidR="00495DB1">
        <w:t>haemoglobin</w:t>
      </w:r>
      <w:r w:rsidRPr="00495DB1">
        <w:t xml:space="preserve"> at a given</w:t>
      </w:r>
      <w:r>
        <w:t xml:space="preserve"> concentration).</w:t>
      </w:r>
    </w:p>
    <w:p w14:paraId="27A5254E" w14:textId="5CC51048" w:rsidR="00453261" w:rsidRDefault="00AC0FB6" w:rsidP="00AC0FB6">
      <w:pPr>
        <w:pStyle w:val="FigureTitle"/>
      </w:pPr>
      <w:r>
        <w:t xml:space="preserve">Figure </w:t>
      </w:r>
      <w:r>
        <w:fldChar w:fldCharType="begin"/>
      </w:r>
      <w:r>
        <w:instrText xml:space="preserve"> SEQ Figure \* ARABIC </w:instrText>
      </w:r>
      <w:r>
        <w:fldChar w:fldCharType="separate"/>
      </w:r>
      <w:r w:rsidR="00705ED7">
        <w:rPr>
          <w:noProof/>
        </w:rPr>
        <w:t>3</w:t>
      </w:r>
      <w:r>
        <w:fldChar w:fldCharType="end"/>
      </w:r>
      <w:r>
        <w:t>: Model predicted haemoglobin response</w:t>
      </w:r>
      <w:r>
        <w:rPr>
          <w:noProof/>
        </w:rPr>
        <w:t xml:space="preserve"> (absolute and change from baseline) versus Week 24 average concentration of sotatercept</w:t>
      </w:r>
    </w:p>
    <w:p w14:paraId="5692E581" w14:textId="414FEAD8" w:rsidR="00AC0FB6" w:rsidRDefault="00AC0FB6" w:rsidP="0098027F">
      <w:r>
        <w:rPr>
          <w:noProof/>
        </w:rPr>
        <w:drawing>
          <wp:inline distT="0" distB="0" distL="0" distR="0" wp14:anchorId="31F131C4" wp14:editId="217F7595">
            <wp:extent cx="5759450" cy="2394585"/>
            <wp:effectExtent l="0" t="0" r="0" b="5715"/>
            <wp:docPr id="958383693" name="Picture 1" descr="A graph of a graph of a pers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605986" name="Picture 1" descr="A graph of a graph of a person&#10;&#10;AI-generated content may be incorrect."/>
                    <pic:cNvPicPr/>
                  </pic:nvPicPr>
                  <pic:blipFill>
                    <a:blip r:embed="rId29"/>
                    <a:stretch>
                      <a:fillRect/>
                    </a:stretch>
                  </pic:blipFill>
                  <pic:spPr>
                    <a:xfrm>
                      <a:off x="0" y="0"/>
                      <a:ext cx="5759450" cy="2394585"/>
                    </a:xfrm>
                    <a:prstGeom prst="rect">
                      <a:avLst/>
                    </a:prstGeom>
                  </pic:spPr>
                </pic:pic>
              </a:graphicData>
            </a:graphic>
          </wp:inline>
        </w:drawing>
      </w:r>
    </w:p>
    <w:p w14:paraId="01CE88AC" w14:textId="56C10A75" w:rsidR="00712936" w:rsidRDefault="00712936" w:rsidP="00712936">
      <w:r>
        <w:t xml:space="preserve">The sponsor has described </w:t>
      </w:r>
      <w:r w:rsidR="000B4972">
        <w:t>‘</w:t>
      </w:r>
      <w:r>
        <w:t>clinical comparability bounds</w:t>
      </w:r>
      <w:r w:rsidR="000B4972">
        <w:t>’</w:t>
      </w:r>
      <w:r>
        <w:t xml:space="preserve"> which define a concentration range that balances efficacy (6MWD, PVR) and safety (increased </w:t>
      </w:r>
      <w:r w:rsidR="00AD1ADE">
        <w:t>haemoglobin</w:t>
      </w:r>
      <w:r>
        <w:t xml:space="preserve">). Based on a totality of data a lower bound of 0.6-fold (of the median </w:t>
      </w:r>
      <w:r w:rsidR="00EC3100">
        <w:t>average concentration</w:t>
      </w:r>
      <w:r>
        <w:t xml:space="preserve"> with the target clinical dose of 0.7</w:t>
      </w:r>
      <w:r w:rsidR="0052767E">
        <w:t> </w:t>
      </w:r>
      <w:r>
        <w:t>mg/kg) and an upper bound of 1.4</w:t>
      </w:r>
      <w:r w:rsidR="0052767E">
        <w:t>-</w:t>
      </w:r>
      <w:r>
        <w:t>fold was proposed.</w:t>
      </w:r>
    </w:p>
    <w:p w14:paraId="6B5DEFF8" w14:textId="77777777" w:rsidR="00712936" w:rsidRDefault="00712936" w:rsidP="00712936">
      <w:pPr>
        <w:pStyle w:val="Heading4"/>
      </w:pPr>
      <w:bookmarkStart w:id="49" w:name="_Toc202861311"/>
      <w:r w:rsidRPr="00AA53F4">
        <w:lastRenderedPageBreak/>
        <w:t>Efficacy</w:t>
      </w:r>
      <w:bookmarkEnd w:id="49"/>
    </w:p>
    <w:p w14:paraId="0DCBF3DC" w14:textId="3FF03D4B" w:rsidR="00712936" w:rsidRDefault="00712936" w:rsidP="00712936">
      <w:r>
        <w:t xml:space="preserve">The formulation used in the </w:t>
      </w:r>
      <w:r w:rsidR="0052767E">
        <w:t>P</w:t>
      </w:r>
      <w:r>
        <w:t xml:space="preserve">hase </w:t>
      </w:r>
      <w:r w:rsidR="0052767E">
        <w:t>II</w:t>
      </w:r>
      <w:r>
        <w:t xml:space="preserve"> (PULSAR and SPECTRA) and </w:t>
      </w:r>
      <w:r w:rsidR="0052767E">
        <w:t>Phase III</w:t>
      </w:r>
      <w:r>
        <w:t xml:space="preserve"> (STELLAR) studies was a lyophili</w:t>
      </w:r>
      <w:r w:rsidR="00731154">
        <w:t>s</w:t>
      </w:r>
      <w:r>
        <w:t xml:space="preserve">ed powder for reconstitution. The </w:t>
      </w:r>
      <w:r w:rsidR="00731154">
        <w:t>P</w:t>
      </w:r>
      <w:r>
        <w:t xml:space="preserve">hase </w:t>
      </w:r>
      <w:r w:rsidR="00731154">
        <w:t>III</w:t>
      </w:r>
      <w:r>
        <w:t xml:space="preserve"> study used drug material produced with the proposed commercial manufacturing process.</w:t>
      </w:r>
    </w:p>
    <w:p w14:paraId="64570594" w14:textId="77777777" w:rsidR="00712936" w:rsidRDefault="00712936" w:rsidP="000B4972">
      <w:pPr>
        <w:pStyle w:val="Heading5"/>
      </w:pPr>
      <w:r w:rsidRPr="008C2ADD">
        <w:t>Pivotal study</w:t>
      </w:r>
    </w:p>
    <w:p w14:paraId="3031B72B" w14:textId="5F71A1AC" w:rsidR="00B77286" w:rsidRPr="006473BC" w:rsidRDefault="00B77286" w:rsidP="006473BC">
      <w:pPr>
        <w:pStyle w:val="Heading6"/>
      </w:pPr>
      <w:r>
        <w:t>STELLAR (MK-7962-003/A011-11)</w:t>
      </w:r>
    </w:p>
    <w:p w14:paraId="797DE39E" w14:textId="6A6086B2" w:rsidR="00712936" w:rsidRDefault="00712936" w:rsidP="000B4972">
      <w:r>
        <w:t xml:space="preserve">STELLAR (MK-7962-003/A011-11) was a </w:t>
      </w:r>
      <w:r w:rsidR="00731154">
        <w:t>P</w:t>
      </w:r>
      <w:r>
        <w:t xml:space="preserve">hase </w:t>
      </w:r>
      <w:r w:rsidR="00731154">
        <w:t>III</w:t>
      </w:r>
      <w:r>
        <w:t>, randomised, double</w:t>
      </w:r>
      <w:r w:rsidR="00020911">
        <w:t>-</w:t>
      </w:r>
      <w:r>
        <w:t>blind, placebo</w:t>
      </w:r>
      <w:r w:rsidR="00020911">
        <w:t>-</w:t>
      </w:r>
      <w:r>
        <w:t xml:space="preserve">controlled, parallel group study to evaluate the efficacy and safety of sotatercept in adults with </w:t>
      </w:r>
      <w:r w:rsidRPr="00184E36">
        <w:t>WHO Group 1 PAH and functional class II and III on stable background treatment. The study was</w:t>
      </w:r>
      <w:r>
        <w:t xml:space="preserve"> conducted at 126 centres in 21 countries across Europe, the Americas (North, Central, South), Asia and Australia.</w:t>
      </w:r>
    </w:p>
    <w:p w14:paraId="6D9210F8" w14:textId="692A5515" w:rsidR="00712936" w:rsidRDefault="00712936" w:rsidP="000B4972">
      <w:r>
        <w:t>The study comprised a 24</w:t>
      </w:r>
      <w:r w:rsidR="003652DD">
        <w:t>-</w:t>
      </w:r>
      <w:r>
        <w:t>week double-blind period followed by a long</w:t>
      </w:r>
      <w:r w:rsidR="00505F6A">
        <w:t>-</w:t>
      </w:r>
      <w:r>
        <w:t>term double-blind period lasting a maximum of 72</w:t>
      </w:r>
      <w:r w:rsidR="003652DD">
        <w:t> </w:t>
      </w:r>
      <w:r>
        <w:t>weeks (</w:t>
      </w:r>
      <w:r w:rsidR="003652DD">
        <w:t xml:space="preserve">that is, </w:t>
      </w:r>
      <w:r>
        <w:t>participants could continue either sotatercept or placebo following the first 24</w:t>
      </w:r>
      <w:r w:rsidR="006C20F5">
        <w:t> </w:t>
      </w:r>
      <w:r>
        <w:t>weeks of the study). Randomisation occurred in 1:1 ratio to sotatercept (starting dose 0.3</w:t>
      </w:r>
      <w:r w:rsidR="006C20F5">
        <w:t> </w:t>
      </w:r>
      <w:r>
        <w:t>mg</w:t>
      </w:r>
      <w:r w:rsidR="00AD1ADE">
        <w:t>/</w:t>
      </w:r>
      <w:r>
        <w:t>kg with a target dose of 0.7</w:t>
      </w:r>
      <w:r w:rsidR="006C20F5">
        <w:t> </w:t>
      </w:r>
      <w:r>
        <w:t>mg/kg) or placebo given by subcutaneous injection, with stratification by baseline WHO functional class (II or III) and background PAH therapy (</w:t>
      </w:r>
      <w:r w:rsidR="006C20F5">
        <w:t xml:space="preserve">that is, </w:t>
      </w:r>
      <w:r>
        <w:t>mono, double, triple).</w:t>
      </w:r>
    </w:p>
    <w:p w14:paraId="17A1DB94" w14:textId="6462CFB0" w:rsidR="00712936" w:rsidRDefault="00712936" w:rsidP="000B4972">
      <w:r>
        <w:t xml:space="preserve">Dose adjustments (escalation, delay, reduction or discontinuation) were determined based on the </w:t>
      </w:r>
      <w:r w:rsidR="00AD1ADE">
        <w:t>haemoglobin</w:t>
      </w:r>
      <w:r>
        <w:t xml:space="preserve"> and platelet count. Escalation from 0.3</w:t>
      </w:r>
      <w:r w:rsidR="00471FE0">
        <w:t xml:space="preserve"> mg/kg </w:t>
      </w:r>
      <w:r>
        <w:t>to 0.7</w:t>
      </w:r>
      <w:r w:rsidR="00471FE0">
        <w:t> </w:t>
      </w:r>
      <w:r>
        <w:t>mg/kg was planned to follow the first dose.</w:t>
      </w:r>
    </w:p>
    <w:p w14:paraId="37717C61" w14:textId="427804DA" w:rsidR="00712936" w:rsidRDefault="00712936" w:rsidP="000B4972">
      <w:r>
        <w:t>Major inclusion criteria were</w:t>
      </w:r>
      <w:r w:rsidR="00E14A56">
        <w:t>:</w:t>
      </w:r>
    </w:p>
    <w:p w14:paraId="17BD773F" w14:textId="35442348" w:rsidR="00712936" w:rsidRDefault="00E14A56" w:rsidP="000B4972">
      <w:pPr>
        <w:pStyle w:val="ListBullet"/>
      </w:pPr>
      <w:r>
        <w:t>m</w:t>
      </w:r>
      <w:r w:rsidR="00712936">
        <w:t>ale</w:t>
      </w:r>
      <w:r w:rsidR="00274099">
        <w:t>s</w:t>
      </w:r>
      <w:r w:rsidR="00712936">
        <w:t xml:space="preserve"> and females ≥</w:t>
      </w:r>
      <w:r w:rsidR="00DE7F90">
        <w:t> </w:t>
      </w:r>
      <w:r w:rsidR="00712936">
        <w:t>18 years of age</w:t>
      </w:r>
    </w:p>
    <w:p w14:paraId="5A9475D7" w14:textId="120A63FD" w:rsidR="00712936" w:rsidRDefault="00274099" w:rsidP="000B4972">
      <w:pPr>
        <w:pStyle w:val="ListBullet"/>
      </w:pPr>
      <w:r>
        <w:t>c</w:t>
      </w:r>
      <w:r w:rsidR="00712936">
        <w:t xml:space="preserve">onfirmed diagnosis of PAH that was idiopathic, heritable, drug/toxin induced, </w:t>
      </w:r>
      <w:r w:rsidR="00DE0A0F">
        <w:t xml:space="preserve">PAH </w:t>
      </w:r>
      <w:r w:rsidR="00712936">
        <w:t>associated with connective tissue disease (</w:t>
      </w:r>
      <w:r w:rsidR="00BB2404">
        <w:t>PAH-</w:t>
      </w:r>
      <w:r w:rsidR="00712936">
        <w:t>CTD) or simple, congenital systemic-pulmonary shunts (≥</w:t>
      </w:r>
      <w:r w:rsidR="00DE7F90">
        <w:t> </w:t>
      </w:r>
      <w:r w:rsidR="00712936">
        <w:t>1</w:t>
      </w:r>
      <w:r w:rsidR="00BB2404">
        <w:t> </w:t>
      </w:r>
      <w:r w:rsidR="00712936">
        <w:t>year) post repair</w:t>
      </w:r>
    </w:p>
    <w:p w14:paraId="0C799DAA" w14:textId="77777777" w:rsidR="00712936" w:rsidRDefault="00712936" w:rsidP="000B4972">
      <w:pPr>
        <w:pStyle w:val="ListBullet"/>
      </w:pPr>
      <w:r>
        <w:t>WHO FC II or III</w:t>
      </w:r>
    </w:p>
    <w:p w14:paraId="602C9D83" w14:textId="33AAAACA" w:rsidR="00E14A56" w:rsidRDefault="00BB2404" w:rsidP="00E14A56">
      <w:pPr>
        <w:pStyle w:val="ListBullet"/>
      </w:pPr>
      <w:r>
        <w:t>r</w:t>
      </w:r>
      <w:r w:rsidR="00E14A56">
        <w:t>ight heart catheterisation measures of PVR ≥5</w:t>
      </w:r>
      <w:r>
        <w:t> </w:t>
      </w:r>
      <w:r w:rsidR="00E14A56">
        <w:t>Wood units, PCWP ≤</w:t>
      </w:r>
      <w:r w:rsidR="00DE7F90">
        <w:t> </w:t>
      </w:r>
      <w:r w:rsidR="00E14A56">
        <w:t>15</w:t>
      </w:r>
      <w:r>
        <w:t> </w:t>
      </w:r>
      <w:r w:rsidR="00E14A56">
        <w:t>mmHg</w:t>
      </w:r>
    </w:p>
    <w:p w14:paraId="2AA39E81" w14:textId="1CAAAF67" w:rsidR="00E14A56" w:rsidRDefault="00E14A56" w:rsidP="00E14A56">
      <w:pPr>
        <w:pStyle w:val="ListBullet"/>
      </w:pPr>
      <w:r>
        <w:t>6MWD of 150</w:t>
      </w:r>
      <w:r w:rsidR="00755B5C">
        <w:t xml:space="preserve"> m to </w:t>
      </w:r>
      <w:r>
        <w:t>500</w:t>
      </w:r>
      <w:r w:rsidR="00755B5C">
        <w:t> </w:t>
      </w:r>
      <w:r>
        <w:t>m</w:t>
      </w:r>
    </w:p>
    <w:p w14:paraId="620494A0" w14:textId="0CC3A41A" w:rsidR="00E14A56" w:rsidRDefault="00755B5C" w:rsidP="00E14A56">
      <w:pPr>
        <w:pStyle w:val="ListBullet"/>
      </w:pPr>
      <w:r>
        <w:t>s</w:t>
      </w:r>
      <w:r w:rsidR="00E14A56">
        <w:t>table background PAH therapy for at least 90 days</w:t>
      </w:r>
      <w:r>
        <w:t>.</w:t>
      </w:r>
    </w:p>
    <w:p w14:paraId="64C6AF31" w14:textId="487B2773" w:rsidR="00E14A56" w:rsidRDefault="00E14A56" w:rsidP="00E14A56">
      <w:r>
        <w:t>Major exclusion criteria were</w:t>
      </w:r>
      <w:r w:rsidR="00755B5C">
        <w:t>:</w:t>
      </w:r>
    </w:p>
    <w:p w14:paraId="353BC850" w14:textId="6088BB10" w:rsidR="00E14A56" w:rsidRDefault="00E14A56" w:rsidP="00E14A56">
      <w:pPr>
        <w:pStyle w:val="ListBullet"/>
      </w:pPr>
      <w:r>
        <w:t xml:space="preserve">PAH associated with HIV, portal hypertension or schistosomiasis, pulmonary </w:t>
      </w:r>
      <w:proofErr w:type="spellStart"/>
      <w:r>
        <w:t>veno</w:t>
      </w:r>
      <w:proofErr w:type="spellEnd"/>
      <w:r>
        <w:t>-occlusive disease</w:t>
      </w:r>
    </w:p>
    <w:p w14:paraId="518072EA" w14:textId="4096AC1E" w:rsidR="00E14A56" w:rsidRDefault="00501008" w:rsidP="00E14A56">
      <w:pPr>
        <w:pStyle w:val="ListBullet"/>
      </w:pPr>
      <w:r>
        <w:t>p</w:t>
      </w:r>
      <w:r w:rsidR="00E14A56">
        <w:t>ulmonary hypertension from WHO groups 2</w:t>
      </w:r>
      <w:r>
        <w:t xml:space="preserve"> to </w:t>
      </w:r>
      <w:r w:rsidR="00E14A56">
        <w:t>5</w:t>
      </w:r>
    </w:p>
    <w:p w14:paraId="47C54A48" w14:textId="03D1573B" w:rsidR="00E14A56" w:rsidRDefault="00AD1ADE" w:rsidP="00E14A56">
      <w:pPr>
        <w:pStyle w:val="ListBullet"/>
      </w:pPr>
      <w:r>
        <w:t>haemoglobin</w:t>
      </w:r>
      <w:r w:rsidR="00E14A56">
        <w:t xml:space="preserve"> &gt;</w:t>
      </w:r>
      <w:r w:rsidR="00453126">
        <w:t> </w:t>
      </w:r>
      <w:r w:rsidR="00E14A56">
        <w:t>upper limit of normal</w:t>
      </w:r>
    </w:p>
    <w:p w14:paraId="76BF8CBC" w14:textId="08826754" w:rsidR="00E14A56" w:rsidRDefault="00501008" w:rsidP="00E14A56">
      <w:pPr>
        <w:pStyle w:val="ListBullet"/>
      </w:pPr>
      <w:r>
        <w:t>p</w:t>
      </w:r>
      <w:r w:rsidR="00E14A56">
        <w:t>latelets &lt;</w:t>
      </w:r>
      <w:r w:rsidR="00453126">
        <w:t> </w:t>
      </w:r>
      <w:r w:rsidR="00E14A56">
        <w:t xml:space="preserve">50 </w:t>
      </w:r>
      <w:r w:rsidR="00B8247D">
        <w:t>x</w:t>
      </w:r>
      <w:r w:rsidR="00E14A56">
        <w:t xml:space="preserve"> 10</w:t>
      </w:r>
      <w:r w:rsidR="00E14A56" w:rsidRPr="007F2C5B">
        <w:rPr>
          <w:vertAlign w:val="superscript"/>
        </w:rPr>
        <w:t>9</w:t>
      </w:r>
      <w:r w:rsidR="00E14A56">
        <w:t>/L</w:t>
      </w:r>
    </w:p>
    <w:p w14:paraId="2D870DAC" w14:textId="57A17652" w:rsidR="00E14A56" w:rsidRDefault="00B8247D" w:rsidP="00E14A56">
      <w:pPr>
        <w:pStyle w:val="ListBullet"/>
      </w:pPr>
      <w:r>
        <w:t>u</w:t>
      </w:r>
      <w:r w:rsidR="00E14A56">
        <w:t>ncontrolled hypertension</w:t>
      </w:r>
      <w:r>
        <w:t>.</w:t>
      </w:r>
    </w:p>
    <w:p w14:paraId="31243F40" w14:textId="3F36AE1B" w:rsidR="00E14A56" w:rsidRDefault="00E14A56" w:rsidP="00E14A56">
      <w:r>
        <w:t xml:space="preserve">The primary efficacy endpoint was the change from baseline to </w:t>
      </w:r>
      <w:r w:rsidR="00435498">
        <w:t>W</w:t>
      </w:r>
      <w:r>
        <w:t xml:space="preserve">eek 24 in the 6MWD. The primary safety endpoints included adverse events, laboratory tests, vital signs, ADAs and </w:t>
      </w:r>
      <w:r w:rsidR="00184E36" w:rsidRPr="00184E36">
        <w:t>electrocardiogram</w:t>
      </w:r>
      <w:r w:rsidR="00184E36">
        <w:t>s.</w:t>
      </w:r>
      <w:r>
        <w:t xml:space="preserve"> There were also 9 secondary efficacy endpoints</w:t>
      </w:r>
      <w:r w:rsidR="00DB0E83">
        <w:t>, as</w:t>
      </w:r>
      <w:r w:rsidR="00281A9E">
        <w:t xml:space="preserve"> below</w:t>
      </w:r>
      <w:r w:rsidR="00DB0E83">
        <w:t>.</w:t>
      </w:r>
      <w:r>
        <w:t xml:space="preserve"> Note that </w:t>
      </w:r>
      <w:proofErr w:type="gramStart"/>
      <w:r>
        <w:t>all of</w:t>
      </w:r>
      <w:proofErr w:type="gramEnd"/>
      <w:r>
        <w:t xml:space="preserve"> the secondary efficacy endpoints were measured at </w:t>
      </w:r>
      <w:r w:rsidR="00435498">
        <w:t>W</w:t>
      </w:r>
      <w:r>
        <w:t xml:space="preserve">eek 24 except for time to death or the first </w:t>
      </w:r>
      <w:r>
        <w:lastRenderedPageBreak/>
        <w:t xml:space="preserve">occurrence of a </w:t>
      </w:r>
      <w:r w:rsidRPr="00184E36">
        <w:t>clinical worsening event (which was limited by the data cut</w:t>
      </w:r>
      <w:r w:rsidR="00184E36" w:rsidRPr="00184E36">
        <w:t xml:space="preserve"> </w:t>
      </w:r>
      <w:r w:rsidRPr="00184E36">
        <w:t xml:space="preserve">point). </w:t>
      </w:r>
      <w:proofErr w:type="gramStart"/>
      <w:r w:rsidRPr="00184E36">
        <w:t>A number of</w:t>
      </w:r>
      <w:proofErr w:type="gramEnd"/>
      <w:r>
        <w:t xml:space="preserve"> tertiary/exploratory endpoints (including additional haemodynamic parameters, echo parameters and patient questionnaires) were</w:t>
      </w:r>
      <w:r w:rsidR="00174379">
        <w:t xml:space="preserve"> documented.</w:t>
      </w:r>
    </w:p>
    <w:p w14:paraId="3D2E3431" w14:textId="44C0F619" w:rsidR="00281A9E" w:rsidRPr="00DB0E83" w:rsidRDefault="005B4365" w:rsidP="00281A9E">
      <w:r w:rsidRPr="00DB0E83">
        <w:t>Secondary efficacy endpoints were:</w:t>
      </w:r>
    </w:p>
    <w:p w14:paraId="6ACB0F07" w14:textId="527B64DB" w:rsidR="005B4365" w:rsidRPr="005B4365" w:rsidRDefault="005B4365" w:rsidP="006473BC">
      <w:pPr>
        <w:pStyle w:val="Numberbullet0"/>
      </w:pPr>
      <w:r w:rsidRPr="005B4365">
        <w:t>Multicomponent improvement endpoint measured by the proportion of participants</w:t>
      </w:r>
      <w:r>
        <w:t xml:space="preserve"> </w:t>
      </w:r>
      <w:r w:rsidRPr="005B4365">
        <w:t xml:space="preserve">achieving </w:t>
      </w:r>
      <w:proofErr w:type="gramStart"/>
      <w:r w:rsidRPr="005B4365">
        <w:t>all of</w:t>
      </w:r>
      <w:proofErr w:type="gramEnd"/>
      <w:r w:rsidRPr="005B4365">
        <w:t xml:space="preserve"> the following at Week 24 relative to baseline:</w:t>
      </w:r>
    </w:p>
    <w:p w14:paraId="0B0C751C" w14:textId="0049D03C" w:rsidR="005B4365" w:rsidRPr="005B4365" w:rsidRDefault="00DB0E83" w:rsidP="005B4365">
      <w:pPr>
        <w:pStyle w:val="Numberbullet2"/>
      </w:pPr>
      <w:r>
        <w:t>i</w:t>
      </w:r>
      <w:r w:rsidR="005B4365" w:rsidRPr="005B4365">
        <w:t xml:space="preserve">mprovement in 6MWD (increase </w:t>
      </w:r>
      <w:r>
        <w:t>≥ </w:t>
      </w:r>
      <w:r w:rsidR="005B4365" w:rsidRPr="005B4365">
        <w:t>30</w:t>
      </w:r>
      <w:r>
        <w:t> </w:t>
      </w:r>
      <w:r w:rsidR="005B4365" w:rsidRPr="005B4365">
        <w:t>m)</w:t>
      </w:r>
    </w:p>
    <w:p w14:paraId="1C6A003D" w14:textId="0F5649AF" w:rsidR="005B4365" w:rsidRPr="005B4365" w:rsidRDefault="00DB0E83" w:rsidP="005B4365">
      <w:pPr>
        <w:pStyle w:val="Numberbullet2"/>
      </w:pPr>
      <w:r>
        <w:t>i</w:t>
      </w:r>
      <w:r w:rsidR="005B4365" w:rsidRPr="005B4365">
        <w:t>mprovement in NT-</w:t>
      </w:r>
      <w:proofErr w:type="spellStart"/>
      <w:r w:rsidR="005B4365" w:rsidRPr="005B4365">
        <w:t>proBNP</w:t>
      </w:r>
      <w:proofErr w:type="spellEnd"/>
      <w:r w:rsidR="005B4365" w:rsidRPr="005B4365">
        <w:t xml:space="preserve"> (decrease in NT-</w:t>
      </w:r>
      <w:proofErr w:type="spellStart"/>
      <w:r w:rsidR="005B4365" w:rsidRPr="005B4365">
        <w:t>proBNP</w:t>
      </w:r>
      <w:proofErr w:type="spellEnd"/>
      <w:r w:rsidR="005B4365" w:rsidRPr="005B4365">
        <w:t xml:space="preserve"> </w:t>
      </w:r>
      <w:r>
        <w:t>≥ </w:t>
      </w:r>
      <w:r w:rsidR="005B4365" w:rsidRPr="005B4365">
        <w:t>30%) or</w:t>
      </w:r>
      <w:r w:rsidR="005B4365">
        <w:t xml:space="preserve"> </w:t>
      </w:r>
      <w:r w:rsidR="005B4365" w:rsidRPr="005B4365">
        <w:t>maintenance/achievement of NT-</w:t>
      </w:r>
      <w:proofErr w:type="spellStart"/>
      <w:r w:rsidR="005B4365" w:rsidRPr="005B4365">
        <w:t>proBNP</w:t>
      </w:r>
      <w:proofErr w:type="spellEnd"/>
      <w:r w:rsidR="005B4365" w:rsidRPr="005B4365">
        <w:t xml:space="preserve"> level </w:t>
      </w:r>
      <w:r>
        <w:t>&lt; </w:t>
      </w:r>
      <w:r w:rsidR="005B4365" w:rsidRPr="005B4365">
        <w:t>300</w:t>
      </w:r>
      <w:r>
        <w:t> </w:t>
      </w:r>
      <w:r w:rsidR="005B4365" w:rsidRPr="005B4365">
        <w:t>ng/L</w:t>
      </w:r>
    </w:p>
    <w:p w14:paraId="2997DF6E" w14:textId="390E774D" w:rsidR="005B4365" w:rsidRPr="005B4365" w:rsidRDefault="00DB0E83" w:rsidP="005B4365">
      <w:pPr>
        <w:pStyle w:val="Numberbullet2"/>
      </w:pPr>
      <w:r>
        <w:t>i</w:t>
      </w:r>
      <w:r w:rsidR="005B4365" w:rsidRPr="005B4365">
        <w:t>mprovement in WHO FC or maintenance of WHO FC II</w:t>
      </w:r>
    </w:p>
    <w:p w14:paraId="42634C70" w14:textId="507257E8" w:rsidR="005B4365" w:rsidRPr="005B4365" w:rsidRDefault="005B4365" w:rsidP="005B4365">
      <w:pPr>
        <w:pStyle w:val="Numberbullet0"/>
      </w:pPr>
      <w:r w:rsidRPr="005B4365">
        <w:t>Change from baseline in PVR at Week 24</w:t>
      </w:r>
    </w:p>
    <w:p w14:paraId="7678377B" w14:textId="2FFAAE5E" w:rsidR="005B4365" w:rsidRPr="005B4365" w:rsidRDefault="005B4365" w:rsidP="005B4365">
      <w:pPr>
        <w:pStyle w:val="Numberbullet0"/>
      </w:pPr>
      <w:r w:rsidRPr="005B4365">
        <w:t>Change from baseline in NT-</w:t>
      </w:r>
      <w:proofErr w:type="spellStart"/>
      <w:r w:rsidRPr="005B4365">
        <w:t>proBNP</w:t>
      </w:r>
      <w:proofErr w:type="spellEnd"/>
      <w:r w:rsidRPr="005B4365">
        <w:t xml:space="preserve"> levels at Week 24</w:t>
      </w:r>
    </w:p>
    <w:p w14:paraId="7CF55EDE" w14:textId="1C1AAE2D" w:rsidR="005B4365" w:rsidRPr="005B4365" w:rsidRDefault="005B4365" w:rsidP="005B4365">
      <w:pPr>
        <w:pStyle w:val="Numberbullet0"/>
      </w:pPr>
      <w:r w:rsidRPr="005B4365">
        <w:t>Proportion of participants who improve in WHO FC at Week 24 from baseline</w:t>
      </w:r>
    </w:p>
    <w:p w14:paraId="3E9F7941" w14:textId="12B4ED8B" w:rsidR="005B4365" w:rsidRPr="005B4365" w:rsidRDefault="005B4365" w:rsidP="003755C5">
      <w:pPr>
        <w:pStyle w:val="Numberbullet0"/>
      </w:pPr>
      <w:r w:rsidRPr="005B4365">
        <w:t>Time to death or the first occurrence of any of the following clinical worsening events</w:t>
      </w:r>
      <w:r w:rsidR="00DB0E83">
        <w:t xml:space="preserve"> </w:t>
      </w:r>
      <w:r w:rsidRPr="005B4365">
        <w:t>(time to clinical worsening</w:t>
      </w:r>
    </w:p>
    <w:p w14:paraId="06FB772D" w14:textId="07ECB110" w:rsidR="005B4365" w:rsidRPr="005B4365" w:rsidRDefault="00DB0E83" w:rsidP="00DB0E83">
      <w:pPr>
        <w:pStyle w:val="Numberbullet2"/>
      </w:pPr>
      <w:r>
        <w:t>w</w:t>
      </w:r>
      <w:r w:rsidR="005B4365" w:rsidRPr="005B4365">
        <w:t>orsening-related listing for lung and/or heart transplant</w:t>
      </w:r>
    </w:p>
    <w:p w14:paraId="4075FF01" w14:textId="32B4433B" w:rsidR="005B4365" w:rsidRPr="005B4365" w:rsidRDefault="00DB0E83" w:rsidP="0043389C">
      <w:pPr>
        <w:pStyle w:val="Numberbullet2"/>
      </w:pPr>
      <w:r>
        <w:t>n</w:t>
      </w:r>
      <w:r w:rsidR="005B4365" w:rsidRPr="005B4365">
        <w:t>eed to initiate rescue therapy with an approved background PAH therapy or the</w:t>
      </w:r>
      <w:r>
        <w:t xml:space="preserve"> </w:t>
      </w:r>
      <w:r w:rsidR="005B4365" w:rsidRPr="005B4365">
        <w:t>need to increase the dose of infusion prostacyclin by 10% or more</w:t>
      </w:r>
    </w:p>
    <w:p w14:paraId="09C4A05C" w14:textId="0975572E" w:rsidR="005B4365" w:rsidRPr="005B4365" w:rsidRDefault="00DB0E83" w:rsidP="00DB0E83">
      <w:pPr>
        <w:pStyle w:val="Numberbullet2"/>
      </w:pPr>
      <w:r>
        <w:t>n</w:t>
      </w:r>
      <w:r w:rsidR="005B4365" w:rsidRPr="005B4365">
        <w:t>eed for atrial septostomy</w:t>
      </w:r>
    </w:p>
    <w:p w14:paraId="5748987A" w14:textId="34B010C9" w:rsidR="005B4365" w:rsidRPr="005B4365" w:rsidRDefault="00DB0E83" w:rsidP="00DB0E83">
      <w:pPr>
        <w:pStyle w:val="Numberbullet2"/>
      </w:pPr>
      <w:r>
        <w:t>h</w:t>
      </w:r>
      <w:r w:rsidR="005B4365" w:rsidRPr="005B4365">
        <w:t>ospitali</w:t>
      </w:r>
      <w:r>
        <w:t>s</w:t>
      </w:r>
      <w:r w:rsidR="005B4365" w:rsidRPr="005B4365">
        <w:t>ation for worsening of PAH (</w:t>
      </w:r>
      <w:r>
        <w:t>≥ </w:t>
      </w:r>
      <w:r w:rsidR="005B4365" w:rsidRPr="005B4365">
        <w:t>24</w:t>
      </w:r>
      <w:r>
        <w:t> </w:t>
      </w:r>
      <w:r w:rsidR="005B4365" w:rsidRPr="005B4365">
        <w:t>hours)</w:t>
      </w:r>
    </w:p>
    <w:p w14:paraId="1D0D23EA" w14:textId="24DFEF02" w:rsidR="005B4365" w:rsidRPr="005B4365" w:rsidRDefault="00DB0E83" w:rsidP="00090BC6">
      <w:pPr>
        <w:pStyle w:val="Numberbullet2"/>
      </w:pPr>
      <w:r>
        <w:t>d</w:t>
      </w:r>
      <w:r w:rsidR="005B4365" w:rsidRPr="005B4365">
        <w:t>eterioration of PAH defined by both of the following events occurring at any time,</w:t>
      </w:r>
      <w:r>
        <w:t xml:space="preserve"> </w:t>
      </w:r>
      <w:r w:rsidR="005B4365" w:rsidRPr="005B4365">
        <w:t>even if they began at different times, as compared to their baseline values:</w:t>
      </w:r>
    </w:p>
    <w:p w14:paraId="1C278022" w14:textId="79E74BF3" w:rsidR="005B4365" w:rsidRPr="005B4365" w:rsidRDefault="00DB0E83" w:rsidP="006473BC">
      <w:pPr>
        <w:pStyle w:val="Numberbullet3"/>
      </w:pPr>
      <w:r>
        <w:t>w</w:t>
      </w:r>
      <w:r w:rsidR="005B4365" w:rsidRPr="005B4365">
        <w:t>orsened WHO FC</w:t>
      </w:r>
    </w:p>
    <w:p w14:paraId="5990B274" w14:textId="5783D8F9" w:rsidR="005B4365" w:rsidRPr="005B4365" w:rsidRDefault="00DB0E83" w:rsidP="00DB0E83">
      <w:pPr>
        <w:pStyle w:val="Numberbullet3"/>
      </w:pPr>
      <w:r>
        <w:t>d</w:t>
      </w:r>
      <w:r w:rsidR="005B4365" w:rsidRPr="005B4365">
        <w:t xml:space="preserve">ecrease in 6MWD by </w:t>
      </w:r>
      <w:r>
        <w:rPr>
          <w:rFonts w:cs="Arial"/>
        </w:rPr>
        <w:t>≥</w:t>
      </w:r>
      <w:r>
        <w:t> </w:t>
      </w:r>
      <w:r w:rsidR="005B4365" w:rsidRPr="005B4365">
        <w:t>15% confirmed by 2 tests at least 4 hours apart, but no</w:t>
      </w:r>
      <w:r>
        <w:t xml:space="preserve"> </w:t>
      </w:r>
      <w:r w:rsidR="005B4365" w:rsidRPr="005B4365">
        <w:t>more than 1 week</w:t>
      </w:r>
    </w:p>
    <w:p w14:paraId="67B32BCF" w14:textId="2DFE45DD" w:rsidR="005B4365" w:rsidRPr="005B4365" w:rsidRDefault="005B4365" w:rsidP="003C3106">
      <w:pPr>
        <w:pStyle w:val="Numberbullet0"/>
      </w:pPr>
      <w:r w:rsidRPr="005B4365">
        <w:t>Proportion of participants who maintain or achieve a low</w:t>
      </w:r>
      <w:r w:rsidR="00505F6A">
        <w:t>-</w:t>
      </w:r>
      <w:r w:rsidRPr="005B4365">
        <w:t>risk score at</w:t>
      </w:r>
      <w:r w:rsidR="00DB0E83">
        <w:t xml:space="preserve"> </w:t>
      </w:r>
      <w:r w:rsidRPr="005B4365">
        <w:t>Week 24 versus baseline using the simplified French Risk score calculator</w:t>
      </w:r>
    </w:p>
    <w:p w14:paraId="467560EE" w14:textId="35D4CF1E" w:rsidR="005B4365" w:rsidRPr="005B4365" w:rsidRDefault="005B4365" w:rsidP="00970FD1">
      <w:pPr>
        <w:pStyle w:val="Numberbullet0"/>
      </w:pPr>
      <w:r w:rsidRPr="005B4365">
        <w:t>Change from baseline in the Physical Impacts domain score of Pulmonary Arterial</w:t>
      </w:r>
      <w:r w:rsidR="00DB0E83">
        <w:t xml:space="preserve"> </w:t>
      </w:r>
      <w:r w:rsidRPr="005B4365">
        <w:t>Hypertension-Symptoms and Impact (PAH-SYMPACT) at Week 24</w:t>
      </w:r>
    </w:p>
    <w:p w14:paraId="4BABB4E0" w14:textId="401A78EE" w:rsidR="005B4365" w:rsidRPr="005B4365" w:rsidRDefault="005B4365" w:rsidP="000947B5">
      <w:pPr>
        <w:pStyle w:val="Numberbullet0"/>
      </w:pPr>
      <w:r w:rsidRPr="005B4365">
        <w:t>Change from baseline in the Cardiopulmonary Symptoms domain score of</w:t>
      </w:r>
      <w:r w:rsidR="00DB0E83">
        <w:t xml:space="preserve"> </w:t>
      </w:r>
      <w:r w:rsidRPr="005B4365">
        <w:t>PAH-SYMPACT at Week 24</w:t>
      </w:r>
    </w:p>
    <w:p w14:paraId="58075790" w14:textId="17CFFAB7" w:rsidR="005B4365" w:rsidRDefault="005B4365" w:rsidP="009B5778">
      <w:pPr>
        <w:pStyle w:val="Numberbullet0"/>
      </w:pPr>
      <w:r w:rsidRPr="005B4365">
        <w:t>Change from baseline in the Cognitive/Emotional Impacts domain score of</w:t>
      </w:r>
      <w:r w:rsidR="00DB0E83">
        <w:t xml:space="preserve"> </w:t>
      </w:r>
      <w:r w:rsidRPr="005B4365">
        <w:t>PAH-SYMPACT at Week 24</w:t>
      </w:r>
      <w:r w:rsidR="00DB0E83">
        <w:t>.</w:t>
      </w:r>
    </w:p>
    <w:p w14:paraId="22CD81FA" w14:textId="351E8172" w:rsidR="00604ECB" w:rsidRDefault="00604ECB" w:rsidP="00604ECB">
      <w:r w:rsidRPr="00DB0E83">
        <w:t xml:space="preserve">The primary analysis population for efficacy endpoints was the </w:t>
      </w:r>
      <w:r w:rsidR="00D06E6F" w:rsidRPr="00DB0E83">
        <w:t xml:space="preserve">full analysis set </w:t>
      </w:r>
      <w:r w:rsidR="00236EEC" w:rsidRPr="00DB0E83">
        <w:t>(</w:t>
      </w:r>
      <w:r w:rsidRPr="00DB0E83">
        <w:t>FAS</w:t>
      </w:r>
      <w:r w:rsidR="00236EEC" w:rsidRPr="00DB0E83">
        <w:t>)</w:t>
      </w:r>
      <w:r w:rsidRPr="00DB0E83">
        <w:t xml:space="preserve"> (all</w:t>
      </w:r>
      <w:r>
        <w:t xml:space="preserve"> randomised participants). A gatekeeping method</w:t>
      </w:r>
      <w:r w:rsidR="00505F6A">
        <w:t>-</w:t>
      </w:r>
      <w:r>
        <w:t xml:space="preserve">controlled </w:t>
      </w:r>
      <w:r w:rsidR="00B84ABC">
        <w:t>T</w:t>
      </w:r>
      <w:r>
        <w:t>ype 1 error rate for the primary and secondary efficacy endpoints, all using a 2-sided alpha</w:t>
      </w:r>
      <w:r w:rsidR="00DB0E83">
        <w:t> </w:t>
      </w:r>
      <w:r>
        <w:t>=</w:t>
      </w:r>
      <w:r w:rsidR="00DB0E83">
        <w:t> </w:t>
      </w:r>
      <w:r>
        <w:t>0.05. Safety analyses were based on the Safety Set. A total of 284 participants were planned.</w:t>
      </w:r>
    </w:p>
    <w:p w14:paraId="4100142F" w14:textId="605E62BF" w:rsidR="00604ECB" w:rsidRDefault="00604ECB" w:rsidP="00604ECB">
      <w:r>
        <w:t>A total of 323 participants were randomised (163 in sotatercept arm and 160 in placebo arm). All randomised participants were treated and more completed the double</w:t>
      </w:r>
      <w:r w:rsidR="00505F6A">
        <w:t>-</w:t>
      </w:r>
      <w:r>
        <w:t>blind placebo-controlled period in sotatercept arm compared to placebo (159 v</w:t>
      </w:r>
      <w:r w:rsidR="00166B4D">
        <w:t>ersus</w:t>
      </w:r>
      <w:r>
        <w:t xml:space="preserve"> 148). Overall (initial </w:t>
      </w:r>
      <w:r>
        <w:lastRenderedPageBreak/>
        <w:t>24</w:t>
      </w:r>
      <w:r w:rsidR="002E5583">
        <w:t> </w:t>
      </w:r>
      <w:r>
        <w:t>weeks and afterwards) more participants discontinued treatment in the placebo arm compared with sotatercept arm (35 v</w:t>
      </w:r>
      <w:r w:rsidR="002E5583">
        <w:t>ersus</w:t>
      </w:r>
      <w:r>
        <w:t xml:space="preserve"> 9), as was the case with withdrawals (16 </w:t>
      </w:r>
      <w:r w:rsidR="002E5583">
        <w:t>versus</w:t>
      </w:r>
      <w:r>
        <w:t xml:space="preserve"> 8). In the placebo group the reasons for discontinuing were clinical worsening event (10</w:t>
      </w:r>
      <w:r w:rsidR="00892521">
        <w:t> </w:t>
      </w:r>
      <w:r>
        <w:t xml:space="preserve">participants), death (6 participants) and other (11 participants). In the sotatercept group discontinuations were due to death (2 participants) and </w:t>
      </w:r>
      <w:r w:rsidR="002A4C89">
        <w:t>adverse events (</w:t>
      </w:r>
      <w:r>
        <w:t>AE</w:t>
      </w:r>
      <w:r w:rsidR="002A4C89">
        <w:t>)</w:t>
      </w:r>
      <w:r>
        <w:t xml:space="preserve"> (4 participants) and singular events. Nearly all (99.4%) of participants were able to reach the target dose, 6.1% required dose reductions and 3% were re-escalated.</w:t>
      </w:r>
    </w:p>
    <w:p w14:paraId="3B132A0A" w14:textId="1C3EC632" w:rsidR="00604ECB" w:rsidRDefault="00604ECB" w:rsidP="00604ECB">
      <w:r>
        <w:t>Considering both the double</w:t>
      </w:r>
      <w:r w:rsidR="00505F6A">
        <w:t>-</w:t>
      </w:r>
      <w:r>
        <w:t>blind placebo</w:t>
      </w:r>
      <w:r w:rsidR="00020911">
        <w:t>-</w:t>
      </w:r>
      <w:r>
        <w:t>controlled period and the long</w:t>
      </w:r>
      <w:r w:rsidR="00505F6A">
        <w:t>-</w:t>
      </w:r>
      <w:r>
        <w:t>term double</w:t>
      </w:r>
      <w:r w:rsidR="00505F6A">
        <w:t>-</w:t>
      </w:r>
      <w:r>
        <w:t>blind period, the median exposure was longer in the sotatercept arm (252</w:t>
      </w:r>
      <w:r w:rsidR="005E30A3">
        <w:t> </w:t>
      </w:r>
      <w:r>
        <w:t xml:space="preserve">days) than in the placebo </w:t>
      </w:r>
      <w:r w:rsidRPr="00184E36">
        <w:t>arm (229.5</w:t>
      </w:r>
      <w:r w:rsidR="005E30A3" w:rsidRPr="00184E36">
        <w:t> </w:t>
      </w:r>
      <w:r w:rsidRPr="00184E36">
        <w:t>days). This duration was influenced by both study discontinuations and the data cut</w:t>
      </w:r>
      <w:r w:rsidR="00184E36" w:rsidRPr="00184E36">
        <w:t>-</w:t>
      </w:r>
      <w:r w:rsidRPr="00184E36">
        <w:t>off date.</w:t>
      </w:r>
    </w:p>
    <w:p w14:paraId="694088BD" w14:textId="66D4C72F" w:rsidR="00604ECB" w:rsidRDefault="00604ECB" w:rsidP="00DB0E83">
      <w:r w:rsidRPr="00DB0E83">
        <w:t>Major protocol deviations were categorised and generally balanced between the arms. None required exclusion of patient data from analysis. There w</w:t>
      </w:r>
      <w:r w:rsidR="00BC6B7B" w:rsidRPr="00DB0E83">
        <w:t>as</w:t>
      </w:r>
      <w:r w:rsidRPr="00DB0E83">
        <w:t xml:space="preserve"> no serious </w:t>
      </w:r>
      <w:r w:rsidR="00DB0E83" w:rsidRPr="00DB0E83">
        <w:t>Good Clinical Practice</w:t>
      </w:r>
      <w:r w:rsidRPr="00DB0E83">
        <w:t xml:space="preserve"> compliance issue. Protocol amendments were made </w:t>
      </w:r>
      <w:proofErr w:type="gramStart"/>
      <w:r w:rsidRPr="00DB0E83">
        <w:t>during the course of</w:t>
      </w:r>
      <w:proofErr w:type="gramEnd"/>
      <w:r w:rsidRPr="00DB0E83">
        <w:t xml:space="preserve"> the study to help manage issues (</w:t>
      </w:r>
      <w:r w:rsidR="00BC6B7B" w:rsidRPr="00DB0E83">
        <w:t xml:space="preserve">for example, </w:t>
      </w:r>
      <w:r w:rsidRPr="00DB0E83">
        <w:t xml:space="preserve">telangiectasia, thrombocytopenia) and documented in the </w:t>
      </w:r>
      <w:r w:rsidR="00DA73FD" w:rsidRPr="00DB0E83">
        <w:t>clinical</w:t>
      </w:r>
      <w:r w:rsidR="00DA73FD">
        <w:t xml:space="preserve"> study report.</w:t>
      </w:r>
    </w:p>
    <w:p w14:paraId="6BCAA2F5" w14:textId="31C2BD6F" w:rsidR="00604ECB" w:rsidRDefault="00604ECB" w:rsidP="00604ECB">
      <w:r>
        <w:t xml:space="preserve">In terms of baseline characteristics, the median age was 48 </w:t>
      </w:r>
      <w:r w:rsidR="00DA73FD">
        <w:t xml:space="preserve">years </w:t>
      </w:r>
      <w:r>
        <w:t xml:space="preserve">(range 18 </w:t>
      </w:r>
      <w:r w:rsidR="00DA73FD">
        <w:t xml:space="preserve">years </w:t>
      </w:r>
      <w:r>
        <w:t>to 82 years</w:t>
      </w:r>
      <w:r w:rsidR="00085769">
        <w:t>),</w:t>
      </w:r>
      <w:r>
        <w:t xml:space="preserve"> and most participants were female (79.3%) and white (89.2%). The median weight was 68.2</w:t>
      </w:r>
      <w:r w:rsidR="00DA73FD">
        <w:t> </w:t>
      </w:r>
      <w:r>
        <w:t xml:space="preserve">kg </w:t>
      </w:r>
      <w:r w:rsidRPr="00184E36">
        <w:t>(range 38</w:t>
      </w:r>
      <w:r w:rsidR="00DA73FD" w:rsidRPr="00184E36">
        <w:t> kg to</w:t>
      </w:r>
      <w:r w:rsidRPr="00184E36">
        <w:t xml:space="preserve"> 141.3</w:t>
      </w:r>
      <w:r w:rsidR="00DA73FD" w:rsidRPr="00184E36">
        <w:t> </w:t>
      </w:r>
      <w:r w:rsidRPr="00184E36">
        <w:t>kg). The most common group 1 subtypes were idiopathic (58.5%),</w:t>
      </w:r>
      <w:r>
        <w:t xml:space="preserve"> heritable (18.3%) and </w:t>
      </w:r>
      <w:r w:rsidR="004D485B">
        <w:t>PAH-</w:t>
      </w:r>
      <w:r>
        <w:t>CTD (14.9%). The other represented subtypes were drug or toxin induced (7 in sotatercept arm and 4 in placebo arm) and congenital systemic-to-pulmonary shunts (9 in sotatercept and 7 in placebo arm).</w:t>
      </w:r>
    </w:p>
    <w:p w14:paraId="57DA8B36" w14:textId="0BEA3C34" w:rsidR="00604ECB" w:rsidRDefault="00604ECB" w:rsidP="00604ECB">
      <w:r>
        <w:t>The median time of PAH diagnosis was 7.26</w:t>
      </w:r>
      <w:r w:rsidR="00C61594">
        <w:t> </w:t>
      </w:r>
      <w:r>
        <w:t>years (0.08</w:t>
      </w:r>
      <w:r w:rsidR="00C61594">
        <w:t> years</w:t>
      </w:r>
      <w:r>
        <w:t xml:space="preserve"> to 40.21</w:t>
      </w:r>
      <w:r w:rsidR="00C61594">
        <w:t> years</w:t>
      </w:r>
      <w:r>
        <w:t xml:space="preserve">) and the split between WHO FC II and III was nearly equal (48.6% </w:t>
      </w:r>
      <w:r w:rsidR="00BE35D6">
        <w:t xml:space="preserve">class </w:t>
      </w:r>
      <w:r>
        <w:t>II and 51.4% class III). All were taking other PAH therapies (4% monotherapy, 34.7% double therapy, 61.3% triple therapy). Common comorbidities were gastro-oesophageal reflux (19.2%), hypothyroidism (18.9%) and hypertension (18.6%). Baseline thrombocytopenia was unbalanced between the arms (9.8% in placebo arm and 2.5% in sotatercept arm).</w:t>
      </w:r>
    </w:p>
    <w:p w14:paraId="761B7A58" w14:textId="74FA1FE5" w:rsidR="00604ECB" w:rsidRDefault="00604ECB" w:rsidP="00604ECB">
      <w:r>
        <w:t xml:space="preserve">In terms of the primary efficacy endpoint, there was a statistically significant greater change from baseline in 6MWD with sotatercept compared to placebo. The median treatment difference </w:t>
      </w:r>
      <w:r w:rsidRPr="00184E36">
        <w:t>(Hodges-Lehmann Location Shift) was 40.8</w:t>
      </w:r>
      <w:r w:rsidR="002449D1" w:rsidRPr="00184E36">
        <w:t> </w:t>
      </w:r>
      <w:r w:rsidRPr="00184E36">
        <w:t>m (p</w:t>
      </w:r>
      <w:r w:rsidR="00453126">
        <w:t> </w:t>
      </w:r>
      <w:r w:rsidRPr="00184E36">
        <w:t>&lt;</w:t>
      </w:r>
      <w:r w:rsidR="00453126">
        <w:t> </w:t>
      </w:r>
      <w:r w:rsidRPr="00184E36">
        <w:t>0.001) (</w:t>
      </w:r>
      <w:r w:rsidR="00184E36" w:rsidRPr="00184E36">
        <w:t>see below)</w:t>
      </w:r>
      <w:r w:rsidRPr="00184E36">
        <w:t>.</w:t>
      </w:r>
    </w:p>
    <w:p w14:paraId="2F05A89B" w14:textId="4059132D" w:rsidR="00156BA2" w:rsidRDefault="00575E59" w:rsidP="00575E59">
      <w:pPr>
        <w:pStyle w:val="TableTitle"/>
      </w:pPr>
      <w:r>
        <w:t xml:space="preserve">Table </w:t>
      </w:r>
      <w:r>
        <w:fldChar w:fldCharType="begin"/>
      </w:r>
      <w:r>
        <w:instrText xml:space="preserve"> SEQ Table \* ARABIC </w:instrText>
      </w:r>
      <w:r>
        <w:fldChar w:fldCharType="separate"/>
      </w:r>
      <w:r w:rsidR="00705ED7">
        <w:rPr>
          <w:noProof/>
        </w:rPr>
        <w:t>4</w:t>
      </w:r>
      <w:r>
        <w:fldChar w:fldCharType="end"/>
      </w:r>
      <w:r>
        <w:t xml:space="preserve">: </w:t>
      </w:r>
      <w:r w:rsidR="00156BA2">
        <w:t xml:space="preserve">STELLAR </w:t>
      </w:r>
      <w:r>
        <w:t>Analysis of change from baseline in 6-Minute Walk Distance (meters) at Week 24 (Full Analysis Set)</w:t>
      </w:r>
    </w:p>
    <w:p w14:paraId="3402C489" w14:textId="773107D0" w:rsidR="00DB0E83" w:rsidRPr="005F60E1" w:rsidRDefault="00DB0E83" w:rsidP="006473BC">
      <w:pPr>
        <w:rPr>
          <w:color w:val="FF0000"/>
        </w:rPr>
      </w:pPr>
      <w:r>
        <w:rPr>
          <w:noProof/>
        </w:rPr>
        <w:drawing>
          <wp:inline distT="0" distB="0" distL="0" distR="0" wp14:anchorId="661EE83F" wp14:editId="58FB4819">
            <wp:extent cx="5759450" cy="1071880"/>
            <wp:effectExtent l="0" t="0" r="0" b="0"/>
            <wp:docPr id="1709294750" name="Picture 1" descr="A white rectangular object with a black bord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94750" name="Picture 1" descr="A white rectangular object with a black border&#10;&#10;AI-generated content may be incorrect."/>
                    <pic:cNvPicPr/>
                  </pic:nvPicPr>
                  <pic:blipFill>
                    <a:blip r:embed="rId30"/>
                    <a:stretch>
                      <a:fillRect/>
                    </a:stretch>
                  </pic:blipFill>
                  <pic:spPr>
                    <a:xfrm>
                      <a:off x="0" y="0"/>
                      <a:ext cx="5759450" cy="1071880"/>
                    </a:xfrm>
                    <a:prstGeom prst="rect">
                      <a:avLst/>
                    </a:prstGeom>
                  </pic:spPr>
                </pic:pic>
              </a:graphicData>
            </a:graphic>
          </wp:inline>
        </w:drawing>
      </w:r>
    </w:p>
    <w:p w14:paraId="070DEC9D" w14:textId="649A2F06" w:rsidR="00575E59" w:rsidRPr="006473BC" w:rsidRDefault="00575E59" w:rsidP="006473BC">
      <w:pPr>
        <w:pStyle w:val="TableDescription"/>
      </w:pPr>
      <w:r w:rsidRPr="00575E59">
        <w:t>N=number of subjects in the treatment group. Min=minimum. Max=maximum. N/A=not applicable. ASE=asymptotic</w:t>
      </w:r>
      <w:r>
        <w:t xml:space="preserve"> </w:t>
      </w:r>
      <w:r w:rsidRPr="00575E59">
        <w:t>standard error. CI=confidence interval.</w:t>
      </w:r>
    </w:p>
    <w:p w14:paraId="3C3AECD9" w14:textId="77777777" w:rsidR="00575E59" w:rsidRPr="00575E59" w:rsidRDefault="00575E59" w:rsidP="00575E59">
      <w:pPr>
        <w:pStyle w:val="TableDescription"/>
      </w:pPr>
      <w:r w:rsidRPr="00575E59">
        <w:t>[1] Average, minimum, and maximum of the medians across the imputed datasets if missing data imputed.</w:t>
      </w:r>
    </w:p>
    <w:p w14:paraId="3B9D01F2" w14:textId="77777777" w:rsidR="00575E59" w:rsidRPr="00575E59" w:rsidRDefault="00575E59" w:rsidP="00575E59">
      <w:pPr>
        <w:pStyle w:val="TableDescription"/>
      </w:pPr>
      <w:r w:rsidRPr="00575E59">
        <w:t>[2] Hodges-Lehmann location shift from placebo estimate (median of all paired differences).</w:t>
      </w:r>
    </w:p>
    <w:p w14:paraId="5ADAC39F" w14:textId="4DB66FC2" w:rsidR="00453261" w:rsidRPr="006473BC" w:rsidRDefault="00575E59" w:rsidP="006473BC">
      <w:pPr>
        <w:pStyle w:val="TableDescription"/>
      </w:pPr>
      <w:r w:rsidRPr="00575E59">
        <w:t>[3] Wilcoxon p-value refers to p-value from the aligned rank stratified Wilcoxon test with randomi</w:t>
      </w:r>
      <w:r w:rsidR="00AD1ADE">
        <w:t>s</w:t>
      </w:r>
      <w:r w:rsidRPr="00575E59">
        <w:t>ation factors as strata.</w:t>
      </w:r>
      <w:r>
        <w:t xml:space="preserve"> </w:t>
      </w:r>
      <w:r w:rsidRPr="00575E59">
        <w:t>Change from baseline in 6MWD at Week 24 for subjects who died was assigned a value of -2</w:t>
      </w:r>
      <w:r w:rsidR="00453126">
        <w:t>,</w:t>
      </w:r>
      <w:r w:rsidRPr="00575E59">
        <w:t>000 meters to receive the</w:t>
      </w:r>
      <w:r>
        <w:t xml:space="preserve"> </w:t>
      </w:r>
      <w:r w:rsidRPr="00575E59">
        <w:t>worst rank. Change from baseline in 6MWD at Week 24 for subjects who have missing data due to a non-fatal clinical</w:t>
      </w:r>
      <w:r>
        <w:t xml:space="preserve"> </w:t>
      </w:r>
      <w:r w:rsidRPr="00575E59">
        <w:t>worsening event was imputed to -1</w:t>
      </w:r>
      <w:r w:rsidR="00453126">
        <w:t>,</w:t>
      </w:r>
      <w:r w:rsidRPr="00575E59">
        <w:t xml:space="preserve">000 meters to receive the next </w:t>
      </w:r>
      <w:proofErr w:type="gramStart"/>
      <w:r w:rsidRPr="00575E59">
        <w:t>worst-rank</w:t>
      </w:r>
      <w:proofErr w:type="gramEnd"/>
      <w:r w:rsidRPr="00575E59">
        <w:t>.</w:t>
      </w:r>
    </w:p>
    <w:p w14:paraId="1F38C9AF" w14:textId="5D1BA049" w:rsidR="007A1C20" w:rsidRDefault="007A1C20" w:rsidP="007A1C20">
      <w:r>
        <w:lastRenderedPageBreak/>
        <w:t>Sensitivity analyses using alternative imputation methods all found consistent results. Subgroup analysis found the same direction of change for all subgroups, with most reaching statistical significance (</w:t>
      </w:r>
      <w:r w:rsidR="00184E36">
        <w:t>see figure below</w:t>
      </w:r>
      <w:r>
        <w:t>). Of note, the subgroup with connective tissue disease only showed an 8.7</w:t>
      </w:r>
      <w:r w:rsidR="00BE5A31">
        <w:t> </w:t>
      </w:r>
      <w:r>
        <w:t>m difference in 6MWD (this distance contrasted with another subgroup of similar size – heritable PAH).</w:t>
      </w:r>
    </w:p>
    <w:p w14:paraId="0D845FEC" w14:textId="6FE1ECFE" w:rsidR="00C10B51" w:rsidRDefault="000C10D9" w:rsidP="006473BC">
      <w:pPr>
        <w:pStyle w:val="FigureTitle"/>
      </w:pPr>
      <w:r>
        <w:t xml:space="preserve">Figure </w:t>
      </w:r>
      <w:r>
        <w:fldChar w:fldCharType="begin"/>
      </w:r>
      <w:r>
        <w:instrText xml:space="preserve"> SEQ Figure \* ARABIC </w:instrText>
      </w:r>
      <w:r>
        <w:fldChar w:fldCharType="separate"/>
      </w:r>
      <w:r w:rsidR="00705ED7">
        <w:rPr>
          <w:noProof/>
        </w:rPr>
        <w:t>4</w:t>
      </w:r>
      <w:r>
        <w:fldChar w:fldCharType="end"/>
      </w:r>
      <w:r>
        <w:t xml:space="preserve">: </w:t>
      </w:r>
      <w:r w:rsidR="00156BA2">
        <w:t xml:space="preserve">STELLAR </w:t>
      </w:r>
      <w:r>
        <w:t>F</w:t>
      </w:r>
      <w:r w:rsidRPr="000C10D9">
        <w:t xml:space="preserve">orest Plot: Change from </w:t>
      </w:r>
      <w:r>
        <w:t>b</w:t>
      </w:r>
      <w:r w:rsidRPr="000C10D9">
        <w:t>aseline in 6-Minute Walk Distance (meters) at Week 24 in Subgroups</w:t>
      </w:r>
      <w:r>
        <w:t xml:space="preserve"> (</w:t>
      </w:r>
      <w:r w:rsidRPr="000C10D9">
        <w:t>Full Analysis Set</w:t>
      </w:r>
      <w:r>
        <w:t>)</w:t>
      </w:r>
    </w:p>
    <w:p w14:paraId="5AC5DA48" w14:textId="3D2D4A33" w:rsidR="00453261" w:rsidRDefault="000C10D9" w:rsidP="006473BC">
      <w:r>
        <w:rPr>
          <w:noProof/>
        </w:rPr>
        <w:drawing>
          <wp:inline distT="0" distB="0" distL="0" distR="0" wp14:anchorId="59712BDF" wp14:editId="561CC60B">
            <wp:extent cx="5759450" cy="2962275"/>
            <wp:effectExtent l="0" t="0" r="0" b="9525"/>
            <wp:docPr id="1019964275" name="Picture 1" descr="A graph of a repair 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964275" name="Picture 1" descr="A graph of a repair work&#10;&#10;AI-generated content may be incorrect."/>
                    <pic:cNvPicPr/>
                  </pic:nvPicPr>
                  <pic:blipFill>
                    <a:blip r:embed="rId31"/>
                    <a:stretch>
                      <a:fillRect/>
                    </a:stretch>
                  </pic:blipFill>
                  <pic:spPr>
                    <a:xfrm>
                      <a:off x="0" y="0"/>
                      <a:ext cx="5759450" cy="2962275"/>
                    </a:xfrm>
                    <a:prstGeom prst="rect">
                      <a:avLst/>
                    </a:prstGeom>
                  </pic:spPr>
                </pic:pic>
              </a:graphicData>
            </a:graphic>
          </wp:inline>
        </w:drawing>
      </w:r>
    </w:p>
    <w:p w14:paraId="253AAEB9" w14:textId="77777777" w:rsidR="000C10D9" w:rsidRPr="000C10D9" w:rsidRDefault="000C10D9" w:rsidP="006473BC">
      <w:pPr>
        <w:pStyle w:val="FigureDescription"/>
      </w:pPr>
      <w:r w:rsidRPr="000C10D9">
        <w:t>[1] Hodges-Lehmann location shift from placebo estimate (median of all paired differences).</w:t>
      </w:r>
    </w:p>
    <w:p w14:paraId="2B1BFBE6" w14:textId="4476EB4A" w:rsidR="000C10D9" w:rsidRDefault="000C10D9" w:rsidP="006473BC">
      <w:pPr>
        <w:pStyle w:val="FigureDescription"/>
      </w:pPr>
      <w:r w:rsidRPr="000C10D9">
        <w:t>Change from baseline in 6MWD at Week 24 for subjects who died was assigned a value of to -2</w:t>
      </w:r>
      <w:r w:rsidR="00453126">
        <w:t>,</w:t>
      </w:r>
      <w:r w:rsidRPr="000C10D9">
        <w:t>000 meters to receive the worst rank. Change from baseline in 6MWD at Week 24</w:t>
      </w:r>
      <w:r>
        <w:t xml:space="preserve"> </w:t>
      </w:r>
      <w:r w:rsidRPr="000C10D9">
        <w:t>for subjects who have missing data due to a non-fatal clinical worsening event was imputed to -1</w:t>
      </w:r>
      <w:r w:rsidR="00453126">
        <w:t>,</w:t>
      </w:r>
      <w:r w:rsidRPr="000C10D9">
        <w:t xml:space="preserve">000 meters to receive the next </w:t>
      </w:r>
      <w:proofErr w:type="gramStart"/>
      <w:r w:rsidRPr="000C10D9">
        <w:t>worst-rank</w:t>
      </w:r>
      <w:proofErr w:type="gramEnd"/>
      <w:r w:rsidRPr="000C10D9">
        <w:t>.</w:t>
      </w:r>
    </w:p>
    <w:p w14:paraId="41A3035B" w14:textId="77777777" w:rsidR="00346FF8" w:rsidRDefault="00346FF8" w:rsidP="00346FF8">
      <w:r>
        <w:t>All except the final secondary endpoint found statistically significant differences between sotatercept and placebo, favouring the former (for continuous variables, the median differences are estimated using Hodges-Lehmann Location Shift):</w:t>
      </w:r>
    </w:p>
    <w:p w14:paraId="25C48C1B" w14:textId="387FE424" w:rsidR="00346FF8" w:rsidRDefault="00346FF8" w:rsidP="006473BC">
      <w:pPr>
        <w:pStyle w:val="ListBullet"/>
      </w:pPr>
      <w:r>
        <w:t>The proportion of patients achieving multicomponent improvement was greater with sotatercept than placebo (38.9% v</w:t>
      </w:r>
      <w:r w:rsidR="00A7326C">
        <w:t>ersus</w:t>
      </w:r>
      <w:r>
        <w:t xml:space="preserve"> 10.1%;</w:t>
      </w:r>
      <w:r w:rsidR="00A7326C">
        <w:t xml:space="preserve"> </w:t>
      </w:r>
      <w:r>
        <w:t>p</w:t>
      </w:r>
      <w:r w:rsidR="00453126">
        <w:t> </w:t>
      </w:r>
      <w:r>
        <w:t>&lt;</w:t>
      </w:r>
      <w:r w:rsidR="00453126">
        <w:t> </w:t>
      </w:r>
      <w:r>
        <w:t>0.001). Multicomponent improvement was defined as an increase in 6MWD of at least 30</w:t>
      </w:r>
      <w:r w:rsidR="00A7326C">
        <w:t> </w:t>
      </w:r>
      <w:r>
        <w:t>m, decrease in NT-</w:t>
      </w:r>
      <w:proofErr w:type="spellStart"/>
      <w:r>
        <w:t>proBNP</w:t>
      </w:r>
      <w:proofErr w:type="spellEnd"/>
      <w:r>
        <w:t xml:space="preserve"> of at least 30% or NT-</w:t>
      </w:r>
      <w:proofErr w:type="spellStart"/>
      <w:r>
        <w:t>proBNP</w:t>
      </w:r>
      <w:proofErr w:type="spellEnd"/>
      <w:r w:rsidR="00453126">
        <w:t> </w:t>
      </w:r>
      <w:r>
        <w:t>&lt;</w:t>
      </w:r>
      <w:r w:rsidR="00453126">
        <w:t> </w:t>
      </w:r>
      <w:r>
        <w:t>300</w:t>
      </w:r>
      <w:r w:rsidR="00D50467">
        <w:t> </w:t>
      </w:r>
      <w:proofErr w:type="spellStart"/>
      <w:r>
        <w:t>pg</w:t>
      </w:r>
      <w:proofErr w:type="spellEnd"/>
      <w:r>
        <w:t>/mL, improvement of WHO FC or maintenance of FC II.</w:t>
      </w:r>
    </w:p>
    <w:p w14:paraId="003FBDAE" w14:textId="2122C0D6" w:rsidR="00346FF8" w:rsidRDefault="00346FF8" w:rsidP="00346FF8">
      <w:pPr>
        <w:pStyle w:val="ListBullet"/>
      </w:pPr>
      <w:r w:rsidRPr="008B4CA5">
        <w:t xml:space="preserve">The median difference in PVR between sotatercept and placebo was </w:t>
      </w:r>
      <w:r w:rsidR="00D50467" w:rsidRPr="008B4CA5">
        <w:t>−</w:t>
      </w:r>
      <w:r w:rsidRPr="008B4CA5">
        <w:t>234.6 dynes*sec/cm</w:t>
      </w:r>
      <w:r w:rsidRPr="008B4CA5">
        <w:rPr>
          <w:vertAlign w:val="superscript"/>
        </w:rPr>
        <w:t>5</w:t>
      </w:r>
      <w:r>
        <w:t xml:space="preserve"> (p</w:t>
      </w:r>
      <w:r w:rsidR="00453126">
        <w:t> </w:t>
      </w:r>
      <w:r>
        <w:t>&lt;</w:t>
      </w:r>
      <w:r w:rsidR="00453126">
        <w:t> </w:t>
      </w:r>
      <w:r>
        <w:t>0.001).</w:t>
      </w:r>
    </w:p>
    <w:p w14:paraId="285C75D5" w14:textId="0B4F0AA4" w:rsidR="00346FF8" w:rsidRDefault="00346FF8" w:rsidP="00346FF8">
      <w:pPr>
        <w:pStyle w:val="ListBullet"/>
      </w:pPr>
      <w:r>
        <w:t>The median difference in NT-</w:t>
      </w:r>
      <w:proofErr w:type="spellStart"/>
      <w:r>
        <w:t>proBNP</w:t>
      </w:r>
      <w:proofErr w:type="spellEnd"/>
      <w:r>
        <w:t xml:space="preserve"> between </w:t>
      </w:r>
      <w:proofErr w:type="spellStart"/>
      <w:r>
        <w:t>sotatercept</w:t>
      </w:r>
      <w:proofErr w:type="spellEnd"/>
      <w:r>
        <w:t xml:space="preserve"> and placebo was </w:t>
      </w:r>
      <w:r w:rsidR="00A1757A">
        <w:t>−</w:t>
      </w:r>
      <w:r>
        <w:t>441.6</w:t>
      </w:r>
      <w:r w:rsidR="00A1757A">
        <w:t> </w:t>
      </w:r>
      <w:proofErr w:type="spellStart"/>
      <w:r>
        <w:t>pg</w:t>
      </w:r>
      <w:proofErr w:type="spellEnd"/>
      <w:r>
        <w:t>/mL (p</w:t>
      </w:r>
      <w:r w:rsidR="00453126">
        <w:t> </w:t>
      </w:r>
      <w:r>
        <w:t>&lt;</w:t>
      </w:r>
      <w:r w:rsidR="00453126">
        <w:t> </w:t>
      </w:r>
      <w:r>
        <w:t>0.001).</w:t>
      </w:r>
    </w:p>
    <w:p w14:paraId="7E213A01" w14:textId="318ED005" w:rsidR="00346FF8" w:rsidRDefault="00346FF8" w:rsidP="00346FF8">
      <w:pPr>
        <w:pStyle w:val="ListBullet"/>
      </w:pPr>
      <w:r>
        <w:t xml:space="preserve">The proportion of participants with improvement in WHO FC was greater with sotatercept than placebo (29.4% </w:t>
      </w:r>
      <w:r w:rsidR="00F40BEE">
        <w:t>versus</w:t>
      </w:r>
      <w:r>
        <w:t xml:space="preserve"> 13.8%;</w:t>
      </w:r>
      <w:r w:rsidR="00F40BEE">
        <w:t xml:space="preserve"> </w:t>
      </w:r>
      <w:r>
        <w:t>p</w:t>
      </w:r>
      <w:r w:rsidR="00453126">
        <w:t> </w:t>
      </w:r>
      <w:r>
        <w:t>&lt;</w:t>
      </w:r>
      <w:r w:rsidR="00453126">
        <w:t> </w:t>
      </w:r>
      <w:r>
        <w:t>0.001).</w:t>
      </w:r>
    </w:p>
    <w:p w14:paraId="5BBB277B" w14:textId="4F46756D" w:rsidR="00346FF8" w:rsidRPr="00156BA2" w:rsidRDefault="00346FF8" w:rsidP="00346FF8">
      <w:pPr>
        <w:pStyle w:val="ListBullet"/>
      </w:pPr>
      <w:r>
        <w:t>The risk of death or a first clinical worsening event was 84% lower in the sotatercept group than in placebo group (p</w:t>
      </w:r>
      <w:r w:rsidR="00453126">
        <w:t> </w:t>
      </w:r>
      <w:r>
        <w:t>&lt;</w:t>
      </w:r>
      <w:r w:rsidR="00453126">
        <w:t> </w:t>
      </w:r>
      <w:r>
        <w:t xml:space="preserve">0.001). Most of the difference in clinical worsening events was due to need for PAH specific rescue therapy, PAH specific hospitalisation, and deterioration </w:t>
      </w:r>
      <w:r w:rsidRPr="00156BA2">
        <w:t>of PAH (</w:t>
      </w:r>
      <w:r w:rsidR="00156BA2" w:rsidRPr="00156BA2">
        <w:t>see table below</w:t>
      </w:r>
      <w:r w:rsidRPr="00156BA2">
        <w:t>).</w:t>
      </w:r>
    </w:p>
    <w:p w14:paraId="35E681E9" w14:textId="2C9C793B" w:rsidR="00346FF8" w:rsidRDefault="00346FF8" w:rsidP="00346FF8">
      <w:pPr>
        <w:pStyle w:val="ListBullet"/>
      </w:pPr>
      <w:r w:rsidRPr="00184E36">
        <w:t>The proportion of participants who maintained or achieved a low-risk French risk score was</w:t>
      </w:r>
      <w:r>
        <w:t xml:space="preserve"> higher with sotatercept than placebo (39.5% v</w:t>
      </w:r>
      <w:r w:rsidR="00F40BEE">
        <w:t>ersus</w:t>
      </w:r>
      <w:r>
        <w:t xml:space="preserve"> 18.2%;</w:t>
      </w:r>
      <w:r w:rsidR="00F40BEE">
        <w:t xml:space="preserve"> </w:t>
      </w:r>
      <w:r>
        <w:t>p</w:t>
      </w:r>
      <w:r w:rsidR="00453126">
        <w:t> </w:t>
      </w:r>
      <w:r>
        <w:t>&lt;</w:t>
      </w:r>
      <w:r w:rsidR="00453126">
        <w:t> </w:t>
      </w:r>
      <w:r>
        <w:t>0.001).</w:t>
      </w:r>
    </w:p>
    <w:p w14:paraId="67129485" w14:textId="110443E7" w:rsidR="00346FF8" w:rsidRDefault="00346FF8" w:rsidP="00346FF8">
      <w:pPr>
        <w:pStyle w:val="ListBullet"/>
      </w:pPr>
      <w:r w:rsidRPr="008B4CA5">
        <w:lastRenderedPageBreak/>
        <w:t>The median difference in the Physical Impacts Domain of PAH-SYMPACT questionnaire</w:t>
      </w:r>
      <w:r>
        <w:t xml:space="preserve"> between </w:t>
      </w:r>
      <w:proofErr w:type="spellStart"/>
      <w:r>
        <w:t>sotatercept</w:t>
      </w:r>
      <w:proofErr w:type="spellEnd"/>
      <w:r>
        <w:t xml:space="preserve"> and placebo was </w:t>
      </w:r>
      <w:r w:rsidR="00BC2B87">
        <w:t>−</w:t>
      </w:r>
      <w:r>
        <w:t>0.26 (p</w:t>
      </w:r>
      <w:r w:rsidR="00453126">
        <w:t> </w:t>
      </w:r>
      <w:r>
        <w:t>=</w:t>
      </w:r>
      <w:r w:rsidR="00453126">
        <w:t> </w:t>
      </w:r>
      <w:r>
        <w:t>0.010).</w:t>
      </w:r>
    </w:p>
    <w:p w14:paraId="4ED89A17" w14:textId="0197AB8E" w:rsidR="00346FF8" w:rsidRDefault="00346FF8" w:rsidP="00346FF8">
      <w:pPr>
        <w:pStyle w:val="ListBullet"/>
      </w:pPr>
      <w:r>
        <w:t xml:space="preserve">The median difference in Cardiopulmonary Symptoms Domain of PAH-SYMPACT questionnaire between </w:t>
      </w:r>
      <w:proofErr w:type="spellStart"/>
      <w:r>
        <w:t>sotatercept</w:t>
      </w:r>
      <w:proofErr w:type="spellEnd"/>
      <w:r>
        <w:t xml:space="preserve"> and placebo was </w:t>
      </w:r>
      <w:r w:rsidR="00BC2B87">
        <w:t>−</w:t>
      </w:r>
      <w:r>
        <w:t>0.13 (p</w:t>
      </w:r>
      <w:r w:rsidR="00453126">
        <w:t> </w:t>
      </w:r>
      <w:r>
        <w:t>=</w:t>
      </w:r>
      <w:r w:rsidR="00453126">
        <w:t> </w:t>
      </w:r>
      <w:r>
        <w:t>0.028).</w:t>
      </w:r>
    </w:p>
    <w:p w14:paraId="669C5425" w14:textId="77777777" w:rsidR="00346FF8" w:rsidRDefault="00346FF8" w:rsidP="00346FF8">
      <w:pPr>
        <w:pStyle w:val="ListBullet"/>
      </w:pPr>
      <w:r>
        <w:t>There was no significant difference between sotatercept and placebo in scores for the Cognitive/Emotional Impacts Domain of PAH-SYMPACT questionnaire.</w:t>
      </w:r>
    </w:p>
    <w:p w14:paraId="38BA0A6B" w14:textId="50A6B63B" w:rsidR="00C10B51" w:rsidRPr="006473BC" w:rsidRDefault="000C10D9" w:rsidP="006473BC">
      <w:pPr>
        <w:pStyle w:val="TableTitle"/>
      </w:pPr>
      <w:r>
        <w:t xml:space="preserve">Table </w:t>
      </w:r>
      <w:r>
        <w:fldChar w:fldCharType="begin"/>
      </w:r>
      <w:r>
        <w:instrText xml:space="preserve"> SEQ Table \* ARABIC </w:instrText>
      </w:r>
      <w:r>
        <w:fldChar w:fldCharType="separate"/>
      </w:r>
      <w:r w:rsidR="00705ED7">
        <w:rPr>
          <w:noProof/>
        </w:rPr>
        <w:t>5</w:t>
      </w:r>
      <w:r>
        <w:fldChar w:fldCharType="end"/>
      </w:r>
      <w:r>
        <w:t xml:space="preserve">: </w:t>
      </w:r>
      <w:r w:rsidR="00156BA2">
        <w:t xml:space="preserve">STELLAR </w:t>
      </w:r>
      <w:r>
        <w:t>Secondary endpoint of clinical worsening and breakdown of events (Full Analysis Set)</w:t>
      </w:r>
    </w:p>
    <w:p w14:paraId="5D643D48" w14:textId="5569038D" w:rsidR="000C10D9" w:rsidRPr="005F60E1" w:rsidRDefault="000C10D9" w:rsidP="006473BC">
      <w:pPr>
        <w:rPr>
          <w:color w:val="FF0000"/>
        </w:rPr>
      </w:pPr>
      <w:r>
        <w:rPr>
          <w:noProof/>
        </w:rPr>
        <w:drawing>
          <wp:inline distT="0" distB="0" distL="0" distR="0" wp14:anchorId="0BFEB003" wp14:editId="5D407CD6">
            <wp:extent cx="5759450" cy="3047365"/>
            <wp:effectExtent l="0" t="0" r="0" b="635"/>
            <wp:docPr id="398144401"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44401" name="Picture 1" descr="A white sheet with black text&#10;&#10;AI-generated content may be incorrect."/>
                    <pic:cNvPicPr/>
                  </pic:nvPicPr>
                  <pic:blipFill>
                    <a:blip r:embed="rId32"/>
                    <a:stretch>
                      <a:fillRect/>
                    </a:stretch>
                  </pic:blipFill>
                  <pic:spPr>
                    <a:xfrm>
                      <a:off x="0" y="0"/>
                      <a:ext cx="5759450" cy="3047365"/>
                    </a:xfrm>
                    <a:prstGeom prst="rect">
                      <a:avLst/>
                    </a:prstGeom>
                  </pic:spPr>
                </pic:pic>
              </a:graphicData>
            </a:graphic>
          </wp:inline>
        </w:drawing>
      </w:r>
    </w:p>
    <w:p w14:paraId="0E8AE307" w14:textId="3A54B807" w:rsidR="000C10D9" w:rsidRPr="006473BC" w:rsidRDefault="000C10D9" w:rsidP="006473BC">
      <w:pPr>
        <w:pStyle w:val="TableDescription"/>
      </w:pPr>
      <w:r w:rsidRPr="000C10D9">
        <w:t xml:space="preserve">[1] </w:t>
      </w:r>
      <w:proofErr w:type="spellStart"/>
      <w:r w:rsidRPr="000C10D9">
        <w:t>Logrank</w:t>
      </w:r>
      <w:proofErr w:type="spellEnd"/>
      <w:r w:rsidRPr="000C10D9">
        <w:t xml:space="preserve"> test comparison with Placebo stratified by the randomi</w:t>
      </w:r>
      <w:r w:rsidR="00AD1ADE">
        <w:t>s</w:t>
      </w:r>
      <w:r w:rsidRPr="000C10D9">
        <w:t>ation factors.</w:t>
      </w:r>
    </w:p>
    <w:p w14:paraId="4AEA8F97" w14:textId="1BEE3236" w:rsidR="000C10D9" w:rsidRPr="006473BC" w:rsidRDefault="000C10D9" w:rsidP="006473BC">
      <w:pPr>
        <w:pStyle w:val="TableDescription"/>
      </w:pPr>
      <w:r w:rsidRPr="000C10D9">
        <w:t>[2] The hazard ratio (</w:t>
      </w:r>
      <w:proofErr w:type="spellStart"/>
      <w:r w:rsidRPr="000C10D9">
        <w:t>Sotatercept</w:t>
      </w:r>
      <w:proofErr w:type="spellEnd"/>
      <w:r w:rsidRPr="000C10D9">
        <w:t xml:space="preserve"> / Placebo) is derived from a Cox proportional hazard model with treatment group as the</w:t>
      </w:r>
      <w:r>
        <w:t xml:space="preserve"> </w:t>
      </w:r>
      <w:r w:rsidRPr="000C10D9">
        <w:t>covariate stratified by the randomi</w:t>
      </w:r>
      <w:r w:rsidR="00AD1ADE">
        <w:t>s</w:t>
      </w:r>
      <w:r w:rsidRPr="000C10D9">
        <w:t>ation factors.</w:t>
      </w:r>
    </w:p>
    <w:p w14:paraId="2393836D" w14:textId="77777777" w:rsidR="000C10D9" w:rsidRPr="000C10D9" w:rsidRDefault="000C10D9" w:rsidP="000C10D9">
      <w:pPr>
        <w:pStyle w:val="TableDescription"/>
      </w:pPr>
      <w:r w:rsidRPr="000C10D9">
        <w:t>[3] A subject can have more than one assessment recorded for their first event of clinical worsening or death.</w:t>
      </w:r>
    </w:p>
    <w:p w14:paraId="1BFF9427" w14:textId="7CA8D59F" w:rsidR="000C10D9" w:rsidRPr="000C10D9" w:rsidRDefault="000C10D9" w:rsidP="000C10D9">
      <w:pPr>
        <w:pStyle w:val="TableDescription"/>
      </w:pPr>
      <w:r w:rsidRPr="000C10D9">
        <w:t>[4] Deterioration of PAH therapy is defined by both of the following events occurring at any time, even if they began at</w:t>
      </w:r>
      <w:r>
        <w:t xml:space="preserve"> </w:t>
      </w:r>
      <w:r w:rsidRPr="000C10D9">
        <w:t>different times, as compared to their baseline values: (a) Worsened WHO functional class (II to III, III to IV, II to IV, etc),</w:t>
      </w:r>
      <w:r>
        <w:t xml:space="preserve"> </w:t>
      </w:r>
      <w:r w:rsidRPr="000C10D9">
        <w:t xml:space="preserve">(b) Decrease in 6MWD by </w:t>
      </w:r>
      <w:r w:rsidR="00453126">
        <w:t>≥ </w:t>
      </w:r>
      <w:r w:rsidRPr="000C10D9">
        <w:t>15% (confirmed by two 6MWTs at least 4 hours apart but no more than one week).</w:t>
      </w:r>
    </w:p>
    <w:p w14:paraId="5FFA2320" w14:textId="7B79C561" w:rsidR="00E46AFD" w:rsidRDefault="000C10D9" w:rsidP="006473BC">
      <w:pPr>
        <w:pStyle w:val="TableDescription"/>
      </w:pPr>
      <w:r w:rsidRPr="000C10D9">
        <w:t>N=number of subjects in FAS population. n=number of subjects in the category. Percentages are calculated as (n/</w:t>
      </w:r>
      <w:proofErr w:type="gramStart"/>
      <w:r w:rsidRPr="000C10D9">
        <w:t>N)*</w:t>
      </w:r>
      <w:proofErr w:type="gramEnd"/>
      <w:r w:rsidRPr="000C10D9">
        <w:t>100.</w:t>
      </w:r>
      <w:r>
        <w:t xml:space="preserve"> </w:t>
      </w:r>
      <w:r w:rsidRPr="000C10D9">
        <w:t>N/A = not applicable.</w:t>
      </w:r>
    </w:p>
    <w:p w14:paraId="54652155" w14:textId="7EE300F1" w:rsidR="00C10B51" w:rsidRPr="006473BC" w:rsidRDefault="00750898" w:rsidP="006473BC">
      <w:pPr>
        <w:pStyle w:val="FigureTitle"/>
      </w:pPr>
      <w:r>
        <w:lastRenderedPageBreak/>
        <w:t xml:space="preserve">Figure </w:t>
      </w:r>
      <w:r>
        <w:fldChar w:fldCharType="begin"/>
      </w:r>
      <w:r>
        <w:instrText xml:space="preserve"> SEQ Figure \* ARABIC </w:instrText>
      </w:r>
      <w:r>
        <w:fldChar w:fldCharType="separate"/>
      </w:r>
      <w:r w:rsidR="00705ED7">
        <w:rPr>
          <w:noProof/>
        </w:rPr>
        <w:t>5</w:t>
      </w:r>
      <w:r>
        <w:fldChar w:fldCharType="end"/>
      </w:r>
      <w:r>
        <w:t>: STELLAR Kaplan-Meier plot of clinical worsening (Full Analysis Set)</w:t>
      </w:r>
    </w:p>
    <w:p w14:paraId="712EE68E" w14:textId="2A608899" w:rsidR="00346FF8" w:rsidRDefault="00752F9A" w:rsidP="006473BC">
      <w:r>
        <w:rPr>
          <w:noProof/>
        </w:rPr>
        <w:drawing>
          <wp:inline distT="0" distB="0" distL="0" distR="0" wp14:anchorId="3E7F04D6" wp14:editId="5D739A4F">
            <wp:extent cx="5759450" cy="2556510"/>
            <wp:effectExtent l="0" t="0" r="0" b="0"/>
            <wp:docPr id="909905426" name="Picture 1" descr="A graph showing a number of pati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905426" name="Picture 1" descr="A graph showing a number of patients&#10;&#10;AI-generated content may be incorrect."/>
                    <pic:cNvPicPr/>
                  </pic:nvPicPr>
                  <pic:blipFill>
                    <a:blip r:embed="rId33"/>
                    <a:stretch>
                      <a:fillRect/>
                    </a:stretch>
                  </pic:blipFill>
                  <pic:spPr>
                    <a:xfrm>
                      <a:off x="0" y="0"/>
                      <a:ext cx="5759450" cy="2556510"/>
                    </a:xfrm>
                    <a:prstGeom prst="rect">
                      <a:avLst/>
                    </a:prstGeom>
                  </pic:spPr>
                </pic:pic>
              </a:graphicData>
            </a:graphic>
          </wp:inline>
        </w:drawing>
      </w:r>
    </w:p>
    <w:p w14:paraId="4066A37D" w14:textId="74183C87" w:rsidR="00752F9A" w:rsidRDefault="00752F9A" w:rsidP="00750898">
      <w:pPr>
        <w:pStyle w:val="FigureDescription"/>
      </w:pPr>
      <w:r w:rsidRPr="00752F9A">
        <w:t>n=Number of subjects at Risk</w:t>
      </w:r>
    </w:p>
    <w:p w14:paraId="5513A1DA" w14:textId="2D7B86A2" w:rsidR="00750898" w:rsidRDefault="00750898" w:rsidP="00750898">
      <w:r>
        <w:t xml:space="preserve">Following the initial </w:t>
      </w:r>
      <w:r w:rsidR="00085769">
        <w:t>24-week</w:t>
      </w:r>
      <w:r>
        <w:t xml:space="preserve"> period, participants receiving sotatercept tended to maintain the benefit in terms of 6MWD, including in comparison to participants still receiving placebo (see </w:t>
      </w:r>
      <w:r w:rsidRPr="00750898">
        <w:t>figure below). Note: the placebo group size was reducing more rapidly than the sotatercept</w:t>
      </w:r>
      <w:r>
        <w:t xml:space="preserve"> group size.</w:t>
      </w:r>
    </w:p>
    <w:p w14:paraId="4F27C13A" w14:textId="2A0997B1" w:rsidR="00C10B51" w:rsidRDefault="00750898" w:rsidP="00750898">
      <w:pPr>
        <w:pStyle w:val="FigureTitle"/>
      </w:pPr>
      <w:r>
        <w:t xml:space="preserve">Figure </w:t>
      </w:r>
      <w:r>
        <w:fldChar w:fldCharType="begin"/>
      </w:r>
      <w:r>
        <w:instrText xml:space="preserve"> SEQ Figure \* ARABIC </w:instrText>
      </w:r>
      <w:r>
        <w:fldChar w:fldCharType="separate"/>
      </w:r>
      <w:r w:rsidR="00705ED7">
        <w:rPr>
          <w:noProof/>
        </w:rPr>
        <w:t>6</w:t>
      </w:r>
      <w:r>
        <w:fldChar w:fldCharType="end"/>
      </w:r>
      <w:r>
        <w:t>: STELLAR Change from baseline in 6-minute walk distance by visit (Full Analysis Set)</w:t>
      </w:r>
    </w:p>
    <w:p w14:paraId="25E98174" w14:textId="46BCAC38" w:rsidR="00750898" w:rsidRDefault="00750898" w:rsidP="006473BC">
      <w:r>
        <w:rPr>
          <w:noProof/>
        </w:rPr>
        <w:drawing>
          <wp:inline distT="0" distB="0" distL="0" distR="0" wp14:anchorId="512EE900" wp14:editId="28C63213">
            <wp:extent cx="5759450" cy="2666365"/>
            <wp:effectExtent l="0" t="0" r="0" b="635"/>
            <wp:docPr id="1489482002" name="Picture 1" descr="A graph of 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482002" name="Picture 1" descr="A graph of a graph with numbers and lines&#10;&#10;AI-generated content may be incorrect."/>
                    <pic:cNvPicPr/>
                  </pic:nvPicPr>
                  <pic:blipFill>
                    <a:blip r:embed="rId34"/>
                    <a:stretch>
                      <a:fillRect/>
                    </a:stretch>
                  </pic:blipFill>
                  <pic:spPr>
                    <a:xfrm>
                      <a:off x="0" y="0"/>
                      <a:ext cx="5759450" cy="2666365"/>
                    </a:xfrm>
                    <a:prstGeom prst="rect">
                      <a:avLst/>
                    </a:prstGeom>
                  </pic:spPr>
                </pic:pic>
              </a:graphicData>
            </a:graphic>
          </wp:inline>
        </w:drawing>
      </w:r>
    </w:p>
    <w:p w14:paraId="5447A31F" w14:textId="2168E417" w:rsidR="00750898" w:rsidRDefault="00750898" w:rsidP="00750898">
      <w:pPr>
        <w:pStyle w:val="FigureDescription"/>
      </w:pPr>
      <w:r>
        <w:t xml:space="preserve">Only visits with at </w:t>
      </w:r>
      <w:proofErr w:type="spellStart"/>
      <w:r>
        <w:t>lease</w:t>
      </w:r>
      <w:proofErr w:type="spellEnd"/>
      <w:r>
        <w:t xml:space="preserve"> 2 subjects are shown.</w:t>
      </w:r>
    </w:p>
    <w:p w14:paraId="1E11A839" w14:textId="6E246705" w:rsidR="00750898" w:rsidRDefault="00750898" w:rsidP="00750898">
      <w:pPr>
        <w:pStyle w:val="FigureDescription"/>
      </w:pPr>
      <w:r>
        <w:t>N=Number of subjects in the analysis window. BL=Baseline, SE=Standard error.</w:t>
      </w:r>
    </w:p>
    <w:p w14:paraId="0255F2FE" w14:textId="77777777" w:rsidR="001D4959" w:rsidRPr="00D972C3" w:rsidRDefault="001D4959" w:rsidP="001D4959">
      <w:pPr>
        <w:pStyle w:val="Heading5"/>
      </w:pPr>
      <w:r w:rsidRPr="00D972C3">
        <w:t>Supportive studies</w:t>
      </w:r>
    </w:p>
    <w:p w14:paraId="0B7B0437" w14:textId="17B29EE3" w:rsidR="00B77286" w:rsidRDefault="001D4959" w:rsidP="00B77286">
      <w:pPr>
        <w:pStyle w:val="Heading6"/>
      </w:pPr>
      <w:r>
        <w:t>PULSAR (MK-7962-001/A011-09)</w:t>
      </w:r>
    </w:p>
    <w:p w14:paraId="3657ABCD" w14:textId="34D61319" w:rsidR="001D4959" w:rsidRDefault="00B77286" w:rsidP="001D4959">
      <w:r>
        <w:t xml:space="preserve">PULSAR (MK-7962-001/A011-09) </w:t>
      </w:r>
      <w:r w:rsidR="001D4959">
        <w:t>was a Phase II, double</w:t>
      </w:r>
      <w:r w:rsidR="00020911">
        <w:t>-</w:t>
      </w:r>
      <w:r w:rsidR="001D4959">
        <w:t>blind, placebo</w:t>
      </w:r>
      <w:r w:rsidR="00020911">
        <w:t>-</w:t>
      </w:r>
      <w:r w:rsidR="001D4959">
        <w:t>controlled, randomised study of the efficacy and safety of sotatercept when added to standard of care for the treatment of PAH. Participants were randomised to placebo, sotatercept 0.3</w:t>
      </w:r>
      <w:r w:rsidR="008517C2">
        <w:t> </w:t>
      </w:r>
      <w:r w:rsidR="001D4959">
        <w:t>mg/kg or sotatercept 0.7</w:t>
      </w:r>
      <w:r w:rsidR="008517C2">
        <w:t> </w:t>
      </w:r>
      <w:r w:rsidR="001D4959">
        <w:t xml:space="preserve">mg/kg </w:t>
      </w:r>
      <w:r w:rsidR="008517C2">
        <w:t xml:space="preserve">every </w:t>
      </w:r>
      <w:r w:rsidR="001D4959">
        <w:t>3</w:t>
      </w:r>
      <w:r w:rsidR="008517C2">
        <w:t xml:space="preserve"> </w:t>
      </w:r>
      <w:r w:rsidR="001D4959">
        <w:t>weeks (initially 1:1:1, then 3:3:4 to increase statistical power of 0.7</w:t>
      </w:r>
      <w:r w:rsidR="00EC0DB0">
        <w:t> </w:t>
      </w:r>
      <w:r w:rsidR="001D4959">
        <w:t>mg/kg arm). The primary endpoint was change in PVR at 24</w:t>
      </w:r>
      <w:r w:rsidR="00EC0DB0">
        <w:t> </w:t>
      </w:r>
      <w:r w:rsidR="001D4959">
        <w:t xml:space="preserve">weeks compared to baseline. The key </w:t>
      </w:r>
      <w:r w:rsidR="001D4959">
        <w:lastRenderedPageBreak/>
        <w:t>secondary endpoint was change from baseline in 6MWD at 24</w:t>
      </w:r>
      <w:r w:rsidR="00EC0DB0">
        <w:t> </w:t>
      </w:r>
      <w:r w:rsidR="001D4959">
        <w:t xml:space="preserve">weeks. There were </w:t>
      </w:r>
      <w:r w:rsidR="00186FC2">
        <w:t>7</w:t>
      </w:r>
      <w:r w:rsidR="001D4959">
        <w:t xml:space="preserve"> other </w:t>
      </w:r>
      <w:r w:rsidR="001D4959" w:rsidRPr="008B4CA5">
        <w:t>secondary endpoints (change in FC, change in NT-</w:t>
      </w:r>
      <w:proofErr w:type="spellStart"/>
      <w:r w:rsidR="001D4959" w:rsidRPr="008B4CA5">
        <w:t>proBNP</w:t>
      </w:r>
      <w:proofErr w:type="spellEnd"/>
      <w:r w:rsidR="001D4959" w:rsidRPr="008B4CA5">
        <w:t xml:space="preserve">, change in </w:t>
      </w:r>
      <w:r w:rsidR="00094A2C" w:rsidRPr="008B4CA5">
        <w:t>tricuspid annular plane</w:t>
      </w:r>
      <w:r w:rsidR="00094A2C" w:rsidRPr="00094A2C">
        <w:t xml:space="preserve"> systolic excursion (</w:t>
      </w:r>
      <w:r w:rsidR="001D4959" w:rsidRPr="00094A2C">
        <w:t>TAPSE</w:t>
      </w:r>
      <w:r w:rsidR="00094A2C" w:rsidRPr="00094A2C">
        <w:t>)</w:t>
      </w:r>
      <w:r w:rsidR="001D4959" w:rsidRPr="00094A2C">
        <w:t xml:space="preserve"> on echocardiogram, clinical worsening, quality of life, safety and</w:t>
      </w:r>
      <w:r w:rsidR="001D4959">
        <w:t xml:space="preserve"> tolerability, PK). The extension period (see below) had similar endpoints. The study was conducted at 43 centres in 8 countries.</w:t>
      </w:r>
    </w:p>
    <w:p w14:paraId="5C66B3C9" w14:textId="1AF4BD25" w:rsidR="001D4959" w:rsidRDefault="001D4959" w:rsidP="001D4959">
      <w:r>
        <w:t>PULSAR had similar inclusion criteria and design as STELLAR, including males and females ≥18</w:t>
      </w:r>
      <w:r w:rsidR="00C02C33">
        <w:t> </w:t>
      </w:r>
      <w:r>
        <w:t>years old with group 2 PAH, FC II and III on stable background PAH treatment for ≥90</w:t>
      </w:r>
      <w:r w:rsidR="00C46650">
        <w:t> </w:t>
      </w:r>
      <w:r>
        <w:t>days. Eligible participants had PVR ≥5</w:t>
      </w:r>
      <w:r w:rsidR="00C46650">
        <w:t> </w:t>
      </w:r>
      <w:r>
        <w:t>units on right heart catheterisation and the baseline 6MWD was 150</w:t>
      </w:r>
      <w:r w:rsidR="004C4680">
        <w:t xml:space="preserve"> m to </w:t>
      </w:r>
      <w:r>
        <w:t>550</w:t>
      </w:r>
      <w:r w:rsidR="004C4680">
        <w:t> m</w:t>
      </w:r>
      <w:r>
        <w:t xml:space="preserve"> (50</w:t>
      </w:r>
      <w:r w:rsidR="004C4680">
        <w:t> </w:t>
      </w:r>
      <w:r>
        <w:t>m longer than STELLAR). Some of the key exclusion criteria were recent change in general supportive care (</w:t>
      </w:r>
      <w:r w:rsidR="004C4680">
        <w:t xml:space="preserve">for example, </w:t>
      </w:r>
      <w:r>
        <w:t xml:space="preserve">diuretics), recent inotropes, recent atrial </w:t>
      </w:r>
      <w:r w:rsidRPr="00094A2C">
        <w:t>septostomy, portal hypertension, chronic liver disease and HIV infection. There was 24</w:t>
      </w:r>
      <w:r w:rsidR="00505F6A">
        <w:t>-</w:t>
      </w:r>
      <w:r w:rsidRPr="00094A2C">
        <w:t>week placebo</w:t>
      </w:r>
      <w:r w:rsidR="00020911">
        <w:t>-</w:t>
      </w:r>
      <w:r w:rsidRPr="00094A2C">
        <w:t>controlled double</w:t>
      </w:r>
      <w:r w:rsidR="00020911">
        <w:t>-</w:t>
      </w:r>
      <w:r w:rsidRPr="00094A2C">
        <w:t>blind period followed by an extension period (up to 30</w:t>
      </w:r>
      <w:r w:rsidR="0016467C" w:rsidRPr="00094A2C">
        <w:t> </w:t>
      </w:r>
      <w:r w:rsidRPr="00094A2C">
        <w:t>months).</w:t>
      </w:r>
      <w:r>
        <w:t xml:space="preserve"> Participants already receiving sotatercept continued at the same dose. At the start of the extension period placebo participants were re-randomised to sotatercept 0.3</w:t>
      </w:r>
      <w:r w:rsidR="0016467C">
        <w:t> </w:t>
      </w:r>
      <w:r>
        <w:t>mg/kg or 0.7</w:t>
      </w:r>
      <w:r w:rsidR="0016467C">
        <w:t> </w:t>
      </w:r>
      <w:r>
        <w:t>mg/kg.</w:t>
      </w:r>
    </w:p>
    <w:p w14:paraId="6B0C0E78" w14:textId="22E117A3" w:rsidR="001D4959" w:rsidRDefault="001D4959" w:rsidP="001D4959">
      <w:r>
        <w:t>The planned enrolment was 100 participants. The Evaluable Population was a subset of the FAS who received at least 6</w:t>
      </w:r>
      <w:r w:rsidR="00D06E6F">
        <w:t> </w:t>
      </w:r>
      <w:r>
        <w:t>doses of the same dose strength during the placebo</w:t>
      </w:r>
      <w:r w:rsidR="00505F6A">
        <w:t>-</w:t>
      </w:r>
      <w:r>
        <w:t>controlled period (overall it was 85.8% of the FAS). The primary efficacy endpoint was analysed with an</w:t>
      </w:r>
      <w:r w:rsidR="00094A2C">
        <w:t xml:space="preserve"> analysis </w:t>
      </w:r>
      <w:r w:rsidR="00094A2C" w:rsidRPr="00094A2C">
        <w:t>of covariance (</w:t>
      </w:r>
      <w:r w:rsidRPr="00094A2C">
        <w:t>ANCOVA</w:t>
      </w:r>
      <w:r w:rsidR="00094A2C" w:rsidRPr="00094A2C">
        <w:t>)</w:t>
      </w:r>
      <w:r w:rsidRPr="00094A2C">
        <w:t xml:space="preserve"> model. Multiplicity was accounted for using a hierarchical testing</w:t>
      </w:r>
      <w:r>
        <w:t xml:space="preserve"> procedure.</w:t>
      </w:r>
    </w:p>
    <w:p w14:paraId="4893F360" w14:textId="0847080C" w:rsidR="001D4959" w:rsidRDefault="001D4959" w:rsidP="001D4959">
      <w:r>
        <w:t>A total of 106 participants were randomised and all received at least 1 dose of treatment. More participants discontinued the study in the sotatercept 0.7</w:t>
      </w:r>
      <w:r w:rsidR="00871C5E">
        <w:t> </w:t>
      </w:r>
      <w:r>
        <w:t>mg/kg arm (14.3%), compared with sotatercept 0.3</w:t>
      </w:r>
      <w:r w:rsidR="00871C5E">
        <w:t> </w:t>
      </w:r>
      <w:r>
        <w:t xml:space="preserve">mg/kg (3.1%) and placebo (6.3%). The most common reason for discontinuation was a </w:t>
      </w:r>
      <w:r w:rsidR="00156005">
        <w:t>treatment-emergent adverse event (</w:t>
      </w:r>
      <w:r>
        <w:t>TEAE</w:t>
      </w:r>
      <w:r w:rsidR="00156005">
        <w:t>)</w:t>
      </w:r>
      <w:r>
        <w:t>. There was one death in the sotatercept 0.7</w:t>
      </w:r>
      <w:r w:rsidR="00156005">
        <w:t> </w:t>
      </w:r>
      <w:r>
        <w:t>mg/kg arm during the placebo</w:t>
      </w:r>
      <w:r w:rsidR="00505F6A">
        <w:t>-</w:t>
      </w:r>
      <w:r>
        <w:t>controlled period. Approximately 90% of participants completed both the double</w:t>
      </w:r>
      <w:r w:rsidR="00020911">
        <w:t>-</w:t>
      </w:r>
      <w:r>
        <w:t>blind and extension period, and there was no trend in disposition. During the extension part, there were 3</w:t>
      </w:r>
      <w:r w:rsidR="00341A6E">
        <w:t> </w:t>
      </w:r>
      <w:r>
        <w:t>death</w:t>
      </w:r>
      <w:r w:rsidR="00341A6E">
        <w:t>s</w:t>
      </w:r>
      <w:r>
        <w:t xml:space="preserve"> in the continuing sotatercept group and 1 death in the placebo-crossed group.</w:t>
      </w:r>
    </w:p>
    <w:p w14:paraId="6EEC855C" w14:textId="7B6BFF41" w:rsidR="001D4959" w:rsidRDefault="001D4959" w:rsidP="00DB0E83">
      <w:r>
        <w:t>During the study major protocol deviations were reported for 71 participants, with the most common being related to study procedures</w:t>
      </w:r>
      <w:r w:rsidR="00341A6E">
        <w:t xml:space="preserve"> and/or </w:t>
      </w:r>
      <w:r>
        <w:t xml:space="preserve">assessments and study treatment. They were broadly balanced across the treatment groups. A significant number of the deviations were </w:t>
      </w:r>
      <w:r w:rsidRPr="00DB0E83">
        <w:t xml:space="preserve">related to the COVID-19 pandemic. One site had serious </w:t>
      </w:r>
      <w:r w:rsidR="00DB0E83" w:rsidRPr="00DB0E83">
        <w:t>Good Clinical Practice</w:t>
      </w:r>
      <w:r w:rsidRPr="00DB0E83">
        <w:t xml:space="preserve"> noncompliance.</w:t>
      </w:r>
    </w:p>
    <w:p w14:paraId="02C51250" w14:textId="2DE45AE9" w:rsidR="001D4959" w:rsidRDefault="001D4959" w:rsidP="001D4959">
      <w:r>
        <w:t>Participants were mainly female (86.8%), white (92.5%) and the most common PAH aetiology was idiopathic (57.5%), followed by PAH</w:t>
      </w:r>
      <w:r w:rsidR="00053204">
        <w:t>-</w:t>
      </w:r>
      <w:r>
        <w:t>CTD (17.9%), heritable (16%), drug/toxin induced (5.7%) and PAH associated with congenital systemic-pulmonary shunt (2.8%). Just over half were in FC II and most were on either triple (55.7%) or double (34.9%) background PAH therapy. Prostacyclin infusion was used by 36.8%.</w:t>
      </w:r>
    </w:p>
    <w:p w14:paraId="5D5C2C27" w14:textId="6632935D" w:rsidR="001D4959" w:rsidRPr="00721C31" w:rsidRDefault="001D4959" w:rsidP="001D4959">
      <w:r>
        <w:t>In terms of the primary efficacy outcome (placebo</w:t>
      </w:r>
      <w:r w:rsidR="00505F6A">
        <w:t>-</w:t>
      </w:r>
      <w:r>
        <w:t xml:space="preserve">controlled period), there was a statistically significant difference between sotatercept and placebo for the change from baseline to </w:t>
      </w:r>
      <w:r w:rsidR="00435498">
        <w:t>W</w:t>
      </w:r>
      <w:r>
        <w:t xml:space="preserve">eek 24 </w:t>
      </w:r>
      <w:r w:rsidRPr="008B4CA5">
        <w:t>in PVR. At 0.3</w:t>
      </w:r>
      <w:r w:rsidR="00FB314B" w:rsidRPr="008B4CA5">
        <w:t> </w:t>
      </w:r>
      <w:r w:rsidRPr="008B4CA5">
        <w:t xml:space="preserve">mg/kg there was </w:t>
      </w:r>
      <w:proofErr w:type="gramStart"/>
      <w:r w:rsidRPr="008B4CA5">
        <w:t xml:space="preserve">a </w:t>
      </w:r>
      <w:r w:rsidR="008B4CA5" w:rsidRPr="008B4CA5">
        <w:t>least squares (</w:t>
      </w:r>
      <w:r w:rsidRPr="008B4CA5">
        <w:t>LS</w:t>
      </w:r>
      <w:r w:rsidR="008B4CA5" w:rsidRPr="008B4CA5">
        <w:t>)</w:t>
      </w:r>
      <w:proofErr w:type="gramEnd"/>
      <w:r w:rsidRPr="008B4CA5">
        <w:t xml:space="preserve"> mean -151.1 dynes*sec/cm</w:t>
      </w:r>
      <w:r w:rsidRPr="008B4CA5">
        <w:rPr>
          <w:vertAlign w:val="superscript"/>
        </w:rPr>
        <w:t>5</w:t>
      </w:r>
      <w:r w:rsidRPr="008B4CA5">
        <w:t xml:space="preserve"> difference</w:t>
      </w:r>
      <w:r>
        <w:t xml:space="preserve"> compared to placebo (p</w:t>
      </w:r>
      <w:r w:rsidR="00453126">
        <w:t> </w:t>
      </w:r>
      <w:r>
        <w:t>=</w:t>
      </w:r>
      <w:r w:rsidR="00453126">
        <w:t> </w:t>
      </w:r>
      <w:r>
        <w:t>0.0030). At 0.7</w:t>
      </w:r>
      <w:r w:rsidR="00FB314B">
        <w:t> </w:t>
      </w:r>
      <w:r>
        <w:t>mg/kg there was a LS mean -269.4 difference (p</w:t>
      </w:r>
      <w:r w:rsidR="00453126">
        <w:t> </w:t>
      </w:r>
      <w:r>
        <w:t>&lt;</w:t>
      </w:r>
      <w:r w:rsidR="00453126">
        <w:t> </w:t>
      </w:r>
      <w:r>
        <w:t>0.0001). Results were consistent between the Evaluable population and the FAS. Subgroup analysis (according to background PAH therapy, WHO FC and cardiac index) found consistent results. Haematocrit-adjusted PVR analysis was also consistent.</w:t>
      </w:r>
    </w:p>
    <w:p w14:paraId="3416AAA3" w14:textId="02291A62" w:rsidR="001D4959" w:rsidRDefault="001D4959" w:rsidP="001D4959">
      <w:r>
        <w:t>In the extension part of PULSAR those participants who crossed over from placebo to sotatercept generally experienced a similar magnitude of effect (</w:t>
      </w:r>
      <w:r w:rsidR="00F47820">
        <w:t xml:space="preserve">that is, </w:t>
      </w:r>
      <w:r>
        <w:t xml:space="preserve">change from baseline) on PVR. A delayed start analysis also showed similar decreases in PVR when comparing participants who had been on sotatercept for the whole trial and those who had crossed over </w:t>
      </w:r>
      <w:r>
        <w:lastRenderedPageBreak/>
        <w:t xml:space="preserve">later to sotatercept. </w:t>
      </w:r>
      <w:r w:rsidR="003523AC">
        <w:t>The figure below</w:t>
      </w:r>
      <w:r>
        <w:t xml:space="preserve"> summarises the effects on PVR for all sotatercept doses, placebo across both the initial 24</w:t>
      </w:r>
      <w:r w:rsidR="00702171">
        <w:t>-</w:t>
      </w:r>
      <w:r>
        <w:t>week period and the extension period. In addition to what is described above, there is a maintenance of effect on PVR with ongoing sotatercept (although, as this is not placebo</w:t>
      </w:r>
      <w:r w:rsidR="00020911">
        <w:t>-</w:t>
      </w:r>
      <w:r>
        <w:t>controlled it is possible that other factors have contributed to the effect).</w:t>
      </w:r>
    </w:p>
    <w:p w14:paraId="22665080" w14:textId="15E21B90" w:rsidR="00C10B51" w:rsidRDefault="003523AC" w:rsidP="003523AC">
      <w:pPr>
        <w:pStyle w:val="FigureTitle"/>
      </w:pPr>
      <w:r>
        <w:t xml:space="preserve">Figure </w:t>
      </w:r>
      <w:r>
        <w:fldChar w:fldCharType="begin"/>
      </w:r>
      <w:r>
        <w:instrText xml:space="preserve"> SEQ Figure \* ARABIC </w:instrText>
      </w:r>
      <w:r>
        <w:fldChar w:fldCharType="separate"/>
      </w:r>
      <w:r w:rsidR="00705ED7">
        <w:rPr>
          <w:noProof/>
        </w:rPr>
        <w:t>7</w:t>
      </w:r>
      <w:r>
        <w:fldChar w:fldCharType="end"/>
      </w:r>
      <w:r>
        <w:t xml:space="preserve">: PULSAR Change from baseline in pulmonary </w:t>
      </w:r>
      <w:r w:rsidR="00640F83">
        <w:t>vascular resistance</w:t>
      </w:r>
      <w:r>
        <w:t xml:space="preserve"> (Full Analysis Set; standard multiple imputation)</w:t>
      </w:r>
    </w:p>
    <w:p w14:paraId="1A0AA0C8" w14:textId="432CA297" w:rsidR="00346FF8" w:rsidRDefault="00094A2C" w:rsidP="006473BC">
      <w:r>
        <w:rPr>
          <w:noProof/>
        </w:rPr>
        <w:drawing>
          <wp:inline distT="0" distB="0" distL="0" distR="0" wp14:anchorId="2AB4D3A3" wp14:editId="0BA0C2D4">
            <wp:extent cx="5759450" cy="2733675"/>
            <wp:effectExtent l="0" t="0" r="0" b="9525"/>
            <wp:docPr id="1634106002"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06002" name="Picture 1" descr="A graph of a graph&#10;&#10;AI-generated content may be incorrect."/>
                    <pic:cNvPicPr/>
                  </pic:nvPicPr>
                  <pic:blipFill>
                    <a:blip r:embed="rId35"/>
                    <a:stretch>
                      <a:fillRect/>
                    </a:stretch>
                  </pic:blipFill>
                  <pic:spPr>
                    <a:xfrm>
                      <a:off x="0" y="0"/>
                      <a:ext cx="5759450" cy="2733675"/>
                    </a:xfrm>
                    <a:prstGeom prst="rect">
                      <a:avLst/>
                    </a:prstGeom>
                  </pic:spPr>
                </pic:pic>
              </a:graphicData>
            </a:graphic>
          </wp:inline>
        </w:drawing>
      </w:r>
    </w:p>
    <w:p w14:paraId="67A1FDDF" w14:textId="226F8033" w:rsidR="00094A2C" w:rsidRPr="00B77286" w:rsidRDefault="00094A2C" w:rsidP="00B77286">
      <w:pPr>
        <w:pStyle w:val="FigureDescription"/>
      </w:pPr>
      <w:r w:rsidRPr="00B77286">
        <w:t>EOP is defined as End of placebo-controlled treatment period. Month 18-24 is defined as the timepoint at which the 3rd Right Heart Catheteri</w:t>
      </w:r>
      <w:r w:rsidR="00AD1ADE" w:rsidRPr="00B77286">
        <w:t>s</w:t>
      </w:r>
      <w:r w:rsidRPr="00B77286">
        <w:t>ation is performed. The first PVR measurement is used during Month 18-24.</w:t>
      </w:r>
    </w:p>
    <w:p w14:paraId="2369D35C" w14:textId="4C953D10" w:rsidR="00094A2C" w:rsidRPr="00B77286" w:rsidRDefault="00094A2C" w:rsidP="00B77286">
      <w:pPr>
        <w:pStyle w:val="FigureDescription"/>
      </w:pPr>
      <w:r w:rsidRPr="00B77286">
        <w:t>FAS is based on the placebo-controlled period and Month 18-24 result is based on the extension period FAS-E.</w:t>
      </w:r>
    </w:p>
    <w:p w14:paraId="3F1AD3E7" w14:textId="485A3ACF" w:rsidR="00CD06CF" w:rsidRDefault="00CD06CF" w:rsidP="00CD06CF">
      <w:r>
        <w:t xml:space="preserve">The key secondary endpoint of change in 6MWD also showed statistically significant effects for 0.3 mg/kg and 0.7 mg/kg (note that the prespecified alpha level for this assessment was 0.2) </w:t>
      </w:r>
      <w:r w:rsidRPr="008B4CA5">
        <w:t>compared to the placebo arm. There was a LS mean difference at 0.3</w:t>
      </w:r>
      <w:r w:rsidR="0062123A" w:rsidRPr="008B4CA5">
        <w:t> </w:t>
      </w:r>
      <w:r w:rsidRPr="008B4CA5">
        <w:t>mg/kg of 24.6</w:t>
      </w:r>
      <w:r w:rsidR="0062123A" w:rsidRPr="008B4CA5">
        <w:t> </w:t>
      </w:r>
      <w:r w:rsidRPr="008B4CA5">
        <w:t>m</w:t>
      </w:r>
      <w:r>
        <w:t xml:space="preserve"> (p</w:t>
      </w:r>
      <w:r w:rsidR="00453126">
        <w:t> </w:t>
      </w:r>
      <w:r>
        <w:t>=</w:t>
      </w:r>
      <w:r w:rsidR="00453126">
        <w:t> </w:t>
      </w:r>
      <w:r>
        <w:t>0.0790) and at 0.7</w:t>
      </w:r>
      <w:r w:rsidR="0062123A">
        <w:t> </w:t>
      </w:r>
      <w:r>
        <w:t>mg/kg of 22.3</w:t>
      </w:r>
      <w:r w:rsidR="00453126">
        <w:t> </w:t>
      </w:r>
      <w:r>
        <w:t>m (p</w:t>
      </w:r>
      <w:r w:rsidR="00453126">
        <w:t> </w:t>
      </w:r>
      <w:r>
        <w:t>=</w:t>
      </w:r>
      <w:r w:rsidR="00453126">
        <w:t> </w:t>
      </w:r>
      <w:r>
        <w:t>0.1072). As with the primary efficacy endpoint</w:t>
      </w:r>
      <w:r w:rsidR="006B426E">
        <w:t>,</w:t>
      </w:r>
      <w:r>
        <w:t xml:space="preserve"> placebo-crossed participants were able to achieve similar benefit when exposed to sotatercept and there appeared to be maintenance of effect out to </w:t>
      </w:r>
      <w:r w:rsidR="00453126">
        <w:t>M</w:t>
      </w:r>
      <w:r>
        <w:t>onth 18</w:t>
      </w:r>
      <w:r w:rsidR="00C5330B">
        <w:t xml:space="preserve"> to </w:t>
      </w:r>
      <w:r>
        <w:t>24 (not placebo-controlled at that stage).</w:t>
      </w:r>
    </w:p>
    <w:p w14:paraId="099F9296" w14:textId="7A451C11" w:rsidR="00B77286" w:rsidRDefault="00B77286" w:rsidP="00B77286">
      <w:pPr>
        <w:pStyle w:val="Heading6"/>
      </w:pPr>
      <w:r>
        <w:t>SPECTRA (MK-7962-002/A011-10)</w:t>
      </w:r>
    </w:p>
    <w:p w14:paraId="4D227312" w14:textId="4C08D350" w:rsidR="00CD06CF" w:rsidRDefault="00CD06CF" w:rsidP="00CD06CF">
      <w:r>
        <w:t>SPECTRA (MK-7962-002/A011-10) was a single-group, open label study designed to evaluate the effects of sotatercept on invasive cardiopulmonary exercise testing, as well as safety. Sotatercept was dosed at 0.3</w:t>
      </w:r>
      <w:r w:rsidR="0091254A">
        <w:t> </w:t>
      </w:r>
      <w:r>
        <w:t>mg/kg (first dose) and 0.7</w:t>
      </w:r>
      <w:r w:rsidR="0091254A">
        <w:t> </w:t>
      </w:r>
      <w:r>
        <w:t xml:space="preserve">mg/kg (subsequent doses). Again, the inclusion criteria were </w:t>
      </w:r>
      <w:proofErr w:type="gramStart"/>
      <w:r>
        <w:t>similar to</w:t>
      </w:r>
      <w:proofErr w:type="gramEnd"/>
      <w:r>
        <w:t xml:space="preserve"> PULSAR and STELLAR, however the FC was limited to III, background PAH monotherapy was not permitted, the PVR cut</w:t>
      </w:r>
      <w:r w:rsidR="00CD6BA9">
        <w:t>-</w:t>
      </w:r>
      <w:r>
        <w:t>off was lower at 4</w:t>
      </w:r>
      <w:r w:rsidR="00242D75">
        <w:t> </w:t>
      </w:r>
      <w:r>
        <w:t>Wood units and the allowed baseline 6MWD range was 100</w:t>
      </w:r>
      <w:r w:rsidR="00242D75">
        <w:t> m to</w:t>
      </w:r>
      <w:r>
        <w:t xml:space="preserve"> 550</w:t>
      </w:r>
      <w:r w:rsidR="00242D75">
        <w:t> </w:t>
      </w:r>
      <w:r>
        <w:t>m. The primary treatment period went for 24</w:t>
      </w:r>
      <w:r w:rsidR="00242D75">
        <w:t> </w:t>
      </w:r>
      <w:proofErr w:type="gramStart"/>
      <w:r>
        <w:t>weeks</w:t>
      </w:r>
      <w:proofErr w:type="gramEnd"/>
      <w:r>
        <w:t xml:space="preserve"> and the extension period was up to 18</w:t>
      </w:r>
      <w:r w:rsidR="00242D75">
        <w:t> </w:t>
      </w:r>
      <w:r>
        <w:t>months.</w:t>
      </w:r>
    </w:p>
    <w:p w14:paraId="3DA562BE" w14:textId="33368AA7" w:rsidR="00CD06CF" w:rsidRPr="0051324E" w:rsidRDefault="00CD06CF" w:rsidP="00CD06CF">
      <w:r>
        <w:t>Of 21 allocated participants, 20 completed the 24</w:t>
      </w:r>
      <w:r w:rsidR="00505F6A">
        <w:t>-</w:t>
      </w:r>
      <w:r>
        <w:t xml:space="preserve">week treatment period (1 withdrawal due to personal reasons) and continued in the extension study. There was 1 discontinuation during the </w:t>
      </w:r>
      <w:r w:rsidRPr="008B4CA5">
        <w:t xml:space="preserve">extension period due to an </w:t>
      </w:r>
      <w:r w:rsidR="008B4CA5" w:rsidRPr="008B4CA5">
        <w:t>adverse event (</w:t>
      </w:r>
      <w:r w:rsidRPr="008B4CA5">
        <w:t>AE</w:t>
      </w:r>
      <w:r w:rsidR="008B4CA5" w:rsidRPr="008B4CA5">
        <w:t>)</w:t>
      </w:r>
      <w:r w:rsidRPr="008B4CA5">
        <w:t>. Most participants eventually transitioned to</w:t>
      </w:r>
      <w:r>
        <w:t xml:space="preserve"> SOTERIA.</w:t>
      </w:r>
    </w:p>
    <w:p w14:paraId="0CC9DE68" w14:textId="42AFDC95" w:rsidR="00CD06CF" w:rsidRDefault="00CD06CF" w:rsidP="00CD06CF">
      <w:r>
        <w:t>Participants were mainly female and white (both 81%</w:t>
      </w:r>
      <w:r w:rsidR="00085769">
        <w:t>),</w:t>
      </w:r>
      <w:r>
        <w:t xml:space="preserve"> and the median age was 44</w:t>
      </w:r>
      <w:r w:rsidR="00B63799">
        <w:t> </w:t>
      </w:r>
      <w:r>
        <w:t xml:space="preserve">years. The most common aetiologies were idiopathic (66.7%) and </w:t>
      </w:r>
      <w:r w:rsidR="00B63799">
        <w:t>PAH-</w:t>
      </w:r>
      <w:r>
        <w:t>CTD (28.6%). Participants were receiving either dual (47.6%) or triple (52.4%) background PAH therapy and 57.1% were receiving a prostacyclin infusion. All participants were in WHO FC III.</w:t>
      </w:r>
    </w:p>
    <w:p w14:paraId="3765E4EB" w14:textId="2D073239" w:rsidR="00CD06CF" w:rsidRDefault="00CD06CF" w:rsidP="00CD06CF">
      <w:r>
        <w:lastRenderedPageBreak/>
        <w:t xml:space="preserve">There was a statistically significant (prespecified 0.10 one-sided alpha level) increase in mean </w:t>
      </w:r>
      <w:r w:rsidR="008B4CA5">
        <w:t xml:space="preserve">peak oxygen update </w:t>
      </w:r>
      <w:r>
        <w:t>from baseline (1.28</w:t>
      </w:r>
      <w:r w:rsidR="004553A5">
        <w:t> </w:t>
      </w:r>
      <w:r>
        <w:t>mL/min/kg;</w:t>
      </w:r>
      <w:r w:rsidR="004553A5">
        <w:t xml:space="preserve"> </w:t>
      </w:r>
      <w:r>
        <w:t>p</w:t>
      </w:r>
      <w:r w:rsidR="00453126">
        <w:t> </w:t>
      </w:r>
      <w:r>
        <w:t>=</w:t>
      </w:r>
      <w:r w:rsidR="00453126">
        <w:t> </w:t>
      </w:r>
      <w:r>
        <w:t>0.0624). The effect was maintained at month 12.</w:t>
      </w:r>
    </w:p>
    <w:p w14:paraId="5B0BDA7E" w14:textId="52BBBD8E" w:rsidR="00CD06CF" w:rsidRDefault="00CD06CF" w:rsidP="00CD06CF">
      <w:r>
        <w:t xml:space="preserve">In terms of </w:t>
      </w:r>
      <w:r w:rsidR="004553A5">
        <w:t>right ventricular (</w:t>
      </w:r>
      <w:r>
        <w:t>RV</w:t>
      </w:r>
      <w:r w:rsidR="004553A5">
        <w:t>)</w:t>
      </w:r>
      <w:r>
        <w:t xml:space="preserve"> measurements, there was no mean improvement from baseline in RV stroke volume. There were mean improvements from baseline at 24 weeks and 12 months in RV end systolic volume, RV end diastolic volume, RV stroke volume index and RV mass.</w:t>
      </w:r>
    </w:p>
    <w:p w14:paraId="70CA0CC8" w14:textId="77777777" w:rsidR="00CD06CF" w:rsidRDefault="00CD06CF" w:rsidP="00CD06CF">
      <w:r>
        <w:t>Improvements were also noted in PVR, 6MWD, WHO FC and NT-</w:t>
      </w:r>
      <w:proofErr w:type="spellStart"/>
      <w:r>
        <w:t>proBNP</w:t>
      </w:r>
      <w:proofErr w:type="spellEnd"/>
      <w:r>
        <w:t>.</w:t>
      </w:r>
    </w:p>
    <w:p w14:paraId="40A9847F" w14:textId="36A863BF" w:rsidR="00B77286" w:rsidRDefault="00B77286" w:rsidP="00B77286">
      <w:pPr>
        <w:pStyle w:val="Heading6"/>
      </w:pPr>
      <w:r>
        <w:t>SOTERIA</w:t>
      </w:r>
    </w:p>
    <w:p w14:paraId="6D421C0A" w14:textId="21110E2B" w:rsidR="00AF4121" w:rsidRDefault="00CD06CF" w:rsidP="00CD06CF">
      <w:r>
        <w:t>SOTERIA is an ongoing, open label extension study to provide long</w:t>
      </w:r>
      <w:r w:rsidR="00FF7BC9">
        <w:t>-</w:t>
      </w:r>
      <w:r>
        <w:t xml:space="preserve">term safety and efficacy data on participants treated with sotatercept. It received participants from the </w:t>
      </w:r>
      <w:r w:rsidR="00085769">
        <w:t>above-described</w:t>
      </w:r>
      <w:r>
        <w:t xml:space="preserve"> </w:t>
      </w:r>
      <w:r w:rsidR="001C21E6">
        <w:t>P</w:t>
      </w:r>
      <w:r>
        <w:t>hase</w:t>
      </w:r>
      <w:r w:rsidR="001C21E6">
        <w:t> II and Phase III</w:t>
      </w:r>
      <w:r>
        <w:t xml:space="preserve"> clinical trials. </w:t>
      </w:r>
      <w:r w:rsidR="00981002">
        <w:t>Adult participant</w:t>
      </w:r>
      <w:r w:rsidR="00ED4205" w:rsidRPr="00ED4205">
        <w:t xml:space="preserve">s who completed </w:t>
      </w:r>
      <w:r w:rsidR="00981002">
        <w:t xml:space="preserve">one of the </w:t>
      </w:r>
      <w:proofErr w:type="gramStart"/>
      <w:r w:rsidR="00981002">
        <w:t xml:space="preserve">aforementioned </w:t>
      </w:r>
      <w:proofErr w:type="spellStart"/>
      <w:r w:rsidR="00ED4205" w:rsidRPr="00ED4205">
        <w:t>sotatercept</w:t>
      </w:r>
      <w:proofErr w:type="spellEnd"/>
      <w:proofErr w:type="gramEnd"/>
      <w:r w:rsidR="00ED4205" w:rsidRPr="00ED4205">
        <w:t xml:space="preserve"> stu</w:t>
      </w:r>
      <w:r w:rsidR="00981002">
        <w:t>dies</w:t>
      </w:r>
      <w:r w:rsidR="00ED4205" w:rsidRPr="00ED4205">
        <w:t xml:space="preserve"> without early discontinuation were </w:t>
      </w:r>
      <w:r w:rsidR="00981002">
        <w:t>eligible to be enrolled.</w:t>
      </w:r>
      <w:r w:rsidR="00ED4205" w:rsidRPr="00ED4205">
        <w:t xml:space="preserve"> Participants received subcutaneous </w:t>
      </w:r>
      <w:proofErr w:type="spellStart"/>
      <w:r w:rsidR="00ED4205" w:rsidRPr="00ED4205">
        <w:t>sotatercept</w:t>
      </w:r>
      <w:proofErr w:type="spellEnd"/>
      <w:r w:rsidR="00ED4205" w:rsidRPr="00ED4205">
        <w:t xml:space="preserve"> (≤0.7 mg·kg</w:t>
      </w:r>
      <w:r w:rsidR="00ED4205" w:rsidRPr="00ED4205">
        <w:rPr>
          <w:vertAlign w:val="superscript"/>
        </w:rPr>
        <w:t>-1</w:t>
      </w:r>
      <w:r w:rsidR="00ED4205" w:rsidRPr="00ED4205">
        <w:t> once every 21 days)</w:t>
      </w:r>
      <w:r w:rsidR="00981002">
        <w:t xml:space="preserve"> in addition to background therapy</w:t>
      </w:r>
      <w:r w:rsidR="00ED4205" w:rsidRPr="00ED4205">
        <w:t>.</w:t>
      </w:r>
      <w:r w:rsidR="00AF4121">
        <w:t xml:space="preserve"> Dose modifications were allowed per protocol.</w:t>
      </w:r>
    </w:p>
    <w:p w14:paraId="122B89C3" w14:textId="77777777" w:rsidR="009A3E56" w:rsidRDefault="009A3E56" w:rsidP="009A3E56">
      <w:pPr>
        <w:pStyle w:val="Heading4"/>
      </w:pPr>
      <w:bookmarkStart w:id="50" w:name="_Toc202861312"/>
      <w:r w:rsidRPr="00AA53F4">
        <w:t>Safety</w:t>
      </w:r>
      <w:bookmarkEnd w:id="50"/>
    </w:p>
    <w:p w14:paraId="2B50AD32" w14:textId="60E65BC7" w:rsidR="009A3E56" w:rsidRDefault="009A3E56" w:rsidP="009A3E56">
      <w:r>
        <w:t xml:space="preserve">The key safety data for sotatercept in the treatment of PAH come from the </w:t>
      </w:r>
      <w:r w:rsidR="009501CB">
        <w:t>3</w:t>
      </w:r>
      <w:r>
        <w:t xml:space="preserve"> previously described studies – PULSAR, SPECTRA (both </w:t>
      </w:r>
      <w:r w:rsidR="009501CB">
        <w:t>P</w:t>
      </w:r>
      <w:r>
        <w:t xml:space="preserve">hase </w:t>
      </w:r>
      <w:r w:rsidR="009501CB">
        <w:t>II</w:t>
      </w:r>
      <w:r>
        <w:t>) and STELLAR (</w:t>
      </w:r>
      <w:r w:rsidR="009501CB">
        <w:t>P</w:t>
      </w:r>
      <w:r>
        <w:t xml:space="preserve">hase </w:t>
      </w:r>
      <w:r w:rsidR="009501CB">
        <w:t>III</w:t>
      </w:r>
      <w:r>
        <w:t xml:space="preserve">). Safety data from the </w:t>
      </w:r>
      <w:r w:rsidR="009501CB">
        <w:t>P</w:t>
      </w:r>
      <w:r>
        <w:t xml:space="preserve">hase </w:t>
      </w:r>
      <w:r w:rsidR="009501CB">
        <w:t>III</w:t>
      </w:r>
      <w:r>
        <w:t xml:space="preserve"> open label extension study SOTERIA are included in the pooled safety analysis (Pool B, see below).</w:t>
      </w:r>
    </w:p>
    <w:p w14:paraId="51112936" w14:textId="588BCB33" w:rsidR="009A3E56" w:rsidRDefault="009A3E56" w:rsidP="009A3E56">
      <w:r>
        <w:t xml:space="preserve">The integrated safety summary utilised </w:t>
      </w:r>
      <w:r w:rsidR="00511CFB">
        <w:t>2</w:t>
      </w:r>
      <w:r>
        <w:t xml:space="preserve"> pools and based on the safety set (</w:t>
      </w:r>
      <w:r w:rsidR="00511CFB">
        <w:t xml:space="preserve">that is, </w:t>
      </w:r>
      <w:r>
        <w:t>all participants who received at least one dose of sotatercept or placebo):</w:t>
      </w:r>
    </w:p>
    <w:p w14:paraId="1A66D27D" w14:textId="0E9671A3" w:rsidR="009A3E56" w:rsidRPr="00AF5C65" w:rsidRDefault="009A3E56" w:rsidP="00555EA1">
      <w:pPr>
        <w:pStyle w:val="ListBullet"/>
      </w:pPr>
      <w:r w:rsidRPr="00D14A47">
        <w:t xml:space="preserve">Pool A – </w:t>
      </w:r>
      <w:r w:rsidR="00555EA1" w:rsidRPr="00D14A47">
        <w:t>24-week</w:t>
      </w:r>
      <w:r w:rsidRPr="00D14A47">
        <w:t xml:space="preserve"> placebo-controlled data from STELLAR and PULSAR combined to form the </w:t>
      </w:r>
      <w:r w:rsidR="00712A44" w:rsidRPr="00AF5C65">
        <w:t>‘</w:t>
      </w:r>
      <w:r w:rsidRPr="00AF5C65">
        <w:t>overall sotatercept</w:t>
      </w:r>
      <w:r w:rsidR="00712A44" w:rsidRPr="00AF5C65">
        <w:t>’</w:t>
      </w:r>
      <w:r w:rsidRPr="00AF5C65">
        <w:t xml:space="preserve"> and </w:t>
      </w:r>
      <w:r w:rsidR="00712A44" w:rsidRPr="00AF5C65">
        <w:t>‘</w:t>
      </w:r>
      <w:r w:rsidRPr="00AF5C65">
        <w:t>overall placebo group</w:t>
      </w:r>
      <w:r w:rsidR="00712A44" w:rsidRPr="00AF5C65">
        <w:t>’</w:t>
      </w:r>
      <w:r w:rsidR="00AF5C65" w:rsidRPr="00AF5C65">
        <w:t>. (The t</w:t>
      </w:r>
      <w:r w:rsidRPr="00AF5C65">
        <w:t xml:space="preserve">able </w:t>
      </w:r>
      <w:r w:rsidR="00AF5C65" w:rsidRPr="00AF5C65">
        <w:t xml:space="preserve">below </w:t>
      </w:r>
      <w:r w:rsidRPr="00AF5C65">
        <w:t>for Pool A also show</w:t>
      </w:r>
      <w:r w:rsidR="00AF5C65" w:rsidRPr="00AF5C65">
        <w:t>s</w:t>
      </w:r>
      <w:r w:rsidRPr="00AF5C65">
        <w:t xml:space="preserve"> the results for the individual studies</w:t>
      </w:r>
      <w:r w:rsidR="00AF5C65" w:rsidRPr="00AF5C65">
        <w:t>)</w:t>
      </w:r>
      <w:r w:rsidRPr="00AF5C65">
        <w:t>. Note that some of the data in this pool represent participants in PULSAR who were randomised to the lower dose of 0.3</w:t>
      </w:r>
      <w:r w:rsidR="004606E7" w:rsidRPr="00AF5C65">
        <w:t> </w:t>
      </w:r>
      <w:r w:rsidRPr="00AF5C65">
        <w:t>mg/kg.</w:t>
      </w:r>
    </w:p>
    <w:p w14:paraId="75A5BF07" w14:textId="769F0141" w:rsidR="009A3E56" w:rsidRDefault="009A3E56" w:rsidP="00555EA1">
      <w:pPr>
        <w:pStyle w:val="ListBullet"/>
      </w:pPr>
      <w:r w:rsidRPr="00D14A47">
        <w:t>Pool B – cumulative data from STELLAR, PULSAR (double</w:t>
      </w:r>
      <w:r w:rsidR="00020911">
        <w:t>-</w:t>
      </w:r>
      <w:r w:rsidRPr="00D14A47">
        <w:t>blind placebo</w:t>
      </w:r>
      <w:r w:rsidR="00020911">
        <w:t>-</w:t>
      </w:r>
      <w:r w:rsidRPr="00D14A47">
        <w:t xml:space="preserve">controlled and extension periods), SPECTRA and SOTERIA. SOTERIA data were mapped into the treatment </w:t>
      </w:r>
      <w:r w:rsidRPr="00AF5C65">
        <w:t>groups from the parent studies. Pool B is further divided into SUR1 (safety updated report 1), which has a data cutoff date of 6 D</w:t>
      </w:r>
      <w:r w:rsidR="00E00A47" w:rsidRPr="00AF5C65">
        <w:t>ecember</w:t>
      </w:r>
      <w:r w:rsidRPr="00AF5C65">
        <w:t xml:space="preserve"> 2022, and SUR2, which has a data cut</w:t>
      </w:r>
      <w:r w:rsidR="00CD6BA9" w:rsidRPr="00AF5C65">
        <w:t>-</w:t>
      </w:r>
      <w:r w:rsidRPr="00AF5C65">
        <w:t>off of</w:t>
      </w:r>
      <w:r>
        <w:t xml:space="preserve"> 8</w:t>
      </w:r>
      <w:r w:rsidR="00D14A47">
        <w:t> </w:t>
      </w:r>
      <w:r>
        <w:t>N</w:t>
      </w:r>
      <w:r w:rsidR="00D14A47">
        <w:t>ovember</w:t>
      </w:r>
      <w:r>
        <w:t xml:space="preserve"> 2023. The most complete version of Pool B is the SUR2 cumulative dataset.</w:t>
      </w:r>
    </w:p>
    <w:p w14:paraId="729E6387" w14:textId="77777777" w:rsidR="009A3E56" w:rsidRPr="00B607D9" w:rsidRDefault="009A3E56" w:rsidP="00F76EC0">
      <w:pPr>
        <w:pStyle w:val="Heading5"/>
      </w:pPr>
      <w:r w:rsidRPr="00B607D9">
        <w:t>Pool A</w:t>
      </w:r>
      <w:r>
        <w:t xml:space="preserve"> safety results</w:t>
      </w:r>
    </w:p>
    <w:p w14:paraId="415D3924" w14:textId="7F1EDA70" w:rsidR="009A3E56" w:rsidRDefault="009A3E56" w:rsidP="009A3E56">
      <w:r>
        <w:t>In Pool A the median duration of exposure was 168</w:t>
      </w:r>
      <w:r w:rsidR="00064C49">
        <w:t> </w:t>
      </w:r>
      <w:r>
        <w:t>days in both the placebo and sotatercept groups. The duration of treatment was 114</w:t>
      </w:r>
      <w:r w:rsidR="00B4112F">
        <w:t> </w:t>
      </w:r>
      <w:r>
        <w:t>patient-years with sotatercept and 91.4</w:t>
      </w:r>
      <w:r w:rsidR="00B4112F">
        <w:t> </w:t>
      </w:r>
      <w:r>
        <w:t>patient-years with placebo. Dose reductions during this period were more frequent with sotatercept than placebo (11.4% v</w:t>
      </w:r>
      <w:r w:rsidR="00B4112F">
        <w:t>ersu</w:t>
      </w:r>
      <w:r>
        <w:t xml:space="preserve">s 2.6%) </w:t>
      </w:r>
      <w:proofErr w:type="gramStart"/>
      <w:r>
        <w:t>and also</w:t>
      </w:r>
      <w:proofErr w:type="gramEnd"/>
      <w:r>
        <w:t xml:space="preserve"> occurred earlier in treatment. There were 237</w:t>
      </w:r>
      <w:r w:rsidR="00B4112F">
        <w:t> </w:t>
      </w:r>
      <w:r>
        <w:t xml:space="preserve">participants in the </w:t>
      </w:r>
      <w:r w:rsidR="00BA1123">
        <w:t>‘</w:t>
      </w:r>
      <w:r>
        <w:t>overall sotatercept group</w:t>
      </w:r>
      <w:r w:rsidR="00BA1123">
        <w:t>’</w:t>
      </w:r>
      <w:r>
        <w:t xml:space="preserve"> and 192 in the </w:t>
      </w:r>
      <w:r w:rsidR="00BA1123">
        <w:t>‘</w:t>
      </w:r>
      <w:r>
        <w:t>overall placebo group</w:t>
      </w:r>
      <w:r w:rsidR="00BA1123">
        <w:t>’</w:t>
      </w:r>
      <w:r>
        <w:t>.</w:t>
      </w:r>
    </w:p>
    <w:p w14:paraId="3065E0BD" w14:textId="07CE3BC8" w:rsidR="009A3E56" w:rsidRDefault="009A3E56" w:rsidP="009A3E56">
      <w:r>
        <w:t>The overall 24</w:t>
      </w:r>
      <w:r w:rsidR="00505F6A">
        <w:t>-</w:t>
      </w:r>
      <w:r>
        <w:t>week completion rate was high (95.8% with sotatercept; 92.7% with placebo). The proportion discontinuing treatment was lower with sotatercept compared with placebo (4.2% v</w:t>
      </w:r>
      <w:r w:rsidR="00B4112F">
        <w:t>ersus</w:t>
      </w:r>
      <w:r>
        <w:t xml:space="preserve"> 7.3%). Discontinuation due to a non-fatal TEAE was more frequent with sotatercept than placebo (3% v</w:t>
      </w:r>
      <w:r w:rsidR="00B4112F">
        <w:t>ersus</w:t>
      </w:r>
      <w:r>
        <w:t xml:space="preserve"> 1.6%), unlike discontinuation due to death (0% with sotatercept; 2.6% with placebo) or due to worsening PAH (0% sotatercept; 1% placebo).</w:t>
      </w:r>
    </w:p>
    <w:p w14:paraId="4F6B7126" w14:textId="6C463597" w:rsidR="009A3E56" w:rsidRDefault="009A3E56" w:rsidP="009A3E56">
      <w:r>
        <w:t>T</w:t>
      </w:r>
      <w:r w:rsidR="00B4112F">
        <w:t>reatment-emergent adverse events</w:t>
      </w:r>
      <w:r>
        <w:t xml:space="preserve"> frequency was similar between the overall placebo and overall sotatercept groups (</w:t>
      </w:r>
      <w:r w:rsidR="00085769">
        <w:t>see table below</w:t>
      </w:r>
      <w:r>
        <w:t>). A</w:t>
      </w:r>
      <w:r w:rsidR="00B4112F">
        <w:t>dverse event</w:t>
      </w:r>
      <w:r>
        <w:t xml:space="preserve"> types that were more frequent with </w:t>
      </w:r>
      <w:r>
        <w:lastRenderedPageBreak/>
        <w:t>sotatercept than placebo included TEAE related to treatment (43.9% v</w:t>
      </w:r>
      <w:r w:rsidR="00B4112F">
        <w:t>ersus</w:t>
      </w:r>
      <w:r>
        <w:t xml:space="preserve"> 26%), TEAE leading to dose reduction (3.4% v</w:t>
      </w:r>
      <w:r w:rsidR="00B4112F">
        <w:t>ersus</w:t>
      </w:r>
      <w:r>
        <w:t xml:space="preserve"> 1%) or dose delay (10.5% v</w:t>
      </w:r>
      <w:r w:rsidR="00B4112F">
        <w:t>ersus</w:t>
      </w:r>
      <w:r>
        <w:t xml:space="preserve"> 2.6%), AE of interest (43.5% v</w:t>
      </w:r>
      <w:r w:rsidR="00B4112F">
        <w:t>ersus</w:t>
      </w:r>
      <w:r>
        <w:t xml:space="preserve"> 35.9%) and AE of special interest (7.2% v</w:t>
      </w:r>
      <w:r w:rsidR="00B4112F">
        <w:t>ersus</w:t>
      </w:r>
      <w:r>
        <w:t xml:space="preserve"> 2.6%). A</w:t>
      </w:r>
      <w:r w:rsidR="00B4112F">
        <w:t>dverse event</w:t>
      </w:r>
      <w:r>
        <w:t xml:space="preserve"> types that were more frequent with placebo than </w:t>
      </w:r>
      <w:proofErr w:type="spellStart"/>
      <w:r>
        <w:t>sotatercept</w:t>
      </w:r>
      <w:proofErr w:type="spellEnd"/>
      <w:r>
        <w:t xml:space="preserve"> included severe TEAE (13.5% v</w:t>
      </w:r>
      <w:r w:rsidR="00B4112F">
        <w:t>ersus</w:t>
      </w:r>
      <w:r>
        <w:t xml:space="preserve"> 11.4%), serious TEAE (20.3% v</w:t>
      </w:r>
      <w:r w:rsidR="00B4112F">
        <w:t>ersus</w:t>
      </w:r>
      <w:r>
        <w:t xml:space="preserve"> 14.8%), TEAE leading to discontinuation (5.7% v</w:t>
      </w:r>
      <w:r w:rsidR="00B4112F">
        <w:t>ersus</w:t>
      </w:r>
      <w:r>
        <w:t xml:space="preserve"> 3.8%) and TEAE leading to death (3.1% v</w:t>
      </w:r>
      <w:r w:rsidR="00B4112F">
        <w:t>ersus</w:t>
      </w:r>
      <w:r>
        <w:t xml:space="preserve"> 0.4%).</w:t>
      </w:r>
    </w:p>
    <w:p w14:paraId="19245A97" w14:textId="1F45BE6F" w:rsidR="00C10B51" w:rsidRDefault="0011764E" w:rsidP="0011764E">
      <w:pPr>
        <w:pStyle w:val="TableTitle"/>
      </w:pPr>
      <w:r>
        <w:t xml:space="preserve">Table </w:t>
      </w:r>
      <w:r>
        <w:fldChar w:fldCharType="begin"/>
      </w:r>
      <w:r>
        <w:instrText xml:space="preserve"> SEQ Table \* ARABIC </w:instrText>
      </w:r>
      <w:r>
        <w:fldChar w:fldCharType="separate"/>
      </w:r>
      <w:r w:rsidR="00705ED7">
        <w:rPr>
          <w:noProof/>
        </w:rPr>
        <w:t>6</w:t>
      </w:r>
      <w:r>
        <w:fldChar w:fldCharType="end"/>
      </w:r>
      <w:r>
        <w:t xml:space="preserve">: </w:t>
      </w:r>
      <w:r w:rsidRPr="00321C3D">
        <w:t xml:space="preserve">Pool </w:t>
      </w:r>
      <w:proofErr w:type="gramStart"/>
      <w:r w:rsidRPr="00321C3D">
        <w:t>A</w:t>
      </w:r>
      <w:proofErr w:type="gramEnd"/>
      <w:r w:rsidRPr="00321C3D">
        <w:t xml:space="preserve"> </w:t>
      </w:r>
      <w:r>
        <w:t>O</w:t>
      </w:r>
      <w:r w:rsidRPr="00321C3D">
        <w:t xml:space="preserve">verall summary </w:t>
      </w:r>
      <w:r>
        <w:t>of treatment-emergent adverse events (safety set)</w:t>
      </w:r>
    </w:p>
    <w:p w14:paraId="7618CB96" w14:textId="542E8EAD" w:rsidR="0011764E" w:rsidRDefault="0011764E" w:rsidP="006473BC">
      <w:r>
        <w:rPr>
          <w:noProof/>
        </w:rPr>
        <w:drawing>
          <wp:inline distT="0" distB="0" distL="0" distR="0" wp14:anchorId="014B42B4" wp14:editId="523CF313">
            <wp:extent cx="5759450" cy="3938905"/>
            <wp:effectExtent l="0" t="0" r="0" b="4445"/>
            <wp:docPr id="2016665173" name="Picture 1" descr="A table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665173" name="Picture 1" descr="A table with numbers and symbols&#10;&#10;AI-generated content may be incorrect."/>
                    <pic:cNvPicPr/>
                  </pic:nvPicPr>
                  <pic:blipFill>
                    <a:blip r:embed="rId36"/>
                    <a:stretch>
                      <a:fillRect/>
                    </a:stretch>
                  </pic:blipFill>
                  <pic:spPr>
                    <a:xfrm>
                      <a:off x="0" y="0"/>
                      <a:ext cx="5759450" cy="3938905"/>
                    </a:xfrm>
                    <a:prstGeom prst="rect">
                      <a:avLst/>
                    </a:prstGeom>
                  </pic:spPr>
                </pic:pic>
              </a:graphicData>
            </a:graphic>
          </wp:inline>
        </w:drawing>
      </w:r>
    </w:p>
    <w:p w14:paraId="450CB4E8" w14:textId="77777777" w:rsidR="0011764E" w:rsidRPr="006473BC" w:rsidRDefault="0011764E" w:rsidP="006473BC">
      <w:pPr>
        <w:pStyle w:val="TableDescription"/>
      </w:pPr>
      <w:r w:rsidRPr="0011764E">
        <w:t>Participants from PULSAR and STELLAR are included.</w:t>
      </w:r>
    </w:p>
    <w:p w14:paraId="1384F05E" w14:textId="77777777" w:rsidR="0011764E" w:rsidRPr="0011764E" w:rsidRDefault="0011764E" w:rsidP="0011764E">
      <w:pPr>
        <w:pStyle w:val="TableDescription"/>
      </w:pPr>
      <w:r w:rsidRPr="0011764E">
        <w:t>All participants received standard of care in addition to receiving study drug.</w:t>
      </w:r>
    </w:p>
    <w:p w14:paraId="55512A2F" w14:textId="6E05EF95" w:rsidR="0011764E" w:rsidRDefault="0011764E" w:rsidP="0011764E">
      <w:pPr>
        <w:pStyle w:val="TableDescription"/>
      </w:pPr>
      <w:r w:rsidRPr="0011764E">
        <w:t>The Combined Sotatercept group from PULSAR includes participants treated with sotatercept during the first 6 months (Placebo-controlled Period).</w:t>
      </w:r>
    </w:p>
    <w:p w14:paraId="7431C650" w14:textId="34146079" w:rsidR="00102944" w:rsidRDefault="00102944" w:rsidP="00102944">
      <w:r>
        <w:t>T</w:t>
      </w:r>
      <w:r w:rsidR="00B4112F">
        <w:t>reatment-emergent adverse events</w:t>
      </w:r>
      <w:r>
        <w:t xml:space="preserve">, by preferred term that occurred in at least 5% of subjects in either treatment group in Pool A are </w:t>
      </w:r>
      <w:r w:rsidR="00F36733">
        <w:t>below.</w:t>
      </w:r>
      <w:r>
        <w:t xml:space="preserve"> Of these, TEAEs occurring significantly more frequently with sotatercept compared to placebo were headache, diarrhoea, epistaxis, dizziness, hypokalaemia, telangiectasia, thrombocytopenia, </w:t>
      </w:r>
      <w:r w:rsidR="00B4112F">
        <w:t xml:space="preserve">haemoglobin </w:t>
      </w:r>
      <w:r>
        <w:t>increased, upper respiratory tract infection and pain in extremity.</w:t>
      </w:r>
    </w:p>
    <w:p w14:paraId="32DB3980" w14:textId="277A895F" w:rsidR="00F36733" w:rsidRPr="00F36733" w:rsidRDefault="00F36733" w:rsidP="00F36733">
      <w:pPr>
        <w:pStyle w:val="TableTitle"/>
      </w:pPr>
      <w:r w:rsidRPr="00F36733">
        <w:lastRenderedPageBreak/>
        <w:t xml:space="preserve">Table </w:t>
      </w:r>
      <w:r w:rsidRPr="00F36733">
        <w:fldChar w:fldCharType="begin"/>
      </w:r>
      <w:r w:rsidRPr="00F36733">
        <w:instrText xml:space="preserve"> SEQ Table \* ARABIC </w:instrText>
      </w:r>
      <w:r w:rsidRPr="00F36733">
        <w:fldChar w:fldCharType="separate"/>
      </w:r>
      <w:r w:rsidR="00705ED7">
        <w:rPr>
          <w:noProof/>
        </w:rPr>
        <w:t>7</w:t>
      </w:r>
      <w:r w:rsidRPr="00F36733">
        <w:fldChar w:fldCharType="end"/>
      </w:r>
      <w:r w:rsidRPr="00F36733">
        <w:t>: Pool A Treatment-emergent adverse events with at least 5% in any treatment group by preferred term</w:t>
      </w:r>
    </w:p>
    <w:p w14:paraId="5743A74C" w14:textId="17493B63" w:rsidR="00F36733" w:rsidRDefault="00F36733" w:rsidP="0098027F">
      <w:r>
        <w:rPr>
          <w:noProof/>
        </w:rPr>
        <w:drawing>
          <wp:inline distT="0" distB="0" distL="0" distR="0" wp14:anchorId="6F77F391" wp14:editId="20793F02">
            <wp:extent cx="5759450" cy="3432175"/>
            <wp:effectExtent l="0" t="0" r="0" b="0"/>
            <wp:docPr id="395890200" name="Picture 1" descr="A table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890200" name="Picture 1" descr="A table of numbers and letters&#10;&#10;AI-generated content may be incorrect."/>
                    <pic:cNvPicPr/>
                  </pic:nvPicPr>
                  <pic:blipFill>
                    <a:blip r:embed="rId37"/>
                    <a:stretch>
                      <a:fillRect/>
                    </a:stretch>
                  </pic:blipFill>
                  <pic:spPr>
                    <a:xfrm>
                      <a:off x="0" y="0"/>
                      <a:ext cx="5759450" cy="3432175"/>
                    </a:xfrm>
                    <a:prstGeom prst="rect">
                      <a:avLst/>
                    </a:prstGeom>
                  </pic:spPr>
                </pic:pic>
              </a:graphicData>
            </a:graphic>
          </wp:inline>
        </w:drawing>
      </w:r>
    </w:p>
    <w:p w14:paraId="0DE89370" w14:textId="77777777" w:rsidR="00F36733" w:rsidRPr="00F36733" w:rsidRDefault="00F36733" w:rsidP="00F36733">
      <w:pPr>
        <w:pStyle w:val="TableDescription"/>
      </w:pPr>
      <w:r w:rsidRPr="00F36733">
        <w:t>Participants from PULSAR and STELLAR are included.</w:t>
      </w:r>
    </w:p>
    <w:p w14:paraId="2E6CDF1E" w14:textId="77777777" w:rsidR="00F36733" w:rsidRPr="00F36733" w:rsidRDefault="00F36733" w:rsidP="00F36733">
      <w:pPr>
        <w:pStyle w:val="TableDescription"/>
      </w:pPr>
      <w:r w:rsidRPr="00F36733">
        <w:t>All participants received standard of care in addition to receiving study drug.</w:t>
      </w:r>
    </w:p>
    <w:p w14:paraId="21B85AEA" w14:textId="77777777" w:rsidR="00F36733" w:rsidRPr="00F36733" w:rsidRDefault="00F36733" w:rsidP="00F36733">
      <w:pPr>
        <w:pStyle w:val="TableDescription"/>
      </w:pPr>
      <w:r w:rsidRPr="00F36733">
        <w:t>The Combined Sotatercept group from PULSAR includes participants treated with sotatercept during the first 6 months (Placebo-controlled Period).</w:t>
      </w:r>
    </w:p>
    <w:p w14:paraId="1FBEA346" w14:textId="69D8BDF0" w:rsidR="00F36733" w:rsidRPr="006473BC" w:rsidRDefault="00F36733" w:rsidP="006473BC">
      <w:pPr>
        <w:pStyle w:val="TableDescription"/>
      </w:pPr>
      <w:r w:rsidRPr="00F36733">
        <w:t xml:space="preserve">Adverse Events were coded using MedDRA Version 25.0. System organ class were ordered </w:t>
      </w:r>
      <w:proofErr w:type="gramStart"/>
      <w:r w:rsidRPr="00F36733">
        <w:t>alphabetically</w:t>
      </w:r>
      <w:proofErr w:type="gramEnd"/>
      <w:r w:rsidRPr="00F36733">
        <w:t xml:space="preserve"> and Preferred Terms were ordered by</w:t>
      </w:r>
      <w:r>
        <w:t xml:space="preserve"> </w:t>
      </w:r>
      <w:r w:rsidRPr="00F36733">
        <w:t xml:space="preserve">descending frequency based on overall </w:t>
      </w:r>
      <w:proofErr w:type="spellStart"/>
      <w:r w:rsidRPr="00F36733">
        <w:t>Sotatercept</w:t>
      </w:r>
      <w:proofErr w:type="spellEnd"/>
      <w:r w:rsidRPr="00F36733">
        <w:t>.</w:t>
      </w:r>
    </w:p>
    <w:p w14:paraId="7BEE0F95" w14:textId="46DD5372" w:rsidR="000C7BAB" w:rsidRDefault="000C7BAB" w:rsidP="000C7BAB">
      <w:r>
        <w:t>A</w:t>
      </w:r>
      <w:r w:rsidR="00B4112F">
        <w:t>dverse event</w:t>
      </w:r>
      <w:r>
        <w:t>s that were considered as related to study intervention were more frequent with sotatercept compared with placebo (43% v</w:t>
      </w:r>
      <w:r w:rsidR="00B4112F">
        <w:t>ersus</w:t>
      </w:r>
      <w:r>
        <w:t xml:space="preserve"> 26%). T</w:t>
      </w:r>
      <w:r w:rsidR="00B4112F">
        <w:t>reatment-emergent adverse events</w:t>
      </w:r>
      <w:r>
        <w:t xml:space="preserve"> in this category included headache, telangiectasia, diarrhoea and haemoglobin increased.</w:t>
      </w:r>
    </w:p>
    <w:p w14:paraId="76D8B1C0" w14:textId="56AE974A" w:rsidR="000C7BAB" w:rsidRDefault="000C7BAB" w:rsidP="000C7BAB">
      <w:r>
        <w:t xml:space="preserve">In Pool A there was </w:t>
      </w:r>
      <w:r w:rsidR="00B4112F">
        <w:t>one</w:t>
      </w:r>
      <w:r>
        <w:t xml:space="preserve"> death in the overall sotatercept group and 6 deaths in the overall placebo group. The death in the sotatercept group was due to cardiac arrest and was not considered related to the study intervention. As already noted, serious AEs were less frequent with sotatercept. No notable pattern of </w:t>
      </w:r>
      <w:r w:rsidR="00B4112F">
        <w:t>serious AEs (</w:t>
      </w:r>
      <w:r>
        <w:t>SAEs</w:t>
      </w:r>
      <w:r w:rsidR="00B4112F">
        <w:t>)</w:t>
      </w:r>
      <w:r>
        <w:t xml:space="preserve"> w</w:t>
      </w:r>
      <w:r w:rsidR="00B4112F">
        <w:t>as</w:t>
      </w:r>
      <w:r>
        <w:t xml:space="preserve"> observed in the overall sotatercept group. S</w:t>
      </w:r>
      <w:r w:rsidR="00B4112F">
        <w:t xml:space="preserve">erious </w:t>
      </w:r>
      <w:r>
        <w:t xml:space="preserve">AEs occurring in more than </w:t>
      </w:r>
      <w:r w:rsidR="00B4112F">
        <w:t>one</w:t>
      </w:r>
      <w:r>
        <w:t xml:space="preserve"> participant (all occurred in 2 participants) in the overall sotatercept group were atrial flutter, fall, haemoptysis, bronchitis and respiratory tract infection. The only severe AE reported in more than </w:t>
      </w:r>
      <w:r w:rsidR="00B4112F">
        <w:t>one</w:t>
      </w:r>
      <w:r>
        <w:t xml:space="preserve"> participant in the overall sotatercept group was haemoptysis (reported in 2 participants).</w:t>
      </w:r>
    </w:p>
    <w:p w14:paraId="03698F0D" w14:textId="77777777" w:rsidR="000C7BAB" w:rsidRPr="00F04E98" w:rsidRDefault="000C7BAB" w:rsidP="009860EE">
      <w:pPr>
        <w:pStyle w:val="Heading5"/>
      </w:pPr>
      <w:r w:rsidRPr="00F04E98">
        <w:t>Pool B</w:t>
      </w:r>
      <w:r>
        <w:t xml:space="preserve"> safety results</w:t>
      </w:r>
    </w:p>
    <w:p w14:paraId="03A197B4" w14:textId="5393924D" w:rsidR="000C7BAB" w:rsidRDefault="000C7BAB" w:rsidP="000C7BAB">
      <w:r>
        <w:t>The Pool B overall sotatercept group included 431</w:t>
      </w:r>
      <w:r w:rsidR="00B4112F">
        <w:t> </w:t>
      </w:r>
      <w:r>
        <w:t>participants. The median duration of exposure was 657</w:t>
      </w:r>
      <w:r w:rsidR="00B4112F">
        <w:t> </w:t>
      </w:r>
      <w:r>
        <w:t>days (range 21</w:t>
      </w:r>
      <w:r w:rsidR="00B4112F">
        <w:t xml:space="preserve"> </w:t>
      </w:r>
      <w:r>
        <w:t>to 1973</w:t>
      </w:r>
      <w:r w:rsidR="00B4112F">
        <w:t xml:space="preserve"> days</w:t>
      </w:r>
      <w:r>
        <w:t xml:space="preserve">), representing 923.7 person-years of exposure. The median number of doses received was 30 (range 1 </w:t>
      </w:r>
      <w:r w:rsidR="006950C5">
        <w:t>to</w:t>
      </w:r>
      <w:r>
        <w:t xml:space="preserve"> 93</w:t>
      </w:r>
      <w:r w:rsidR="006950C5">
        <w:t xml:space="preserve"> doses</w:t>
      </w:r>
      <w:r>
        <w:t>). A total of 343</w:t>
      </w:r>
      <w:r w:rsidR="006950C5">
        <w:t> </w:t>
      </w:r>
      <w:r>
        <w:t xml:space="preserve">participants were exposed to sotatercept for at least </w:t>
      </w:r>
      <w:r w:rsidR="006950C5">
        <w:t>one</w:t>
      </w:r>
      <w:r>
        <w:t xml:space="preserve"> year.</w:t>
      </w:r>
    </w:p>
    <w:p w14:paraId="69458DC9" w14:textId="7970357D" w:rsidR="000C7BAB" w:rsidRDefault="000C7BAB" w:rsidP="000C7BAB">
      <w:r>
        <w:t>A very high proportion of participants completed their parent studies and were rolled over into SOTERIA (</w:t>
      </w:r>
      <w:r w:rsidR="008C7C56">
        <w:t>see table below</w:t>
      </w:r>
      <w:r>
        <w:t xml:space="preserve">). At the time of data cutoff 87.7% of Pool B participants were continuing with sotatercept treatment. Of the 12.3% (n=53) of participants discontinuing the study, the </w:t>
      </w:r>
      <w:r w:rsidR="00BA2026">
        <w:t>2</w:t>
      </w:r>
      <w:r>
        <w:t xml:space="preserve"> common reasons were </w:t>
      </w:r>
      <w:r w:rsidR="006950C5">
        <w:t>‘</w:t>
      </w:r>
      <w:r>
        <w:t>adverse event</w:t>
      </w:r>
      <w:r w:rsidR="006950C5">
        <w:t>’</w:t>
      </w:r>
      <w:r>
        <w:t xml:space="preserve"> (4.6%) and </w:t>
      </w:r>
      <w:r w:rsidR="006950C5">
        <w:t>‘</w:t>
      </w:r>
      <w:r>
        <w:t>death</w:t>
      </w:r>
      <w:r w:rsidR="006950C5">
        <w:t>’</w:t>
      </w:r>
      <w:r>
        <w:t xml:space="preserve"> (3.2%).</w:t>
      </w:r>
    </w:p>
    <w:p w14:paraId="1FD1900F" w14:textId="21942213" w:rsidR="00497230" w:rsidRDefault="00A10655" w:rsidP="00A10655">
      <w:pPr>
        <w:pStyle w:val="TableTitle"/>
      </w:pPr>
      <w:r>
        <w:lastRenderedPageBreak/>
        <w:t xml:space="preserve">Table </w:t>
      </w:r>
      <w:r>
        <w:fldChar w:fldCharType="begin"/>
      </w:r>
      <w:r>
        <w:instrText xml:space="preserve"> SEQ Table \* ARABIC </w:instrText>
      </w:r>
      <w:r>
        <w:fldChar w:fldCharType="separate"/>
      </w:r>
      <w:r w:rsidR="00705ED7">
        <w:rPr>
          <w:noProof/>
        </w:rPr>
        <w:t>8</w:t>
      </w:r>
      <w:r>
        <w:fldChar w:fldCharType="end"/>
      </w:r>
      <w:r>
        <w:t>: Pool B Safety update report 2 Patient disposition</w:t>
      </w:r>
    </w:p>
    <w:p w14:paraId="4B6CC3DF" w14:textId="3B316066" w:rsidR="00497230" w:rsidRDefault="00F04E55" w:rsidP="0098027F">
      <w:r>
        <w:rPr>
          <w:noProof/>
        </w:rPr>
        <w:drawing>
          <wp:inline distT="0" distB="0" distL="0" distR="0" wp14:anchorId="704C0BFF" wp14:editId="542E8182">
            <wp:extent cx="5759450" cy="4187825"/>
            <wp:effectExtent l="0" t="0" r="0" b="3175"/>
            <wp:docPr id="684551216" name="Picture 1" descr="A white shee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551216" name="Picture 1" descr="A white sheet with black text&#10;&#10;AI-generated content may be incorrect."/>
                    <pic:cNvPicPr/>
                  </pic:nvPicPr>
                  <pic:blipFill>
                    <a:blip r:embed="rId38"/>
                    <a:stretch>
                      <a:fillRect/>
                    </a:stretch>
                  </pic:blipFill>
                  <pic:spPr>
                    <a:xfrm>
                      <a:off x="0" y="0"/>
                      <a:ext cx="5759450" cy="4187825"/>
                    </a:xfrm>
                    <a:prstGeom prst="rect">
                      <a:avLst/>
                    </a:prstGeom>
                  </pic:spPr>
                </pic:pic>
              </a:graphicData>
            </a:graphic>
          </wp:inline>
        </w:drawing>
      </w:r>
    </w:p>
    <w:p w14:paraId="7DA6AAC1" w14:textId="522D68CB" w:rsidR="00F04E55" w:rsidRPr="006473BC" w:rsidRDefault="00F04E55" w:rsidP="006473BC">
      <w:pPr>
        <w:pStyle w:val="TableDescription"/>
      </w:pPr>
      <w:r w:rsidRPr="00F04E55">
        <w:t>N=total number of participants randomi</w:t>
      </w:r>
      <w:r w:rsidR="00AD1ADE">
        <w:t>s</w:t>
      </w:r>
      <w:r w:rsidRPr="00F04E55">
        <w:t>ed. n=number of participants in the category. Percentages are calculated as</w:t>
      </w:r>
      <w:r>
        <w:t xml:space="preserve"> </w:t>
      </w:r>
      <w:r w:rsidRPr="00F04E55">
        <w:t>(n/</w:t>
      </w:r>
      <w:proofErr w:type="gramStart"/>
      <w:r w:rsidRPr="00F04E55">
        <w:t>N)*</w:t>
      </w:r>
      <w:proofErr w:type="gramEnd"/>
      <w:r w:rsidRPr="00F04E55">
        <w:t>100, except where noted.</w:t>
      </w:r>
    </w:p>
    <w:p w14:paraId="6CEF096B" w14:textId="0CA7F5F7" w:rsidR="00F04E55" w:rsidRPr="00F04E55" w:rsidRDefault="00F04E55" w:rsidP="00F04E55">
      <w:pPr>
        <w:pStyle w:val="TableDescription"/>
      </w:pPr>
      <w:r w:rsidRPr="00F04E55">
        <w:t>Note: Column SUR1 Cumulative includes completed studies PULSAR, SPECTRA, STELLAR and the ongoing SOTERIA</w:t>
      </w:r>
      <w:r>
        <w:t xml:space="preserve"> </w:t>
      </w:r>
      <w:r w:rsidRPr="00F04E55">
        <w:t>study with data cut of 6</w:t>
      </w:r>
      <w:r>
        <w:t xml:space="preserve"> December </w:t>
      </w:r>
      <w:r w:rsidRPr="00F04E55">
        <w:t>2022. Column SUR2 Cumulative includes the same set of completed studies as SUR1</w:t>
      </w:r>
      <w:r>
        <w:t xml:space="preserve"> </w:t>
      </w:r>
      <w:r w:rsidRPr="00F04E55">
        <w:t>Cumulative but with new data cut from SOTERIA of 8</w:t>
      </w:r>
      <w:r>
        <w:t xml:space="preserve"> November </w:t>
      </w:r>
      <w:r w:rsidRPr="00F04E55">
        <w:t>2023.</w:t>
      </w:r>
    </w:p>
    <w:p w14:paraId="29494EE6" w14:textId="4DE097FF" w:rsidR="00F04E55" w:rsidRPr="00F04E55" w:rsidRDefault="00F04E55" w:rsidP="00F04E55">
      <w:pPr>
        <w:pStyle w:val="TableDescription"/>
      </w:pPr>
      <w:r w:rsidRPr="00F04E55">
        <w:t>Participants from PULSAR, SPECTRA, STELLAR and SOTERIA are included. SOTERIA with data cut as of 8</w:t>
      </w:r>
      <w:r>
        <w:t xml:space="preserve"> </w:t>
      </w:r>
      <w:r w:rsidRPr="00F04E55">
        <w:t>Nov</w:t>
      </w:r>
      <w:r>
        <w:t xml:space="preserve">ember </w:t>
      </w:r>
      <w:r w:rsidRPr="00F04E55">
        <w:t>2023.</w:t>
      </w:r>
    </w:p>
    <w:p w14:paraId="7C649F4C" w14:textId="77777777" w:rsidR="00F04E55" w:rsidRPr="00F04E55" w:rsidRDefault="00F04E55" w:rsidP="00F04E55">
      <w:pPr>
        <w:pStyle w:val="TableDescription"/>
      </w:pPr>
      <w:r w:rsidRPr="00F04E55">
        <w:t>Other studies are completed studies.</w:t>
      </w:r>
    </w:p>
    <w:p w14:paraId="3B402D55" w14:textId="77777777" w:rsidR="00F04E55" w:rsidRPr="00F04E55" w:rsidRDefault="00F04E55" w:rsidP="00F04E55">
      <w:pPr>
        <w:pStyle w:val="TableDescription"/>
      </w:pPr>
      <w:r w:rsidRPr="00F04E55">
        <w:t>[1] Overall Sotatercept includes all participants who were treated with at least one dose of Sotatercept.</w:t>
      </w:r>
    </w:p>
    <w:p w14:paraId="36FE526B" w14:textId="6F384ED5" w:rsidR="00F04E55" w:rsidRPr="00F04E55" w:rsidRDefault="00F04E55" w:rsidP="00F04E55">
      <w:pPr>
        <w:pStyle w:val="TableDescription"/>
      </w:pPr>
      <w:r w:rsidRPr="00F04E55">
        <w:t>[2] A participant that completes the study (STELLAR, PULSAR, or SPECTRA) is said to have completed the requirements</w:t>
      </w:r>
      <w:r>
        <w:t xml:space="preserve"> </w:t>
      </w:r>
      <w:r w:rsidRPr="00F04E55">
        <w:t>of the study per protocol and is eligible to rollover to SOTERIA provided the participant consents to such a rollover.</w:t>
      </w:r>
    </w:p>
    <w:p w14:paraId="58938004" w14:textId="396A222C" w:rsidR="00F04E55" w:rsidRPr="00F04E55" w:rsidRDefault="00F04E55" w:rsidP="00F04E55">
      <w:pPr>
        <w:pStyle w:val="TableDescription"/>
      </w:pPr>
      <w:r w:rsidRPr="00F04E55">
        <w:t xml:space="preserve">[3] Status indicates overall treatment or study status, that is, if a participant has rolled over to </w:t>
      </w:r>
      <w:proofErr w:type="gramStart"/>
      <w:r w:rsidRPr="00F04E55">
        <w:t>SOTERIA</w:t>
      </w:r>
      <w:proofErr w:type="gramEnd"/>
      <w:r w:rsidRPr="00F04E55">
        <w:t xml:space="preserve"> then the status is</w:t>
      </w:r>
      <w:r>
        <w:t xml:space="preserve"> </w:t>
      </w:r>
      <w:r w:rsidRPr="00F04E55">
        <w:t xml:space="preserve">from SOTERIA, if the participant has not rolled over to </w:t>
      </w:r>
      <w:proofErr w:type="gramStart"/>
      <w:r w:rsidRPr="00F04E55">
        <w:t>SOTERIA</w:t>
      </w:r>
      <w:proofErr w:type="gramEnd"/>
      <w:r w:rsidRPr="00F04E55">
        <w:t xml:space="preserve"> then the status is from the parent study.</w:t>
      </w:r>
    </w:p>
    <w:p w14:paraId="0B23D52C" w14:textId="2DA30F2B" w:rsidR="00F04E55" w:rsidRDefault="00F04E55" w:rsidP="00F04E55">
      <w:pPr>
        <w:pStyle w:val="TableDescription"/>
      </w:pPr>
      <w:r w:rsidRPr="00F04E55">
        <w:t>[4] Participants may have only one primary reason for discontinuation and withdrawal.</w:t>
      </w:r>
    </w:p>
    <w:p w14:paraId="78F3CDF4" w14:textId="2F8A547A" w:rsidR="00C76414" w:rsidRDefault="00C76414" w:rsidP="00C76414">
      <w:r>
        <w:t>Given the different durations of exposure for participants in Pool B it is important to consider exposure adjusted measures of AE frequency. The integrated safety analysis utilised TAR-EAIR (time-at-risk exposure-adjusted incidence rate)</w:t>
      </w:r>
      <w:r w:rsidR="006950C5">
        <w:t>.</w:t>
      </w:r>
    </w:p>
    <w:p w14:paraId="3C30F11E" w14:textId="0DD8118B" w:rsidR="00C76414" w:rsidRDefault="00C76414" w:rsidP="00C76414">
      <w:r>
        <w:t>Nealy all participants (96.3%) experience a TEAE, including 35.5% with a severe TEAE and 40.1% with a serious TEAE (</w:t>
      </w:r>
      <w:r w:rsidR="00A10655">
        <w:t>see table below</w:t>
      </w:r>
      <w:r>
        <w:t>). Only 4.6% experienced a serious TEAE that was considered as related to study treatment. Overall</w:t>
      </w:r>
      <w:r w:rsidR="00505F6A">
        <w:t>,</w:t>
      </w:r>
      <w:r>
        <w:t xml:space="preserve"> 16</w:t>
      </w:r>
      <w:r w:rsidR="006950C5">
        <w:t> </w:t>
      </w:r>
      <w:r>
        <w:t>participants (3.7%) had a TEAE that led to death.</w:t>
      </w:r>
    </w:p>
    <w:p w14:paraId="02CDE9B0" w14:textId="27876CDC" w:rsidR="00497230" w:rsidRDefault="00AF5C65" w:rsidP="00AF5C65">
      <w:pPr>
        <w:pStyle w:val="TableTitle"/>
      </w:pPr>
      <w:r>
        <w:lastRenderedPageBreak/>
        <w:t xml:space="preserve">Table </w:t>
      </w:r>
      <w:r>
        <w:fldChar w:fldCharType="begin"/>
      </w:r>
      <w:r>
        <w:instrText xml:space="preserve"> SEQ Table \* ARABIC </w:instrText>
      </w:r>
      <w:r>
        <w:fldChar w:fldCharType="separate"/>
      </w:r>
      <w:r w:rsidR="00705ED7">
        <w:rPr>
          <w:noProof/>
        </w:rPr>
        <w:t>9</w:t>
      </w:r>
      <w:r>
        <w:fldChar w:fldCharType="end"/>
      </w:r>
      <w:r>
        <w:t>: Pool B Safety update report 2 Summary of adverse events</w:t>
      </w:r>
    </w:p>
    <w:p w14:paraId="40836E4C" w14:textId="48D21FA2" w:rsidR="00A10655" w:rsidRDefault="00A10655" w:rsidP="0098027F">
      <w:r>
        <w:rPr>
          <w:noProof/>
        </w:rPr>
        <w:drawing>
          <wp:inline distT="0" distB="0" distL="0" distR="0" wp14:anchorId="4014560E" wp14:editId="64734051">
            <wp:extent cx="5759450" cy="3870325"/>
            <wp:effectExtent l="0" t="0" r="0" b="0"/>
            <wp:docPr id="1578667547" name="Picture 1" descr="A table of information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67547" name="Picture 1" descr="A table of information with numbers and text&#10;&#10;AI-generated content may be incorrect."/>
                    <pic:cNvPicPr/>
                  </pic:nvPicPr>
                  <pic:blipFill>
                    <a:blip r:embed="rId39"/>
                    <a:stretch>
                      <a:fillRect/>
                    </a:stretch>
                  </pic:blipFill>
                  <pic:spPr>
                    <a:xfrm>
                      <a:off x="0" y="0"/>
                      <a:ext cx="5759450" cy="3870325"/>
                    </a:xfrm>
                    <a:prstGeom prst="rect">
                      <a:avLst/>
                    </a:prstGeom>
                  </pic:spPr>
                </pic:pic>
              </a:graphicData>
            </a:graphic>
          </wp:inline>
        </w:drawing>
      </w:r>
    </w:p>
    <w:p w14:paraId="0A4E60F4" w14:textId="1AF54E98" w:rsidR="00A10655" w:rsidRPr="00A10655" w:rsidRDefault="00A10655" w:rsidP="00A10655">
      <w:pPr>
        <w:pStyle w:val="TableDescription"/>
      </w:pPr>
      <w:r w:rsidRPr="00A10655">
        <w:t>N=total number of participants randomi</w:t>
      </w:r>
      <w:r w:rsidR="00D03033">
        <w:t>s</w:t>
      </w:r>
      <w:r w:rsidRPr="00A10655">
        <w:t>ed. n=number of participants in the category. Percentages are calculated as</w:t>
      </w:r>
      <w:r>
        <w:t xml:space="preserve"> </w:t>
      </w:r>
      <w:r w:rsidRPr="00A10655">
        <w:t>(n/</w:t>
      </w:r>
      <w:proofErr w:type="gramStart"/>
      <w:r w:rsidRPr="00A10655">
        <w:t>N)*</w:t>
      </w:r>
      <w:proofErr w:type="gramEnd"/>
      <w:r w:rsidRPr="00A10655">
        <w:t>100, except where noted.</w:t>
      </w:r>
    </w:p>
    <w:p w14:paraId="4C400F9F" w14:textId="2FD84189" w:rsidR="00A10655" w:rsidRPr="00A10655" w:rsidRDefault="00A10655" w:rsidP="00A10655">
      <w:pPr>
        <w:pStyle w:val="TableDescription"/>
      </w:pPr>
      <w:r w:rsidRPr="00A10655">
        <w:t>Note: Column SUR1 Cumulative includes completed studies PULSAR, SPECTRA, STELLAR and the ongoing SOTERIA</w:t>
      </w:r>
      <w:r>
        <w:t xml:space="preserve"> </w:t>
      </w:r>
      <w:r w:rsidRPr="00A10655">
        <w:t>study with data cut of 6</w:t>
      </w:r>
      <w:r>
        <w:t xml:space="preserve"> </w:t>
      </w:r>
      <w:r w:rsidRPr="00A10655">
        <w:t>Dec</w:t>
      </w:r>
      <w:r>
        <w:t xml:space="preserve">ember </w:t>
      </w:r>
      <w:r w:rsidRPr="00A10655">
        <w:t>2022. Column SUR2 Cumulative includes the same set of completed studies as SUR1</w:t>
      </w:r>
      <w:r>
        <w:t xml:space="preserve"> </w:t>
      </w:r>
      <w:r w:rsidRPr="00A10655">
        <w:t>Cumulative but with new data cut from SOTERIA of 8</w:t>
      </w:r>
      <w:r>
        <w:t xml:space="preserve"> </w:t>
      </w:r>
      <w:r w:rsidRPr="00A10655">
        <w:t>Nov</w:t>
      </w:r>
      <w:r>
        <w:t xml:space="preserve">ember </w:t>
      </w:r>
      <w:r w:rsidRPr="00A10655">
        <w:t>2023.</w:t>
      </w:r>
    </w:p>
    <w:p w14:paraId="17E455E3" w14:textId="32914D6A" w:rsidR="00505F6A" w:rsidRDefault="00A10655" w:rsidP="006473BC">
      <w:pPr>
        <w:pStyle w:val="TableDescription"/>
      </w:pPr>
      <w:r w:rsidRPr="00A10655">
        <w:t xml:space="preserve">[1] Overall Sotatercept includes all participants who were treated with at least one dose of </w:t>
      </w:r>
      <w:proofErr w:type="spellStart"/>
      <w:r w:rsidRPr="00A10655">
        <w:t>Sotatercept</w:t>
      </w:r>
      <w:proofErr w:type="spellEnd"/>
      <w:r w:rsidRPr="00A10655">
        <w:t>.</w:t>
      </w:r>
    </w:p>
    <w:p w14:paraId="72117DC4" w14:textId="303261F2" w:rsidR="00C52AB2" w:rsidRDefault="00C52AB2" w:rsidP="00C52AB2">
      <w:r>
        <w:t>Serious AEs occurring in 5 or more participants were thrombocytopenia (5), anaemia (5), atrial flutter (5), atrial fibrillation (5), gastrointestinal haemorrhage (7), pneumonia (17), sepsis (6), acute kidney injury (7), haemoptysis (8), pulmonary arterial hypertension (8) and dyspnoea (6).</w:t>
      </w:r>
    </w:p>
    <w:p w14:paraId="2412BD05" w14:textId="77777777" w:rsidR="00C52AB2" w:rsidRDefault="00C52AB2" w:rsidP="00C52AB2">
      <w:r>
        <w:t xml:space="preserve">Of the deaths, the 2 most common system organ classes were </w:t>
      </w:r>
      <w:r>
        <w:rPr>
          <w:i/>
          <w:iCs/>
        </w:rPr>
        <w:t xml:space="preserve">cardiac disorders </w:t>
      </w:r>
      <w:r>
        <w:t xml:space="preserve">(4) and </w:t>
      </w:r>
      <w:r>
        <w:rPr>
          <w:i/>
          <w:iCs/>
        </w:rPr>
        <w:t>infections and infestations</w:t>
      </w:r>
      <w:r>
        <w:t xml:space="preserve"> (5). Individual causes were cardiac arrest (2), acute myocardial infarction (1), right ventricular failure (1), gastrointestinal haemorrhage (2), multi-organ dysfunction (1), pneumonia (2), brain abscess (1), bronchopulmonary aspergillosis (1), sepsis (1), adenocarcinoma of colon (1), malignant brain neoplasm (1), intracranial haemorrhage (1) and pulmonary hypertension (1).</w:t>
      </w:r>
    </w:p>
    <w:p w14:paraId="7DEA232F" w14:textId="19F05C6D" w:rsidR="00C52AB2" w:rsidRDefault="00C52AB2" w:rsidP="00C52AB2">
      <w:r>
        <w:t>A</w:t>
      </w:r>
      <w:r w:rsidR="006950C5">
        <w:t>dverse events</w:t>
      </w:r>
      <w:r>
        <w:t xml:space="preserve"> occurring in at least 10% of participants exposed to sotatercept were (in decreasing order of frequency) epistaxis, COVID-19, headache, telangiectasia, diarrhoea, nausea, fatigue, dizziness, </w:t>
      </w:r>
      <w:r w:rsidR="006950C5">
        <w:t xml:space="preserve">peripheral </w:t>
      </w:r>
      <w:r>
        <w:t xml:space="preserve">oedema, nasopharyngitis, </w:t>
      </w:r>
      <w:r w:rsidR="006950C5">
        <w:t xml:space="preserve">increased </w:t>
      </w:r>
      <w:r>
        <w:t>haemoglobin, upper respiratory tract infection, arthralgia, hypokalaemia, thrombocytopenia, iron deficiency, urinary tract infection, dyspnoea, pain in extremity, vomiting, respiratory tract infection and sinusitis (</w:t>
      </w:r>
      <w:r w:rsidR="00532A08">
        <w:t>see table below</w:t>
      </w:r>
      <w:r>
        <w:t>).</w:t>
      </w:r>
    </w:p>
    <w:p w14:paraId="1A54AF06" w14:textId="74207CD0" w:rsidR="00C52AB2" w:rsidRDefault="00C52AB2" w:rsidP="00C52AB2">
      <w:r>
        <w:t xml:space="preserve">Pool B provided data about dose reductions, which is highly relevant to use of sotatercept in clinical practice. </w:t>
      </w:r>
      <w:r w:rsidR="00085769">
        <w:t>Overall,</w:t>
      </w:r>
      <w:r>
        <w:t xml:space="preserve"> 12.5% of participants experienced a dose reduction. The most common reasons for dose reductions were polycythaemia (1.9% of Pool B), thrombocytopenia (1.2%), </w:t>
      </w:r>
      <w:r w:rsidR="006950C5">
        <w:t xml:space="preserve">increased </w:t>
      </w:r>
      <w:r>
        <w:t>haemoglobin (</w:t>
      </w:r>
      <w:r w:rsidR="006950C5">
        <w:t xml:space="preserve">that is, </w:t>
      </w:r>
      <w:r>
        <w:t xml:space="preserve">listed as an abnormal investigation rather than clinical TEAE, </w:t>
      </w:r>
      <w:r>
        <w:lastRenderedPageBreak/>
        <w:t xml:space="preserve">1.4%), </w:t>
      </w:r>
      <w:r w:rsidR="006950C5">
        <w:t xml:space="preserve">decreased </w:t>
      </w:r>
      <w:r>
        <w:t>platelet count (0.7%), headache (0.7%), epistaxis (1.9%) and telangiectasia (3%).</w:t>
      </w:r>
    </w:p>
    <w:p w14:paraId="579DA5EB" w14:textId="555FCEAD" w:rsidR="00497230" w:rsidRPr="006473BC" w:rsidRDefault="00147D18" w:rsidP="006473BC">
      <w:pPr>
        <w:pStyle w:val="TableTitle"/>
      </w:pPr>
      <w:r>
        <w:t xml:space="preserve">Table </w:t>
      </w:r>
      <w:r>
        <w:fldChar w:fldCharType="begin"/>
      </w:r>
      <w:r>
        <w:instrText xml:space="preserve"> SEQ Table \* ARABIC </w:instrText>
      </w:r>
      <w:r>
        <w:fldChar w:fldCharType="separate"/>
      </w:r>
      <w:r w:rsidR="00705ED7">
        <w:rPr>
          <w:noProof/>
        </w:rPr>
        <w:t>10</w:t>
      </w:r>
      <w:r>
        <w:fldChar w:fldCharType="end"/>
      </w:r>
      <w:r>
        <w:t xml:space="preserve">: Pool B Safety update report 2 Treatment-emergent adverse events </w:t>
      </w:r>
      <w:r w:rsidR="005E76AA">
        <w:t xml:space="preserve">experienced by </w:t>
      </w:r>
      <w:r>
        <w:t>at least 10%</w:t>
      </w:r>
    </w:p>
    <w:p w14:paraId="66D6A138" w14:textId="4140EE2C" w:rsidR="00497230" w:rsidRDefault="00147D18" w:rsidP="0098027F">
      <w:r>
        <w:rPr>
          <w:noProof/>
        </w:rPr>
        <w:drawing>
          <wp:inline distT="0" distB="0" distL="0" distR="0" wp14:anchorId="72FDD3F7" wp14:editId="6B29AB1F">
            <wp:extent cx="5759450" cy="3877310"/>
            <wp:effectExtent l="0" t="0" r="0" b="8890"/>
            <wp:docPr id="1894824821" name="Picture 1" descr="A table of medical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824821" name="Picture 1" descr="A table of medical information&#10;&#10;AI-generated content may be incorrect."/>
                    <pic:cNvPicPr/>
                  </pic:nvPicPr>
                  <pic:blipFill>
                    <a:blip r:embed="rId40"/>
                    <a:stretch>
                      <a:fillRect/>
                    </a:stretch>
                  </pic:blipFill>
                  <pic:spPr>
                    <a:xfrm>
                      <a:off x="0" y="0"/>
                      <a:ext cx="5759450" cy="3877310"/>
                    </a:xfrm>
                    <a:prstGeom prst="rect">
                      <a:avLst/>
                    </a:prstGeom>
                  </pic:spPr>
                </pic:pic>
              </a:graphicData>
            </a:graphic>
          </wp:inline>
        </w:drawing>
      </w:r>
    </w:p>
    <w:p w14:paraId="13B25615" w14:textId="33796146" w:rsidR="00147D18" w:rsidRPr="00147D18" w:rsidRDefault="00147D18" w:rsidP="00147D18">
      <w:pPr>
        <w:pStyle w:val="TableDescription"/>
      </w:pPr>
      <w:r w:rsidRPr="00147D18">
        <w:t>N=total number of participants randomi</w:t>
      </w:r>
      <w:r w:rsidR="00D03033">
        <w:t>s</w:t>
      </w:r>
      <w:r w:rsidRPr="00147D18">
        <w:t>ed. n=number of participants in the category. Percentages are calculated as</w:t>
      </w:r>
      <w:r>
        <w:t xml:space="preserve"> </w:t>
      </w:r>
      <w:r w:rsidRPr="00147D18">
        <w:t>(n/</w:t>
      </w:r>
      <w:proofErr w:type="gramStart"/>
      <w:r w:rsidRPr="00147D18">
        <w:t>N)*</w:t>
      </w:r>
      <w:proofErr w:type="gramEnd"/>
      <w:r w:rsidRPr="00147D18">
        <w:t>100, except where noted.</w:t>
      </w:r>
    </w:p>
    <w:p w14:paraId="44929546" w14:textId="566064EE" w:rsidR="00147D18" w:rsidRPr="00147D18" w:rsidRDefault="00147D18" w:rsidP="00147D18">
      <w:pPr>
        <w:pStyle w:val="TableDescription"/>
      </w:pPr>
      <w:r w:rsidRPr="00147D18">
        <w:t>Note: Column SUR1 Cumulative includes completed studies PULSAR, SPECTRA, STELLAR and the ongoing SOTERIA</w:t>
      </w:r>
      <w:r>
        <w:t xml:space="preserve"> </w:t>
      </w:r>
      <w:r w:rsidRPr="00147D18">
        <w:t>study with data cut of 6</w:t>
      </w:r>
      <w:r>
        <w:t xml:space="preserve"> </w:t>
      </w:r>
      <w:r w:rsidRPr="00147D18">
        <w:t>Dec</w:t>
      </w:r>
      <w:r>
        <w:t xml:space="preserve">ember </w:t>
      </w:r>
      <w:r w:rsidRPr="00147D18">
        <w:t>2022. Column SUR2 Cumulative includes the same set of completed studies as SUR1</w:t>
      </w:r>
      <w:r>
        <w:t xml:space="preserve"> </w:t>
      </w:r>
      <w:r w:rsidRPr="00147D18">
        <w:t>Cumulative but with new data cut from SOTERIA of 8</w:t>
      </w:r>
      <w:r>
        <w:t xml:space="preserve"> </w:t>
      </w:r>
      <w:r w:rsidRPr="00147D18">
        <w:t>Nov</w:t>
      </w:r>
      <w:r>
        <w:t xml:space="preserve">ember </w:t>
      </w:r>
      <w:r w:rsidRPr="00147D18">
        <w:t>2023.</w:t>
      </w:r>
    </w:p>
    <w:p w14:paraId="4675871B" w14:textId="0066116F" w:rsidR="00147D18" w:rsidRPr="00147D18" w:rsidRDefault="00147D18" w:rsidP="00147D18">
      <w:pPr>
        <w:pStyle w:val="TableDescription"/>
      </w:pPr>
      <w:r w:rsidRPr="00147D18">
        <w:t xml:space="preserve">[1] Overall </w:t>
      </w:r>
      <w:r w:rsidR="006D08C3">
        <w:t>s</w:t>
      </w:r>
      <w:r w:rsidRPr="00147D18">
        <w:t xml:space="preserve">otatercept includes all participants who were treated with at least one dose of </w:t>
      </w:r>
      <w:r w:rsidR="006D08C3">
        <w:t>s</w:t>
      </w:r>
      <w:r w:rsidRPr="00147D18">
        <w:t>otatercept.</w:t>
      </w:r>
    </w:p>
    <w:p w14:paraId="0963AD58" w14:textId="59CA5353" w:rsidR="00147D18" w:rsidRDefault="00147D18" w:rsidP="00147D18">
      <w:pPr>
        <w:pStyle w:val="TableDescription"/>
      </w:pPr>
      <w:r w:rsidRPr="00147D18">
        <w:t>Adverse Events were coded using MedDRA Version 25.0. Preferred Terms were ordered by descending frequency based on</w:t>
      </w:r>
      <w:r>
        <w:t xml:space="preserve"> </w:t>
      </w:r>
      <w:r w:rsidRPr="00147D18">
        <w:t xml:space="preserve">overall </w:t>
      </w:r>
      <w:r w:rsidR="006D08C3">
        <w:t>s</w:t>
      </w:r>
      <w:r w:rsidRPr="00147D18">
        <w:t>otatercept for the SUR2 Cumulative column.</w:t>
      </w:r>
    </w:p>
    <w:p w14:paraId="03E93616" w14:textId="32AC2300" w:rsidR="000A3FCB" w:rsidRPr="007667A8" w:rsidRDefault="000A3FCB" w:rsidP="000A3FCB">
      <w:pPr>
        <w:pStyle w:val="Heading5"/>
      </w:pPr>
      <w:r w:rsidRPr="007667A8">
        <w:t>A</w:t>
      </w:r>
      <w:r>
        <w:t>dverse event</w:t>
      </w:r>
      <w:r w:rsidRPr="007667A8">
        <w:t xml:space="preserve"> of special interest</w:t>
      </w:r>
      <w:r>
        <w:t xml:space="preserve"> - telangiectasia</w:t>
      </w:r>
    </w:p>
    <w:p w14:paraId="24CC8A5D" w14:textId="284A1682" w:rsidR="000A3FCB" w:rsidRDefault="000A3FCB" w:rsidP="000A3FCB">
      <w:r>
        <w:t>As no events of telangiectasia were reported during PULSAR, Pool A and STELLAR (double</w:t>
      </w:r>
      <w:r w:rsidR="00020911">
        <w:t>-</w:t>
      </w:r>
      <w:r>
        <w:t>blind placebo</w:t>
      </w:r>
      <w:r w:rsidR="00505F6A">
        <w:t>-</w:t>
      </w:r>
      <w:r>
        <w:t>controlled period) results were the same. The incidence of telangiectasia was higher in the sotatercept group compared to the placebo group (10.4% v</w:t>
      </w:r>
      <w:r w:rsidR="006950C5">
        <w:t>ersus</w:t>
      </w:r>
      <w:r>
        <w:t xml:space="preserve"> 3.1%). The median time to onset was 10.6</w:t>
      </w:r>
      <w:r w:rsidR="006950C5">
        <w:t> </w:t>
      </w:r>
      <w:r>
        <w:t>weeks in the sotatercept group.</w:t>
      </w:r>
    </w:p>
    <w:p w14:paraId="55E4D73E" w14:textId="0D662105" w:rsidR="000A3FCB" w:rsidRDefault="000A3FCB" w:rsidP="000A3FCB">
      <w:r>
        <w:t>The TAR-EAIR in SUR2 Cumulative Pool B was 15.6 per 100</w:t>
      </w:r>
      <w:r w:rsidR="006950C5">
        <w:t> </w:t>
      </w:r>
      <w:r>
        <w:t>patient-years at risk. None of the events were serious and 2 led to discontinuation of study treatment. Of the participants with telangiectasia, 52.5% also had epistaxis and 4.2% a serious bleeding event (</w:t>
      </w:r>
      <w:r w:rsidR="006950C5">
        <w:t xml:space="preserve">that is, </w:t>
      </w:r>
      <w:r>
        <w:t>higher than the rates of these events in the overall group).</w:t>
      </w:r>
    </w:p>
    <w:p w14:paraId="47224DF9" w14:textId="5DFCA6FA" w:rsidR="000A3FCB" w:rsidRPr="007667A8" w:rsidRDefault="000A3FCB" w:rsidP="000A3FCB">
      <w:pPr>
        <w:pStyle w:val="Heading5"/>
      </w:pPr>
      <w:r w:rsidRPr="007667A8">
        <w:t>A</w:t>
      </w:r>
      <w:r>
        <w:t>dverse events</w:t>
      </w:r>
      <w:r w:rsidRPr="007667A8">
        <w:t xml:space="preserve"> of interest</w:t>
      </w:r>
    </w:p>
    <w:p w14:paraId="0A162B3E" w14:textId="74EA3ACE" w:rsidR="000A3FCB" w:rsidRDefault="000A3FCB" w:rsidP="000A3FCB">
      <w:r>
        <w:t xml:space="preserve">Although the </w:t>
      </w:r>
      <w:r w:rsidR="006950C5">
        <w:t>P</w:t>
      </w:r>
      <w:r>
        <w:t xml:space="preserve">hase </w:t>
      </w:r>
      <w:r w:rsidR="006950C5">
        <w:t>II</w:t>
      </w:r>
      <w:r>
        <w:t xml:space="preserve"> and </w:t>
      </w:r>
      <w:r w:rsidR="006950C5">
        <w:t>Phase III</w:t>
      </w:r>
      <w:r>
        <w:t xml:space="preserve"> studies had different items under AEs of special interest (AESI) and AEs of interest, the AEs of interest (AEOI) from STELLAR were used for analysis of Pools A and B. These were increased haemoglobin, immunogenicity, increased blood pressure, </w:t>
      </w:r>
      <w:r>
        <w:lastRenderedPageBreak/>
        <w:t>bleeding events, renal toxicity and embryo-</w:t>
      </w:r>
      <w:proofErr w:type="spellStart"/>
      <w:r>
        <w:t>fetal</w:t>
      </w:r>
      <w:proofErr w:type="spellEnd"/>
      <w:r>
        <w:t xml:space="preserve"> toxicity. In addition, telangiectasia was considered as an AESI.</w:t>
      </w:r>
    </w:p>
    <w:p w14:paraId="40FF0139" w14:textId="77777777" w:rsidR="00320188" w:rsidRDefault="000A3FCB" w:rsidP="000A3FCB">
      <w:pPr>
        <w:rPr>
          <w:rStyle w:val="Heading6Char"/>
          <w:rFonts w:eastAsiaTheme="minorHAnsi"/>
        </w:rPr>
      </w:pPr>
      <w:r w:rsidRPr="00320188">
        <w:rPr>
          <w:rStyle w:val="Heading6Char"/>
          <w:rFonts w:eastAsiaTheme="minorHAnsi"/>
        </w:rPr>
        <w:t>Increased haemoglobin</w:t>
      </w:r>
    </w:p>
    <w:p w14:paraId="0F859E93" w14:textId="767ABD27" w:rsidR="000A3FCB" w:rsidRDefault="00320188" w:rsidP="000A3FCB">
      <w:r>
        <w:t>A</w:t>
      </w:r>
      <w:r w:rsidR="000A3FCB">
        <w:t>s can be seen in</w:t>
      </w:r>
      <w:r w:rsidR="00C32985">
        <w:t xml:space="preserve"> </w:t>
      </w:r>
      <w:r w:rsidR="006D08C3">
        <w:t>the table below</w:t>
      </w:r>
      <w:r w:rsidR="000A3FCB">
        <w:t xml:space="preserve">, just over half of participants in </w:t>
      </w:r>
      <w:proofErr w:type="gramStart"/>
      <w:r w:rsidR="000A3FCB">
        <w:t>the all</w:t>
      </w:r>
      <w:proofErr w:type="gramEnd"/>
      <w:r w:rsidR="000A3FCB">
        <w:t xml:space="preserve"> sotatercept group in Pool A maintained a normal haemoglobin during 24</w:t>
      </w:r>
      <w:r>
        <w:t> </w:t>
      </w:r>
      <w:r w:rsidR="000A3FCB">
        <w:t xml:space="preserve">weeks of treatment (the change from </w:t>
      </w:r>
      <w:r w:rsidR="000A3FCB" w:rsidRPr="008E6CD3">
        <w:t>baseline in the STELLAR study was generally between 1.0 and 1.5</w:t>
      </w:r>
      <w:r w:rsidRPr="008E6CD3">
        <w:t> </w:t>
      </w:r>
      <w:r w:rsidR="000A3FCB" w:rsidRPr="008E6CD3">
        <w:t>g/dL during the initial</w:t>
      </w:r>
      <w:r w:rsidR="000A3FCB">
        <w:t xml:space="preserve"> 24</w:t>
      </w:r>
      <w:r>
        <w:t> </w:t>
      </w:r>
      <w:r w:rsidR="000A3FCB">
        <w:t xml:space="preserve">weeks of sotatercept treatment). The remainder mainly experienced a </w:t>
      </w:r>
      <w:r w:rsidR="000A3FCB" w:rsidRPr="00AF5C65">
        <w:t>change to CTCAE grade 1 (increase of 0-2</w:t>
      </w:r>
      <w:r w:rsidRPr="00AF5C65">
        <w:t> </w:t>
      </w:r>
      <w:r w:rsidR="000A3FCB" w:rsidRPr="00AF5C65">
        <w:t>g/dL) and less frequently to grade 2 (increase of &gt;</w:t>
      </w:r>
      <w:r w:rsidR="00453126">
        <w:t> </w:t>
      </w:r>
      <w:r w:rsidR="000A3FCB" w:rsidRPr="00AF5C65">
        <w:t>2-4</w:t>
      </w:r>
      <w:r>
        <w:t> </w:t>
      </w:r>
      <w:r w:rsidR="000A3FCB">
        <w:t>g/dL). There were no grade 3 or 4 increases in haemoglobin.</w:t>
      </w:r>
    </w:p>
    <w:p w14:paraId="7D926838" w14:textId="6D480F17" w:rsidR="00497230" w:rsidRPr="0001586E" w:rsidRDefault="006D08C3" w:rsidP="006D08C3">
      <w:pPr>
        <w:pStyle w:val="TableTitle"/>
      </w:pPr>
      <w:r w:rsidRPr="0001586E">
        <w:t xml:space="preserve">Table </w:t>
      </w:r>
      <w:r w:rsidRPr="0001586E">
        <w:fldChar w:fldCharType="begin"/>
      </w:r>
      <w:r w:rsidRPr="0001586E">
        <w:instrText xml:space="preserve"> SEQ Table \* ARABIC </w:instrText>
      </w:r>
      <w:r w:rsidRPr="0001586E">
        <w:fldChar w:fldCharType="separate"/>
      </w:r>
      <w:r w:rsidR="00705ED7">
        <w:rPr>
          <w:noProof/>
        </w:rPr>
        <w:t>11</w:t>
      </w:r>
      <w:r w:rsidRPr="0001586E">
        <w:fldChar w:fldCharType="end"/>
      </w:r>
      <w:r w:rsidRPr="0001586E">
        <w:t xml:space="preserve">: Pool A Shift from Baseline </w:t>
      </w:r>
      <w:r w:rsidR="00007456" w:rsidRPr="0001586E">
        <w:t xml:space="preserve">Common Terminology Criteria for Adverse Events </w:t>
      </w:r>
      <w:r w:rsidRPr="0001586E">
        <w:t>severity grade for haemoglobin</w:t>
      </w:r>
    </w:p>
    <w:p w14:paraId="6205F5FC" w14:textId="3930540A" w:rsidR="00497230" w:rsidRPr="0001586E" w:rsidRDefault="006D08C3" w:rsidP="00497230">
      <w:r w:rsidRPr="0001586E">
        <w:rPr>
          <w:noProof/>
        </w:rPr>
        <w:drawing>
          <wp:inline distT="0" distB="0" distL="0" distR="0" wp14:anchorId="0393142E" wp14:editId="2B9CCB4F">
            <wp:extent cx="5759450" cy="2275840"/>
            <wp:effectExtent l="0" t="0" r="0" b="0"/>
            <wp:docPr id="1815425091" name="Picture 1" descr="A table of numbers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425091" name="Picture 1" descr="A table of numbers with text&#10;&#10;AI-generated content may be incorrect."/>
                    <pic:cNvPicPr/>
                  </pic:nvPicPr>
                  <pic:blipFill>
                    <a:blip r:embed="rId41"/>
                    <a:stretch>
                      <a:fillRect/>
                    </a:stretch>
                  </pic:blipFill>
                  <pic:spPr>
                    <a:xfrm>
                      <a:off x="0" y="0"/>
                      <a:ext cx="5759450" cy="2275840"/>
                    </a:xfrm>
                    <a:prstGeom prst="rect">
                      <a:avLst/>
                    </a:prstGeom>
                  </pic:spPr>
                </pic:pic>
              </a:graphicData>
            </a:graphic>
          </wp:inline>
        </w:drawing>
      </w:r>
    </w:p>
    <w:p w14:paraId="53B13765" w14:textId="77777777" w:rsidR="006D08C3" w:rsidRPr="0001586E" w:rsidRDefault="006D08C3" w:rsidP="006D08C3">
      <w:pPr>
        <w:pStyle w:val="TableDescription"/>
      </w:pPr>
      <w:r w:rsidRPr="0001586E">
        <w:t>Participants from PULSAR and STELLAR are included.</w:t>
      </w:r>
    </w:p>
    <w:p w14:paraId="50A711AE" w14:textId="77777777" w:rsidR="006D08C3" w:rsidRPr="0001586E" w:rsidRDefault="006D08C3" w:rsidP="006D08C3">
      <w:pPr>
        <w:pStyle w:val="TableDescription"/>
      </w:pPr>
      <w:r w:rsidRPr="0001586E">
        <w:t>All participants received standard of care in addition to receiving study drug.</w:t>
      </w:r>
    </w:p>
    <w:p w14:paraId="345E20F2" w14:textId="7BD5798A" w:rsidR="006D08C3" w:rsidRPr="0001586E" w:rsidRDefault="006D08C3" w:rsidP="006D08C3">
      <w:pPr>
        <w:pStyle w:val="TableDescription"/>
      </w:pPr>
      <w:r w:rsidRPr="0001586E">
        <w:t>The Combined Sotatercept group from PULSAR includes participants treated with sotatercept during the first 6 months (Placebo-controlled Period).</w:t>
      </w:r>
    </w:p>
    <w:p w14:paraId="6380DF5E" w14:textId="318A992E" w:rsidR="00497230" w:rsidRDefault="006D08C3" w:rsidP="006D08C3">
      <w:pPr>
        <w:pStyle w:val="TableDescription"/>
      </w:pPr>
      <w:r w:rsidRPr="006D08C3">
        <w:t xml:space="preserve">The version of the NCI </w:t>
      </w:r>
      <w:r w:rsidR="00007456" w:rsidRPr="00007456">
        <w:t xml:space="preserve">Common Terminology Criteria for Adverse Events </w:t>
      </w:r>
      <w:r w:rsidRPr="006D08C3">
        <w:t>Criteria is 4.03</w:t>
      </w:r>
      <w:r>
        <w:t>.</w:t>
      </w:r>
    </w:p>
    <w:p w14:paraId="198B1ED0" w14:textId="373C6C31" w:rsidR="00651837" w:rsidRDefault="00651837" w:rsidP="00651837">
      <w:r>
        <w:t>The TAR-EAIR for increased haemoglobin (as category) in Pool B (SUR2 cumulative) was 11.9</w:t>
      </w:r>
      <w:r w:rsidR="00320188">
        <w:t> </w:t>
      </w:r>
      <w:r>
        <w:t>per 100</w:t>
      </w:r>
      <w:r w:rsidR="00320188">
        <w:t> </w:t>
      </w:r>
      <w:r>
        <w:t xml:space="preserve">patient-years at risk. Overall, </w:t>
      </w:r>
      <w:r w:rsidR="00320188">
        <w:t>one</w:t>
      </w:r>
      <w:r>
        <w:t xml:space="preserve"> participant had a serious event of increased haemoglobin and 3 discontinued study treatment due to increased haemoglobin. Overall</w:t>
      </w:r>
      <w:r w:rsidR="00505F6A">
        <w:t>,</w:t>
      </w:r>
      <w:r>
        <w:t xml:space="preserve"> 58.2% of participants included in the Pool B SUR2 cumulative safety set had at least </w:t>
      </w:r>
      <w:r w:rsidR="00320188">
        <w:t>one</w:t>
      </w:r>
      <w:r>
        <w:t xml:space="preserve"> </w:t>
      </w:r>
      <w:r w:rsidR="00320188">
        <w:t>haemoglobin</w:t>
      </w:r>
      <w:r>
        <w:t xml:space="preserve"> increase </w:t>
      </w:r>
      <w:r w:rsidR="00320188">
        <w:t xml:space="preserve">of </w:t>
      </w:r>
      <w:r>
        <w:t>&gt;</w:t>
      </w:r>
      <w:r w:rsidR="00453126">
        <w:t> </w:t>
      </w:r>
      <w:r>
        <w:t>2.0</w:t>
      </w:r>
      <w:r w:rsidR="00320188">
        <w:t> </w:t>
      </w:r>
      <w:r>
        <w:t>g/dL.</w:t>
      </w:r>
    </w:p>
    <w:p w14:paraId="59E9BE87" w14:textId="4001D0B8" w:rsidR="00320188" w:rsidRDefault="00651837" w:rsidP="00320188">
      <w:pPr>
        <w:pStyle w:val="Heading6"/>
      </w:pPr>
      <w:r>
        <w:t>Decreased platelets</w:t>
      </w:r>
    </w:p>
    <w:p w14:paraId="0929BFF2" w14:textId="1DFA18FE" w:rsidR="00651837" w:rsidRDefault="00320188" w:rsidP="00651837">
      <w:r>
        <w:t>I</w:t>
      </w:r>
      <w:r w:rsidR="00651837">
        <w:t>n pool A, of participants treated with sotatercept who had normal baseline platelets, around 25% experienced CTCAE grade 1 thrombocytopenia (from lower limit of normal to 75</w:t>
      </w:r>
      <w:r>
        <w:t>,</w:t>
      </w:r>
      <w:r w:rsidR="00651837">
        <w:t>000</w:t>
      </w:r>
      <w:r w:rsidR="00A568B9">
        <w:t> </w:t>
      </w:r>
      <w:r w:rsidR="00A568B9" w:rsidRPr="00A568B9">
        <w:t>mm</w:t>
      </w:r>
      <w:r w:rsidR="00A568B9" w:rsidRPr="00A568B9">
        <w:rPr>
          <w:vertAlign w:val="superscript"/>
        </w:rPr>
        <w:t>3</w:t>
      </w:r>
      <w:r w:rsidR="00651837">
        <w:t>). Of participants with baseline grade 1 thrombocytopenia (43 in total), around 20% progressed to grade 2 thrombocytopenia (50</w:t>
      </w:r>
      <w:r>
        <w:t>,</w:t>
      </w:r>
      <w:r w:rsidR="00651837">
        <w:t xml:space="preserve">000 </w:t>
      </w:r>
      <w:r>
        <w:t>to</w:t>
      </w:r>
      <w:r w:rsidR="00651837">
        <w:t xml:space="preserve"> &lt;</w:t>
      </w:r>
      <w:r w:rsidR="00453126">
        <w:t> </w:t>
      </w:r>
      <w:r w:rsidR="00651837">
        <w:t>75</w:t>
      </w:r>
      <w:r>
        <w:t>,</w:t>
      </w:r>
      <w:r w:rsidR="00651837">
        <w:t>000</w:t>
      </w:r>
      <w:r w:rsidR="00A568B9">
        <w:t> </w:t>
      </w:r>
      <w:r w:rsidR="00A568B9" w:rsidRPr="00A568B9">
        <w:t>mm</w:t>
      </w:r>
      <w:r w:rsidR="00A568B9" w:rsidRPr="00A568B9">
        <w:rPr>
          <w:vertAlign w:val="superscript"/>
        </w:rPr>
        <w:t>3</w:t>
      </w:r>
      <w:r w:rsidR="00651837">
        <w:t>) and 5% to grade 3 (25</w:t>
      </w:r>
      <w:r w:rsidR="00453126">
        <w:t>,</w:t>
      </w:r>
      <w:r w:rsidR="00651837">
        <w:t xml:space="preserve">000 </w:t>
      </w:r>
      <w:r>
        <w:t xml:space="preserve">to </w:t>
      </w:r>
      <w:r w:rsidR="00651837">
        <w:t>&lt;</w:t>
      </w:r>
      <w:r w:rsidR="00453126">
        <w:t> </w:t>
      </w:r>
      <w:r w:rsidR="00651837">
        <w:t>50</w:t>
      </w:r>
      <w:r w:rsidR="00453126">
        <w:t>,</w:t>
      </w:r>
      <w:r w:rsidR="00651837">
        <w:t>000</w:t>
      </w:r>
      <w:r w:rsidR="00A568B9">
        <w:t> </w:t>
      </w:r>
      <w:r w:rsidR="00A568B9" w:rsidRPr="00A568B9">
        <w:t>mm</w:t>
      </w:r>
      <w:r w:rsidR="00A568B9" w:rsidRPr="00A568B9">
        <w:rPr>
          <w:vertAlign w:val="superscript"/>
        </w:rPr>
        <w:t>3</w:t>
      </w:r>
      <w:r w:rsidR="00651837">
        <w:t>). There was no grade 4 thrombocytopenia in pool A. In the STELLAR study the typical change in platelet count from baseline was around 20</w:t>
      </w:r>
      <w:r>
        <w:t>,</w:t>
      </w:r>
      <w:r w:rsidR="00651837">
        <w:t>000</w:t>
      </w:r>
      <w:r w:rsidR="00A568B9">
        <w:t> </w:t>
      </w:r>
      <w:r w:rsidR="00A568B9" w:rsidRPr="00A568B9">
        <w:t>mm</w:t>
      </w:r>
      <w:r w:rsidR="00A568B9" w:rsidRPr="00A568B9">
        <w:rPr>
          <w:vertAlign w:val="superscript"/>
        </w:rPr>
        <w:t>3</w:t>
      </w:r>
      <w:r w:rsidR="00A568B9">
        <w:t xml:space="preserve"> </w:t>
      </w:r>
      <w:r w:rsidR="00651837">
        <w:t>(</w:t>
      </w:r>
      <w:r w:rsidR="00007456">
        <w:t>see below</w:t>
      </w:r>
      <w:r w:rsidR="00651837">
        <w:t>).</w:t>
      </w:r>
    </w:p>
    <w:p w14:paraId="76E812C0" w14:textId="03FF4FB4" w:rsidR="00346FF8" w:rsidRDefault="00007456" w:rsidP="00007456">
      <w:pPr>
        <w:pStyle w:val="FigureTitle"/>
      </w:pPr>
      <w:r>
        <w:lastRenderedPageBreak/>
        <w:t xml:space="preserve">Figure </w:t>
      </w:r>
      <w:r>
        <w:fldChar w:fldCharType="begin"/>
      </w:r>
      <w:r>
        <w:instrText xml:space="preserve"> SEQ Figure \* ARABIC </w:instrText>
      </w:r>
      <w:r>
        <w:fldChar w:fldCharType="separate"/>
      </w:r>
      <w:r w:rsidR="00705ED7">
        <w:rPr>
          <w:noProof/>
        </w:rPr>
        <w:t>8</w:t>
      </w:r>
      <w:r>
        <w:fldChar w:fldCharType="end"/>
      </w:r>
      <w:r>
        <w:t xml:space="preserve">: STELLAR </w:t>
      </w:r>
      <w:r w:rsidRPr="004562EA">
        <w:t xml:space="preserve">Change from baseline in platelet count </w:t>
      </w:r>
      <w:r>
        <w:t>(</w:t>
      </w:r>
      <w:r w:rsidRPr="004562EA">
        <w:t>safety set)</w:t>
      </w:r>
    </w:p>
    <w:p w14:paraId="48A3DD6C" w14:textId="02F3DBEA" w:rsidR="00346FF8" w:rsidRDefault="00007456" w:rsidP="0098027F">
      <w:r>
        <w:rPr>
          <w:noProof/>
        </w:rPr>
        <w:drawing>
          <wp:inline distT="0" distB="0" distL="0" distR="0" wp14:anchorId="60484DA3" wp14:editId="276A7024">
            <wp:extent cx="5759450" cy="2673350"/>
            <wp:effectExtent l="0" t="0" r="0" b="0"/>
            <wp:docPr id="13341432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43299" name=""/>
                    <pic:cNvPicPr/>
                  </pic:nvPicPr>
                  <pic:blipFill>
                    <a:blip r:embed="rId42"/>
                    <a:stretch>
                      <a:fillRect/>
                    </a:stretch>
                  </pic:blipFill>
                  <pic:spPr>
                    <a:xfrm>
                      <a:off x="0" y="0"/>
                      <a:ext cx="5759450" cy="2673350"/>
                    </a:xfrm>
                    <a:prstGeom prst="rect">
                      <a:avLst/>
                    </a:prstGeom>
                  </pic:spPr>
                </pic:pic>
              </a:graphicData>
            </a:graphic>
          </wp:inline>
        </w:drawing>
      </w:r>
    </w:p>
    <w:p w14:paraId="5A901948" w14:textId="77777777" w:rsidR="00007456" w:rsidRDefault="00007456" w:rsidP="00007456">
      <w:pPr>
        <w:pStyle w:val="FigureDescription"/>
      </w:pPr>
      <w:r>
        <w:t>N=Number of subjects in the analysis window. BL=Baseline, SE=Standard error.</w:t>
      </w:r>
    </w:p>
    <w:p w14:paraId="55BB368F" w14:textId="75CF69B7" w:rsidR="007D25CE" w:rsidRDefault="007D25CE" w:rsidP="007D25CE">
      <w:r>
        <w:t>The TAR-EAIR for thrombocytopenia (as category) in Pool B (SUR2) was 6.6 per 100</w:t>
      </w:r>
      <w:r w:rsidR="00320188">
        <w:t> </w:t>
      </w:r>
      <w:r>
        <w:t xml:space="preserve">patient years at risk. In Pool B (SUR2 cumulative) 5 participants had a serious event of thrombocytopenia, including 3 admitted to hospital (note there were other significant factors involved in at least 2 of the hospital admissions). Only </w:t>
      </w:r>
      <w:r w:rsidR="00320188">
        <w:t>one</w:t>
      </w:r>
      <w:r>
        <w:t xml:space="preserve"> participant discontinued treatment due to thrombocytopenia. </w:t>
      </w:r>
      <w:r w:rsidR="00085769">
        <w:t>Overall,</w:t>
      </w:r>
      <w:r>
        <w:t xml:space="preserve"> in SUR2 Pool B only 3.9% of participants ever had a platelet </w:t>
      </w:r>
      <w:r w:rsidRPr="00337BBC">
        <w:t>count</w:t>
      </w:r>
      <w:r w:rsidR="004A6D9C" w:rsidRPr="00337BBC">
        <w:t> </w:t>
      </w:r>
      <w:r w:rsidRPr="00337BBC">
        <w:t>&lt;</w:t>
      </w:r>
      <w:r w:rsidR="004A6D9C" w:rsidRPr="00337BBC">
        <w:t> </w:t>
      </w:r>
      <w:r w:rsidRPr="00337BBC">
        <w:t>50</w:t>
      </w:r>
      <w:r w:rsidR="004A6D9C" w:rsidRPr="00337BBC">
        <w:t>,</w:t>
      </w:r>
      <w:r w:rsidRPr="00337BBC">
        <w:t>000/m</w:t>
      </w:r>
      <w:r w:rsidRPr="00337BBC">
        <w:rPr>
          <w:vertAlign w:val="superscript"/>
        </w:rPr>
        <w:t>3</w:t>
      </w:r>
      <w:r w:rsidRPr="00337BBC">
        <w:t>.</w:t>
      </w:r>
    </w:p>
    <w:p w14:paraId="0DD42402" w14:textId="0F2235C2" w:rsidR="00320188" w:rsidRDefault="007D25CE" w:rsidP="00320188">
      <w:pPr>
        <w:pStyle w:val="Heading6"/>
      </w:pPr>
      <w:r>
        <w:t>Epistaxis and other bleeding events</w:t>
      </w:r>
    </w:p>
    <w:p w14:paraId="0A28E831" w14:textId="5B173E30" w:rsidR="007D25CE" w:rsidRDefault="00320188" w:rsidP="007D25CE">
      <w:r>
        <w:t>I</w:t>
      </w:r>
      <w:r w:rsidR="007D25CE">
        <w:t>n pool A, bleeding events affected more participants in the sotatercept group than the placebo group (48.1% v</w:t>
      </w:r>
      <w:r>
        <w:t>ersus</w:t>
      </w:r>
      <w:r w:rsidR="007D25CE">
        <w:t xml:space="preserve"> 38%) (</w:t>
      </w:r>
      <w:r w:rsidR="00007456">
        <w:t>see table below</w:t>
      </w:r>
      <w:r w:rsidR="007D25CE">
        <w:t>). The most common event types were epistaxis, anaemia and gingival bleeding.</w:t>
      </w:r>
    </w:p>
    <w:p w14:paraId="3BD7AF5D" w14:textId="4D373ECF" w:rsidR="00346FF8" w:rsidRDefault="004A6D9C" w:rsidP="004A6D9C">
      <w:pPr>
        <w:pStyle w:val="TableTitle"/>
      </w:pPr>
      <w:r>
        <w:t xml:space="preserve">Table </w:t>
      </w:r>
      <w:r>
        <w:fldChar w:fldCharType="begin"/>
      </w:r>
      <w:r>
        <w:instrText xml:space="preserve"> SEQ Table \* ARABIC </w:instrText>
      </w:r>
      <w:r>
        <w:fldChar w:fldCharType="separate"/>
      </w:r>
      <w:r w:rsidR="00705ED7">
        <w:rPr>
          <w:noProof/>
        </w:rPr>
        <w:t>12</w:t>
      </w:r>
      <w:r>
        <w:fldChar w:fldCharType="end"/>
      </w:r>
      <w:r>
        <w:t>: Pool A Bleeding events</w:t>
      </w:r>
    </w:p>
    <w:p w14:paraId="358C4B75" w14:textId="50D6F84C" w:rsidR="00346FF8" w:rsidRDefault="004A6D9C" w:rsidP="0098027F">
      <w:r>
        <w:rPr>
          <w:noProof/>
        </w:rPr>
        <w:drawing>
          <wp:inline distT="0" distB="0" distL="0" distR="0" wp14:anchorId="62005A9E" wp14:editId="7A3D3CEF">
            <wp:extent cx="5759450" cy="2605405"/>
            <wp:effectExtent l="0" t="0" r="0" b="4445"/>
            <wp:docPr id="1651975850" name="Picture 1" descr="A table of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975850" name="Picture 1" descr="A table of numbers and symbols&#10;&#10;AI-generated content may be incorrect."/>
                    <pic:cNvPicPr/>
                  </pic:nvPicPr>
                  <pic:blipFill>
                    <a:blip r:embed="rId43"/>
                    <a:stretch>
                      <a:fillRect/>
                    </a:stretch>
                  </pic:blipFill>
                  <pic:spPr>
                    <a:xfrm>
                      <a:off x="0" y="0"/>
                      <a:ext cx="5759450" cy="2605405"/>
                    </a:xfrm>
                    <a:prstGeom prst="rect">
                      <a:avLst/>
                    </a:prstGeom>
                  </pic:spPr>
                </pic:pic>
              </a:graphicData>
            </a:graphic>
          </wp:inline>
        </w:drawing>
      </w:r>
    </w:p>
    <w:p w14:paraId="6E5BB79B" w14:textId="082E5E98" w:rsidR="004A6D9C" w:rsidRPr="004A6D9C" w:rsidRDefault="004A6D9C" w:rsidP="004A6D9C">
      <w:pPr>
        <w:pStyle w:val="TableDescription"/>
      </w:pPr>
      <w:r w:rsidRPr="004A6D9C">
        <w:t>AEOI=Adverse Events of Interest; AESI=Adverse Events of Special Interest</w:t>
      </w:r>
    </w:p>
    <w:p w14:paraId="4F9FB882" w14:textId="77777777" w:rsidR="004A6D9C" w:rsidRPr="004A6D9C" w:rsidRDefault="004A6D9C" w:rsidP="004A6D9C">
      <w:pPr>
        <w:pStyle w:val="TableDescription"/>
      </w:pPr>
      <w:r w:rsidRPr="004A6D9C">
        <w:t>Participants from PULSAR and STELLAR are included.</w:t>
      </w:r>
    </w:p>
    <w:p w14:paraId="3D762F2A" w14:textId="77777777" w:rsidR="004A6D9C" w:rsidRPr="006473BC" w:rsidRDefault="004A6D9C" w:rsidP="006473BC">
      <w:pPr>
        <w:pStyle w:val="TableDescription"/>
      </w:pPr>
      <w:r w:rsidRPr="004A6D9C">
        <w:t>All participants received standard of care in addition to receiving study drug.</w:t>
      </w:r>
    </w:p>
    <w:p w14:paraId="79FC3339" w14:textId="77777777" w:rsidR="004A6D9C" w:rsidRPr="004A6D9C" w:rsidRDefault="004A6D9C" w:rsidP="004A6D9C">
      <w:pPr>
        <w:pStyle w:val="TableDescription"/>
      </w:pPr>
      <w:r w:rsidRPr="004A6D9C">
        <w:lastRenderedPageBreak/>
        <w:t xml:space="preserve">The Combined </w:t>
      </w:r>
      <w:proofErr w:type="spellStart"/>
      <w:r w:rsidRPr="004A6D9C">
        <w:t>Sotatercept</w:t>
      </w:r>
      <w:proofErr w:type="spellEnd"/>
      <w:r w:rsidRPr="004A6D9C">
        <w:t xml:space="preserve"> group from PULSAR includes participants treated with sotatercept during the first 6 months (Placebo-controlled Period).</w:t>
      </w:r>
    </w:p>
    <w:p w14:paraId="2DBFCC43" w14:textId="03BB0171" w:rsidR="004A6D9C" w:rsidRDefault="004A6D9C" w:rsidP="004A6D9C">
      <w:pPr>
        <w:pStyle w:val="TableDescription"/>
      </w:pPr>
      <w:r w:rsidRPr="004A6D9C">
        <w:t xml:space="preserve">Adverse Events were coded using MedDRA Version 25.0. AEOI/AESI Category were ordered </w:t>
      </w:r>
      <w:proofErr w:type="gramStart"/>
      <w:r w:rsidRPr="004A6D9C">
        <w:t>alphabetically</w:t>
      </w:r>
      <w:proofErr w:type="gramEnd"/>
      <w:r w:rsidRPr="004A6D9C">
        <w:t xml:space="preserve"> and Preferred Terms were ordered by</w:t>
      </w:r>
      <w:r>
        <w:t xml:space="preserve"> </w:t>
      </w:r>
      <w:r w:rsidRPr="004A6D9C">
        <w:t>descending frequency based on overall Sotatercep</w:t>
      </w:r>
      <w:r w:rsidR="00AD1ADE">
        <w:t>t.</w:t>
      </w:r>
    </w:p>
    <w:p w14:paraId="5B5BF657" w14:textId="79FA73C5" w:rsidR="00527435" w:rsidRDefault="00527435" w:rsidP="00527435">
      <w:r>
        <w:t>In Pool B SUR2 cumulative dataset the TAR-EAIR for bleeding events was 36.4 per 100</w:t>
      </w:r>
      <w:r w:rsidR="00320188">
        <w:t> </w:t>
      </w:r>
      <w:r>
        <w:t>patient-</w:t>
      </w:r>
      <w:r w:rsidRPr="008D012D">
        <w:t>years at risk and for epistaxis was 19.2 per 100</w:t>
      </w:r>
      <w:r w:rsidR="00320188" w:rsidRPr="008D012D">
        <w:t> </w:t>
      </w:r>
      <w:r w:rsidRPr="008D012D">
        <w:t>patient years at risk. Five participants in the</w:t>
      </w:r>
      <w:r>
        <w:t xml:space="preserve"> whole dataset discontinued due to bleeding events and 30 had serious bleeding events. The most common serious bleeding events were haemoptysis (1.9% of participants), gastrointestinal haemorrhage (1.6% of participants) and anaemia (1.2% of participants). Other serious events not covered by </w:t>
      </w:r>
      <w:r w:rsidR="00320188">
        <w:t>‘</w:t>
      </w:r>
      <w:r>
        <w:t>gastrointestinal haemorrhage</w:t>
      </w:r>
      <w:r w:rsidR="00320188">
        <w:t>’</w:t>
      </w:r>
      <w:r>
        <w:t xml:space="preserve"> were 3 participants with upper gastrointestinal haemorrhage, 1 with lower gastrointestinal haemorrhage and 1 with gastric haemorrhage. A significant number of participants with AEs of haemorrhage had more than </w:t>
      </w:r>
      <w:r w:rsidR="00320188">
        <w:t>one</w:t>
      </w:r>
      <w:r>
        <w:t xml:space="preserve"> event. There were 3 fatal bleeding events (2 gastrointestinal haemorrhages, 1 intracranial haemorrhage).</w:t>
      </w:r>
    </w:p>
    <w:p w14:paraId="04A02A77" w14:textId="02028B52" w:rsidR="00320188" w:rsidRDefault="00527435" w:rsidP="00320188">
      <w:pPr>
        <w:pStyle w:val="Heading6"/>
      </w:pPr>
      <w:r>
        <w:t>Increased blood pressure</w:t>
      </w:r>
    </w:p>
    <w:p w14:paraId="720641F7" w14:textId="62CF9AC4" w:rsidR="00527435" w:rsidRDefault="00320188" w:rsidP="00527435">
      <w:r>
        <w:t>I</w:t>
      </w:r>
      <w:r w:rsidR="00527435">
        <w:t>n Pool B SUR2 the TAR-EAIR for increased blood pressure was 3 per 100</w:t>
      </w:r>
      <w:r>
        <w:t> </w:t>
      </w:r>
      <w:r w:rsidR="00527435">
        <w:t>patient-years at risk. One participant overall had a serious AE of hypertension requiring hospitalisation. No participant had an event that led to discontinuation of study intervention. Although not necessarily documented as blood pressure related AEs, participants in the STELLAR study receiving sotatercept had modestly higher blood pressure compared with placebo (</w:t>
      </w:r>
      <w:r w:rsidR="008D012D">
        <w:t>see below</w:t>
      </w:r>
      <w:r w:rsidR="00527435">
        <w:t>).</w:t>
      </w:r>
    </w:p>
    <w:p w14:paraId="59CA5811" w14:textId="381F6C06" w:rsidR="00453261" w:rsidRPr="006473BC" w:rsidRDefault="008D012D" w:rsidP="006473BC">
      <w:pPr>
        <w:pStyle w:val="FigureTitle"/>
      </w:pPr>
      <w:r>
        <w:t xml:space="preserve">Figure </w:t>
      </w:r>
      <w:r>
        <w:fldChar w:fldCharType="begin"/>
      </w:r>
      <w:r>
        <w:instrText xml:space="preserve"> SEQ Figure \* ARABIC </w:instrText>
      </w:r>
      <w:r>
        <w:fldChar w:fldCharType="separate"/>
      </w:r>
      <w:r w:rsidR="00705ED7">
        <w:rPr>
          <w:noProof/>
        </w:rPr>
        <w:t>9</w:t>
      </w:r>
      <w:r>
        <w:fldChar w:fldCharType="end"/>
      </w:r>
      <w:r>
        <w:t>: STELLAR Systolic blood pressure by visit</w:t>
      </w:r>
    </w:p>
    <w:p w14:paraId="33984604" w14:textId="76E26B5E" w:rsidR="00453261" w:rsidRDefault="008D012D" w:rsidP="0098027F">
      <w:r>
        <w:rPr>
          <w:noProof/>
        </w:rPr>
        <w:drawing>
          <wp:inline distT="0" distB="0" distL="0" distR="0" wp14:anchorId="673DE7C9" wp14:editId="08006ED5">
            <wp:extent cx="5759450" cy="2810510"/>
            <wp:effectExtent l="0" t="0" r="0" b="8890"/>
            <wp:docPr id="818491416" name="Picture 1" descr="A graph of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491416" name="Picture 1" descr="A graph of numbers and lines&#10;&#10;AI-generated content may be incorrect."/>
                    <pic:cNvPicPr/>
                  </pic:nvPicPr>
                  <pic:blipFill>
                    <a:blip r:embed="rId44"/>
                    <a:stretch>
                      <a:fillRect/>
                    </a:stretch>
                  </pic:blipFill>
                  <pic:spPr>
                    <a:xfrm>
                      <a:off x="0" y="0"/>
                      <a:ext cx="5759450" cy="2810510"/>
                    </a:xfrm>
                    <a:prstGeom prst="rect">
                      <a:avLst/>
                    </a:prstGeom>
                  </pic:spPr>
                </pic:pic>
              </a:graphicData>
            </a:graphic>
          </wp:inline>
        </w:drawing>
      </w:r>
    </w:p>
    <w:p w14:paraId="138AD4A8" w14:textId="77777777" w:rsidR="00320188" w:rsidRDefault="001A6721" w:rsidP="00320188">
      <w:pPr>
        <w:pStyle w:val="Heading6"/>
      </w:pPr>
      <w:r>
        <w:t>Embryo-</w:t>
      </w:r>
      <w:proofErr w:type="spellStart"/>
      <w:r>
        <w:t>fetal</w:t>
      </w:r>
      <w:proofErr w:type="spellEnd"/>
      <w:r>
        <w:t xml:space="preserve"> toxicity</w:t>
      </w:r>
    </w:p>
    <w:p w14:paraId="0C930910" w14:textId="77DAC20B" w:rsidR="001A6721" w:rsidRDefault="00320188" w:rsidP="001A6721">
      <w:r>
        <w:t>O</w:t>
      </w:r>
      <w:r w:rsidR="001A6721">
        <w:t>ne pregnancy was reported in Pool B in a patient treated with sotatercept. The pregnancy resulted in a missed abortion. There are also no data on sotatercept in human milk or effects on lactation.</w:t>
      </w:r>
    </w:p>
    <w:p w14:paraId="7FCF59B7" w14:textId="33C66109" w:rsidR="001A6721" w:rsidRDefault="001A6721" w:rsidP="001A6721">
      <w:r>
        <w:t>No safety signal was detected for the following AEs of interest in Pools A or B (to 6 D</w:t>
      </w:r>
      <w:r w:rsidR="007F08DC">
        <w:t>ecember</w:t>
      </w:r>
      <w:r>
        <w:t xml:space="preserve"> 2022): FSH suppression, immunogenicity-related TEAEs, thromboembolic events, renal toxicity, </w:t>
      </w:r>
      <w:r w:rsidRPr="008D012D">
        <w:t>hepatic toxicity, cardiac events, leu</w:t>
      </w:r>
      <w:r w:rsidR="00AD1ADE">
        <w:t>c</w:t>
      </w:r>
      <w:r w:rsidRPr="008D012D">
        <w:t>op</w:t>
      </w:r>
      <w:r w:rsidR="00AD1ADE">
        <w:t>o</w:t>
      </w:r>
      <w:r w:rsidRPr="008D012D">
        <w:t>enia and neutropenia.</w:t>
      </w:r>
    </w:p>
    <w:p w14:paraId="50B1B671" w14:textId="77777777" w:rsidR="001A6721" w:rsidRPr="00F92145" w:rsidRDefault="001A6721" w:rsidP="001A6721">
      <w:pPr>
        <w:pStyle w:val="Heading5"/>
      </w:pPr>
      <w:r w:rsidRPr="00F92145">
        <w:t>Immunogenicity</w:t>
      </w:r>
    </w:p>
    <w:p w14:paraId="4CB0FBB8" w14:textId="5032038E" w:rsidR="001A6721" w:rsidRDefault="001A6721" w:rsidP="001A6721">
      <w:r>
        <w:t>Initial testing involved screening and confirmation using a sensitive and drug tolerant ADA assay. Positive samples were then tested for titre and neutrali</w:t>
      </w:r>
      <w:r w:rsidR="00D03033">
        <w:t>s</w:t>
      </w:r>
      <w:r>
        <w:t xml:space="preserve">ing antibody (Nab) activity. </w:t>
      </w:r>
      <w:proofErr w:type="gramStart"/>
      <w:r>
        <w:t xml:space="preserve">A </w:t>
      </w:r>
      <w:r>
        <w:lastRenderedPageBreak/>
        <w:t>number of</w:t>
      </w:r>
      <w:proofErr w:type="gramEnd"/>
      <w:r>
        <w:t xml:space="preserve"> assays were developed during the clinical development of sotatercept. </w:t>
      </w:r>
      <w:proofErr w:type="gramStart"/>
      <w:r>
        <w:t>Cut-points</w:t>
      </w:r>
      <w:proofErr w:type="gramEnd"/>
      <w:r>
        <w:t xml:space="preserve"> were determined based on the study population and regulatory requirements.</w:t>
      </w:r>
    </w:p>
    <w:p w14:paraId="3CB5A68C" w14:textId="25C9F610" w:rsidR="001A6721" w:rsidRDefault="001A6721" w:rsidP="001A6721">
      <w:r>
        <w:t>Across PULSAR, SPECTRA and STELLAR there were 287</w:t>
      </w:r>
      <w:r w:rsidR="00DC7B8F">
        <w:t> </w:t>
      </w:r>
      <w:r>
        <w:t>participants evaluable for post dose ADA status.</w:t>
      </w:r>
    </w:p>
    <w:p w14:paraId="1FC3277F" w14:textId="35E6992C" w:rsidR="001A6721" w:rsidRDefault="001A6721" w:rsidP="001A6721">
      <w:r>
        <w:t>Across PULSAR and SPECTRA 10.4% (13</w:t>
      </w:r>
      <w:r w:rsidR="00DC7B8F">
        <w:t xml:space="preserve"> of </w:t>
      </w:r>
      <w:r>
        <w:t>125</w:t>
      </w:r>
      <w:r w:rsidR="00DC7B8F">
        <w:t>patients</w:t>
      </w:r>
      <w:r>
        <w:t>) developed ADAs and 1 of these was Nab positive as well.</w:t>
      </w:r>
      <w:r w:rsidR="00DC7B8F">
        <w:t xml:space="preserve"> </w:t>
      </w:r>
      <w:r>
        <w:t>Across STELLAR 25.9% (42</w:t>
      </w:r>
      <w:r w:rsidR="00DC7B8F">
        <w:t xml:space="preserve"> of </w:t>
      </w:r>
      <w:r>
        <w:t>162</w:t>
      </w:r>
      <w:r w:rsidR="00DC7B8F">
        <w:t xml:space="preserve"> patients</w:t>
      </w:r>
      <w:r>
        <w:t>) developed ADAs and 6.8% (11</w:t>
      </w:r>
      <w:r w:rsidR="00DC7B8F">
        <w:t xml:space="preserve"> of </w:t>
      </w:r>
      <w:r>
        <w:t>162</w:t>
      </w:r>
      <w:r w:rsidR="00DC7B8F">
        <w:t xml:space="preserve"> patients</w:t>
      </w:r>
      <w:r>
        <w:t xml:space="preserve">) were Nab positive as well. The difference in ADA incidence between the </w:t>
      </w:r>
      <w:r w:rsidR="00DC7B8F">
        <w:t>P</w:t>
      </w:r>
      <w:r>
        <w:t xml:space="preserve">hase </w:t>
      </w:r>
      <w:r w:rsidR="00DC7B8F">
        <w:t>II</w:t>
      </w:r>
      <w:r>
        <w:t xml:space="preserve"> and </w:t>
      </w:r>
      <w:r w:rsidR="00DC7B8F">
        <w:t>P</w:t>
      </w:r>
      <w:r>
        <w:t xml:space="preserve">hase </w:t>
      </w:r>
      <w:r w:rsidR="00DC7B8F">
        <w:t>III</w:t>
      </w:r>
      <w:r>
        <w:t xml:space="preserve"> studies could be due to the lower cut</w:t>
      </w:r>
      <w:r w:rsidR="00CD6BA9">
        <w:t>-</w:t>
      </w:r>
      <w:r>
        <w:t>point and optimised assay in the later phase study.</w:t>
      </w:r>
    </w:p>
    <w:p w14:paraId="1CCEF66D" w14:textId="210DF354" w:rsidR="001A6721" w:rsidRDefault="001A6721" w:rsidP="001A6721">
      <w:r>
        <w:t>A</w:t>
      </w:r>
      <w:r w:rsidR="00DC7B8F">
        <w:t>ntidrug antibody</w:t>
      </w:r>
      <w:r>
        <w:t xml:space="preserve"> development occurred after the initial dose and were transient in 55% of </w:t>
      </w:r>
      <w:r w:rsidRPr="00337BBC">
        <w:t>positive participants. The median maximum titre was 40 (range &lt;</w:t>
      </w:r>
      <w:r w:rsidR="00453126">
        <w:t> </w:t>
      </w:r>
      <w:r w:rsidRPr="00337BBC">
        <w:t>20 to 620) in PULSAR/SPECTRA and 30 (range &lt;</w:t>
      </w:r>
      <w:r w:rsidR="00453126">
        <w:t> </w:t>
      </w:r>
      <w:r w:rsidRPr="00337BBC">
        <w:t>20 to 640) in STELLAR.</w:t>
      </w:r>
    </w:p>
    <w:p w14:paraId="4AD06B6B" w14:textId="77777777" w:rsidR="001A6721" w:rsidRDefault="001A6721" w:rsidP="001A6721">
      <w:r>
        <w:t>In terms of clinical correlation with ADA status, a positive result did not impact PK, PD, efficacy or safety (the latter including hypersensitivity related AEs).</w:t>
      </w:r>
    </w:p>
    <w:p w14:paraId="38B5CE13" w14:textId="77777777" w:rsidR="001A6721" w:rsidRDefault="001A6721" w:rsidP="001A6721">
      <w:pPr>
        <w:pStyle w:val="Heading5"/>
      </w:pPr>
      <w:r w:rsidRPr="001C222C">
        <w:t>Other analyses of note</w:t>
      </w:r>
    </w:p>
    <w:p w14:paraId="31AF7F74" w14:textId="1476AD58" w:rsidR="001A6721" w:rsidRDefault="001A6721" w:rsidP="001A6721">
      <w:r>
        <w:t>The relationship between background PAH therapies and AE incidence was investigated in the STELLAR dataset. The following w</w:t>
      </w:r>
      <w:r w:rsidR="00DC7B8F">
        <w:t>ere</w:t>
      </w:r>
      <w:r>
        <w:t xml:space="preserve"> noted</w:t>
      </w:r>
      <w:r w:rsidR="00DC7B8F">
        <w:t>.</w:t>
      </w:r>
    </w:p>
    <w:p w14:paraId="34B942BC" w14:textId="1E4A8583" w:rsidR="001A6721" w:rsidRDefault="001A6721" w:rsidP="00932655">
      <w:pPr>
        <w:pStyle w:val="ListBullet"/>
      </w:pPr>
      <w:r>
        <w:t>During the initial 24</w:t>
      </w:r>
      <w:r w:rsidR="00FF0FEE">
        <w:t>-</w:t>
      </w:r>
      <w:r>
        <w:t>week period, in the sotatercept group flushing and nasal congestion were more commonly reported for participants on triple therapy than on double therapy.</w:t>
      </w:r>
    </w:p>
    <w:p w14:paraId="4241E59D" w14:textId="4C7590F3" w:rsidR="001A6721" w:rsidRDefault="001A6721" w:rsidP="00932655">
      <w:pPr>
        <w:pStyle w:val="ListBullet"/>
      </w:pPr>
      <w:r>
        <w:t>During the initial 24</w:t>
      </w:r>
      <w:r w:rsidR="00FF0FEE">
        <w:t>-</w:t>
      </w:r>
      <w:r>
        <w:t>week period, in the sotatercept group thrombocytopenia was more commonly reported in users v</w:t>
      </w:r>
      <w:r w:rsidR="00DC7B8F">
        <w:t>ersus</w:t>
      </w:r>
      <w:r>
        <w:t xml:space="preserve"> non-users of prostacyclin infusion.</w:t>
      </w:r>
    </w:p>
    <w:p w14:paraId="75127E2A" w14:textId="6FF72187" w:rsidR="001A6721" w:rsidRDefault="001A6721" w:rsidP="00932655">
      <w:pPr>
        <w:pStyle w:val="ListBullet"/>
      </w:pPr>
      <w:r>
        <w:t>During both the initial 24</w:t>
      </w:r>
      <w:r w:rsidR="00DC7B8F">
        <w:t> </w:t>
      </w:r>
      <w:r>
        <w:t>weeks and subsequent extension period, in the sotatercept group flushing, nasal congestion, dizziness, thrombocytopenia atrial fibrillation and hypokalaemia were more commonly reported for participants on triple therapy than on double therapy.</w:t>
      </w:r>
    </w:p>
    <w:p w14:paraId="62E4AC94" w14:textId="77777777" w:rsidR="001A6721" w:rsidRPr="00901CBF" w:rsidRDefault="001A6721" w:rsidP="001A6721">
      <w:pPr>
        <w:pStyle w:val="Heading5"/>
      </w:pPr>
      <w:r w:rsidRPr="00901CBF">
        <w:t>Other safety data</w:t>
      </w:r>
    </w:p>
    <w:p w14:paraId="79BD8F84" w14:textId="582834F1" w:rsidR="001A6721" w:rsidRDefault="001A6721" w:rsidP="001A6721">
      <w:r>
        <w:t xml:space="preserve">In </w:t>
      </w:r>
      <w:r w:rsidR="00DC7B8F">
        <w:t>the P</w:t>
      </w:r>
      <w:r>
        <w:t xml:space="preserve">hase </w:t>
      </w:r>
      <w:r w:rsidR="00DC7B8F">
        <w:t>I</w:t>
      </w:r>
      <w:r>
        <w:t xml:space="preserve"> study P009 (</w:t>
      </w:r>
      <w:r w:rsidR="00337BBC">
        <w:t xml:space="preserve">see </w:t>
      </w:r>
      <w:r w:rsidR="00337BBC">
        <w:fldChar w:fldCharType="begin"/>
      </w:r>
      <w:r w:rsidR="00337BBC">
        <w:instrText xml:space="preserve"> REF _Ref201840290 \h </w:instrText>
      </w:r>
      <w:r w:rsidR="00337BBC">
        <w:fldChar w:fldCharType="separate"/>
      </w:r>
      <w:r w:rsidR="00705ED7" w:rsidRPr="00AA53F4">
        <w:t>Population PK data</w:t>
      </w:r>
      <w:r w:rsidR="00337BBC">
        <w:fldChar w:fldCharType="end"/>
      </w:r>
      <w:r>
        <w:t xml:space="preserve">), </w:t>
      </w:r>
      <w:proofErr w:type="spellStart"/>
      <w:r>
        <w:t>sotatercept</w:t>
      </w:r>
      <w:proofErr w:type="spellEnd"/>
      <w:r>
        <w:t xml:space="preserve"> was generally well tolerated. Events occurring in</w:t>
      </w:r>
      <w:r w:rsidR="00DC7B8F">
        <w:t xml:space="preserve"> more than one</w:t>
      </w:r>
      <w:r>
        <w:t xml:space="preserve"> participant were headache, infusion site reaction, injection site haemorrhage and toothache. There were no deaths or serious AEs. Reversible changes were noted in red blood cell counts, haemoglobin, reticulocytes, liver function tests, glucose, uric acid, amylase and lipase.</w:t>
      </w:r>
    </w:p>
    <w:p w14:paraId="7837AE6A" w14:textId="775FAB4F" w:rsidR="001A6721" w:rsidRDefault="001A6721" w:rsidP="001A6721">
      <w:r>
        <w:t xml:space="preserve">In </w:t>
      </w:r>
      <w:r w:rsidR="00DC7B8F">
        <w:t>P</w:t>
      </w:r>
      <w:r>
        <w:t xml:space="preserve">hase </w:t>
      </w:r>
      <w:r w:rsidR="00DC7B8F">
        <w:t>I</w:t>
      </w:r>
      <w:r>
        <w:t xml:space="preserve"> study P010</w:t>
      </w:r>
      <w:r w:rsidR="00337BBC">
        <w:t>,</w:t>
      </w:r>
      <w:r>
        <w:t xml:space="preserve"> most participants reported TEAEs, although none were severe or life-threatening. Abnormal high haemoglobin occurred in most participants at the 1</w:t>
      </w:r>
      <w:r w:rsidR="00DC7B8F">
        <w:t> </w:t>
      </w:r>
      <w:r>
        <w:t>mg/kg dose level (3 required phlebotomies). There were 2 serious AEs (persistent and progressive hypertension, joint injury) and 7 participants discontinued study intervention. The SAE of hypertension led to no further dose escalation being pursued. Dose dependant reductions in FSH in this population of postmenopausal women (with baseline high FSH) were observed.</w:t>
      </w:r>
    </w:p>
    <w:p w14:paraId="0B2B1544" w14:textId="1275AB8C" w:rsidR="001A6721" w:rsidRPr="00CF4CC1" w:rsidRDefault="001A6721" w:rsidP="001A6721">
      <w:r>
        <w:t>A total of 350</w:t>
      </w:r>
      <w:r w:rsidR="00DC7B8F">
        <w:t> </w:t>
      </w:r>
      <w:r>
        <w:t xml:space="preserve">participants were exposed to sotatercept in 8 non-PAH </w:t>
      </w:r>
      <w:r w:rsidR="00DC7B8F">
        <w:t>P</w:t>
      </w:r>
      <w:r>
        <w:t xml:space="preserve">hase </w:t>
      </w:r>
      <w:r w:rsidR="00DC7B8F">
        <w:t>II</w:t>
      </w:r>
      <w:r>
        <w:t xml:space="preserve"> studies. The most frequently reported events were headache (20%), nausea (14.6%), hypertension (14%), diarrhoea (12.3%), vomiting (11.4%) and dizziness (10%). S</w:t>
      </w:r>
      <w:r w:rsidR="00DC7B8F">
        <w:t xml:space="preserve">erious </w:t>
      </w:r>
      <w:r>
        <w:t xml:space="preserve">AEs were most frequent in the system organ classes of </w:t>
      </w:r>
      <w:r>
        <w:rPr>
          <w:i/>
          <w:iCs/>
        </w:rPr>
        <w:t>Blood and lymphatic system disorders</w:t>
      </w:r>
      <w:r>
        <w:t xml:space="preserve"> and </w:t>
      </w:r>
      <w:r>
        <w:rPr>
          <w:i/>
          <w:iCs/>
        </w:rPr>
        <w:t>Cardiac disorders</w:t>
      </w:r>
      <w:r>
        <w:t>.</w:t>
      </w:r>
    </w:p>
    <w:p w14:paraId="2858B006" w14:textId="77777777" w:rsidR="00C22214" w:rsidRDefault="00C22214" w:rsidP="00C22214">
      <w:pPr>
        <w:pStyle w:val="Heading3"/>
        <w:rPr>
          <w:lang w:eastAsia="en-AU"/>
        </w:rPr>
      </w:pPr>
      <w:bookmarkStart w:id="51" w:name="_Toc314842514"/>
      <w:bookmarkStart w:id="52" w:name="_Toc103679298"/>
      <w:bookmarkStart w:id="53" w:name="_Toc202861313"/>
      <w:r>
        <w:rPr>
          <w:lang w:eastAsia="en-AU"/>
        </w:rPr>
        <w:lastRenderedPageBreak/>
        <w:t>Risk management plan</w:t>
      </w:r>
      <w:bookmarkEnd w:id="51"/>
      <w:bookmarkEnd w:id="52"/>
      <w:bookmarkEnd w:id="53"/>
    </w:p>
    <w:p w14:paraId="39F3CD1D" w14:textId="64C6E432" w:rsidR="0072003B" w:rsidRPr="00BD5DBD" w:rsidRDefault="00C22214" w:rsidP="00C22214">
      <w:pPr>
        <w:rPr>
          <w:szCs w:val="22"/>
        </w:rPr>
      </w:pPr>
      <w:bookmarkStart w:id="54" w:name="_Toc247691531"/>
      <w:bookmarkStart w:id="55" w:name="_Toc314842515"/>
      <w:r w:rsidRPr="00BD5DBD">
        <w:rPr>
          <w:szCs w:val="22"/>
        </w:rPr>
        <w:t xml:space="preserve">The summary of safety concerns and their associated risk monitoring and mitigation strategies </w:t>
      </w:r>
      <w:r w:rsidR="0029109D">
        <w:rPr>
          <w:szCs w:val="22"/>
        </w:rPr>
        <w:t>is provided</w:t>
      </w:r>
      <w:r w:rsidRPr="00BD5DBD">
        <w:rPr>
          <w:szCs w:val="22"/>
        </w:rPr>
        <w:t xml:space="preserve"> </w:t>
      </w:r>
      <w:r w:rsidR="00C10B51">
        <w:rPr>
          <w:szCs w:val="22"/>
        </w:rPr>
        <w:t>below.</w:t>
      </w:r>
      <w:r w:rsidR="0072003B" w:rsidRPr="00BD5DBD">
        <w:rPr>
          <w:szCs w:val="22"/>
        </w:rPr>
        <w:t xml:space="preserve"> The TGA</w:t>
      </w:r>
      <w:r w:rsidR="00C07551" w:rsidRPr="00BD5DBD">
        <w:rPr>
          <w:szCs w:val="22"/>
        </w:rPr>
        <w:t xml:space="preserve"> may</w:t>
      </w:r>
      <w:r w:rsidR="0072003B" w:rsidRPr="00BD5DBD">
        <w:rPr>
          <w:szCs w:val="22"/>
        </w:rPr>
        <w:t xml:space="preserve"> request an updated RMP at any stage of a product's </w:t>
      </w:r>
      <w:proofErr w:type="gramStart"/>
      <w:r w:rsidR="0072003B" w:rsidRPr="00BD5DBD">
        <w:rPr>
          <w:szCs w:val="22"/>
        </w:rPr>
        <w:t>life-cycle</w:t>
      </w:r>
      <w:proofErr w:type="gramEnd"/>
      <w:r w:rsidR="0072003B" w:rsidRPr="00BD5DBD">
        <w:rPr>
          <w:szCs w:val="22"/>
        </w:rPr>
        <w:t>, during both the pre-approval and post-approval phases.</w:t>
      </w:r>
    </w:p>
    <w:p w14:paraId="56B51A93" w14:textId="5C92A4A0" w:rsidR="006A277A" w:rsidRDefault="00C22214" w:rsidP="00C22214">
      <w:pPr>
        <w:pStyle w:val="TableTitle"/>
      </w:pPr>
      <w:bookmarkStart w:id="56" w:name="_Ref97629131"/>
      <w:r>
        <w:t xml:space="preserve">Table </w:t>
      </w:r>
      <w:r w:rsidR="007F1E37">
        <w:fldChar w:fldCharType="begin"/>
      </w:r>
      <w:r w:rsidR="007F1E37">
        <w:instrText xml:space="preserve"> SEQ Table \* ARABIC </w:instrText>
      </w:r>
      <w:r w:rsidR="007F1E37">
        <w:fldChar w:fldCharType="separate"/>
      </w:r>
      <w:r w:rsidR="00705ED7">
        <w:rPr>
          <w:noProof/>
        </w:rPr>
        <w:t>13</w:t>
      </w:r>
      <w:r w:rsidR="007F1E37">
        <w:rPr>
          <w:noProof/>
        </w:rPr>
        <w:fldChar w:fldCharType="end"/>
      </w:r>
      <w:bookmarkEnd w:id="56"/>
      <w:r>
        <w:t>: Summary of safety concerns</w:t>
      </w:r>
    </w:p>
    <w:tbl>
      <w:tblPr>
        <w:tblStyle w:val="TableTGAblue2023"/>
        <w:tblW w:w="9067" w:type="dxa"/>
        <w:tblLayout w:type="fixed"/>
        <w:tblLook w:val="04A0" w:firstRow="1" w:lastRow="0" w:firstColumn="1" w:lastColumn="0" w:noHBand="0" w:noVBand="1"/>
      </w:tblPr>
      <w:tblGrid>
        <w:gridCol w:w="1838"/>
        <w:gridCol w:w="2126"/>
        <w:gridCol w:w="1134"/>
        <w:gridCol w:w="1418"/>
        <w:gridCol w:w="1134"/>
        <w:gridCol w:w="1417"/>
      </w:tblGrid>
      <w:tr w:rsidR="00127A74" w:rsidRPr="007A1992" w14:paraId="359A0C59" w14:textId="77777777" w:rsidTr="00E91F11">
        <w:trPr>
          <w:cnfStyle w:val="100000000000" w:firstRow="1" w:lastRow="0" w:firstColumn="0" w:lastColumn="0" w:oddVBand="0" w:evenVBand="0" w:oddHBand="0"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3964" w:type="dxa"/>
            <w:gridSpan w:val="2"/>
            <w:vMerge w:val="restart"/>
          </w:tcPr>
          <w:p w14:paraId="24B1F090" w14:textId="77777777" w:rsidR="00127A74" w:rsidRPr="00127A74" w:rsidRDefault="00127A74" w:rsidP="00127A74">
            <w:r w:rsidRPr="00127A74">
              <w:t>Summary of safety concerns</w:t>
            </w:r>
          </w:p>
        </w:tc>
        <w:tc>
          <w:tcPr>
            <w:tcW w:w="2552" w:type="dxa"/>
            <w:gridSpan w:val="2"/>
          </w:tcPr>
          <w:p w14:paraId="596694C9"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Pharmacovigilance</w:t>
            </w:r>
          </w:p>
        </w:tc>
        <w:tc>
          <w:tcPr>
            <w:tcW w:w="2551" w:type="dxa"/>
            <w:gridSpan w:val="2"/>
          </w:tcPr>
          <w:p w14:paraId="4F66CB82" w14:textId="77777777" w:rsidR="00127A74" w:rsidRPr="00127A74" w:rsidRDefault="00127A74" w:rsidP="00127A74">
            <w:pPr>
              <w:cnfStyle w:val="100000000000" w:firstRow="1" w:lastRow="0" w:firstColumn="0" w:lastColumn="0" w:oddVBand="0" w:evenVBand="0" w:oddHBand="0" w:evenHBand="0" w:firstRowFirstColumn="0" w:firstRowLastColumn="0" w:lastRowFirstColumn="0" w:lastRowLastColumn="0"/>
            </w:pPr>
            <w:r w:rsidRPr="00127A74">
              <w:t>Risk minimisation</w:t>
            </w:r>
          </w:p>
        </w:tc>
      </w:tr>
      <w:tr w:rsidR="00127A74" w:rsidRPr="007A1992" w14:paraId="12411E68" w14:textId="77777777" w:rsidTr="00E91F11">
        <w:trPr>
          <w:trHeight w:val="150"/>
        </w:trPr>
        <w:tc>
          <w:tcPr>
            <w:cnfStyle w:val="001000000000" w:firstRow="0" w:lastRow="0" w:firstColumn="1" w:lastColumn="0" w:oddVBand="0" w:evenVBand="0" w:oddHBand="0" w:evenHBand="0" w:firstRowFirstColumn="0" w:firstRowLastColumn="0" w:lastRowFirstColumn="0" w:lastRowLastColumn="0"/>
            <w:tcW w:w="3964" w:type="dxa"/>
            <w:gridSpan w:val="2"/>
            <w:vMerge/>
          </w:tcPr>
          <w:p w14:paraId="71D88F2A" w14:textId="77777777" w:rsidR="00127A74" w:rsidRPr="00127A74" w:rsidRDefault="00127A74" w:rsidP="00127A74"/>
        </w:tc>
        <w:tc>
          <w:tcPr>
            <w:tcW w:w="1134" w:type="dxa"/>
            <w:shd w:val="clear" w:color="auto" w:fill="DEEAF6"/>
          </w:tcPr>
          <w:p w14:paraId="1BF9407C"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8" w:type="dxa"/>
            <w:shd w:val="clear" w:color="auto" w:fill="DEEAF6"/>
          </w:tcPr>
          <w:p w14:paraId="442BA332"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c>
          <w:tcPr>
            <w:tcW w:w="1134" w:type="dxa"/>
            <w:shd w:val="clear" w:color="auto" w:fill="DEEAF6"/>
          </w:tcPr>
          <w:p w14:paraId="5920A04F"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Routine</w:t>
            </w:r>
          </w:p>
        </w:tc>
        <w:tc>
          <w:tcPr>
            <w:tcW w:w="1417" w:type="dxa"/>
            <w:shd w:val="clear" w:color="auto" w:fill="DEEAF6"/>
          </w:tcPr>
          <w:p w14:paraId="53B2ED29" w14:textId="77777777" w:rsidR="00127A74" w:rsidRPr="00127A74" w:rsidRDefault="00127A74" w:rsidP="00127A74">
            <w:pPr>
              <w:keepNext/>
              <w:cnfStyle w:val="000000000000" w:firstRow="0" w:lastRow="0" w:firstColumn="0" w:lastColumn="0" w:oddVBand="0" w:evenVBand="0" w:oddHBand="0" w:evenHBand="0" w:firstRowFirstColumn="0" w:firstRowLastColumn="0" w:lastRowFirstColumn="0" w:lastRowLastColumn="0"/>
              <w:rPr>
                <w:b/>
                <w:color w:val="263287"/>
              </w:rPr>
            </w:pPr>
            <w:r w:rsidRPr="00127A74">
              <w:rPr>
                <w:b/>
                <w:color w:val="263287"/>
              </w:rPr>
              <w:t>Additional</w:t>
            </w:r>
          </w:p>
        </w:tc>
      </w:tr>
      <w:tr w:rsidR="00E35BCC" w:rsidRPr="007A1992" w14:paraId="05599231" w14:textId="77777777" w:rsidTr="003B7142">
        <w:trPr>
          <w:trHeight w:val="137"/>
        </w:trPr>
        <w:tc>
          <w:tcPr>
            <w:cnfStyle w:val="001000000000" w:firstRow="0" w:lastRow="0" w:firstColumn="1" w:lastColumn="0" w:oddVBand="0" w:evenVBand="0" w:oddHBand="0" w:evenHBand="0" w:firstRowFirstColumn="0" w:firstRowLastColumn="0" w:lastRowFirstColumn="0" w:lastRowLastColumn="0"/>
            <w:tcW w:w="1838" w:type="dxa"/>
          </w:tcPr>
          <w:p w14:paraId="67382D75" w14:textId="77777777" w:rsidR="00E35BCC" w:rsidRPr="00127A74" w:rsidRDefault="00E35BCC" w:rsidP="00E35BCC">
            <w:pPr>
              <w:rPr>
                <w:b/>
                <w:bCs/>
              </w:rPr>
            </w:pPr>
            <w:r w:rsidRPr="00127A74">
              <w:rPr>
                <w:b/>
                <w:bCs/>
              </w:rPr>
              <w:t>Important identified risks</w:t>
            </w:r>
          </w:p>
        </w:tc>
        <w:tc>
          <w:tcPr>
            <w:tcW w:w="2126" w:type="dxa"/>
          </w:tcPr>
          <w:p w14:paraId="7134CBC0" w14:textId="6C24DFA5"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t>Erythrocytosis</w:t>
            </w:r>
          </w:p>
        </w:tc>
        <w:tc>
          <w:tcPr>
            <w:tcW w:w="1134" w:type="dxa"/>
          </w:tcPr>
          <w:p w14:paraId="11797452" w14:textId="0942C4A2"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418" w:type="dxa"/>
          </w:tcPr>
          <w:p w14:paraId="7B703318" w14:textId="2FA292E4"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t>−</w:t>
            </w:r>
          </w:p>
        </w:tc>
        <w:tc>
          <w:tcPr>
            <w:tcW w:w="1134" w:type="dxa"/>
          </w:tcPr>
          <w:p w14:paraId="1A652099" w14:textId="65099E9E"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Pr>
                <w:rFonts w:ascii="Wingdings" w:eastAsia="Wingdings" w:hAnsi="Wingdings" w:cs="Wingdings"/>
              </w:rPr>
              <w:t>ü</w:t>
            </w:r>
          </w:p>
        </w:tc>
        <w:tc>
          <w:tcPr>
            <w:tcW w:w="1417" w:type="dxa"/>
          </w:tcPr>
          <w:p w14:paraId="34A0513E" w14:textId="60D3C511"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72210A">
              <w:t>−</w:t>
            </w:r>
          </w:p>
        </w:tc>
      </w:tr>
      <w:tr w:rsidR="00E35BCC" w:rsidRPr="007A1992" w14:paraId="176B93B3" w14:textId="77777777" w:rsidTr="003B7142">
        <w:trPr>
          <w:trHeight w:val="159"/>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77F0DB3E" w14:textId="77777777" w:rsidR="00E35BCC" w:rsidRPr="00127A74" w:rsidRDefault="00E35BCC" w:rsidP="00E35BCC">
            <w:pPr>
              <w:rPr>
                <w:b/>
                <w:bCs/>
              </w:rPr>
            </w:pPr>
            <w:r w:rsidRPr="00127A74">
              <w:rPr>
                <w:b/>
                <w:bCs/>
              </w:rPr>
              <w:t>Important potential risks</w:t>
            </w:r>
          </w:p>
        </w:tc>
        <w:tc>
          <w:tcPr>
            <w:tcW w:w="2126" w:type="dxa"/>
          </w:tcPr>
          <w:p w14:paraId="6E17E14A" w14:textId="1FFC2FCF"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t>Severe thrombocytopenia</w:t>
            </w:r>
          </w:p>
        </w:tc>
        <w:tc>
          <w:tcPr>
            <w:tcW w:w="1134" w:type="dxa"/>
          </w:tcPr>
          <w:p w14:paraId="252AD92F" w14:textId="578549A5"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1E3D21">
              <w:rPr>
                <w:rFonts w:ascii="Wingdings" w:eastAsia="Wingdings" w:hAnsi="Wingdings" w:cs="Wingdings"/>
              </w:rPr>
              <w:t>ü</w:t>
            </w:r>
          </w:p>
        </w:tc>
        <w:tc>
          <w:tcPr>
            <w:tcW w:w="1418" w:type="dxa"/>
          </w:tcPr>
          <w:p w14:paraId="77DA98F1" w14:textId="31FA853D"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715F1F">
              <w:t>−</w:t>
            </w:r>
          </w:p>
        </w:tc>
        <w:tc>
          <w:tcPr>
            <w:tcW w:w="1134" w:type="dxa"/>
          </w:tcPr>
          <w:p w14:paraId="182A5096" w14:textId="07E4E6A7"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6026D2">
              <w:rPr>
                <w:rFonts w:ascii="Wingdings" w:eastAsia="Wingdings" w:hAnsi="Wingdings" w:cs="Wingdings"/>
              </w:rPr>
              <w:t>ü</w:t>
            </w:r>
          </w:p>
        </w:tc>
        <w:tc>
          <w:tcPr>
            <w:tcW w:w="1417" w:type="dxa"/>
          </w:tcPr>
          <w:p w14:paraId="2A6247DC" w14:textId="373BF824"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72210A">
              <w:t>−</w:t>
            </w:r>
          </w:p>
        </w:tc>
      </w:tr>
      <w:tr w:rsidR="00E35BCC" w:rsidRPr="007A1992" w14:paraId="6879DD51" w14:textId="77777777" w:rsidTr="003B7142">
        <w:trPr>
          <w:trHeight w:val="112"/>
        </w:trPr>
        <w:tc>
          <w:tcPr>
            <w:cnfStyle w:val="001000000000" w:firstRow="0" w:lastRow="0" w:firstColumn="1" w:lastColumn="0" w:oddVBand="0" w:evenVBand="0" w:oddHBand="0" w:evenHBand="0" w:firstRowFirstColumn="0" w:firstRowLastColumn="0" w:lastRowFirstColumn="0" w:lastRowLastColumn="0"/>
            <w:tcW w:w="1838" w:type="dxa"/>
            <w:vMerge/>
          </w:tcPr>
          <w:p w14:paraId="0DDF4587" w14:textId="77777777" w:rsidR="00E35BCC" w:rsidRPr="00127A74" w:rsidRDefault="00E35BCC" w:rsidP="00E35BCC">
            <w:pPr>
              <w:rPr>
                <w:b/>
                <w:bCs/>
              </w:rPr>
            </w:pPr>
          </w:p>
        </w:tc>
        <w:tc>
          <w:tcPr>
            <w:tcW w:w="2126" w:type="dxa"/>
          </w:tcPr>
          <w:p w14:paraId="497B025E" w14:textId="37B061B2"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t>Recurrent medication error by HCP-trained lay user causing overdose leading to erythrocytosis</w:t>
            </w:r>
          </w:p>
        </w:tc>
        <w:tc>
          <w:tcPr>
            <w:tcW w:w="1134" w:type="dxa"/>
          </w:tcPr>
          <w:p w14:paraId="0F169E14" w14:textId="2F67369A"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1E3D21">
              <w:rPr>
                <w:rFonts w:ascii="Wingdings" w:eastAsia="Wingdings" w:hAnsi="Wingdings" w:cs="Wingdings"/>
              </w:rPr>
              <w:t>ü</w:t>
            </w:r>
          </w:p>
        </w:tc>
        <w:tc>
          <w:tcPr>
            <w:tcW w:w="1418" w:type="dxa"/>
          </w:tcPr>
          <w:p w14:paraId="71BB1524" w14:textId="72D6354C"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715F1F">
              <w:t>−</w:t>
            </w:r>
          </w:p>
        </w:tc>
        <w:tc>
          <w:tcPr>
            <w:tcW w:w="1134" w:type="dxa"/>
          </w:tcPr>
          <w:p w14:paraId="312708E7" w14:textId="73713A81"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6026D2">
              <w:rPr>
                <w:rFonts w:ascii="Wingdings" w:eastAsia="Wingdings" w:hAnsi="Wingdings" w:cs="Wingdings"/>
              </w:rPr>
              <w:t>ü</w:t>
            </w:r>
          </w:p>
        </w:tc>
        <w:tc>
          <w:tcPr>
            <w:tcW w:w="1417" w:type="dxa"/>
          </w:tcPr>
          <w:p w14:paraId="418D6574" w14:textId="12AB4430"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72210A">
              <w:t>−</w:t>
            </w:r>
          </w:p>
        </w:tc>
      </w:tr>
      <w:tr w:rsidR="00E35BCC" w:rsidRPr="007A1992" w14:paraId="74C5E610" w14:textId="77777777" w:rsidTr="003B7142">
        <w:trPr>
          <w:trHeight w:val="178"/>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262C65E3" w14:textId="77777777" w:rsidR="00E35BCC" w:rsidRPr="00127A74" w:rsidRDefault="00E35BCC" w:rsidP="00E35BCC">
            <w:pPr>
              <w:rPr>
                <w:b/>
                <w:bCs/>
              </w:rPr>
            </w:pPr>
            <w:r w:rsidRPr="00127A74">
              <w:rPr>
                <w:b/>
                <w:bCs/>
              </w:rPr>
              <w:t>Missing information</w:t>
            </w:r>
          </w:p>
        </w:tc>
        <w:tc>
          <w:tcPr>
            <w:tcW w:w="2126" w:type="dxa"/>
          </w:tcPr>
          <w:p w14:paraId="104D79CD" w14:textId="4224F537"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t>Use in the paediatric population</w:t>
            </w:r>
          </w:p>
        </w:tc>
        <w:tc>
          <w:tcPr>
            <w:tcW w:w="1134" w:type="dxa"/>
          </w:tcPr>
          <w:p w14:paraId="07467A21" w14:textId="25A68EDC"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1E3D21">
              <w:rPr>
                <w:rFonts w:ascii="Wingdings" w:eastAsia="Wingdings" w:hAnsi="Wingdings" w:cs="Wingdings"/>
              </w:rPr>
              <w:t>ü</w:t>
            </w:r>
          </w:p>
        </w:tc>
        <w:tc>
          <w:tcPr>
            <w:tcW w:w="1418" w:type="dxa"/>
          </w:tcPr>
          <w:p w14:paraId="35C7F07F" w14:textId="224831B6"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135F2E">
              <w:rPr>
                <w:rFonts w:ascii="Wingdings" w:eastAsia="Wingdings" w:hAnsi="Wingdings" w:cs="Wingdings"/>
              </w:rPr>
              <w:t>ü</w:t>
            </w:r>
            <w:r w:rsidR="001312B7">
              <w:t>*</w:t>
            </w:r>
          </w:p>
        </w:tc>
        <w:tc>
          <w:tcPr>
            <w:tcW w:w="1134" w:type="dxa"/>
          </w:tcPr>
          <w:p w14:paraId="52620DEE" w14:textId="59DE5CA6"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6026D2">
              <w:rPr>
                <w:rFonts w:ascii="Wingdings" w:eastAsia="Wingdings" w:hAnsi="Wingdings" w:cs="Wingdings"/>
              </w:rPr>
              <w:t>ü</w:t>
            </w:r>
          </w:p>
        </w:tc>
        <w:tc>
          <w:tcPr>
            <w:tcW w:w="1417" w:type="dxa"/>
          </w:tcPr>
          <w:p w14:paraId="16BD3C7B" w14:textId="4F63A760"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72210A">
              <w:t>−</w:t>
            </w:r>
          </w:p>
        </w:tc>
      </w:tr>
      <w:tr w:rsidR="00E35BCC" w:rsidRPr="007A1992" w14:paraId="7D0EBB55" w14:textId="77777777" w:rsidTr="003B7142">
        <w:trPr>
          <w:trHeight w:val="103"/>
        </w:trPr>
        <w:tc>
          <w:tcPr>
            <w:cnfStyle w:val="001000000000" w:firstRow="0" w:lastRow="0" w:firstColumn="1" w:lastColumn="0" w:oddVBand="0" w:evenVBand="0" w:oddHBand="0" w:evenHBand="0" w:firstRowFirstColumn="0" w:firstRowLastColumn="0" w:lastRowFirstColumn="0" w:lastRowLastColumn="0"/>
            <w:tcW w:w="1838" w:type="dxa"/>
            <w:vMerge/>
          </w:tcPr>
          <w:p w14:paraId="51B1B281" w14:textId="77777777" w:rsidR="00E35BCC" w:rsidRPr="00127A74" w:rsidRDefault="00E35BCC" w:rsidP="00E35BCC"/>
        </w:tc>
        <w:tc>
          <w:tcPr>
            <w:tcW w:w="2126" w:type="dxa"/>
          </w:tcPr>
          <w:p w14:paraId="2919CCF1" w14:textId="2481277A"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t>Long-term safety</w:t>
            </w:r>
          </w:p>
        </w:tc>
        <w:tc>
          <w:tcPr>
            <w:tcW w:w="1134" w:type="dxa"/>
          </w:tcPr>
          <w:p w14:paraId="5DD7F75D" w14:textId="01C34A65"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1E3D21">
              <w:rPr>
                <w:rFonts w:ascii="Wingdings" w:eastAsia="Wingdings" w:hAnsi="Wingdings" w:cs="Wingdings"/>
              </w:rPr>
              <w:t>ü</w:t>
            </w:r>
          </w:p>
        </w:tc>
        <w:tc>
          <w:tcPr>
            <w:tcW w:w="1418" w:type="dxa"/>
          </w:tcPr>
          <w:p w14:paraId="4139A55E" w14:textId="46A7D5BA"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135F2E">
              <w:rPr>
                <w:rFonts w:ascii="Wingdings" w:eastAsia="Wingdings" w:hAnsi="Wingdings" w:cs="Wingdings"/>
              </w:rPr>
              <w:t>ü</w:t>
            </w:r>
            <w:r w:rsidR="001312B7">
              <w:t>†</w:t>
            </w:r>
          </w:p>
        </w:tc>
        <w:tc>
          <w:tcPr>
            <w:tcW w:w="1134" w:type="dxa"/>
          </w:tcPr>
          <w:p w14:paraId="5B89E748" w14:textId="42953AD3"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6026D2">
              <w:rPr>
                <w:rFonts w:ascii="Wingdings" w:eastAsia="Wingdings" w:hAnsi="Wingdings" w:cs="Wingdings"/>
              </w:rPr>
              <w:t>ü</w:t>
            </w:r>
          </w:p>
        </w:tc>
        <w:tc>
          <w:tcPr>
            <w:tcW w:w="1417" w:type="dxa"/>
          </w:tcPr>
          <w:p w14:paraId="547A90B8" w14:textId="3D18E1B8" w:rsidR="00E35BCC" w:rsidRPr="00127A74" w:rsidRDefault="00E35BCC" w:rsidP="00E35BCC">
            <w:pPr>
              <w:cnfStyle w:val="000000000000" w:firstRow="0" w:lastRow="0" w:firstColumn="0" w:lastColumn="0" w:oddVBand="0" w:evenVBand="0" w:oddHBand="0" w:evenHBand="0" w:firstRowFirstColumn="0" w:firstRowLastColumn="0" w:lastRowFirstColumn="0" w:lastRowLastColumn="0"/>
            </w:pPr>
            <w:r w:rsidRPr="0072210A">
              <w:t>−</w:t>
            </w:r>
          </w:p>
        </w:tc>
      </w:tr>
    </w:tbl>
    <w:p w14:paraId="54254021" w14:textId="4028F296" w:rsidR="001312B7" w:rsidRPr="006473BC" w:rsidRDefault="001312B7" w:rsidP="006473BC">
      <w:pPr>
        <w:pStyle w:val="TableDescription"/>
      </w:pPr>
      <w:r>
        <w:t>*</w:t>
      </w:r>
      <w:r w:rsidR="00D825FE">
        <w:t xml:space="preserve"> </w:t>
      </w:r>
      <w:r>
        <w:t>MOO</w:t>
      </w:r>
      <w:r w:rsidR="00D825FE">
        <w:t>NBEAM paediatric study</w:t>
      </w:r>
    </w:p>
    <w:p w14:paraId="18B9F69E" w14:textId="33EDAD95" w:rsidR="00D825FE" w:rsidRDefault="00D825FE" w:rsidP="00524452">
      <w:pPr>
        <w:pStyle w:val="TableDescription"/>
      </w:pPr>
      <w:r>
        <w:t>† SOTERIA long-term follow-up study</w:t>
      </w:r>
    </w:p>
    <w:p w14:paraId="06329F48" w14:textId="38E4E4DA" w:rsidR="002109B0" w:rsidRDefault="002109B0" w:rsidP="002109B0">
      <w:pPr>
        <w:rPr>
          <w:iCs/>
        </w:rPr>
      </w:pPr>
      <w:r w:rsidRPr="003A057B">
        <w:rPr>
          <w:iCs/>
        </w:rPr>
        <w:t>The RMP evaluat</w:t>
      </w:r>
      <w:r w:rsidR="003A057B" w:rsidRPr="003A057B">
        <w:rPr>
          <w:iCs/>
        </w:rPr>
        <w:t>ion concluded</w:t>
      </w:r>
      <w:r w:rsidRPr="003A057B">
        <w:rPr>
          <w:iCs/>
        </w:rPr>
        <w:t xml:space="preserve"> </w:t>
      </w:r>
      <w:r w:rsidR="003A057B">
        <w:rPr>
          <w:iCs/>
        </w:rPr>
        <w:t xml:space="preserve">that </w:t>
      </w:r>
      <w:r w:rsidRPr="003A057B">
        <w:rPr>
          <w:iCs/>
        </w:rPr>
        <w:t xml:space="preserve">the summary </w:t>
      </w:r>
      <w:r w:rsidR="003A057B">
        <w:rPr>
          <w:iCs/>
        </w:rPr>
        <w:t>w</w:t>
      </w:r>
      <w:r w:rsidRPr="003A057B">
        <w:rPr>
          <w:iCs/>
        </w:rPr>
        <w:t>as satisfactory. Questions were raised to the</w:t>
      </w:r>
      <w:r>
        <w:rPr>
          <w:iCs/>
        </w:rPr>
        <w:t xml:space="preserve"> sponsor about the absence in the RMP’s summary of safety concerns of embryofetal toxicity, impaired fertility and serious bleeding with concomitant prostacyclin/antithrombotic agents or low platelets. Adequate evidence was provided as to why these were not included in the summary of safety concerns.</w:t>
      </w:r>
    </w:p>
    <w:p w14:paraId="16E5DFAA" w14:textId="01BA2B68" w:rsidR="00032A0F" w:rsidRDefault="00032A0F" w:rsidP="003B149C">
      <w:r>
        <w:t>The RMP evaluation recommended conditions of registration relating to the versions of the risk management plan, requirement for periodic safety update reports, and inclusion of the medicine in the Black Triangle Scheme.</w:t>
      </w:r>
    </w:p>
    <w:p w14:paraId="74A4F87F" w14:textId="77777777" w:rsidR="00C22214" w:rsidRDefault="00C22214" w:rsidP="00C22214">
      <w:pPr>
        <w:pStyle w:val="Heading3"/>
      </w:pPr>
      <w:bookmarkStart w:id="57" w:name="_Toc103679299"/>
      <w:bookmarkStart w:id="58" w:name="_Toc202861314"/>
      <w:r>
        <w:t>Risk-benefit analysis</w:t>
      </w:r>
      <w:bookmarkEnd w:id="54"/>
      <w:bookmarkEnd w:id="55"/>
      <w:bookmarkEnd w:id="57"/>
      <w:bookmarkEnd w:id="58"/>
    </w:p>
    <w:p w14:paraId="77DE2655" w14:textId="77777777" w:rsidR="00C22214" w:rsidRDefault="00C22214" w:rsidP="00C22214">
      <w:pPr>
        <w:pStyle w:val="Heading4"/>
      </w:pPr>
      <w:bookmarkStart w:id="59" w:name="_Toc98931932"/>
      <w:bookmarkStart w:id="60" w:name="_Toc202861315"/>
      <w:r>
        <w:t>Delegate’s considerations</w:t>
      </w:r>
      <w:bookmarkEnd w:id="59"/>
      <w:bookmarkEnd w:id="60"/>
    </w:p>
    <w:p w14:paraId="0AF057EA" w14:textId="5D475B20" w:rsidR="007F3490" w:rsidRDefault="007F3490" w:rsidP="007F3490">
      <w:pPr>
        <w:pStyle w:val="Heading5"/>
      </w:pPr>
      <w:r>
        <w:t>Proposed indication</w:t>
      </w:r>
    </w:p>
    <w:p w14:paraId="4169585E" w14:textId="73CFF7FC" w:rsidR="007F3490" w:rsidRDefault="007F3490" w:rsidP="007F3490">
      <w:r>
        <w:t>The Delegate does not consider it necessary to list the potential benefits of sotatercept in the indication. The indication should identify the disease (</w:t>
      </w:r>
      <w:r w:rsidR="004E4632">
        <w:t xml:space="preserve">that is, </w:t>
      </w:r>
      <w:r>
        <w:t>pulmonary arterial hypertension) and the patient group (</w:t>
      </w:r>
      <w:r w:rsidR="004E4632">
        <w:t xml:space="preserve">that is, </w:t>
      </w:r>
      <w:r>
        <w:t>adults, WHO class etc). It may also describe which PAH subtypes efficacy has been shown in (with the intention to provide information to the prescriber, rather than formally limit usage). A suitable indication would be:</w:t>
      </w:r>
    </w:p>
    <w:p w14:paraId="016FD602" w14:textId="77777777" w:rsidR="007F3490" w:rsidRPr="006473BC" w:rsidRDefault="007F3490" w:rsidP="006473BC">
      <w:pPr>
        <w:ind w:left="720"/>
        <w:rPr>
          <w:i/>
          <w:iCs/>
        </w:rPr>
      </w:pPr>
      <w:r w:rsidRPr="006473BC">
        <w:rPr>
          <w:i/>
          <w:iCs/>
        </w:rPr>
        <w:lastRenderedPageBreak/>
        <w:t>Sotatercept is indicated for the treatment of adults with pulmonary arterial hypertension (PAH) in WHO Functional Class (FC) II or III, in combination with standard therapy.</w:t>
      </w:r>
    </w:p>
    <w:p w14:paraId="3A71C59F" w14:textId="0C69626E" w:rsidR="007F3490" w:rsidRPr="00950930" w:rsidRDefault="007F3490" w:rsidP="007F3490">
      <w:r w:rsidRPr="00950930">
        <w:t>Efficacy has been shown in idiopathic and heritable PAH, PAH associated with connective tissue disease, drug or toxin-induced PAH</w:t>
      </w:r>
      <w:r w:rsidR="004E4632">
        <w:t>,</w:t>
      </w:r>
      <w:r w:rsidRPr="00950930">
        <w:t xml:space="preserve"> and PAH associated with congenital heart disease with repaired shunts.</w:t>
      </w:r>
    </w:p>
    <w:p w14:paraId="44964657" w14:textId="315B7D6F" w:rsidR="007F3490" w:rsidRDefault="007F3490" w:rsidP="007F3490">
      <w:pPr>
        <w:pStyle w:val="Heading5"/>
      </w:pPr>
      <w:r>
        <w:t>Efficacy</w:t>
      </w:r>
    </w:p>
    <w:p w14:paraId="541562E7" w14:textId="77AF8D21" w:rsidR="007F3490" w:rsidRDefault="007F3490" w:rsidP="007F3490">
      <w:r>
        <w:t>The STELLAR study demonstrated a statistically and clinically significant benefit of sotatercept (0.3</w:t>
      </w:r>
      <w:r w:rsidR="004E4632">
        <w:t> </w:t>
      </w:r>
      <w:r>
        <w:t>mg/kg, followed by 0.7</w:t>
      </w:r>
      <w:r w:rsidR="004E4632">
        <w:t> </w:t>
      </w:r>
      <w:r>
        <w:t>mg/kg, every 3 weeks) over placebo on its primary outcome, the 6</w:t>
      </w:r>
      <w:r w:rsidR="004E4632">
        <w:t>MWD</w:t>
      </w:r>
      <w:r>
        <w:t xml:space="preserve">. This was in a population of patients with PAH (mainly idiopathic, heritable, associated with </w:t>
      </w:r>
      <w:r w:rsidR="00337BBC">
        <w:t>connective tissue disease</w:t>
      </w:r>
      <w:r>
        <w:t>) and in WHO functional classes II and III who were already treated with at least one other agent, but much more commonly 2 or 3 other agents. This population has a significant symptom burden, impaired quality of life, and risk of clinical deterioration despite standard of care therapies. It stands to benefit significantly from an additional efficacious therapy.</w:t>
      </w:r>
    </w:p>
    <w:p w14:paraId="538015F4" w14:textId="31177968" w:rsidR="007F3490" w:rsidRDefault="007F3490" w:rsidP="007F3490">
      <w:r>
        <w:t>In addition to the primary efficacy outcome, all but one secondary endpoint found significant differences favouring sotatercept over placebo. Some of these endpoints are consistent with benefit on aspects of PAH of major importance to patients and physicians, such as a large improvement in the risk of death or first clinical worsening event (as a composite endpoint), and a better chance of achieving a low</w:t>
      </w:r>
      <w:r w:rsidR="00FF0FEE">
        <w:t>-</w:t>
      </w:r>
      <w:r>
        <w:t>risk French risk score.</w:t>
      </w:r>
    </w:p>
    <w:p w14:paraId="73D709E7" w14:textId="7C045C53" w:rsidR="007F3490" w:rsidRDefault="007F3490" w:rsidP="007F3490">
      <w:r>
        <w:t>Following the 24</w:t>
      </w:r>
      <w:r w:rsidR="004E4632">
        <w:t>-</w:t>
      </w:r>
      <w:r>
        <w:t>week double</w:t>
      </w:r>
      <w:r w:rsidR="00020911">
        <w:t>-</w:t>
      </w:r>
      <w:r>
        <w:t>blind placebo</w:t>
      </w:r>
      <w:r w:rsidR="00FF0FEE">
        <w:t>-</w:t>
      </w:r>
      <w:r>
        <w:t>controlled period of STELLAR, patients appeared to maintain benefit in terms of their 6MWD. In addition, a high proportion of patients completed their parent studies and rolled over into the long-term, open-label SOTERIA study. These facts suggest that the effectiveness of sotatercept may be durable over 12 months and potentially beyond. Supportive studies PULSAR and SPECTRA also provided data consistent with the major conclusions from the pivotal study.</w:t>
      </w:r>
    </w:p>
    <w:p w14:paraId="1BA3E213" w14:textId="710E897D" w:rsidR="007F3490" w:rsidRDefault="007F3490" w:rsidP="007F3490">
      <w:r>
        <w:t xml:space="preserve">The </w:t>
      </w:r>
      <w:r w:rsidR="004E4632">
        <w:t>D</w:t>
      </w:r>
      <w:r>
        <w:t>elegate considers the efficacy of sotatercept for PAH as sufficiently established.</w:t>
      </w:r>
    </w:p>
    <w:p w14:paraId="0F79D89E" w14:textId="404523B3" w:rsidR="007F3490" w:rsidRDefault="007F3490" w:rsidP="007F3490">
      <w:pPr>
        <w:pStyle w:val="Heading5"/>
      </w:pPr>
      <w:r>
        <w:t>Safety</w:t>
      </w:r>
    </w:p>
    <w:p w14:paraId="5077EA42" w14:textId="61ED7980" w:rsidR="007F3490" w:rsidRDefault="007F3490" w:rsidP="007F3490">
      <w:r>
        <w:t xml:space="preserve">The safety set derived from </w:t>
      </w:r>
      <w:proofErr w:type="gramStart"/>
      <w:r>
        <w:t>STELLAR,</w:t>
      </w:r>
      <w:proofErr w:type="gramEnd"/>
      <w:r>
        <w:t xml:space="preserve"> PULSAR and SPECTRA included 431 patients exposed to sotatercept. The median duration of exposure was 657 </w:t>
      </w:r>
      <w:proofErr w:type="gramStart"/>
      <w:r>
        <w:t>days</w:t>
      </w:r>
      <w:proofErr w:type="gramEnd"/>
      <w:r>
        <w:t xml:space="preserve"> and the overall exposure was 923.7 person-years of exposure. A total of 343 were exposed to sotatercept for at least a year. This </w:t>
      </w:r>
      <w:r w:rsidRPr="00337BBC">
        <w:t xml:space="preserve">represents exposure that is consistent with the TGA-adopted guideline </w:t>
      </w:r>
      <w:r w:rsidRPr="00337BBC">
        <w:rPr>
          <w:i/>
          <w:iCs/>
        </w:rPr>
        <w:t>The Extent of Population Exposure to Assess Clinical Safety</w:t>
      </w:r>
      <w:r w:rsidRPr="00337BBC">
        <w:t xml:space="preserve"> and is also sufficient to allow an overall benefit–risk</w:t>
      </w:r>
      <w:r>
        <w:t xml:space="preserve"> assessment to be made.</w:t>
      </w:r>
    </w:p>
    <w:p w14:paraId="2362BD0C" w14:textId="3ED0A6C0" w:rsidR="007F3490" w:rsidRDefault="007F3490" w:rsidP="007F3490">
      <w:r>
        <w:t>During the combined double</w:t>
      </w:r>
      <w:r w:rsidR="008A509A">
        <w:t>-</w:t>
      </w:r>
      <w:r>
        <w:t>blind placebo</w:t>
      </w:r>
      <w:r w:rsidR="00FF0FEE">
        <w:t>-</w:t>
      </w:r>
      <w:r>
        <w:t>controlled periods of STELLAR and PULSAR (</w:t>
      </w:r>
      <w:r w:rsidR="004E4632">
        <w:t>that is, Pool A</w:t>
      </w:r>
      <w:r>
        <w:t>) there were less severe AEs, serious AEs or AEs leading to death in the sotatercept arms, implying a generally favourable safety profile.</w:t>
      </w:r>
    </w:p>
    <w:p w14:paraId="1DFB2B63" w14:textId="5FA14DFC" w:rsidR="007F3490" w:rsidRDefault="007F3490" w:rsidP="007F3490">
      <w:r>
        <w:t xml:space="preserve">Safety signals for sotatercept include increased haemoglobin, thrombocytopenia, telangiectasia and bleeding events. The first </w:t>
      </w:r>
      <w:r w:rsidR="00BA2026">
        <w:t>2</w:t>
      </w:r>
      <w:r>
        <w:t xml:space="preserve"> of these can be reasonably managed through monitoring and dose adjustment (including withholding dosing) and the telangiectasia were generally not </w:t>
      </w:r>
      <w:proofErr w:type="gramStart"/>
      <w:r>
        <w:t>serious in their own right</w:t>
      </w:r>
      <w:proofErr w:type="gramEnd"/>
      <w:r>
        <w:t xml:space="preserve"> (although potentially associated with bleeding events). Bleeding events remain a concern and there were </w:t>
      </w:r>
      <w:r w:rsidR="00186FC2">
        <w:t>3</w:t>
      </w:r>
      <w:r>
        <w:t xml:space="preserve"> fatal events in patients on sotatercept (2</w:t>
      </w:r>
      <w:r w:rsidR="00337BBC">
        <w:t> </w:t>
      </w:r>
      <w:r>
        <w:t xml:space="preserve">gastrointestinal bleeds and 1 intracranial haemorrhage). Potential risk factors for bleeding include thrombocytopenia, antithrombotic drugs and prostacyclin use. These issues are covered in </w:t>
      </w:r>
      <w:r w:rsidR="004E4632">
        <w:t xml:space="preserve">the </w:t>
      </w:r>
      <w:r>
        <w:t xml:space="preserve">PI </w:t>
      </w:r>
      <w:r w:rsidR="004E4632">
        <w:t xml:space="preserve">in section </w:t>
      </w:r>
      <w:r>
        <w:t xml:space="preserve">4.4 </w:t>
      </w:r>
      <w:r w:rsidR="004E4632">
        <w:t xml:space="preserve">on </w:t>
      </w:r>
      <w:r>
        <w:t>Special Warnings and Precautions.</w:t>
      </w:r>
    </w:p>
    <w:p w14:paraId="47BC2704" w14:textId="50F08D27" w:rsidR="007F3490" w:rsidRDefault="007F3490" w:rsidP="007F3490">
      <w:r>
        <w:lastRenderedPageBreak/>
        <w:t>The nonclinical toxicological signal for embryo-</w:t>
      </w:r>
      <w:proofErr w:type="spellStart"/>
      <w:r>
        <w:t>fetal</w:t>
      </w:r>
      <w:proofErr w:type="spellEnd"/>
      <w:r>
        <w:t xml:space="preserve"> toxicity has resulted in a pregnancy Category D and strict contraception requirements. Nonclinical fertility impairments were also evident and considered relevant to clinical use. </w:t>
      </w:r>
      <w:proofErr w:type="gramStart"/>
      <w:r>
        <w:t>Both of these</w:t>
      </w:r>
      <w:proofErr w:type="gramEnd"/>
      <w:r>
        <w:t xml:space="preserve"> issues are treated in section 4.4 of the PI.</w:t>
      </w:r>
    </w:p>
    <w:p w14:paraId="1831AB2F" w14:textId="204AA5F0" w:rsidR="007F3490" w:rsidRDefault="007F3490" w:rsidP="007F3490">
      <w:r>
        <w:t>The Delegate considers the safety profile of sotatercept as reasonably well defined, by both the number of patients already exposed and the duration of exposure. There are risks, including some that are serious and potentially fatal (bleeding, increased haemoglobin, thrombocytopenia), but are considered manageable through information and warnings in the PI, instructions on dose modification</w:t>
      </w:r>
      <w:r w:rsidR="004E4632">
        <w:t>,</w:t>
      </w:r>
      <w:r>
        <w:t xml:space="preserve"> and avoiding use in high</w:t>
      </w:r>
      <w:r w:rsidR="00FF0FEE">
        <w:t>-</w:t>
      </w:r>
      <w:r>
        <w:t>risk situations.</w:t>
      </w:r>
    </w:p>
    <w:p w14:paraId="4480DEAD" w14:textId="107134BC" w:rsidR="007F3490" w:rsidRDefault="007F3490" w:rsidP="007F3490">
      <w:r>
        <w:t xml:space="preserve">The </w:t>
      </w:r>
      <w:r w:rsidR="004E4632">
        <w:t>s</w:t>
      </w:r>
      <w:r>
        <w:t>ponsor has proposed use in extremes of weight not covered by the clinical trials (</w:t>
      </w:r>
      <w:r w:rsidR="004E4632">
        <w:t xml:space="preserve">that is, </w:t>
      </w:r>
      <w:r>
        <w:t>30</w:t>
      </w:r>
      <w:r w:rsidR="004E4632">
        <w:t>−</w:t>
      </w:r>
      <w:r>
        <w:t>40</w:t>
      </w:r>
      <w:r w:rsidR="004E4632">
        <w:t> </w:t>
      </w:r>
      <w:r>
        <w:t>kg and &gt;</w:t>
      </w:r>
      <w:r w:rsidR="004E4632">
        <w:t> </w:t>
      </w:r>
      <w:r>
        <w:t>140</w:t>
      </w:r>
      <w:r w:rsidR="004E4632">
        <w:t> </w:t>
      </w:r>
      <w:r>
        <w:t>kg) and the</w:t>
      </w:r>
      <w:r w:rsidR="004E4632">
        <w:t xml:space="preserve"> sponsor</w:t>
      </w:r>
      <w:r>
        <w:t xml:space="preserve"> and the ACM will be asked about this.</w:t>
      </w:r>
    </w:p>
    <w:p w14:paraId="45E6CDF1" w14:textId="1206F138" w:rsidR="007F3490" w:rsidRDefault="007F3490" w:rsidP="007F3490">
      <w:pPr>
        <w:pStyle w:val="Heading5"/>
      </w:pPr>
      <w:r>
        <w:t>Deficiencies in the data</w:t>
      </w:r>
    </w:p>
    <w:p w14:paraId="42776A65" w14:textId="2E206432" w:rsidR="007F3490" w:rsidRDefault="007F3490" w:rsidP="007F3490">
      <w:r>
        <w:t>Certain aetiologies of PAH were not included in the studies (</w:t>
      </w:r>
      <w:r w:rsidR="004E4632">
        <w:t xml:space="preserve">for example, </w:t>
      </w:r>
      <w:r>
        <w:t>HIV associated, liver disease associated) and there are no data about use of sotatercept in such patients. This is not unexpected given the rarity of those conditions.</w:t>
      </w:r>
    </w:p>
    <w:p w14:paraId="7A398858" w14:textId="5760E98D" w:rsidR="007F3490" w:rsidRDefault="007F3490" w:rsidP="007F3490">
      <w:r>
        <w:t xml:space="preserve">Of note, the subgroup analysis of the STELLAR trial found smaller increases in 6MWD for certain subgroups, </w:t>
      </w:r>
      <w:proofErr w:type="gramStart"/>
      <w:r>
        <w:t>in particular</w:t>
      </w:r>
      <w:proofErr w:type="gramEnd"/>
      <w:r>
        <w:t xml:space="preserve"> those patients with connective tissue disease (+8.7</w:t>
      </w:r>
      <w:r w:rsidR="004E4632">
        <w:t> </w:t>
      </w:r>
      <w:r>
        <w:t xml:space="preserve">m difference between sotatercept and placebo). Whilst there are limitations to this analysis based on the </w:t>
      </w:r>
      <w:r w:rsidR="00337BBC">
        <w:t xml:space="preserve">connective tissue disease </w:t>
      </w:r>
      <w:r>
        <w:t xml:space="preserve">subgroup size (29 exposed to sotatercept; 19 to placebo), it is also possible that the effect size is smaller. Reduced efficacy could be related to other aspects of </w:t>
      </w:r>
      <w:r w:rsidR="00337BBC">
        <w:t>connective tissue disease</w:t>
      </w:r>
      <w:r>
        <w:t xml:space="preserve"> affecting the 6MWD, such as pulmonary fibrosis, arthritis or corticosteroid-related myopathy.</w:t>
      </w:r>
    </w:p>
    <w:p w14:paraId="3CE37D68" w14:textId="2823C9D3" w:rsidR="007F3490" w:rsidRDefault="007F3490" w:rsidP="007F3490">
      <w:pPr>
        <w:pStyle w:val="Heading5"/>
      </w:pPr>
      <w:r>
        <w:t>Risk-benefit-uncertainty assessment</w:t>
      </w:r>
    </w:p>
    <w:p w14:paraId="7E4EDEB0" w14:textId="7E42773C" w:rsidR="007F3490" w:rsidRDefault="007F3490" w:rsidP="007F3490">
      <w:r>
        <w:t>The Delegate considers the benefit</w:t>
      </w:r>
      <w:r w:rsidR="004E4632">
        <w:t>−</w:t>
      </w:r>
      <w:r>
        <w:t xml:space="preserve">risk assessment as favouring use of sotatercept in adults with PAH in WHO functional class II and III and who are receiving standard of care therapy. Sotatercept is likely to result in improvement in exercise capacity, reduction in symptoms and reduced clinical worsening events, in particular the need for rescue therapy, hospitalisation or deterioration. There may be a mortality benefit from adding sotatercept to background PAH therapy, although this is not proven </w:t>
      </w:r>
      <w:proofErr w:type="gramStart"/>
      <w:r>
        <w:t>as yet</w:t>
      </w:r>
      <w:proofErr w:type="gramEnd"/>
      <w:r>
        <w:t>.</w:t>
      </w:r>
    </w:p>
    <w:p w14:paraId="32C1F2F6" w14:textId="4B5382B1" w:rsidR="007F3490" w:rsidRDefault="007F3490" w:rsidP="007F3490">
      <w:r>
        <w:t>The risks of sotatercept can be managed through monitoring, appropriate warnings (</w:t>
      </w:r>
      <w:r w:rsidR="004E4632">
        <w:t>for example,</w:t>
      </w:r>
      <w:r>
        <w:t xml:space="preserve"> to seek early medical attention) and avoiding use in high</w:t>
      </w:r>
      <w:r w:rsidR="00FF0FEE">
        <w:t>-</w:t>
      </w:r>
      <w:r>
        <w:t>risk situations, such as pregnancy. Although there is still likely to be residual risk, including for severe bleeding events and death, it appears to be outweighed by the benefits of sotatercept.</w:t>
      </w:r>
    </w:p>
    <w:p w14:paraId="3916F296" w14:textId="77777777" w:rsidR="00C22214" w:rsidRDefault="00C22214" w:rsidP="00C22214">
      <w:pPr>
        <w:pStyle w:val="Heading4"/>
      </w:pPr>
      <w:bookmarkStart w:id="61" w:name="_Toc98931933"/>
      <w:bookmarkStart w:id="62" w:name="_Toc202861316"/>
      <w:r w:rsidRPr="00D23139">
        <w:t>Proposed action</w:t>
      </w:r>
      <w:bookmarkEnd w:id="61"/>
      <w:bookmarkEnd w:id="62"/>
    </w:p>
    <w:p w14:paraId="48713623" w14:textId="77777777" w:rsidR="00FA0F09" w:rsidRPr="008558D6" w:rsidRDefault="00FA0F09" w:rsidP="00FA0F09">
      <w:pPr>
        <w:pStyle w:val="Instructions"/>
        <w:rPr>
          <w:i w:val="0"/>
          <w:iCs/>
          <w:color w:val="auto"/>
        </w:rPr>
      </w:pPr>
      <w:r>
        <w:rPr>
          <w:i w:val="0"/>
          <w:iCs/>
          <w:color w:val="auto"/>
        </w:rPr>
        <w:t>The Delegate supports approval of sotatercept for treating adults with PAH in WHO FC II and III, in combination with standard therapy.</w:t>
      </w:r>
    </w:p>
    <w:p w14:paraId="47F7BEFE" w14:textId="77777777" w:rsidR="00746C60" w:rsidRDefault="00746C60">
      <w:pPr>
        <w:rPr>
          <w:rFonts w:ascii="Arial" w:eastAsia="Cambria" w:hAnsi="Arial" w:cs="Times New Roman"/>
          <w:b/>
          <w:bCs/>
          <w:color w:val="001871"/>
          <w:sz w:val="28"/>
          <w:szCs w:val="26"/>
        </w:rPr>
      </w:pPr>
      <w:bookmarkStart w:id="63" w:name="_Toc98931934"/>
      <w:r>
        <w:br w:type="page"/>
      </w:r>
    </w:p>
    <w:p w14:paraId="07994E9B" w14:textId="5D3150DB" w:rsidR="00C22214" w:rsidRDefault="00C22214" w:rsidP="00C22214">
      <w:pPr>
        <w:pStyle w:val="Heading4"/>
      </w:pPr>
      <w:bookmarkStart w:id="64" w:name="_Toc202861317"/>
      <w:r>
        <w:lastRenderedPageBreak/>
        <w:t>Questions for the sponsor</w:t>
      </w:r>
      <w:bookmarkEnd w:id="63"/>
      <w:bookmarkEnd w:id="64"/>
    </w:p>
    <w:p w14:paraId="1F694596" w14:textId="77777777" w:rsidR="00C22214" w:rsidRPr="00BD5DBD" w:rsidRDefault="00C22214" w:rsidP="00C22214">
      <w:pPr>
        <w:rPr>
          <w:szCs w:val="22"/>
        </w:rPr>
      </w:pPr>
      <w:r w:rsidRPr="00BD5DBD">
        <w:rPr>
          <w:szCs w:val="22"/>
        </w:rPr>
        <w:t>The sponsor provided the following response to questions from the Delegate.</w:t>
      </w:r>
    </w:p>
    <w:p w14:paraId="56511693" w14:textId="63BB01DF" w:rsidR="00C64C37" w:rsidRPr="001A5A12" w:rsidRDefault="003D2827" w:rsidP="001A5A12">
      <w:pPr>
        <w:pStyle w:val="Numberbullet0"/>
        <w:numPr>
          <w:ilvl w:val="0"/>
          <w:numId w:val="29"/>
        </w:numPr>
        <w:rPr>
          <w:b/>
          <w:bCs/>
          <w:i/>
          <w:iCs/>
        </w:rPr>
      </w:pPr>
      <w:r w:rsidRPr="001A5A12">
        <w:rPr>
          <w:b/>
          <w:bCs/>
          <w:i/>
          <w:iCs/>
        </w:rPr>
        <w:t>See International status</w:t>
      </w:r>
    </w:p>
    <w:p w14:paraId="449A134C" w14:textId="47244AA9" w:rsidR="00CB1830" w:rsidRPr="001A5A12" w:rsidRDefault="00CB1830" w:rsidP="001A5A12">
      <w:pPr>
        <w:pStyle w:val="Numberbullet0"/>
        <w:rPr>
          <w:b/>
          <w:bCs/>
          <w:i/>
          <w:iCs/>
        </w:rPr>
      </w:pPr>
      <w:r w:rsidRPr="001A5A12">
        <w:rPr>
          <w:b/>
          <w:bCs/>
          <w:i/>
          <w:iCs/>
        </w:rPr>
        <w:t>Is the increased bleeding risk associated with telangiectasia development or connective tissue</w:t>
      </w:r>
      <w:r w:rsidR="003A7D2F" w:rsidRPr="001A5A12">
        <w:rPr>
          <w:b/>
          <w:bCs/>
          <w:i/>
          <w:iCs/>
        </w:rPr>
        <w:t xml:space="preserve"> </w:t>
      </w:r>
      <w:r w:rsidRPr="001A5A12">
        <w:rPr>
          <w:b/>
          <w:bCs/>
          <w:i/>
          <w:iCs/>
        </w:rPr>
        <w:t>disease?</w:t>
      </w:r>
    </w:p>
    <w:p w14:paraId="18EB6492" w14:textId="0334DC4D" w:rsidR="00CB1830" w:rsidRDefault="00CB1830" w:rsidP="00CB1830">
      <w:r>
        <w:t>Among participants with the Adverse Event of Special Interest (AESI) telangiectasia treated</w:t>
      </w:r>
      <w:r w:rsidR="00BA3761">
        <w:t xml:space="preserve"> </w:t>
      </w:r>
      <w:r>
        <w:t>with sotatercept, epistaxis was reported approximately twice as frequently relative to all</w:t>
      </w:r>
      <w:r w:rsidR="00BA3761">
        <w:t xml:space="preserve"> </w:t>
      </w:r>
      <w:r>
        <w:t>sotatercept-treated participants</w:t>
      </w:r>
      <w:r w:rsidR="005D0250">
        <w:t>.</w:t>
      </w:r>
      <w:r>
        <w:t xml:space="preserve"> No participant with the AESI</w:t>
      </w:r>
      <w:r w:rsidR="00BA3761">
        <w:t xml:space="preserve"> </w:t>
      </w:r>
      <w:r>
        <w:t>telangiectasia was reported with a serious bleeding event.</w:t>
      </w:r>
    </w:p>
    <w:p w14:paraId="4B43FE5F" w14:textId="753032ED" w:rsidR="00CB1830" w:rsidRDefault="00CB1830" w:rsidP="00CB1830">
      <w:r>
        <w:t xml:space="preserve">A greater proportion of participants </w:t>
      </w:r>
      <w:r w:rsidR="00C00B39">
        <w:t>(</w:t>
      </w:r>
      <w:r>
        <w:t>9</w:t>
      </w:r>
      <w:r w:rsidR="00C00B39">
        <w:t xml:space="preserve"> of </w:t>
      </w:r>
      <w:r>
        <w:t>70</w:t>
      </w:r>
      <w:r w:rsidR="00C00B39">
        <w:t xml:space="preserve">; </w:t>
      </w:r>
      <w:r>
        <w:t>12.9%) on sotatercept in the Safety Update Report</w:t>
      </w:r>
      <w:r w:rsidR="00BA3761">
        <w:t xml:space="preserve"> </w:t>
      </w:r>
      <w:r>
        <w:t>2 (SUR2) population who developed serious bleeding had PAH associated with connective</w:t>
      </w:r>
      <w:r w:rsidR="00BA3761">
        <w:t xml:space="preserve"> </w:t>
      </w:r>
      <w:r>
        <w:t xml:space="preserve">tissue disease when compared with all sotatercept-treated participants </w:t>
      </w:r>
      <w:r w:rsidR="00C00B39">
        <w:t>(</w:t>
      </w:r>
      <w:r>
        <w:t>30</w:t>
      </w:r>
      <w:r w:rsidR="00C00B39">
        <w:t xml:space="preserve"> of </w:t>
      </w:r>
      <w:r>
        <w:t>431</w:t>
      </w:r>
      <w:r w:rsidR="00C00B39">
        <w:t xml:space="preserve">; </w:t>
      </w:r>
      <w:r>
        <w:t>7.0%). The relatively low numbers of</w:t>
      </w:r>
      <w:r w:rsidR="00BA3761">
        <w:t xml:space="preserve"> </w:t>
      </w:r>
      <w:r>
        <w:t>participants with PAH associated with connective tissue disease who experienced serious</w:t>
      </w:r>
      <w:r w:rsidR="00BA3761">
        <w:t xml:space="preserve"> </w:t>
      </w:r>
      <w:r>
        <w:t>bleeding events limits interpretability.</w:t>
      </w:r>
    </w:p>
    <w:p w14:paraId="7233E3F4" w14:textId="7457EF7D" w:rsidR="00CB1830" w:rsidRPr="001A5A12" w:rsidRDefault="00CB1830" w:rsidP="001A5A12">
      <w:pPr>
        <w:pStyle w:val="Numberbullet0"/>
        <w:rPr>
          <w:b/>
          <w:bCs/>
          <w:i/>
          <w:iCs/>
        </w:rPr>
      </w:pPr>
      <w:r w:rsidRPr="001A5A12">
        <w:rPr>
          <w:b/>
          <w:bCs/>
          <w:i/>
          <w:iCs/>
        </w:rPr>
        <w:t xml:space="preserve">There is a warning in the PI about </w:t>
      </w:r>
      <w:r w:rsidR="00CD6BA9" w:rsidRPr="001A5A12">
        <w:rPr>
          <w:b/>
          <w:bCs/>
          <w:i/>
          <w:iCs/>
        </w:rPr>
        <w:t>‘</w:t>
      </w:r>
      <w:r w:rsidRPr="001A5A12">
        <w:rPr>
          <w:b/>
          <w:bCs/>
          <w:i/>
          <w:iCs/>
        </w:rPr>
        <w:t>serious bleeding events (e.g., gastrointestinal,</w:t>
      </w:r>
      <w:r w:rsidR="003A7D2F" w:rsidRPr="001A5A12">
        <w:rPr>
          <w:b/>
          <w:bCs/>
          <w:i/>
          <w:iCs/>
        </w:rPr>
        <w:t xml:space="preserve"> </w:t>
      </w:r>
      <w:r w:rsidRPr="001A5A12">
        <w:rPr>
          <w:b/>
          <w:bCs/>
          <w:i/>
          <w:iCs/>
        </w:rPr>
        <w:t>intracranial)</w:t>
      </w:r>
      <w:r w:rsidR="00CD6BA9" w:rsidRPr="001A5A12">
        <w:rPr>
          <w:b/>
          <w:bCs/>
          <w:i/>
          <w:iCs/>
        </w:rPr>
        <w:t>’</w:t>
      </w:r>
      <w:r w:rsidRPr="001A5A12">
        <w:rPr>
          <w:b/>
          <w:bCs/>
          <w:i/>
          <w:iCs/>
        </w:rPr>
        <w:t>. Is there a signal for lower respiratory tract bleeding / haemoptysis with use of</w:t>
      </w:r>
      <w:r w:rsidR="003A7D2F" w:rsidRPr="001A5A12">
        <w:rPr>
          <w:b/>
          <w:bCs/>
          <w:i/>
          <w:iCs/>
        </w:rPr>
        <w:t xml:space="preserve"> </w:t>
      </w:r>
      <w:r w:rsidRPr="001A5A12">
        <w:rPr>
          <w:b/>
          <w:bCs/>
          <w:i/>
          <w:iCs/>
        </w:rPr>
        <w:t>sotatercept?</w:t>
      </w:r>
    </w:p>
    <w:p w14:paraId="4C3006C0" w14:textId="59E7F05F" w:rsidR="009142D3" w:rsidRDefault="00CB1830" w:rsidP="009142D3">
      <w:r>
        <w:t>The data are insufficient to determine whether there is a signal of lower respiratory tract</w:t>
      </w:r>
      <w:r w:rsidR="00BA3761">
        <w:t xml:space="preserve"> </w:t>
      </w:r>
      <w:r>
        <w:t>bleeding with sotatercept. H</w:t>
      </w:r>
      <w:r w:rsidR="005B511B">
        <w:t>a</w:t>
      </w:r>
      <w:r>
        <w:t>emoptysis occurred at similar rates in the placebo (3</w:t>
      </w:r>
      <w:r w:rsidR="0059524D">
        <w:t xml:space="preserve"> of </w:t>
      </w:r>
      <w:r>
        <w:t>160</w:t>
      </w:r>
      <w:r w:rsidR="0059524D">
        <w:t xml:space="preserve">; </w:t>
      </w:r>
      <w:r>
        <w:t>1.9%)</w:t>
      </w:r>
      <w:r w:rsidR="00BA3761">
        <w:t xml:space="preserve"> </w:t>
      </w:r>
      <w:r>
        <w:t>and sotatercept (4</w:t>
      </w:r>
      <w:r w:rsidR="0059524D">
        <w:t xml:space="preserve"> of </w:t>
      </w:r>
      <w:r>
        <w:t>163</w:t>
      </w:r>
      <w:r w:rsidR="0059524D">
        <w:t>;</w:t>
      </w:r>
      <w:r w:rsidR="005B511B">
        <w:t xml:space="preserve"> </w:t>
      </w:r>
      <w:r>
        <w:t>2.5%) groups in STELLAR. No serious adverse events (SAEs) of h</w:t>
      </w:r>
      <w:r w:rsidR="005B511B">
        <w:t>a</w:t>
      </w:r>
      <w:r>
        <w:t>emoptysis were</w:t>
      </w:r>
      <w:r w:rsidR="00BA3761">
        <w:t xml:space="preserve"> </w:t>
      </w:r>
      <w:r>
        <w:t>reported in the placebo group. Of the 4</w:t>
      </w:r>
      <w:r w:rsidR="00E94044">
        <w:t> </w:t>
      </w:r>
      <w:r>
        <w:t>participants in the sotatercept group with h</w:t>
      </w:r>
      <w:r w:rsidR="00E94044">
        <w:t>a</w:t>
      </w:r>
      <w:r>
        <w:t>emoptysis</w:t>
      </w:r>
      <w:r w:rsidR="00BA3761">
        <w:t xml:space="preserve"> </w:t>
      </w:r>
      <w:r>
        <w:t>events, 2 experienced SAEs of h</w:t>
      </w:r>
      <w:r w:rsidR="00E94044">
        <w:t>a</w:t>
      </w:r>
      <w:r>
        <w:t xml:space="preserve">emoptysis, 1 of which </w:t>
      </w:r>
      <w:proofErr w:type="gramStart"/>
      <w:r>
        <w:t>was considered to be</w:t>
      </w:r>
      <w:proofErr w:type="gramEnd"/>
      <w:r>
        <w:t xml:space="preserve"> related to study</w:t>
      </w:r>
      <w:r w:rsidR="00BA3761">
        <w:t xml:space="preserve"> </w:t>
      </w:r>
      <w:r>
        <w:t>intervention by the investigator</w:t>
      </w:r>
      <w:r w:rsidR="00E94044">
        <w:t>.</w:t>
      </w:r>
      <w:r w:rsidR="009142D3">
        <w:t xml:space="preserve"> No other event </w:t>
      </w:r>
      <w:proofErr w:type="gramStart"/>
      <w:r w:rsidR="009142D3">
        <w:t>was considered to be</w:t>
      </w:r>
      <w:proofErr w:type="gramEnd"/>
      <w:r w:rsidR="009142D3">
        <w:t xml:space="preserve"> related to study intervention by the investigator.</w:t>
      </w:r>
    </w:p>
    <w:p w14:paraId="63AA1133" w14:textId="75BABBF1" w:rsidR="009142D3" w:rsidRPr="001A5A12" w:rsidRDefault="009142D3" w:rsidP="001A5A12">
      <w:pPr>
        <w:pStyle w:val="Numberbullet0"/>
        <w:rPr>
          <w:b/>
          <w:bCs/>
          <w:i/>
          <w:iCs/>
        </w:rPr>
      </w:pPr>
      <w:r w:rsidRPr="001A5A12">
        <w:rPr>
          <w:b/>
          <w:bCs/>
          <w:i/>
          <w:iCs/>
        </w:rPr>
        <w:t>What changes to background PAH therapy occurred in the placebo and sotatercept arms</w:t>
      </w:r>
      <w:r w:rsidR="00BA3761" w:rsidRPr="001A5A12">
        <w:rPr>
          <w:b/>
          <w:bCs/>
          <w:i/>
          <w:iCs/>
        </w:rPr>
        <w:t xml:space="preserve"> </w:t>
      </w:r>
      <w:r w:rsidRPr="001A5A12">
        <w:rPr>
          <w:b/>
          <w:bCs/>
          <w:i/>
          <w:iCs/>
        </w:rPr>
        <w:t xml:space="preserve">during </w:t>
      </w:r>
      <w:r w:rsidR="000A7683" w:rsidRPr="001A5A12">
        <w:rPr>
          <w:b/>
          <w:bCs/>
          <w:i/>
          <w:iCs/>
        </w:rPr>
        <w:t>the double</w:t>
      </w:r>
      <w:r w:rsidR="00020911" w:rsidRPr="001A5A12">
        <w:rPr>
          <w:b/>
          <w:bCs/>
          <w:i/>
          <w:iCs/>
        </w:rPr>
        <w:t>-</w:t>
      </w:r>
      <w:r w:rsidR="000A7683" w:rsidRPr="001A5A12">
        <w:rPr>
          <w:b/>
          <w:bCs/>
          <w:i/>
          <w:iCs/>
        </w:rPr>
        <w:t>blind, placebo</w:t>
      </w:r>
      <w:r w:rsidR="00FF0FEE" w:rsidRPr="001A5A12">
        <w:rPr>
          <w:b/>
          <w:bCs/>
          <w:i/>
          <w:iCs/>
        </w:rPr>
        <w:t>-</w:t>
      </w:r>
      <w:r w:rsidR="000A7683" w:rsidRPr="001A5A12">
        <w:rPr>
          <w:b/>
          <w:bCs/>
          <w:i/>
          <w:iCs/>
        </w:rPr>
        <w:t>controlled</w:t>
      </w:r>
      <w:r w:rsidRPr="001A5A12">
        <w:rPr>
          <w:b/>
          <w:bCs/>
          <w:i/>
          <w:iCs/>
        </w:rPr>
        <w:t xml:space="preserve"> period of STELLAR?</w:t>
      </w:r>
    </w:p>
    <w:p w14:paraId="4FCCFBCE" w14:textId="79873796" w:rsidR="009142D3" w:rsidRDefault="009142D3" w:rsidP="009142D3">
      <w:r>
        <w:t>Per protocol, STELLAR enrolled participants who were on stable background PAH therapy</w:t>
      </w:r>
      <w:r w:rsidR="00BA3761">
        <w:t xml:space="preserve"> </w:t>
      </w:r>
      <w:r>
        <w:t>for at least 90</w:t>
      </w:r>
      <w:r w:rsidR="00210943">
        <w:t> </w:t>
      </w:r>
      <w:r>
        <w:t>days before screening, and the background therapy regimen was expected to</w:t>
      </w:r>
      <w:r w:rsidR="00BA3761">
        <w:t xml:space="preserve"> </w:t>
      </w:r>
      <w:r>
        <w:t xml:space="preserve">remain stable throughout the study. During the </w:t>
      </w:r>
      <w:r w:rsidR="000A7683">
        <w:t>double</w:t>
      </w:r>
      <w:r w:rsidR="00020911">
        <w:t>-</w:t>
      </w:r>
      <w:r w:rsidR="000A7683">
        <w:t>blind, placebo</w:t>
      </w:r>
      <w:r w:rsidR="00020911">
        <w:t>-</w:t>
      </w:r>
      <w:r w:rsidR="000A7683">
        <w:t xml:space="preserve">controlled </w:t>
      </w:r>
      <w:r>
        <w:t>treatment period, few participants</w:t>
      </w:r>
      <w:r w:rsidR="00BA3761">
        <w:t xml:space="preserve"> </w:t>
      </w:r>
      <w:r>
        <w:t>experienced changes in their background therapy, such as transitioning between mono</w:t>
      </w:r>
      <w:r w:rsidR="00F01616">
        <w:t>-</w:t>
      </w:r>
      <w:r>
        <w:t>,</w:t>
      </w:r>
      <w:r w:rsidR="00BA3761">
        <w:t xml:space="preserve"> </w:t>
      </w:r>
      <w:r>
        <w:t>double</w:t>
      </w:r>
      <w:r w:rsidR="00F01616">
        <w:t>-</w:t>
      </w:r>
      <w:r>
        <w:t>, or triple</w:t>
      </w:r>
      <w:r w:rsidR="00F01616">
        <w:t>-</w:t>
      </w:r>
      <w:r>
        <w:t xml:space="preserve">therapy (n=4) or shifts in prostacyclin use (n=1) during the </w:t>
      </w:r>
      <w:r w:rsidR="000A7683">
        <w:t>double</w:t>
      </w:r>
      <w:r w:rsidR="00020911">
        <w:t>-</w:t>
      </w:r>
      <w:r w:rsidR="000A7683">
        <w:t>blind, placebo</w:t>
      </w:r>
      <w:r w:rsidR="00020911">
        <w:t>-</w:t>
      </w:r>
      <w:r w:rsidR="000A7683">
        <w:t>controlled</w:t>
      </w:r>
      <w:r>
        <w:t xml:space="preserve"> Treatment</w:t>
      </w:r>
      <w:r w:rsidR="00BA3761">
        <w:t xml:space="preserve"> </w:t>
      </w:r>
      <w:r>
        <w:t>Period, although the study was not designed to evaluate such changes. There were 3</w:t>
      </w:r>
      <w:r w:rsidR="00B72F05">
        <w:t> </w:t>
      </w:r>
      <w:r>
        <w:t>participants (all in the placebo group) who experienced a reduction in their background PAH</w:t>
      </w:r>
      <w:r w:rsidR="00BA3761">
        <w:t xml:space="preserve"> </w:t>
      </w:r>
      <w:r>
        <w:t>therapy, from triple</w:t>
      </w:r>
      <w:r w:rsidR="00B72F05">
        <w:t xml:space="preserve"> </w:t>
      </w:r>
      <w:r>
        <w:t>therapy to either double therapy (2 cases) or to mono therapy (1 case). In each of these cases, the reduction of</w:t>
      </w:r>
      <w:r w:rsidR="00BA3761">
        <w:t xml:space="preserve"> </w:t>
      </w:r>
      <w:r>
        <w:t>background PAH therapy was not a result of clinical improvement, but instead, was due to</w:t>
      </w:r>
      <w:r w:rsidR="00BA3761">
        <w:t xml:space="preserve"> </w:t>
      </w:r>
      <w:r>
        <w:t>either deterioration of PAH leading to death (2 PAH background therapies withdrawn just</w:t>
      </w:r>
      <w:r w:rsidR="00BA3761">
        <w:t xml:space="preserve"> </w:t>
      </w:r>
      <w:r>
        <w:t>before death), an issue with tolerability (</w:t>
      </w:r>
      <w:proofErr w:type="spellStart"/>
      <w:r>
        <w:t>macitentan</w:t>
      </w:r>
      <w:proofErr w:type="spellEnd"/>
      <w:r>
        <w:t xml:space="preserve"> being stopped due to elevated hepatic</w:t>
      </w:r>
      <w:r w:rsidR="00BA3761">
        <w:t xml:space="preserve"> </w:t>
      </w:r>
      <w:r>
        <w:t xml:space="preserve">enzymes), or temporary use of </w:t>
      </w:r>
      <w:proofErr w:type="spellStart"/>
      <w:r>
        <w:t>selexipag</w:t>
      </w:r>
      <w:proofErr w:type="spellEnd"/>
      <w:r>
        <w:t>.</w:t>
      </w:r>
    </w:p>
    <w:p w14:paraId="607BCE9B" w14:textId="480A3FE2" w:rsidR="009142D3" w:rsidRDefault="009142D3" w:rsidP="009142D3">
      <w:r>
        <w:t>Changes in background PAH therapy associated with clinical worsening were evaluated in</w:t>
      </w:r>
      <w:r w:rsidR="00BA3761">
        <w:t xml:space="preserve"> </w:t>
      </w:r>
      <w:r>
        <w:t xml:space="preserve">the composite endpoint </w:t>
      </w:r>
      <w:r w:rsidR="0072663E">
        <w:t>‘</w:t>
      </w:r>
      <w:r>
        <w:t>time to death or the first occurrence of a worsening event</w:t>
      </w:r>
      <w:r w:rsidR="0072663E">
        <w:t>’</w:t>
      </w:r>
      <w:r>
        <w:t>, which</w:t>
      </w:r>
      <w:r w:rsidR="00BA3761">
        <w:t xml:space="preserve"> </w:t>
      </w:r>
      <w:r>
        <w:t>included participants with a need to initiate rescue therapy with an approved PAH therapy or</w:t>
      </w:r>
      <w:r w:rsidR="00BA3761">
        <w:t xml:space="preserve"> </w:t>
      </w:r>
      <w:r>
        <w:t xml:space="preserve">the need to increase the dose of prostacyclin infusion by 10% or more. Through the </w:t>
      </w:r>
      <w:r w:rsidR="000A7683">
        <w:t>double</w:t>
      </w:r>
      <w:r w:rsidR="00FF0FEE">
        <w:t>-</w:t>
      </w:r>
      <w:r w:rsidR="000A7683">
        <w:t xml:space="preserve">blind, </w:t>
      </w:r>
      <w:r w:rsidR="00FF0FEE">
        <w:br/>
      </w:r>
      <w:r w:rsidR="000A7683">
        <w:t>placebo</w:t>
      </w:r>
      <w:r w:rsidR="00FF0FEE">
        <w:t>-</w:t>
      </w:r>
      <w:r w:rsidR="000A7683">
        <w:t xml:space="preserve">controlled </w:t>
      </w:r>
      <w:r w:rsidR="00FF0FEE">
        <w:t>t</w:t>
      </w:r>
      <w:r>
        <w:t xml:space="preserve">reatment </w:t>
      </w:r>
      <w:r w:rsidR="00FF0FEE">
        <w:t>p</w:t>
      </w:r>
      <w:r>
        <w:t>eriod, the proportion of participants who initiated rescue therapy or increased</w:t>
      </w:r>
      <w:r w:rsidR="00BA3761">
        <w:t xml:space="preserve"> </w:t>
      </w:r>
      <w:r>
        <w:t xml:space="preserve">prostacyclin by at least 10% was higher in the placebo group (17 </w:t>
      </w:r>
      <w:r w:rsidR="00D93B78">
        <w:t xml:space="preserve">patients; </w:t>
      </w:r>
      <w:r>
        <w:t>10.6%) than in the</w:t>
      </w:r>
      <w:r w:rsidR="00BA3761">
        <w:t xml:space="preserve"> </w:t>
      </w:r>
      <w:r>
        <w:t>sotatercept group (2</w:t>
      </w:r>
      <w:r w:rsidR="00D93B78">
        <w:t xml:space="preserve"> patients; </w:t>
      </w:r>
      <w:r>
        <w:t>1.2%)</w:t>
      </w:r>
      <w:r w:rsidR="00D93B78">
        <w:t>.</w:t>
      </w:r>
    </w:p>
    <w:p w14:paraId="6C9570B9" w14:textId="084C6638" w:rsidR="009142D3" w:rsidRPr="001A5A12" w:rsidRDefault="009142D3" w:rsidP="001A5A12">
      <w:pPr>
        <w:pStyle w:val="Numberbullet0"/>
        <w:rPr>
          <w:b/>
          <w:bCs/>
          <w:i/>
          <w:iCs/>
        </w:rPr>
      </w:pPr>
      <w:r w:rsidRPr="001A5A12">
        <w:rPr>
          <w:b/>
          <w:bCs/>
          <w:i/>
          <w:iCs/>
        </w:rPr>
        <w:lastRenderedPageBreak/>
        <w:t xml:space="preserve">There is a warning for thrombosis in the </w:t>
      </w:r>
      <w:proofErr w:type="spellStart"/>
      <w:r w:rsidRPr="001A5A12">
        <w:rPr>
          <w:b/>
          <w:bCs/>
          <w:i/>
          <w:iCs/>
        </w:rPr>
        <w:t>luspatercept</w:t>
      </w:r>
      <w:proofErr w:type="spellEnd"/>
      <w:r w:rsidRPr="001A5A12">
        <w:rPr>
          <w:b/>
          <w:bCs/>
          <w:i/>
          <w:iCs/>
        </w:rPr>
        <w:t xml:space="preserve"> label. Is such a warning relevant to</w:t>
      </w:r>
      <w:r w:rsidR="004453C3" w:rsidRPr="001A5A12">
        <w:rPr>
          <w:b/>
          <w:bCs/>
          <w:i/>
          <w:iCs/>
        </w:rPr>
        <w:t xml:space="preserve"> </w:t>
      </w:r>
      <w:r w:rsidRPr="001A5A12">
        <w:rPr>
          <w:b/>
          <w:bCs/>
          <w:i/>
          <w:iCs/>
        </w:rPr>
        <w:t>sotatercept?</w:t>
      </w:r>
    </w:p>
    <w:p w14:paraId="41B14E27" w14:textId="049845F4" w:rsidR="00F9548A" w:rsidRDefault="009142D3" w:rsidP="00F9548A">
      <w:r>
        <w:t xml:space="preserve">The warning for thrombosis in the </w:t>
      </w:r>
      <w:proofErr w:type="spellStart"/>
      <w:r>
        <w:t>luspatercept</w:t>
      </w:r>
      <w:proofErr w:type="spellEnd"/>
      <w:r>
        <w:t xml:space="preserve"> </w:t>
      </w:r>
      <w:r w:rsidR="00E77991">
        <w:t>(…)</w:t>
      </w:r>
      <w:r w:rsidR="00E77991">
        <w:rPr>
          <w:rStyle w:val="FootnoteReference"/>
        </w:rPr>
        <w:footnoteReference w:id="9"/>
      </w:r>
      <w:r w:rsidR="00E77991">
        <w:t xml:space="preserve"> </w:t>
      </w:r>
      <w:r>
        <w:t>label is not relevant to sotatercept. Although</w:t>
      </w:r>
      <w:r w:rsidR="00F9548A">
        <w:t xml:space="preserve"> </w:t>
      </w:r>
      <w:r>
        <w:t xml:space="preserve">there are some similarities in the erythropoietic effects of </w:t>
      </w:r>
      <w:proofErr w:type="spellStart"/>
      <w:r>
        <w:t>sotatercept</w:t>
      </w:r>
      <w:proofErr w:type="spellEnd"/>
      <w:r>
        <w:t xml:space="preserve"> and </w:t>
      </w:r>
      <w:proofErr w:type="spellStart"/>
      <w:r>
        <w:t>luspatercept</w:t>
      </w:r>
      <w:proofErr w:type="spellEnd"/>
      <w:r>
        <w:t>, the</w:t>
      </w:r>
      <w:r w:rsidR="00F9548A">
        <w:t xml:space="preserve"> </w:t>
      </w:r>
      <w:r>
        <w:t xml:space="preserve">warning for thrombosis and thromboembolic events in the </w:t>
      </w:r>
      <w:proofErr w:type="spellStart"/>
      <w:r>
        <w:t>luspatercept</w:t>
      </w:r>
      <w:proofErr w:type="spellEnd"/>
      <w:r>
        <w:t xml:space="preserve"> label is for a specific</w:t>
      </w:r>
      <w:r w:rsidR="00F9548A">
        <w:t xml:space="preserve"> patient population. An increased risk of thromboembolic events exists in the subgroup of the </w:t>
      </w:r>
      <w:r w:rsidR="00F9548A">
        <w:rPr>
          <w:rFonts w:ascii="Times New Roman" w:hAnsi="Times New Roman" w:cs="Times New Roman"/>
        </w:rPr>
        <w:t>ꞵ</w:t>
      </w:r>
      <w:r w:rsidR="00A65F5B">
        <w:rPr>
          <w:rFonts w:ascii="Times New Roman" w:hAnsi="Times New Roman" w:cs="Times New Roman"/>
        </w:rPr>
        <w:noBreakHyphen/>
      </w:r>
      <w:r w:rsidR="00F9548A">
        <w:t xml:space="preserve">thalassaemia population who have undergone splenectomy; the important identified risk that is included in the </w:t>
      </w:r>
      <w:proofErr w:type="spellStart"/>
      <w:r w:rsidR="00F9548A">
        <w:t>luspatercept</w:t>
      </w:r>
      <w:proofErr w:type="spellEnd"/>
      <w:r w:rsidR="00F9548A">
        <w:t xml:space="preserve"> label is specific for the </w:t>
      </w:r>
      <w:r w:rsidR="00AD1ADE">
        <w:t>splenectomised</w:t>
      </w:r>
      <w:r w:rsidR="00F9548A">
        <w:t xml:space="preserve"> </w:t>
      </w:r>
      <w:r w:rsidR="00A65F5B">
        <w:rPr>
          <w:rFonts w:ascii="Times New Roman" w:hAnsi="Times New Roman" w:cs="Times New Roman"/>
        </w:rPr>
        <w:t>ꞵ</w:t>
      </w:r>
      <w:r w:rsidR="00A65F5B">
        <w:rPr>
          <w:rFonts w:ascii="Times New Roman" w:hAnsi="Times New Roman" w:cs="Times New Roman"/>
        </w:rPr>
        <w:noBreakHyphen/>
      </w:r>
      <w:r w:rsidR="00F9548A">
        <w:t xml:space="preserve">thalassaemia population. This warning does not apply to the sotatercept population with PAH. Moreover, the occurrence of thromboembolic events in the </w:t>
      </w:r>
      <w:proofErr w:type="spellStart"/>
      <w:r w:rsidR="00F9548A">
        <w:t>luspatercept</w:t>
      </w:r>
      <w:proofErr w:type="spellEnd"/>
      <w:r w:rsidR="00F9548A">
        <w:t xml:space="preserve"> study population did not correlate with the haemoglobin levels.</w:t>
      </w:r>
    </w:p>
    <w:p w14:paraId="0F7973A1" w14:textId="21762673" w:rsidR="00F9548A" w:rsidRDefault="00F9548A" w:rsidP="00F9548A">
      <w:r>
        <w:t xml:space="preserve">Because of the erythropoietic effects of sotatercept and the potential for severe erythrocytosis to predispose to thrombosis and thromboembolic events, the </w:t>
      </w:r>
      <w:r w:rsidR="00B671F7">
        <w:t>s</w:t>
      </w:r>
      <w:r>
        <w:t>ponsor analy</w:t>
      </w:r>
      <w:r w:rsidR="00B671F7">
        <w:t>s</w:t>
      </w:r>
      <w:r>
        <w:t>ed the occurrence of thromboembolic events. In STELLAR, the numbers of occurrences of thrombotic and thromboembolic events were too low to determine a possible contribution from sotatercept. Furthermore, the nature of events returned by the search strategy included occlusions of devices (central lines) that reflect technical issues with the device, rather than systemic changes that predispose to thrombosis. When SAEs for the adverse event of interest (AEOI) thrombotic events were compared from the 6</w:t>
      </w:r>
      <w:r w:rsidR="00357B2F">
        <w:t xml:space="preserve"> December </w:t>
      </w:r>
      <w:r>
        <w:t>2022 data cut (N=431) with those from the</w:t>
      </w:r>
      <w:r w:rsidR="001733B3">
        <w:t xml:space="preserve"> </w:t>
      </w:r>
      <w:r>
        <w:t>8</w:t>
      </w:r>
      <w:r w:rsidR="001733B3">
        <w:t xml:space="preserve"> November </w:t>
      </w:r>
      <w:r>
        <w:t>2023 data cut (N=431), the numbers of participants with events had risen from 9</w:t>
      </w:r>
      <w:r w:rsidR="008578BB">
        <w:t> </w:t>
      </w:r>
      <w:r>
        <w:t>(2.1%) to 13 (3.0%); however the exposure-adjusted incidence rates (95% CI) were steady at 1.6 (0.7, 3.1) and 1.4 (0.8, 2.5) per 100 person-years at risk, respectively</w:t>
      </w:r>
      <w:r w:rsidR="001733B3">
        <w:t>.</w:t>
      </w:r>
      <w:r>
        <w:t xml:space="preserve"> The 13</w:t>
      </w:r>
      <w:r w:rsidR="008578BB">
        <w:t> </w:t>
      </w:r>
      <w:r>
        <w:t>participants with AEOI thrombotic events included 4</w:t>
      </w:r>
      <w:r w:rsidR="008578BB">
        <w:t> </w:t>
      </w:r>
      <w:r>
        <w:t xml:space="preserve">participants with the following thrombotic events: device occlusion (2), thrombosis in device, or vascular device occlusion. Epidemiological data on thromboembolic events from a retrospective cohort study conducted by the </w:t>
      </w:r>
      <w:r w:rsidR="00BE1875">
        <w:t>s</w:t>
      </w:r>
      <w:r>
        <w:t xml:space="preserve">ponsor show a background rate of 6.6 (6.3, 6.8) per 100 person-years. In view of the increased risk of thromboembolic events in patients with PAH and corresponding background rates, the </w:t>
      </w:r>
      <w:r w:rsidR="00BE1875">
        <w:t>s</w:t>
      </w:r>
      <w:r>
        <w:t xml:space="preserve">ponsor’s position is that the rates of thrombotic and thromboembolic events observed in the PAH Pool B data cuts are lower than the background rates in patients with PAH, do not show an increase over time, and do not suggest a meaningful effect of sotatercept. Accordingly, the </w:t>
      </w:r>
      <w:r w:rsidR="0003222A">
        <w:t>s</w:t>
      </w:r>
      <w:r>
        <w:t>ponsor’s position is that the available data do not support inclusion of a warning for thrombosis or thromboembolic events.</w:t>
      </w:r>
    </w:p>
    <w:p w14:paraId="453C2B21" w14:textId="24ECBB4F" w:rsidR="00F9548A" w:rsidRPr="001A5A12" w:rsidRDefault="00F9548A" w:rsidP="001A5A12">
      <w:pPr>
        <w:pStyle w:val="Numberbullet0"/>
        <w:rPr>
          <w:b/>
          <w:bCs/>
          <w:i/>
          <w:iCs/>
        </w:rPr>
      </w:pPr>
      <w:r w:rsidRPr="001A5A12">
        <w:rPr>
          <w:b/>
          <w:bCs/>
          <w:i/>
          <w:iCs/>
        </w:rPr>
        <w:t>The weight-based dosing tables cover the weight range 30</w:t>
      </w:r>
      <w:r w:rsidR="0003222A" w:rsidRPr="001A5A12">
        <w:rPr>
          <w:b/>
          <w:bCs/>
          <w:i/>
          <w:iCs/>
        </w:rPr>
        <w:t> </w:t>
      </w:r>
      <w:r w:rsidRPr="001A5A12">
        <w:rPr>
          <w:b/>
          <w:bCs/>
          <w:i/>
          <w:iCs/>
        </w:rPr>
        <w:t>kg to 180</w:t>
      </w:r>
      <w:r w:rsidR="0003222A" w:rsidRPr="001A5A12">
        <w:rPr>
          <w:b/>
          <w:bCs/>
          <w:i/>
          <w:iCs/>
        </w:rPr>
        <w:t> </w:t>
      </w:r>
      <w:r w:rsidRPr="001A5A12">
        <w:rPr>
          <w:b/>
          <w:bCs/>
          <w:i/>
          <w:iCs/>
        </w:rPr>
        <w:t xml:space="preserve">kg. The weight range of </w:t>
      </w:r>
      <w:proofErr w:type="spellStart"/>
      <w:r w:rsidRPr="001A5A12">
        <w:rPr>
          <w:b/>
          <w:bCs/>
          <w:i/>
          <w:iCs/>
        </w:rPr>
        <w:t>sotatercept</w:t>
      </w:r>
      <w:proofErr w:type="spellEnd"/>
      <w:r w:rsidRPr="001A5A12">
        <w:rPr>
          <w:b/>
          <w:bCs/>
          <w:i/>
          <w:iCs/>
        </w:rPr>
        <w:t xml:space="preserve"> exposed participants in the STELLAR and PULSAR trials was 39.6</w:t>
      </w:r>
      <w:r w:rsidR="00E7490A" w:rsidRPr="001A5A12">
        <w:rPr>
          <w:b/>
          <w:bCs/>
          <w:i/>
          <w:iCs/>
        </w:rPr>
        <w:t> </w:t>
      </w:r>
      <w:r w:rsidRPr="001A5A12">
        <w:rPr>
          <w:b/>
          <w:bCs/>
          <w:i/>
          <w:iCs/>
        </w:rPr>
        <w:t>kg</w:t>
      </w:r>
      <w:r w:rsidR="00E7490A" w:rsidRPr="001A5A12">
        <w:rPr>
          <w:b/>
          <w:bCs/>
          <w:i/>
          <w:iCs/>
        </w:rPr>
        <w:t xml:space="preserve"> to </w:t>
      </w:r>
      <w:r w:rsidRPr="001A5A12">
        <w:rPr>
          <w:b/>
          <w:bCs/>
          <w:i/>
          <w:iCs/>
        </w:rPr>
        <w:t>136.4</w:t>
      </w:r>
      <w:r w:rsidR="00E7490A" w:rsidRPr="001A5A12">
        <w:rPr>
          <w:b/>
          <w:bCs/>
          <w:i/>
          <w:iCs/>
        </w:rPr>
        <w:t> </w:t>
      </w:r>
      <w:r w:rsidRPr="001A5A12">
        <w:rPr>
          <w:b/>
          <w:bCs/>
          <w:i/>
          <w:iCs/>
        </w:rPr>
        <w:t>kg. What is the predicted exposure at these weights and justify using the same dose at weights for which there are no direct clinical data.</w:t>
      </w:r>
    </w:p>
    <w:p w14:paraId="7D56C3A3" w14:textId="5331A514" w:rsidR="00F60039" w:rsidRPr="00F60039" w:rsidRDefault="007165EB" w:rsidP="00F60039">
      <w:r w:rsidRPr="007165EB">
        <w:t xml:space="preserve">The exposure of </w:t>
      </w:r>
      <w:proofErr w:type="spellStart"/>
      <w:r w:rsidRPr="007165EB">
        <w:t>sotatercept</w:t>
      </w:r>
      <w:proofErr w:type="spellEnd"/>
      <w:r w:rsidRPr="007165EB">
        <w:t xml:space="preserve"> when administered as recommended to participants with body</w:t>
      </w:r>
      <w:r>
        <w:t xml:space="preserve"> </w:t>
      </w:r>
      <w:r w:rsidRPr="007165EB">
        <w:t>weight between 30</w:t>
      </w:r>
      <w:r>
        <w:t> </w:t>
      </w:r>
      <w:r w:rsidRPr="007165EB">
        <w:t>kg to &lt;</w:t>
      </w:r>
      <w:r w:rsidR="00453126">
        <w:t> </w:t>
      </w:r>
      <w:r w:rsidRPr="007165EB">
        <w:t>39.6</w:t>
      </w:r>
      <w:r>
        <w:t> </w:t>
      </w:r>
      <w:r w:rsidRPr="007165EB">
        <w:t>kg and &gt;</w:t>
      </w:r>
      <w:r w:rsidR="00453126">
        <w:t> </w:t>
      </w:r>
      <w:r w:rsidRPr="007165EB">
        <w:t>136.4</w:t>
      </w:r>
      <w:r>
        <w:t> </w:t>
      </w:r>
      <w:r w:rsidRPr="007165EB">
        <w:t>kg to 180</w:t>
      </w:r>
      <w:r>
        <w:t> </w:t>
      </w:r>
      <w:r w:rsidRPr="007165EB">
        <w:t>kg is predicted to be within the</w:t>
      </w:r>
      <w:r w:rsidR="003259A5">
        <w:t xml:space="preserve"> </w:t>
      </w:r>
      <w:r w:rsidRPr="007165EB">
        <w:t xml:space="preserve">clinically </w:t>
      </w:r>
      <w:r w:rsidRPr="00285CE4">
        <w:t>effective and safe sotatercept exposure in patients with PAH. Sotatercept exposure</w:t>
      </w:r>
      <w:r w:rsidR="003259A5" w:rsidRPr="00285CE4">
        <w:t>−</w:t>
      </w:r>
      <w:r w:rsidRPr="00285CE4">
        <w:t>response</w:t>
      </w:r>
      <w:r w:rsidR="003259A5" w:rsidRPr="00285CE4">
        <w:t xml:space="preserve"> </w:t>
      </w:r>
      <w:r w:rsidRPr="00285CE4">
        <w:t xml:space="preserve">relationship (6MWD, </w:t>
      </w:r>
      <w:r w:rsidR="00D05D94">
        <w:t>PVR</w:t>
      </w:r>
      <w:r w:rsidRPr="00285CE4">
        <w:t>, and haemoglobin</w:t>
      </w:r>
      <w:r w:rsidR="00285CE4" w:rsidRPr="00285CE4">
        <w:t>)</w:t>
      </w:r>
      <w:r w:rsidRPr="00285CE4">
        <w:t xml:space="preserve"> indicated that up to 40%</w:t>
      </w:r>
      <w:r w:rsidRPr="00AE0E68">
        <w:t xml:space="preserve"> change (lower or higher) in sotatercept exposure is not</w:t>
      </w:r>
      <w:r w:rsidR="00AE0E68" w:rsidRPr="00AE0E68">
        <w:t xml:space="preserve"> </w:t>
      </w:r>
      <w:r w:rsidR="00F60039" w:rsidRPr="00AE0E68">
        <w:t>expected to impact</w:t>
      </w:r>
      <w:r w:rsidR="00F60039" w:rsidRPr="00F60039">
        <w:t xml:space="preserve"> sotatercept efficacy or safety. Therefore, any marginal deviation in exposure of sotatercept when</w:t>
      </w:r>
      <w:r w:rsidR="00F60039">
        <w:t xml:space="preserve"> </w:t>
      </w:r>
      <w:r w:rsidR="00F60039" w:rsidRPr="00F60039">
        <w:t>administered as recommended to participants with body weight 30</w:t>
      </w:r>
      <w:r w:rsidR="00F60039">
        <w:t> </w:t>
      </w:r>
      <w:r w:rsidR="00F60039" w:rsidRPr="00F60039">
        <w:t>kg to &lt;</w:t>
      </w:r>
      <w:r w:rsidR="00453126">
        <w:t> </w:t>
      </w:r>
      <w:r w:rsidR="00F60039" w:rsidRPr="00F60039">
        <w:t>39.6</w:t>
      </w:r>
      <w:r w:rsidR="00F60039">
        <w:t> </w:t>
      </w:r>
      <w:r w:rsidR="00F60039" w:rsidRPr="00F60039">
        <w:t>kg and</w:t>
      </w:r>
      <w:r w:rsidR="00F60039">
        <w:t xml:space="preserve"> </w:t>
      </w:r>
      <w:r w:rsidR="00F60039" w:rsidRPr="00F60039">
        <w:t>&gt;</w:t>
      </w:r>
      <w:r w:rsidR="00453126">
        <w:t> </w:t>
      </w:r>
      <w:r w:rsidR="00F60039" w:rsidRPr="00F60039">
        <w:t>136.4</w:t>
      </w:r>
      <w:r w:rsidR="00F60039">
        <w:t> </w:t>
      </w:r>
      <w:r w:rsidR="00F60039" w:rsidRPr="00F60039">
        <w:t>kg to 180</w:t>
      </w:r>
      <w:r w:rsidR="00F60039">
        <w:t> </w:t>
      </w:r>
      <w:r w:rsidR="00F60039" w:rsidRPr="00F60039">
        <w:t>kg is expected to have no meaningful impact on efficacy and safety.</w:t>
      </w:r>
    </w:p>
    <w:p w14:paraId="3CCFC1DC" w14:textId="6EC0A492" w:rsidR="003259A5" w:rsidRDefault="00F60039" w:rsidP="00F60039">
      <w:r w:rsidRPr="00285CE4">
        <w:lastRenderedPageBreak/>
        <w:t>As noted by the reviewer, the sotatercept pop</w:t>
      </w:r>
      <w:r w:rsidR="00285CE4" w:rsidRPr="00285CE4">
        <w:t>ulation pharmacokinetics</w:t>
      </w:r>
      <w:r w:rsidRPr="00285CE4">
        <w:t xml:space="preserve"> model was developed</w:t>
      </w:r>
      <w:r w:rsidRPr="00F60039">
        <w:t xml:space="preserve"> using data from</w:t>
      </w:r>
      <w:r w:rsidR="00962307">
        <w:t xml:space="preserve"> </w:t>
      </w:r>
      <w:r w:rsidRPr="00F60039">
        <w:t xml:space="preserve">healthy participants (Phase </w:t>
      </w:r>
      <w:r w:rsidR="00962307">
        <w:t>I</w:t>
      </w:r>
      <w:r w:rsidRPr="00F60039">
        <w:t>) as well as participants with PAH (PULSAR, SPECTRA, and</w:t>
      </w:r>
      <w:r w:rsidR="00962307">
        <w:t xml:space="preserve"> </w:t>
      </w:r>
      <w:r w:rsidRPr="00F60039">
        <w:t>STELLAR) with body weight ranging from 39.6</w:t>
      </w:r>
      <w:r w:rsidR="00962307">
        <w:t> </w:t>
      </w:r>
      <w:r w:rsidRPr="00F60039">
        <w:t>kg to 136.4</w:t>
      </w:r>
      <w:r w:rsidR="00962307">
        <w:t> </w:t>
      </w:r>
      <w:r w:rsidRPr="00F60039">
        <w:t>kg. Since body weight is</w:t>
      </w:r>
      <w:r w:rsidR="00962307">
        <w:t xml:space="preserve"> </w:t>
      </w:r>
      <w:r w:rsidRPr="00F60039">
        <w:t>identified to significantly impact the systemic exposure of sotatercept, body weight</w:t>
      </w:r>
      <w:r w:rsidR="002779BD">
        <w:t xml:space="preserve"> </w:t>
      </w:r>
      <w:r w:rsidRPr="00F60039">
        <w:t>normali</w:t>
      </w:r>
      <w:r w:rsidR="002779BD">
        <w:t>s</w:t>
      </w:r>
      <w:r w:rsidRPr="00F60039">
        <w:t>ed (mg/kg) dosing of sotatercept is recommended to ensure consistent exposure is</w:t>
      </w:r>
      <w:r w:rsidR="002779BD">
        <w:t xml:space="preserve"> </w:t>
      </w:r>
      <w:r w:rsidRPr="00F60039">
        <w:t>achieved across the body weight range. Compared to the observed median exposure in the</w:t>
      </w:r>
      <w:r w:rsidR="002779BD">
        <w:t xml:space="preserve"> </w:t>
      </w:r>
      <w:r w:rsidRPr="00F60039">
        <w:t>global PAH population (39.6</w:t>
      </w:r>
      <w:r w:rsidR="002779BD">
        <w:t> </w:t>
      </w:r>
      <w:r w:rsidRPr="00F60039">
        <w:t>kg to 136.4</w:t>
      </w:r>
      <w:r w:rsidR="002779BD">
        <w:t> </w:t>
      </w:r>
      <w:r w:rsidRPr="00F60039">
        <w:t xml:space="preserve">kg), predictions using the current </w:t>
      </w:r>
      <w:proofErr w:type="spellStart"/>
      <w:r w:rsidRPr="00F60039">
        <w:t>popPK</w:t>
      </w:r>
      <w:proofErr w:type="spellEnd"/>
      <w:r w:rsidRPr="00F60039">
        <w:t xml:space="preserve"> model</w:t>
      </w:r>
      <w:r w:rsidR="002779BD">
        <w:t xml:space="preserve"> </w:t>
      </w:r>
      <w:r w:rsidRPr="00F60039">
        <w:t>indicate that sotatercept exposure is 0.7% to 16.3% lower in participants with body weight</w:t>
      </w:r>
      <w:r w:rsidR="002779BD">
        <w:t xml:space="preserve"> </w:t>
      </w:r>
      <w:r w:rsidRPr="00F60039">
        <w:t>ranging between 30</w:t>
      </w:r>
      <w:r w:rsidR="002779BD">
        <w:t> </w:t>
      </w:r>
      <w:r w:rsidRPr="00F60039">
        <w:t>kg to 40</w:t>
      </w:r>
      <w:r w:rsidR="002779BD">
        <w:t> </w:t>
      </w:r>
      <w:r w:rsidRPr="00F60039">
        <w:t>kg and is 16.1% to 22.4% higher in participants with body</w:t>
      </w:r>
      <w:r w:rsidR="002779BD">
        <w:t xml:space="preserve"> </w:t>
      </w:r>
      <w:r w:rsidRPr="00F60039">
        <w:t>weight ranging between 140</w:t>
      </w:r>
      <w:r w:rsidR="002779BD">
        <w:t> </w:t>
      </w:r>
      <w:r w:rsidRPr="00F60039">
        <w:t>kg to 180</w:t>
      </w:r>
      <w:r w:rsidR="002779BD">
        <w:t> </w:t>
      </w:r>
      <w:r w:rsidRPr="00F60039">
        <w:t>kg</w:t>
      </w:r>
      <w:r w:rsidR="00636C48">
        <w:t xml:space="preserve">. </w:t>
      </w:r>
      <w:r w:rsidRPr="00F60039">
        <w:t>These predicted exposures are well within the 40% margins to have any impact on safety or</w:t>
      </w:r>
      <w:r w:rsidR="00636C48">
        <w:t xml:space="preserve"> </w:t>
      </w:r>
      <w:r w:rsidRPr="00F60039">
        <w:t>efficacy</w:t>
      </w:r>
      <w:r w:rsidR="00AE0E68">
        <w:t>.</w:t>
      </w:r>
    </w:p>
    <w:p w14:paraId="3CE6DD90" w14:textId="579636DC" w:rsidR="00AB4F54" w:rsidRPr="001A5A12" w:rsidRDefault="00AB4F54" w:rsidP="001A5A12">
      <w:pPr>
        <w:pStyle w:val="Numberbullet0"/>
        <w:rPr>
          <w:b/>
          <w:bCs/>
          <w:i/>
          <w:iCs/>
        </w:rPr>
      </w:pPr>
      <w:r w:rsidRPr="001A5A12">
        <w:rPr>
          <w:b/>
          <w:bCs/>
          <w:i/>
          <w:iCs/>
        </w:rPr>
        <w:t>Comment on what appears to be limited data for the efficacy of maintaining a patient at 0.3</w:t>
      </w:r>
      <w:r w:rsidR="00637BBF" w:rsidRPr="001A5A12">
        <w:rPr>
          <w:b/>
          <w:bCs/>
          <w:i/>
          <w:iCs/>
        </w:rPr>
        <w:t> </w:t>
      </w:r>
      <w:r w:rsidRPr="001A5A12">
        <w:rPr>
          <w:b/>
          <w:bCs/>
          <w:i/>
          <w:iCs/>
        </w:rPr>
        <w:t>mg/kg (if limited by adverse effects). There is a consideration that the PI should advise on the limited data to support efficacy in the situation where a patient only tolerates 0.3</w:t>
      </w:r>
      <w:r w:rsidR="008C4A08" w:rsidRPr="001A5A12">
        <w:rPr>
          <w:b/>
          <w:bCs/>
          <w:i/>
          <w:iCs/>
        </w:rPr>
        <w:t> </w:t>
      </w:r>
      <w:r w:rsidRPr="001A5A12">
        <w:rPr>
          <w:b/>
          <w:bCs/>
          <w:i/>
          <w:iCs/>
        </w:rPr>
        <w:t>mg/kg.</w:t>
      </w:r>
    </w:p>
    <w:p w14:paraId="1CB3EC25" w14:textId="16C35092" w:rsidR="00AB4F54" w:rsidRDefault="00AB4F54" w:rsidP="00AB4F54">
      <w:r>
        <w:t xml:space="preserve">The </w:t>
      </w:r>
      <w:r w:rsidR="008C4A08">
        <w:t>s</w:t>
      </w:r>
      <w:r>
        <w:t>ponsor wishes to clarify that there are, indeed, data to support efficacy at the 0.3</w:t>
      </w:r>
      <w:r w:rsidR="008C4A08">
        <w:t> </w:t>
      </w:r>
      <w:r>
        <w:t>mg/kg dose, albeit not as optimal as the target dose of 0.7</w:t>
      </w:r>
      <w:r w:rsidR="008C4A08">
        <w:t> </w:t>
      </w:r>
      <w:r>
        <w:t>mg/kg, as well as data to support that most participants were able to tolerate the target dose of 0.7</w:t>
      </w:r>
      <w:r w:rsidR="00050E30">
        <w:t> </w:t>
      </w:r>
      <w:r>
        <w:t xml:space="preserve">mg/kg even after needing a dose hold or dose reduction. Thus, the </w:t>
      </w:r>
      <w:r w:rsidR="00050E30">
        <w:t>s</w:t>
      </w:r>
      <w:r>
        <w:t>ponsor would maintain the current label language, which allows physician discretion for patients who cannot tolerate 0.7</w:t>
      </w:r>
      <w:r w:rsidR="00050E30">
        <w:t> </w:t>
      </w:r>
      <w:r>
        <w:t>mg/kg. The number of such patients is expected to be small.</w:t>
      </w:r>
    </w:p>
    <w:p w14:paraId="33AA237F" w14:textId="25750303" w:rsidR="00AB4F54" w:rsidRDefault="00AB4F54" w:rsidP="00AB4F54">
      <w:r>
        <w:t xml:space="preserve">Data from the STELLAR study demonstrate that </w:t>
      </w:r>
      <w:proofErr w:type="gramStart"/>
      <w:r>
        <w:t>the majority of</w:t>
      </w:r>
      <w:proofErr w:type="gramEnd"/>
      <w:r>
        <w:t xml:space="preserve"> participants were able to achieve the target dose of 0.7</w:t>
      </w:r>
      <w:r w:rsidR="00050E30">
        <w:t> </w:t>
      </w:r>
      <w:r>
        <w:t xml:space="preserve">mg/kg, even if a small number needed dose holds or dose reductions. </w:t>
      </w:r>
      <w:proofErr w:type="gramStart"/>
      <w:r>
        <w:t>The majority of</w:t>
      </w:r>
      <w:proofErr w:type="gramEnd"/>
      <w:r>
        <w:t xml:space="preserve"> sotatercept-treated participants through the </w:t>
      </w:r>
      <w:r w:rsidR="000A7683">
        <w:t>double</w:t>
      </w:r>
      <w:r w:rsidR="00020911">
        <w:t>-</w:t>
      </w:r>
      <w:r w:rsidR="000A7683">
        <w:t>blind, placebo</w:t>
      </w:r>
      <w:r w:rsidR="00FF0FEE">
        <w:t>-</w:t>
      </w:r>
      <w:r w:rsidR="000A7683">
        <w:t xml:space="preserve">controlled </w:t>
      </w:r>
      <w:r>
        <w:t>Treatment Period in STELLAR tolerated the dosing regimen and required neither dose delays (92.6%) nor dose reductions (93.9%). In STELLAR, 99.4% of the sotatercept-treated participants reached the target dose with at least 1 dose of 0.7</w:t>
      </w:r>
      <w:r w:rsidR="00BF3B27">
        <w:t> </w:t>
      </w:r>
      <w:r>
        <w:t xml:space="preserve">mg/kg in the </w:t>
      </w:r>
      <w:r w:rsidR="000A7683">
        <w:t>double</w:t>
      </w:r>
      <w:r w:rsidR="00020911">
        <w:t>-</w:t>
      </w:r>
      <w:r w:rsidR="000A7683">
        <w:t>blind, placebo</w:t>
      </w:r>
      <w:r w:rsidR="00FF0FEE">
        <w:t>-</w:t>
      </w:r>
      <w:r w:rsidR="000A7683">
        <w:t xml:space="preserve">controlled </w:t>
      </w:r>
      <w:r>
        <w:t>period. One participant did not up</w:t>
      </w:r>
      <w:r w:rsidR="004A1F53">
        <w:t>-</w:t>
      </w:r>
      <w:r>
        <w:t>titrate to the 0.7</w:t>
      </w:r>
      <w:r w:rsidR="004A1F53">
        <w:t> </w:t>
      </w:r>
      <w:r>
        <w:t>mg/kg dose due to consistently high h</w:t>
      </w:r>
      <w:r w:rsidR="004A1F53">
        <w:t>a</w:t>
      </w:r>
      <w:r>
        <w:t>emoglobin levels.</w:t>
      </w:r>
      <w:r w:rsidR="004A1F53">
        <w:t xml:space="preserve"> </w:t>
      </w:r>
      <w:r>
        <w:t>All the other participants reached the 0.7</w:t>
      </w:r>
      <w:r w:rsidR="004A1F53">
        <w:t> </w:t>
      </w:r>
      <w:r>
        <w:t>mg/kg dose. Among the 10 participants with at least</w:t>
      </w:r>
      <w:r w:rsidR="00FB3B3D">
        <w:t xml:space="preserve"> </w:t>
      </w:r>
      <w:r>
        <w:t>1 dose reduction, 5 experienced at least 1 dose re-escalation.</w:t>
      </w:r>
    </w:p>
    <w:p w14:paraId="5941A019" w14:textId="04B50AED" w:rsidR="00AB4F54" w:rsidRDefault="00AB4F54" w:rsidP="00AB4F54">
      <w:r>
        <w:t xml:space="preserve">At the end of the Week 24 </w:t>
      </w:r>
      <w:r w:rsidR="000A7683">
        <w:t>double</w:t>
      </w:r>
      <w:r w:rsidR="00020911">
        <w:t>-</w:t>
      </w:r>
      <w:r w:rsidR="000A7683">
        <w:t xml:space="preserve">blind, </w:t>
      </w:r>
      <w:proofErr w:type="gramStart"/>
      <w:r w:rsidR="000A7683">
        <w:t>placebo</w:t>
      </w:r>
      <w:r w:rsidR="00020911">
        <w:t>-</w:t>
      </w:r>
      <w:r w:rsidR="000A7683">
        <w:t>controlled</w:t>
      </w:r>
      <w:proofErr w:type="gramEnd"/>
      <w:r w:rsidR="000A7683">
        <w:t xml:space="preserve"> </w:t>
      </w:r>
      <w:r>
        <w:t xml:space="preserve">(Visit 9), 150 participants </w:t>
      </w:r>
      <w:r w:rsidR="009F4FDA">
        <w:t xml:space="preserve">(92.0%) </w:t>
      </w:r>
      <w:r>
        <w:t>in the sotatercept</w:t>
      </w:r>
      <w:r w:rsidR="00FB3B3D">
        <w:t xml:space="preserve"> </w:t>
      </w:r>
      <w:r>
        <w:t>group received the target 0.7</w:t>
      </w:r>
      <w:r w:rsidR="009F4FDA">
        <w:t> </w:t>
      </w:r>
      <w:r>
        <w:t>mg/kg dose.</w:t>
      </w:r>
      <w:r w:rsidR="00FB3B3D">
        <w:t xml:space="preserve"> </w:t>
      </w:r>
      <w:r>
        <w:t>Nine (5.5%) participants did not receive a 0.7</w:t>
      </w:r>
      <w:r w:rsidR="009F4FDA">
        <w:t> </w:t>
      </w:r>
      <w:r>
        <w:t>mg/kg dose at Week 24 (including participants</w:t>
      </w:r>
      <w:r w:rsidR="00FB3B3D">
        <w:t xml:space="preserve"> </w:t>
      </w:r>
      <w:r>
        <w:t>who either had a dose hold or a dose modification at that specific time or who never</w:t>
      </w:r>
      <w:r w:rsidR="00FB3B3D">
        <w:t xml:space="preserve"> </w:t>
      </w:r>
      <w:r>
        <w:t xml:space="preserve">escalated to the target dose). At the end of the study, 140 </w:t>
      </w:r>
      <w:r w:rsidR="006E7BCC">
        <w:t xml:space="preserve">participants </w:t>
      </w:r>
      <w:r>
        <w:t>(85.9%) were receiving</w:t>
      </w:r>
      <w:r w:rsidR="00FB3B3D">
        <w:t xml:space="preserve"> </w:t>
      </w:r>
      <w:r>
        <w:t>the target 0.7</w:t>
      </w:r>
      <w:r w:rsidR="006E7BCC">
        <w:t> </w:t>
      </w:r>
      <w:r>
        <w:t xml:space="preserve">mg/kg dose compared to 15 </w:t>
      </w:r>
      <w:r w:rsidR="006E7BCC">
        <w:t xml:space="preserve">participants </w:t>
      </w:r>
      <w:r>
        <w:t>(9.2%) who were not. These</w:t>
      </w:r>
      <w:r w:rsidR="00FB3B3D">
        <w:t xml:space="preserve"> </w:t>
      </w:r>
      <w:r>
        <w:t>percentages are based on the entire sotatercept Full Analysis Set (N=163) and do not include</w:t>
      </w:r>
      <w:r w:rsidR="00FB3B3D">
        <w:t xml:space="preserve"> </w:t>
      </w:r>
      <w:r>
        <w:t>those who dropped out of the study for any reason.</w:t>
      </w:r>
    </w:p>
    <w:p w14:paraId="15785ABD" w14:textId="57734B1A" w:rsidR="00D3757A" w:rsidRDefault="00AB4F54" w:rsidP="00D3757A">
      <w:r w:rsidRPr="00285CE4">
        <w:t>Results from PULSAR showed that both the 0.3</w:t>
      </w:r>
      <w:r w:rsidR="002C28EB" w:rsidRPr="00285CE4">
        <w:t> </w:t>
      </w:r>
      <w:r w:rsidRPr="00285CE4">
        <w:t>mg/kg and the 0.7</w:t>
      </w:r>
      <w:r w:rsidR="002C28EB" w:rsidRPr="00285CE4">
        <w:t> </w:t>
      </w:r>
      <w:r w:rsidRPr="00285CE4">
        <w:t>mg/kg dose levels</w:t>
      </w:r>
      <w:r w:rsidR="00FB3B3D" w:rsidRPr="00285CE4">
        <w:t xml:space="preserve"> </w:t>
      </w:r>
      <w:r w:rsidRPr="00285CE4">
        <w:t xml:space="preserve">resulted in significant improvement in </w:t>
      </w:r>
      <w:r w:rsidR="00D05D94">
        <w:t>PVR</w:t>
      </w:r>
      <w:r w:rsidR="00285CE4" w:rsidRPr="00285CE4">
        <w:t xml:space="preserve"> </w:t>
      </w:r>
      <w:r w:rsidRPr="00285CE4">
        <w:t>and 6</w:t>
      </w:r>
      <w:r w:rsidR="00D05D94">
        <w:t>MWD</w:t>
      </w:r>
      <w:r w:rsidRPr="00285CE4">
        <w:t xml:space="preserve"> compared with placebo. Additionally, significant improvement in echocardiographic outputs</w:t>
      </w:r>
      <w:r w:rsidR="00FB3B3D" w:rsidRPr="00285CE4">
        <w:t xml:space="preserve"> </w:t>
      </w:r>
      <w:r w:rsidRPr="00285CE4">
        <w:t xml:space="preserve">(namely, </w:t>
      </w:r>
      <w:r w:rsidR="00285CE4" w:rsidRPr="00285CE4">
        <w:t xml:space="preserve">right ventricular-pulmonary artery </w:t>
      </w:r>
      <w:r w:rsidRPr="00285CE4">
        <w:t xml:space="preserve">coupling, </w:t>
      </w:r>
      <w:r w:rsidR="00285CE4" w:rsidRPr="00285CE4">
        <w:t>right ventricular end-diastolic area, right ventricular end-systolic volume</w:t>
      </w:r>
      <w:r w:rsidRPr="00285CE4">
        <w:t xml:space="preserve">, and </w:t>
      </w:r>
      <w:r w:rsidR="00285CE4" w:rsidRPr="00285CE4">
        <w:t>pulmonary artery systolic pressure</w:t>
      </w:r>
      <w:r w:rsidRPr="00285CE4">
        <w:t>) were observed in both</w:t>
      </w:r>
      <w:r>
        <w:t xml:space="preserve"> sotatercept</w:t>
      </w:r>
      <w:r w:rsidR="00FB3B3D">
        <w:t xml:space="preserve"> </w:t>
      </w:r>
      <w:r>
        <w:t>dose levels compared with placebo; however, participants treated with 0.7</w:t>
      </w:r>
      <w:r w:rsidR="00526BEC">
        <w:t> </w:t>
      </w:r>
      <w:r>
        <w:t>mg/kg sotatercept</w:t>
      </w:r>
      <w:r w:rsidR="00FB3B3D">
        <w:t xml:space="preserve"> </w:t>
      </w:r>
      <w:r>
        <w:t>for 24 weeks trended towards more favo</w:t>
      </w:r>
      <w:r w:rsidR="00526BEC">
        <w:t>u</w:t>
      </w:r>
      <w:r>
        <w:t>rable right ventricular function outcomes compared</w:t>
      </w:r>
      <w:r w:rsidR="00FB3B3D">
        <w:t xml:space="preserve"> </w:t>
      </w:r>
      <w:r>
        <w:t>with those treated with 0.3</w:t>
      </w:r>
      <w:r w:rsidR="00890C79">
        <w:t> </w:t>
      </w:r>
      <w:r>
        <w:t>mg/kg. Given numerically better PVR response in the 0.7</w:t>
      </w:r>
      <w:r w:rsidR="00890C79">
        <w:t> </w:t>
      </w:r>
      <w:r>
        <w:t>mg/kg group and manageable haemoglobin profile, 0.7</w:t>
      </w:r>
      <w:r w:rsidR="00890C79">
        <w:t> </w:t>
      </w:r>
      <w:r>
        <w:t xml:space="preserve">mg/kg </w:t>
      </w:r>
      <w:r w:rsidR="00285CE4">
        <w:t xml:space="preserve">once every 3 weeks </w:t>
      </w:r>
      <w:r>
        <w:t>was selected as the</w:t>
      </w:r>
      <w:r w:rsidR="00D3757A">
        <w:t xml:space="preserve"> target dose for STELLAR, although dose reductions to 0.3</w:t>
      </w:r>
      <w:r w:rsidR="00890C79">
        <w:t> </w:t>
      </w:r>
      <w:r w:rsidR="00D3757A">
        <w:t>mg/kg were permitted based on the dose modification guidelines or investigator discretion.</w:t>
      </w:r>
    </w:p>
    <w:p w14:paraId="4B307F3D" w14:textId="0F42079D" w:rsidR="00D3757A" w:rsidRDefault="00D3757A" w:rsidP="00D3757A">
      <w:r>
        <w:lastRenderedPageBreak/>
        <w:t>In summary, while sotatercept has demonstrated efficacy at both 0.3</w:t>
      </w:r>
      <w:r w:rsidR="00290030">
        <w:t> </w:t>
      </w:r>
      <w:r>
        <w:t>mg/kg and 0.7</w:t>
      </w:r>
      <w:r w:rsidR="00290030">
        <w:t> </w:t>
      </w:r>
      <w:r>
        <w:t>mg/kg doses, the 0.7</w:t>
      </w:r>
      <w:r w:rsidR="00290030">
        <w:t> </w:t>
      </w:r>
      <w:r>
        <w:t xml:space="preserve">mg/kg dose of sotatercept provided the highest probability of achieving clinically meaningful outcomes. </w:t>
      </w:r>
      <w:proofErr w:type="gramStart"/>
      <w:r>
        <w:t>The majority of</w:t>
      </w:r>
      <w:proofErr w:type="gramEnd"/>
      <w:r>
        <w:t xml:space="preserve"> participants in STELLAR were able to reach and maintain the target dose of 0.7</w:t>
      </w:r>
      <w:r w:rsidR="0057365E">
        <w:t> </w:t>
      </w:r>
      <w:r>
        <w:t xml:space="preserve">mg/kg through the </w:t>
      </w:r>
      <w:r w:rsidR="000A7683">
        <w:t>double</w:t>
      </w:r>
      <w:r w:rsidR="00020911">
        <w:t>-</w:t>
      </w:r>
      <w:r w:rsidR="000A7683">
        <w:t>blind, placebo</w:t>
      </w:r>
      <w:r w:rsidR="00FF0FEE">
        <w:t>-</w:t>
      </w:r>
      <w:r w:rsidR="000A7683">
        <w:t xml:space="preserve">controlled </w:t>
      </w:r>
      <w:r>
        <w:t>Treatment Period, and many of those who did have a dose reduction were able to subsequently re-escalate to 0.7</w:t>
      </w:r>
      <w:r w:rsidR="0057365E">
        <w:t> </w:t>
      </w:r>
      <w:r>
        <w:t>mg/kg. A temporary dose reduction may be warranted due to AEs or based on dose modification guidelines; however, dose reescalation should be considered once the event resolves or laboratory values stabili</w:t>
      </w:r>
      <w:r w:rsidR="0057365E">
        <w:t>s</w:t>
      </w:r>
      <w:r>
        <w:t xml:space="preserve">e. The </w:t>
      </w:r>
      <w:r w:rsidR="00FB56E3">
        <w:t>s</w:t>
      </w:r>
      <w:r>
        <w:t>ponsor maintains that the current proposed label has sufficient guidance for the prescriber to modify the dose, as appropriate, based on lab</w:t>
      </w:r>
      <w:r w:rsidR="00FB56E3">
        <w:t>oratory reports</w:t>
      </w:r>
      <w:r>
        <w:t xml:space="preserve"> and any adverse reactions, and then re-escalate to the target dose if tolerated. If the patient does not tolerate the target dose, then the physician has the flexibility to exercise clinical judgement and engage in shared decision-making with the patient to determine how to proceed.</w:t>
      </w:r>
    </w:p>
    <w:p w14:paraId="318CFABC" w14:textId="77777777" w:rsidR="00C22214" w:rsidRPr="00F73346" w:rsidRDefault="00C22214" w:rsidP="00C22214">
      <w:pPr>
        <w:pStyle w:val="Heading4"/>
      </w:pPr>
      <w:bookmarkStart w:id="65" w:name="_Toc98931936"/>
      <w:bookmarkStart w:id="66" w:name="_Toc202861318"/>
      <w:bookmarkStart w:id="67" w:name="_Toc247691532"/>
      <w:bookmarkStart w:id="68" w:name="_Toc314842516"/>
      <w:r w:rsidRPr="00F73346">
        <w:t>Advisory Committee considerations</w:t>
      </w:r>
      <w:bookmarkEnd w:id="65"/>
      <w:bookmarkEnd w:id="66"/>
    </w:p>
    <w:p w14:paraId="087BB9CB" w14:textId="190FBA74" w:rsidR="00C22214" w:rsidRPr="00BD5DBD" w:rsidRDefault="00C22214" w:rsidP="00C22214">
      <w:pPr>
        <w:rPr>
          <w:bCs/>
          <w:szCs w:val="22"/>
        </w:rPr>
      </w:pPr>
      <w:r w:rsidRPr="00BD5DBD">
        <w:rPr>
          <w:bCs/>
          <w:szCs w:val="22"/>
        </w:rPr>
        <w:t xml:space="preserve">The </w:t>
      </w:r>
      <w:hyperlink r:id="rId45" w:history="1">
        <w:r w:rsidRPr="00BD5DBD">
          <w:rPr>
            <w:rStyle w:val="Hyperlink"/>
            <w:szCs w:val="22"/>
          </w:rPr>
          <w:t>Advisory Committee on Medicines (ACM)</w:t>
        </w:r>
      </w:hyperlink>
      <w:r w:rsidRPr="00BD5DBD">
        <w:rPr>
          <w:szCs w:val="22"/>
        </w:rPr>
        <w:t>,</w:t>
      </w:r>
      <w:r w:rsidRPr="00BD5DBD">
        <w:rPr>
          <w:bCs/>
          <w:szCs w:val="22"/>
        </w:rPr>
        <w:t xml:space="preserve"> having considered the evaluations and the Delegate’s overview, as well as the sponsor’s response to these documents, advised the following.</w:t>
      </w:r>
    </w:p>
    <w:p w14:paraId="0D935CC4" w14:textId="77777777" w:rsidR="00C22214" w:rsidRPr="00F73346" w:rsidRDefault="00C22214" w:rsidP="00C22214">
      <w:pPr>
        <w:pStyle w:val="Heading5"/>
      </w:pPr>
      <w:r w:rsidRPr="00F73346">
        <w:t>Specific advice to the Delegate</w:t>
      </w:r>
    </w:p>
    <w:p w14:paraId="148BD3E5" w14:textId="7A7BC122" w:rsidR="007D7A25" w:rsidRPr="00305997" w:rsidRDefault="007D7A25" w:rsidP="00E77991">
      <w:pPr>
        <w:pStyle w:val="Numberbullet0"/>
        <w:numPr>
          <w:ilvl w:val="0"/>
          <w:numId w:val="28"/>
        </w:numPr>
        <w:rPr>
          <w:b/>
          <w:bCs/>
          <w:i/>
          <w:iCs/>
        </w:rPr>
      </w:pPr>
      <w:r w:rsidRPr="00305997">
        <w:rPr>
          <w:b/>
          <w:bCs/>
          <w:i/>
          <w:iCs/>
        </w:rPr>
        <w:t>What is ACM’s view of the Delegate’s proposed indication?</w:t>
      </w:r>
    </w:p>
    <w:p w14:paraId="534CBF99" w14:textId="3612170F" w:rsidR="007D7A25" w:rsidRDefault="007D7A25" w:rsidP="007D7A25">
      <w:r>
        <w:t xml:space="preserve">The ACM noted that the </w:t>
      </w:r>
      <w:r w:rsidR="00CB7948">
        <w:t>s</w:t>
      </w:r>
      <w:r>
        <w:t>ponsor wants the removal of FC II and III from the proposed indication. However, the inclusion criteria in the pivotal STELLAR study required study subjects to have WHO FC II or III PAH. The ACM advised that the FC restriction should remain as the available clinical data were restricted to patients with PAH functional class II and III. Furthermore, this was required to maintain consistency in the approach taken for other products for the treatment of PAH.</w:t>
      </w:r>
    </w:p>
    <w:p w14:paraId="425F2E64" w14:textId="77777777" w:rsidR="007D7A25" w:rsidRDefault="007D7A25" w:rsidP="007D7A25">
      <w:r>
        <w:t>The ACM expressed a general preference for consistency of wording of indications for the same condition, where supported by evidence.</w:t>
      </w:r>
    </w:p>
    <w:p w14:paraId="58839C0D" w14:textId="77777777" w:rsidR="007D7A25" w:rsidRDefault="007D7A25" w:rsidP="007D7A25">
      <w:r>
        <w:t>The ACM noted that the endpoints ‘to increase exercise capacity, improve WHO functional class, and reduce the risk of clinical worsening events’ were included in the indication approved by FDA. However, the ACM was of the view that these endpoints should not be included in the indication statement as this information does not help identify the appropriate patient group and is elsewhere in the PI. Overall, the ACM supported the Delegate’s proposed indication.</w:t>
      </w:r>
    </w:p>
    <w:p w14:paraId="4C0683E0" w14:textId="2B4E09F7" w:rsidR="007D7A25" w:rsidRDefault="007D7A25" w:rsidP="002F4408">
      <w:pPr>
        <w:pStyle w:val="DelegatesQuestions"/>
      </w:pPr>
      <w:r>
        <w:t>What is ACM’s view of the proposed dosing in adults across the weight range 30</w:t>
      </w:r>
      <w:r w:rsidR="00CB7948">
        <w:t> </w:t>
      </w:r>
      <w:r>
        <w:t>kg-180</w:t>
      </w:r>
      <w:r w:rsidR="00CB7948">
        <w:t> </w:t>
      </w:r>
      <w:r>
        <w:t>kg?</w:t>
      </w:r>
    </w:p>
    <w:p w14:paraId="30FE0A75" w14:textId="28B8164F" w:rsidR="007D7A25" w:rsidRDefault="007D7A25" w:rsidP="007D7A25">
      <w:r>
        <w:t>The ACM noted that the pivotal and supportive trials only included patients from the weight range 40</w:t>
      </w:r>
      <w:r w:rsidR="00D27425">
        <w:t xml:space="preserve"> kg to </w:t>
      </w:r>
      <w:r>
        <w:t>136</w:t>
      </w:r>
      <w:r w:rsidR="0059560E">
        <w:t> </w:t>
      </w:r>
      <w:r>
        <w:t>kg, and there was lack of direct data in patients from the weight ranges 30</w:t>
      </w:r>
      <w:r w:rsidR="00D27425">
        <w:t xml:space="preserve"> kg to </w:t>
      </w:r>
      <w:r>
        <w:t>40</w:t>
      </w:r>
      <w:r w:rsidR="00D27425">
        <w:t> </w:t>
      </w:r>
      <w:r>
        <w:t>kg and 135</w:t>
      </w:r>
      <w:r w:rsidR="00D27425">
        <w:t> kg to</w:t>
      </w:r>
      <w:r>
        <w:t>180</w:t>
      </w:r>
      <w:r w:rsidR="00D27425">
        <w:t> </w:t>
      </w:r>
      <w:r>
        <w:t xml:space="preserve">kg. The ACM advised that sotatercept would be managed by specialists. Furthermore, patients would be closely </w:t>
      </w:r>
      <w:proofErr w:type="gramStart"/>
      <w:r>
        <w:t>monitored</w:t>
      </w:r>
      <w:proofErr w:type="gramEnd"/>
      <w:r>
        <w:t xml:space="preserve"> and dose adjustments would be closely aligned to any side effects.</w:t>
      </w:r>
    </w:p>
    <w:p w14:paraId="1CE3FB6E" w14:textId="0E2B194A" w:rsidR="007D7A25" w:rsidRDefault="007D7A25" w:rsidP="007D7A25">
      <w:r>
        <w:t xml:space="preserve">The ACM considered the </w:t>
      </w:r>
      <w:r w:rsidR="005D0A4D">
        <w:t>s</w:t>
      </w:r>
      <w:r>
        <w:t>ponsor’s Pre-ACM response reassuring and were supportive of the proposed dosing in adults across the weight range 30</w:t>
      </w:r>
      <w:r w:rsidR="005D0A4D">
        <w:t xml:space="preserve"> kg to </w:t>
      </w:r>
      <w:r>
        <w:t>180</w:t>
      </w:r>
      <w:r w:rsidR="005D0A4D">
        <w:t> </w:t>
      </w:r>
      <w:r>
        <w:t>kg</w:t>
      </w:r>
      <w:r w:rsidR="005D0A4D">
        <w:t>.</w:t>
      </w:r>
    </w:p>
    <w:p w14:paraId="71316507" w14:textId="148E8A2B" w:rsidR="007D7A25" w:rsidRDefault="007D7A25" w:rsidP="00A114E5">
      <w:pPr>
        <w:pStyle w:val="DelegatesQuestions"/>
        <w:keepNext/>
        <w:ind w:left="357" w:hanging="357"/>
      </w:pPr>
      <w:r>
        <w:lastRenderedPageBreak/>
        <w:t xml:space="preserve">What is ACM’s view of the instructions in 4.2 of the PI </w:t>
      </w:r>
      <w:r w:rsidR="00CB7948">
        <w:t>‘</w:t>
      </w:r>
      <w:r>
        <w:t>Dosage modifications in adults due to haemoglobin increase or platelet count decrease</w:t>
      </w:r>
      <w:r w:rsidR="00CB7948">
        <w:t>’</w:t>
      </w:r>
      <w:r>
        <w:t>?</w:t>
      </w:r>
    </w:p>
    <w:p w14:paraId="06EC129F" w14:textId="1CABABD8" w:rsidR="007D7A25" w:rsidRDefault="007D7A25" w:rsidP="007D7A25">
      <w:r>
        <w:t xml:space="preserve">The ACM considered the pre-ACM revised instructions in 4.2 section of the PI </w:t>
      </w:r>
      <w:r w:rsidR="00AC050C">
        <w:t>‘</w:t>
      </w:r>
      <w:r>
        <w:t>Dosage modifications in adults due to haemoglobin increase or platelet count decrease</w:t>
      </w:r>
      <w:r w:rsidR="00AC050C">
        <w:t>’</w:t>
      </w:r>
      <w:r>
        <w:t xml:space="preserve"> to be satisfactory.</w:t>
      </w:r>
    </w:p>
    <w:p w14:paraId="5291EA2A" w14:textId="41383B92" w:rsidR="00C22214" w:rsidRPr="00F73346" w:rsidRDefault="008D56CA" w:rsidP="00C22214">
      <w:pPr>
        <w:pStyle w:val="Heading5"/>
      </w:pPr>
      <w:r>
        <w:t>A</w:t>
      </w:r>
      <w:r w:rsidR="004A45D4">
        <w:t>dvisory committee c</w:t>
      </w:r>
      <w:r w:rsidR="00C22214" w:rsidRPr="00F73346">
        <w:t>onclusion</w:t>
      </w:r>
    </w:p>
    <w:p w14:paraId="06F5B6B8" w14:textId="768B4E2F" w:rsidR="005E572B" w:rsidRDefault="005E572B" w:rsidP="005E572B">
      <w:r w:rsidRPr="005E572B">
        <w:t>The ACM considered this product to have an overall positive benefit-risk profile for the indication:</w:t>
      </w:r>
    </w:p>
    <w:p w14:paraId="603D4B41" w14:textId="2F1A14D7" w:rsidR="005E572B" w:rsidRPr="005E572B" w:rsidRDefault="005E572B" w:rsidP="005E572B">
      <w:pPr>
        <w:ind w:left="720"/>
      </w:pPr>
      <w:r w:rsidRPr="005E572B">
        <w:rPr>
          <w:i/>
          <w:iCs/>
        </w:rPr>
        <w:t>Sotatercept is indicated for the treatment of adults with pulmonary arterial hypertension (PAH) in WHO Functional Class (FC) II or III, in combination with standard therapy.</w:t>
      </w:r>
    </w:p>
    <w:p w14:paraId="2F63B283" w14:textId="2A7CD867" w:rsidR="005E572B" w:rsidRPr="005E572B" w:rsidRDefault="005E572B" w:rsidP="005E572B">
      <w:pPr>
        <w:ind w:left="720"/>
      </w:pPr>
      <w:r w:rsidRPr="005E572B">
        <w:rPr>
          <w:i/>
          <w:iCs/>
        </w:rPr>
        <w:t>Efficacy has been shown in idiopathic and heritable PAH, PAH associated with connective tissue disease, drug or toxin-induced PAH and PAH associated with congenital heart disease with repaired shunts.</w:t>
      </w:r>
    </w:p>
    <w:p w14:paraId="307F236C" w14:textId="7FD19BD3" w:rsidR="00C22214" w:rsidRPr="002E238E" w:rsidRDefault="0046285C" w:rsidP="00C22214">
      <w:pPr>
        <w:pStyle w:val="Heading2"/>
      </w:pPr>
      <w:bookmarkStart w:id="69" w:name="_Toc103679300"/>
      <w:bookmarkStart w:id="70" w:name="_Toc202861319"/>
      <w:r>
        <w:t>Assessment</w:t>
      </w:r>
      <w:r w:rsidR="00190853">
        <w:t xml:space="preserve"> </w:t>
      </w:r>
      <w:r>
        <w:t>o</w:t>
      </w:r>
      <w:r w:rsidR="00C22214">
        <w:t>utcome</w:t>
      </w:r>
      <w:bookmarkEnd w:id="67"/>
      <w:bookmarkEnd w:id="68"/>
      <w:bookmarkEnd w:id="69"/>
      <w:bookmarkEnd w:id="70"/>
    </w:p>
    <w:p w14:paraId="4EF22939" w14:textId="0505E590" w:rsidR="00C22214" w:rsidRPr="0017005C" w:rsidRDefault="00C22214" w:rsidP="0006104E">
      <w:r w:rsidRPr="0017005C">
        <w:t xml:space="preserve">Based on a review of quality, safety, and efficacy, the TGA </w:t>
      </w:r>
      <w:r w:rsidR="00B46DFB">
        <w:t>decided to</w:t>
      </w:r>
      <w:r w:rsidRPr="0017005C">
        <w:t xml:space="preserve"> regist</w:t>
      </w:r>
      <w:r w:rsidR="00B46DFB">
        <w:t>er</w:t>
      </w:r>
      <w:r w:rsidR="00CB6CD2">
        <w:t xml:space="preserve"> </w:t>
      </w:r>
      <w:proofErr w:type="spellStart"/>
      <w:r w:rsidR="00CB6CD2">
        <w:t>Winrevair</w:t>
      </w:r>
      <w:proofErr w:type="spellEnd"/>
      <w:r w:rsidR="00CB6CD2" w:rsidRPr="00065839">
        <w:t xml:space="preserve"> (</w:t>
      </w:r>
      <w:proofErr w:type="spellStart"/>
      <w:r w:rsidR="00CB6CD2">
        <w:t>sotatercept</w:t>
      </w:r>
      <w:proofErr w:type="spellEnd"/>
      <w:r w:rsidR="00CB6CD2" w:rsidRPr="00065839">
        <w:t xml:space="preserve">) </w:t>
      </w:r>
      <w:r w:rsidR="00CB6CD2">
        <w:t>45 mg and 60 mg powder for injection in vials</w:t>
      </w:r>
      <w:r w:rsidRPr="0017005C">
        <w:t>, indicated for:</w:t>
      </w:r>
    </w:p>
    <w:p w14:paraId="4F72EEEC" w14:textId="6C996238" w:rsidR="008E7379" w:rsidRPr="008E7379" w:rsidRDefault="008E7379" w:rsidP="008E7379">
      <w:pPr>
        <w:ind w:left="720"/>
        <w:rPr>
          <w:i/>
          <w:color w:val="000000" w:themeColor="text1"/>
          <w:szCs w:val="22"/>
        </w:rPr>
      </w:pPr>
      <w:r w:rsidRPr="008E7379">
        <w:rPr>
          <w:i/>
          <w:color w:val="000000" w:themeColor="text1"/>
          <w:szCs w:val="22"/>
        </w:rPr>
        <w:t>WINREVAIR is indicated for the treatment of adults with pulmonary arterial hypertension (PAH) in WHO Functional Class (FC) II or III, in combination with standard therapy.</w:t>
      </w:r>
    </w:p>
    <w:p w14:paraId="3B245AB5" w14:textId="0744AE7A" w:rsidR="00C22214" w:rsidRPr="00BD5DBD" w:rsidRDefault="008E7379" w:rsidP="008E7379">
      <w:pPr>
        <w:pStyle w:val="Indication"/>
      </w:pPr>
      <w:r w:rsidRPr="007655FC">
        <w:rPr>
          <w:szCs w:val="22"/>
        </w:rPr>
        <w:t>Efficacy has been shown in idiopathic and heritable PAH, PAH associated with connective tissue disease, drug or toxin-induced PAH and PAH associated with congenital heart disease with repaired shunts.</w:t>
      </w:r>
    </w:p>
    <w:p w14:paraId="0D732DA4" w14:textId="5A75E15F" w:rsidR="00854D98" w:rsidRPr="00D23139" w:rsidRDefault="00854D98" w:rsidP="00906C74">
      <w:pPr>
        <w:pStyle w:val="Heading2"/>
      </w:pPr>
      <w:bookmarkStart w:id="71" w:name="_Toc103679301"/>
      <w:bookmarkStart w:id="72" w:name="_Toc202861320"/>
      <w:r w:rsidRPr="00D23139">
        <w:t>Specific conditions of registration</w:t>
      </w:r>
      <w:bookmarkEnd w:id="71"/>
      <w:bookmarkEnd w:id="72"/>
    </w:p>
    <w:p w14:paraId="52A96880" w14:textId="13A39E0F" w:rsidR="00B03A1C" w:rsidRDefault="00B03A1C" w:rsidP="00B03A1C">
      <w:pPr>
        <w:pStyle w:val="ListBullet"/>
      </w:pPr>
      <w:proofErr w:type="spellStart"/>
      <w:r>
        <w:t>Winrevair</w:t>
      </w:r>
      <w:proofErr w:type="spellEnd"/>
      <w:r>
        <w:t xml:space="preserve"> (</w:t>
      </w:r>
      <w:proofErr w:type="spellStart"/>
      <w:r>
        <w:t>sotatercept</w:t>
      </w:r>
      <w:proofErr w:type="spellEnd"/>
      <w:r>
        <w:t>) is to be included in the Black Triangle Scheme. The PI and CMI</w:t>
      </w:r>
      <w:r w:rsidR="00CA4DE9">
        <w:t xml:space="preserve"> </w:t>
      </w:r>
      <w:r>
        <w:t xml:space="preserve">for </w:t>
      </w:r>
      <w:proofErr w:type="spellStart"/>
      <w:r>
        <w:t>Winrevair</w:t>
      </w:r>
      <w:proofErr w:type="spellEnd"/>
      <w:r>
        <w:t xml:space="preserve"> must include the black triangle symbol and mandatory accompanying</w:t>
      </w:r>
      <w:r w:rsidR="00CA4DE9">
        <w:t xml:space="preserve"> </w:t>
      </w:r>
      <w:r>
        <w:t xml:space="preserve">text for </w:t>
      </w:r>
      <w:r w:rsidR="00CA4DE9">
        <w:t>5 </w:t>
      </w:r>
      <w:r>
        <w:t>years, which starts from the date of first supply of the product.</w:t>
      </w:r>
    </w:p>
    <w:p w14:paraId="481AE7F1" w14:textId="2C225CE7" w:rsidR="00B03A1C" w:rsidRDefault="00B03A1C" w:rsidP="00B03A1C">
      <w:pPr>
        <w:pStyle w:val="ListBullet"/>
      </w:pPr>
      <w:r>
        <w:t xml:space="preserve">The </w:t>
      </w:r>
      <w:proofErr w:type="spellStart"/>
      <w:r>
        <w:t>Winrevair</w:t>
      </w:r>
      <w:proofErr w:type="spellEnd"/>
      <w:r>
        <w:t xml:space="preserve"> Core-Risk Management Plan (RMP) (version 2.1, dated 19 January 2024,</w:t>
      </w:r>
      <w:r w:rsidR="00997F98">
        <w:t xml:space="preserve"> </w:t>
      </w:r>
      <w:r>
        <w:t>data lock point 26 August 2022), with Australian Specific Annex (version 0.2, dated 29</w:t>
      </w:r>
      <w:r w:rsidR="00217CA6">
        <w:t xml:space="preserve"> </w:t>
      </w:r>
      <w:r>
        <w:t>January 2024), included with submission PM-2024-00043-1-3, and any subsequent</w:t>
      </w:r>
      <w:r w:rsidR="00217CA6">
        <w:t xml:space="preserve"> </w:t>
      </w:r>
      <w:r>
        <w:t>revisions, as agreed with the TGA will be implemented in Australia.</w:t>
      </w:r>
    </w:p>
    <w:p w14:paraId="4B40E28A" w14:textId="5C40EF04" w:rsidR="00B03A1C" w:rsidRDefault="00B03A1C" w:rsidP="00B03A1C">
      <w:pPr>
        <w:pStyle w:val="ListBullet"/>
      </w:pPr>
      <w:r>
        <w:t>An obligatory component of risk management plans is routine pharmacovigilance.</w:t>
      </w:r>
      <w:r w:rsidR="00217CA6">
        <w:t xml:space="preserve"> </w:t>
      </w:r>
      <w:r>
        <w:t>Routine pharmacovigilance includes the submission of periodic safety update reports</w:t>
      </w:r>
      <w:r w:rsidR="00A17B6D">
        <w:t xml:space="preserve"> </w:t>
      </w:r>
      <w:r>
        <w:t>(PSURs).</w:t>
      </w:r>
    </w:p>
    <w:p w14:paraId="230651E3" w14:textId="23588C77" w:rsidR="001F1095" w:rsidRDefault="00B03A1C" w:rsidP="00DA0B3C">
      <w:pPr>
        <w:pStyle w:val="ListBullet2"/>
      </w:pPr>
      <w:r>
        <w:t>1.Unless agreed separately between the supplier who is the recipient of the</w:t>
      </w:r>
      <w:r w:rsidR="001F1095">
        <w:t xml:space="preserve"> </w:t>
      </w:r>
      <w:r>
        <w:t>approval and the TGA, the first report must be submitted to TGA no later than15 calendar months after the date of th</w:t>
      </w:r>
      <w:r w:rsidR="00657F0E">
        <w:t>e</w:t>
      </w:r>
      <w:r>
        <w:t xml:space="preserve"> approval letter. The subsequent</w:t>
      </w:r>
      <w:r w:rsidR="00657F0E">
        <w:t xml:space="preserve"> </w:t>
      </w:r>
      <w:r>
        <w:t>reports must be submitted no less frequently than annually from the date of the</w:t>
      </w:r>
      <w:r w:rsidR="00657F0E">
        <w:t xml:space="preserve"> </w:t>
      </w:r>
      <w:r>
        <w:t>first submitted report until the period covered by such reports is not less than</w:t>
      </w:r>
      <w:r w:rsidR="00AB5F46">
        <w:t xml:space="preserve"> 3</w:t>
      </w:r>
      <w:r>
        <w:t xml:space="preserve"> years from the date of th</w:t>
      </w:r>
      <w:r w:rsidR="00657F0E">
        <w:t>e</w:t>
      </w:r>
      <w:r>
        <w:t xml:space="preserve"> approval letter. The annual submission may be made up of two PSURs each covering </w:t>
      </w:r>
      <w:r w:rsidR="00FC6341">
        <w:t>6</w:t>
      </w:r>
      <w:r>
        <w:t xml:space="preserve"> months. If the sponsor wishes, the </w:t>
      </w:r>
      <w:r w:rsidR="00FC6341">
        <w:t>6-</w:t>
      </w:r>
      <w:r>
        <w:t>monthly reports may be submitted separately as they become available.</w:t>
      </w:r>
    </w:p>
    <w:p w14:paraId="0C12F52D" w14:textId="0A6ADD9B" w:rsidR="00B03A1C" w:rsidRDefault="00B03A1C" w:rsidP="001F1095">
      <w:pPr>
        <w:pStyle w:val="ListBullet2"/>
      </w:pPr>
      <w:r>
        <w:t xml:space="preserve">2.If the product is approved in the EU during the </w:t>
      </w:r>
      <w:proofErr w:type="gramStart"/>
      <w:r w:rsidR="00FC6341">
        <w:t>3</w:t>
      </w:r>
      <w:r>
        <w:t xml:space="preserve"> year</w:t>
      </w:r>
      <w:proofErr w:type="gramEnd"/>
      <w:r>
        <w:t xml:space="preserve"> period, reports can</w:t>
      </w:r>
      <w:r w:rsidR="00FE46FD">
        <w:t xml:space="preserve"> </w:t>
      </w:r>
      <w:r>
        <w:t>be provided in line with the published list of EU reference dates no less</w:t>
      </w:r>
      <w:r w:rsidR="00FE46FD">
        <w:t xml:space="preserve"> </w:t>
      </w:r>
      <w:r>
        <w:t xml:space="preserve">frequently than annually from </w:t>
      </w:r>
      <w:r>
        <w:lastRenderedPageBreak/>
        <w:t>the date of the first submitted report until the</w:t>
      </w:r>
      <w:r w:rsidR="00FE46FD">
        <w:t xml:space="preserve"> </w:t>
      </w:r>
      <w:r>
        <w:t xml:space="preserve">period covered by such reports is not less than </w:t>
      </w:r>
      <w:r w:rsidR="00FE46FD">
        <w:t>3</w:t>
      </w:r>
      <w:r>
        <w:t xml:space="preserve"> years from the date of th</w:t>
      </w:r>
      <w:r w:rsidR="00FE46FD">
        <w:t xml:space="preserve">e </w:t>
      </w:r>
      <w:r>
        <w:t>approval letter.</w:t>
      </w:r>
    </w:p>
    <w:p w14:paraId="4E5467F5" w14:textId="5AD294CF" w:rsidR="00B03A1C" w:rsidRDefault="00B03A1C" w:rsidP="001F1095">
      <w:pPr>
        <w:pStyle w:val="ListBullet2"/>
      </w:pPr>
      <w:r>
        <w:t>3.The reports are to at least meet the requirements for PSURs as described in the</w:t>
      </w:r>
      <w:r w:rsidR="00906758">
        <w:t xml:space="preserve"> </w:t>
      </w:r>
      <w:r>
        <w:t>European Medicines Agency’s Guideline on good pharmacovigilance practices</w:t>
      </w:r>
      <w:r w:rsidR="00906758">
        <w:t xml:space="preserve"> </w:t>
      </w:r>
      <w:r>
        <w:t>(GVP) Module VII-periodic safety update report (Rev 1), Part VII.B Structures</w:t>
      </w:r>
      <w:r w:rsidR="00906758">
        <w:t xml:space="preserve"> </w:t>
      </w:r>
      <w:r>
        <w:t>and processes. Note that submission of a PSUR does not constitute an</w:t>
      </w:r>
      <w:r w:rsidR="00906758">
        <w:t xml:space="preserve"> </w:t>
      </w:r>
      <w:r>
        <w:t>application to vary the registration. Each report must be submitted within</w:t>
      </w:r>
      <w:r w:rsidR="00906758">
        <w:t xml:space="preserve"> 90</w:t>
      </w:r>
      <w:r>
        <w:t xml:space="preserve"> calendar days of the data lock point for that report.</w:t>
      </w:r>
    </w:p>
    <w:p w14:paraId="17250D14" w14:textId="3999D814" w:rsidR="00B03A1C" w:rsidRDefault="00B03A1C" w:rsidP="00B03A1C">
      <w:pPr>
        <w:pStyle w:val="ListBullet"/>
      </w:pPr>
      <w:r>
        <w:t>Laboratory testing &amp; compliance with Certified Product Details (CPD)</w:t>
      </w:r>
    </w:p>
    <w:p w14:paraId="03738166" w14:textId="27CCC6D3" w:rsidR="00B03A1C" w:rsidRDefault="00B03A1C" w:rsidP="00B85424">
      <w:pPr>
        <w:pStyle w:val="ListBullet2"/>
      </w:pPr>
      <w:r>
        <w:t>i.</w:t>
      </w:r>
      <w:r w:rsidR="00B50179">
        <w:t xml:space="preserve"> </w:t>
      </w:r>
      <w:r>
        <w:t xml:space="preserve">All batches of </w:t>
      </w:r>
      <w:proofErr w:type="spellStart"/>
      <w:r>
        <w:t>W</w:t>
      </w:r>
      <w:r w:rsidR="00B85424">
        <w:t>inrevair</w:t>
      </w:r>
      <w:proofErr w:type="spellEnd"/>
      <w:r>
        <w:t xml:space="preserve"> supplied in Australia must comply with the product</w:t>
      </w:r>
      <w:r w:rsidR="00B85424">
        <w:t xml:space="preserve"> </w:t>
      </w:r>
      <w:r>
        <w:t>details and specifications approved during evaluation and detailed in the</w:t>
      </w:r>
      <w:r w:rsidR="00B85424">
        <w:t xml:space="preserve"> </w:t>
      </w:r>
      <w:r>
        <w:t>Certified Product Details (CPD).</w:t>
      </w:r>
    </w:p>
    <w:p w14:paraId="0137E453" w14:textId="3735F1FC" w:rsidR="00B03A1C" w:rsidRDefault="00B03A1C" w:rsidP="00B85424">
      <w:pPr>
        <w:pStyle w:val="ListBullet2"/>
      </w:pPr>
      <w:r>
        <w:t>ii.</w:t>
      </w:r>
      <w:r w:rsidR="00B50179">
        <w:t xml:space="preserve"> </w:t>
      </w:r>
      <w:r>
        <w:t xml:space="preserve">When requested by the TGA, the </w:t>
      </w:r>
      <w:r w:rsidR="00035A49">
        <w:t>s</w:t>
      </w:r>
      <w:r>
        <w:t>ponsor should be prepared to provide product</w:t>
      </w:r>
      <w:r w:rsidR="00035A49">
        <w:t xml:space="preserve"> </w:t>
      </w:r>
      <w:r>
        <w:t>samples, specified reference materials and documentary evidence to enable the</w:t>
      </w:r>
      <w:r w:rsidR="00035A49">
        <w:t xml:space="preserve"> </w:t>
      </w:r>
      <w:r>
        <w:t>TGA to conduct laboratory testing on the Product. Outcomes of laboratory testing</w:t>
      </w:r>
      <w:r w:rsidR="00035A49">
        <w:t xml:space="preserve"> </w:t>
      </w:r>
      <w:r>
        <w:t>are published biannually in the TGA Database of Laboratory Testing Results</w:t>
      </w:r>
      <w:r w:rsidR="00685C6B">
        <w:t xml:space="preserve"> </w:t>
      </w:r>
      <w:hyperlink r:id="rId46" w:history="1">
        <w:r w:rsidR="006803EA" w:rsidRPr="006803EA">
          <w:rPr>
            <w:rStyle w:val="Hyperlink"/>
          </w:rPr>
          <w:t>Laboratory test results | Therapeutic Goods Administration (TGA)</w:t>
        </w:r>
      </w:hyperlink>
      <w:r w:rsidR="006803EA" w:rsidRPr="006803EA">
        <w:t xml:space="preserve"> </w:t>
      </w:r>
      <w:r>
        <w:t xml:space="preserve"> and periodically in testing reports on the</w:t>
      </w:r>
      <w:r w:rsidR="00685C6B">
        <w:t xml:space="preserve"> </w:t>
      </w:r>
      <w:r>
        <w:t>TGA website.</w:t>
      </w:r>
    </w:p>
    <w:p w14:paraId="025B50EA" w14:textId="2307A711" w:rsidR="00B03A1C" w:rsidRDefault="00B03A1C" w:rsidP="00B85424">
      <w:pPr>
        <w:pStyle w:val="ListBullet2"/>
      </w:pPr>
      <w:r>
        <w:t>The Certified Product Details (CPD), as described in Guidance 7: Certified Product</w:t>
      </w:r>
      <w:r w:rsidR="006B1C98">
        <w:t xml:space="preserve"> </w:t>
      </w:r>
      <w:r>
        <w:t>Details of the Australian Regulatory Guidelines for Prescription Medicines</w:t>
      </w:r>
      <w:r w:rsidR="006B1C98">
        <w:t xml:space="preserve"> </w:t>
      </w:r>
      <w:r>
        <w:t>(ARGPM), in PDF format, for the above products should be provided upon</w:t>
      </w:r>
      <w:r w:rsidR="006B1C98">
        <w:t xml:space="preserve"> </w:t>
      </w:r>
      <w:r>
        <w:t>registration of these therapeutic goods. In addition, an updated CPD should be</w:t>
      </w:r>
      <w:r w:rsidR="00EC1963">
        <w:t xml:space="preserve"> </w:t>
      </w:r>
      <w:r>
        <w:t>provided when changes to finished product specifications and test methods are</w:t>
      </w:r>
      <w:r w:rsidR="00EC1963">
        <w:t xml:space="preserve"> </w:t>
      </w:r>
      <w:r>
        <w:t>approved in a Category 3 application or notified through a self-assessable change.</w:t>
      </w:r>
    </w:p>
    <w:p w14:paraId="4C6FB47E" w14:textId="6CBCDDFA" w:rsidR="00EC1963" w:rsidRDefault="00B03A1C" w:rsidP="00B85424">
      <w:pPr>
        <w:pStyle w:val="ListBullet2"/>
      </w:pPr>
      <w:r>
        <w:t>A template for preparation of CPD for biological prescription medicines can be</w:t>
      </w:r>
      <w:r w:rsidR="00EC1963">
        <w:t xml:space="preserve"> </w:t>
      </w:r>
      <w:r>
        <w:t>obtained from the TGA website</w:t>
      </w:r>
      <w:r w:rsidR="00FF0FEE">
        <w:t>:</w:t>
      </w:r>
    </w:p>
    <w:p w14:paraId="043BE3EC" w14:textId="2D781682" w:rsidR="00B03A1C" w:rsidRDefault="00B03A1C" w:rsidP="00FF0FEE">
      <w:pPr>
        <w:pStyle w:val="ListBullet2"/>
        <w:numPr>
          <w:ilvl w:val="0"/>
          <w:numId w:val="0"/>
        </w:numPr>
        <w:ind w:left="850"/>
      </w:pPr>
      <w:r>
        <w:t xml:space="preserve">[for the form] </w:t>
      </w:r>
      <w:hyperlink r:id="rId47" w:history="1">
        <w:r w:rsidR="00FF0FEE" w:rsidRPr="00E80E92">
          <w:rPr>
            <w:rStyle w:val="Hyperlink"/>
          </w:rPr>
          <w:t>https://www.tga.gov.au/form/certified-product-details-cpd-biological-prescription-medicines</w:t>
        </w:r>
      </w:hyperlink>
    </w:p>
    <w:p w14:paraId="25B79676" w14:textId="2D6CE262" w:rsidR="000C408B" w:rsidRDefault="00B03A1C" w:rsidP="00FF0FEE">
      <w:pPr>
        <w:pStyle w:val="ListBullet2"/>
        <w:numPr>
          <w:ilvl w:val="0"/>
          <w:numId w:val="0"/>
        </w:numPr>
        <w:ind w:left="850"/>
      </w:pPr>
      <w:r>
        <w:t xml:space="preserve">[for the CPD guidance] </w:t>
      </w:r>
      <w:hyperlink r:id="rId48" w:history="1">
        <w:r w:rsidR="000C408B" w:rsidRPr="00570215">
          <w:rPr>
            <w:rStyle w:val="Hyperlink"/>
          </w:rPr>
          <w:t>https://www.tga.gov.au/guidance-7-certified-product-details</w:t>
        </w:r>
      </w:hyperlink>
    </w:p>
    <w:p w14:paraId="2F33732B" w14:textId="35A69074" w:rsidR="00B03A1C" w:rsidRDefault="00B03A1C" w:rsidP="007B546E">
      <w:pPr>
        <w:pStyle w:val="ListBullet2"/>
      </w:pPr>
      <w:r>
        <w:t xml:space="preserve">The CPD should be emailed to </w:t>
      </w:r>
      <w:hyperlink r:id="rId49" w:history="1">
        <w:r w:rsidR="00FF0FEE" w:rsidRPr="00E80E92">
          <w:rPr>
            <w:rStyle w:val="Hyperlink"/>
          </w:rPr>
          <w:t>Biochemistry.Testing@tga.gov.au</w:t>
        </w:r>
      </w:hyperlink>
      <w:r w:rsidR="00FF0FEE">
        <w:t xml:space="preserve"> </w:t>
      </w:r>
      <w:r>
        <w:t>as a single PDF</w:t>
      </w:r>
      <w:r w:rsidR="000C408B">
        <w:t xml:space="preserve"> </w:t>
      </w:r>
      <w:r>
        <w:t>document.</w:t>
      </w:r>
    </w:p>
    <w:p w14:paraId="0F9C1952" w14:textId="61FEEBB4" w:rsidR="00BA657C" w:rsidRPr="00BA657C" w:rsidRDefault="00BA657C" w:rsidP="001A5A12">
      <w:pPr>
        <w:pStyle w:val="Heading2"/>
      </w:pPr>
      <w:bookmarkStart w:id="73" w:name="_Toc202861321"/>
      <w:bookmarkStart w:id="74" w:name="_Toc196738290"/>
      <w:r w:rsidRPr="00BA657C">
        <w:t>Product Information and Consumer Medicine Information</w:t>
      </w:r>
      <w:bookmarkEnd w:id="73"/>
      <w:bookmarkEnd w:id="74"/>
    </w:p>
    <w:p w14:paraId="5F276616" w14:textId="77777777" w:rsidR="004D0933" w:rsidRPr="004D0933" w:rsidRDefault="004D0933" w:rsidP="004D0933">
      <w:bookmarkStart w:id="75" w:name="_Hlk200021736"/>
      <w:r w:rsidRPr="004D0933">
        <w:t xml:space="preserve">For the most recent Product Information (PI) and Consumer Medicines Information (CMI), please refer to the TGA </w:t>
      </w:r>
      <w:hyperlink r:id="rId50" w:history="1">
        <w:r w:rsidRPr="004D0933">
          <w:rPr>
            <w:rStyle w:val="Hyperlink"/>
          </w:rPr>
          <w:t>PI/CMI search facility.</w:t>
        </w:r>
      </w:hyperlink>
    </w:p>
    <w:bookmarkEnd w:id="75"/>
    <w:p w14:paraId="40740B65" w14:textId="5819D664" w:rsidR="00C22214" w:rsidRPr="008B4DA3" w:rsidRDefault="00C22214" w:rsidP="00C22214">
      <w:pPr>
        <w:autoSpaceDE w:val="0"/>
        <w:autoSpaceDN w:val="0"/>
        <w:adjustRightInd w:val="0"/>
        <w:spacing w:after="0"/>
      </w:pPr>
    </w:p>
    <w:p w14:paraId="53357BF3" w14:textId="276457B5" w:rsidR="00C22214" w:rsidRDefault="00C22214" w:rsidP="00C22214">
      <w:pPr>
        <w:rPr>
          <w:lang w:eastAsia="ja-JP"/>
        </w:rPr>
        <w:sectPr w:rsidR="00C22214" w:rsidSect="007452E8">
          <w:headerReference w:type="even" r:id="rId51"/>
          <w:headerReference w:type="default" r:id="rId52"/>
          <w:footerReference w:type="default" r:id="rId53"/>
          <w:headerReference w:type="first" r:id="rId54"/>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215D48" w14:paraId="3C0C07BF" w14:textId="77777777" w:rsidTr="007452E8">
        <w:trPr>
          <w:trHeight w:hRule="exact" w:val="565"/>
          <w:jc w:val="center"/>
        </w:trPr>
        <w:tc>
          <w:tcPr>
            <w:tcW w:w="9145" w:type="dxa"/>
          </w:tcPr>
          <w:bookmarkEnd w:id="4"/>
          <w:bookmarkEnd w:id="5"/>
          <w:p w14:paraId="7E090B86" w14:textId="77777777" w:rsidR="00F02AEC" w:rsidRPr="00215D48" w:rsidRDefault="00F02AEC" w:rsidP="007452E8">
            <w:pPr>
              <w:pStyle w:val="TGASignoff"/>
            </w:pPr>
            <w:r w:rsidRPr="00215D48">
              <w:lastRenderedPageBreak/>
              <w:t>Therapeutic Goods Administration</w:t>
            </w:r>
          </w:p>
        </w:tc>
      </w:tr>
      <w:tr w:rsidR="00F02AEC" w:rsidRPr="00215D48" w14:paraId="70F47EA1" w14:textId="77777777" w:rsidTr="007452E8">
        <w:trPr>
          <w:trHeight w:val="963"/>
          <w:jc w:val="center"/>
        </w:trPr>
        <w:tc>
          <w:tcPr>
            <w:tcW w:w="9145" w:type="dxa"/>
            <w:tcMar>
              <w:top w:w="28" w:type="dxa"/>
            </w:tcMar>
          </w:tcPr>
          <w:p w14:paraId="3491EBCD" w14:textId="77777777" w:rsidR="00F02AEC" w:rsidRPr="00215D48" w:rsidRDefault="00F02AEC" w:rsidP="007452E8">
            <w:pPr>
              <w:pStyle w:val="Address"/>
              <w:jc w:val="center"/>
            </w:pPr>
            <w:r w:rsidRPr="00215D48">
              <w:t>PO Box 100 Woden ACT 2606 Australia</w:t>
            </w:r>
          </w:p>
          <w:p w14:paraId="5D0FE0E7" w14:textId="53CB9479" w:rsidR="00F02AEC" w:rsidRDefault="00F02AEC">
            <w:pPr>
              <w:pStyle w:val="Address"/>
              <w:jc w:val="center"/>
              <w:rPr>
                <w:sz w:val="22"/>
                <w:szCs w:val="22"/>
              </w:rPr>
            </w:pPr>
            <w:r w:rsidRPr="00215D48">
              <w:t xml:space="preserve">Email: </w:t>
            </w:r>
            <w:hyperlink r:id="rId55" w:history="1">
              <w:r w:rsidRPr="00215D48">
                <w:rPr>
                  <w:rStyle w:val="Hyperlink"/>
                </w:rPr>
                <w:t>info@tga.gov.au</w:t>
              </w:r>
            </w:hyperlink>
            <w:r w:rsidRPr="00215D48">
              <w:t xml:space="preserve">  Phone: 1800 020 </w:t>
            </w:r>
            <w:proofErr w:type="gramStart"/>
            <w:r w:rsidRPr="00215D48">
              <w:t>653  Fax</w:t>
            </w:r>
            <w:proofErr w:type="gramEnd"/>
            <w:r w:rsidRPr="00215D48">
              <w:t xml:space="preserve">: </w:t>
            </w:r>
            <w:r w:rsidRPr="00BA0DFC">
              <w:t>02 6203 1605</w:t>
            </w:r>
          </w:p>
          <w:p w14:paraId="4533D80F" w14:textId="1519D7A3" w:rsidR="00F02AEC" w:rsidRPr="00215D48" w:rsidRDefault="00F02AEC">
            <w:pPr>
              <w:pStyle w:val="Address"/>
              <w:jc w:val="center"/>
              <w:rPr>
                <w:rStyle w:val="Hyperlink"/>
                <w:b/>
                <w:color w:val="auto"/>
                <w:sz w:val="22"/>
              </w:rPr>
            </w:pPr>
            <w:hyperlink r:id="rId56" w:history="1">
              <w:r w:rsidRPr="00C4721A">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1FAC98BB" w:rsidR="00F02AEC" w:rsidRPr="00215D48" w:rsidRDefault="00746C60" w:rsidP="007452E8">
            <w:pPr>
              <w:pStyle w:val="Address"/>
              <w:jc w:val="center"/>
            </w:pPr>
            <w:r w:rsidRPr="00746C60">
              <w:t>D25-2632426</w:t>
            </w:r>
          </w:p>
        </w:tc>
      </w:tr>
    </w:tbl>
    <w:p w14:paraId="788B80FD" w14:textId="77777777" w:rsidR="007452E8" w:rsidRDefault="007452E8"/>
    <w:sectPr w:rsidR="007452E8" w:rsidSect="007452E8">
      <w:headerReference w:type="even" r:id="rId57"/>
      <w:headerReference w:type="default" r:id="rId58"/>
      <w:headerReference w:type="first" r:id="rId59"/>
      <w:footerReference w:type="first" r:id="rId6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F3A577" w14:textId="77777777" w:rsidR="00FE1A34" w:rsidRDefault="00FE1A34" w:rsidP="00F02AEC">
      <w:pPr>
        <w:spacing w:after="0" w:line="240" w:lineRule="auto"/>
      </w:pPr>
      <w:r>
        <w:separator/>
      </w:r>
    </w:p>
  </w:endnote>
  <w:endnote w:type="continuationSeparator" w:id="0">
    <w:p w14:paraId="5D199494" w14:textId="77777777" w:rsidR="00FE1A34" w:rsidRDefault="00FE1A34"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Bold">
    <w:altName w:val="Yu Gothic"/>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A3C72" w14:textId="77777777" w:rsidR="00F47D28" w:rsidRDefault="00F47D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7F1E37">
                <w:fldChar w:fldCharType="begin"/>
              </w:r>
              <w:r w:rsidR="007F1E37">
                <w:instrText xml:space="preserve"> NUMPAGES  </w:instrText>
              </w:r>
              <w:r w:rsidR="007F1E37">
                <w:fldChar w:fldCharType="separate"/>
              </w:r>
              <w:r>
                <w:rPr>
                  <w:noProof/>
                </w:rPr>
                <w:t>2</w:t>
              </w:r>
              <w:r w:rsidR="007F1E37">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AA29C" w14:textId="77777777" w:rsidR="007452E8" w:rsidRDefault="007452E8" w:rsidP="007452E8">
    <w:pPr>
      <w:pStyle w:val="Footer"/>
      <w:ind w:left="-1701"/>
    </w:pPr>
    <w:r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513"/>
      <w:gridCol w:w="1734"/>
    </w:tblGrid>
    <w:tr w:rsidR="007452E8" w:rsidRPr="004A3084" w14:paraId="6266BC33" w14:textId="77777777" w:rsidTr="000B087F">
      <w:trPr>
        <w:trHeight w:val="423"/>
      </w:trPr>
      <w:tc>
        <w:tcPr>
          <w:tcW w:w="7513" w:type="dxa"/>
          <w:tcBorders>
            <w:top w:val="single" w:sz="4" w:space="0" w:color="auto"/>
          </w:tcBorders>
        </w:tcPr>
        <w:p w14:paraId="3C421323" w14:textId="50BDABF8" w:rsidR="007452E8" w:rsidRPr="004A3084" w:rsidRDefault="007452E8" w:rsidP="007452E8">
          <w:pPr>
            <w:pStyle w:val="Footer"/>
          </w:pPr>
          <w:proofErr w:type="spellStart"/>
          <w:r w:rsidRPr="00487162">
            <w:t>AusPA</w:t>
          </w:r>
          <w:r>
            <w:t>R</w:t>
          </w:r>
          <w:proofErr w:type="spellEnd"/>
          <w:r>
            <w:t xml:space="preserve"> - </w:t>
          </w:r>
          <w:proofErr w:type="spellStart"/>
          <w:r w:rsidR="00560300">
            <w:t>Winrevair</w:t>
          </w:r>
          <w:proofErr w:type="spellEnd"/>
          <w:r>
            <w:t xml:space="preserve"> -</w:t>
          </w:r>
          <w:r w:rsidRPr="00460036">
            <w:t xml:space="preserve"> </w:t>
          </w:r>
          <w:proofErr w:type="spellStart"/>
          <w:r w:rsidR="00132136">
            <w:t>sotatercept</w:t>
          </w:r>
          <w:proofErr w:type="spellEnd"/>
          <w:r w:rsidRPr="00460036">
            <w:t xml:space="preserve"> </w:t>
          </w:r>
          <w:r w:rsidR="00132136">
            <w:t>–</w:t>
          </w:r>
          <w:r>
            <w:t xml:space="preserve"> </w:t>
          </w:r>
          <w:r w:rsidR="00132136">
            <w:t>Merck Sharp &amp; Dohme (Australia) Pty Ltd</w:t>
          </w:r>
          <w:r>
            <w:t xml:space="preserve"> - PM-202</w:t>
          </w:r>
          <w:r w:rsidR="00132136">
            <w:t>4</w:t>
          </w:r>
          <w:r w:rsidRPr="00487162">
            <w:t>-</w:t>
          </w:r>
          <w:r w:rsidR="000B087F">
            <w:t>00043-1-3</w:t>
          </w:r>
          <w:r>
            <w:br/>
          </w:r>
          <w:r w:rsidR="0051128F" w:rsidRPr="0051128F">
            <w:t xml:space="preserve">Date </w:t>
          </w:r>
          <w:r w:rsidR="009C30FE" w:rsidRPr="0051128F">
            <w:t>of finalisation:</w:t>
          </w:r>
          <w:r w:rsidR="0051128F">
            <w:t xml:space="preserve"> 19 August 2025</w:t>
          </w:r>
        </w:p>
      </w:tc>
      <w:tc>
        <w:tcPr>
          <w:tcW w:w="1734" w:type="dxa"/>
          <w:tcBorders>
            <w:top w:val="single" w:sz="4" w:space="0" w:color="auto"/>
          </w:tcBorders>
        </w:tcPr>
        <w:sdt>
          <w:sdtPr>
            <w:id w:val="11571659"/>
            <w:docPartObj>
              <w:docPartGallery w:val="Page Numbers (Top of Page)"/>
              <w:docPartUnique/>
            </w:docPartObj>
          </w:sdt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7F1E37">
                <w:fldChar w:fldCharType="begin"/>
              </w:r>
              <w:r w:rsidR="007F1E37">
                <w:instrText xml:space="preserve"> NUMPAGES  </w:instrText>
              </w:r>
              <w:r w:rsidR="007F1E37">
                <w:fldChar w:fldCharType="separate"/>
              </w:r>
              <w:r w:rsidR="006D6B44">
                <w:rPr>
                  <w:noProof/>
                </w:rPr>
                <w:t>17</w:t>
              </w:r>
              <w:r w:rsidR="007F1E37">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1A77ED" w14:textId="77777777" w:rsidR="00FE1A34" w:rsidRDefault="00FE1A34" w:rsidP="00F02AEC">
      <w:pPr>
        <w:spacing w:after="0" w:line="240" w:lineRule="auto"/>
      </w:pPr>
      <w:r>
        <w:separator/>
      </w:r>
    </w:p>
  </w:footnote>
  <w:footnote w:type="continuationSeparator" w:id="0">
    <w:p w14:paraId="03272A70" w14:textId="77777777" w:rsidR="00FE1A34" w:rsidRDefault="00FE1A34" w:rsidP="00F02AEC">
      <w:pPr>
        <w:spacing w:after="0" w:line="240" w:lineRule="auto"/>
      </w:pPr>
      <w:r>
        <w:continuationSeparator/>
      </w:r>
    </w:p>
  </w:footnote>
  <w:footnote w:id="1">
    <w:p w14:paraId="68402A9B" w14:textId="42E6F8E0"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 xml:space="preserve">e TGA and registered </w:t>
      </w:r>
      <w:r w:rsidR="005C4B46">
        <w:rPr>
          <w:lang w:val="en-GB"/>
        </w:rPr>
        <w:t xml:space="preserve">in </w:t>
      </w:r>
      <w:r w:rsidR="00FB236E">
        <w:rPr>
          <w:lang w:val="en-GB"/>
        </w:rPr>
        <w:t>the Australian Register of Therapeutic Goods.</w:t>
      </w:r>
    </w:p>
  </w:footnote>
  <w:footnote w:id="2">
    <w:p w14:paraId="10F700A7" w14:textId="2FA2454B" w:rsidR="008B07C9" w:rsidRDefault="008B07C9">
      <w:pPr>
        <w:pStyle w:val="FootnoteText"/>
      </w:pPr>
      <w:r>
        <w:rPr>
          <w:rStyle w:val="FootnoteReference"/>
        </w:rPr>
        <w:footnoteRef/>
      </w:r>
      <w:r>
        <w:t xml:space="preserve"> </w:t>
      </w:r>
      <w:r w:rsidR="00911921">
        <w:rPr>
          <w:noProof/>
        </w:rPr>
        <w:t>Humbert M</w:t>
      </w:r>
      <w:r w:rsidR="00A63108">
        <w:rPr>
          <w:noProof/>
        </w:rPr>
        <w:t>, Kovacs G, Hoeper MM, Bad</w:t>
      </w:r>
      <w:r w:rsidR="00A01683">
        <w:rPr>
          <w:noProof/>
        </w:rPr>
        <w:t xml:space="preserve">agliacca R, Berger RMF, Brida M, et al. </w:t>
      </w:r>
      <w:r w:rsidR="00911921">
        <w:rPr>
          <w:noProof/>
        </w:rPr>
        <w:t xml:space="preserve">2022 ESC/ERS Guidelines for the diagnosis and treatment of pulmonary hypertension. </w:t>
      </w:r>
      <w:r w:rsidR="00911921">
        <w:rPr>
          <w:i/>
          <w:iCs/>
          <w:noProof/>
        </w:rPr>
        <w:t>Eur Respir J</w:t>
      </w:r>
      <w:r w:rsidR="004A6001">
        <w:rPr>
          <w:noProof/>
        </w:rPr>
        <w:t xml:space="preserve"> (202</w:t>
      </w:r>
      <w:r w:rsidR="002418FD">
        <w:rPr>
          <w:noProof/>
        </w:rPr>
        <w:t>3</w:t>
      </w:r>
      <w:r w:rsidR="004A6001">
        <w:rPr>
          <w:noProof/>
        </w:rPr>
        <w:t xml:space="preserve">); </w:t>
      </w:r>
      <w:r w:rsidR="002418FD" w:rsidRPr="002418FD">
        <w:rPr>
          <w:noProof/>
        </w:rPr>
        <w:t>61(1)</w:t>
      </w:r>
      <w:r w:rsidR="000950A5">
        <w:rPr>
          <w:noProof/>
        </w:rPr>
        <w:t>;1-141.</w:t>
      </w:r>
      <w:r w:rsidR="002418FD" w:rsidRPr="002418FD">
        <w:rPr>
          <w:noProof/>
        </w:rPr>
        <w:t xml:space="preserve"> doi: 10.1183/13993003.00879-2022</w:t>
      </w:r>
      <w:r w:rsidR="002602D0">
        <w:rPr>
          <w:noProof/>
        </w:rPr>
        <w:t>.</w:t>
      </w:r>
    </w:p>
  </w:footnote>
  <w:footnote w:id="3">
    <w:p w14:paraId="01D20927" w14:textId="0CC59C3F" w:rsidR="00F25997" w:rsidRPr="0029750F" w:rsidRDefault="00F25997" w:rsidP="0016445F">
      <w:pPr>
        <w:pStyle w:val="FootnoteText"/>
        <w:rPr>
          <w:rStyle w:val="FootnoteReference"/>
          <w:sz w:val="16"/>
          <w:szCs w:val="16"/>
          <w:vertAlign w:val="baseline"/>
        </w:rPr>
      </w:pPr>
      <w:r>
        <w:rPr>
          <w:rStyle w:val="FootnoteReference"/>
        </w:rPr>
        <w:footnoteRef/>
      </w:r>
      <w:r w:rsidRPr="0016445F">
        <w:rPr>
          <w:rStyle w:val="FootnoteReference"/>
        </w:rPr>
        <w:t xml:space="preserve"> </w:t>
      </w:r>
      <w:r w:rsidR="009966A7" w:rsidRPr="0029750F">
        <w:rPr>
          <w:rStyle w:val="FootnoteReference"/>
          <w:sz w:val="16"/>
          <w:szCs w:val="16"/>
          <w:vertAlign w:val="baseline"/>
        </w:rPr>
        <w:t>Macitentan</w:t>
      </w:r>
      <w:r w:rsidRPr="0029750F">
        <w:rPr>
          <w:rStyle w:val="FootnoteReference"/>
          <w:sz w:val="16"/>
          <w:szCs w:val="16"/>
          <w:vertAlign w:val="baseline"/>
        </w:rPr>
        <w:t xml:space="preserve"> was first registered in Australia on </w:t>
      </w:r>
      <w:r w:rsidR="00E207C4" w:rsidRPr="0029750F">
        <w:rPr>
          <w:rStyle w:val="FootnoteReference"/>
          <w:sz w:val="16"/>
          <w:szCs w:val="16"/>
          <w:vertAlign w:val="baseline"/>
        </w:rPr>
        <w:t>5 February 2014.</w:t>
      </w:r>
    </w:p>
  </w:footnote>
  <w:footnote w:id="4">
    <w:p w14:paraId="7DBD58CC" w14:textId="5132C11C" w:rsidR="00C008DF" w:rsidRDefault="00C008DF">
      <w:pPr>
        <w:pStyle w:val="FootnoteText"/>
      </w:pPr>
      <w:r>
        <w:rPr>
          <w:rStyle w:val="FootnoteReference"/>
        </w:rPr>
        <w:footnoteRef/>
      </w:r>
      <w:r>
        <w:t xml:space="preserve"> </w:t>
      </w:r>
      <w:r w:rsidR="003F5D4E">
        <w:t>Iloprost</w:t>
      </w:r>
      <w:r w:rsidRPr="00E207C4">
        <w:rPr>
          <w:rStyle w:val="FootnoteTextChar"/>
        </w:rPr>
        <w:t xml:space="preserve"> was first registered in Australia on </w:t>
      </w:r>
      <w:r w:rsidR="003F5D4E">
        <w:rPr>
          <w:rStyle w:val="FootnoteTextChar"/>
        </w:rPr>
        <w:t>21 January 2004.</w:t>
      </w:r>
    </w:p>
  </w:footnote>
  <w:footnote w:id="5">
    <w:p w14:paraId="27B6C03E" w14:textId="50A1F2BE" w:rsidR="00245E26" w:rsidRDefault="00245E26">
      <w:pPr>
        <w:pStyle w:val="FootnoteText"/>
      </w:pPr>
      <w:r>
        <w:rPr>
          <w:rStyle w:val="FootnoteReference"/>
        </w:rPr>
        <w:footnoteRef/>
      </w:r>
      <w:r>
        <w:t xml:space="preserve"> </w:t>
      </w:r>
      <w:r>
        <w:rPr>
          <w:rStyle w:val="FootnoteTextChar"/>
        </w:rPr>
        <w:t>S</w:t>
      </w:r>
      <w:r w:rsidR="0016445F">
        <w:rPr>
          <w:rStyle w:val="FootnoteTextChar"/>
        </w:rPr>
        <w:t>elexipag</w:t>
      </w:r>
      <w:r w:rsidRPr="00E207C4">
        <w:rPr>
          <w:rStyle w:val="FootnoteTextChar"/>
        </w:rPr>
        <w:t xml:space="preserve"> </w:t>
      </w:r>
      <w:r w:rsidR="0016445F">
        <w:rPr>
          <w:rStyle w:val="FootnoteTextChar"/>
        </w:rPr>
        <w:t xml:space="preserve">was </w:t>
      </w:r>
      <w:r w:rsidRPr="00E207C4">
        <w:rPr>
          <w:rStyle w:val="FootnoteTextChar"/>
        </w:rPr>
        <w:t xml:space="preserve">first registered in Australia on </w:t>
      </w:r>
      <w:r w:rsidR="0016445F">
        <w:rPr>
          <w:rStyle w:val="FootnoteTextChar"/>
        </w:rPr>
        <w:t>24 March 2016.</w:t>
      </w:r>
    </w:p>
  </w:footnote>
  <w:footnote w:id="6">
    <w:p w14:paraId="2796A4F5" w14:textId="3CD8E9E8" w:rsidR="00BE0D3D" w:rsidRDefault="00BE0D3D">
      <w:pPr>
        <w:pStyle w:val="FootnoteText"/>
      </w:pPr>
      <w:r>
        <w:rPr>
          <w:rStyle w:val="FootnoteReference"/>
        </w:rPr>
        <w:footnoteRef/>
      </w:r>
      <w:r>
        <w:t xml:space="preserve"> </w:t>
      </w:r>
      <w:r>
        <w:rPr>
          <w:rStyle w:val="FootnoteTextChar"/>
        </w:rPr>
        <w:t>Riociguat</w:t>
      </w:r>
      <w:r w:rsidRPr="00E207C4">
        <w:rPr>
          <w:rStyle w:val="FootnoteTextChar"/>
        </w:rPr>
        <w:t xml:space="preserve"> </w:t>
      </w:r>
      <w:r>
        <w:rPr>
          <w:rStyle w:val="FootnoteTextChar"/>
        </w:rPr>
        <w:t xml:space="preserve">was </w:t>
      </w:r>
      <w:r w:rsidRPr="00E207C4">
        <w:rPr>
          <w:rStyle w:val="FootnoteTextChar"/>
        </w:rPr>
        <w:t xml:space="preserve">first registered in Australia on </w:t>
      </w:r>
      <w:r>
        <w:rPr>
          <w:rStyle w:val="FootnoteTextChar"/>
        </w:rPr>
        <w:t>14 April</w:t>
      </w:r>
      <w:r w:rsidR="000D7355">
        <w:rPr>
          <w:rStyle w:val="FootnoteTextChar"/>
        </w:rPr>
        <w:t xml:space="preserve"> 2014</w:t>
      </w:r>
      <w:r>
        <w:rPr>
          <w:rStyle w:val="FootnoteTextChar"/>
        </w:rPr>
        <w:t>.</w:t>
      </w:r>
    </w:p>
  </w:footnote>
  <w:footnote w:id="7">
    <w:p w14:paraId="459F408C" w14:textId="6505A221" w:rsidR="00877CB3" w:rsidRDefault="00877CB3">
      <w:pPr>
        <w:pStyle w:val="FootnoteText"/>
      </w:pPr>
      <w:r>
        <w:rPr>
          <w:rStyle w:val="FootnoteReference"/>
        </w:rPr>
        <w:footnoteRef/>
      </w:r>
      <w:r>
        <w:t xml:space="preserve"> </w:t>
      </w:r>
      <w:r w:rsidR="00AD0111">
        <w:t>In this report the ‘</w:t>
      </w:r>
      <w:r w:rsidR="00CD2B04">
        <w:t>d</w:t>
      </w:r>
      <w:r w:rsidR="00AD0111" w:rsidRPr="00C133A3">
        <w:t>elegate</w:t>
      </w:r>
      <w:r w:rsidR="00AD0111">
        <w:t>’</w:t>
      </w:r>
      <w:r w:rsidR="00AD0111" w:rsidRPr="00C133A3">
        <w:t xml:space="preserve"> </w:t>
      </w:r>
      <w:r w:rsidR="00AD0111">
        <w:t xml:space="preserve">is the </w:t>
      </w:r>
      <w:r w:rsidR="00AD0111" w:rsidRPr="00C133A3">
        <w:t>Delegate of the Secretary of the Department of Health</w:t>
      </w:r>
      <w:r w:rsidR="0006693A">
        <w:t>, Disability</w:t>
      </w:r>
      <w:r w:rsidR="0006693A" w:rsidRPr="00C133A3">
        <w:t xml:space="preserve"> and Age</w:t>
      </w:r>
      <w:r w:rsidR="0006693A">
        <w:t>ing</w:t>
      </w:r>
      <w:r w:rsidR="0006693A" w:rsidRPr="00C133A3">
        <w:t xml:space="preserve"> </w:t>
      </w:r>
      <w:r w:rsidR="00AD0111" w:rsidRPr="00C133A3">
        <w:t xml:space="preserve">who </w:t>
      </w:r>
      <w:r w:rsidR="00AD0111">
        <w:t>decided the submission</w:t>
      </w:r>
      <w:r w:rsidR="00AD0111" w:rsidRPr="00C133A3">
        <w:t xml:space="preserve"> under section 25 of the </w:t>
      </w:r>
      <w:r w:rsidR="00CD2B04" w:rsidRPr="00CD2B04">
        <w:rPr>
          <w:i/>
          <w:iCs/>
        </w:rPr>
        <w:t xml:space="preserve">Therapeutic Goods </w:t>
      </w:r>
      <w:r w:rsidR="00AD0111" w:rsidRPr="00CD2B04">
        <w:rPr>
          <w:i/>
          <w:iCs/>
        </w:rPr>
        <w:t>Act</w:t>
      </w:r>
      <w:r w:rsidR="00CD2B04" w:rsidRPr="00CD2B04">
        <w:rPr>
          <w:i/>
          <w:iCs/>
        </w:rPr>
        <w:t xml:space="preserve"> 1989</w:t>
      </w:r>
      <w:r w:rsidR="00AD0111" w:rsidRPr="00C133A3">
        <w:t>.</w:t>
      </w:r>
    </w:p>
  </w:footnote>
  <w:footnote w:id="8">
    <w:p w14:paraId="6F5FFE65" w14:textId="7F492DDA" w:rsidR="008A509A" w:rsidRDefault="008A509A">
      <w:pPr>
        <w:pStyle w:val="FootnoteText"/>
      </w:pPr>
      <w:r>
        <w:rPr>
          <w:rStyle w:val="FootnoteReference"/>
        </w:rPr>
        <w:footnoteRef/>
      </w:r>
      <w:r w:rsidR="009D08AA">
        <w:t xml:space="preserve"> Now adopted by the TGA as </w:t>
      </w:r>
      <w:hyperlink r:id="rId1" w:history="1">
        <w:r w:rsidRPr="008A509A">
          <w:rPr>
            <w:rStyle w:val="Hyperlink"/>
          </w:rPr>
          <w:t>ICH Topic E1 – Population exposure: the extent of population exposure to assess clinical safety | Therapeutic Goods Administration (TGA)</w:t>
        </w:r>
      </w:hyperlink>
    </w:p>
  </w:footnote>
  <w:footnote w:id="9">
    <w:p w14:paraId="408E8CA6" w14:textId="77777777" w:rsidR="00E77991" w:rsidRPr="006633A7" w:rsidRDefault="00E77991" w:rsidP="00E77991">
      <w:pPr>
        <w:pStyle w:val="FootnoteText"/>
        <w:rPr>
          <w:sz w:val="16"/>
          <w:szCs w:val="16"/>
        </w:rPr>
      </w:pPr>
      <w:r>
        <w:rPr>
          <w:rStyle w:val="FootnoteReference"/>
        </w:rPr>
        <w:footnoteRef/>
      </w:r>
      <w:r>
        <w:t xml:space="preserve"> </w:t>
      </w:r>
      <w:r>
        <w:rPr>
          <w:rStyle w:val="FootnoteReference"/>
          <w:sz w:val="16"/>
          <w:szCs w:val="16"/>
          <w:vertAlign w:val="baseline"/>
        </w:rPr>
        <w:t>Luspatercept</w:t>
      </w:r>
      <w:r w:rsidRPr="0029750F">
        <w:rPr>
          <w:rStyle w:val="FootnoteReference"/>
          <w:sz w:val="16"/>
          <w:szCs w:val="16"/>
          <w:vertAlign w:val="baseline"/>
        </w:rPr>
        <w:t xml:space="preserve"> was first registered in Australia on </w:t>
      </w:r>
      <w:r>
        <w:rPr>
          <w:sz w:val="16"/>
          <w:szCs w:val="16"/>
        </w:rPr>
        <w:t>30 August</w:t>
      </w:r>
      <w:r w:rsidRPr="0029750F">
        <w:rPr>
          <w:rStyle w:val="FootnoteReference"/>
          <w:sz w:val="16"/>
          <w:szCs w:val="16"/>
          <w:vertAlign w:val="baseline"/>
        </w:rPr>
        <w:t xml:space="preserve"> 20</w:t>
      </w:r>
      <w:r>
        <w:rPr>
          <w:sz w:val="16"/>
          <w:szCs w:val="16"/>
        </w:rPr>
        <w:t>21, for the trea</w:t>
      </w:r>
      <w:r w:rsidRPr="002B56DD">
        <w:rPr>
          <w:sz w:val="16"/>
          <w:szCs w:val="16"/>
        </w:rPr>
        <w:t>tment of adult patients with transfusion-dependent anaemia (requiring 2 or more RBC units over 8 weeks) due to very low, low and intermediate-risk</w:t>
      </w:r>
      <w:r>
        <w:rPr>
          <w:sz w:val="16"/>
          <w:szCs w:val="16"/>
        </w:rPr>
        <w:t xml:space="preserve"> </w:t>
      </w:r>
      <w:r w:rsidRPr="002B56DD">
        <w:rPr>
          <w:sz w:val="16"/>
          <w:szCs w:val="16"/>
        </w:rPr>
        <w:t>myelodysplastic syndromes with ring sideroblasts (MDS-RS)</w:t>
      </w:r>
      <w:r>
        <w:rPr>
          <w:sz w:val="16"/>
          <w:szCs w:val="16"/>
        </w:rPr>
        <w:t>, and also for</w:t>
      </w:r>
      <w:r w:rsidRPr="002B56DD">
        <w:rPr>
          <w:sz w:val="16"/>
          <w:szCs w:val="16"/>
        </w:rPr>
        <w:t xml:space="preserve"> the treatment of adult patients with transfusion-dependent anaemia associated with beta thalassaemia</w:t>
      </w:r>
      <w:r>
        <w:rPr>
          <w:sz w:val="16"/>
          <w:szCs w:val="16"/>
        </w:rPr>
        <w:t>.</w:t>
      </w:r>
    </w:p>
    <w:p w14:paraId="75B00037" w14:textId="37B69E03" w:rsidR="00E77991" w:rsidRDefault="00E77991">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BF141" w14:textId="21E55906" w:rsidR="00BB2B3A" w:rsidRDefault="00BB2B3A">
    <w:pPr>
      <w:pStyle w:val="Header"/>
    </w:pPr>
    <w:r>
      <w:rPr>
        <w:noProof/>
      </w:rPr>
      <mc:AlternateContent>
        <mc:Choice Requires="wps">
          <w:drawing>
            <wp:anchor distT="0" distB="0" distL="0" distR="0" simplePos="0" relativeHeight="251662336" behindDoc="0" locked="0" layoutInCell="1" allowOverlap="1" wp14:anchorId="7694F76B" wp14:editId="30238977">
              <wp:simplePos x="635" y="635"/>
              <wp:positionH relativeFrom="page">
                <wp:align>left</wp:align>
              </wp:positionH>
              <wp:positionV relativeFrom="page">
                <wp:align>top</wp:align>
              </wp:positionV>
              <wp:extent cx="1007745" cy="391160"/>
              <wp:effectExtent l="0" t="0" r="1905" b="8890"/>
              <wp:wrapNone/>
              <wp:docPr id="1741782090" name="Text Box 2"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17E4AC7A" w14:textId="3AB995EB"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694F76B" id="_x0000_t202" coordsize="21600,21600" o:spt="202" path="m,l,21600r21600,l21600,xe">
              <v:stroke joinstyle="miter"/>
              <v:path gradientshapeok="t" o:connecttype="rect"/>
            </v:shapetype>
            <v:shape id="Text Box 2" o:spid="_x0000_s1026" type="#_x0000_t202" alt="Confidential" style="position:absolute;left:0;text-align:left;margin-left:0;margin-top:0;width:79.35pt;height:30.8pt;z-index:25166233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" filled="f" stroked="f">
              <v:textbox style="mso-fit-shape-to-text:t" inset="20pt,15pt,0,0">
                <w:txbxContent>
                  <w:p w14:paraId="17E4AC7A" w14:textId="3AB995EB"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E3517" w14:textId="3DF6595B" w:rsidR="007452E8" w:rsidRPr="00CB0550" w:rsidRDefault="00BB2B3A" w:rsidP="00CB0550">
    <w:pPr>
      <w:pStyle w:val="Header"/>
      <w:jc w:val="left"/>
    </w:pPr>
    <w:r>
      <w:rPr>
        <w:noProof/>
      </w:rPr>
      <mc:AlternateContent>
        <mc:Choice Requires="wps">
          <w:drawing>
            <wp:anchor distT="0" distB="0" distL="0" distR="0" simplePos="0" relativeHeight="251663360" behindDoc="0" locked="0" layoutInCell="1" allowOverlap="1" wp14:anchorId="2ECECA8E" wp14:editId="5B2F5BAA">
              <wp:simplePos x="635" y="635"/>
              <wp:positionH relativeFrom="page">
                <wp:align>left</wp:align>
              </wp:positionH>
              <wp:positionV relativeFrom="page">
                <wp:align>top</wp:align>
              </wp:positionV>
              <wp:extent cx="1007745" cy="391160"/>
              <wp:effectExtent l="0" t="0" r="1905" b="8890"/>
              <wp:wrapNone/>
              <wp:docPr id="1537137348" name="Text Box 3"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598E5138" w14:textId="43CEC34F"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ECECA8E" id="_x0000_t202" coordsize="21600,21600" o:spt="202" path="m,l,21600r21600,l21600,xe">
              <v:stroke joinstyle="miter"/>
              <v:path gradientshapeok="t" o:connecttype="rect"/>
            </v:shapetype>
            <v:shape id="Text Box 3" o:spid="_x0000_s1027" type="#_x0000_t202" alt="Confidential" style="position:absolute;margin-left:0;margin-top:0;width:79.35pt;height:30.8pt;z-index:25166336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" filled="f" stroked="f">
              <v:textbox style="mso-fit-shape-to-text:t" inset="20pt,15pt,0,0">
                <w:txbxContent>
                  <w:p w14:paraId="598E5138" w14:textId="43CEC34F"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6B30EE7B" w:rsidR="007452E8" w:rsidRPr="002B29B2" w:rsidRDefault="00BB2B3A" w:rsidP="007452E8">
          <w:pPr>
            <w:ind w:left="-57"/>
            <w:rPr>
              <w:noProof/>
            </w:rPr>
          </w:pPr>
          <w:r>
            <w:rPr>
              <w:noProof/>
            </w:rPr>
            <mc:AlternateContent>
              <mc:Choice Requires="wps">
                <w:drawing>
                  <wp:anchor distT="0" distB="0" distL="0" distR="0" simplePos="0" relativeHeight="251661312" behindDoc="0" locked="0" layoutInCell="1" allowOverlap="1" wp14:anchorId="022B3802" wp14:editId="6EC54E47">
                    <wp:simplePos x="0" y="5121797"/>
                    <wp:positionH relativeFrom="page">
                      <wp:align>left</wp:align>
                    </wp:positionH>
                    <wp:positionV relativeFrom="page">
                      <wp:align>top</wp:align>
                    </wp:positionV>
                    <wp:extent cx="1007745" cy="391160"/>
                    <wp:effectExtent l="0" t="0" r="1905" b="8890"/>
                    <wp:wrapNone/>
                    <wp:docPr id="1966527417" name="Text Box 1"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70E857D0" w14:textId="7D56B8E9" w:rsidR="00BB2B3A" w:rsidRPr="00BB2B3A" w:rsidRDefault="00BB2B3A" w:rsidP="00BB2B3A">
                                <w:pPr>
                                  <w:spacing w:after="0"/>
                                  <w:rPr>
                                    <w:rFonts w:ascii="Calibri" w:eastAsia="Calibri" w:hAnsi="Calibri" w:cs="Calibri"/>
                                    <w:noProof/>
                                    <w:color w:val="8E6A00"/>
                                    <w:sz w:val="24"/>
                                    <w:szCs w:val="24"/>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022B3802" id="_x0000_t202" coordsize="21600,21600" o:spt="202" path="m,l,21600r21600,l21600,xe">
                    <v:stroke joinstyle="miter"/>
                    <v:path gradientshapeok="t" o:connecttype="rect"/>
                  </v:shapetype>
                  <v:shape id="Text Box 1" o:spid="_x0000_s1028" type="#_x0000_t202" alt="Confidential" style="position:absolute;left:0;text-align:left;margin-left:0;margin-top:0;width:79.35pt;height:30.8pt;z-index:25166131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" filled="f" stroked="f">
                    <v:textbox style="mso-fit-shape-to-text:t" inset="20pt,15pt,0,0">
                      <w:txbxContent>
                        <w:p w14:paraId="70E857D0" w14:textId="7D56B8E9" w:rsidR="00BB2B3A" w:rsidRPr="00BB2B3A" w:rsidRDefault="00BB2B3A" w:rsidP="00BB2B3A">
                          <w:pPr>
                            <w:spacing w:after="0"/>
                            <w:rPr>
                              <w:rFonts w:ascii="Calibri" w:eastAsia="Calibri" w:hAnsi="Calibri" w:cs="Calibri"/>
                              <w:noProof/>
                              <w:color w:val="8E6A00"/>
                              <w:sz w:val="24"/>
                              <w:szCs w:val="24"/>
                            </w:rPr>
                          </w:pPr>
                        </w:p>
                      </w:txbxContent>
                    </v:textbox>
                    <w10:wrap anchorx="page" anchory="page"/>
                  </v:shape>
                </w:pict>
              </mc:Fallback>
            </mc:AlternateContent>
          </w:r>
          <w:sdt>
            <w:sdtPr>
              <w:rPr>
                <w:noProof/>
              </w:rPr>
              <w:id w:val="1926993388"/>
              <w:showingPlcHdr/>
              <w:picture/>
            </w:sdt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4F39DF44" w:rsidR="007452E8" w:rsidRDefault="0051128F" w:rsidP="007452E8">
    <w:pPr>
      <w:rPr>
        <w:noProof/>
      </w:rPr>
    </w:pPr>
    <w:r w:rsidRPr="002B29B2">
      <w:rPr>
        <w:noProof/>
        <w:lang w:val="en-GB" w:eastAsia="en-GB"/>
      </w:rPr>
      <w:drawing>
        <wp:anchor distT="0" distB="0" distL="114300" distR="114300" simplePos="0" relativeHeight="251660288" behindDoc="0" locked="0" layoutInCell="0" allowOverlap="1" wp14:anchorId="14BBEAC1" wp14:editId="476DA08F">
          <wp:simplePos x="0" y="0"/>
          <wp:positionH relativeFrom="page">
            <wp:posOffset>-285750</wp:posOffset>
          </wp:positionH>
          <wp:positionV relativeFrom="page">
            <wp:posOffset>3903980</wp:posOffset>
          </wp:positionV>
          <wp:extent cx="7663815" cy="4323080"/>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06693A">
      <w:rPr>
        <w:noProof/>
      </w:rPr>
      <w:drawing>
        <wp:inline distT="0" distB="0" distL="0" distR="0" wp14:anchorId="26654E9F" wp14:editId="21471015">
          <wp:extent cx="3344545" cy="694055"/>
          <wp:effectExtent l="0" t="0" r="8255" b="0"/>
          <wp:docPr id="1596027861" name="Picture 2" descr="A black background with a black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027861" name="Picture 2" descr="A black background with a black square&#10;&#10;AI-generated content may be incorrect."/>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344545" cy="694055"/>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671BF" w14:textId="19C8E309" w:rsidR="00BB2B3A" w:rsidRDefault="00BB2B3A">
    <w:pPr>
      <w:pStyle w:val="Header"/>
    </w:pPr>
    <w:r>
      <w:rPr>
        <w:noProof/>
      </w:rPr>
      <mc:AlternateContent>
        <mc:Choice Requires="wps">
          <w:drawing>
            <wp:anchor distT="0" distB="0" distL="0" distR="0" simplePos="0" relativeHeight="251665408" behindDoc="0" locked="0" layoutInCell="1" allowOverlap="1" wp14:anchorId="4ABA9AD3" wp14:editId="457063FE">
              <wp:simplePos x="635" y="635"/>
              <wp:positionH relativeFrom="page">
                <wp:align>left</wp:align>
              </wp:positionH>
              <wp:positionV relativeFrom="page">
                <wp:align>top</wp:align>
              </wp:positionV>
              <wp:extent cx="1007745" cy="391160"/>
              <wp:effectExtent l="0" t="0" r="1905" b="8890"/>
              <wp:wrapNone/>
              <wp:docPr id="1477816326" name="Text Box 5"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04FC84DD" w14:textId="6681B427"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4ABA9AD3" id="_x0000_t202" coordsize="21600,21600" o:spt="202" path="m,l,21600r21600,l21600,xe">
              <v:stroke joinstyle="miter"/>
              <v:path gradientshapeok="t" o:connecttype="rect"/>
            </v:shapetype>
            <v:shape id="Text Box 5" o:spid="_x0000_s1029" type="#_x0000_t202" alt="Confidential" style="position:absolute;left:0;text-align:left;margin-left:0;margin-top:0;width:79.35pt;height:30.8pt;z-index:251665408;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" filled="f" stroked="f">
              <v:textbox style="mso-fit-shape-to-text:t" inset="20pt,15pt,0,0">
                <w:txbxContent>
                  <w:p w14:paraId="04FC84DD" w14:textId="6681B427"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1632D" w14:textId="6508B992" w:rsidR="007452E8" w:rsidRDefault="00BB2B3A" w:rsidP="007452E8">
    <w:pPr>
      <w:pStyle w:val="Header"/>
    </w:pPr>
    <w:r>
      <w:rPr>
        <w:noProof/>
      </w:rPr>
      <mc:AlternateContent>
        <mc:Choice Requires="wps">
          <w:drawing>
            <wp:anchor distT="0" distB="0" distL="0" distR="0" simplePos="0" relativeHeight="251666432" behindDoc="0" locked="0" layoutInCell="1" allowOverlap="1" wp14:anchorId="1AC3F92C" wp14:editId="603A0ACE">
              <wp:simplePos x="635" y="635"/>
              <wp:positionH relativeFrom="page">
                <wp:align>left</wp:align>
              </wp:positionH>
              <wp:positionV relativeFrom="page">
                <wp:align>top</wp:align>
              </wp:positionV>
              <wp:extent cx="1007745" cy="391160"/>
              <wp:effectExtent l="0" t="0" r="1905" b="8890"/>
              <wp:wrapNone/>
              <wp:docPr id="1445452947" name="Text Box 6"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4AD28C36" w14:textId="2C678E8A" w:rsidR="00BB2B3A" w:rsidRPr="00BB2B3A" w:rsidRDefault="00BB2B3A" w:rsidP="00BB2B3A">
                          <w:pPr>
                            <w:spacing w:after="0"/>
                            <w:rPr>
                              <w:rFonts w:ascii="Calibri" w:eastAsia="Calibri" w:hAnsi="Calibri" w:cs="Calibri"/>
                              <w:noProof/>
                              <w:color w:val="8E6A00"/>
                              <w:sz w:val="24"/>
                              <w:szCs w:val="24"/>
                            </w:rPr>
                          </w:pP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1AC3F92C" id="_x0000_t202" coordsize="21600,21600" o:spt="202" path="m,l,21600r21600,l21600,xe">
              <v:stroke joinstyle="miter"/>
              <v:path gradientshapeok="t" o:connecttype="rect"/>
            </v:shapetype>
            <v:shape id="Text Box 6" o:spid="_x0000_s1030" type="#_x0000_t202" alt="Confidential" style="position:absolute;left:0;text-align:left;margin-left:0;margin-top:0;width:79.35pt;height:30.8pt;z-index:251666432;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" filled="f" stroked="f">
              <v:textbox style="mso-fit-shape-to-text:t" inset="20pt,15pt,0,0">
                <w:txbxContent>
                  <w:p w14:paraId="4AD28C36" w14:textId="2C678E8A" w:rsidR="00BB2B3A" w:rsidRPr="00BB2B3A" w:rsidRDefault="00BB2B3A" w:rsidP="00BB2B3A">
                    <w:pPr>
                      <w:spacing w:after="0"/>
                      <w:rPr>
                        <w:rFonts w:ascii="Calibri" w:eastAsia="Calibri" w:hAnsi="Calibri" w:cs="Calibri"/>
                        <w:noProof/>
                        <w:color w:val="8E6A00"/>
                        <w:sz w:val="24"/>
                        <w:szCs w:val="24"/>
                      </w:rPr>
                    </w:pPr>
                  </w:p>
                </w:txbxContent>
              </v:textbox>
              <w10:wrap anchorx="page" anchory="page"/>
            </v:shape>
          </w:pict>
        </mc:Fallback>
      </mc:AlternateContent>
    </w:r>
    <w:r w:rsidR="007452E8" w:rsidRPr="000F5176">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AB3A29" w14:textId="2A877F2C" w:rsidR="00BB2B3A" w:rsidRDefault="00BB2B3A">
    <w:pPr>
      <w:pStyle w:val="Header"/>
    </w:pPr>
    <w:r>
      <w:rPr>
        <w:noProof/>
      </w:rPr>
      <mc:AlternateContent>
        <mc:Choice Requires="wps">
          <w:drawing>
            <wp:anchor distT="0" distB="0" distL="0" distR="0" simplePos="0" relativeHeight="251664384" behindDoc="0" locked="0" layoutInCell="1" allowOverlap="1" wp14:anchorId="2B267907" wp14:editId="27B7FAF3">
              <wp:simplePos x="635" y="635"/>
              <wp:positionH relativeFrom="page">
                <wp:align>left</wp:align>
              </wp:positionH>
              <wp:positionV relativeFrom="page">
                <wp:align>top</wp:align>
              </wp:positionV>
              <wp:extent cx="1007745" cy="391160"/>
              <wp:effectExtent l="0" t="0" r="1905" b="8890"/>
              <wp:wrapNone/>
              <wp:docPr id="370858706" name="Text Box 4"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1883C0A6" w14:textId="118255CF"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2B267907" id="_x0000_t202" coordsize="21600,21600" o:spt="202" path="m,l,21600r21600,l21600,xe">
              <v:stroke joinstyle="miter"/>
              <v:path gradientshapeok="t" o:connecttype="rect"/>
            </v:shapetype>
            <v:shape id="Text Box 4" o:spid="_x0000_s1031" type="#_x0000_t202" alt="Confidential" style="position:absolute;left:0;text-align:left;margin-left:0;margin-top:0;width:79.35pt;height:30.8pt;z-index:25166438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" filled="f" stroked="f">
              <v:textbox style="mso-fit-shape-to-text:t" inset="20pt,15pt,0,0">
                <w:txbxContent>
                  <w:p w14:paraId="1883C0A6" w14:textId="118255CF"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B5218E" w14:textId="19612637" w:rsidR="00BB2B3A" w:rsidRDefault="00BB2B3A">
    <w:pPr>
      <w:pStyle w:val="Header"/>
    </w:pPr>
    <w:r>
      <w:rPr>
        <w:noProof/>
      </w:rPr>
      <mc:AlternateContent>
        <mc:Choice Requires="wps">
          <w:drawing>
            <wp:anchor distT="0" distB="0" distL="0" distR="0" simplePos="0" relativeHeight="251668480" behindDoc="0" locked="0" layoutInCell="1" allowOverlap="1" wp14:anchorId="3F03D470" wp14:editId="05183990">
              <wp:simplePos x="635" y="635"/>
              <wp:positionH relativeFrom="page">
                <wp:align>left</wp:align>
              </wp:positionH>
              <wp:positionV relativeFrom="page">
                <wp:align>top</wp:align>
              </wp:positionV>
              <wp:extent cx="1007745" cy="391160"/>
              <wp:effectExtent l="0" t="0" r="1905" b="8890"/>
              <wp:wrapNone/>
              <wp:docPr id="1930833617" name="Text Box 8"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63BA19A8" w14:textId="75773F88"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3F03D470" id="_x0000_t202" coordsize="21600,21600" o:spt="202" path="m,l,21600r21600,l21600,xe">
              <v:stroke joinstyle="miter"/>
              <v:path gradientshapeok="t" o:connecttype="rect"/>
            </v:shapetype>
            <v:shape id="Text Box 8" o:spid="_x0000_s1032" type="#_x0000_t202" alt="Confidential" style="position:absolute;left:0;text-align:left;margin-left:0;margin-top:0;width:79.35pt;height:30.8pt;z-index:251668480;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" filled="f" stroked="f">
              <v:textbox style="mso-fit-shape-to-text:t" inset="20pt,15pt,0,0">
                <w:txbxContent>
                  <w:p w14:paraId="63BA19A8" w14:textId="75773F88"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FE88A" w14:textId="753E3542" w:rsidR="00BB2B3A" w:rsidRDefault="00BB2B3A">
    <w:pPr>
      <w:pStyle w:val="Header"/>
    </w:pPr>
    <w:r>
      <w:rPr>
        <w:noProof/>
      </w:rPr>
      <mc:AlternateContent>
        <mc:Choice Requires="wps">
          <w:drawing>
            <wp:anchor distT="0" distB="0" distL="0" distR="0" simplePos="0" relativeHeight="251669504" behindDoc="0" locked="0" layoutInCell="1" allowOverlap="1" wp14:anchorId="6E8E2BFF" wp14:editId="6A4B860E">
              <wp:simplePos x="635" y="635"/>
              <wp:positionH relativeFrom="page">
                <wp:align>left</wp:align>
              </wp:positionH>
              <wp:positionV relativeFrom="page">
                <wp:align>top</wp:align>
              </wp:positionV>
              <wp:extent cx="1007745" cy="391160"/>
              <wp:effectExtent l="0" t="0" r="1905" b="8890"/>
              <wp:wrapNone/>
              <wp:docPr id="332753259" name="Text Box 9"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619A1B9A" w14:textId="7021C446"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6E8E2BFF" id="_x0000_t202" coordsize="21600,21600" o:spt="202" path="m,l,21600r21600,l21600,xe">
              <v:stroke joinstyle="miter"/>
              <v:path gradientshapeok="t" o:connecttype="rect"/>
            </v:shapetype>
            <v:shape id="Text Box 9" o:spid="_x0000_s1033" type="#_x0000_t202" alt="Confidential" style="position:absolute;left:0;text-align:left;margin-left:0;margin-top:0;width:79.35pt;height:30.8pt;z-index:25166950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" filled="f" stroked="f">
              <v:textbox style="mso-fit-shape-to-text:t" inset="20pt,15pt,0,0">
                <w:txbxContent>
                  <w:p w14:paraId="619A1B9A" w14:textId="7021C446"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B477B" w14:textId="56BF1453" w:rsidR="007452E8" w:rsidRPr="00FE501F" w:rsidRDefault="00BB2B3A" w:rsidP="007452E8">
    <w:pPr>
      <w:pStyle w:val="Headernoline"/>
    </w:pPr>
    <w:r>
      <w:rPr>
        <w:noProof/>
      </w:rPr>
      <mc:AlternateContent>
        <mc:Choice Requires="wps">
          <w:drawing>
            <wp:anchor distT="0" distB="0" distL="0" distR="0" simplePos="0" relativeHeight="251667456" behindDoc="0" locked="0" layoutInCell="1" allowOverlap="1" wp14:anchorId="7B7BA3DE" wp14:editId="5A9A364F">
              <wp:simplePos x="635" y="635"/>
              <wp:positionH relativeFrom="page">
                <wp:align>left</wp:align>
              </wp:positionH>
              <wp:positionV relativeFrom="page">
                <wp:align>top</wp:align>
              </wp:positionV>
              <wp:extent cx="1007745" cy="391160"/>
              <wp:effectExtent l="0" t="0" r="1905" b="8890"/>
              <wp:wrapNone/>
              <wp:docPr id="481445687" name="Text Box 7" descr="Confident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007745" cy="391160"/>
                      </a:xfrm>
                      <a:prstGeom prst="rect">
                        <a:avLst/>
                      </a:prstGeom>
                      <a:noFill/>
                      <a:ln>
                        <a:noFill/>
                      </a:ln>
                    </wps:spPr>
                    <wps:txbx>
                      <w:txbxContent>
                        <w:p w14:paraId="79F0AC82" w14:textId="2116E898"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w:pict>
            <v:shapetype w14:anchorId="7B7BA3DE" id="_x0000_t202" coordsize="21600,21600" o:spt="202" path="m,l,21600r21600,l21600,xe">
              <v:stroke joinstyle="miter"/>
              <v:path gradientshapeok="t" o:connecttype="rect"/>
            </v:shapetype>
            <v:shape id="Text Box 7" o:spid="_x0000_s1034" type="#_x0000_t202" alt="Confidential" style="position:absolute;left:0;text-align:left;margin-left:0;margin-top:0;width:79.35pt;height:30.8pt;z-index:251667456;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" filled="f" stroked="f">
              <v:textbox style="mso-fit-shape-to-text:t" inset="20pt,15pt,0,0">
                <w:txbxContent>
                  <w:p w14:paraId="79F0AC82" w14:textId="2116E898" w:rsidR="00BB2B3A" w:rsidRPr="00BB2B3A" w:rsidRDefault="00BB2B3A" w:rsidP="00BB2B3A">
                    <w:pPr>
                      <w:spacing w:after="0"/>
                      <w:rPr>
                        <w:rFonts w:ascii="Calibri" w:eastAsia="Calibri" w:hAnsi="Calibri" w:cs="Calibri"/>
                        <w:noProof/>
                        <w:color w:val="8E6A00"/>
                        <w:sz w:val="24"/>
                        <w:szCs w:val="24"/>
                      </w:rPr>
                    </w:pPr>
                    <w:r w:rsidRPr="00BB2B3A">
                      <w:rPr>
                        <w:rFonts w:ascii="Calibri" w:eastAsia="Calibri" w:hAnsi="Calibri" w:cs="Calibri"/>
                        <w:noProof/>
                        <w:color w:val="8E6A00"/>
                        <w:sz w:val="24"/>
                        <w:szCs w:val="24"/>
                      </w:rPr>
                      <w:t>Confidential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D1E57"/>
    <w:multiLevelType w:val="hybridMultilevel"/>
    <w:tmpl w:val="296A2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0053F11"/>
    <w:multiLevelType w:val="multilevel"/>
    <w:tmpl w:val="9B4A173E"/>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 w15:restartNumberingAfterBreak="0">
    <w:nsid w:val="11954162"/>
    <w:multiLevelType w:val="hybridMultilevel"/>
    <w:tmpl w:val="21E0E150"/>
    <w:lvl w:ilvl="0" w:tplc="66A8C192">
      <w:start w:val="1"/>
      <w:numFmt w:val="bullet"/>
      <w:lvlText w:val=""/>
      <w:lvlJc w:val="left"/>
      <w:pPr>
        <w:ind w:left="720" w:hanging="360"/>
      </w:pPr>
      <w:rPr>
        <w:rFonts w:ascii="Symbol" w:hAnsi="Symbol"/>
      </w:rPr>
    </w:lvl>
    <w:lvl w:ilvl="1" w:tplc="816C6ABA">
      <w:start w:val="1"/>
      <w:numFmt w:val="bullet"/>
      <w:lvlText w:val=""/>
      <w:lvlJc w:val="left"/>
      <w:pPr>
        <w:ind w:left="720" w:hanging="360"/>
      </w:pPr>
      <w:rPr>
        <w:rFonts w:ascii="Symbol" w:hAnsi="Symbol"/>
      </w:rPr>
    </w:lvl>
    <w:lvl w:ilvl="2" w:tplc="FA228082">
      <w:start w:val="1"/>
      <w:numFmt w:val="bullet"/>
      <w:lvlText w:val=""/>
      <w:lvlJc w:val="left"/>
      <w:pPr>
        <w:ind w:left="720" w:hanging="360"/>
      </w:pPr>
      <w:rPr>
        <w:rFonts w:ascii="Symbol" w:hAnsi="Symbol"/>
      </w:rPr>
    </w:lvl>
    <w:lvl w:ilvl="3" w:tplc="5FFA528C">
      <w:start w:val="1"/>
      <w:numFmt w:val="bullet"/>
      <w:lvlText w:val=""/>
      <w:lvlJc w:val="left"/>
      <w:pPr>
        <w:ind w:left="720" w:hanging="360"/>
      </w:pPr>
      <w:rPr>
        <w:rFonts w:ascii="Symbol" w:hAnsi="Symbol"/>
      </w:rPr>
    </w:lvl>
    <w:lvl w:ilvl="4" w:tplc="1ADE0C1E">
      <w:start w:val="1"/>
      <w:numFmt w:val="bullet"/>
      <w:lvlText w:val=""/>
      <w:lvlJc w:val="left"/>
      <w:pPr>
        <w:ind w:left="720" w:hanging="360"/>
      </w:pPr>
      <w:rPr>
        <w:rFonts w:ascii="Symbol" w:hAnsi="Symbol"/>
      </w:rPr>
    </w:lvl>
    <w:lvl w:ilvl="5" w:tplc="1FC2A16A">
      <w:start w:val="1"/>
      <w:numFmt w:val="bullet"/>
      <w:lvlText w:val=""/>
      <w:lvlJc w:val="left"/>
      <w:pPr>
        <w:ind w:left="720" w:hanging="360"/>
      </w:pPr>
      <w:rPr>
        <w:rFonts w:ascii="Symbol" w:hAnsi="Symbol"/>
      </w:rPr>
    </w:lvl>
    <w:lvl w:ilvl="6" w:tplc="CC9273EE">
      <w:start w:val="1"/>
      <w:numFmt w:val="bullet"/>
      <w:lvlText w:val=""/>
      <w:lvlJc w:val="left"/>
      <w:pPr>
        <w:ind w:left="720" w:hanging="360"/>
      </w:pPr>
      <w:rPr>
        <w:rFonts w:ascii="Symbol" w:hAnsi="Symbol"/>
      </w:rPr>
    </w:lvl>
    <w:lvl w:ilvl="7" w:tplc="D0167D44">
      <w:start w:val="1"/>
      <w:numFmt w:val="bullet"/>
      <w:lvlText w:val=""/>
      <w:lvlJc w:val="left"/>
      <w:pPr>
        <w:ind w:left="720" w:hanging="360"/>
      </w:pPr>
      <w:rPr>
        <w:rFonts w:ascii="Symbol" w:hAnsi="Symbol"/>
      </w:rPr>
    </w:lvl>
    <w:lvl w:ilvl="8" w:tplc="19C639C8">
      <w:start w:val="1"/>
      <w:numFmt w:val="bullet"/>
      <w:lvlText w:val=""/>
      <w:lvlJc w:val="left"/>
      <w:pPr>
        <w:ind w:left="720" w:hanging="360"/>
      </w:pPr>
      <w:rPr>
        <w:rFonts w:ascii="Symbol" w:hAnsi="Symbol"/>
      </w:rPr>
    </w:lvl>
  </w:abstractNum>
  <w:abstractNum w:abstractNumId="3"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5" w15:restartNumberingAfterBreak="0">
    <w:nsid w:val="17A53F58"/>
    <w:multiLevelType w:val="hybridMultilevel"/>
    <w:tmpl w:val="9006CE9C"/>
    <w:lvl w:ilvl="0" w:tplc="CCE608D2">
      <w:start w:val="1"/>
      <w:numFmt w:val="bullet"/>
      <w:lvlText w:val=""/>
      <w:lvlJc w:val="left"/>
      <w:pPr>
        <w:ind w:left="720" w:hanging="360"/>
      </w:pPr>
      <w:rPr>
        <w:rFonts w:ascii="Symbol" w:hAnsi="Symbol"/>
      </w:rPr>
    </w:lvl>
    <w:lvl w:ilvl="1" w:tplc="DD000D32">
      <w:start w:val="1"/>
      <w:numFmt w:val="bullet"/>
      <w:lvlText w:val=""/>
      <w:lvlJc w:val="left"/>
      <w:pPr>
        <w:ind w:left="720" w:hanging="360"/>
      </w:pPr>
      <w:rPr>
        <w:rFonts w:ascii="Symbol" w:hAnsi="Symbol"/>
      </w:rPr>
    </w:lvl>
    <w:lvl w:ilvl="2" w:tplc="B9A68454">
      <w:start w:val="1"/>
      <w:numFmt w:val="bullet"/>
      <w:lvlText w:val=""/>
      <w:lvlJc w:val="left"/>
      <w:pPr>
        <w:ind w:left="720" w:hanging="360"/>
      </w:pPr>
      <w:rPr>
        <w:rFonts w:ascii="Symbol" w:hAnsi="Symbol"/>
      </w:rPr>
    </w:lvl>
    <w:lvl w:ilvl="3" w:tplc="0F56BB88">
      <w:start w:val="1"/>
      <w:numFmt w:val="bullet"/>
      <w:lvlText w:val=""/>
      <w:lvlJc w:val="left"/>
      <w:pPr>
        <w:ind w:left="720" w:hanging="360"/>
      </w:pPr>
      <w:rPr>
        <w:rFonts w:ascii="Symbol" w:hAnsi="Symbol"/>
      </w:rPr>
    </w:lvl>
    <w:lvl w:ilvl="4" w:tplc="CD46838A">
      <w:start w:val="1"/>
      <w:numFmt w:val="bullet"/>
      <w:lvlText w:val=""/>
      <w:lvlJc w:val="left"/>
      <w:pPr>
        <w:ind w:left="720" w:hanging="360"/>
      </w:pPr>
      <w:rPr>
        <w:rFonts w:ascii="Symbol" w:hAnsi="Symbol"/>
      </w:rPr>
    </w:lvl>
    <w:lvl w:ilvl="5" w:tplc="BBAA1BCC">
      <w:start w:val="1"/>
      <w:numFmt w:val="bullet"/>
      <w:lvlText w:val=""/>
      <w:lvlJc w:val="left"/>
      <w:pPr>
        <w:ind w:left="720" w:hanging="360"/>
      </w:pPr>
      <w:rPr>
        <w:rFonts w:ascii="Symbol" w:hAnsi="Symbol"/>
      </w:rPr>
    </w:lvl>
    <w:lvl w:ilvl="6" w:tplc="BF04908C">
      <w:start w:val="1"/>
      <w:numFmt w:val="bullet"/>
      <w:lvlText w:val=""/>
      <w:lvlJc w:val="left"/>
      <w:pPr>
        <w:ind w:left="720" w:hanging="360"/>
      </w:pPr>
      <w:rPr>
        <w:rFonts w:ascii="Symbol" w:hAnsi="Symbol"/>
      </w:rPr>
    </w:lvl>
    <w:lvl w:ilvl="7" w:tplc="E4DC650E">
      <w:start w:val="1"/>
      <w:numFmt w:val="bullet"/>
      <w:lvlText w:val=""/>
      <w:lvlJc w:val="left"/>
      <w:pPr>
        <w:ind w:left="720" w:hanging="360"/>
      </w:pPr>
      <w:rPr>
        <w:rFonts w:ascii="Symbol" w:hAnsi="Symbol"/>
      </w:rPr>
    </w:lvl>
    <w:lvl w:ilvl="8" w:tplc="2CE8444E">
      <w:start w:val="1"/>
      <w:numFmt w:val="bullet"/>
      <w:lvlText w:val=""/>
      <w:lvlJc w:val="left"/>
      <w:pPr>
        <w:ind w:left="720" w:hanging="360"/>
      </w:pPr>
      <w:rPr>
        <w:rFonts w:ascii="Symbol" w:hAnsi="Symbol"/>
      </w:rPr>
    </w:lvl>
  </w:abstractNum>
  <w:abstractNum w:abstractNumId="6"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7" w15:restartNumberingAfterBreak="0">
    <w:nsid w:val="28836AC1"/>
    <w:multiLevelType w:val="hybridMultilevel"/>
    <w:tmpl w:val="13365A6A"/>
    <w:lvl w:ilvl="0" w:tplc="622A4024">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B9753F8"/>
    <w:multiLevelType w:val="hybridMultilevel"/>
    <w:tmpl w:val="15B2B57E"/>
    <w:lvl w:ilvl="0" w:tplc="CA8AB556">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3DAD6662"/>
    <w:multiLevelType w:val="hybridMultilevel"/>
    <w:tmpl w:val="39725E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43F6890"/>
    <w:multiLevelType w:val="hybridMultilevel"/>
    <w:tmpl w:val="3FAE61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6836578"/>
    <w:multiLevelType w:val="hybridMultilevel"/>
    <w:tmpl w:val="F350D9EC"/>
    <w:lvl w:ilvl="0" w:tplc="B8AAF4A2">
      <w:start w:val="1"/>
      <w:numFmt w:val="bullet"/>
      <w:lvlText w:val=""/>
      <w:lvlJc w:val="left"/>
      <w:pPr>
        <w:ind w:left="720" w:hanging="360"/>
      </w:pPr>
      <w:rPr>
        <w:rFonts w:ascii="Symbol" w:hAnsi="Symbol"/>
      </w:rPr>
    </w:lvl>
    <w:lvl w:ilvl="1" w:tplc="B63ED5FC">
      <w:start w:val="1"/>
      <w:numFmt w:val="bullet"/>
      <w:lvlText w:val=""/>
      <w:lvlJc w:val="left"/>
      <w:pPr>
        <w:ind w:left="720" w:hanging="360"/>
      </w:pPr>
      <w:rPr>
        <w:rFonts w:ascii="Symbol" w:hAnsi="Symbol"/>
      </w:rPr>
    </w:lvl>
    <w:lvl w:ilvl="2" w:tplc="C9C41D84">
      <w:start w:val="1"/>
      <w:numFmt w:val="bullet"/>
      <w:lvlText w:val=""/>
      <w:lvlJc w:val="left"/>
      <w:pPr>
        <w:ind w:left="720" w:hanging="360"/>
      </w:pPr>
      <w:rPr>
        <w:rFonts w:ascii="Symbol" w:hAnsi="Symbol"/>
      </w:rPr>
    </w:lvl>
    <w:lvl w:ilvl="3" w:tplc="A9FCBD70">
      <w:start w:val="1"/>
      <w:numFmt w:val="bullet"/>
      <w:lvlText w:val=""/>
      <w:lvlJc w:val="left"/>
      <w:pPr>
        <w:ind w:left="720" w:hanging="360"/>
      </w:pPr>
      <w:rPr>
        <w:rFonts w:ascii="Symbol" w:hAnsi="Symbol"/>
      </w:rPr>
    </w:lvl>
    <w:lvl w:ilvl="4" w:tplc="28B4DAE8">
      <w:start w:val="1"/>
      <w:numFmt w:val="bullet"/>
      <w:lvlText w:val=""/>
      <w:lvlJc w:val="left"/>
      <w:pPr>
        <w:ind w:left="720" w:hanging="360"/>
      </w:pPr>
      <w:rPr>
        <w:rFonts w:ascii="Symbol" w:hAnsi="Symbol"/>
      </w:rPr>
    </w:lvl>
    <w:lvl w:ilvl="5" w:tplc="7C5A0216">
      <w:start w:val="1"/>
      <w:numFmt w:val="bullet"/>
      <w:lvlText w:val=""/>
      <w:lvlJc w:val="left"/>
      <w:pPr>
        <w:ind w:left="720" w:hanging="360"/>
      </w:pPr>
      <w:rPr>
        <w:rFonts w:ascii="Symbol" w:hAnsi="Symbol"/>
      </w:rPr>
    </w:lvl>
    <w:lvl w:ilvl="6" w:tplc="5D96E20E">
      <w:start w:val="1"/>
      <w:numFmt w:val="bullet"/>
      <w:lvlText w:val=""/>
      <w:lvlJc w:val="left"/>
      <w:pPr>
        <w:ind w:left="720" w:hanging="360"/>
      </w:pPr>
      <w:rPr>
        <w:rFonts w:ascii="Symbol" w:hAnsi="Symbol"/>
      </w:rPr>
    </w:lvl>
    <w:lvl w:ilvl="7" w:tplc="B96E25EA">
      <w:start w:val="1"/>
      <w:numFmt w:val="bullet"/>
      <w:lvlText w:val=""/>
      <w:lvlJc w:val="left"/>
      <w:pPr>
        <w:ind w:left="720" w:hanging="360"/>
      </w:pPr>
      <w:rPr>
        <w:rFonts w:ascii="Symbol" w:hAnsi="Symbol"/>
      </w:rPr>
    </w:lvl>
    <w:lvl w:ilvl="8" w:tplc="ECF04C6A">
      <w:start w:val="1"/>
      <w:numFmt w:val="bullet"/>
      <w:lvlText w:val=""/>
      <w:lvlJc w:val="left"/>
      <w:pPr>
        <w:ind w:left="720" w:hanging="360"/>
      </w:pPr>
      <w:rPr>
        <w:rFonts w:ascii="Symbol" w:hAnsi="Symbol"/>
      </w:rPr>
    </w:lvl>
  </w:abstractNum>
  <w:abstractNum w:abstractNumId="12" w15:restartNumberingAfterBreak="0">
    <w:nsid w:val="4DC11D48"/>
    <w:multiLevelType w:val="hybridMultilevel"/>
    <w:tmpl w:val="8408CF08"/>
    <w:lvl w:ilvl="0" w:tplc="20A6E158">
      <w:start w:val="8"/>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3"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4" w15:restartNumberingAfterBreak="0">
    <w:nsid w:val="4F8D23DB"/>
    <w:multiLevelType w:val="hybridMultilevel"/>
    <w:tmpl w:val="9A4A81D0"/>
    <w:lvl w:ilvl="0" w:tplc="898EA3AA">
      <w:start w:val="1"/>
      <w:numFmt w:val="bullet"/>
      <w:lvlText w:val=""/>
      <w:lvlJc w:val="left"/>
      <w:pPr>
        <w:ind w:left="720" w:hanging="360"/>
      </w:pPr>
      <w:rPr>
        <w:rFonts w:ascii="Symbol" w:hAnsi="Symbol"/>
      </w:rPr>
    </w:lvl>
    <w:lvl w:ilvl="1" w:tplc="403E12E2">
      <w:start w:val="1"/>
      <w:numFmt w:val="bullet"/>
      <w:lvlText w:val=""/>
      <w:lvlJc w:val="left"/>
      <w:pPr>
        <w:ind w:left="720" w:hanging="360"/>
      </w:pPr>
      <w:rPr>
        <w:rFonts w:ascii="Symbol" w:hAnsi="Symbol"/>
      </w:rPr>
    </w:lvl>
    <w:lvl w:ilvl="2" w:tplc="C678A248">
      <w:start w:val="1"/>
      <w:numFmt w:val="bullet"/>
      <w:lvlText w:val=""/>
      <w:lvlJc w:val="left"/>
      <w:pPr>
        <w:ind w:left="720" w:hanging="360"/>
      </w:pPr>
      <w:rPr>
        <w:rFonts w:ascii="Symbol" w:hAnsi="Symbol"/>
      </w:rPr>
    </w:lvl>
    <w:lvl w:ilvl="3" w:tplc="4EE4EEBA">
      <w:start w:val="1"/>
      <w:numFmt w:val="bullet"/>
      <w:lvlText w:val=""/>
      <w:lvlJc w:val="left"/>
      <w:pPr>
        <w:ind w:left="720" w:hanging="360"/>
      </w:pPr>
      <w:rPr>
        <w:rFonts w:ascii="Symbol" w:hAnsi="Symbol"/>
      </w:rPr>
    </w:lvl>
    <w:lvl w:ilvl="4" w:tplc="F31E8080">
      <w:start w:val="1"/>
      <w:numFmt w:val="bullet"/>
      <w:lvlText w:val=""/>
      <w:lvlJc w:val="left"/>
      <w:pPr>
        <w:ind w:left="720" w:hanging="360"/>
      </w:pPr>
      <w:rPr>
        <w:rFonts w:ascii="Symbol" w:hAnsi="Symbol"/>
      </w:rPr>
    </w:lvl>
    <w:lvl w:ilvl="5" w:tplc="261AFD6A">
      <w:start w:val="1"/>
      <w:numFmt w:val="bullet"/>
      <w:lvlText w:val=""/>
      <w:lvlJc w:val="left"/>
      <w:pPr>
        <w:ind w:left="720" w:hanging="360"/>
      </w:pPr>
      <w:rPr>
        <w:rFonts w:ascii="Symbol" w:hAnsi="Symbol"/>
      </w:rPr>
    </w:lvl>
    <w:lvl w:ilvl="6" w:tplc="94FC1AF8">
      <w:start w:val="1"/>
      <w:numFmt w:val="bullet"/>
      <w:lvlText w:val=""/>
      <w:lvlJc w:val="left"/>
      <w:pPr>
        <w:ind w:left="720" w:hanging="360"/>
      </w:pPr>
      <w:rPr>
        <w:rFonts w:ascii="Symbol" w:hAnsi="Symbol"/>
      </w:rPr>
    </w:lvl>
    <w:lvl w:ilvl="7" w:tplc="FF503C7C">
      <w:start w:val="1"/>
      <w:numFmt w:val="bullet"/>
      <w:lvlText w:val=""/>
      <w:lvlJc w:val="left"/>
      <w:pPr>
        <w:ind w:left="720" w:hanging="360"/>
      </w:pPr>
      <w:rPr>
        <w:rFonts w:ascii="Symbol" w:hAnsi="Symbol"/>
      </w:rPr>
    </w:lvl>
    <w:lvl w:ilvl="8" w:tplc="E8B4BDE6">
      <w:start w:val="1"/>
      <w:numFmt w:val="bullet"/>
      <w:lvlText w:val=""/>
      <w:lvlJc w:val="left"/>
      <w:pPr>
        <w:ind w:left="720" w:hanging="360"/>
      </w:pPr>
      <w:rPr>
        <w:rFonts w:ascii="Symbol" w:hAnsi="Symbol"/>
      </w:rPr>
    </w:lvl>
  </w:abstractNum>
  <w:abstractNum w:abstractNumId="15"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59D22096"/>
    <w:multiLevelType w:val="hybridMultilevel"/>
    <w:tmpl w:val="9DF2F518"/>
    <w:lvl w:ilvl="0" w:tplc="480AF4BC">
      <w:start w:val="1"/>
      <w:numFmt w:val="bullet"/>
      <w:lvlText w:val=""/>
      <w:lvlJc w:val="left"/>
      <w:pPr>
        <w:ind w:left="720" w:hanging="360"/>
      </w:pPr>
      <w:rPr>
        <w:rFonts w:ascii="Symbol" w:hAnsi="Symbol"/>
      </w:rPr>
    </w:lvl>
    <w:lvl w:ilvl="1" w:tplc="519064D0">
      <w:start w:val="1"/>
      <w:numFmt w:val="bullet"/>
      <w:lvlText w:val=""/>
      <w:lvlJc w:val="left"/>
      <w:pPr>
        <w:ind w:left="720" w:hanging="360"/>
      </w:pPr>
      <w:rPr>
        <w:rFonts w:ascii="Symbol" w:hAnsi="Symbol"/>
      </w:rPr>
    </w:lvl>
    <w:lvl w:ilvl="2" w:tplc="D5968F16">
      <w:start w:val="1"/>
      <w:numFmt w:val="bullet"/>
      <w:lvlText w:val=""/>
      <w:lvlJc w:val="left"/>
      <w:pPr>
        <w:ind w:left="720" w:hanging="360"/>
      </w:pPr>
      <w:rPr>
        <w:rFonts w:ascii="Symbol" w:hAnsi="Symbol"/>
      </w:rPr>
    </w:lvl>
    <w:lvl w:ilvl="3" w:tplc="E800FA06">
      <w:start w:val="1"/>
      <w:numFmt w:val="bullet"/>
      <w:lvlText w:val=""/>
      <w:lvlJc w:val="left"/>
      <w:pPr>
        <w:ind w:left="720" w:hanging="360"/>
      </w:pPr>
      <w:rPr>
        <w:rFonts w:ascii="Symbol" w:hAnsi="Symbol"/>
      </w:rPr>
    </w:lvl>
    <w:lvl w:ilvl="4" w:tplc="6BCA7B38">
      <w:start w:val="1"/>
      <w:numFmt w:val="bullet"/>
      <w:lvlText w:val=""/>
      <w:lvlJc w:val="left"/>
      <w:pPr>
        <w:ind w:left="720" w:hanging="360"/>
      </w:pPr>
      <w:rPr>
        <w:rFonts w:ascii="Symbol" w:hAnsi="Symbol"/>
      </w:rPr>
    </w:lvl>
    <w:lvl w:ilvl="5" w:tplc="AA40038E">
      <w:start w:val="1"/>
      <w:numFmt w:val="bullet"/>
      <w:lvlText w:val=""/>
      <w:lvlJc w:val="left"/>
      <w:pPr>
        <w:ind w:left="720" w:hanging="360"/>
      </w:pPr>
      <w:rPr>
        <w:rFonts w:ascii="Symbol" w:hAnsi="Symbol"/>
      </w:rPr>
    </w:lvl>
    <w:lvl w:ilvl="6" w:tplc="D34480EE">
      <w:start w:val="1"/>
      <w:numFmt w:val="bullet"/>
      <w:lvlText w:val=""/>
      <w:lvlJc w:val="left"/>
      <w:pPr>
        <w:ind w:left="720" w:hanging="360"/>
      </w:pPr>
      <w:rPr>
        <w:rFonts w:ascii="Symbol" w:hAnsi="Symbol"/>
      </w:rPr>
    </w:lvl>
    <w:lvl w:ilvl="7" w:tplc="BABE86B6">
      <w:start w:val="1"/>
      <w:numFmt w:val="bullet"/>
      <w:lvlText w:val=""/>
      <w:lvlJc w:val="left"/>
      <w:pPr>
        <w:ind w:left="720" w:hanging="360"/>
      </w:pPr>
      <w:rPr>
        <w:rFonts w:ascii="Symbol" w:hAnsi="Symbol"/>
      </w:rPr>
    </w:lvl>
    <w:lvl w:ilvl="8" w:tplc="5AD2833C">
      <w:start w:val="1"/>
      <w:numFmt w:val="bullet"/>
      <w:lvlText w:val=""/>
      <w:lvlJc w:val="left"/>
      <w:pPr>
        <w:ind w:left="720" w:hanging="360"/>
      </w:pPr>
      <w:rPr>
        <w:rFonts w:ascii="Symbol" w:hAnsi="Symbol"/>
      </w:rPr>
    </w:lvl>
  </w:abstractNum>
  <w:abstractNum w:abstractNumId="17" w15:restartNumberingAfterBreak="0">
    <w:nsid w:val="5C667D6B"/>
    <w:multiLevelType w:val="hybridMultilevel"/>
    <w:tmpl w:val="92FC443E"/>
    <w:lvl w:ilvl="0" w:tplc="0C090001">
      <w:start w:val="1"/>
      <w:numFmt w:val="bullet"/>
      <w:lvlText w:val=""/>
      <w:lvlJc w:val="left"/>
      <w:pPr>
        <w:ind w:left="819" w:hanging="360"/>
      </w:pPr>
      <w:rPr>
        <w:rFonts w:ascii="Symbol" w:hAnsi="Symbol"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18" w15:restartNumberingAfterBreak="0">
    <w:nsid w:val="5FEF2712"/>
    <w:multiLevelType w:val="hybridMultilevel"/>
    <w:tmpl w:val="4D622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F0179C"/>
    <w:multiLevelType w:val="hybridMultilevel"/>
    <w:tmpl w:val="38F2E6AA"/>
    <w:lvl w:ilvl="0" w:tplc="A45AC294">
      <w:start w:val="15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27395E"/>
    <w:multiLevelType w:val="hybridMultilevel"/>
    <w:tmpl w:val="336E60A8"/>
    <w:lvl w:ilvl="0" w:tplc="57E8D81C">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6C1D66C1"/>
    <w:multiLevelType w:val="hybridMultilevel"/>
    <w:tmpl w:val="9C1C5CE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5F22586"/>
    <w:multiLevelType w:val="hybridMultilevel"/>
    <w:tmpl w:val="835A76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6379A9"/>
    <w:multiLevelType w:val="hybridMultilevel"/>
    <w:tmpl w:val="4FE8D072"/>
    <w:lvl w:ilvl="0" w:tplc="40AA1BA0">
      <w:start w:val="1"/>
      <w:numFmt w:val="bullet"/>
      <w:lvlText w:val=""/>
      <w:lvlJc w:val="left"/>
      <w:pPr>
        <w:ind w:left="720" w:hanging="360"/>
      </w:pPr>
      <w:rPr>
        <w:rFonts w:ascii="Symbol" w:hAnsi="Symbol"/>
      </w:rPr>
    </w:lvl>
    <w:lvl w:ilvl="1" w:tplc="15A0EAC8">
      <w:start w:val="1"/>
      <w:numFmt w:val="bullet"/>
      <w:lvlText w:val=""/>
      <w:lvlJc w:val="left"/>
      <w:pPr>
        <w:ind w:left="720" w:hanging="360"/>
      </w:pPr>
      <w:rPr>
        <w:rFonts w:ascii="Symbol" w:hAnsi="Symbol"/>
      </w:rPr>
    </w:lvl>
    <w:lvl w:ilvl="2" w:tplc="A2A06F8A">
      <w:start w:val="1"/>
      <w:numFmt w:val="bullet"/>
      <w:lvlText w:val=""/>
      <w:lvlJc w:val="left"/>
      <w:pPr>
        <w:ind w:left="720" w:hanging="360"/>
      </w:pPr>
      <w:rPr>
        <w:rFonts w:ascii="Symbol" w:hAnsi="Symbol"/>
      </w:rPr>
    </w:lvl>
    <w:lvl w:ilvl="3" w:tplc="638C4750">
      <w:start w:val="1"/>
      <w:numFmt w:val="bullet"/>
      <w:lvlText w:val=""/>
      <w:lvlJc w:val="left"/>
      <w:pPr>
        <w:ind w:left="720" w:hanging="360"/>
      </w:pPr>
      <w:rPr>
        <w:rFonts w:ascii="Symbol" w:hAnsi="Symbol"/>
      </w:rPr>
    </w:lvl>
    <w:lvl w:ilvl="4" w:tplc="593CA732">
      <w:start w:val="1"/>
      <w:numFmt w:val="bullet"/>
      <w:lvlText w:val=""/>
      <w:lvlJc w:val="left"/>
      <w:pPr>
        <w:ind w:left="720" w:hanging="360"/>
      </w:pPr>
      <w:rPr>
        <w:rFonts w:ascii="Symbol" w:hAnsi="Symbol"/>
      </w:rPr>
    </w:lvl>
    <w:lvl w:ilvl="5" w:tplc="A2B0A4B0">
      <w:start w:val="1"/>
      <w:numFmt w:val="bullet"/>
      <w:lvlText w:val=""/>
      <w:lvlJc w:val="left"/>
      <w:pPr>
        <w:ind w:left="720" w:hanging="360"/>
      </w:pPr>
      <w:rPr>
        <w:rFonts w:ascii="Symbol" w:hAnsi="Symbol"/>
      </w:rPr>
    </w:lvl>
    <w:lvl w:ilvl="6" w:tplc="60CE26AE">
      <w:start w:val="1"/>
      <w:numFmt w:val="bullet"/>
      <w:lvlText w:val=""/>
      <w:lvlJc w:val="left"/>
      <w:pPr>
        <w:ind w:left="720" w:hanging="360"/>
      </w:pPr>
      <w:rPr>
        <w:rFonts w:ascii="Symbol" w:hAnsi="Symbol"/>
      </w:rPr>
    </w:lvl>
    <w:lvl w:ilvl="7" w:tplc="488A39BE">
      <w:start w:val="1"/>
      <w:numFmt w:val="bullet"/>
      <w:lvlText w:val=""/>
      <w:lvlJc w:val="left"/>
      <w:pPr>
        <w:ind w:left="720" w:hanging="360"/>
      </w:pPr>
      <w:rPr>
        <w:rFonts w:ascii="Symbol" w:hAnsi="Symbol"/>
      </w:rPr>
    </w:lvl>
    <w:lvl w:ilvl="8" w:tplc="C188F4DC">
      <w:start w:val="1"/>
      <w:numFmt w:val="bullet"/>
      <w:lvlText w:val=""/>
      <w:lvlJc w:val="left"/>
      <w:pPr>
        <w:ind w:left="720" w:hanging="360"/>
      </w:pPr>
      <w:rPr>
        <w:rFonts w:ascii="Symbol" w:hAnsi="Symbol"/>
      </w:rPr>
    </w:lvl>
  </w:abstractNum>
  <w:abstractNum w:abstractNumId="24" w15:restartNumberingAfterBreak="0">
    <w:nsid w:val="7C6D3671"/>
    <w:multiLevelType w:val="hybridMultilevel"/>
    <w:tmpl w:val="E5DE1338"/>
    <w:lvl w:ilvl="0" w:tplc="90F6B400">
      <w:start w:val="8"/>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32997172">
    <w:abstractNumId w:val="4"/>
  </w:num>
  <w:num w:numId="2" w16cid:durableId="1856573705">
    <w:abstractNumId w:val="1"/>
  </w:num>
  <w:num w:numId="3" w16cid:durableId="357703499">
    <w:abstractNumId w:val="3"/>
  </w:num>
  <w:num w:numId="4" w16cid:durableId="1869176708">
    <w:abstractNumId w:val="15"/>
  </w:num>
  <w:num w:numId="5" w16cid:durableId="1652950129">
    <w:abstractNumId w:val="6"/>
  </w:num>
  <w:num w:numId="6" w16cid:durableId="1053193207">
    <w:abstractNumId w:val="13"/>
  </w:num>
  <w:num w:numId="7" w16cid:durableId="201135927">
    <w:abstractNumId w:val="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4608059">
    <w:abstractNumId w:val="14"/>
  </w:num>
  <w:num w:numId="9" w16cid:durableId="173421270">
    <w:abstractNumId w:val="2"/>
  </w:num>
  <w:num w:numId="10" w16cid:durableId="2108043357">
    <w:abstractNumId w:val="5"/>
  </w:num>
  <w:num w:numId="11" w16cid:durableId="1725904230">
    <w:abstractNumId w:val="11"/>
  </w:num>
  <w:num w:numId="12" w16cid:durableId="141579354">
    <w:abstractNumId w:val="16"/>
  </w:num>
  <w:num w:numId="13" w16cid:durableId="283735081">
    <w:abstractNumId w:val="23"/>
  </w:num>
  <w:num w:numId="14" w16cid:durableId="226771690">
    <w:abstractNumId w:val="19"/>
  </w:num>
  <w:num w:numId="15" w16cid:durableId="2125148616">
    <w:abstractNumId w:val="12"/>
  </w:num>
  <w:num w:numId="16" w16cid:durableId="169947767">
    <w:abstractNumId w:val="20"/>
  </w:num>
  <w:num w:numId="17" w16cid:durableId="300234747">
    <w:abstractNumId w:val="24"/>
  </w:num>
  <w:num w:numId="18" w16cid:durableId="714739031">
    <w:abstractNumId w:val="8"/>
  </w:num>
  <w:num w:numId="19" w16cid:durableId="1935169375">
    <w:abstractNumId w:val="7"/>
  </w:num>
  <w:num w:numId="20" w16cid:durableId="1320689308">
    <w:abstractNumId w:val="21"/>
  </w:num>
  <w:num w:numId="21" w16cid:durableId="1755055892">
    <w:abstractNumId w:val="9"/>
  </w:num>
  <w:num w:numId="22" w16cid:durableId="1450277095">
    <w:abstractNumId w:val="0"/>
  </w:num>
  <w:num w:numId="23" w16cid:durableId="1711220586">
    <w:abstractNumId w:val="10"/>
  </w:num>
  <w:num w:numId="24" w16cid:durableId="113868130">
    <w:abstractNumId w:val="18"/>
  </w:num>
  <w:num w:numId="25" w16cid:durableId="837185639">
    <w:abstractNumId w:val="17"/>
  </w:num>
  <w:num w:numId="26" w16cid:durableId="1376615895">
    <w:abstractNumId w:val="22"/>
  </w:num>
  <w:num w:numId="27" w16cid:durableId="19119648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681372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17806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WART, Kathryn">
    <w15:presenceInfo w15:providerId="AD" w15:userId="S::Kathryn.Stewart@health.gov.au::010f4628-b86e-42e4-b2f7-ad27ba51d97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0E6E"/>
    <w:rsid w:val="00004431"/>
    <w:rsid w:val="00005062"/>
    <w:rsid w:val="00005A5A"/>
    <w:rsid w:val="00005DFC"/>
    <w:rsid w:val="00006B14"/>
    <w:rsid w:val="00007456"/>
    <w:rsid w:val="0001064C"/>
    <w:rsid w:val="0001384A"/>
    <w:rsid w:val="0001586E"/>
    <w:rsid w:val="00020911"/>
    <w:rsid w:val="00021C13"/>
    <w:rsid w:val="00023A80"/>
    <w:rsid w:val="000304F9"/>
    <w:rsid w:val="0003222A"/>
    <w:rsid w:val="00032A0F"/>
    <w:rsid w:val="00034C21"/>
    <w:rsid w:val="00035A49"/>
    <w:rsid w:val="00040D8D"/>
    <w:rsid w:val="000436E3"/>
    <w:rsid w:val="00045C52"/>
    <w:rsid w:val="00046423"/>
    <w:rsid w:val="000477F5"/>
    <w:rsid w:val="00050E30"/>
    <w:rsid w:val="00053204"/>
    <w:rsid w:val="00055FD2"/>
    <w:rsid w:val="0006104E"/>
    <w:rsid w:val="000640BD"/>
    <w:rsid w:val="00064C49"/>
    <w:rsid w:val="00065839"/>
    <w:rsid w:val="00065FDF"/>
    <w:rsid w:val="0006693A"/>
    <w:rsid w:val="00070761"/>
    <w:rsid w:val="000712E3"/>
    <w:rsid w:val="00074AEE"/>
    <w:rsid w:val="00077844"/>
    <w:rsid w:val="0008005B"/>
    <w:rsid w:val="00082910"/>
    <w:rsid w:val="00083025"/>
    <w:rsid w:val="00083763"/>
    <w:rsid w:val="00085140"/>
    <w:rsid w:val="00085769"/>
    <w:rsid w:val="00090510"/>
    <w:rsid w:val="000917AE"/>
    <w:rsid w:val="00092C6F"/>
    <w:rsid w:val="00094A2C"/>
    <w:rsid w:val="00094B81"/>
    <w:rsid w:val="000950A5"/>
    <w:rsid w:val="00095C6A"/>
    <w:rsid w:val="0009673F"/>
    <w:rsid w:val="000975AA"/>
    <w:rsid w:val="000A3FCB"/>
    <w:rsid w:val="000A57B9"/>
    <w:rsid w:val="000A64CE"/>
    <w:rsid w:val="000A69C1"/>
    <w:rsid w:val="000A7683"/>
    <w:rsid w:val="000B0615"/>
    <w:rsid w:val="000B087F"/>
    <w:rsid w:val="000B4972"/>
    <w:rsid w:val="000B6B15"/>
    <w:rsid w:val="000B77A6"/>
    <w:rsid w:val="000C0DAB"/>
    <w:rsid w:val="000C10D9"/>
    <w:rsid w:val="000C25A7"/>
    <w:rsid w:val="000C408B"/>
    <w:rsid w:val="000C6216"/>
    <w:rsid w:val="000C7BAB"/>
    <w:rsid w:val="000D34E2"/>
    <w:rsid w:val="000D65C4"/>
    <w:rsid w:val="000D7355"/>
    <w:rsid w:val="000D78EC"/>
    <w:rsid w:val="000D7934"/>
    <w:rsid w:val="000E2434"/>
    <w:rsid w:val="000E2597"/>
    <w:rsid w:val="000E504E"/>
    <w:rsid w:val="000E6746"/>
    <w:rsid w:val="000F7B51"/>
    <w:rsid w:val="00101BEE"/>
    <w:rsid w:val="00101CE6"/>
    <w:rsid w:val="00101FB1"/>
    <w:rsid w:val="00102944"/>
    <w:rsid w:val="00105182"/>
    <w:rsid w:val="0010558A"/>
    <w:rsid w:val="001069C9"/>
    <w:rsid w:val="001101FF"/>
    <w:rsid w:val="00110768"/>
    <w:rsid w:val="00111989"/>
    <w:rsid w:val="00113F9F"/>
    <w:rsid w:val="00114025"/>
    <w:rsid w:val="001154DD"/>
    <w:rsid w:val="0011576D"/>
    <w:rsid w:val="00117607"/>
    <w:rsid w:val="0011764E"/>
    <w:rsid w:val="0012473C"/>
    <w:rsid w:val="00127A74"/>
    <w:rsid w:val="001312B7"/>
    <w:rsid w:val="0013132F"/>
    <w:rsid w:val="00131B1B"/>
    <w:rsid w:val="00132136"/>
    <w:rsid w:val="0013306D"/>
    <w:rsid w:val="0013528C"/>
    <w:rsid w:val="0014061F"/>
    <w:rsid w:val="001442A2"/>
    <w:rsid w:val="0014498D"/>
    <w:rsid w:val="001468CA"/>
    <w:rsid w:val="00147D18"/>
    <w:rsid w:val="001500A8"/>
    <w:rsid w:val="00152C24"/>
    <w:rsid w:val="0015511F"/>
    <w:rsid w:val="001551E8"/>
    <w:rsid w:val="00155D85"/>
    <w:rsid w:val="00156005"/>
    <w:rsid w:val="00156BA2"/>
    <w:rsid w:val="0016445F"/>
    <w:rsid w:val="0016467C"/>
    <w:rsid w:val="00165D28"/>
    <w:rsid w:val="00166B4D"/>
    <w:rsid w:val="0017005C"/>
    <w:rsid w:val="00171C06"/>
    <w:rsid w:val="001733B3"/>
    <w:rsid w:val="00174379"/>
    <w:rsid w:val="00175CD8"/>
    <w:rsid w:val="00180717"/>
    <w:rsid w:val="001807E5"/>
    <w:rsid w:val="00181B89"/>
    <w:rsid w:val="00181F9A"/>
    <w:rsid w:val="00182BD8"/>
    <w:rsid w:val="00184E36"/>
    <w:rsid w:val="00185B9B"/>
    <w:rsid w:val="00186F94"/>
    <w:rsid w:val="00186FC2"/>
    <w:rsid w:val="00190853"/>
    <w:rsid w:val="001A5A12"/>
    <w:rsid w:val="001A6235"/>
    <w:rsid w:val="001A6721"/>
    <w:rsid w:val="001A76F9"/>
    <w:rsid w:val="001B06FF"/>
    <w:rsid w:val="001B0C32"/>
    <w:rsid w:val="001B1703"/>
    <w:rsid w:val="001B5EEA"/>
    <w:rsid w:val="001C1C2E"/>
    <w:rsid w:val="001C21E6"/>
    <w:rsid w:val="001C31A1"/>
    <w:rsid w:val="001C3FA2"/>
    <w:rsid w:val="001C4F31"/>
    <w:rsid w:val="001C5EE2"/>
    <w:rsid w:val="001C7CA9"/>
    <w:rsid w:val="001D0077"/>
    <w:rsid w:val="001D4959"/>
    <w:rsid w:val="001E1BAA"/>
    <w:rsid w:val="001E407B"/>
    <w:rsid w:val="001E7FC6"/>
    <w:rsid w:val="001F1095"/>
    <w:rsid w:val="001F1D55"/>
    <w:rsid w:val="001F205A"/>
    <w:rsid w:val="001F2502"/>
    <w:rsid w:val="001F51EB"/>
    <w:rsid w:val="001F70A5"/>
    <w:rsid w:val="0020235D"/>
    <w:rsid w:val="0020369B"/>
    <w:rsid w:val="00207B4D"/>
    <w:rsid w:val="00210943"/>
    <w:rsid w:val="002109B0"/>
    <w:rsid w:val="00210F9B"/>
    <w:rsid w:val="002117B1"/>
    <w:rsid w:val="00217CA6"/>
    <w:rsid w:val="00217CCE"/>
    <w:rsid w:val="002203B1"/>
    <w:rsid w:val="002212A4"/>
    <w:rsid w:val="00226F39"/>
    <w:rsid w:val="00233370"/>
    <w:rsid w:val="002334AD"/>
    <w:rsid w:val="00233764"/>
    <w:rsid w:val="00236EEC"/>
    <w:rsid w:val="002418FD"/>
    <w:rsid w:val="00241B60"/>
    <w:rsid w:val="00242D75"/>
    <w:rsid w:val="002449D1"/>
    <w:rsid w:val="00245E26"/>
    <w:rsid w:val="002479CD"/>
    <w:rsid w:val="00257095"/>
    <w:rsid w:val="0025785B"/>
    <w:rsid w:val="00257969"/>
    <w:rsid w:val="002602D0"/>
    <w:rsid w:val="00265CD1"/>
    <w:rsid w:val="002668CD"/>
    <w:rsid w:val="00266BC3"/>
    <w:rsid w:val="002736CB"/>
    <w:rsid w:val="00274099"/>
    <w:rsid w:val="002779BD"/>
    <w:rsid w:val="00280048"/>
    <w:rsid w:val="00281A9E"/>
    <w:rsid w:val="0028489E"/>
    <w:rsid w:val="002848DE"/>
    <w:rsid w:val="00285CE4"/>
    <w:rsid w:val="0028794E"/>
    <w:rsid w:val="00290030"/>
    <w:rsid w:val="0029109D"/>
    <w:rsid w:val="002939FD"/>
    <w:rsid w:val="0029733B"/>
    <w:rsid w:val="0029750F"/>
    <w:rsid w:val="002A0D14"/>
    <w:rsid w:val="002A3158"/>
    <w:rsid w:val="002A4C89"/>
    <w:rsid w:val="002A5841"/>
    <w:rsid w:val="002B1EDF"/>
    <w:rsid w:val="002B2061"/>
    <w:rsid w:val="002B33C3"/>
    <w:rsid w:val="002B56DD"/>
    <w:rsid w:val="002C1232"/>
    <w:rsid w:val="002C1E44"/>
    <w:rsid w:val="002C28EB"/>
    <w:rsid w:val="002C45A5"/>
    <w:rsid w:val="002C47F0"/>
    <w:rsid w:val="002C5C92"/>
    <w:rsid w:val="002C5E29"/>
    <w:rsid w:val="002D0478"/>
    <w:rsid w:val="002D5E3C"/>
    <w:rsid w:val="002D7127"/>
    <w:rsid w:val="002E072B"/>
    <w:rsid w:val="002E3D79"/>
    <w:rsid w:val="002E4645"/>
    <w:rsid w:val="002E5583"/>
    <w:rsid w:val="002E6B0B"/>
    <w:rsid w:val="002F401D"/>
    <w:rsid w:val="002F4408"/>
    <w:rsid w:val="002F599E"/>
    <w:rsid w:val="003008D8"/>
    <w:rsid w:val="00301D9A"/>
    <w:rsid w:val="00303959"/>
    <w:rsid w:val="00305997"/>
    <w:rsid w:val="003067DE"/>
    <w:rsid w:val="00306E72"/>
    <w:rsid w:val="00307A76"/>
    <w:rsid w:val="00312AC3"/>
    <w:rsid w:val="00314430"/>
    <w:rsid w:val="003148AA"/>
    <w:rsid w:val="00314D4C"/>
    <w:rsid w:val="00314EEF"/>
    <w:rsid w:val="0031571B"/>
    <w:rsid w:val="003163BC"/>
    <w:rsid w:val="00320188"/>
    <w:rsid w:val="003212D9"/>
    <w:rsid w:val="0032351A"/>
    <w:rsid w:val="00324B33"/>
    <w:rsid w:val="003259A5"/>
    <w:rsid w:val="00327488"/>
    <w:rsid w:val="003328BA"/>
    <w:rsid w:val="00334780"/>
    <w:rsid w:val="00336FE1"/>
    <w:rsid w:val="00337BBC"/>
    <w:rsid w:val="00337BD8"/>
    <w:rsid w:val="00341A6E"/>
    <w:rsid w:val="00342D56"/>
    <w:rsid w:val="003456E7"/>
    <w:rsid w:val="00346EC2"/>
    <w:rsid w:val="00346FF8"/>
    <w:rsid w:val="003477F9"/>
    <w:rsid w:val="0035040A"/>
    <w:rsid w:val="003523AC"/>
    <w:rsid w:val="0035444D"/>
    <w:rsid w:val="00356D62"/>
    <w:rsid w:val="00357B2F"/>
    <w:rsid w:val="00363EE3"/>
    <w:rsid w:val="003652DD"/>
    <w:rsid w:val="00370555"/>
    <w:rsid w:val="00371CF4"/>
    <w:rsid w:val="003735F3"/>
    <w:rsid w:val="00374729"/>
    <w:rsid w:val="00375CF0"/>
    <w:rsid w:val="003823F9"/>
    <w:rsid w:val="00387298"/>
    <w:rsid w:val="00387984"/>
    <w:rsid w:val="00395140"/>
    <w:rsid w:val="003A057B"/>
    <w:rsid w:val="003A2422"/>
    <w:rsid w:val="003A30DD"/>
    <w:rsid w:val="003A5C52"/>
    <w:rsid w:val="003A7D2F"/>
    <w:rsid w:val="003B149C"/>
    <w:rsid w:val="003B30CC"/>
    <w:rsid w:val="003B7142"/>
    <w:rsid w:val="003C0FDB"/>
    <w:rsid w:val="003C1192"/>
    <w:rsid w:val="003C1FAA"/>
    <w:rsid w:val="003C5069"/>
    <w:rsid w:val="003C55E2"/>
    <w:rsid w:val="003C5754"/>
    <w:rsid w:val="003C63D5"/>
    <w:rsid w:val="003C7AA8"/>
    <w:rsid w:val="003C7B4E"/>
    <w:rsid w:val="003D2827"/>
    <w:rsid w:val="003D39A8"/>
    <w:rsid w:val="003D4C90"/>
    <w:rsid w:val="003D71A1"/>
    <w:rsid w:val="003E5EBD"/>
    <w:rsid w:val="003F0B35"/>
    <w:rsid w:val="003F4540"/>
    <w:rsid w:val="003F5D4E"/>
    <w:rsid w:val="003F6382"/>
    <w:rsid w:val="003F72A7"/>
    <w:rsid w:val="003F7650"/>
    <w:rsid w:val="00402CAF"/>
    <w:rsid w:val="00406D4E"/>
    <w:rsid w:val="00407231"/>
    <w:rsid w:val="004136E3"/>
    <w:rsid w:val="0041688F"/>
    <w:rsid w:val="00416C00"/>
    <w:rsid w:val="00417DF7"/>
    <w:rsid w:val="0042376F"/>
    <w:rsid w:val="004246B8"/>
    <w:rsid w:val="004248F1"/>
    <w:rsid w:val="0042637B"/>
    <w:rsid w:val="004276A0"/>
    <w:rsid w:val="00433318"/>
    <w:rsid w:val="00435498"/>
    <w:rsid w:val="004411D9"/>
    <w:rsid w:val="00442A56"/>
    <w:rsid w:val="004444B0"/>
    <w:rsid w:val="004453C3"/>
    <w:rsid w:val="0045060B"/>
    <w:rsid w:val="0045172A"/>
    <w:rsid w:val="00453126"/>
    <w:rsid w:val="00453261"/>
    <w:rsid w:val="004551F8"/>
    <w:rsid w:val="004553A5"/>
    <w:rsid w:val="004606E7"/>
    <w:rsid w:val="004626FF"/>
    <w:rsid w:val="0046285C"/>
    <w:rsid w:val="00470A52"/>
    <w:rsid w:val="00471BD5"/>
    <w:rsid w:val="00471FE0"/>
    <w:rsid w:val="004734A4"/>
    <w:rsid w:val="00477C4E"/>
    <w:rsid w:val="00477F07"/>
    <w:rsid w:val="00481503"/>
    <w:rsid w:val="00481D12"/>
    <w:rsid w:val="004854A6"/>
    <w:rsid w:val="0048675F"/>
    <w:rsid w:val="00490618"/>
    <w:rsid w:val="00490C9D"/>
    <w:rsid w:val="00491A55"/>
    <w:rsid w:val="00494C3E"/>
    <w:rsid w:val="00495DB1"/>
    <w:rsid w:val="00497230"/>
    <w:rsid w:val="00497DF1"/>
    <w:rsid w:val="004A1F53"/>
    <w:rsid w:val="004A318E"/>
    <w:rsid w:val="004A45D4"/>
    <w:rsid w:val="004A52AB"/>
    <w:rsid w:val="004A57E8"/>
    <w:rsid w:val="004A6001"/>
    <w:rsid w:val="004A6D9C"/>
    <w:rsid w:val="004B3081"/>
    <w:rsid w:val="004B4A09"/>
    <w:rsid w:val="004C03DA"/>
    <w:rsid w:val="004C41CE"/>
    <w:rsid w:val="004C4680"/>
    <w:rsid w:val="004C631B"/>
    <w:rsid w:val="004D0933"/>
    <w:rsid w:val="004D2F00"/>
    <w:rsid w:val="004D31D8"/>
    <w:rsid w:val="004D35D1"/>
    <w:rsid w:val="004D485B"/>
    <w:rsid w:val="004D5388"/>
    <w:rsid w:val="004E4632"/>
    <w:rsid w:val="004E7F16"/>
    <w:rsid w:val="004F18EC"/>
    <w:rsid w:val="004F3D92"/>
    <w:rsid w:val="004F6786"/>
    <w:rsid w:val="00500D68"/>
    <w:rsid w:val="00501008"/>
    <w:rsid w:val="00504538"/>
    <w:rsid w:val="00504CEA"/>
    <w:rsid w:val="00504F62"/>
    <w:rsid w:val="00505F6A"/>
    <w:rsid w:val="0051128F"/>
    <w:rsid w:val="00511CFB"/>
    <w:rsid w:val="005140BC"/>
    <w:rsid w:val="00524452"/>
    <w:rsid w:val="00526BEC"/>
    <w:rsid w:val="00527435"/>
    <w:rsid w:val="0052767E"/>
    <w:rsid w:val="00532A08"/>
    <w:rsid w:val="00533078"/>
    <w:rsid w:val="0053377D"/>
    <w:rsid w:val="00535DFE"/>
    <w:rsid w:val="005373B5"/>
    <w:rsid w:val="00537AB7"/>
    <w:rsid w:val="00542589"/>
    <w:rsid w:val="005430BE"/>
    <w:rsid w:val="0054374A"/>
    <w:rsid w:val="0054640B"/>
    <w:rsid w:val="0054669B"/>
    <w:rsid w:val="005532BE"/>
    <w:rsid w:val="00555EA1"/>
    <w:rsid w:val="00556088"/>
    <w:rsid w:val="00557684"/>
    <w:rsid w:val="00560300"/>
    <w:rsid w:val="005610D1"/>
    <w:rsid w:val="00562F42"/>
    <w:rsid w:val="00565739"/>
    <w:rsid w:val="005663BE"/>
    <w:rsid w:val="0056766D"/>
    <w:rsid w:val="0057365E"/>
    <w:rsid w:val="00575215"/>
    <w:rsid w:val="005759FB"/>
    <w:rsid w:val="00575E59"/>
    <w:rsid w:val="005775D0"/>
    <w:rsid w:val="00581138"/>
    <w:rsid w:val="0058575E"/>
    <w:rsid w:val="00585BD0"/>
    <w:rsid w:val="0058783C"/>
    <w:rsid w:val="005911AE"/>
    <w:rsid w:val="00591429"/>
    <w:rsid w:val="005926E2"/>
    <w:rsid w:val="0059313A"/>
    <w:rsid w:val="0059524D"/>
    <w:rsid w:val="0059560E"/>
    <w:rsid w:val="005959A1"/>
    <w:rsid w:val="005A2874"/>
    <w:rsid w:val="005A54EA"/>
    <w:rsid w:val="005A5BA4"/>
    <w:rsid w:val="005B023F"/>
    <w:rsid w:val="005B02A2"/>
    <w:rsid w:val="005B1417"/>
    <w:rsid w:val="005B4365"/>
    <w:rsid w:val="005B4650"/>
    <w:rsid w:val="005B511B"/>
    <w:rsid w:val="005B5250"/>
    <w:rsid w:val="005B69CF"/>
    <w:rsid w:val="005C3F07"/>
    <w:rsid w:val="005C4B46"/>
    <w:rsid w:val="005C5DC5"/>
    <w:rsid w:val="005D0250"/>
    <w:rsid w:val="005D0A4D"/>
    <w:rsid w:val="005D0E1E"/>
    <w:rsid w:val="005D2089"/>
    <w:rsid w:val="005D2EBB"/>
    <w:rsid w:val="005D4D79"/>
    <w:rsid w:val="005D7514"/>
    <w:rsid w:val="005E0FC6"/>
    <w:rsid w:val="005E1A7B"/>
    <w:rsid w:val="005E231F"/>
    <w:rsid w:val="005E30A3"/>
    <w:rsid w:val="005E572B"/>
    <w:rsid w:val="005E71C0"/>
    <w:rsid w:val="005E76AA"/>
    <w:rsid w:val="005F0228"/>
    <w:rsid w:val="005F39BB"/>
    <w:rsid w:val="005F60E1"/>
    <w:rsid w:val="00600B99"/>
    <w:rsid w:val="0060212C"/>
    <w:rsid w:val="00602D6E"/>
    <w:rsid w:val="00604ECB"/>
    <w:rsid w:val="00605C05"/>
    <w:rsid w:val="00605FBF"/>
    <w:rsid w:val="00606B35"/>
    <w:rsid w:val="00611351"/>
    <w:rsid w:val="0061217D"/>
    <w:rsid w:val="006129AE"/>
    <w:rsid w:val="0061316B"/>
    <w:rsid w:val="00620CE8"/>
    <w:rsid w:val="0062123A"/>
    <w:rsid w:val="00624967"/>
    <w:rsid w:val="00625246"/>
    <w:rsid w:val="00627348"/>
    <w:rsid w:val="006277A1"/>
    <w:rsid w:val="00630338"/>
    <w:rsid w:val="0063185E"/>
    <w:rsid w:val="00633BD7"/>
    <w:rsid w:val="00634580"/>
    <w:rsid w:val="00634884"/>
    <w:rsid w:val="006351D9"/>
    <w:rsid w:val="00636C48"/>
    <w:rsid w:val="00637130"/>
    <w:rsid w:val="00637BBF"/>
    <w:rsid w:val="00637F0E"/>
    <w:rsid w:val="00640F83"/>
    <w:rsid w:val="006423F2"/>
    <w:rsid w:val="006428C5"/>
    <w:rsid w:val="00643A8C"/>
    <w:rsid w:val="0064427C"/>
    <w:rsid w:val="006473BC"/>
    <w:rsid w:val="00650234"/>
    <w:rsid w:val="00650454"/>
    <w:rsid w:val="00651837"/>
    <w:rsid w:val="00657F0E"/>
    <w:rsid w:val="0066044B"/>
    <w:rsid w:val="006630AA"/>
    <w:rsid w:val="006633A7"/>
    <w:rsid w:val="00663544"/>
    <w:rsid w:val="00666539"/>
    <w:rsid w:val="00666911"/>
    <w:rsid w:val="00674332"/>
    <w:rsid w:val="00675F81"/>
    <w:rsid w:val="006803EA"/>
    <w:rsid w:val="0068143E"/>
    <w:rsid w:val="00682522"/>
    <w:rsid w:val="00683ED4"/>
    <w:rsid w:val="0068507D"/>
    <w:rsid w:val="00685C6B"/>
    <w:rsid w:val="0068640B"/>
    <w:rsid w:val="00691AF2"/>
    <w:rsid w:val="00691F74"/>
    <w:rsid w:val="00692B80"/>
    <w:rsid w:val="00692CCD"/>
    <w:rsid w:val="00692D51"/>
    <w:rsid w:val="00694A7C"/>
    <w:rsid w:val="00694DD7"/>
    <w:rsid w:val="006950C5"/>
    <w:rsid w:val="0069636B"/>
    <w:rsid w:val="006A1762"/>
    <w:rsid w:val="006A19CE"/>
    <w:rsid w:val="006A1F0B"/>
    <w:rsid w:val="006A277A"/>
    <w:rsid w:val="006A41FF"/>
    <w:rsid w:val="006A5973"/>
    <w:rsid w:val="006B04F3"/>
    <w:rsid w:val="006B1C98"/>
    <w:rsid w:val="006B362B"/>
    <w:rsid w:val="006B426E"/>
    <w:rsid w:val="006B5177"/>
    <w:rsid w:val="006B7126"/>
    <w:rsid w:val="006B7BC9"/>
    <w:rsid w:val="006C20F5"/>
    <w:rsid w:val="006C317A"/>
    <w:rsid w:val="006C6B86"/>
    <w:rsid w:val="006D08C3"/>
    <w:rsid w:val="006D4553"/>
    <w:rsid w:val="006D4A35"/>
    <w:rsid w:val="006D6B44"/>
    <w:rsid w:val="006E0F71"/>
    <w:rsid w:val="006E27FE"/>
    <w:rsid w:val="006E7BCC"/>
    <w:rsid w:val="006F24EB"/>
    <w:rsid w:val="006F3D07"/>
    <w:rsid w:val="00701110"/>
    <w:rsid w:val="00701A43"/>
    <w:rsid w:val="00702171"/>
    <w:rsid w:val="00702E91"/>
    <w:rsid w:val="0070330F"/>
    <w:rsid w:val="00703624"/>
    <w:rsid w:val="007046ED"/>
    <w:rsid w:val="0070541F"/>
    <w:rsid w:val="00705ED7"/>
    <w:rsid w:val="007072A1"/>
    <w:rsid w:val="00707507"/>
    <w:rsid w:val="0070774B"/>
    <w:rsid w:val="00707761"/>
    <w:rsid w:val="0071060C"/>
    <w:rsid w:val="00710BC5"/>
    <w:rsid w:val="007121CA"/>
    <w:rsid w:val="00712936"/>
    <w:rsid w:val="00712A44"/>
    <w:rsid w:val="007165EB"/>
    <w:rsid w:val="0072003B"/>
    <w:rsid w:val="00721059"/>
    <w:rsid w:val="007211E6"/>
    <w:rsid w:val="007220C4"/>
    <w:rsid w:val="007262E0"/>
    <w:rsid w:val="0072663E"/>
    <w:rsid w:val="007305ED"/>
    <w:rsid w:val="00731154"/>
    <w:rsid w:val="007311B9"/>
    <w:rsid w:val="00732361"/>
    <w:rsid w:val="007357B9"/>
    <w:rsid w:val="00735C09"/>
    <w:rsid w:val="00736413"/>
    <w:rsid w:val="007373EF"/>
    <w:rsid w:val="00741046"/>
    <w:rsid w:val="00741AB9"/>
    <w:rsid w:val="00742D03"/>
    <w:rsid w:val="00744216"/>
    <w:rsid w:val="007452E8"/>
    <w:rsid w:val="007463F4"/>
    <w:rsid w:val="00746990"/>
    <w:rsid w:val="00746C60"/>
    <w:rsid w:val="00747093"/>
    <w:rsid w:val="00750898"/>
    <w:rsid w:val="00750D70"/>
    <w:rsid w:val="00752F9A"/>
    <w:rsid w:val="00755B5C"/>
    <w:rsid w:val="007575D0"/>
    <w:rsid w:val="007655FC"/>
    <w:rsid w:val="007662E0"/>
    <w:rsid w:val="00773129"/>
    <w:rsid w:val="007743B4"/>
    <w:rsid w:val="00776E9C"/>
    <w:rsid w:val="007816D8"/>
    <w:rsid w:val="00783171"/>
    <w:rsid w:val="00783621"/>
    <w:rsid w:val="00784150"/>
    <w:rsid w:val="00786C4D"/>
    <w:rsid w:val="00793272"/>
    <w:rsid w:val="0079499A"/>
    <w:rsid w:val="00794B64"/>
    <w:rsid w:val="007967C3"/>
    <w:rsid w:val="007A0A33"/>
    <w:rsid w:val="007A1C20"/>
    <w:rsid w:val="007B04DE"/>
    <w:rsid w:val="007B0AE6"/>
    <w:rsid w:val="007B355D"/>
    <w:rsid w:val="007B4A08"/>
    <w:rsid w:val="007B65CB"/>
    <w:rsid w:val="007B7097"/>
    <w:rsid w:val="007C0F0B"/>
    <w:rsid w:val="007C57BC"/>
    <w:rsid w:val="007D04CA"/>
    <w:rsid w:val="007D0A2B"/>
    <w:rsid w:val="007D12A1"/>
    <w:rsid w:val="007D25CE"/>
    <w:rsid w:val="007D40E5"/>
    <w:rsid w:val="007D4138"/>
    <w:rsid w:val="007D507F"/>
    <w:rsid w:val="007D7A25"/>
    <w:rsid w:val="007E00B4"/>
    <w:rsid w:val="007E4178"/>
    <w:rsid w:val="007E6443"/>
    <w:rsid w:val="007F08DC"/>
    <w:rsid w:val="007F0A77"/>
    <w:rsid w:val="007F1E37"/>
    <w:rsid w:val="007F3490"/>
    <w:rsid w:val="007F3A34"/>
    <w:rsid w:val="007F50D3"/>
    <w:rsid w:val="007F6B1F"/>
    <w:rsid w:val="007F70BF"/>
    <w:rsid w:val="008013F0"/>
    <w:rsid w:val="00801615"/>
    <w:rsid w:val="00803926"/>
    <w:rsid w:val="00804897"/>
    <w:rsid w:val="00821C98"/>
    <w:rsid w:val="008245A8"/>
    <w:rsid w:val="008329DB"/>
    <w:rsid w:val="00832A37"/>
    <w:rsid w:val="008361C5"/>
    <w:rsid w:val="0083628F"/>
    <w:rsid w:val="00837AB9"/>
    <w:rsid w:val="0084090D"/>
    <w:rsid w:val="00843778"/>
    <w:rsid w:val="00844F62"/>
    <w:rsid w:val="00850637"/>
    <w:rsid w:val="008517C2"/>
    <w:rsid w:val="00854D98"/>
    <w:rsid w:val="00856075"/>
    <w:rsid w:val="0085751E"/>
    <w:rsid w:val="008578BB"/>
    <w:rsid w:val="00860B29"/>
    <w:rsid w:val="008622E8"/>
    <w:rsid w:val="008645EE"/>
    <w:rsid w:val="00870144"/>
    <w:rsid w:val="008706DD"/>
    <w:rsid w:val="0087072C"/>
    <w:rsid w:val="00871312"/>
    <w:rsid w:val="00871C5E"/>
    <w:rsid w:val="00873D7A"/>
    <w:rsid w:val="008762BC"/>
    <w:rsid w:val="00877CB3"/>
    <w:rsid w:val="008804CF"/>
    <w:rsid w:val="00882D58"/>
    <w:rsid w:val="00882F19"/>
    <w:rsid w:val="00883D35"/>
    <w:rsid w:val="00884569"/>
    <w:rsid w:val="008865C8"/>
    <w:rsid w:val="008868EA"/>
    <w:rsid w:val="00887A51"/>
    <w:rsid w:val="0089038A"/>
    <w:rsid w:val="00890C79"/>
    <w:rsid w:val="00890D9B"/>
    <w:rsid w:val="00891C6C"/>
    <w:rsid w:val="00892521"/>
    <w:rsid w:val="00892C63"/>
    <w:rsid w:val="00893CCD"/>
    <w:rsid w:val="00895E6A"/>
    <w:rsid w:val="0089621E"/>
    <w:rsid w:val="008964B3"/>
    <w:rsid w:val="008A509A"/>
    <w:rsid w:val="008B07C9"/>
    <w:rsid w:val="008B1CB5"/>
    <w:rsid w:val="008B1FE4"/>
    <w:rsid w:val="008B46F7"/>
    <w:rsid w:val="008B4CA5"/>
    <w:rsid w:val="008C1F12"/>
    <w:rsid w:val="008C2D63"/>
    <w:rsid w:val="008C2D69"/>
    <w:rsid w:val="008C49C6"/>
    <w:rsid w:val="008C4A08"/>
    <w:rsid w:val="008C754C"/>
    <w:rsid w:val="008C7C56"/>
    <w:rsid w:val="008D012D"/>
    <w:rsid w:val="008D56C9"/>
    <w:rsid w:val="008D56CA"/>
    <w:rsid w:val="008D68CB"/>
    <w:rsid w:val="008D6A54"/>
    <w:rsid w:val="008E2585"/>
    <w:rsid w:val="008E2D7A"/>
    <w:rsid w:val="008E6CD3"/>
    <w:rsid w:val="008E7379"/>
    <w:rsid w:val="008F3215"/>
    <w:rsid w:val="008F4A62"/>
    <w:rsid w:val="008F7256"/>
    <w:rsid w:val="0090424C"/>
    <w:rsid w:val="0090605E"/>
    <w:rsid w:val="00906758"/>
    <w:rsid w:val="00906C74"/>
    <w:rsid w:val="009108CE"/>
    <w:rsid w:val="00910A21"/>
    <w:rsid w:val="00911921"/>
    <w:rsid w:val="0091254A"/>
    <w:rsid w:val="009142D3"/>
    <w:rsid w:val="00915A9F"/>
    <w:rsid w:val="00930D58"/>
    <w:rsid w:val="00932655"/>
    <w:rsid w:val="00935AAA"/>
    <w:rsid w:val="00936130"/>
    <w:rsid w:val="00936AD5"/>
    <w:rsid w:val="009461BA"/>
    <w:rsid w:val="00946D49"/>
    <w:rsid w:val="00946F28"/>
    <w:rsid w:val="009501CB"/>
    <w:rsid w:val="0095031E"/>
    <w:rsid w:val="00954297"/>
    <w:rsid w:val="00960A56"/>
    <w:rsid w:val="00962307"/>
    <w:rsid w:val="00963A4D"/>
    <w:rsid w:val="009656EA"/>
    <w:rsid w:val="00966832"/>
    <w:rsid w:val="00966EF1"/>
    <w:rsid w:val="00967223"/>
    <w:rsid w:val="00967939"/>
    <w:rsid w:val="009701E5"/>
    <w:rsid w:val="009720BF"/>
    <w:rsid w:val="009751F7"/>
    <w:rsid w:val="0098027F"/>
    <w:rsid w:val="00981002"/>
    <w:rsid w:val="0098168B"/>
    <w:rsid w:val="0098350E"/>
    <w:rsid w:val="0098388E"/>
    <w:rsid w:val="009860EE"/>
    <w:rsid w:val="00990C12"/>
    <w:rsid w:val="009927F9"/>
    <w:rsid w:val="0099404F"/>
    <w:rsid w:val="009966A7"/>
    <w:rsid w:val="00996FA5"/>
    <w:rsid w:val="00997F98"/>
    <w:rsid w:val="009A3E56"/>
    <w:rsid w:val="009A6384"/>
    <w:rsid w:val="009B0FB0"/>
    <w:rsid w:val="009B48BE"/>
    <w:rsid w:val="009B5662"/>
    <w:rsid w:val="009C2211"/>
    <w:rsid w:val="009C30FE"/>
    <w:rsid w:val="009C40E8"/>
    <w:rsid w:val="009C45C5"/>
    <w:rsid w:val="009C5593"/>
    <w:rsid w:val="009C654E"/>
    <w:rsid w:val="009C7FF7"/>
    <w:rsid w:val="009D08AA"/>
    <w:rsid w:val="009D5A76"/>
    <w:rsid w:val="009D7393"/>
    <w:rsid w:val="009E0B6C"/>
    <w:rsid w:val="009E4D34"/>
    <w:rsid w:val="009E5154"/>
    <w:rsid w:val="009E6858"/>
    <w:rsid w:val="009E6F8C"/>
    <w:rsid w:val="009F10EB"/>
    <w:rsid w:val="009F405F"/>
    <w:rsid w:val="009F4FDA"/>
    <w:rsid w:val="00A01683"/>
    <w:rsid w:val="00A01C56"/>
    <w:rsid w:val="00A074AF"/>
    <w:rsid w:val="00A10655"/>
    <w:rsid w:val="00A114E5"/>
    <w:rsid w:val="00A11FDF"/>
    <w:rsid w:val="00A14424"/>
    <w:rsid w:val="00A1522C"/>
    <w:rsid w:val="00A153C5"/>
    <w:rsid w:val="00A1757A"/>
    <w:rsid w:val="00A17B6D"/>
    <w:rsid w:val="00A20CA4"/>
    <w:rsid w:val="00A26BB1"/>
    <w:rsid w:val="00A32C50"/>
    <w:rsid w:val="00A350A2"/>
    <w:rsid w:val="00A358E7"/>
    <w:rsid w:val="00A43063"/>
    <w:rsid w:val="00A43139"/>
    <w:rsid w:val="00A4380B"/>
    <w:rsid w:val="00A51A2D"/>
    <w:rsid w:val="00A53451"/>
    <w:rsid w:val="00A5596B"/>
    <w:rsid w:val="00A568B9"/>
    <w:rsid w:val="00A63108"/>
    <w:rsid w:val="00A63C07"/>
    <w:rsid w:val="00A63D9B"/>
    <w:rsid w:val="00A65F5B"/>
    <w:rsid w:val="00A674C5"/>
    <w:rsid w:val="00A67E4F"/>
    <w:rsid w:val="00A704DC"/>
    <w:rsid w:val="00A7326C"/>
    <w:rsid w:val="00A80EB4"/>
    <w:rsid w:val="00A9376C"/>
    <w:rsid w:val="00A93DC6"/>
    <w:rsid w:val="00A9411A"/>
    <w:rsid w:val="00AA3734"/>
    <w:rsid w:val="00AA4A4B"/>
    <w:rsid w:val="00AA6682"/>
    <w:rsid w:val="00AB0613"/>
    <w:rsid w:val="00AB34BE"/>
    <w:rsid w:val="00AB4F54"/>
    <w:rsid w:val="00AB5F46"/>
    <w:rsid w:val="00AB7C5C"/>
    <w:rsid w:val="00AB7CBF"/>
    <w:rsid w:val="00AC050C"/>
    <w:rsid w:val="00AC0FB6"/>
    <w:rsid w:val="00AC6EEB"/>
    <w:rsid w:val="00AD0111"/>
    <w:rsid w:val="00AD0B68"/>
    <w:rsid w:val="00AD1ADE"/>
    <w:rsid w:val="00AD40C3"/>
    <w:rsid w:val="00AD4C72"/>
    <w:rsid w:val="00AD4CAA"/>
    <w:rsid w:val="00AD5451"/>
    <w:rsid w:val="00AD565D"/>
    <w:rsid w:val="00AE0E68"/>
    <w:rsid w:val="00AE1947"/>
    <w:rsid w:val="00AF1C8B"/>
    <w:rsid w:val="00AF299B"/>
    <w:rsid w:val="00AF4121"/>
    <w:rsid w:val="00AF5C65"/>
    <w:rsid w:val="00AF7E43"/>
    <w:rsid w:val="00B02AE0"/>
    <w:rsid w:val="00B03A1C"/>
    <w:rsid w:val="00B03F25"/>
    <w:rsid w:val="00B05326"/>
    <w:rsid w:val="00B14545"/>
    <w:rsid w:val="00B1455B"/>
    <w:rsid w:val="00B14E60"/>
    <w:rsid w:val="00B17BA2"/>
    <w:rsid w:val="00B26DC3"/>
    <w:rsid w:val="00B30B9D"/>
    <w:rsid w:val="00B30D30"/>
    <w:rsid w:val="00B3158F"/>
    <w:rsid w:val="00B364BA"/>
    <w:rsid w:val="00B4112F"/>
    <w:rsid w:val="00B4574D"/>
    <w:rsid w:val="00B468E1"/>
    <w:rsid w:val="00B46BC0"/>
    <w:rsid w:val="00B46DFB"/>
    <w:rsid w:val="00B50179"/>
    <w:rsid w:val="00B5141B"/>
    <w:rsid w:val="00B55681"/>
    <w:rsid w:val="00B57AAD"/>
    <w:rsid w:val="00B6374E"/>
    <w:rsid w:val="00B63799"/>
    <w:rsid w:val="00B659B3"/>
    <w:rsid w:val="00B66D20"/>
    <w:rsid w:val="00B671F7"/>
    <w:rsid w:val="00B72B16"/>
    <w:rsid w:val="00B72F05"/>
    <w:rsid w:val="00B77286"/>
    <w:rsid w:val="00B80408"/>
    <w:rsid w:val="00B81397"/>
    <w:rsid w:val="00B8247D"/>
    <w:rsid w:val="00B84ABC"/>
    <w:rsid w:val="00B85424"/>
    <w:rsid w:val="00B92098"/>
    <w:rsid w:val="00B925DB"/>
    <w:rsid w:val="00B95683"/>
    <w:rsid w:val="00B967FF"/>
    <w:rsid w:val="00B974B9"/>
    <w:rsid w:val="00BA066E"/>
    <w:rsid w:val="00BA1123"/>
    <w:rsid w:val="00BA19BE"/>
    <w:rsid w:val="00BA2026"/>
    <w:rsid w:val="00BA3761"/>
    <w:rsid w:val="00BA3F6D"/>
    <w:rsid w:val="00BA4BE6"/>
    <w:rsid w:val="00BA4FC0"/>
    <w:rsid w:val="00BA61E0"/>
    <w:rsid w:val="00BA657C"/>
    <w:rsid w:val="00BA7F7D"/>
    <w:rsid w:val="00BB1C14"/>
    <w:rsid w:val="00BB2404"/>
    <w:rsid w:val="00BB2B3A"/>
    <w:rsid w:val="00BB45B9"/>
    <w:rsid w:val="00BB5F5D"/>
    <w:rsid w:val="00BB6847"/>
    <w:rsid w:val="00BB7F8F"/>
    <w:rsid w:val="00BC1C22"/>
    <w:rsid w:val="00BC2B87"/>
    <w:rsid w:val="00BC3E4E"/>
    <w:rsid w:val="00BC6B7B"/>
    <w:rsid w:val="00BC716A"/>
    <w:rsid w:val="00BD07DF"/>
    <w:rsid w:val="00BD255B"/>
    <w:rsid w:val="00BD26F4"/>
    <w:rsid w:val="00BD5DBD"/>
    <w:rsid w:val="00BD5DF6"/>
    <w:rsid w:val="00BE0041"/>
    <w:rsid w:val="00BE03D1"/>
    <w:rsid w:val="00BE0D3D"/>
    <w:rsid w:val="00BE1875"/>
    <w:rsid w:val="00BE35D6"/>
    <w:rsid w:val="00BE5A31"/>
    <w:rsid w:val="00BE640F"/>
    <w:rsid w:val="00BE6D2A"/>
    <w:rsid w:val="00BF3B27"/>
    <w:rsid w:val="00BF4638"/>
    <w:rsid w:val="00BF5130"/>
    <w:rsid w:val="00BF6052"/>
    <w:rsid w:val="00C00844"/>
    <w:rsid w:val="00C008DF"/>
    <w:rsid w:val="00C00B39"/>
    <w:rsid w:val="00C02C33"/>
    <w:rsid w:val="00C02C34"/>
    <w:rsid w:val="00C04ADF"/>
    <w:rsid w:val="00C059D0"/>
    <w:rsid w:val="00C07241"/>
    <w:rsid w:val="00C07551"/>
    <w:rsid w:val="00C10B51"/>
    <w:rsid w:val="00C1109F"/>
    <w:rsid w:val="00C12D65"/>
    <w:rsid w:val="00C133AB"/>
    <w:rsid w:val="00C20B56"/>
    <w:rsid w:val="00C22214"/>
    <w:rsid w:val="00C26F72"/>
    <w:rsid w:val="00C309A7"/>
    <w:rsid w:val="00C32985"/>
    <w:rsid w:val="00C32B75"/>
    <w:rsid w:val="00C335AB"/>
    <w:rsid w:val="00C337AE"/>
    <w:rsid w:val="00C353AC"/>
    <w:rsid w:val="00C37986"/>
    <w:rsid w:val="00C407AB"/>
    <w:rsid w:val="00C42E82"/>
    <w:rsid w:val="00C44B92"/>
    <w:rsid w:val="00C46650"/>
    <w:rsid w:val="00C51704"/>
    <w:rsid w:val="00C52AB2"/>
    <w:rsid w:val="00C52B7B"/>
    <w:rsid w:val="00C5330B"/>
    <w:rsid w:val="00C547CD"/>
    <w:rsid w:val="00C570FF"/>
    <w:rsid w:val="00C57CEA"/>
    <w:rsid w:val="00C60FEC"/>
    <w:rsid w:val="00C61594"/>
    <w:rsid w:val="00C62B1C"/>
    <w:rsid w:val="00C63596"/>
    <w:rsid w:val="00C64C37"/>
    <w:rsid w:val="00C6574E"/>
    <w:rsid w:val="00C65797"/>
    <w:rsid w:val="00C663D1"/>
    <w:rsid w:val="00C707FD"/>
    <w:rsid w:val="00C76414"/>
    <w:rsid w:val="00C76DEB"/>
    <w:rsid w:val="00C774FA"/>
    <w:rsid w:val="00C811D8"/>
    <w:rsid w:val="00C816C6"/>
    <w:rsid w:val="00C84048"/>
    <w:rsid w:val="00C863A7"/>
    <w:rsid w:val="00C86F04"/>
    <w:rsid w:val="00C912F4"/>
    <w:rsid w:val="00C9156F"/>
    <w:rsid w:val="00C94861"/>
    <w:rsid w:val="00C9581A"/>
    <w:rsid w:val="00C97D29"/>
    <w:rsid w:val="00CA4648"/>
    <w:rsid w:val="00CA4D6C"/>
    <w:rsid w:val="00CA4DE9"/>
    <w:rsid w:val="00CB0550"/>
    <w:rsid w:val="00CB1830"/>
    <w:rsid w:val="00CB6813"/>
    <w:rsid w:val="00CB6CD2"/>
    <w:rsid w:val="00CB7948"/>
    <w:rsid w:val="00CC1130"/>
    <w:rsid w:val="00CC6785"/>
    <w:rsid w:val="00CD0672"/>
    <w:rsid w:val="00CD06CF"/>
    <w:rsid w:val="00CD249A"/>
    <w:rsid w:val="00CD2B04"/>
    <w:rsid w:val="00CD4DD9"/>
    <w:rsid w:val="00CD67AA"/>
    <w:rsid w:val="00CD6BA9"/>
    <w:rsid w:val="00CE6B4F"/>
    <w:rsid w:val="00CF6A55"/>
    <w:rsid w:val="00CF6DC6"/>
    <w:rsid w:val="00CF6DCF"/>
    <w:rsid w:val="00CF7D5A"/>
    <w:rsid w:val="00D01758"/>
    <w:rsid w:val="00D01DDB"/>
    <w:rsid w:val="00D03033"/>
    <w:rsid w:val="00D03143"/>
    <w:rsid w:val="00D05D94"/>
    <w:rsid w:val="00D06E6F"/>
    <w:rsid w:val="00D078BE"/>
    <w:rsid w:val="00D129CC"/>
    <w:rsid w:val="00D13F8A"/>
    <w:rsid w:val="00D14A47"/>
    <w:rsid w:val="00D16F60"/>
    <w:rsid w:val="00D22981"/>
    <w:rsid w:val="00D24FEF"/>
    <w:rsid w:val="00D27425"/>
    <w:rsid w:val="00D3349B"/>
    <w:rsid w:val="00D3757A"/>
    <w:rsid w:val="00D424A8"/>
    <w:rsid w:val="00D50467"/>
    <w:rsid w:val="00D54B6B"/>
    <w:rsid w:val="00D6036F"/>
    <w:rsid w:val="00D62877"/>
    <w:rsid w:val="00D63760"/>
    <w:rsid w:val="00D6703F"/>
    <w:rsid w:val="00D734EB"/>
    <w:rsid w:val="00D7690D"/>
    <w:rsid w:val="00D82550"/>
    <w:rsid w:val="00D825FE"/>
    <w:rsid w:val="00D82713"/>
    <w:rsid w:val="00D86F00"/>
    <w:rsid w:val="00D8773F"/>
    <w:rsid w:val="00D918D5"/>
    <w:rsid w:val="00D93B78"/>
    <w:rsid w:val="00D94C8E"/>
    <w:rsid w:val="00D96862"/>
    <w:rsid w:val="00D96B20"/>
    <w:rsid w:val="00D96CB3"/>
    <w:rsid w:val="00D96F77"/>
    <w:rsid w:val="00DA0B3C"/>
    <w:rsid w:val="00DA3FFD"/>
    <w:rsid w:val="00DA4C93"/>
    <w:rsid w:val="00DA73FD"/>
    <w:rsid w:val="00DB0E83"/>
    <w:rsid w:val="00DB1372"/>
    <w:rsid w:val="00DB192C"/>
    <w:rsid w:val="00DB1CF3"/>
    <w:rsid w:val="00DB3F3A"/>
    <w:rsid w:val="00DB4F38"/>
    <w:rsid w:val="00DB5425"/>
    <w:rsid w:val="00DB6578"/>
    <w:rsid w:val="00DB72A6"/>
    <w:rsid w:val="00DC33AF"/>
    <w:rsid w:val="00DC3712"/>
    <w:rsid w:val="00DC5737"/>
    <w:rsid w:val="00DC6611"/>
    <w:rsid w:val="00DC7B8F"/>
    <w:rsid w:val="00DD1CD6"/>
    <w:rsid w:val="00DD5AFB"/>
    <w:rsid w:val="00DD6788"/>
    <w:rsid w:val="00DE0A0F"/>
    <w:rsid w:val="00DE1344"/>
    <w:rsid w:val="00DE35A1"/>
    <w:rsid w:val="00DE7F90"/>
    <w:rsid w:val="00DF1CFD"/>
    <w:rsid w:val="00DF5BFE"/>
    <w:rsid w:val="00E00A47"/>
    <w:rsid w:val="00E0523F"/>
    <w:rsid w:val="00E11D28"/>
    <w:rsid w:val="00E12BBD"/>
    <w:rsid w:val="00E14A56"/>
    <w:rsid w:val="00E207C4"/>
    <w:rsid w:val="00E211B1"/>
    <w:rsid w:val="00E23E50"/>
    <w:rsid w:val="00E26213"/>
    <w:rsid w:val="00E274DF"/>
    <w:rsid w:val="00E34160"/>
    <w:rsid w:val="00E34D66"/>
    <w:rsid w:val="00E35BCC"/>
    <w:rsid w:val="00E362C4"/>
    <w:rsid w:val="00E40CE4"/>
    <w:rsid w:val="00E45627"/>
    <w:rsid w:val="00E46AFD"/>
    <w:rsid w:val="00E46CC2"/>
    <w:rsid w:val="00E47E0C"/>
    <w:rsid w:val="00E51813"/>
    <w:rsid w:val="00E52C0B"/>
    <w:rsid w:val="00E53D3F"/>
    <w:rsid w:val="00E5579B"/>
    <w:rsid w:val="00E577EF"/>
    <w:rsid w:val="00E57FF4"/>
    <w:rsid w:val="00E6404E"/>
    <w:rsid w:val="00E679D1"/>
    <w:rsid w:val="00E67C1C"/>
    <w:rsid w:val="00E72A03"/>
    <w:rsid w:val="00E7490A"/>
    <w:rsid w:val="00E77991"/>
    <w:rsid w:val="00E8199D"/>
    <w:rsid w:val="00E8788C"/>
    <w:rsid w:val="00E91F11"/>
    <w:rsid w:val="00E94044"/>
    <w:rsid w:val="00E9706D"/>
    <w:rsid w:val="00EA3AF4"/>
    <w:rsid w:val="00EB46F9"/>
    <w:rsid w:val="00EC08CB"/>
    <w:rsid w:val="00EC0DB0"/>
    <w:rsid w:val="00EC1963"/>
    <w:rsid w:val="00EC21EB"/>
    <w:rsid w:val="00EC2832"/>
    <w:rsid w:val="00EC3100"/>
    <w:rsid w:val="00EC4972"/>
    <w:rsid w:val="00ED1333"/>
    <w:rsid w:val="00ED2199"/>
    <w:rsid w:val="00ED3CED"/>
    <w:rsid w:val="00ED4205"/>
    <w:rsid w:val="00EE4B01"/>
    <w:rsid w:val="00EE665D"/>
    <w:rsid w:val="00EE7E6A"/>
    <w:rsid w:val="00EF01BC"/>
    <w:rsid w:val="00EF05D2"/>
    <w:rsid w:val="00EF14AB"/>
    <w:rsid w:val="00EF3F0B"/>
    <w:rsid w:val="00EF4BC8"/>
    <w:rsid w:val="00EF5583"/>
    <w:rsid w:val="00EF7B89"/>
    <w:rsid w:val="00F01616"/>
    <w:rsid w:val="00F0289D"/>
    <w:rsid w:val="00F02AEC"/>
    <w:rsid w:val="00F04E55"/>
    <w:rsid w:val="00F07572"/>
    <w:rsid w:val="00F157FC"/>
    <w:rsid w:val="00F25997"/>
    <w:rsid w:val="00F30AF3"/>
    <w:rsid w:val="00F3483B"/>
    <w:rsid w:val="00F36733"/>
    <w:rsid w:val="00F40BEE"/>
    <w:rsid w:val="00F43CD1"/>
    <w:rsid w:val="00F45AE0"/>
    <w:rsid w:val="00F47820"/>
    <w:rsid w:val="00F47D28"/>
    <w:rsid w:val="00F513ED"/>
    <w:rsid w:val="00F60039"/>
    <w:rsid w:val="00F60CF2"/>
    <w:rsid w:val="00F639F6"/>
    <w:rsid w:val="00F657B4"/>
    <w:rsid w:val="00F673E2"/>
    <w:rsid w:val="00F72725"/>
    <w:rsid w:val="00F72D75"/>
    <w:rsid w:val="00F7649F"/>
    <w:rsid w:val="00F76E65"/>
    <w:rsid w:val="00F76EC0"/>
    <w:rsid w:val="00F8083B"/>
    <w:rsid w:val="00F82D1B"/>
    <w:rsid w:val="00F8568E"/>
    <w:rsid w:val="00F85B30"/>
    <w:rsid w:val="00F865A7"/>
    <w:rsid w:val="00F94FE1"/>
    <w:rsid w:val="00F9548A"/>
    <w:rsid w:val="00FA0754"/>
    <w:rsid w:val="00FA0F09"/>
    <w:rsid w:val="00FA1BC9"/>
    <w:rsid w:val="00FA49C3"/>
    <w:rsid w:val="00FB236E"/>
    <w:rsid w:val="00FB314B"/>
    <w:rsid w:val="00FB3B3D"/>
    <w:rsid w:val="00FB3F7B"/>
    <w:rsid w:val="00FB452A"/>
    <w:rsid w:val="00FB4C2A"/>
    <w:rsid w:val="00FB4C85"/>
    <w:rsid w:val="00FB56E3"/>
    <w:rsid w:val="00FC2107"/>
    <w:rsid w:val="00FC48FE"/>
    <w:rsid w:val="00FC6341"/>
    <w:rsid w:val="00FC6F56"/>
    <w:rsid w:val="00FD71AA"/>
    <w:rsid w:val="00FE087C"/>
    <w:rsid w:val="00FE1A34"/>
    <w:rsid w:val="00FE33AA"/>
    <w:rsid w:val="00FE46FD"/>
    <w:rsid w:val="00FE79A0"/>
    <w:rsid w:val="00FF0939"/>
    <w:rsid w:val="00FF0FEE"/>
    <w:rsid w:val="00FF62B5"/>
    <w:rsid w:val="00FF7BC9"/>
    <w:rsid w:val="010329AE"/>
    <w:rsid w:val="04569910"/>
    <w:rsid w:val="06FDCC91"/>
    <w:rsid w:val="07875E5C"/>
    <w:rsid w:val="07E5FA2D"/>
    <w:rsid w:val="08A456AF"/>
    <w:rsid w:val="0ACCF694"/>
    <w:rsid w:val="0E8F178D"/>
    <w:rsid w:val="10E017D4"/>
    <w:rsid w:val="12DF54C6"/>
    <w:rsid w:val="1972DA3A"/>
    <w:rsid w:val="1AC84877"/>
    <w:rsid w:val="1BCEBFC9"/>
    <w:rsid w:val="1D98F3FF"/>
    <w:rsid w:val="23438F0A"/>
    <w:rsid w:val="2358146F"/>
    <w:rsid w:val="27318452"/>
    <w:rsid w:val="2C6516C5"/>
    <w:rsid w:val="2D3C9F19"/>
    <w:rsid w:val="2E3BCB0D"/>
    <w:rsid w:val="2EC1BA69"/>
    <w:rsid w:val="46DE5C62"/>
    <w:rsid w:val="4B173A65"/>
    <w:rsid w:val="4C6EA496"/>
    <w:rsid w:val="4F44C5CD"/>
    <w:rsid w:val="5824F410"/>
    <w:rsid w:val="587199F6"/>
    <w:rsid w:val="5EDB9ECE"/>
    <w:rsid w:val="6732912A"/>
    <w:rsid w:val="692EF3B6"/>
    <w:rsid w:val="6C63B393"/>
    <w:rsid w:val="6F770862"/>
    <w:rsid w:val="7394746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925FAAEB-ED7B-4552-ADD8-8266F0100D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2"/>
    <w:qFormat/>
    <w:rsid w:val="00FC6F56"/>
    <w:pPr>
      <w:numPr>
        <w:numId w:val="2"/>
      </w:numPr>
    </w:pPr>
  </w:style>
  <w:style w:type="paragraph" w:customStyle="1" w:styleId="Numberbullet2">
    <w:name w:val="Number bullet 2"/>
    <w:basedOn w:val="ListBullet2"/>
    <w:uiPriority w:val="2"/>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5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rsid w:val="00F02AEC"/>
    <w:pPr>
      <w:numPr>
        <w:numId w:val="5"/>
      </w:numPr>
      <w:tabs>
        <w:tab w:val="left" w:pos="425"/>
      </w:tabs>
    </w:pPr>
  </w:style>
  <w:style w:type="paragraph" w:customStyle="1" w:styleId="ListBullet-donotcross">
    <w:name w:val="List Bullet - do not (cross)"/>
    <w:basedOn w:val="ListBullet"/>
    <w:autoRedefine/>
    <w:uiPriority w:val="1"/>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5B69CF"/>
    <w:rPr>
      <w:color w:val="000000" w:themeColor="text1"/>
      <w:sz w:val="22"/>
      <w:lang w:val="en-GB"/>
    </w:rPr>
  </w:style>
  <w:style w:type="paragraph" w:customStyle="1" w:styleId="FigureTitle">
    <w:name w:val="Figure Title"/>
    <w:basedOn w:val="Normal"/>
    <w:qFormat/>
    <w:rsid w:val="00AB0613"/>
    <w:pPr>
      <w:keepNext/>
    </w:pPr>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10558A"/>
    <w:pPr>
      <w:spacing w:before="120"/>
    </w:pPr>
    <w:rPr>
      <w:b w:val="0"/>
      <w:sz w:val="19"/>
    </w:rPr>
  </w:style>
  <w:style w:type="paragraph" w:styleId="ListParagraph">
    <w:name w:val="List Paragraph"/>
    <w:basedOn w:val="Normal"/>
    <w:link w:val="ListParagraphChar"/>
    <w:uiPriority w:val="34"/>
    <w:qFormat/>
    <w:rsid w:val="006B7126"/>
    <w:pPr>
      <w:spacing w:after="160"/>
      <w:ind w:left="720"/>
      <w:contextualSpacing/>
    </w:pPr>
    <w:rPr>
      <w:rFonts w:ascii="Times New Roman" w:hAnsi="Times New Roman" w:cs="Times New Roman"/>
      <w:sz w:val="24"/>
      <w:szCs w:val="24"/>
    </w:rPr>
  </w:style>
  <w:style w:type="character" w:customStyle="1" w:styleId="ListParagraphChar">
    <w:name w:val="List Paragraph Char"/>
    <w:basedOn w:val="DefaultParagraphFont"/>
    <w:link w:val="ListParagraph"/>
    <w:uiPriority w:val="34"/>
    <w:locked/>
    <w:rsid w:val="006B7126"/>
    <w:rPr>
      <w:rFonts w:ascii="Times New Roman" w:hAnsi="Times New Roman" w:cs="Times New Roman"/>
      <w:sz w:val="24"/>
      <w:szCs w:val="24"/>
    </w:rPr>
  </w:style>
  <w:style w:type="paragraph" w:customStyle="1" w:styleId="Indication">
    <w:name w:val="Indication"/>
    <w:basedOn w:val="Normal"/>
    <w:next w:val="Normal"/>
    <w:qFormat/>
    <w:rsid w:val="00BA3F6D"/>
    <w:pPr>
      <w:spacing w:before="120" w:line="240" w:lineRule="atLeast"/>
      <w:ind w:left="720"/>
      <w:contextualSpacing/>
    </w:pPr>
    <w:rPr>
      <w:i/>
      <w:color w:val="000000" w:themeColor="text1"/>
    </w:rPr>
  </w:style>
  <w:style w:type="paragraph" w:customStyle="1" w:styleId="DelegatesQuestions">
    <w:name w:val="Delegate's Questions"/>
    <w:basedOn w:val="Numberbullet0"/>
    <w:qFormat/>
    <w:rsid w:val="007575D0"/>
    <w:rPr>
      <w:b/>
      <w:bCs/>
      <w:i/>
      <w:iCs/>
    </w:rPr>
  </w:style>
  <w:style w:type="paragraph" w:styleId="Bibliography">
    <w:name w:val="Bibliography"/>
    <w:basedOn w:val="Normal"/>
    <w:next w:val="Normal"/>
    <w:uiPriority w:val="37"/>
    <w:unhideWhenUsed/>
    <w:rsid w:val="00911921"/>
    <w:pPr>
      <w:spacing w:before="120" w:line="240" w:lineRule="atLeast"/>
    </w:pPr>
    <w:rPr>
      <w:rFonts w:eastAsia="Cambria" w:cs="Times New Roman"/>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012953972">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2092048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tga.gov.au/australian-public-assessment-report-auspar-guidance" TargetMode="External"/><Relationship Id="rId26" Type="http://schemas.openxmlformats.org/officeDocument/2006/relationships/image" Target="media/image4.png"/><Relationship Id="rId39" Type="http://schemas.openxmlformats.org/officeDocument/2006/relationships/image" Target="media/image17.png"/><Relationship Id="rId21" Type="http://schemas.openxmlformats.org/officeDocument/2006/relationships/hyperlink" Target="https://www.tga.gov.au/products/medicines/find-information-about-medicine/prescribing-medicines-pregnancy-database" TargetMode="External"/><Relationship Id="rId34" Type="http://schemas.openxmlformats.org/officeDocument/2006/relationships/image" Target="media/image12.png"/><Relationship Id="rId42" Type="http://schemas.openxmlformats.org/officeDocument/2006/relationships/image" Target="media/image20.png"/><Relationship Id="rId47" Type="http://schemas.openxmlformats.org/officeDocument/2006/relationships/hyperlink" Target="https://www.tga.gov.au/form/certified-product-details-cpd-biological-prescription-medicines" TargetMode="External"/><Relationship Id="rId50" Type="http://schemas.openxmlformats.org/officeDocument/2006/relationships/hyperlink" Target="https://www.ebs.tga.gov.au/" TargetMode="External"/><Relationship Id="rId55" Type="http://schemas.openxmlformats.org/officeDocument/2006/relationships/hyperlink" Target="mailto:info@tga.gov.au"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tga.gov.au/black-triangle-scheme" TargetMode="External"/><Relationship Id="rId29" Type="http://schemas.openxmlformats.org/officeDocument/2006/relationships/image" Target="media/image7.png"/><Relationship Id="rId41" Type="http://schemas.openxmlformats.org/officeDocument/2006/relationships/image" Target="media/image19.png"/><Relationship Id="rId54" Type="http://schemas.openxmlformats.org/officeDocument/2006/relationships/header" Target="header6.xm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s://www.tga.gov.au/resources/publication/publications/priority-registration-process"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hyperlink" Target="https://www.tga.gov.au/committee/advisory-committee-medicines-acm" TargetMode="External"/><Relationship Id="rId53" Type="http://schemas.openxmlformats.org/officeDocument/2006/relationships/footer" Target="footer4.xml"/><Relationship Id="rId58"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s://www.tga.gov.au/australia-canada-singapore-switzerland-united-kingdom-access-consortium"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hyperlink" Target="mailto:Biochemistry.Testing@tga.gov.au" TargetMode="External"/><Relationship Id="rId57" Type="http://schemas.openxmlformats.org/officeDocument/2006/relationships/header" Target="header7.xml"/><Relationship Id="rId61"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tga.copyright@tga.gov.au" TargetMode="External"/><Relationship Id="rId31" Type="http://schemas.openxmlformats.org/officeDocument/2006/relationships/image" Target="media/image9.png"/><Relationship Id="rId44" Type="http://schemas.openxmlformats.org/officeDocument/2006/relationships/image" Target="media/image22.png"/><Relationship Id="rId52" Type="http://schemas.openxmlformats.org/officeDocument/2006/relationships/header" Target="header5.xml"/><Relationship Id="rId60"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obstetric-drug-information-services"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image" Target="media/image21.png"/><Relationship Id="rId48" Type="http://schemas.openxmlformats.org/officeDocument/2006/relationships/hyperlink" Target="https://www.tga.gov.au/guidance-7-certified-product-details" TargetMode="External"/><Relationship Id="rId56" Type="http://schemas.openxmlformats.org/officeDocument/2006/relationships/hyperlink" Target="https://www.tga.gov.au" TargetMode="External"/><Relationship Id="rId8" Type="http://schemas.openxmlformats.org/officeDocument/2006/relationships/webSettings" Target="webSettings.xml"/><Relationship Id="rId51"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tga.gov.au/" TargetMode="External"/><Relationship Id="rId25" Type="http://schemas.openxmlformats.org/officeDocument/2006/relationships/hyperlink" Target="https://www.tga.gov.au/resources/resource/guidance/orphan-drug-designation" TargetMode="Externa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hyperlink" Target="https://www.tga.gov.au/resources/laboratory-test-results" TargetMode="External"/><Relationship Id="rId59"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s://www.tga.gov.au/resources/resource/international-scientific-guidelines/ich-topic-e1-population-exposure-extent-population-exposure-assess-clinical-safety" TargetMode="External"/></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8e007dd-a2ae-40d7-a15a-7fdace1322ad">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TaxCatchAll xmlns="2da0982e-0f9d-4525-92cd-42452a6082d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b:Source>
    <b:Tag>MHu221</b:Tag>
    <b:SourceType>JournalArticle</b:SourceType>
    <b:Guid>{75C71599-2C6E-4698-96D1-BDF8312CD94C}</b:Guid>
    <b:Author>
      <b:Author>
        <b:NameList>
          <b:Person>
            <b:Last>Humbert</b:Last>
            <b:First>M</b:First>
          </b:Person>
        </b:NameList>
      </b:Author>
    </b:Author>
    <b:Title>2022 ESC/ERS Guidelines for the diagnosis and treatment of pulmonary hypertension</b:Title>
    <b:JournalName>Eur Respir J</b:JournalName>
    <b:Year>2022</b:Year>
    <b:Pages>1-141</b:Pages>
    <b:RefOrder>1</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BEAAFF769D30864DB32681B6C11085F2" ma:contentTypeVersion="18" ma:contentTypeDescription="Create a new document." ma:contentTypeScope="" ma:versionID="025f1ee4ea5be2ce613d61b5f5107657">
  <xsd:schema xmlns:xsd="http://www.w3.org/2001/XMLSchema" xmlns:xs="http://www.w3.org/2001/XMLSchema" xmlns:p="http://schemas.microsoft.com/office/2006/metadata/properties" xmlns:ns1="http://schemas.microsoft.com/sharepoint/v3" xmlns:ns2="f8e007dd-a2ae-40d7-a15a-7fdace1322ad" xmlns:ns3="2da0982e-0f9d-4525-92cd-42452a6082d6" targetNamespace="http://schemas.microsoft.com/office/2006/metadata/properties" ma:root="true" ma:fieldsID="24da4ffc4b302843004e1acfe981934c" ns1:_="" ns2:_="" ns3:_="">
    <xsd:import namespace="http://schemas.microsoft.com/sharepoint/v3"/>
    <xsd:import namespace="f8e007dd-a2ae-40d7-a15a-7fdace1322ad"/>
    <xsd:import namespace="2da0982e-0f9d-4525-92cd-42452a6082d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e007dd-a2ae-40d7-a15a-7fdace1322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f5e642b-91f5-4888-b018-43334a040d0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da0982e-0f9d-4525-92cd-42452a6082d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71799cf-d436-4cd4-96e9-e358e7e3c8be}" ma:internalName="TaxCatchAll" ma:showField="CatchAllData" ma:web="2da0982e-0f9d-4525-92cd-42452a6082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F902B7A-962A-47CB-AC35-C34D8451CEB8}">
  <ds:schemaRefs>
    <ds:schemaRef ds:uri="http://schemas.microsoft.com/office/2006/metadata/properties"/>
    <ds:schemaRef ds:uri="http://schemas.microsoft.com/office/infopath/2007/PartnerControls"/>
    <ds:schemaRef ds:uri="f8e007dd-a2ae-40d7-a15a-7fdace1322ad"/>
    <ds:schemaRef ds:uri="http://schemas.microsoft.com/sharepoint/v3"/>
    <ds:schemaRef ds:uri="2da0982e-0f9d-4525-92cd-42452a6082d6"/>
  </ds:schemaRefs>
</ds:datastoreItem>
</file>

<file path=customXml/itemProps2.xml><?xml version="1.0" encoding="utf-8"?>
<ds:datastoreItem xmlns:ds="http://schemas.openxmlformats.org/officeDocument/2006/customXml" ds:itemID="{7F6F72E5-20EE-4C43-AF36-20E02A73DDFA}">
  <ds:schemaRefs>
    <ds:schemaRef ds:uri="http://schemas.microsoft.com/sharepoint/v3/contenttype/forms"/>
  </ds:schemaRefs>
</ds:datastoreItem>
</file>

<file path=customXml/itemProps3.xml><?xml version="1.0" encoding="utf-8"?>
<ds:datastoreItem xmlns:ds="http://schemas.openxmlformats.org/officeDocument/2006/customXml" ds:itemID="{035690F5-2FC6-4AF0-BD1B-E21B4130906E}">
  <ds:schemaRefs>
    <ds:schemaRef ds:uri="http://schemas.openxmlformats.org/officeDocument/2006/bibliography"/>
  </ds:schemaRefs>
</ds:datastoreItem>
</file>

<file path=customXml/itemProps4.xml><?xml version="1.0" encoding="utf-8"?>
<ds:datastoreItem xmlns:ds="http://schemas.openxmlformats.org/officeDocument/2006/customXml" ds:itemID="{2EB6766D-D3F9-4924-9852-C39498970E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f8e007dd-a2ae-40d7-a15a-7fdace1322ad"/>
    <ds:schemaRef ds:uri="2da0982e-0f9d-4525-92cd-42452a6082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45</Pages>
  <Words>15876</Words>
  <Characters>90340</Characters>
  <Application>Microsoft Office Word</Application>
  <DocSecurity>0</DocSecurity>
  <Lines>1704</Lines>
  <Paragraphs>810</Paragraphs>
  <ScaleCrop>false</ScaleCrop>
  <HeadingPairs>
    <vt:vector size="2" baseType="variant">
      <vt:variant>
        <vt:lpstr>Title</vt:lpstr>
      </vt:variant>
      <vt:variant>
        <vt:i4>1</vt:i4>
      </vt:variant>
    </vt:vector>
  </HeadingPairs>
  <TitlesOfParts>
    <vt:vector size="1" baseType="lpstr">
      <vt:lpstr/>
    </vt:vector>
  </TitlesOfParts>
  <Company>Department of Health, Disability and Ageing</Company>
  <LinksUpToDate>false</LinksUpToDate>
  <CharactersWithSpaces>105406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Winrevair</dc:title>
  <dc:subject>Prescription medicines</dc:subject>
  <dc:creator>Therapeutic Goods Administration</dc:creator>
  <cp:keywords/>
  <dc:description/>
  <cp:lastModifiedBy>MANNY, Kristy</cp:lastModifiedBy>
  <cp:revision>12</cp:revision>
  <cp:lastPrinted>2025-08-22T00:27:00Z</cp:lastPrinted>
  <dcterms:created xsi:type="dcterms:W3CDTF">2025-08-19T02:54:00Z</dcterms:created>
  <dcterms:modified xsi:type="dcterms:W3CDTF">2025-08-22T00:27:00Z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81acc0d-dcc4-4dc9-a2c5-be70b05a2fe6_Enabled">
    <vt:lpwstr>true</vt:lpwstr>
  </property>
  <property fmtid="{D5CDD505-2E9C-101B-9397-08002B2CF9AE}" pid="3" name="MSIP_Label_e81acc0d-dcc4-4dc9-a2c5-be70b05a2fe6_SetDate">
    <vt:lpwstr>2025-08-08T16:41:57Z</vt:lpwstr>
  </property>
  <property fmtid="{D5CDD505-2E9C-101B-9397-08002B2CF9AE}" pid="4" name="MSIP_Label_e81acc0d-dcc4-4dc9-a2c5-be70b05a2fe6_Method">
    <vt:lpwstr>Privileged</vt:lpwstr>
  </property>
  <property fmtid="{D5CDD505-2E9C-101B-9397-08002B2CF9AE}" pid="5" name="MSIP_Label_e81acc0d-dcc4-4dc9-a2c5-be70b05a2fe6_Name">
    <vt:lpwstr>e81acc0d-dcc4-4dc9-a2c5-be70b05a2fe6</vt:lpwstr>
  </property>
  <property fmtid="{D5CDD505-2E9C-101B-9397-08002B2CF9AE}" pid="6" name="MSIP_Label_e81acc0d-dcc4-4dc9-a2c5-be70b05a2fe6_SiteId">
    <vt:lpwstr>a00de4ec-48a8-43a6-be74-e31274e2060d</vt:lpwstr>
  </property>
  <property fmtid="{D5CDD505-2E9C-101B-9397-08002B2CF9AE}" pid="7" name="MSIP_Label_e81acc0d-dcc4-4dc9-a2c5-be70b05a2fe6_ActionId">
    <vt:lpwstr>df4571b9-628b-47ac-ba25-b0ba38f15678</vt:lpwstr>
  </property>
  <property fmtid="{D5CDD505-2E9C-101B-9397-08002B2CF9AE}" pid="8" name="MSIP_Label_e81acc0d-dcc4-4dc9-a2c5-be70b05a2fe6_ContentBits">
    <vt:lpwstr>0</vt:lpwstr>
  </property>
  <property fmtid="{D5CDD505-2E9C-101B-9397-08002B2CF9AE}" pid="9" name="MSIP_Label_e81acc0d-dcc4-4dc9-a2c5-be70b05a2fe6_Tag">
    <vt:lpwstr>10, 0, 1, 1</vt:lpwstr>
  </property>
  <property fmtid="{D5CDD505-2E9C-101B-9397-08002B2CF9AE}" pid="10" name="_AdHocReviewCycleID">
    <vt:i4>-960082885</vt:i4>
  </property>
  <property fmtid="{D5CDD505-2E9C-101B-9397-08002B2CF9AE}" pid="11" name="_NewReviewCycle">
    <vt:lpwstr/>
  </property>
  <property fmtid="{D5CDD505-2E9C-101B-9397-08002B2CF9AE}" pid="12" name="ContentTypeId">
    <vt:lpwstr>0x010100BEAAFF769D30864DB32681B6C11085F2</vt:lpwstr>
  </property>
  <property fmtid="{D5CDD505-2E9C-101B-9397-08002B2CF9AE}" pid="13" name="MediaServiceImageTags">
    <vt:lpwstr/>
  </property>
  <property fmtid="{D5CDD505-2E9C-101B-9397-08002B2CF9AE}" pid="14" name="_EmailSubject">
    <vt:lpwstr>For your review: DRAFT AusPAR - WINREVAIR - sotatercept - Merck Sharp &amp; Dohme (Australia) Pty Ltd - PM-2024-00043-1-3 [SEC=OFFICIAL]</vt:lpwstr>
  </property>
  <property fmtid="{D5CDD505-2E9C-101B-9397-08002B2CF9AE}" pid="15" name="_AuthorEmail">
    <vt:lpwstr>aujoni.mauro@msd.com</vt:lpwstr>
  </property>
  <property fmtid="{D5CDD505-2E9C-101B-9397-08002B2CF9AE}" pid="16" name="_AuthorEmailDisplayName">
    <vt:lpwstr>Mauro, Aujoni</vt:lpwstr>
  </property>
  <property fmtid="{D5CDD505-2E9C-101B-9397-08002B2CF9AE}" pid="17" name="_PreviousAdHocReviewCycleID">
    <vt:i4>1213202101</vt:i4>
  </property>
  <property fmtid="{D5CDD505-2E9C-101B-9397-08002B2CF9AE}" pid="18" name="_ReviewingToolsShownOnce">
    <vt:lpwstr/>
  </property>
</Properties>
</file>