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76DDF23" w:rsidR="00F02AEC" w:rsidRPr="002A6929" w:rsidRDefault="00346EC2" w:rsidP="007452E8">
            <w:pPr>
              <w:pStyle w:val="Title"/>
              <w:rPr>
                <w:caps/>
              </w:rPr>
            </w:pPr>
            <w:r w:rsidRPr="00346EC2">
              <w:t>Australian Public Assessment Report for</w:t>
            </w:r>
            <w:r w:rsidR="0007415A">
              <w:t xml:space="preserve"> Tyruko</w:t>
            </w:r>
          </w:p>
        </w:tc>
      </w:tr>
      <w:tr w:rsidR="00F02AEC" w:rsidRPr="00215D48" w14:paraId="318A40A3" w14:textId="77777777" w:rsidTr="00346EC2">
        <w:trPr>
          <w:trHeight w:val="995"/>
        </w:trPr>
        <w:tc>
          <w:tcPr>
            <w:tcW w:w="8720" w:type="dxa"/>
          </w:tcPr>
          <w:p w14:paraId="1AA7C701" w14:textId="34CA49D9" w:rsidR="00F02AEC" w:rsidRPr="00215D48" w:rsidRDefault="00346EC2" w:rsidP="007452E8">
            <w:pPr>
              <w:pStyle w:val="Subtitle"/>
              <w:ind w:left="0"/>
            </w:pPr>
            <w:r w:rsidRPr="00346EC2">
              <w:t>Active ingredient/s:</w:t>
            </w:r>
            <w:r w:rsidR="00A01332">
              <w:t xml:space="preserve"> n</w:t>
            </w:r>
            <w:r w:rsidR="00A01332" w:rsidRPr="00A01332">
              <w:t>atalizumab</w:t>
            </w:r>
          </w:p>
        </w:tc>
      </w:tr>
      <w:tr w:rsidR="00346EC2" w:rsidRPr="00215D48" w14:paraId="362CCAE4" w14:textId="77777777" w:rsidTr="007452E8">
        <w:trPr>
          <w:trHeight w:val="1916"/>
        </w:trPr>
        <w:tc>
          <w:tcPr>
            <w:tcW w:w="8720" w:type="dxa"/>
          </w:tcPr>
          <w:p w14:paraId="709C45C0" w14:textId="637CB593" w:rsidR="00346EC2" w:rsidRPr="00215D48" w:rsidRDefault="00346EC2" w:rsidP="007452E8">
            <w:pPr>
              <w:pStyle w:val="Subtitle"/>
              <w:ind w:left="0"/>
            </w:pPr>
            <w:r w:rsidRPr="00346EC2">
              <w:t xml:space="preserve">Sponsor: </w:t>
            </w:r>
            <w:bookmarkStart w:id="0" w:name="_Hlk204677657"/>
            <w:r w:rsidR="00236665" w:rsidRPr="00236665">
              <w:t>Sandoz Pty Ltd</w:t>
            </w:r>
            <w:bookmarkEnd w:id="0"/>
          </w:p>
        </w:tc>
      </w:tr>
      <w:tr w:rsidR="00F02AEC" w:rsidRPr="00215D48" w14:paraId="37F2AA1F" w14:textId="77777777" w:rsidTr="007452E8">
        <w:tc>
          <w:tcPr>
            <w:tcW w:w="8720" w:type="dxa"/>
          </w:tcPr>
          <w:p w14:paraId="1FDE8DCD" w14:textId="7F5419D2" w:rsidR="00F02AEC" w:rsidRPr="00215D48" w:rsidRDefault="009622C3" w:rsidP="007452E8">
            <w:pPr>
              <w:pStyle w:val="Date"/>
            </w:pPr>
            <w:r>
              <w:t>August</w:t>
            </w:r>
            <w:r w:rsidR="00236665">
              <w:t xml:space="preserv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74F964AE"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536BB13A"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37F2D233"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Content>
        <w:p w14:paraId="0A6ADA2B" w14:textId="77777777" w:rsidR="00F02AEC" w:rsidRPr="00215D48" w:rsidRDefault="00F02AEC" w:rsidP="007452E8">
          <w:pPr>
            <w:pStyle w:val="NonTOCheading2"/>
          </w:pPr>
          <w:r w:rsidRPr="00215D48">
            <w:t>Contents</w:t>
          </w:r>
        </w:p>
        <w:p w14:paraId="51DF1B8D" w14:textId="6134D8E9" w:rsidR="002A6929"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5908874" w:history="1">
            <w:r w:rsidR="002A6929" w:rsidRPr="00D50503">
              <w:rPr>
                <w:rStyle w:val="Hyperlink"/>
                <w:noProof/>
              </w:rPr>
              <w:t>List of abbreviations</w:t>
            </w:r>
            <w:r w:rsidR="002A6929">
              <w:rPr>
                <w:noProof/>
                <w:webHidden/>
              </w:rPr>
              <w:tab/>
            </w:r>
            <w:r w:rsidR="002A6929">
              <w:rPr>
                <w:noProof/>
                <w:webHidden/>
              </w:rPr>
              <w:fldChar w:fldCharType="begin"/>
            </w:r>
            <w:r w:rsidR="002A6929">
              <w:rPr>
                <w:noProof/>
                <w:webHidden/>
              </w:rPr>
              <w:instrText xml:space="preserve"> PAGEREF _Toc205908874 \h </w:instrText>
            </w:r>
            <w:r w:rsidR="002A6929">
              <w:rPr>
                <w:noProof/>
                <w:webHidden/>
              </w:rPr>
            </w:r>
            <w:r w:rsidR="002A6929">
              <w:rPr>
                <w:noProof/>
                <w:webHidden/>
              </w:rPr>
              <w:fldChar w:fldCharType="separate"/>
            </w:r>
            <w:r w:rsidR="007956BC">
              <w:rPr>
                <w:noProof/>
                <w:webHidden/>
              </w:rPr>
              <w:t>4</w:t>
            </w:r>
            <w:r w:rsidR="002A6929">
              <w:rPr>
                <w:noProof/>
                <w:webHidden/>
              </w:rPr>
              <w:fldChar w:fldCharType="end"/>
            </w:r>
          </w:hyperlink>
        </w:p>
        <w:p w14:paraId="7730BF0B" w14:textId="1507DEDD" w:rsidR="002A6929" w:rsidRDefault="002A692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908875" w:history="1">
            <w:r w:rsidRPr="00D50503">
              <w:rPr>
                <w:rStyle w:val="Hyperlink"/>
                <w:noProof/>
              </w:rPr>
              <w:t>Product submission</w:t>
            </w:r>
            <w:r>
              <w:rPr>
                <w:noProof/>
                <w:webHidden/>
              </w:rPr>
              <w:tab/>
            </w:r>
            <w:r>
              <w:rPr>
                <w:noProof/>
                <w:webHidden/>
              </w:rPr>
              <w:fldChar w:fldCharType="begin"/>
            </w:r>
            <w:r>
              <w:rPr>
                <w:noProof/>
                <w:webHidden/>
              </w:rPr>
              <w:instrText xml:space="preserve"> PAGEREF _Toc205908875 \h </w:instrText>
            </w:r>
            <w:r>
              <w:rPr>
                <w:noProof/>
                <w:webHidden/>
              </w:rPr>
            </w:r>
            <w:r>
              <w:rPr>
                <w:noProof/>
                <w:webHidden/>
              </w:rPr>
              <w:fldChar w:fldCharType="separate"/>
            </w:r>
            <w:r w:rsidR="007956BC">
              <w:rPr>
                <w:noProof/>
                <w:webHidden/>
              </w:rPr>
              <w:t>6</w:t>
            </w:r>
            <w:r>
              <w:rPr>
                <w:noProof/>
                <w:webHidden/>
              </w:rPr>
              <w:fldChar w:fldCharType="end"/>
            </w:r>
          </w:hyperlink>
        </w:p>
        <w:p w14:paraId="241E0C7F" w14:textId="3B66EB55" w:rsidR="002A6929" w:rsidRDefault="002A69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908876" w:history="1">
            <w:r w:rsidRPr="00D50503">
              <w:rPr>
                <w:rStyle w:val="Hyperlink"/>
                <w:noProof/>
                <w:lang w:eastAsia="en-AU"/>
              </w:rPr>
              <w:t>Submission details</w:t>
            </w:r>
            <w:r>
              <w:rPr>
                <w:noProof/>
                <w:webHidden/>
              </w:rPr>
              <w:tab/>
            </w:r>
            <w:r>
              <w:rPr>
                <w:noProof/>
                <w:webHidden/>
              </w:rPr>
              <w:fldChar w:fldCharType="begin"/>
            </w:r>
            <w:r>
              <w:rPr>
                <w:noProof/>
                <w:webHidden/>
              </w:rPr>
              <w:instrText xml:space="preserve"> PAGEREF _Toc205908876 \h </w:instrText>
            </w:r>
            <w:r>
              <w:rPr>
                <w:noProof/>
                <w:webHidden/>
              </w:rPr>
            </w:r>
            <w:r>
              <w:rPr>
                <w:noProof/>
                <w:webHidden/>
              </w:rPr>
              <w:fldChar w:fldCharType="separate"/>
            </w:r>
            <w:r w:rsidR="007956BC">
              <w:rPr>
                <w:noProof/>
                <w:webHidden/>
              </w:rPr>
              <w:t>6</w:t>
            </w:r>
            <w:r>
              <w:rPr>
                <w:noProof/>
                <w:webHidden/>
              </w:rPr>
              <w:fldChar w:fldCharType="end"/>
            </w:r>
          </w:hyperlink>
        </w:p>
        <w:p w14:paraId="2FD23596" w14:textId="32FFD149" w:rsidR="002A6929" w:rsidRDefault="002A69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908877" w:history="1">
            <w:r w:rsidRPr="00D50503">
              <w:rPr>
                <w:rStyle w:val="Hyperlink"/>
                <w:noProof/>
              </w:rPr>
              <w:t>Product background</w:t>
            </w:r>
            <w:r>
              <w:rPr>
                <w:noProof/>
                <w:webHidden/>
              </w:rPr>
              <w:tab/>
            </w:r>
            <w:r>
              <w:rPr>
                <w:noProof/>
                <w:webHidden/>
              </w:rPr>
              <w:fldChar w:fldCharType="begin"/>
            </w:r>
            <w:r>
              <w:rPr>
                <w:noProof/>
                <w:webHidden/>
              </w:rPr>
              <w:instrText xml:space="preserve"> PAGEREF _Toc205908877 \h </w:instrText>
            </w:r>
            <w:r>
              <w:rPr>
                <w:noProof/>
                <w:webHidden/>
              </w:rPr>
            </w:r>
            <w:r>
              <w:rPr>
                <w:noProof/>
                <w:webHidden/>
              </w:rPr>
              <w:fldChar w:fldCharType="separate"/>
            </w:r>
            <w:r w:rsidR="007956BC">
              <w:rPr>
                <w:noProof/>
                <w:webHidden/>
              </w:rPr>
              <w:t>7</w:t>
            </w:r>
            <w:r>
              <w:rPr>
                <w:noProof/>
                <w:webHidden/>
              </w:rPr>
              <w:fldChar w:fldCharType="end"/>
            </w:r>
          </w:hyperlink>
        </w:p>
        <w:p w14:paraId="2E5E7FFA" w14:textId="508A259D"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78" w:history="1">
            <w:r w:rsidRPr="00D50503">
              <w:rPr>
                <w:rStyle w:val="Hyperlink"/>
                <w:noProof/>
              </w:rPr>
              <w:t>The disease</w:t>
            </w:r>
            <w:r>
              <w:rPr>
                <w:noProof/>
                <w:webHidden/>
              </w:rPr>
              <w:tab/>
            </w:r>
            <w:r>
              <w:rPr>
                <w:noProof/>
                <w:webHidden/>
              </w:rPr>
              <w:fldChar w:fldCharType="begin"/>
            </w:r>
            <w:r>
              <w:rPr>
                <w:noProof/>
                <w:webHidden/>
              </w:rPr>
              <w:instrText xml:space="preserve"> PAGEREF _Toc205908878 \h </w:instrText>
            </w:r>
            <w:r>
              <w:rPr>
                <w:noProof/>
                <w:webHidden/>
              </w:rPr>
            </w:r>
            <w:r>
              <w:rPr>
                <w:noProof/>
                <w:webHidden/>
              </w:rPr>
              <w:fldChar w:fldCharType="separate"/>
            </w:r>
            <w:r w:rsidR="007956BC">
              <w:rPr>
                <w:noProof/>
                <w:webHidden/>
              </w:rPr>
              <w:t>7</w:t>
            </w:r>
            <w:r>
              <w:rPr>
                <w:noProof/>
                <w:webHidden/>
              </w:rPr>
              <w:fldChar w:fldCharType="end"/>
            </w:r>
          </w:hyperlink>
        </w:p>
        <w:p w14:paraId="7A607468" w14:textId="31BB1811"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79" w:history="1">
            <w:r w:rsidRPr="00D50503">
              <w:rPr>
                <w:rStyle w:val="Hyperlink"/>
                <w:noProof/>
              </w:rPr>
              <w:t>Current treatment options</w:t>
            </w:r>
            <w:r>
              <w:rPr>
                <w:noProof/>
                <w:webHidden/>
              </w:rPr>
              <w:tab/>
            </w:r>
            <w:r>
              <w:rPr>
                <w:noProof/>
                <w:webHidden/>
              </w:rPr>
              <w:fldChar w:fldCharType="begin"/>
            </w:r>
            <w:r>
              <w:rPr>
                <w:noProof/>
                <w:webHidden/>
              </w:rPr>
              <w:instrText xml:space="preserve"> PAGEREF _Toc205908879 \h </w:instrText>
            </w:r>
            <w:r>
              <w:rPr>
                <w:noProof/>
                <w:webHidden/>
              </w:rPr>
            </w:r>
            <w:r>
              <w:rPr>
                <w:noProof/>
                <w:webHidden/>
              </w:rPr>
              <w:fldChar w:fldCharType="separate"/>
            </w:r>
            <w:r w:rsidR="007956BC">
              <w:rPr>
                <w:noProof/>
                <w:webHidden/>
              </w:rPr>
              <w:t>8</w:t>
            </w:r>
            <w:r>
              <w:rPr>
                <w:noProof/>
                <w:webHidden/>
              </w:rPr>
              <w:fldChar w:fldCharType="end"/>
            </w:r>
          </w:hyperlink>
        </w:p>
        <w:p w14:paraId="615EAAC5" w14:textId="4B61E867"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80" w:history="1">
            <w:r w:rsidRPr="00D50503">
              <w:rPr>
                <w:rStyle w:val="Hyperlink"/>
                <w:noProof/>
              </w:rPr>
              <w:t>Clinical rationale</w:t>
            </w:r>
            <w:r>
              <w:rPr>
                <w:noProof/>
                <w:webHidden/>
              </w:rPr>
              <w:tab/>
            </w:r>
            <w:r>
              <w:rPr>
                <w:noProof/>
                <w:webHidden/>
              </w:rPr>
              <w:fldChar w:fldCharType="begin"/>
            </w:r>
            <w:r>
              <w:rPr>
                <w:noProof/>
                <w:webHidden/>
              </w:rPr>
              <w:instrText xml:space="preserve"> PAGEREF _Toc205908880 \h </w:instrText>
            </w:r>
            <w:r>
              <w:rPr>
                <w:noProof/>
                <w:webHidden/>
              </w:rPr>
            </w:r>
            <w:r>
              <w:rPr>
                <w:noProof/>
                <w:webHidden/>
              </w:rPr>
              <w:fldChar w:fldCharType="separate"/>
            </w:r>
            <w:r w:rsidR="007956BC">
              <w:rPr>
                <w:noProof/>
                <w:webHidden/>
              </w:rPr>
              <w:t>9</w:t>
            </w:r>
            <w:r>
              <w:rPr>
                <w:noProof/>
                <w:webHidden/>
              </w:rPr>
              <w:fldChar w:fldCharType="end"/>
            </w:r>
          </w:hyperlink>
        </w:p>
        <w:p w14:paraId="07CA447A" w14:textId="393D4CEC" w:rsidR="002A6929" w:rsidRDefault="002A69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908881" w:history="1">
            <w:r w:rsidRPr="00D50503">
              <w:rPr>
                <w:rStyle w:val="Hyperlink"/>
                <w:noProof/>
              </w:rPr>
              <w:t>Regulatory status</w:t>
            </w:r>
            <w:r>
              <w:rPr>
                <w:noProof/>
                <w:webHidden/>
              </w:rPr>
              <w:tab/>
            </w:r>
            <w:r>
              <w:rPr>
                <w:noProof/>
                <w:webHidden/>
              </w:rPr>
              <w:fldChar w:fldCharType="begin"/>
            </w:r>
            <w:r>
              <w:rPr>
                <w:noProof/>
                <w:webHidden/>
              </w:rPr>
              <w:instrText xml:space="preserve"> PAGEREF _Toc205908881 \h </w:instrText>
            </w:r>
            <w:r>
              <w:rPr>
                <w:noProof/>
                <w:webHidden/>
              </w:rPr>
            </w:r>
            <w:r>
              <w:rPr>
                <w:noProof/>
                <w:webHidden/>
              </w:rPr>
              <w:fldChar w:fldCharType="separate"/>
            </w:r>
            <w:r w:rsidR="007956BC">
              <w:rPr>
                <w:noProof/>
                <w:webHidden/>
              </w:rPr>
              <w:t>9</w:t>
            </w:r>
            <w:r>
              <w:rPr>
                <w:noProof/>
                <w:webHidden/>
              </w:rPr>
              <w:fldChar w:fldCharType="end"/>
            </w:r>
          </w:hyperlink>
        </w:p>
        <w:p w14:paraId="75B1A7ED" w14:textId="09B743F5"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82" w:history="1">
            <w:r w:rsidRPr="00D50503">
              <w:rPr>
                <w:rStyle w:val="Hyperlink"/>
                <w:noProof/>
              </w:rPr>
              <w:t>Australian regulatory status</w:t>
            </w:r>
            <w:r>
              <w:rPr>
                <w:noProof/>
                <w:webHidden/>
              </w:rPr>
              <w:tab/>
            </w:r>
            <w:r>
              <w:rPr>
                <w:noProof/>
                <w:webHidden/>
              </w:rPr>
              <w:fldChar w:fldCharType="begin"/>
            </w:r>
            <w:r>
              <w:rPr>
                <w:noProof/>
                <w:webHidden/>
              </w:rPr>
              <w:instrText xml:space="preserve"> PAGEREF _Toc205908882 \h </w:instrText>
            </w:r>
            <w:r>
              <w:rPr>
                <w:noProof/>
                <w:webHidden/>
              </w:rPr>
            </w:r>
            <w:r>
              <w:rPr>
                <w:noProof/>
                <w:webHidden/>
              </w:rPr>
              <w:fldChar w:fldCharType="separate"/>
            </w:r>
            <w:r w:rsidR="007956BC">
              <w:rPr>
                <w:noProof/>
                <w:webHidden/>
              </w:rPr>
              <w:t>9</w:t>
            </w:r>
            <w:r>
              <w:rPr>
                <w:noProof/>
                <w:webHidden/>
              </w:rPr>
              <w:fldChar w:fldCharType="end"/>
            </w:r>
          </w:hyperlink>
        </w:p>
        <w:p w14:paraId="3B84245C" w14:textId="3D5FCF64"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83" w:history="1">
            <w:r w:rsidRPr="00D50503">
              <w:rPr>
                <w:rStyle w:val="Hyperlink"/>
                <w:noProof/>
              </w:rPr>
              <w:t>International regulatory status</w:t>
            </w:r>
            <w:r>
              <w:rPr>
                <w:noProof/>
                <w:webHidden/>
              </w:rPr>
              <w:tab/>
            </w:r>
            <w:r>
              <w:rPr>
                <w:noProof/>
                <w:webHidden/>
              </w:rPr>
              <w:fldChar w:fldCharType="begin"/>
            </w:r>
            <w:r>
              <w:rPr>
                <w:noProof/>
                <w:webHidden/>
              </w:rPr>
              <w:instrText xml:space="preserve"> PAGEREF _Toc205908883 \h </w:instrText>
            </w:r>
            <w:r>
              <w:rPr>
                <w:noProof/>
                <w:webHidden/>
              </w:rPr>
            </w:r>
            <w:r>
              <w:rPr>
                <w:noProof/>
                <w:webHidden/>
              </w:rPr>
              <w:fldChar w:fldCharType="separate"/>
            </w:r>
            <w:r w:rsidR="007956BC">
              <w:rPr>
                <w:noProof/>
                <w:webHidden/>
              </w:rPr>
              <w:t>9</w:t>
            </w:r>
            <w:r>
              <w:rPr>
                <w:noProof/>
                <w:webHidden/>
              </w:rPr>
              <w:fldChar w:fldCharType="end"/>
            </w:r>
          </w:hyperlink>
        </w:p>
        <w:p w14:paraId="5773C19A" w14:textId="6F79F0E6" w:rsidR="002A6929" w:rsidRDefault="002A692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908884" w:history="1">
            <w:r w:rsidRPr="00D50503">
              <w:rPr>
                <w:rStyle w:val="Hyperlink"/>
                <w:noProof/>
              </w:rPr>
              <w:t>Registration timeline</w:t>
            </w:r>
            <w:r>
              <w:rPr>
                <w:noProof/>
                <w:webHidden/>
              </w:rPr>
              <w:tab/>
            </w:r>
            <w:r>
              <w:rPr>
                <w:noProof/>
                <w:webHidden/>
              </w:rPr>
              <w:fldChar w:fldCharType="begin"/>
            </w:r>
            <w:r>
              <w:rPr>
                <w:noProof/>
                <w:webHidden/>
              </w:rPr>
              <w:instrText xml:space="preserve"> PAGEREF _Toc205908884 \h </w:instrText>
            </w:r>
            <w:r>
              <w:rPr>
                <w:noProof/>
                <w:webHidden/>
              </w:rPr>
            </w:r>
            <w:r>
              <w:rPr>
                <w:noProof/>
                <w:webHidden/>
              </w:rPr>
              <w:fldChar w:fldCharType="separate"/>
            </w:r>
            <w:r w:rsidR="007956BC">
              <w:rPr>
                <w:noProof/>
                <w:webHidden/>
              </w:rPr>
              <w:t>10</w:t>
            </w:r>
            <w:r>
              <w:rPr>
                <w:noProof/>
                <w:webHidden/>
              </w:rPr>
              <w:fldChar w:fldCharType="end"/>
            </w:r>
          </w:hyperlink>
        </w:p>
        <w:p w14:paraId="0ED7052B" w14:textId="2261A1D9" w:rsidR="002A6929" w:rsidRDefault="002A692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908885" w:history="1">
            <w:r w:rsidRPr="00D50503">
              <w:rPr>
                <w:rStyle w:val="Hyperlink"/>
                <w:noProof/>
              </w:rPr>
              <w:t>Submission overview and risk/benefit assessment</w:t>
            </w:r>
            <w:r>
              <w:rPr>
                <w:noProof/>
                <w:webHidden/>
              </w:rPr>
              <w:tab/>
            </w:r>
            <w:r>
              <w:rPr>
                <w:noProof/>
                <w:webHidden/>
              </w:rPr>
              <w:fldChar w:fldCharType="begin"/>
            </w:r>
            <w:r>
              <w:rPr>
                <w:noProof/>
                <w:webHidden/>
              </w:rPr>
              <w:instrText xml:space="preserve"> PAGEREF _Toc205908885 \h </w:instrText>
            </w:r>
            <w:r>
              <w:rPr>
                <w:noProof/>
                <w:webHidden/>
              </w:rPr>
            </w:r>
            <w:r>
              <w:rPr>
                <w:noProof/>
                <w:webHidden/>
              </w:rPr>
              <w:fldChar w:fldCharType="separate"/>
            </w:r>
            <w:r w:rsidR="007956BC">
              <w:rPr>
                <w:noProof/>
                <w:webHidden/>
              </w:rPr>
              <w:t>10</w:t>
            </w:r>
            <w:r>
              <w:rPr>
                <w:noProof/>
                <w:webHidden/>
              </w:rPr>
              <w:fldChar w:fldCharType="end"/>
            </w:r>
          </w:hyperlink>
        </w:p>
        <w:p w14:paraId="69EDFC63" w14:textId="66065F14" w:rsidR="002A6929" w:rsidRDefault="002A69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908886" w:history="1">
            <w:r w:rsidRPr="00D50503">
              <w:rPr>
                <w:rStyle w:val="Hyperlink"/>
                <w:noProof/>
              </w:rPr>
              <w:t>Quality</w:t>
            </w:r>
            <w:r>
              <w:rPr>
                <w:noProof/>
                <w:webHidden/>
              </w:rPr>
              <w:tab/>
            </w:r>
            <w:r>
              <w:rPr>
                <w:noProof/>
                <w:webHidden/>
              </w:rPr>
              <w:fldChar w:fldCharType="begin"/>
            </w:r>
            <w:r>
              <w:rPr>
                <w:noProof/>
                <w:webHidden/>
              </w:rPr>
              <w:instrText xml:space="preserve"> PAGEREF _Toc205908886 \h </w:instrText>
            </w:r>
            <w:r>
              <w:rPr>
                <w:noProof/>
                <w:webHidden/>
              </w:rPr>
            </w:r>
            <w:r>
              <w:rPr>
                <w:noProof/>
                <w:webHidden/>
              </w:rPr>
              <w:fldChar w:fldCharType="separate"/>
            </w:r>
            <w:r w:rsidR="007956BC">
              <w:rPr>
                <w:noProof/>
                <w:webHidden/>
              </w:rPr>
              <w:t>11</w:t>
            </w:r>
            <w:r>
              <w:rPr>
                <w:noProof/>
                <w:webHidden/>
              </w:rPr>
              <w:fldChar w:fldCharType="end"/>
            </w:r>
          </w:hyperlink>
        </w:p>
        <w:p w14:paraId="69F863E3" w14:textId="7F1FF072" w:rsidR="002A6929" w:rsidRDefault="002A69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908887" w:history="1">
            <w:r w:rsidRPr="00D50503">
              <w:rPr>
                <w:rStyle w:val="Hyperlink"/>
                <w:noProof/>
              </w:rPr>
              <w:t>Nonclinical</w:t>
            </w:r>
            <w:r>
              <w:rPr>
                <w:noProof/>
                <w:webHidden/>
              </w:rPr>
              <w:tab/>
            </w:r>
            <w:r>
              <w:rPr>
                <w:noProof/>
                <w:webHidden/>
              </w:rPr>
              <w:fldChar w:fldCharType="begin"/>
            </w:r>
            <w:r>
              <w:rPr>
                <w:noProof/>
                <w:webHidden/>
              </w:rPr>
              <w:instrText xml:space="preserve"> PAGEREF _Toc205908887 \h </w:instrText>
            </w:r>
            <w:r>
              <w:rPr>
                <w:noProof/>
                <w:webHidden/>
              </w:rPr>
            </w:r>
            <w:r>
              <w:rPr>
                <w:noProof/>
                <w:webHidden/>
              </w:rPr>
              <w:fldChar w:fldCharType="separate"/>
            </w:r>
            <w:r w:rsidR="007956BC">
              <w:rPr>
                <w:noProof/>
                <w:webHidden/>
              </w:rPr>
              <w:t>12</w:t>
            </w:r>
            <w:r>
              <w:rPr>
                <w:noProof/>
                <w:webHidden/>
              </w:rPr>
              <w:fldChar w:fldCharType="end"/>
            </w:r>
          </w:hyperlink>
        </w:p>
        <w:p w14:paraId="791CFA51" w14:textId="5E3D49B2" w:rsidR="002A6929" w:rsidRDefault="002A69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908888" w:history="1">
            <w:r w:rsidRPr="00D50503">
              <w:rPr>
                <w:rStyle w:val="Hyperlink"/>
                <w:noProof/>
              </w:rPr>
              <w:t>Clinical</w:t>
            </w:r>
            <w:r>
              <w:rPr>
                <w:noProof/>
                <w:webHidden/>
              </w:rPr>
              <w:tab/>
            </w:r>
            <w:r>
              <w:rPr>
                <w:noProof/>
                <w:webHidden/>
              </w:rPr>
              <w:fldChar w:fldCharType="begin"/>
            </w:r>
            <w:r>
              <w:rPr>
                <w:noProof/>
                <w:webHidden/>
              </w:rPr>
              <w:instrText xml:space="preserve"> PAGEREF _Toc205908888 \h </w:instrText>
            </w:r>
            <w:r>
              <w:rPr>
                <w:noProof/>
                <w:webHidden/>
              </w:rPr>
            </w:r>
            <w:r>
              <w:rPr>
                <w:noProof/>
                <w:webHidden/>
              </w:rPr>
              <w:fldChar w:fldCharType="separate"/>
            </w:r>
            <w:r w:rsidR="007956BC">
              <w:rPr>
                <w:noProof/>
                <w:webHidden/>
              </w:rPr>
              <w:t>12</w:t>
            </w:r>
            <w:r>
              <w:rPr>
                <w:noProof/>
                <w:webHidden/>
              </w:rPr>
              <w:fldChar w:fldCharType="end"/>
            </w:r>
          </w:hyperlink>
        </w:p>
        <w:p w14:paraId="67BBE31E" w14:textId="0D572387"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89" w:history="1">
            <w:r w:rsidRPr="00D50503">
              <w:rPr>
                <w:rStyle w:val="Hyperlink"/>
                <w:noProof/>
              </w:rPr>
              <w:t>Summary of clinical studies</w:t>
            </w:r>
            <w:r>
              <w:rPr>
                <w:noProof/>
                <w:webHidden/>
              </w:rPr>
              <w:tab/>
            </w:r>
            <w:r>
              <w:rPr>
                <w:noProof/>
                <w:webHidden/>
              </w:rPr>
              <w:fldChar w:fldCharType="begin"/>
            </w:r>
            <w:r>
              <w:rPr>
                <w:noProof/>
                <w:webHidden/>
              </w:rPr>
              <w:instrText xml:space="preserve"> PAGEREF _Toc205908889 \h </w:instrText>
            </w:r>
            <w:r>
              <w:rPr>
                <w:noProof/>
                <w:webHidden/>
              </w:rPr>
            </w:r>
            <w:r>
              <w:rPr>
                <w:noProof/>
                <w:webHidden/>
              </w:rPr>
              <w:fldChar w:fldCharType="separate"/>
            </w:r>
            <w:r w:rsidR="007956BC">
              <w:rPr>
                <w:noProof/>
                <w:webHidden/>
              </w:rPr>
              <w:t>12</w:t>
            </w:r>
            <w:r>
              <w:rPr>
                <w:noProof/>
                <w:webHidden/>
              </w:rPr>
              <w:fldChar w:fldCharType="end"/>
            </w:r>
          </w:hyperlink>
        </w:p>
        <w:p w14:paraId="2E04F31B" w14:textId="432B8251"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90" w:history="1">
            <w:r w:rsidRPr="00D50503">
              <w:rPr>
                <w:rStyle w:val="Hyperlink"/>
                <w:noProof/>
              </w:rPr>
              <w:t>Pharmacology</w:t>
            </w:r>
            <w:r>
              <w:rPr>
                <w:noProof/>
                <w:webHidden/>
              </w:rPr>
              <w:tab/>
            </w:r>
            <w:r>
              <w:rPr>
                <w:noProof/>
                <w:webHidden/>
              </w:rPr>
              <w:fldChar w:fldCharType="begin"/>
            </w:r>
            <w:r>
              <w:rPr>
                <w:noProof/>
                <w:webHidden/>
              </w:rPr>
              <w:instrText xml:space="preserve"> PAGEREF _Toc205908890 \h </w:instrText>
            </w:r>
            <w:r>
              <w:rPr>
                <w:noProof/>
                <w:webHidden/>
              </w:rPr>
            </w:r>
            <w:r>
              <w:rPr>
                <w:noProof/>
                <w:webHidden/>
              </w:rPr>
              <w:fldChar w:fldCharType="separate"/>
            </w:r>
            <w:r w:rsidR="007956BC">
              <w:rPr>
                <w:noProof/>
                <w:webHidden/>
              </w:rPr>
              <w:t>12</w:t>
            </w:r>
            <w:r>
              <w:rPr>
                <w:noProof/>
                <w:webHidden/>
              </w:rPr>
              <w:fldChar w:fldCharType="end"/>
            </w:r>
          </w:hyperlink>
        </w:p>
        <w:p w14:paraId="0EEF1A4B" w14:textId="050F6408"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91" w:history="1">
            <w:r w:rsidRPr="00D50503">
              <w:rPr>
                <w:rStyle w:val="Hyperlink"/>
                <w:noProof/>
              </w:rPr>
              <w:t>Efficacy</w:t>
            </w:r>
            <w:r>
              <w:rPr>
                <w:noProof/>
                <w:webHidden/>
              </w:rPr>
              <w:tab/>
            </w:r>
            <w:r>
              <w:rPr>
                <w:noProof/>
                <w:webHidden/>
              </w:rPr>
              <w:fldChar w:fldCharType="begin"/>
            </w:r>
            <w:r>
              <w:rPr>
                <w:noProof/>
                <w:webHidden/>
              </w:rPr>
              <w:instrText xml:space="preserve"> PAGEREF _Toc205908891 \h </w:instrText>
            </w:r>
            <w:r>
              <w:rPr>
                <w:noProof/>
                <w:webHidden/>
              </w:rPr>
            </w:r>
            <w:r>
              <w:rPr>
                <w:noProof/>
                <w:webHidden/>
              </w:rPr>
              <w:fldChar w:fldCharType="separate"/>
            </w:r>
            <w:r w:rsidR="007956BC">
              <w:rPr>
                <w:noProof/>
                <w:webHidden/>
              </w:rPr>
              <w:t>15</w:t>
            </w:r>
            <w:r>
              <w:rPr>
                <w:noProof/>
                <w:webHidden/>
              </w:rPr>
              <w:fldChar w:fldCharType="end"/>
            </w:r>
          </w:hyperlink>
        </w:p>
        <w:p w14:paraId="05D06DAA" w14:textId="70D99769"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92" w:history="1">
            <w:r w:rsidRPr="00D50503">
              <w:rPr>
                <w:rStyle w:val="Hyperlink"/>
                <w:noProof/>
              </w:rPr>
              <w:t>Safety</w:t>
            </w:r>
            <w:r>
              <w:rPr>
                <w:noProof/>
                <w:webHidden/>
              </w:rPr>
              <w:tab/>
            </w:r>
            <w:r>
              <w:rPr>
                <w:noProof/>
                <w:webHidden/>
              </w:rPr>
              <w:fldChar w:fldCharType="begin"/>
            </w:r>
            <w:r>
              <w:rPr>
                <w:noProof/>
                <w:webHidden/>
              </w:rPr>
              <w:instrText xml:space="preserve"> PAGEREF _Toc205908892 \h </w:instrText>
            </w:r>
            <w:r>
              <w:rPr>
                <w:noProof/>
                <w:webHidden/>
              </w:rPr>
            </w:r>
            <w:r>
              <w:rPr>
                <w:noProof/>
                <w:webHidden/>
              </w:rPr>
              <w:fldChar w:fldCharType="separate"/>
            </w:r>
            <w:r w:rsidR="007956BC">
              <w:rPr>
                <w:noProof/>
                <w:webHidden/>
              </w:rPr>
              <w:t>18</w:t>
            </w:r>
            <w:r>
              <w:rPr>
                <w:noProof/>
                <w:webHidden/>
              </w:rPr>
              <w:fldChar w:fldCharType="end"/>
            </w:r>
          </w:hyperlink>
        </w:p>
        <w:p w14:paraId="280BD200" w14:textId="1D77E91A" w:rsidR="002A6929" w:rsidRDefault="002A69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908893" w:history="1">
            <w:r w:rsidRPr="00D50503">
              <w:rPr>
                <w:rStyle w:val="Hyperlink"/>
                <w:noProof/>
                <w:lang w:eastAsia="en-AU"/>
              </w:rPr>
              <w:t>Risk management plan</w:t>
            </w:r>
            <w:r>
              <w:rPr>
                <w:noProof/>
                <w:webHidden/>
              </w:rPr>
              <w:tab/>
            </w:r>
            <w:r>
              <w:rPr>
                <w:noProof/>
                <w:webHidden/>
              </w:rPr>
              <w:fldChar w:fldCharType="begin"/>
            </w:r>
            <w:r>
              <w:rPr>
                <w:noProof/>
                <w:webHidden/>
              </w:rPr>
              <w:instrText xml:space="preserve"> PAGEREF _Toc205908893 \h </w:instrText>
            </w:r>
            <w:r>
              <w:rPr>
                <w:noProof/>
                <w:webHidden/>
              </w:rPr>
            </w:r>
            <w:r>
              <w:rPr>
                <w:noProof/>
                <w:webHidden/>
              </w:rPr>
              <w:fldChar w:fldCharType="separate"/>
            </w:r>
            <w:r w:rsidR="007956BC">
              <w:rPr>
                <w:noProof/>
                <w:webHidden/>
              </w:rPr>
              <w:t>22</w:t>
            </w:r>
            <w:r>
              <w:rPr>
                <w:noProof/>
                <w:webHidden/>
              </w:rPr>
              <w:fldChar w:fldCharType="end"/>
            </w:r>
          </w:hyperlink>
        </w:p>
        <w:p w14:paraId="6884092A" w14:textId="6C45069D" w:rsidR="002A6929" w:rsidRDefault="002A69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908894" w:history="1">
            <w:r w:rsidRPr="00D50503">
              <w:rPr>
                <w:rStyle w:val="Hyperlink"/>
                <w:noProof/>
              </w:rPr>
              <w:t>Risk-benefit analysis</w:t>
            </w:r>
            <w:r>
              <w:rPr>
                <w:noProof/>
                <w:webHidden/>
              </w:rPr>
              <w:tab/>
            </w:r>
            <w:r>
              <w:rPr>
                <w:noProof/>
                <w:webHidden/>
              </w:rPr>
              <w:fldChar w:fldCharType="begin"/>
            </w:r>
            <w:r>
              <w:rPr>
                <w:noProof/>
                <w:webHidden/>
              </w:rPr>
              <w:instrText xml:space="preserve"> PAGEREF _Toc205908894 \h </w:instrText>
            </w:r>
            <w:r>
              <w:rPr>
                <w:noProof/>
                <w:webHidden/>
              </w:rPr>
            </w:r>
            <w:r>
              <w:rPr>
                <w:noProof/>
                <w:webHidden/>
              </w:rPr>
              <w:fldChar w:fldCharType="separate"/>
            </w:r>
            <w:r w:rsidR="007956BC">
              <w:rPr>
                <w:noProof/>
                <w:webHidden/>
              </w:rPr>
              <w:t>23</w:t>
            </w:r>
            <w:r>
              <w:rPr>
                <w:noProof/>
                <w:webHidden/>
              </w:rPr>
              <w:fldChar w:fldCharType="end"/>
            </w:r>
          </w:hyperlink>
        </w:p>
        <w:p w14:paraId="2C606ED2" w14:textId="52E56F6C"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95" w:history="1">
            <w:r w:rsidRPr="00D50503">
              <w:rPr>
                <w:rStyle w:val="Hyperlink"/>
                <w:noProof/>
              </w:rPr>
              <w:t>Delegate’s considerations</w:t>
            </w:r>
            <w:r>
              <w:rPr>
                <w:noProof/>
                <w:webHidden/>
              </w:rPr>
              <w:tab/>
            </w:r>
            <w:r>
              <w:rPr>
                <w:noProof/>
                <w:webHidden/>
              </w:rPr>
              <w:fldChar w:fldCharType="begin"/>
            </w:r>
            <w:r>
              <w:rPr>
                <w:noProof/>
                <w:webHidden/>
              </w:rPr>
              <w:instrText xml:space="preserve"> PAGEREF _Toc205908895 \h </w:instrText>
            </w:r>
            <w:r>
              <w:rPr>
                <w:noProof/>
                <w:webHidden/>
              </w:rPr>
            </w:r>
            <w:r>
              <w:rPr>
                <w:noProof/>
                <w:webHidden/>
              </w:rPr>
              <w:fldChar w:fldCharType="separate"/>
            </w:r>
            <w:r w:rsidR="007956BC">
              <w:rPr>
                <w:noProof/>
                <w:webHidden/>
              </w:rPr>
              <w:t>23</w:t>
            </w:r>
            <w:r>
              <w:rPr>
                <w:noProof/>
                <w:webHidden/>
              </w:rPr>
              <w:fldChar w:fldCharType="end"/>
            </w:r>
          </w:hyperlink>
        </w:p>
        <w:p w14:paraId="0A882A9C" w14:textId="11CC0B41"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96" w:history="1">
            <w:r w:rsidRPr="00D50503">
              <w:rPr>
                <w:rStyle w:val="Hyperlink"/>
                <w:noProof/>
              </w:rPr>
              <w:t>Proposed action</w:t>
            </w:r>
            <w:r>
              <w:rPr>
                <w:noProof/>
                <w:webHidden/>
              </w:rPr>
              <w:tab/>
            </w:r>
            <w:r>
              <w:rPr>
                <w:noProof/>
                <w:webHidden/>
              </w:rPr>
              <w:fldChar w:fldCharType="begin"/>
            </w:r>
            <w:r>
              <w:rPr>
                <w:noProof/>
                <w:webHidden/>
              </w:rPr>
              <w:instrText xml:space="preserve"> PAGEREF _Toc205908896 \h </w:instrText>
            </w:r>
            <w:r>
              <w:rPr>
                <w:noProof/>
                <w:webHidden/>
              </w:rPr>
            </w:r>
            <w:r>
              <w:rPr>
                <w:noProof/>
                <w:webHidden/>
              </w:rPr>
              <w:fldChar w:fldCharType="separate"/>
            </w:r>
            <w:r w:rsidR="007956BC">
              <w:rPr>
                <w:noProof/>
                <w:webHidden/>
              </w:rPr>
              <w:t>24</w:t>
            </w:r>
            <w:r>
              <w:rPr>
                <w:noProof/>
                <w:webHidden/>
              </w:rPr>
              <w:fldChar w:fldCharType="end"/>
            </w:r>
          </w:hyperlink>
        </w:p>
        <w:p w14:paraId="24D75E9E" w14:textId="1953D3E7" w:rsidR="002A6929" w:rsidRDefault="002A69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908897" w:history="1">
            <w:r w:rsidRPr="00D50503">
              <w:rPr>
                <w:rStyle w:val="Hyperlink"/>
                <w:noProof/>
              </w:rPr>
              <w:t>Advisory Committee considerations</w:t>
            </w:r>
            <w:r>
              <w:rPr>
                <w:noProof/>
                <w:webHidden/>
              </w:rPr>
              <w:tab/>
            </w:r>
            <w:r>
              <w:rPr>
                <w:noProof/>
                <w:webHidden/>
              </w:rPr>
              <w:fldChar w:fldCharType="begin"/>
            </w:r>
            <w:r>
              <w:rPr>
                <w:noProof/>
                <w:webHidden/>
              </w:rPr>
              <w:instrText xml:space="preserve"> PAGEREF _Toc205908897 \h </w:instrText>
            </w:r>
            <w:r>
              <w:rPr>
                <w:noProof/>
                <w:webHidden/>
              </w:rPr>
            </w:r>
            <w:r>
              <w:rPr>
                <w:noProof/>
                <w:webHidden/>
              </w:rPr>
              <w:fldChar w:fldCharType="separate"/>
            </w:r>
            <w:r w:rsidR="007956BC">
              <w:rPr>
                <w:noProof/>
                <w:webHidden/>
              </w:rPr>
              <w:t>24</w:t>
            </w:r>
            <w:r>
              <w:rPr>
                <w:noProof/>
                <w:webHidden/>
              </w:rPr>
              <w:fldChar w:fldCharType="end"/>
            </w:r>
          </w:hyperlink>
        </w:p>
        <w:p w14:paraId="755592DC" w14:textId="333AB441" w:rsidR="002A6929" w:rsidRDefault="002A692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908898" w:history="1">
            <w:r w:rsidRPr="00D50503">
              <w:rPr>
                <w:rStyle w:val="Hyperlink"/>
                <w:noProof/>
              </w:rPr>
              <w:t>Outcome</w:t>
            </w:r>
            <w:r>
              <w:rPr>
                <w:noProof/>
                <w:webHidden/>
              </w:rPr>
              <w:tab/>
            </w:r>
            <w:r>
              <w:rPr>
                <w:noProof/>
                <w:webHidden/>
              </w:rPr>
              <w:fldChar w:fldCharType="begin"/>
            </w:r>
            <w:r>
              <w:rPr>
                <w:noProof/>
                <w:webHidden/>
              </w:rPr>
              <w:instrText xml:space="preserve"> PAGEREF _Toc205908898 \h </w:instrText>
            </w:r>
            <w:r>
              <w:rPr>
                <w:noProof/>
                <w:webHidden/>
              </w:rPr>
            </w:r>
            <w:r>
              <w:rPr>
                <w:noProof/>
                <w:webHidden/>
              </w:rPr>
              <w:fldChar w:fldCharType="separate"/>
            </w:r>
            <w:r w:rsidR="007956BC">
              <w:rPr>
                <w:noProof/>
                <w:webHidden/>
              </w:rPr>
              <w:t>26</w:t>
            </w:r>
            <w:r>
              <w:rPr>
                <w:noProof/>
                <w:webHidden/>
              </w:rPr>
              <w:fldChar w:fldCharType="end"/>
            </w:r>
          </w:hyperlink>
        </w:p>
        <w:p w14:paraId="6EEFFC5A" w14:textId="2614E135" w:rsidR="002A6929" w:rsidRDefault="002A69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908899" w:history="1">
            <w:r w:rsidRPr="00D50503">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_Toc205908899 \h </w:instrText>
            </w:r>
            <w:r>
              <w:rPr>
                <w:noProof/>
                <w:webHidden/>
              </w:rPr>
            </w:r>
            <w:r>
              <w:rPr>
                <w:noProof/>
                <w:webHidden/>
              </w:rPr>
              <w:fldChar w:fldCharType="separate"/>
            </w:r>
            <w:r w:rsidR="007956BC">
              <w:rPr>
                <w:noProof/>
                <w:webHidden/>
              </w:rPr>
              <w:t>26</w:t>
            </w:r>
            <w:r>
              <w:rPr>
                <w:noProof/>
                <w:webHidden/>
              </w:rPr>
              <w:fldChar w:fldCharType="end"/>
            </w:r>
          </w:hyperlink>
        </w:p>
        <w:p w14:paraId="07B10169" w14:textId="32DB0516" w:rsidR="002A6929" w:rsidRDefault="002A692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908900" w:history="1">
            <w:r w:rsidRPr="00D50503">
              <w:rPr>
                <w:rStyle w:val="Hyperlink"/>
                <w:noProof/>
              </w:rPr>
              <w:t>Attachment 1. Product Information</w:t>
            </w:r>
            <w:r>
              <w:rPr>
                <w:noProof/>
                <w:webHidden/>
              </w:rPr>
              <w:tab/>
            </w:r>
            <w:r>
              <w:rPr>
                <w:noProof/>
                <w:webHidden/>
              </w:rPr>
              <w:fldChar w:fldCharType="begin"/>
            </w:r>
            <w:r>
              <w:rPr>
                <w:noProof/>
                <w:webHidden/>
              </w:rPr>
              <w:instrText xml:space="preserve"> PAGEREF _Toc205908900 \h </w:instrText>
            </w:r>
            <w:r>
              <w:rPr>
                <w:noProof/>
                <w:webHidden/>
              </w:rPr>
            </w:r>
            <w:r>
              <w:rPr>
                <w:noProof/>
                <w:webHidden/>
              </w:rPr>
              <w:fldChar w:fldCharType="separate"/>
            </w:r>
            <w:r w:rsidR="007956BC">
              <w:rPr>
                <w:noProof/>
                <w:webHidden/>
              </w:rPr>
              <w:t>26</w:t>
            </w:r>
            <w:r>
              <w:rPr>
                <w:noProof/>
                <w:webHidden/>
              </w:rPr>
              <w:fldChar w:fldCharType="end"/>
            </w:r>
          </w:hyperlink>
        </w:p>
        <w:p w14:paraId="77659F2D" w14:textId="2C8FBE3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1" w:name="_Toc98931917"/>
      <w:bookmarkStart w:id="2" w:name="_Toc103679287"/>
      <w:bookmarkStart w:id="3" w:name="_Toc205908874"/>
      <w:bookmarkStart w:id="4" w:name="_Toc323739589"/>
      <w:bookmarkStart w:id="5" w:name="_Toc356305216"/>
      <w:r>
        <w:lastRenderedPageBreak/>
        <w:t>List of abbreviations</w:t>
      </w:r>
      <w:bookmarkEnd w:id="1"/>
      <w:bookmarkEnd w:id="2"/>
      <w:bookmarkEnd w:id="3"/>
    </w:p>
    <w:tbl>
      <w:tblPr>
        <w:tblStyle w:val="TableTGAblue2023"/>
        <w:tblW w:w="9430" w:type="dxa"/>
        <w:tblLook w:val="04A0" w:firstRow="1" w:lastRow="0" w:firstColumn="1" w:lastColumn="0" w:noHBand="0" w:noVBand="1"/>
      </w:tblPr>
      <w:tblGrid>
        <w:gridCol w:w="2263"/>
        <w:gridCol w:w="7167"/>
      </w:tblGrid>
      <w:tr w:rsidR="00597358" w:rsidRPr="003D71A1" w14:paraId="1C8714A2" w14:textId="77777777" w:rsidTr="00D237F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69300E7A" w14:textId="77777777" w:rsidR="00597358" w:rsidRPr="007C71D5" w:rsidRDefault="00597358">
            <w:pPr>
              <w:rPr>
                <w:szCs w:val="22"/>
              </w:rPr>
            </w:pPr>
            <w:bookmarkStart w:id="6" w:name="_Hlk133418605"/>
            <w:r w:rsidRPr="007C71D5">
              <w:rPr>
                <w:szCs w:val="22"/>
              </w:rPr>
              <w:t>Abbreviation</w:t>
            </w:r>
          </w:p>
        </w:tc>
        <w:tc>
          <w:tcPr>
            <w:tcW w:w="7167" w:type="dxa"/>
          </w:tcPr>
          <w:p w14:paraId="73A859B9" w14:textId="77777777" w:rsidR="00597358" w:rsidRPr="007C71D5" w:rsidRDefault="00597358">
            <w:pPr>
              <w:cnfStyle w:val="100000000000" w:firstRow="1" w:lastRow="0" w:firstColumn="0" w:lastColumn="0" w:oddVBand="0" w:evenVBand="0" w:oddHBand="0" w:evenHBand="0" w:firstRowFirstColumn="0" w:firstRowLastColumn="0" w:lastRowFirstColumn="0" w:lastRowLastColumn="0"/>
              <w:rPr>
                <w:szCs w:val="22"/>
              </w:rPr>
            </w:pPr>
            <w:r w:rsidRPr="007C71D5">
              <w:rPr>
                <w:szCs w:val="22"/>
              </w:rPr>
              <w:t>Meaning</w:t>
            </w:r>
          </w:p>
        </w:tc>
      </w:tr>
      <w:tr w:rsidR="00597358" w:rsidRPr="002B2C82" w14:paraId="22E86044"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52F393C" w14:textId="77777777" w:rsidR="00597358" w:rsidRPr="00EB0FD1" w:rsidRDefault="00597358">
            <w:pPr>
              <w:rPr>
                <w:rFonts w:cstheme="minorHAnsi"/>
                <w:szCs w:val="24"/>
              </w:rPr>
            </w:pPr>
            <w:r w:rsidRPr="00EB0FD1">
              <w:rPr>
                <w:szCs w:val="24"/>
              </w:rPr>
              <w:t>α4β1</w:t>
            </w:r>
          </w:p>
        </w:tc>
        <w:tc>
          <w:tcPr>
            <w:tcW w:w="7167" w:type="dxa"/>
          </w:tcPr>
          <w:p w14:paraId="7FB376FA"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24"/>
              </w:rPr>
            </w:pPr>
            <w:r w:rsidRPr="00EB0FD1">
              <w:rPr>
                <w:szCs w:val="24"/>
              </w:rPr>
              <w:t>Alpha4 beta1</w:t>
            </w:r>
          </w:p>
        </w:tc>
      </w:tr>
      <w:tr w:rsidR="00597358" w:rsidRPr="002B2C82" w14:paraId="4012FD06"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7C1C587" w14:textId="77777777" w:rsidR="00597358" w:rsidRPr="00EB0FD1" w:rsidRDefault="00597358">
            <w:pPr>
              <w:rPr>
                <w:rFonts w:cstheme="minorHAnsi"/>
                <w:szCs w:val="40"/>
              </w:rPr>
            </w:pPr>
            <w:r w:rsidRPr="00EB0FD1">
              <w:rPr>
                <w:szCs w:val="24"/>
              </w:rPr>
              <w:t>α4β7</w:t>
            </w:r>
          </w:p>
        </w:tc>
        <w:tc>
          <w:tcPr>
            <w:tcW w:w="7167" w:type="dxa"/>
          </w:tcPr>
          <w:p w14:paraId="6FC3A80D"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40"/>
              </w:rPr>
            </w:pPr>
            <w:r w:rsidRPr="00EB0FD1">
              <w:rPr>
                <w:szCs w:val="48"/>
              </w:rPr>
              <w:t>Alpha4 beta7</w:t>
            </w:r>
          </w:p>
        </w:tc>
      </w:tr>
      <w:tr w:rsidR="00597358" w:rsidRPr="002B2C82" w14:paraId="228B79CD"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381A439" w14:textId="77777777" w:rsidR="00597358" w:rsidRPr="00EB0FD1" w:rsidRDefault="00597358">
            <w:pPr>
              <w:rPr>
                <w:rFonts w:cstheme="minorHAnsi"/>
                <w:szCs w:val="24"/>
              </w:rPr>
            </w:pPr>
            <w:r w:rsidRPr="00EB0FD1">
              <w:rPr>
                <w:rFonts w:cstheme="minorHAnsi"/>
                <w:szCs w:val="24"/>
              </w:rPr>
              <w:t>ACM</w:t>
            </w:r>
          </w:p>
        </w:tc>
        <w:tc>
          <w:tcPr>
            <w:tcW w:w="7167" w:type="dxa"/>
          </w:tcPr>
          <w:p w14:paraId="0F85FEC5"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B0FD1">
              <w:rPr>
                <w:szCs w:val="24"/>
              </w:rPr>
              <w:t>Advisory Committee on Medicines</w:t>
            </w:r>
          </w:p>
        </w:tc>
      </w:tr>
      <w:tr w:rsidR="00597358" w:rsidRPr="002B2C82" w14:paraId="515A609F"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BCC63B8" w14:textId="77777777" w:rsidR="00597358" w:rsidRPr="00EB0FD1" w:rsidRDefault="00597358">
            <w:pPr>
              <w:rPr>
                <w:rFonts w:cstheme="minorHAnsi"/>
                <w:szCs w:val="40"/>
              </w:rPr>
            </w:pPr>
            <w:r w:rsidRPr="00EB0FD1">
              <w:rPr>
                <w:rFonts w:cstheme="minorHAnsi"/>
                <w:szCs w:val="40"/>
              </w:rPr>
              <w:t>ADAs</w:t>
            </w:r>
          </w:p>
        </w:tc>
        <w:tc>
          <w:tcPr>
            <w:tcW w:w="7167" w:type="dxa"/>
          </w:tcPr>
          <w:p w14:paraId="4B1A772A"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40"/>
              </w:rPr>
            </w:pPr>
            <w:r w:rsidRPr="00EB0FD1">
              <w:rPr>
                <w:szCs w:val="40"/>
              </w:rPr>
              <w:t>Antidrug antibodies</w:t>
            </w:r>
          </w:p>
        </w:tc>
      </w:tr>
      <w:tr w:rsidR="00597358" w:rsidRPr="002B2C82" w14:paraId="7FB5D581"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3398FDA" w14:textId="77777777" w:rsidR="00597358" w:rsidRPr="00EB0FD1" w:rsidRDefault="00597358">
            <w:pPr>
              <w:rPr>
                <w:rFonts w:cstheme="minorHAnsi"/>
                <w:szCs w:val="40"/>
              </w:rPr>
            </w:pPr>
            <w:r w:rsidRPr="00EB0FD1">
              <w:rPr>
                <w:rFonts w:cstheme="minorHAnsi"/>
                <w:szCs w:val="40"/>
              </w:rPr>
              <w:t>AE(s)</w:t>
            </w:r>
          </w:p>
        </w:tc>
        <w:tc>
          <w:tcPr>
            <w:tcW w:w="7167" w:type="dxa"/>
          </w:tcPr>
          <w:p w14:paraId="22505ABD"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40"/>
              </w:rPr>
            </w:pPr>
            <w:r w:rsidRPr="00EB0FD1">
              <w:rPr>
                <w:rFonts w:cstheme="minorHAnsi"/>
                <w:szCs w:val="40"/>
              </w:rPr>
              <w:t>Adverse event(s)</w:t>
            </w:r>
          </w:p>
        </w:tc>
      </w:tr>
      <w:tr w:rsidR="00597358" w:rsidRPr="002B2C82" w14:paraId="424EBB96"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DCCB5B0" w14:textId="77777777" w:rsidR="00597358" w:rsidRPr="00EB0FD1" w:rsidRDefault="00597358">
            <w:pPr>
              <w:rPr>
                <w:rFonts w:cstheme="minorHAnsi"/>
                <w:szCs w:val="40"/>
              </w:rPr>
            </w:pPr>
            <w:r w:rsidRPr="00EB0FD1">
              <w:rPr>
                <w:rFonts w:cstheme="minorHAnsi"/>
                <w:szCs w:val="40"/>
              </w:rPr>
              <w:t>ARR</w:t>
            </w:r>
          </w:p>
        </w:tc>
        <w:tc>
          <w:tcPr>
            <w:tcW w:w="7167" w:type="dxa"/>
          </w:tcPr>
          <w:p w14:paraId="31631CA5"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40"/>
              </w:rPr>
            </w:pPr>
            <w:r w:rsidRPr="00EB0FD1">
              <w:rPr>
                <w:szCs w:val="40"/>
              </w:rPr>
              <w:t>Annualised relapse rates</w:t>
            </w:r>
          </w:p>
        </w:tc>
      </w:tr>
      <w:tr w:rsidR="00597358" w:rsidRPr="002B2C82" w14:paraId="60B1AF26"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17F3492" w14:textId="77777777" w:rsidR="00597358" w:rsidRPr="00EB0FD1" w:rsidRDefault="00597358">
            <w:pPr>
              <w:rPr>
                <w:rFonts w:cstheme="minorHAnsi"/>
                <w:szCs w:val="32"/>
              </w:rPr>
            </w:pPr>
            <w:r w:rsidRPr="00EB0FD1">
              <w:rPr>
                <w:rFonts w:cstheme="minorHAnsi"/>
                <w:szCs w:val="32"/>
              </w:rPr>
              <w:t>ARTG</w:t>
            </w:r>
          </w:p>
        </w:tc>
        <w:tc>
          <w:tcPr>
            <w:tcW w:w="7167" w:type="dxa"/>
          </w:tcPr>
          <w:p w14:paraId="68109F07"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32"/>
              </w:rPr>
            </w:pPr>
            <w:r w:rsidRPr="00EB0FD1">
              <w:rPr>
                <w:rFonts w:cstheme="minorHAnsi"/>
                <w:szCs w:val="32"/>
              </w:rPr>
              <w:t>Australian Register of Therapeutic Goods</w:t>
            </w:r>
          </w:p>
        </w:tc>
      </w:tr>
      <w:tr w:rsidR="00597358" w:rsidRPr="002B2C82" w14:paraId="37B43A21"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B993C51" w14:textId="77777777" w:rsidR="00597358" w:rsidRPr="00EB0FD1" w:rsidRDefault="00597358">
            <w:pPr>
              <w:rPr>
                <w:szCs w:val="32"/>
              </w:rPr>
            </w:pPr>
            <w:r w:rsidRPr="00EB0FD1">
              <w:rPr>
                <w:szCs w:val="32"/>
              </w:rPr>
              <w:t>ASA</w:t>
            </w:r>
          </w:p>
        </w:tc>
        <w:tc>
          <w:tcPr>
            <w:tcW w:w="7167" w:type="dxa"/>
          </w:tcPr>
          <w:p w14:paraId="60ABBE66"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32"/>
              </w:rPr>
            </w:pPr>
            <w:r w:rsidRPr="00EB0FD1">
              <w:rPr>
                <w:szCs w:val="32"/>
              </w:rPr>
              <w:t>Australia-specific annex</w:t>
            </w:r>
          </w:p>
        </w:tc>
      </w:tr>
      <w:tr w:rsidR="00597358" w:rsidRPr="002B2C82" w14:paraId="13F3FEB6"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826CD1F" w14:textId="77777777" w:rsidR="00597358" w:rsidRPr="00EB0FD1" w:rsidRDefault="00597358">
            <w:pPr>
              <w:rPr>
                <w:rFonts w:cstheme="minorHAnsi"/>
                <w:szCs w:val="24"/>
              </w:rPr>
            </w:pPr>
            <w:r w:rsidRPr="00EB0FD1">
              <w:rPr>
                <w:szCs w:val="24"/>
              </w:rPr>
              <w:t>AUC</w:t>
            </w:r>
            <w:r w:rsidRPr="00EB0FD1">
              <w:rPr>
                <w:szCs w:val="24"/>
                <w:vertAlign w:val="subscript"/>
              </w:rPr>
              <w:t>0-inf</w:t>
            </w:r>
          </w:p>
        </w:tc>
        <w:tc>
          <w:tcPr>
            <w:tcW w:w="7167" w:type="dxa"/>
          </w:tcPr>
          <w:p w14:paraId="2397DC87"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24"/>
              </w:rPr>
            </w:pPr>
            <w:r w:rsidRPr="00EB0FD1">
              <w:rPr>
                <w:szCs w:val="24"/>
              </w:rPr>
              <w:t>Area under the concentration time curve from time zero to infinity</w:t>
            </w:r>
          </w:p>
        </w:tc>
      </w:tr>
      <w:tr w:rsidR="00597358" w:rsidRPr="002B2C82" w14:paraId="4D42BA22"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27F5387" w14:textId="77777777" w:rsidR="00597358" w:rsidRPr="00EB0FD1" w:rsidRDefault="00597358">
            <w:pPr>
              <w:tabs>
                <w:tab w:val="center" w:pos="1080"/>
              </w:tabs>
              <w:rPr>
                <w:rFonts w:cstheme="minorHAnsi"/>
                <w:szCs w:val="24"/>
              </w:rPr>
            </w:pPr>
            <w:r w:rsidRPr="00EB0FD1">
              <w:rPr>
                <w:szCs w:val="24"/>
              </w:rPr>
              <w:t>AUC</w:t>
            </w:r>
            <w:r w:rsidRPr="00EB0FD1">
              <w:rPr>
                <w:szCs w:val="24"/>
                <w:vertAlign w:val="subscript"/>
              </w:rPr>
              <w:t>0-t</w:t>
            </w:r>
          </w:p>
        </w:tc>
        <w:tc>
          <w:tcPr>
            <w:tcW w:w="7167" w:type="dxa"/>
          </w:tcPr>
          <w:p w14:paraId="39B4197E"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24"/>
              </w:rPr>
            </w:pPr>
            <w:r w:rsidRPr="00EB0FD1">
              <w:rPr>
                <w:szCs w:val="24"/>
              </w:rPr>
              <w:t>Area under concentration-time curve from time zero to the time of last measurable concentration</w:t>
            </w:r>
          </w:p>
        </w:tc>
      </w:tr>
      <w:tr w:rsidR="00597358" w:rsidRPr="002B2C82" w14:paraId="7B6EF9D5"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3EB8F82" w14:textId="77777777" w:rsidR="00597358" w:rsidRPr="00EB0FD1" w:rsidRDefault="00597358">
            <w:pPr>
              <w:rPr>
                <w:rFonts w:cstheme="minorHAnsi"/>
                <w:szCs w:val="40"/>
              </w:rPr>
            </w:pPr>
            <w:r w:rsidRPr="00EB0FD1">
              <w:rPr>
                <w:rFonts w:cstheme="minorHAnsi"/>
                <w:szCs w:val="40"/>
              </w:rPr>
              <w:t>CHO</w:t>
            </w:r>
          </w:p>
        </w:tc>
        <w:tc>
          <w:tcPr>
            <w:tcW w:w="7167" w:type="dxa"/>
          </w:tcPr>
          <w:p w14:paraId="4EED29F2"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40"/>
              </w:rPr>
            </w:pPr>
            <w:r w:rsidRPr="00EB0FD1">
              <w:rPr>
                <w:szCs w:val="40"/>
              </w:rPr>
              <w:t>Chinese hamster ovary</w:t>
            </w:r>
          </w:p>
        </w:tc>
      </w:tr>
      <w:tr w:rsidR="00597358" w:rsidRPr="002B2C82" w14:paraId="421BA930"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B73672C" w14:textId="77777777" w:rsidR="00597358" w:rsidRPr="00EB0FD1" w:rsidRDefault="00597358">
            <w:pPr>
              <w:rPr>
                <w:rFonts w:cstheme="minorHAnsi"/>
                <w:szCs w:val="24"/>
              </w:rPr>
            </w:pPr>
            <w:r w:rsidRPr="00EB0FD1">
              <w:rPr>
                <w:szCs w:val="24"/>
              </w:rPr>
              <w:t>C</w:t>
            </w:r>
            <w:r w:rsidRPr="00EB0FD1">
              <w:rPr>
                <w:szCs w:val="24"/>
                <w:vertAlign w:val="subscript"/>
              </w:rPr>
              <w:t>max</w:t>
            </w:r>
          </w:p>
        </w:tc>
        <w:tc>
          <w:tcPr>
            <w:tcW w:w="7167" w:type="dxa"/>
          </w:tcPr>
          <w:p w14:paraId="4549FA7F"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B0FD1">
              <w:rPr>
                <w:rFonts w:cstheme="minorHAnsi"/>
                <w:szCs w:val="24"/>
              </w:rPr>
              <w:t>Maximum concentration</w:t>
            </w:r>
          </w:p>
        </w:tc>
      </w:tr>
      <w:tr w:rsidR="00597358" w:rsidRPr="002B2C82" w14:paraId="7973F248"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A36621E" w14:textId="77777777" w:rsidR="00597358" w:rsidRPr="00EB0FD1" w:rsidRDefault="00597358">
            <w:pPr>
              <w:rPr>
                <w:rFonts w:cstheme="minorHAnsi"/>
                <w:color w:val="auto"/>
                <w:szCs w:val="22"/>
              </w:rPr>
            </w:pPr>
            <w:r w:rsidRPr="00EB0FD1">
              <w:rPr>
                <w:rFonts w:cstheme="minorHAnsi"/>
                <w:color w:val="auto"/>
                <w:szCs w:val="22"/>
              </w:rPr>
              <w:t>CMI</w:t>
            </w:r>
          </w:p>
        </w:tc>
        <w:tc>
          <w:tcPr>
            <w:tcW w:w="7167" w:type="dxa"/>
          </w:tcPr>
          <w:p w14:paraId="535EDDE8"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B0FD1">
              <w:rPr>
                <w:rFonts w:cstheme="minorHAnsi"/>
                <w:color w:val="auto"/>
                <w:szCs w:val="22"/>
              </w:rPr>
              <w:t>Consumer Medicines Information</w:t>
            </w:r>
          </w:p>
        </w:tc>
      </w:tr>
      <w:tr w:rsidR="00597358" w:rsidRPr="00106388" w14:paraId="1FFB855E"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022AEA9" w14:textId="77777777" w:rsidR="00597358" w:rsidRPr="00EB0FD1" w:rsidRDefault="00597358">
            <w:pPr>
              <w:rPr>
                <w:rFonts w:cstheme="minorHAnsi"/>
                <w:szCs w:val="32"/>
              </w:rPr>
            </w:pPr>
            <w:r w:rsidRPr="00EB0FD1">
              <w:rPr>
                <w:rFonts w:cstheme="minorHAnsi"/>
                <w:szCs w:val="32"/>
              </w:rPr>
              <w:t>DLP</w:t>
            </w:r>
          </w:p>
        </w:tc>
        <w:tc>
          <w:tcPr>
            <w:tcW w:w="7167" w:type="dxa"/>
          </w:tcPr>
          <w:p w14:paraId="7D9388FE"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32"/>
              </w:rPr>
            </w:pPr>
            <w:r w:rsidRPr="00EB0FD1">
              <w:rPr>
                <w:rFonts w:cstheme="minorHAnsi"/>
                <w:szCs w:val="32"/>
              </w:rPr>
              <w:t>Data lock point</w:t>
            </w:r>
          </w:p>
        </w:tc>
      </w:tr>
      <w:tr w:rsidR="00597358" w:rsidRPr="002B2C82" w14:paraId="165032C1"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F381BD4" w14:textId="77777777" w:rsidR="00597358" w:rsidRPr="00EB0FD1" w:rsidRDefault="00597358">
            <w:pPr>
              <w:tabs>
                <w:tab w:val="left" w:pos="1200"/>
              </w:tabs>
              <w:rPr>
                <w:rFonts w:cstheme="minorHAnsi"/>
                <w:szCs w:val="200"/>
              </w:rPr>
            </w:pPr>
            <w:r w:rsidRPr="00EB0FD1">
              <w:rPr>
                <w:rFonts w:cstheme="minorHAnsi"/>
                <w:szCs w:val="200"/>
              </w:rPr>
              <w:t>EDSS</w:t>
            </w:r>
          </w:p>
        </w:tc>
        <w:tc>
          <w:tcPr>
            <w:tcW w:w="7167" w:type="dxa"/>
          </w:tcPr>
          <w:p w14:paraId="76903BBA"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200"/>
              </w:rPr>
            </w:pPr>
            <w:r w:rsidRPr="00EB0FD1">
              <w:rPr>
                <w:szCs w:val="200"/>
              </w:rPr>
              <w:t>Expanded disability status scale</w:t>
            </w:r>
          </w:p>
        </w:tc>
      </w:tr>
      <w:tr w:rsidR="00597358" w:rsidRPr="002B2C82" w14:paraId="5544B386"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DB7C40C" w14:textId="77777777" w:rsidR="00597358" w:rsidRPr="00EB0FD1" w:rsidRDefault="00597358">
            <w:pPr>
              <w:tabs>
                <w:tab w:val="left" w:pos="1200"/>
              </w:tabs>
              <w:rPr>
                <w:rFonts w:cstheme="minorHAnsi"/>
                <w:szCs w:val="160"/>
              </w:rPr>
            </w:pPr>
            <w:r w:rsidRPr="00EB0FD1">
              <w:rPr>
                <w:rFonts w:cstheme="minorHAnsi"/>
                <w:szCs w:val="160"/>
              </w:rPr>
              <w:t>EMA</w:t>
            </w:r>
            <w:r w:rsidRPr="00EB0FD1">
              <w:rPr>
                <w:rFonts w:cstheme="minorHAnsi"/>
                <w:szCs w:val="160"/>
              </w:rPr>
              <w:tab/>
            </w:r>
          </w:p>
        </w:tc>
        <w:tc>
          <w:tcPr>
            <w:tcW w:w="7167" w:type="dxa"/>
          </w:tcPr>
          <w:p w14:paraId="2DE8C119"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160"/>
              </w:rPr>
            </w:pPr>
            <w:r w:rsidRPr="00EB0FD1">
              <w:rPr>
                <w:szCs w:val="160"/>
              </w:rPr>
              <w:t>European Medicines Agency</w:t>
            </w:r>
          </w:p>
        </w:tc>
      </w:tr>
      <w:tr w:rsidR="00597358" w:rsidRPr="002B2C82" w14:paraId="469F22B9"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7A7F48B" w14:textId="77777777" w:rsidR="00597358" w:rsidRPr="00EB0FD1" w:rsidRDefault="00597358">
            <w:pPr>
              <w:rPr>
                <w:rFonts w:cstheme="minorHAnsi"/>
                <w:szCs w:val="160"/>
              </w:rPr>
            </w:pPr>
            <w:r w:rsidRPr="00EB0FD1">
              <w:rPr>
                <w:rFonts w:cstheme="minorHAnsi"/>
                <w:szCs w:val="160"/>
              </w:rPr>
              <w:t>EU</w:t>
            </w:r>
          </w:p>
        </w:tc>
        <w:tc>
          <w:tcPr>
            <w:tcW w:w="7167" w:type="dxa"/>
          </w:tcPr>
          <w:p w14:paraId="115D62AC" w14:textId="77777777" w:rsidR="00597358" w:rsidRPr="00EB0FD1" w:rsidRDefault="00597358">
            <w:pPr>
              <w:tabs>
                <w:tab w:val="left" w:pos="2445"/>
              </w:tabs>
              <w:cnfStyle w:val="000000000000" w:firstRow="0" w:lastRow="0" w:firstColumn="0" w:lastColumn="0" w:oddVBand="0" w:evenVBand="0" w:oddHBand="0" w:evenHBand="0" w:firstRowFirstColumn="0" w:firstRowLastColumn="0" w:lastRowFirstColumn="0" w:lastRowLastColumn="0"/>
              <w:rPr>
                <w:szCs w:val="160"/>
              </w:rPr>
            </w:pPr>
            <w:r w:rsidRPr="00EB0FD1">
              <w:rPr>
                <w:szCs w:val="160"/>
              </w:rPr>
              <w:t>European Union</w:t>
            </w:r>
          </w:p>
        </w:tc>
      </w:tr>
      <w:tr w:rsidR="00597358" w:rsidRPr="002B2C82" w14:paraId="045C875B"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203DC8F" w14:textId="77777777" w:rsidR="00597358" w:rsidRPr="00EB0FD1" w:rsidRDefault="00597358">
            <w:pPr>
              <w:rPr>
                <w:rFonts w:cstheme="minorHAnsi"/>
                <w:szCs w:val="200"/>
              </w:rPr>
            </w:pPr>
            <w:r w:rsidRPr="00EB0FD1">
              <w:rPr>
                <w:rFonts w:cstheme="minorHAnsi"/>
                <w:szCs w:val="200"/>
              </w:rPr>
              <w:t>FAS</w:t>
            </w:r>
          </w:p>
        </w:tc>
        <w:tc>
          <w:tcPr>
            <w:tcW w:w="7167" w:type="dxa"/>
          </w:tcPr>
          <w:p w14:paraId="4931537C"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200"/>
              </w:rPr>
            </w:pPr>
            <w:r w:rsidRPr="00EB0FD1">
              <w:rPr>
                <w:szCs w:val="200"/>
              </w:rPr>
              <w:t>Full analysis set</w:t>
            </w:r>
          </w:p>
        </w:tc>
      </w:tr>
      <w:tr w:rsidR="00597358" w:rsidRPr="002B2C82" w14:paraId="6F59B9C5"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CC15039" w14:textId="77777777" w:rsidR="00597358" w:rsidRPr="00EB0FD1" w:rsidRDefault="00597358">
            <w:pPr>
              <w:rPr>
                <w:rFonts w:cstheme="minorHAnsi"/>
                <w:szCs w:val="160"/>
              </w:rPr>
            </w:pPr>
            <w:r w:rsidRPr="00EB0FD1">
              <w:rPr>
                <w:rFonts w:cstheme="minorHAnsi"/>
                <w:szCs w:val="160"/>
              </w:rPr>
              <w:t>Fc</w:t>
            </w:r>
          </w:p>
        </w:tc>
        <w:tc>
          <w:tcPr>
            <w:tcW w:w="7167" w:type="dxa"/>
          </w:tcPr>
          <w:p w14:paraId="4F2F9451"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160"/>
              </w:rPr>
            </w:pPr>
            <w:r w:rsidRPr="00EB0FD1">
              <w:rPr>
                <w:szCs w:val="160"/>
              </w:rPr>
              <w:t>Fragment crystallisable</w:t>
            </w:r>
          </w:p>
        </w:tc>
      </w:tr>
      <w:tr w:rsidR="00597358" w:rsidRPr="002B2C82" w14:paraId="532D8D64"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038AC4E" w14:textId="77777777" w:rsidR="00597358" w:rsidRPr="00EB0FD1" w:rsidRDefault="00597358">
            <w:pPr>
              <w:rPr>
                <w:rFonts w:cstheme="minorHAnsi"/>
                <w:szCs w:val="160"/>
              </w:rPr>
            </w:pPr>
            <w:proofErr w:type="spellStart"/>
            <w:r w:rsidRPr="00EB0FD1">
              <w:rPr>
                <w:szCs w:val="160"/>
              </w:rPr>
              <w:t>Fcγ</w:t>
            </w:r>
            <w:proofErr w:type="spellEnd"/>
          </w:p>
        </w:tc>
        <w:tc>
          <w:tcPr>
            <w:tcW w:w="7167" w:type="dxa"/>
          </w:tcPr>
          <w:p w14:paraId="79372258"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160"/>
              </w:rPr>
            </w:pPr>
            <w:r w:rsidRPr="00EB0FD1">
              <w:rPr>
                <w:szCs w:val="160"/>
              </w:rPr>
              <w:t>Fragment crystallisable gamma</w:t>
            </w:r>
          </w:p>
        </w:tc>
      </w:tr>
      <w:tr w:rsidR="00597358" w:rsidRPr="002B2C82" w14:paraId="66A59AF5"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596263F" w14:textId="77777777" w:rsidR="00597358" w:rsidRPr="00EB0FD1" w:rsidRDefault="00597358">
            <w:pPr>
              <w:rPr>
                <w:rFonts w:cstheme="minorHAnsi"/>
                <w:szCs w:val="96"/>
              </w:rPr>
            </w:pPr>
            <w:r w:rsidRPr="00EB0FD1">
              <w:rPr>
                <w:rFonts w:cstheme="minorHAnsi"/>
                <w:szCs w:val="96"/>
              </w:rPr>
              <w:t>FDA</w:t>
            </w:r>
          </w:p>
        </w:tc>
        <w:tc>
          <w:tcPr>
            <w:tcW w:w="7167" w:type="dxa"/>
          </w:tcPr>
          <w:p w14:paraId="3C460E76"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96"/>
              </w:rPr>
            </w:pPr>
            <w:r w:rsidRPr="00EB0FD1">
              <w:rPr>
                <w:szCs w:val="96"/>
              </w:rPr>
              <w:t>United States Food and Drug Administration</w:t>
            </w:r>
          </w:p>
        </w:tc>
      </w:tr>
      <w:tr w:rsidR="00597358" w:rsidRPr="002B2C82" w14:paraId="61AE1312"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A369DE4" w14:textId="77777777" w:rsidR="00597358" w:rsidRPr="00EB0FD1" w:rsidRDefault="00597358">
            <w:pPr>
              <w:rPr>
                <w:rFonts w:cstheme="minorHAnsi"/>
                <w:szCs w:val="240"/>
              </w:rPr>
            </w:pPr>
            <w:proofErr w:type="spellStart"/>
            <w:r w:rsidRPr="00EB0FD1">
              <w:rPr>
                <w:rFonts w:cstheme="minorHAnsi"/>
                <w:szCs w:val="240"/>
              </w:rPr>
              <w:t>GdE</w:t>
            </w:r>
            <w:proofErr w:type="spellEnd"/>
          </w:p>
        </w:tc>
        <w:tc>
          <w:tcPr>
            <w:tcW w:w="7167" w:type="dxa"/>
          </w:tcPr>
          <w:p w14:paraId="1C541B75"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240"/>
              </w:rPr>
            </w:pPr>
            <w:r w:rsidRPr="00EB0FD1">
              <w:rPr>
                <w:szCs w:val="240"/>
              </w:rPr>
              <w:t>gadolinium-enhancing</w:t>
            </w:r>
          </w:p>
        </w:tc>
      </w:tr>
      <w:tr w:rsidR="00597358" w:rsidRPr="002B2C82" w14:paraId="6C3A6079"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E1E82E3" w14:textId="77777777" w:rsidR="00597358" w:rsidRPr="00EB0FD1" w:rsidRDefault="00597358">
            <w:pPr>
              <w:rPr>
                <w:rFonts w:cstheme="minorHAnsi"/>
                <w:szCs w:val="200"/>
              </w:rPr>
            </w:pPr>
            <w:r w:rsidRPr="00EB0FD1">
              <w:rPr>
                <w:rFonts w:cstheme="minorHAnsi"/>
                <w:szCs w:val="200"/>
              </w:rPr>
              <w:t>Ig</w:t>
            </w:r>
          </w:p>
        </w:tc>
        <w:tc>
          <w:tcPr>
            <w:tcW w:w="7167" w:type="dxa"/>
          </w:tcPr>
          <w:p w14:paraId="23902724"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szCs w:val="200"/>
              </w:rPr>
            </w:pPr>
            <w:r w:rsidRPr="00EB0FD1">
              <w:rPr>
                <w:szCs w:val="200"/>
              </w:rPr>
              <w:t>Immunoglobulin</w:t>
            </w:r>
          </w:p>
        </w:tc>
      </w:tr>
      <w:tr w:rsidR="00597358" w:rsidRPr="002B2C82" w14:paraId="47326BA4"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693FE57" w14:textId="77777777" w:rsidR="00597358" w:rsidRPr="00EB0FD1" w:rsidRDefault="00597358">
            <w:pPr>
              <w:rPr>
                <w:iCs/>
                <w:szCs w:val="48"/>
              </w:rPr>
            </w:pPr>
            <w:r w:rsidRPr="00EB0FD1">
              <w:rPr>
                <w:iCs/>
                <w:szCs w:val="48"/>
              </w:rPr>
              <w:t>IV</w:t>
            </w:r>
          </w:p>
        </w:tc>
        <w:tc>
          <w:tcPr>
            <w:tcW w:w="7167" w:type="dxa"/>
          </w:tcPr>
          <w:p w14:paraId="46911729"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iCs/>
                <w:szCs w:val="48"/>
              </w:rPr>
            </w:pPr>
            <w:r w:rsidRPr="00EB0FD1">
              <w:rPr>
                <w:iCs/>
                <w:szCs w:val="48"/>
              </w:rPr>
              <w:t>Intravenous</w:t>
            </w:r>
          </w:p>
        </w:tc>
      </w:tr>
      <w:tr w:rsidR="00597358" w:rsidRPr="002B2C82" w14:paraId="6A76BCBB"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458540F" w14:textId="77777777" w:rsidR="00597358" w:rsidRPr="00EB0FD1" w:rsidRDefault="00597358">
            <w:pPr>
              <w:rPr>
                <w:iCs/>
                <w:szCs w:val="48"/>
              </w:rPr>
            </w:pPr>
            <w:r w:rsidRPr="00EB0FD1">
              <w:rPr>
                <w:iCs/>
                <w:szCs w:val="48"/>
              </w:rPr>
              <w:t>JCV</w:t>
            </w:r>
          </w:p>
        </w:tc>
        <w:tc>
          <w:tcPr>
            <w:tcW w:w="7167" w:type="dxa"/>
          </w:tcPr>
          <w:p w14:paraId="7B9DA959" w14:textId="558BA7CC" w:rsidR="00597358" w:rsidRPr="00EB0FD1" w:rsidRDefault="00597358">
            <w:pPr>
              <w:cnfStyle w:val="000000000000" w:firstRow="0" w:lastRow="0" w:firstColumn="0" w:lastColumn="0" w:oddVBand="0" w:evenVBand="0" w:oddHBand="0" w:evenHBand="0" w:firstRowFirstColumn="0" w:firstRowLastColumn="0" w:lastRowFirstColumn="0" w:lastRowLastColumn="0"/>
              <w:rPr>
                <w:iCs/>
                <w:szCs w:val="48"/>
              </w:rPr>
            </w:pPr>
            <w:r w:rsidRPr="00EB0FD1">
              <w:rPr>
                <w:szCs w:val="48"/>
              </w:rPr>
              <w:t xml:space="preserve">John </w:t>
            </w:r>
            <w:r w:rsidR="00435753" w:rsidRPr="00EB0FD1">
              <w:rPr>
                <w:szCs w:val="48"/>
              </w:rPr>
              <w:t>Cunni</w:t>
            </w:r>
            <w:r w:rsidR="00435753">
              <w:rPr>
                <w:szCs w:val="48"/>
              </w:rPr>
              <w:t>ng</w:t>
            </w:r>
            <w:r w:rsidR="00435753" w:rsidRPr="00EB0FD1">
              <w:rPr>
                <w:szCs w:val="48"/>
              </w:rPr>
              <w:t xml:space="preserve">ham </w:t>
            </w:r>
            <w:r w:rsidRPr="00EB0FD1">
              <w:rPr>
                <w:szCs w:val="48"/>
              </w:rPr>
              <w:t>virus</w:t>
            </w:r>
          </w:p>
        </w:tc>
      </w:tr>
      <w:tr w:rsidR="00597358" w:rsidRPr="002B2C82" w14:paraId="4DF85A69"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8334672" w14:textId="77777777" w:rsidR="00597358" w:rsidRPr="00EB0FD1" w:rsidRDefault="00597358">
            <w:pPr>
              <w:rPr>
                <w:iCs/>
                <w:szCs w:val="56"/>
              </w:rPr>
            </w:pPr>
            <w:r w:rsidRPr="00EB0FD1">
              <w:rPr>
                <w:iCs/>
                <w:szCs w:val="56"/>
              </w:rPr>
              <w:t>MRI</w:t>
            </w:r>
          </w:p>
        </w:tc>
        <w:tc>
          <w:tcPr>
            <w:tcW w:w="7167" w:type="dxa"/>
          </w:tcPr>
          <w:p w14:paraId="12226E91"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iCs/>
                <w:szCs w:val="56"/>
              </w:rPr>
            </w:pPr>
            <w:r w:rsidRPr="00EB0FD1">
              <w:rPr>
                <w:iCs/>
                <w:szCs w:val="56"/>
              </w:rPr>
              <w:t>Magnetic resonance imaging</w:t>
            </w:r>
          </w:p>
        </w:tc>
      </w:tr>
      <w:tr w:rsidR="00597358" w:rsidRPr="002B2C82" w14:paraId="1DA9EE01"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BB14EA7" w14:textId="77777777" w:rsidR="00597358" w:rsidRPr="00EB0FD1" w:rsidRDefault="00597358">
            <w:pPr>
              <w:rPr>
                <w:iCs/>
                <w:szCs w:val="48"/>
              </w:rPr>
            </w:pPr>
            <w:r w:rsidRPr="00EB0FD1">
              <w:rPr>
                <w:iCs/>
                <w:szCs w:val="48"/>
              </w:rPr>
              <w:t>MS</w:t>
            </w:r>
          </w:p>
        </w:tc>
        <w:tc>
          <w:tcPr>
            <w:tcW w:w="7167" w:type="dxa"/>
          </w:tcPr>
          <w:p w14:paraId="6C2334B5"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iCs/>
                <w:szCs w:val="48"/>
              </w:rPr>
            </w:pPr>
            <w:r w:rsidRPr="00EB0FD1">
              <w:rPr>
                <w:iCs/>
                <w:szCs w:val="48"/>
              </w:rPr>
              <w:t>Multiple sclerosis</w:t>
            </w:r>
          </w:p>
        </w:tc>
      </w:tr>
      <w:tr w:rsidR="00597358" w:rsidRPr="002B2C82" w14:paraId="12BABFC2"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B1C65B8" w14:textId="77777777" w:rsidR="00597358" w:rsidRPr="00EB0FD1" w:rsidRDefault="00597358">
            <w:pPr>
              <w:rPr>
                <w:rFonts w:cstheme="minorHAnsi"/>
                <w:szCs w:val="24"/>
              </w:rPr>
            </w:pPr>
            <w:r w:rsidRPr="00EB0FD1">
              <w:rPr>
                <w:rFonts w:cstheme="minorHAnsi"/>
                <w:szCs w:val="24"/>
              </w:rPr>
              <w:t>PD</w:t>
            </w:r>
          </w:p>
        </w:tc>
        <w:tc>
          <w:tcPr>
            <w:tcW w:w="7167" w:type="dxa"/>
          </w:tcPr>
          <w:p w14:paraId="2B771704"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B0FD1">
              <w:rPr>
                <w:rFonts w:cstheme="minorHAnsi"/>
                <w:szCs w:val="24"/>
              </w:rPr>
              <w:t>Pharmacodynamic(s)</w:t>
            </w:r>
          </w:p>
        </w:tc>
      </w:tr>
      <w:tr w:rsidR="00597358" w:rsidRPr="002B2C82" w14:paraId="30FA13BB"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15B3E02" w14:textId="77777777" w:rsidR="00597358" w:rsidRPr="00EB0FD1" w:rsidRDefault="00597358">
            <w:pPr>
              <w:rPr>
                <w:rFonts w:cstheme="minorHAnsi"/>
                <w:color w:val="auto"/>
                <w:szCs w:val="22"/>
              </w:rPr>
            </w:pPr>
            <w:r w:rsidRPr="00EB0FD1">
              <w:rPr>
                <w:rFonts w:cstheme="minorHAnsi"/>
                <w:color w:val="auto"/>
                <w:szCs w:val="22"/>
              </w:rPr>
              <w:t>PI</w:t>
            </w:r>
          </w:p>
        </w:tc>
        <w:tc>
          <w:tcPr>
            <w:tcW w:w="7167" w:type="dxa"/>
          </w:tcPr>
          <w:p w14:paraId="4466A5F9"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B0FD1">
              <w:rPr>
                <w:rFonts w:cstheme="minorHAnsi"/>
                <w:color w:val="auto"/>
                <w:szCs w:val="22"/>
              </w:rPr>
              <w:t>Product Information</w:t>
            </w:r>
          </w:p>
        </w:tc>
      </w:tr>
      <w:tr w:rsidR="00597358" w:rsidRPr="002B2C82" w14:paraId="72EB7F9A"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4D3B159" w14:textId="77777777" w:rsidR="00597358" w:rsidRPr="00EB0FD1" w:rsidRDefault="00597358">
            <w:pPr>
              <w:rPr>
                <w:rFonts w:cstheme="minorHAnsi"/>
                <w:szCs w:val="24"/>
              </w:rPr>
            </w:pPr>
            <w:r w:rsidRPr="00EB0FD1">
              <w:rPr>
                <w:rFonts w:cstheme="minorHAnsi"/>
                <w:szCs w:val="24"/>
              </w:rPr>
              <w:t>PK</w:t>
            </w:r>
          </w:p>
        </w:tc>
        <w:tc>
          <w:tcPr>
            <w:tcW w:w="7167" w:type="dxa"/>
          </w:tcPr>
          <w:p w14:paraId="48475097"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B0FD1">
              <w:rPr>
                <w:rFonts w:cstheme="minorHAnsi"/>
                <w:szCs w:val="24"/>
              </w:rPr>
              <w:t>Pharmacokinetic(s)</w:t>
            </w:r>
          </w:p>
        </w:tc>
      </w:tr>
      <w:tr w:rsidR="00597358" w:rsidRPr="002B2C82" w14:paraId="59BF62CF"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F8B337A" w14:textId="77777777" w:rsidR="00597358" w:rsidRPr="00EB0FD1" w:rsidRDefault="00597358">
            <w:pPr>
              <w:rPr>
                <w:rFonts w:cstheme="minorHAnsi"/>
                <w:szCs w:val="48"/>
              </w:rPr>
            </w:pPr>
            <w:r w:rsidRPr="00EB0FD1">
              <w:rPr>
                <w:rFonts w:cstheme="minorHAnsi"/>
                <w:szCs w:val="48"/>
              </w:rPr>
              <w:t>PML</w:t>
            </w:r>
          </w:p>
        </w:tc>
        <w:tc>
          <w:tcPr>
            <w:tcW w:w="7167" w:type="dxa"/>
          </w:tcPr>
          <w:p w14:paraId="2A42A4F7"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48"/>
              </w:rPr>
            </w:pPr>
            <w:r w:rsidRPr="00EB0FD1">
              <w:rPr>
                <w:szCs w:val="48"/>
              </w:rPr>
              <w:t>Progressive multifocal leukoencephalopathy</w:t>
            </w:r>
          </w:p>
        </w:tc>
      </w:tr>
      <w:tr w:rsidR="00597358" w:rsidRPr="002B2C82" w14:paraId="1140CB83"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E3E7931" w14:textId="77777777" w:rsidR="00597358" w:rsidRPr="00EB0FD1" w:rsidRDefault="00597358">
            <w:pPr>
              <w:rPr>
                <w:rFonts w:cstheme="minorHAnsi"/>
                <w:szCs w:val="40"/>
              </w:rPr>
            </w:pPr>
            <w:r w:rsidRPr="00EB0FD1">
              <w:rPr>
                <w:rFonts w:cstheme="minorHAnsi"/>
                <w:szCs w:val="40"/>
              </w:rPr>
              <w:lastRenderedPageBreak/>
              <w:t>PPP</w:t>
            </w:r>
          </w:p>
        </w:tc>
        <w:tc>
          <w:tcPr>
            <w:tcW w:w="7167" w:type="dxa"/>
          </w:tcPr>
          <w:p w14:paraId="5DBC060B"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40"/>
              </w:rPr>
            </w:pPr>
            <w:r w:rsidRPr="00EB0FD1">
              <w:rPr>
                <w:rFonts w:cstheme="minorHAnsi"/>
                <w:szCs w:val="40"/>
              </w:rPr>
              <w:t>Per protocol population</w:t>
            </w:r>
          </w:p>
        </w:tc>
      </w:tr>
      <w:tr w:rsidR="00597358" w:rsidRPr="002B2C82" w14:paraId="1DADE127"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DCC0933" w14:textId="77777777" w:rsidR="00597358" w:rsidRPr="00EB0FD1" w:rsidRDefault="00597358">
            <w:pPr>
              <w:rPr>
                <w:rFonts w:cstheme="minorHAnsi"/>
                <w:szCs w:val="24"/>
              </w:rPr>
            </w:pPr>
            <w:r w:rsidRPr="00EB0FD1">
              <w:rPr>
                <w:rFonts w:cstheme="minorHAnsi"/>
                <w:szCs w:val="24"/>
              </w:rPr>
              <w:t>RRMS</w:t>
            </w:r>
          </w:p>
        </w:tc>
        <w:tc>
          <w:tcPr>
            <w:tcW w:w="7167" w:type="dxa"/>
          </w:tcPr>
          <w:p w14:paraId="1789D49A" w14:textId="77777777" w:rsidR="00597358" w:rsidRPr="00EB0FD1" w:rsidRDefault="00597358">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szCs w:val="24"/>
              </w:rPr>
            </w:pPr>
            <w:r w:rsidRPr="00EB0FD1">
              <w:rPr>
                <w:szCs w:val="24"/>
              </w:rPr>
              <w:t>Relapsing remitting multiple sclerosis</w:t>
            </w:r>
          </w:p>
        </w:tc>
      </w:tr>
      <w:tr w:rsidR="00597358" w:rsidRPr="002B2C82" w14:paraId="27F56F83"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2A35A67" w14:textId="77777777" w:rsidR="00597358" w:rsidRPr="00EB0FD1" w:rsidRDefault="00597358">
            <w:pPr>
              <w:rPr>
                <w:rFonts w:cstheme="minorHAnsi"/>
                <w:color w:val="auto"/>
                <w:szCs w:val="22"/>
              </w:rPr>
            </w:pPr>
            <w:r w:rsidRPr="00EB0FD1">
              <w:rPr>
                <w:rFonts w:cstheme="minorHAnsi"/>
                <w:color w:val="auto"/>
                <w:szCs w:val="22"/>
              </w:rPr>
              <w:t>RMP</w:t>
            </w:r>
          </w:p>
        </w:tc>
        <w:tc>
          <w:tcPr>
            <w:tcW w:w="7167" w:type="dxa"/>
          </w:tcPr>
          <w:p w14:paraId="3FCFF4F7" w14:textId="77777777" w:rsidR="00597358" w:rsidRPr="00EB0FD1" w:rsidRDefault="00597358">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B0FD1">
              <w:rPr>
                <w:rFonts w:cstheme="minorHAnsi"/>
                <w:color w:val="auto"/>
                <w:szCs w:val="22"/>
              </w:rPr>
              <w:t>Risk management plan</w:t>
            </w:r>
          </w:p>
        </w:tc>
      </w:tr>
      <w:tr w:rsidR="00597358" w:rsidRPr="002B2C82" w14:paraId="73B15295"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DC3CEE2" w14:textId="77777777" w:rsidR="00597358" w:rsidRPr="00EB0FD1" w:rsidRDefault="00597358">
            <w:pPr>
              <w:rPr>
                <w:rFonts w:cstheme="minorHAnsi"/>
                <w:szCs w:val="24"/>
              </w:rPr>
            </w:pPr>
            <w:r w:rsidRPr="00EB0FD1">
              <w:rPr>
                <w:rFonts w:cstheme="minorHAnsi"/>
                <w:szCs w:val="24"/>
              </w:rPr>
              <w:t>SAE(s)</w:t>
            </w:r>
          </w:p>
        </w:tc>
        <w:tc>
          <w:tcPr>
            <w:tcW w:w="7167" w:type="dxa"/>
          </w:tcPr>
          <w:p w14:paraId="2BE462DC" w14:textId="77777777" w:rsidR="00597358" w:rsidRPr="00EB0FD1" w:rsidRDefault="00597358">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szCs w:val="24"/>
              </w:rPr>
            </w:pPr>
            <w:r w:rsidRPr="00EB0FD1">
              <w:rPr>
                <w:rFonts w:cstheme="minorHAnsi"/>
                <w:szCs w:val="24"/>
              </w:rPr>
              <w:t>Serious adverse event(s)</w:t>
            </w:r>
          </w:p>
        </w:tc>
      </w:tr>
      <w:tr w:rsidR="00597358" w:rsidRPr="002B2C82" w14:paraId="566A2A18"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4BA14F6" w14:textId="77777777" w:rsidR="00597358" w:rsidRPr="00EB0FD1" w:rsidRDefault="00597358">
            <w:pPr>
              <w:rPr>
                <w:szCs w:val="40"/>
              </w:rPr>
            </w:pPr>
            <w:r w:rsidRPr="00EB0FD1">
              <w:rPr>
                <w:szCs w:val="40"/>
              </w:rPr>
              <w:t>SD</w:t>
            </w:r>
          </w:p>
        </w:tc>
        <w:tc>
          <w:tcPr>
            <w:tcW w:w="7167" w:type="dxa"/>
          </w:tcPr>
          <w:p w14:paraId="21C324DE" w14:textId="77777777" w:rsidR="00597358" w:rsidRPr="00EB0FD1" w:rsidRDefault="00597358">
            <w:pPr>
              <w:tabs>
                <w:tab w:val="center" w:pos="3532"/>
              </w:tabs>
              <w:cnfStyle w:val="000000000000" w:firstRow="0" w:lastRow="0" w:firstColumn="0" w:lastColumn="0" w:oddVBand="0" w:evenVBand="0" w:oddHBand="0" w:evenHBand="0" w:firstRowFirstColumn="0" w:firstRowLastColumn="0" w:lastRowFirstColumn="0" w:lastRowLastColumn="0"/>
              <w:rPr>
                <w:szCs w:val="40"/>
              </w:rPr>
            </w:pPr>
            <w:r w:rsidRPr="00EB0FD1">
              <w:rPr>
                <w:szCs w:val="40"/>
              </w:rPr>
              <w:t>Standard deviation</w:t>
            </w:r>
          </w:p>
        </w:tc>
      </w:tr>
      <w:tr w:rsidR="00597358" w:rsidRPr="002B2C82" w14:paraId="0555C956"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1DDC591" w14:textId="77777777" w:rsidR="00597358" w:rsidRPr="00EB0FD1" w:rsidRDefault="00597358">
            <w:pPr>
              <w:rPr>
                <w:rFonts w:cstheme="minorHAnsi"/>
                <w:szCs w:val="32"/>
              </w:rPr>
            </w:pPr>
            <w:r w:rsidRPr="00EB0FD1">
              <w:rPr>
                <w:rFonts w:cstheme="minorHAnsi"/>
                <w:szCs w:val="32"/>
              </w:rPr>
              <w:t>TEAE(s)</w:t>
            </w:r>
          </w:p>
        </w:tc>
        <w:tc>
          <w:tcPr>
            <w:tcW w:w="7167" w:type="dxa"/>
          </w:tcPr>
          <w:p w14:paraId="73F12643"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32"/>
              </w:rPr>
            </w:pPr>
            <w:r w:rsidRPr="00EB0FD1">
              <w:rPr>
                <w:rFonts w:cstheme="minorHAnsi"/>
                <w:szCs w:val="32"/>
              </w:rPr>
              <w:t>Treatment-emergent adverse event(s)</w:t>
            </w:r>
          </w:p>
        </w:tc>
      </w:tr>
      <w:tr w:rsidR="00597358" w:rsidRPr="002B2C82" w14:paraId="63147527"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719986C" w14:textId="77777777" w:rsidR="00597358" w:rsidRPr="00EB0FD1" w:rsidRDefault="00597358">
            <w:pPr>
              <w:rPr>
                <w:rFonts w:cstheme="minorHAnsi"/>
                <w:color w:val="auto"/>
                <w:szCs w:val="22"/>
              </w:rPr>
            </w:pPr>
            <w:r w:rsidRPr="00EB0FD1">
              <w:rPr>
                <w:rFonts w:cstheme="minorHAnsi"/>
                <w:color w:val="auto"/>
                <w:szCs w:val="22"/>
              </w:rPr>
              <w:t>TGA</w:t>
            </w:r>
          </w:p>
        </w:tc>
        <w:tc>
          <w:tcPr>
            <w:tcW w:w="7167" w:type="dxa"/>
          </w:tcPr>
          <w:p w14:paraId="3BF93935"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B0FD1">
              <w:rPr>
                <w:rFonts w:cstheme="minorHAnsi"/>
                <w:color w:val="auto"/>
                <w:szCs w:val="22"/>
              </w:rPr>
              <w:t>Therapeutic Goods Administration</w:t>
            </w:r>
          </w:p>
        </w:tc>
      </w:tr>
      <w:tr w:rsidR="00597358" w:rsidRPr="002B2C82" w14:paraId="1BE8BE78" w14:textId="77777777" w:rsidTr="00D237F8">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2DF3D46" w14:textId="77777777" w:rsidR="00597358" w:rsidRPr="00EB0FD1" w:rsidRDefault="00597358">
            <w:pPr>
              <w:rPr>
                <w:rFonts w:cstheme="minorHAnsi"/>
                <w:szCs w:val="32"/>
              </w:rPr>
            </w:pPr>
            <w:r w:rsidRPr="00EB0FD1">
              <w:rPr>
                <w:rFonts w:cstheme="minorHAnsi"/>
                <w:szCs w:val="32"/>
              </w:rPr>
              <w:t>VCAM1</w:t>
            </w:r>
          </w:p>
        </w:tc>
        <w:tc>
          <w:tcPr>
            <w:tcW w:w="7167" w:type="dxa"/>
          </w:tcPr>
          <w:p w14:paraId="693E73AE" w14:textId="77777777" w:rsidR="00597358" w:rsidRPr="00EB0FD1" w:rsidRDefault="00597358">
            <w:pPr>
              <w:cnfStyle w:val="000000000000" w:firstRow="0" w:lastRow="0" w:firstColumn="0" w:lastColumn="0" w:oddVBand="0" w:evenVBand="0" w:oddHBand="0" w:evenHBand="0" w:firstRowFirstColumn="0" w:firstRowLastColumn="0" w:lastRowFirstColumn="0" w:lastRowLastColumn="0"/>
              <w:rPr>
                <w:rFonts w:cstheme="minorHAnsi"/>
                <w:szCs w:val="32"/>
              </w:rPr>
            </w:pPr>
            <w:r w:rsidRPr="00EB0FD1">
              <w:rPr>
                <w:szCs w:val="32"/>
              </w:rPr>
              <w:t>Vascular cell adhesion molecule 1</w:t>
            </w:r>
          </w:p>
        </w:tc>
      </w:tr>
      <w:bookmarkEnd w:id="6"/>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7" w:name="_Toc103679288"/>
      <w:bookmarkStart w:id="8" w:name="_Toc205908875"/>
      <w:r>
        <w:lastRenderedPageBreak/>
        <w:t>Product submission</w:t>
      </w:r>
      <w:bookmarkEnd w:id="7"/>
      <w:bookmarkEnd w:id="8"/>
    </w:p>
    <w:p w14:paraId="21D559DF" w14:textId="77777777" w:rsidR="00324B33" w:rsidRDefault="00324B33" w:rsidP="00324B33">
      <w:pPr>
        <w:pStyle w:val="Heading3"/>
        <w:rPr>
          <w:lang w:eastAsia="en-AU"/>
        </w:rPr>
      </w:pPr>
      <w:bookmarkStart w:id="9" w:name="_Toc247691502"/>
      <w:bookmarkStart w:id="10" w:name="_Toc314842483"/>
      <w:bookmarkStart w:id="11" w:name="_Toc103679289"/>
      <w:bookmarkStart w:id="12" w:name="_Toc205908876"/>
      <w:r>
        <w:rPr>
          <w:lang w:eastAsia="en-AU"/>
        </w:rPr>
        <w:t>Submission details</w:t>
      </w:r>
      <w:bookmarkEnd w:id="9"/>
      <w:bookmarkEnd w:id="10"/>
      <w:bookmarkEnd w:id="11"/>
      <w:bookmarkEnd w:id="12"/>
    </w:p>
    <w:tbl>
      <w:tblPr>
        <w:tblW w:w="5000" w:type="pct"/>
        <w:tblLook w:val="01E0" w:firstRow="1" w:lastRow="1" w:firstColumn="1" w:lastColumn="1" w:noHBand="0" w:noVBand="0"/>
      </w:tblPr>
      <w:tblGrid>
        <w:gridCol w:w="2861"/>
        <w:gridCol w:w="6209"/>
      </w:tblGrid>
      <w:tr w:rsidR="00324B33" w:rsidRPr="00BD5DBD" w14:paraId="77D11C95" w14:textId="77777777" w:rsidTr="00D237F8">
        <w:tc>
          <w:tcPr>
            <w:tcW w:w="1577" w:type="pct"/>
          </w:tcPr>
          <w:p w14:paraId="10E57D62" w14:textId="3DB9CBFA" w:rsidR="00324B33" w:rsidRPr="00BD5DBD" w:rsidRDefault="00324B33" w:rsidP="007452E8">
            <w:pPr>
              <w:rPr>
                <w:i/>
                <w:szCs w:val="22"/>
              </w:rPr>
            </w:pPr>
            <w:r w:rsidRPr="00BD5DBD">
              <w:rPr>
                <w:i/>
                <w:szCs w:val="22"/>
              </w:rPr>
              <w:t>Type of submission:</w:t>
            </w:r>
          </w:p>
        </w:tc>
        <w:tc>
          <w:tcPr>
            <w:tcW w:w="3423" w:type="pct"/>
          </w:tcPr>
          <w:p w14:paraId="4F07C303" w14:textId="021AA3B5" w:rsidR="00324B33" w:rsidRPr="00BD5DBD" w:rsidRDefault="00DF40F5" w:rsidP="007452E8">
            <w:pPr>
              <w:rPr>
                <w:szCs w:val="22"/>
              </w:rPr>
            </w:pPr>
            <w:r>
              <w:rPr>
                <w:szCs w:val="22"/>
              </w:rPr>
              <w:t>Biosimilar</w:t>
            </w:r>
          </w:p>
        </w:tc>
      </w:tr>
      <w:tr w:rsidR="00324B33" w:rsidRPr="00BD5DBD" w14:paraId="13482B61" w14:textId="77777777" w:rsidTr="00D237F8">
        <w:tc>
          <w:tcPr>
            <w:tcW w:w="1577" w:type="pct"/>
          </w:tcPr>
          <w:p w14:paraId="2C427FCF" w14:textId="435BE8EA" w:rsidR="00324B33" w:rsidRPr="00BD5DBD" w:rsidRDefault="00324B33" w:rsidP="007452E8">
            <w:pPr>
              <w:rPr>
                <w:i/>
                <w:szCs w:val="22"/>
              </w:rPr>
            </w:pPr>
            <w:r w:rsidRPr="00BD5DBD">
              <w:rPr>
                <w:i/>
                <w:szCs w:val="22"/>
              </w:rPr>
              <w:t>Product name:</w:t>
            </w:r>
          </w:p>
        </w:tc>
        <w:tc>
          <w:tcPr>
            <w:tcW w:w="3423" w:type="pct"/>
          </w:tcPr>
          <w:p w14:paraId="0E2DEF76" w14:textId="55D2658E" w:rsidR="00324B33" w:rsidRPr="00BD5DBD" w:rsidRDefault="00493AEA" w:rsidP="007452E8">
            <w:pPr>
              <w:rPr>
                <w:szCs w:val="22"/>
              </w:rPr>
            </w:pPr>
            <w:r>
              <w:rPr>
                <w:szCs w:val="22"/>
              </w:rPr>
              <w:t>Tyruko</w:t>
            </w:r>
          </w:p>
        </w:tc>
      </w:tr>
      <w:tr w:rsidR="00324B33" w:rsidRPr="00BD5DBD" w14:paraId="01255B5B" w14:textId="77777777" w:rsidTr="00D237F8">
        <w:tc>
          <w:tcPr>
            <w:tcW w:w="1577" w:type="pct"/>
          </w:tcPr>
          <w:p w14:paraId="52B4F3D7" w14:textId="4021EE53" w:rsidR="00324B33" w:rsidRPr="00BD5DBD" w:rsidRDefault="00324B33" w:rsidP="007452E8">
            <w:pPr>
              <w:rPr>
                <w:i/>
                <w:szCs w:val="22"/>
              </w:rPr>
            </w:pPr>
            <w:r w:rsidRPr="00BD5DBD">
              <w:rPr>
                <w:i/>
                <w:szCs w:val="22"/>
              </w:rPr>
              <w:t>Active ingredient:</w:t>
            </w:r>
          </w:p>
        </w:tc>
        <w:tc>
          <w:tcPr>
            <w:tcW w:w="3423" w:type="pct"/>
          </w:tcPr>
          <w:p w14:paraId="02FB6383" w14:textId="78879E06" w:rsidR="00324B33" w:rsidRPr="00BD5DBD" w:rsidRDefault="00912DF5" w:rsidP="007452E8">
            <w:pPr>
              <w:rPr>
                <w:szCs w:val="22"/>
              </w:rPr>
            </w:pPr>
            <w:r>
              <w:rPr>
                <w:szCs w:val="22"/>
              </w:rPr>
              <w:t>N</w:t>
            </w:r>
            <w:r w:rsidRPr="00912DF5">
              <w:rPr>
                <w:szCs w:val="22"/>
              </w:rPr>
              <w:t>atalizumab</w:t>
            </w:r>
          </w:p>
        </w:tc>
      </w:tr>
      <w:tr w:rsidR="00324B33" w:rsidRPr="00BD5DBD" w14:paraId="219A281B" w14:textId="77777777" w:rsidTr="00D237F8">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87128DD" w:rsidR="00324B33" w:rsidRPr="00BD5DBD" w:rsidRDefault="00324B33" w:rsidP="007452E8">
            <w:pPr>
              <w:rPr>
                <w:szCs w:val="22"/>
              </w:rPr>
            </w:pPr>
            <w:r w:rsidRPr="00BD5DBD">
              <w:rPr>
                <w:szCs w:val="22"/>
              </w:rPr>
              <w:t>Approved</w:t>
            </w:r>
          </w:p>
        </w:tc>
      </w:tr>
      <w:tr w:rsidR="00AE1947" w:rsidRPr="00BD5DBD" w14:paraId="32B72632" w14:textId="77777777" w:rsidTr="00D237F8">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39062A87" w:rsidR="00AE1947" w:rsidRPr="00BD5DBD" w:rsidRDefault="003A1EEF">
            <w:pPr>
              <w:rPr>
                <w:szCs w:val="22"/>
              </w:rPr>
            </w:pPr>
            <w:r>
              <w:rPr>
                <w:szCs w:val="22"/>
              </w:rPr>
              <w:t>11 September 2024</w:t>
            </w:r>
          </w:p>
        </w:tc>
      </w:tr>
      <w:tr w:rsidR="00324B33" w:rsidRPr="00BD5DBD" w14:paraId="60A25F5A" w14:textId="77777777" w:rsidTr="00D237F8">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115F07F8" w:rsidR="00324B33" w:rsidRPr="00BD5DBD" w:rsidRDefault="00057331" w:rsidP="007452E8">
            <w:pPr>
              <w:rPr>
                <w:szCs w:val="22"/>
              </w:rPr>
            </w:pPr>
            <w:r>
              <w:rPr>
                <w:szCs w:val="22"/>
              </w:rPr>
              <w:t>4 April 2025</w:t>
            </w:r>
          </w:p>
        </w:tc>
      </w:tr>
      <w:tr w:rsidR="00324B33" w:rsidRPr="00BD5DBD" w14:paraId="547E08D7" w14:textId="77777777" w:rsidTr="00D237F8">
        <w:tc>
          <w:tcPr>
            <w:tcW w:w="1577" w:type="pct"/>
          </w:tcPr>
          <w:p w14:paraId="5030EF30" w14:textId="0E677317" w:rsidR="00324B33" w:rsidRPr="00BD5DBD" w:rsidRDefault="00324B33" w:rsidP="007452E8">
            <w:pPr>
              <w:rPr>
                <w:i/>
                <w:szCs w:val="22"/>
              </w:rPr>
            </w:pPr>
            <w:r w:rsidRPr="00BD5DBD">
              <w:rPr>
                <w:i/>
                <w:szCs w:val="22"/>
              </w:rPr>
              <w:t>ARTG number:</w:t>
            </w:r>
          </w:p>
        </w:tc>
        <w:tc>
          <w:tcPr>
            <w:tcW w:w="3423" w:type="pct"/>
          </w:tcPr>
          <w:p w14:paraId="0054E912" w14:textId="4C107124" w:rsidR="00324B33" w:rsidRPr="00BD5DBD" w:rsidRDefault="00966130" w:rsidP="007452E8">
            <w:pPr>
              <w:rPr>
                <w:szCs w:val="22"/>
              </w:rPr>
            </w:pPr>
            <w:r w:rsidRPr="00966130">
              <w:rPr>
                <w:szCs w:val="22"/>
              </w:rPr>
              <w:t>425612</w:t>
            </w:r>
          </w:p>
        </w:tc>
      </w:tr>
      <w:tr w:rsidR="00324B33" w:rsidRPr="00BD5DBD" w14:paraId="7618393F" w14:textId="77777777" w:rsidTr="00D237F8">
        <w:tc>
          <w:tcPr>
            <w:tcW w:w="1577" w:type="pct"/>
          </w:tcPr>
          <w:p w14:paraId="6C24CEB6" w14:textId="0F798A18"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47B9EE27" w:rsidR="00324B33" w:rsidRPr="00BD5DBD" w:rsidRDefault="00324B33" w:rsidP="007452E8">
            <w:pPr>
              <w:rPr>
                <w:szCs w:val="22"/>
              </w:rPr>
            </w:pPr>
            <w:r w:rsidRPr="00BD5DBD">
              <w:rPr>
                <w:szCs w:val="22"/>
              </w:rPr>
              <w:t>No</w:t>
            </w:r>
          </w:p>
        </w:tc>
      </w:tr>
      <w:tr w:rsidR="00324B33" w:rsidRPr="00BD5DBD" w14:paraId="179E09FE" w14:textId="77777777" w:rsidTr="00D237F8">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4025C246" w14:textId="77777777" w:rsidR="00324B33" w:rsidRDefault="000E1AEF" w:rsidP="007452E8">
            <w:pPr>
              <w:rPr>
                <w:szCs w:val="22"/>
              </w:rPr>
            </w:pPr>
            <w:r w:rsidRPr="000E1AEF">
              <w:rPr>
                <w:szCs w:val="22"/>
              </w:rPr>
              <w:t>Sandoz Pty Ltd</w:t>
            </w:r>
          </w:p>
          <w:p w14:paraId="2082B1D2" w14:textId="77777777" w:rsidR="00726255" w:rsidRPr="00726255" w:rsidRDefault="00726255" w:rsidP="00726255">
            <w:pPr>
              <w:rPr>
                <w:szCs w:val="22"/>
              </w:rPr>
            </w:pPr>
            <w:r w:rsidRPr="00726255">
              <w:rPr>
                <w:szCs w:val="22"/>
              </w:rPr>
              <w:t>100 Pacific Highway, North Sydney, NSW, 2060</w:t>
            </w:r>
          </w:p>
          <w:p w14:paraId="68DD94B0" w14:textId="1CC4B327" w:rsidR="000E1AEF" w:rsidRPr="00BD5DBD" w:rsidRDefault="00726255" w:rsidP="00726255">
            <w:pPr>
              <w:rPr>
                <w:szCs w:val="22"/>
              </w:rPr>
            </w:pPr>
            <w:r w:rsidRPr="00726255">
              <w:rPr>
                <w:szCs w:val="22"/>
              </w:rPr>
              <w:t>Australia</w:t>
            </w:r>
          </w:p>
        </w:tc>
      </w:tr>
      <w:tr w:rsidR="00324B33" w:rsidRPr="00BD5DBD" w14:paraId="5322B989" w14:textId="77777777" w:rsidTr="00D237F8">
        <w:tc>
          <w:tcPr>
            <w:tcW w:w="1577" w:type="pct"/>
          </w:tcPr>
          <w:p w14:paraId="24F217E3" w14:textId="01DEAEAB" w:rsidR="00324B33" w:rsidRPr="00BD5DBD" w:rsidRDefault="00324B33" w:rsidP="007452E8">
            <w:pPr>
              <w:rPr>
                <w:i/>
                <w:szCs w:val="22"/>
              </w:rPr>
            </w:pPr>
            <w:r w:rsidRPr="00BD5DBD">
              <w:rPr>
                <w:i/>
                <w:szCs w:val="22"/>
              </w:rPr>
              <w:t>Dose form:</w:t>
            </w:r>
          </w:p>
        </w:tc>
        <w:tc>
          <w:tcPr>
            <w:tcW w:w="3423" w:type="pct"/>
          </w:tcPr>
          <w:p w14:paraId="768B254C" w14:textId="686FC6DC" w:rsidR="00324B33" w:rsidRPr="00BD5DBD" w:rsidRDefault="008477DA" w:rsidP="007452E8">
            <w:pPr>
              <w:rPr>
                <w:szCs w:val="22"/>
              </w:rPr>
            </w:pPr>
            <w:r>
              <w:rPr>
                <w:szCs w:val="22"/>
              </w:rPr>
              <w:t>Concentrate for injection</w:t>
            </w:r>
          </w:p>
        </w:tc>
      </w:tr>
      <w:tr w:rsidR="00324B33" w:rsidRPr="00BD5DBD" w14:paraId="115243E6" w14:textId="77777777" w:rsidTr="00D237F8">
        <w:tc>
          <w:tcPr>
            <w:tcW w:w="1577" w:type="pct"/>
          </w:tcPr>
          <w:p w14:paraId="7634B062" w14:textId="1C4EB24C" w:rsidR="00324B33" w:rsidRPr="00BD5DBD" w:rsidRDefault="00324B33" w:rsidP="007452E8">
            <w:pPr>
              <w:rPr>
                <w:i/>
                <w:szCs w:val="22"/>
              </w:rPr>
            </w:pPr>
            <w:r w:rsidRPr="00BD5DBD">
              <w:rPr>
                <w:i/>
                <w:szCs w:val="22"/>
              </w:rPr>
              <w:t>Strength:</w:t>
            </w:r>
          </w:p>
        </w:tc>
        <w:tc>
          <w:tcPr>
            <w:tcW w:w="3423" w:type="pct"/>
          </w:tcPr>
          <w:p w14:paraId="5E5F83DB" w14:textId="3A11E523" w:rsidR="00324B33" w:rsidRPr="00BD5DBD" w:rsidRDefault="000A3A30" w:rsidP="007452E8">
            <w:pPr>
              <w:rPr>
                <w:szCs w:val="22"/>
              </w:rPr>
            </w:pPr>
            <w:r w:rsidRPr="000A3A30">
              <w:rPr>
                <w:szCs w:val="22"/>
              </w:rPr>
              <w:t>300</w:t>
            </w:r>
            <w:r>
              <w:rPr>
                <w:szCs w:val="22"/>
              </w:rPr>
              <w:t> </w:t>
            </w:r>
            <w:r w:rsidRPr="000A3A30">
              <w:rPr>
                <w:szCs w:val="22"/>
              </w:rPr>
              <w:t>mg/15</w:t>
            </w:r>
            <w:r>
              <w:rPr>
                <w:szCs w:val="22"/>
              </w:rPr>
              <w:t> </w:t>
            </w:r>
            <w:r w:rsidRPr="000A3A30">
              <w:rPr>
                <w:szCs w:val="22"/>
              </w:rPr>
              <w:t>m</w:t>
            </w:r>
            <w:r>
              <w:rPr>
                <w:szCs w:val="22"/>
              </w:rPr>
              <w:t>L</w:t>
            </w:r>
          </w:p>
        </w:tc>
      </w:tr>
      <w:tr w:rsidR="00324B33" w:rsidRPr="00BD5DBD" w14:paraId="34B07BA6" w14:textId="77777777" w:rsidTr="00D237F8">
        <w:tc>
          <w:tcPr>
            <w:tcW w:w="1577" w:type="pct"/>
          </w:tcPr>
          <w:p w14:paraId="1C039224" w14:textId="799681BC" w:rsidR="00324B33" w:rsidRPr="00BD5DBD" w:rsidRDefault="00324B33" w:rsidP="007452E8">
            <w:pPr>
              <w:rPr>
                <w:i/>
                <w:szCs w:val="22"/>
              </w:rPr>
            </w:pPr>
            <w:r w:rsidRPr="00BD5DBD">
              <w:rPr>
                <w:i/>
                <w:szCs w:val="22"/>
              </w:rPr>
              <w:t>Container:</w:t>
            </w:r>
          </w:p>
        </w:tc>
        <w:tc>
          <w:tcPr>
            <w:tcW w:w="3423" w:type="pct"/>
          </w:tcPr>
          <w:p w14:paraId="500A42C6" w14:textId="10873898" w:rsidR="00324B33" w:rsidRPr="00BD5DBD" w:rsidRDefault="00670518" w:rsidP="007452E8">
            <w:pPr>
              <w:rPr>
                <w:szCs w:val="22"/>
              </w:rPr>
            </w:pPr>
            <w:r>
              <w:rPr>
                <w:szCs w:val="22"/>
              </w:rPr>
              <w:t>Vial</w:t>
            </w:r>
          </w:p>
        </w:tc>
      </w:tr>
      <w:tr w:rsidR="00324B33" w:rsidRPr="00BD5DBD" w14:paraId="176B6773" w14:textId="77777777" w:rsidTr="00D237F8">
        <w:tc>
          <w:tcPr>
            <w:tcW w:w="1577" w:type="pct"/>
          </w:tcPr>
          <w:p w14:paraId="71846159" w14:textId="5FA6EDBE" w:rsidR="00324B33" w:rsidRPr="00BD5DBD" w:rsidRDefault="00324B33" w:rsidP="007452E8">
            <w:pPr>
              <w:rPr>
                <w:i/>
                <w:szCs w:val="22"/>
              </w:rPr>
            </w:pPr>
            <w:r w:rsidRPr="00BD5DBD">
              <w:rPr>
                <w:i/>
                <w:szCs w:val="22"/>
              </w:rPr>
              <w:t>Pack size:</w:t>
            </w:r>
          </w:p>
        </w:tc>
        <w:tc>
          <w:tcPr>
            <w:tcW w:w="3423" w:type="pct"/>
          </w:tcPr>
          <w:p w14:paraId="7E978F8F" w14:textId="442AE384" w:rsidR="00324B33" w:rsidRPr="00BD5DBD" w:rsidRDefault="00670518" w:rsidP="007452E8">
            <w:pPr>
              <w:rPr>
                <w:szCs w:val="22"/>
              </w:rPr>
            </w:pPr>
            <w:r>
              <w:rPr>
                <w:szCs w:val="22"/>
              </w:rPr>
              <w:t>One vial</w:t>
            </w:r>
          </w:p>
        </w:tc>
      </w:tr>
      <w:tr w:rsidR="00324B33" w:rsidRPr="00BD5DBD" w14:paraId="19A2544A" w14:textId="77777777" w:rsidTr="00D237F8">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5056407C" w:rsidR="00324B33" w:rsidRPr="007B6F2B" w:rsidRDefault="00AD6847" w:rsidP="007452E8">
            <w:pPr>
              <w:rPr>
                <w:i/>
                <w:iCs/>
                <w:szCs w:val="22"/>
              </w:rPr>
            </w:pPr>
            <w:r w:rsidRPr="007B6F2B">
              <w:rPr>
                <w:i/>
                <w:iCs/>
                <w:szCs w:val="22"/>
              </w:rPr>
              <w:t>T</w:t>
            </w:r>
            <w:r w:rsidR="007B6F2B">
              <w:rPr>
                <w:i/>
                <w:iCs/>
                <w:szCs w:val="22"/>
              </w:rPr>
              <w:t>yruko</w:t>
            </w:r>
            <w:r w:rsidRPr="007B6F2B">
              <w:rPr>
                <w:i/>
                <w:iCs/>
                <w:szCs w:val="22"/>
              </w:rPr>
              <w:t xml:space="preserve"> is indicated as monotherapy for the treatment of patients with relapsing remitting multiple sclerosis (MS) to delay the progression of physical disability and to reduce the frequency of relapse.</w:t>
            </w:r>
          </w:p>
        </w:tc>
      </w:tr>
      <w:tr w:rsidR="00324B33" w:rsidRPr="00BD5DBD" w14:paraId="5AFDEED3" w14:textId="77777777" w:rsidTr="00D237F8">
        <w:tc>
          <w:tcPr>
            <w:tcW w:w="1577" w:type="pct"/>
          </w:tcPr>
          <w:p w14:paraId="03884BD1" w14:textId="70417C6A" w:rsidR="00324B33" w:rsidRPr="00BD5DBD" w:rsidRDefault="00324B33" w:rsidP="007452E8">
            <w:pPr>
              <w:rPr>
                <w:i/>
                <w:szCs w:val="22"/>
              </w:rPr>
            </w:pPr>
            <w:r w:rsidRPr="00BD5DBD">
              <w:rPr>
                <w:i/>
                <w:szCs w:val="22"/>
              </w:rPr>
              <w:t>Route of administration:</w:t>
            </w:r>
          </w:p>
        </w:tc>
        <w:tc>
          <w:tcPr>
            <w:tcW w:w="3423" w:type="pct"/>
          </w:tcPr>
          <w:p w14:paraId="1ED1357E" w14:textId="2C822A6A" w:rsidR="00324B33" w:rsidRPr="00BD5DBD" w:rsidRDefault="00121B49" w:rsidP="007452E8">
            <w:pPr>
              <w:rPr>
                <w:szCs w:val="22"/>
              </w:rPr>
            </w:pPr>
            <w:r>
              <w:rPr>
                <w:szCs w:val="22"/>
              </w:rPr>
              <w:t>Intravenous infusion</w:t>
            </w:r>
          </w:p>
        </w:tc>
      </w:tr>
      <w:tr w:rsidR="00324B33" w:rsidRPr="00BD5DBD" w14:paraId="70D7E9FA" w14:textId="77777777" w:rsidTr="00D237F8">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3836F140" w14:textId="1F3E9286" w:rsidR="001366AD" w:rsidRDefault="001366AD" w:rsidP="007452E8">
            <w:pPr>
              <w:rPr>
                <w:szCs w:val="22"/>
              </w:rPr>
            </w:pPr>
            <w:r w:rsidRPr="001366AD">
              <w:rPr>
                <w:szCs w:val="22"/>
              </w:rPr>
              <w:t>T</w:t>
            </w:r>
            <w:r>
              <w:rPr>
                <w:szCs w:val="22"/>
              </w:rPr>
              <w:t>yruko</w:t>
            </w:r>
            <w:r w:rsidRPr="001366AD">
              <w:rPr>
                <w:szCs w:val="22"/>
              </w:rPr>
              <w:t xml:space="preserve"> therapy is to be initiated and supervised by neurologists, with timely access to MRI. Administration is to be performed by a healthcare professional and patients are to be monitored for early signs and symptoms of </w:t>
            </w:r>
            <w:r w:rsidR="00472409" w:rsidRPr="00472409">
              <w:rPr>
                <w:szCs w:val="22"/>
              </w:rPr>
              <w:t>progressive multifocal leukoencephalopathy</w:t>
            </w:r>
            <w:r w:rsidR="00472409">
              <w:rPr>
                <w:szCs w:val="22"/>
              </w:rPr>
              <w:t xml:space="preserve"> (</w:t>
            </w:r>
            <w:r w:rsidRPr="001366AD">
              <w:rPr>
                <w:szCs w:val="22"/>
              </w:rPr>
              <w:t>PML</w:t>
            </w:r>
            <w:r w:rsidR="00472409">
              <w:rPr>
                <w:szCs w:val="22"/>
              </w:rPr>
              <w:t>)</w:t>
            </w:r>
            <w:r w:rsidRPr="001366AD">
              <w:rPr>
                <w:szCs w:val="22"/>
              </w:rPr>
              <w:t>.</w:t>
            </w:r>
          </w:p>
          <w:p w14:paraId="4BD4ECF7" w14:textId="4F432F9D" w:rsidR="00666911" w:rsidRDefault="00526BC0" w:rsidP="007452E8">
            <w:pPr>
              <w:rPr>
                <w:szCs w:val="22"/>
              </w:rPr>
            </w:pPr>
            <w:r>
              <w:rPr>
                <w:szCs w:val="22"/>
              </w:rPr>
              <w:t>For adults t</w:t>
            </w:r>
            <w:r w:rsidR="007414D9" w:rsidRPr="007414D9">
              <w:rPr>
                <w:szCs w:val="22"/>
              </w:rPr>
              <w:t>he recommended dose of T</w:t>
            </w:r>
            <w:r w:rsidR="007414D9">
              <w:rPr>
                <w:szCs w:val="22"/>
              </w:rPr>
              <w:t>yr</w:t>
            </w:r>
            <w:r>
              <w:rPr>
                <w:szCs w:val="22"/>
              </w:rPr>
              <w:t>uko</w:t>
            </w:r>
            <w:r w:rsidR="007414D9" w:rsidRPr="007414D9">
              <w:rPr>
                <w:szCs w:val="22"/>
              </w:rPr>
              <w:t xml:space="preserve"> by intravenous infusion is 300 mg every four weeks.</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D237F8">
        <w:tc>
          <w:tcPr>
            <w:tcW w:w="1577" w:type="pct"/>
          </w:tcPr>
          <w:p w14:paraId="3A76AFF7" w14:textId="7C436DD9" w:rsidR="0017005C" w:rsidRPr="00F8083B" w:rsidRDefault="0070330F" w:rsidP="0017005C">
            <w:r w:rsidRPr="00BD5DBD">
              <w:rPr>
                <w:i/>
                <w:szCs w:val="22"/>
              </w:rPr>
              <w:t>Pregnancy category:</w:t>
            </w:r>
          </w:p>
        </w:tc>
        <w:tc>
          <w:tcPr>
            <w:tcW w:w="3423" w:type="pct"/>
          </w:tcPr>
          <w:p w14:paraId="5F25CC35" w14:textId="6636ADF6" w:rsidR="00000E6E" w:rsidRPr="00040D8D" w:rsidRDefault="0053377D" w:rsidP="00EB2531">
            <w:pPr>
              <w:rPr>
                <w:i/>
                <w:color w:val="007099"/>
              </w:rPr>
            </w:pPr>
            <w:r>
              <w:t>C</w:t>
            </w:r>
          </w:p>
          <w:p w14:paraId="5D6E9706" w14:textId="4A952A07" w:rsidR="00000E6E" w:rsidRPr="00000E6E" w:rsidRDefault="008771C8" w:rsidP="008771C8">
            <w:r w:rsidRPr="008771C8">
              <w:t xml:space="preserve">Drugs which, owing to their pharmacological effects, have caused or may be suspected of causing, harmful effects on the human </w:t>
            </w:r>
            <w:proofErr w:type="spellStart"/>
            <w:r w:rsidRPr="008771C8">
              <w:t>fetus</w:t>
            </w:r>
            <w:proofErr w:type="spellEnd"/>
            <w:r w:rsidRPr="008771C8">
              <w:t xml:space="preserve"> or neonate without causing malformations. These </w:t>
            </w:r>
            <w:r w:rsidRPr="008771C8">
              <w:lastRenderedPageBreak/>
              <w:t>effects may be reversible. Accompanying texts should be consulted for further details.</w:t>
            </w:r>
          </w:p>
          <w:p w14:paraId="76497789" w14:textId="11809B19"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3" w:name="_Toc247691503"/>
      <w:bookmarkStart w:id="14" w:name="_Toc314842484"/>
      <w:bookmarkStart w:id="15" w:name="_Toc103679290"/>
      <w:bookmarkStart w:id="16" w:name="_Toc205908877"/>
      <w:r>
        <w:lastRenderedPageBreak/>
        <w:t>Product background</w:t>
      </w:r>
      <w:bookmarkEnd w:id="13"/>
      <w:bookmarkEnd w:id="14"/>
      <w:bookmarkEnd w:id="15"/>
      <w:bookmarkEnd w:id="16"/>
    </w:p>
    <w:p w14:paraId="59BF31D1" w14:textId="16933B0F" w:rsidR="001500A8" w:rsidRDefault="00324B33" w:rsidP="00065839">
      <w:r w:rsidRPr="00065839">
        <w:t xml:space="preserve">This AusPAR describes the submission by </w:t>
      </w:r>
      <w:r w:rsidR="0011553A" w:rsidRPr="000E1AEF">
        <w:rPr>
          <w:szCs w:val="22"/>
        </w:rPr>
        <w:t>Sandoz Pty Ltd</w:t>
      </w:r>
      <w:r w:rsidRPr="00065839">
        <w:t xml:space="preserve"> (the sponsor) to register </w:t>
      </w:r>
      <w:r w:rsidR="0011553A">
        <w:t xml:space="preserve">Tyruko </w:t>
      </w:r>
      <w:r w:rsidRPr="00065839">
        <w:t>(</w:t>
      </w:r>
      <w:r w:rsidR="0011553A">
        <w:t>n</w:t>
      </w:r>
      <w:r w:rsidR="0011553A" w:rsidRPr="0011553A">
        <w:t>atalizumab</w:t>
      </w:r>
      <w:r w:rsidRPr="00065839">
        <w:t xml:space="preserve">) </w:t>
      </w:r>
      <w:r w:rsidR="0011553A" w:rsidRPr="0011553A">
        <w:t>300 mg/15 mL</w:t>
      </w:r>
      <w:r w:rsidRPr="00065839">
        <w:t xml:space="preserve">, </w:t>
      </w:r>
      <w:r w:rsidR="0011553A">
        <w:t>c</w:t>
      </w:r>
      <w:r w:rsidR="0011553A" w:rsidRPr="0011553A">
        <w:t>oncentrate for injection</w:t>
      </w:r>
      <w:r w:rsidR="00D62877" w:rsidRPr="00065839">
        <w:t>,</w:t>
      </w:r>
      <w:r w:rsidR="0011553A">
        <w:t xml:space="preserve"> vial</w:t>
      </w:r>
      <w:r w:rsidRPr="00065839">
        <w:t xml:space="preserve"> for the following proposed indicatio</w:t>
      </w:r>
      <w:r w:rsidR="0011553A">
        <w:t>n:</w:t>
      </w:r>
      <w:r w:rsidR="00D63760" w:rsidRPr="00065839">
        <w:rPr>
          <w:vertAlign w:val="superscript"/>
        </w:rPr>
        <w:footnoteReference w:id="1"/>
      </w:r>
    </w:p>
    <w:p w14:paraId="56DC52E0" w14:textId="58E0607F" w:rsidR="00A47BF7" w:rsidRPr="00642129" w:rsidRDefault="00A47BF7" w:rsidP="00642129">
      <w:pPr>
        <w:ind w:left="720"/>
        <w:rPr>
          <w:i/>
          <w:iCs/>
          <w:szCs w:val="22"/>
        </w:rPr>
      </w:pPr>
      <w:r w:rsidRPr="00642129">
        <w:rPr>
          <w:i/>
          <w:iCs/>
          <w:szCs w:val="22"/>
        </w:rPr>
        <w:t>Tyruko is indicated as monotherapy for the treatment of patients with relapsing remitting multiple sclerosis (MS) to delay the progression of physical disability and to reduce the frequency of relapse.</w:t>
      </w:r>
    </w:p>
    <w:p w14:paraId="1E63A2AE" w14:textId="666065AD" w:rsidR="00CB6813" w:rsidRDefault="004444B0" w:rsidP="00CB6813">
      <w:pPr>
        <w:pStyle w:val="Heading4"/>
      </w:pPr>
      <w:bookmarkStart w:id="17" w:name="_Toc205908878"/>
      <w:bookmarkStart w:id="18" w:name="_Toc314842485"/>
      <w:bookmarkStart w:id="19" w:name="_Toc247691504"/>
      <w:r>
        <w:t>The d</w:t>
      </w:r>
      <w:r w:rsidR="00CB6813" w:rsidRPr="00C12D65">
        <w:t>isease</w:t>
      </w:r>
      <w:bookmarkEnd w:id="17"/>
    </w:p>
    <w:p w14:paraId="0254E218" w14:textId="5DA506D0" w:rsidR="0029609A" w:rsidRPr="001A1B03" w:rsidRDefault="0029609A" w:rsidP="00C543DD">
      <w:r w:rsidRPr="00C543DD">
        <w:t>Multiple scle</w:t>
      </w:r>
      <w:r w:rsidRPr="00210C81">
        <w:t>rosis</w:t>
      </w:r>
      <w:r w:rsidR="00466670" w:rsidRPr="00210C81">
        <w:t xml:space="preserve"> (MS)</w:t>
      </w:r>
      <w:r w:rsidRPr="00210C81">
        <w:t xml:space="preserve"> is</w:t>
      </w:r>
      <w:r w:rsidRPr="00C543DD">
        <w:t xml:space="preserve"> an inflammatory disease of the central nervous system.</w:t>
      </w:r>
      <w:r w:rsidR="006D1F37" w:rsidRPr="00885265">
        <w:rPr>
          <w:vertAlign w:val="superscript"/>
        </w:rPr>
        <w:footnoteReference w:id="2"/>
      </w:r>
      <w:r w:rsidRPr="00C543DD">
        <w:t xml:space="preserve"> Earlier in its course, damage is from discrete demyelinating lesions that result in axonal and neuronal dysfunction. Later, diffuse inflammation and neurodegeneration worsen </w:t>
      </w:r>
      <w:r w:rsidR="00301E94" w:rsidRPr="00C543DD">
        <w:t>central nervous system</w:t>
      </w:r>
      <w:r w:rsidRPr="001A1B03">
        <w:t xml:space="preserve"> dysfunction. The disease is characterised by progressive disability.</w:t>
      </w:r>
    </w:p>
    <w:p w14:paraId="0D726992" w14:textId="34CD4E93" w:rsidR="0029609A" w:rsidRPr="00C543DD" w:rsidRDefault="0029609A" w:rsidP="00C543DD">
      <w:r w:rsidRPr="001A1B03">
        <w:t xml:space="preserve">Specific symptoms of acute attacks include painful vision loss (due to optic neuritis), limb weakness (due to transverse myelitis) and ataxia/facial numbness/diplopia (due to brainstem lesions). Typical demyelinating lesions seen on </w:t>
      </w:r>
      <w:r w:rsidR="002C3A23" w:rsidRPr="001A1B03">
        <w:t>magnetic resonance imaging (</w:t>
      </w:r>
      <w:r w:rsidRPr="001A1B03">
        <w:t>MRI</w:t>
      </w:r>
      <w:r w:rsidR="00A61221" w:rsidRPr="001A1B03">
        <w:t>)</w:t>
      </w:r>
      <w:r w:rsidRPr="001A1B03">
        <w:t xml:space="preserve"> occur in juxtacortical regions, pericallosal regions, spinal cord and the posterior fossa.</w:t>
      </w:r>
    </w:p>
    <w:p w14:paraId="7948B804" w14:textId="50345C68" w:rsidR="0029609A" w:rsidRPr="00C543DD" w:rsidRDefault="0029609A" w:rsidP="00C543DD">
      <w:r w:rsidRPr="00C543DD">
        <w:t xml:space="preserve">Diagnosis is based on clinical presentation and MRI findings, as well as other tests such as </w:t>
      </w:r>
      <w:r w:rsidR="00916ED5">
        <w:t xml:space="preserve">cerebrospinal fluid </w:t>
      </w:r>
      <w:r w:rsidRPr="00C543DD">
        <w:t>analysis and visual evoked potentials. The radiological diagnosis is based on the findings of characteristic MRI lesions disseminated in time and space. The modified McDonald criteria (2017) require that:</w:t>
      </w:r>
    </w:p>
    <w:p w14:paraId="75C86836" w14:textId="3CB63B6A" w:rsidR="0029609A" w:rsidRPr="00466670" w:rsidRDefault="0029609A" w:rsidP="00466670">
      <w:pPr>
        <w:pStyle w:val="ListBullet"/>
      </w:pPr>
      <w:r w:rsidRPr="00466670">
        <w:t xml:space="preserve">the dissemination in space includes at least </w:t>
      </w:r>
      <w:r w:rsidR="00466670">
        <w:t>one</w:t>
      </w:r>
      <w:r w:rsidRPr="00466670">
        <w:t xml:space="preserve"> lesion in at least two out of four areas of the </w:t>
      </w:r>
      <w:r w:rsidR="00630BC8">
        <w:t>central nervous system</w:t>
      </w:r>
      <w:r w:rsidRPr="00466670">
        <w:t xml:space="preserve"> (juxtacortical/intracortical, periventricular, infratentorial, spinal cord</w:t>
      </w:r>
      <w:r w:rsidR="00466670">
        <w:t>)</w:t>
      </w:r>
    </w:p>
    <w:p w14:paraId="2452DC13" w14:textId="686F21F6" w:rsidR="0029609A" w:rsidRDefault="0029609A" w:rsidP="00466670">
      <w:pPr>
        <w:pStyle w:val="ListBullet"/>
      </w:pPr>
      <w:r w:rsidRPr="00466670">
        <w:t xml:space="preserve">the dissemination in time </w:t>
      </w:r>
      <w:r w:rsidR="0008538D" w:rsidRPr="00466670">
        <w:t>includes</w:t>
      </w:r>
      <w:r w:rsidRPr="00466670">
        <w:t xml:space="preserve"> either a new T2/gadolinium enhancing lesion on MRI compared to </w:t>
      </w:r>
      <w:r w:rsidR="00466670">
        <w:t>B</w:t>
      </w:r>
      <w:r w:rsidRPr="00466670">
        <w:t>aseline</w:t>
      </w:r>
      <w:r w:rsidR="00466670">
        <w:t>, or</w:t>
      </w:r>
      <w:r w:rsidRPr="00466670">
        <w:t xml:space="preserve"> simultaneous asymptomatic gadolinium-enhancing and non</w:t>
      </w:r>
      <w:r w:rsidR="00466670">
        <w:noBreakHyphen/>
      </w:r>
      <w:r w:rsidRPr="00466670">
        <w:t>enhancing at a single point in time (</w:t>
      </w:r>
      <w:r w:rsidR="00466670">
        <w:t>that is,</w:t>
      </w:r>
      <w:r w:rsidRPr="00466670">
        <w:t xml:space="preserve"> using the latter formulation, MS could be diagnosed on a single MRI with the appropriate clinical presentation)</w:t>
      </w:r>
      <w:r w:rsidR="0008538D">
        <w:t>.</w:t>
      </w:r>
    </w:p>
    <w:p w14:paraId="4F248EFA" w14:textId="73F3E6EE" w:rsidR="0039382A" w:rsidRPr="00466670" w:rsidRDefault="0039382A" w:rsidP="004523B0">
      <w:r w:rsidRPr="0039382A">
        <w:lastRenderedPageBreak/>
        <w:t>Treatment of MS is for acute attacks, prevention of relapse and symptomatic. Broadly speaking, acute attacks are treated with corticosteroids and prevention of relapse is with various forms of immunotherapy (see below for list of Australian approved drugs). Symptomatic treatment may be for pain, spasticity, bladder dysfunction, psychiatric symptoms or a range of other problems.</w:t>
      </w:r>
    </w:p>
    <w:p w14:paraId="255E083A" w14:textId="77777777" w:rsidR="00CB6813" w:rsidRDefault="00CB6813" w:rsidP="00CB6813">
      <w:pPr>
        <w:pStyle w:val="Heading4"/>
      </w:pPr>
      <w:bookmarkStart w:id="20" w:name="_Toc205908879"/>
      <w:r>
        <w:t>Current treatment options</w:t>
      </w:r>
      <w:bookmarkEnd w:id="20"/>
    </w:p>
    <w:p w14:paraId="2F66953B" w14:textId="77777777" w:rsidR="00A4589E" w:rsidRDefault="005A4B78" w:rsidP="005A4B78">
      <w:r>
        <w:t>T</w:t>
      </w:r>
      <w:r w:rsidR="00A4589E">
        <w:t xml:space="preserve">ysabri </w:t>
      </w:r>
      <w:r>
        <w:t>(natalizumab) is one of several options available in Australia for treatment of relapsing</w:t>
      </w:r>
      <w:r w:rsidR="00A4589E">
        <w:noBreakHyphen/>
      </w:r>
      <w:r>
        <w:t>remitting MS.</w:t>
      </w:r>
    </w:p>
    <w:p w14:paraId="5D2CC933" w14:textId="16521A37" w:rsidR="005A4B78" w:rsidRDefault="005A4B78" w:rsidP="005A4B78">
      <w:r>
        <w:t xml:space="preserve">Other drugs in the </w:t>
      </w:r>
      <w:r w:rsidR="00A4589E">
        <w:t>Australian Register of Therapeutic Goods (</w:t>
      </w:r>
      <w:r>
        <w:t>ARTG</w:t>
      </w:r>
      <w:r w:rsidR="00A4589E">
        <w:t>)</w:t>
      </w:r>
      <w:r>
        <w:t xml:space="preserve"> with an indication for multiple sclerosis are:</w:t>
      </w:r>
    </w:p>
    <w:p w14:paraId="1A2F9640" w14:textId="16425B86" w:rsidR="005A4B78" w:rsidRDefault="005A4B78" w:rsidP="00A4589E">
      <w:pPr>
        <w:pStyle w:val="ListBullet"/>
      </w:pPr>
      <w:r>
        <w:t>Immunomodulatory</w:t>
      </w:r>
    </w:p>
    <w:p w14:paraId="2EA3DE3B" w14:textId="1354DE32" w:rsidR="005A4B78" w:rsidRPr="00A4589E" w:rsidRDefault="005A4B78" w:rsidP="00A4589E">
      <w:pPr>
        <w:pStyle w:val="ListBullet2"/>
      </w:pPr>
      <w:r w:rsidRPr="00A4589E">
        <w:t>Alemtuzumab</w:t>
      </w:r>
    </w:p>
    <w:p w14:paraId="5F915420" w14:textId="042158C0" w:rsidR="005A4B78" w:rsidRPr="00A4589E" w:rsidRDefault="005A4B78" w:rsidP="00A4589E">
      <w:pPr>
        <w:pStyle w:val="ListBullet2"/>
      </w:pPr>
      <w:r w:rsidRPr="00A4589E">
        <w:t>Cladribine</w:t>
      </w:r>
    </w:p>
    <w:p w14:paraId="65552F88" w14:textId="2617462D" w:rsidR="005A4B78" w:rsidRPr="00A4589E" w:rsidRDefault="005A4B78" w:rsidP="00A4589E">
      <w:pPr>
        <w:pStyle w:val="ListBullet2"/>
      </w:pPr>
      <w:r w:rsidRPr="00A4589E">
        <w:t>Dimethyl fumarate</w:t>
      </w:r>
    </w:p>
    <w:p w14:paraId="100D616E" w14:textId="252FF0BD" w:rsidR="005A4B78" w:rsidRPr="00A4589E" w:rsidRDefault="005A4B78" w:rsidP="00A4589E">
      <w:pPr>
        <w:pStyle w:val="ListBullet2"/>
      </w:pPr>
      <w:r w:rsidRPr="00A4589E">
        <w:t>Diroximel fumarate</w:t>
      </w:r>
    </w:p>
    <w:p w14:paraId="6C5F7773" w14:textId="3B84B6C7" w:rsidR="005A4B78" w:rsidRPr="00A4589E" w:rsidRDefault="005A4B78" w:rsidP="00A4589E">
      <w:pPr>
        <w:pStyle w:val="ListBullet2"/>
      </w:pPr>
      <w:r w:rsidRPr="00A4589E">
        <w:t>Fingolimod</w:t>
      </w:r>
    </w:p>
    <w:p w14:paraId="2576635A" w14:textId="4D805979" w:rsidR="005A4B78" w:rsidRPr="00A4589E" w:rsidRDefault="005A4B78" w:rsidP="00A4589E">
      <w:pPr>
        <w:pStyle w:val="ListBullet2"/>
      </w:pPr>
      <w:r w:rsidRPr="00A4589E">
        <w:t>Ozanimod</w:t>
      </w:r>
    </w:p>
    <w:p w14:paraId="49CE2ED0" w14:textId="121AE8EC" w:rsidR="005A4B78" w:rsidRPr="00A4589E" w:rsidRDefault="005A4B78" w:rsidP="00A4589E">
      <w:pPr>
        <w:pStyle w:val="ListBullet2"/>
      </w:pPr>
      <w:r w:rsidRPr="00A4589E">
        <w:t>Siponimod</w:t>
      </w:r>
    </w:p>
    <w:p w14:paraId="05E6C778" w14:textId="4A45809E" w:rsidR="005A4B78" w:rsidRPr="00A4589E" w:rsidRDefault="005A4B78" w:rsidP="00A4589E">
      <w:pPr>
        <w:pStyle w:val="ListBullet2"/>
      </w:pPr>
      <w:r w:rsidRPr="00A4589E">
        <w:t>Glatiramer</w:t>
      </w:r>
    </w:p>
    <w:p w14:paraId="017EFB46" w14:textId="03038602" w:rsidR="005A4B78" w:rsidRPr="00A4589E" w:rsidRDefault="005A4B78" w:rsidP="00A4589E">
      <w:pPr>
        <w:pStyle w:val="ListBullet2"/>
      </w:pPr>
      <w:r w:rsidRPr="00A4589E">
        <w:t>Interferon beta-1a</w:t>
      </w:r>
    </w:p>
    <w:p w14:paraId="7F7A5423" w14:textId="50237FAF" w:rsidR="005A4B78" w:rsidRPr="00A4589E" w:rsidRDefault="005A4B78" w:rsidP="00A4589E">
      <w:pPr>
        <w:pStyle w:val="ListBullet2"/>
      </w:pPr>
      <w:r w:rsidRPr="00A4589E">
        <w:t>Interferon beta-1b</w:t>
      </w:r>
    </w:p>
    <w:p w14:paraId="12FACD43" w14:textId="26357885" w:rsidR="005A4B78" w:rsidRPr="00A4589E" w:rsidRDefault="005A4B78" w:rsidP="00A4589E">
      <w:pPr>
        <w:pStyle w:val="ListBullet2"/>
      </w:pPr>
      <w:r w:rsidRPr="00A4589E">
        <w:t>Methylprednisolone</w:t>
      </w:r>
    </w:p>
    <w:p w14:paraId="3AA13CCF" w14:textId="50F4A19B" w:rsidR="005A4B78" w:rsidRPr="00A4589E" w:rsidRDefault="005A4B78" w:rsidP="00A4589E">
      <w:pPr>
        <w:pStyle w:val="ListBullet2"/>
      </w:pPr>
      <w:r w:rsidRPr="00A4589E">
        <w:t>Ocrelizumab</w:t>
      </w:r>
    </w:p>
    <w:p w14:paraId="56A6B740" w14:textId="1C37AEED" w:rsidR="005A4B78" w:rsidRPr="00A4589E" w:rsidRDefault="005A4B78" w:rsidP="00A4589E">
      <w:pPr>
        <w:pStyle w:val="ListBullet2"/>
      </w:pPr>
      <w:r w:rsidRPr="00A4589E">
        <w:t>Ofatumumab</w:t>
      </w:r>
    </w:p>
    <w:p w14:paraId="54D0FB39" w14:textId="3D0383C7" w:rsidR="005A4B78" w:rsidRPr="00A4589E" w:rsidRDefault="005A4B78" w:rsidP="00A4589E">
      <w:pPr>
        <w:pStyle w:val="ListBullet2"/>
      </w:pPr>
      <w:r w:rsidRPr="00A4589E">
        <w:t>Teriflunomide</w:t>
      </w:r>
    </w:p>
    <w:p w14:paraId="7042A5E7" w14:textId="08E16011" w:rsidR="005A4B78" w:rsidRPr="00A4589E" w:rsidRDefault="005A4B78" w:rsidP="00A4589E">
      <w:pPr>
        <w:pStyle w:val="ListBullet2"/>
      </w:pPr>
      <w:proofErr w:type="spellStart"/>
      <w:r w:rsidRPr="00A4589E">
        <w:t>Tetracosactide</w:t>
      </w:r>
      <w:proofErr w:type="spellEnd"/>
    </w:p>
    <w:p w14:paraId="47E373D9" w14:textId="65BD01FF" w:rsidR="005A4B78" w:rsidRDefault="005A4B78" w:rsidP="00A4589E">
      <w:pPr>
        <w:pStyle w:val="ListBullet"/>
      </w:pPr>
      <w:r>
        <w:t>Symptomatic</w:t>
      </w:r>
    </w:p>
    <w:p w14:paraId="7BE01914" w14:textId="22397534" w:rsidR="005A4B78" w:rsidRPr="00A4589E" w:rsidRDefault="005A4B78" w:rsidP="00A4589E">
      <w:pPr>
        <w:pStyle w:val="ListBullet2"/>
      </w:pPr>
      <w:r w:rsidRPr="00A4589E">
        <w:t>Baclofen</w:t>
      </w:r>
    </w:p>
    <w:p w14:paraId="5F2F1EE2" w14:textId="16BAD167" w:rsidR="005A4B78" w:rsidRPr="00A4589E" w:rsidRDefault="005A4B78" w:rsidP="00A4589E">
      <w:pPr>
        <w:pStyle w:val="ListBullet2"/>
      </w:pPr>
      <w:r w:rsidRPr="00A4589E">
        <w:t>Botulinum toxin</w:t>
      </w:r>
    </w:p>
    <w:p w14:paraId="2DC09F71" w14:textId="571DC277" w:rsidR="005A4B78" w:rsidRPr="00A4589E" w:rsidRDefault="005A4B78" w:rsidP="00A4589E">
      <w:pPr>
        <w:pStyle w:val="ListBullet2"/>
      </w:pPr>
      <w:r w:rsidRPr="00A4589E">
        <w:t>Carbamazepine</w:t>
      </w:r>
    </w:p>
    <w:p w14:paraId="51B175A3" w14:textId="1F0E717D" w:rsidR="005A4B78" w:rsidRPr="00A4589E" w:rsidRDefault="005A4B78" w:rsidP="00A4589E">
      <w:pPr>
        <w:pStyle w:val="ListBullet2"/>
      </w:pPr>
      <w:r w:rsidRPr="00A4589E">
        <w:t>Dantrolene</w:t>
      </w:r>
    </w:p>
    <w:p w14:paraId="1FFAC1E9" w14:textId="7FA80BF9" w:rsidR="005A4B78" w:rsidRPr="00A4589E" w:rsidRDefault="005A4B78" w:rsidP="00A4589E">
      <w:pPr>
        <w:pStyle w:val="ListBullet2"/>
      </w:pPr>
      <w:r w:rsidRPr="00A4589E">
        <w:t>Fampridine</w:t>
      </w:r>
    </w:p>
    <w:p w14:paraId="0C4BB9B1" w14:textId="718878BB" w:rsidR="008F0732" w:rsidRPr="00A4589E" w:rsidRDefault="005A4B78" w:rsidP="00A4589E">
      <w:pPr>
        <w:pStyle w:val="ListBullet2"/>
      </w:pPr>
      <w:proofErr w:type="spellStart"/>
      <w:r w:rsidRPr="00A4589E">
        <w:t>Nabiximols</w:t>
      </w:r>
      <w:proofErr w:type="spellEnd"/>
    </w:p>
    <w:p w14:paraId="37C47E09" w14:textId="14D3762D" w:rsidR="00CB6813" w:rsidRDefault="00CB6813" w:rsidP="00CB6813">
      <w:pPr>
        <w:pStyle w:val="Heading4"/>
      </w:pPr>
      <w:bookmarkStart w:id="21" w:name="_Toc205908880"/>
      <w:r>
        <w:lastRenderedPageBreak/>
        <w:t>C</w:t>
      </w:r>
      <w:r w:rsidRPr="00DE1344">
        <w:t>linical rational</w:t>
      </w:r>
      <w:r w:rsidR="0025785B">
        <w:t>e</w:t>
      </w:r>
      <w:bookmarkEnd w:id="21"/>
    </w:p>
    <w:p w14:paraId="43657E23" w14:textId="77777777" w:rsidR="004523B0" w:rsidRPr="007A7198" w:rsidRDefault="004523B0" w:rsidP="004523B0">
      <w:r w:rsidRPr="007A7198">
        <w:t>Natalizumab is a recombinant humanised immunoglobulin (</w:t>
      </w:r>
      <w:r w:rsidRPr="004E5954">
        <w:t>Ig</w:t>
      </w:r>
      <w:r w:rsidRPr="007A7198">
        <w:t xml:space="preserve">) G4 monoclonal antibody which binds to alpha4 </w:t>
      </w:r>
      <w:r w:rsidRPr="001C60F3">
        <w:t>beta1 (α4β1) and alpha4 beta7 (α4β7) integrins</w:t>
      </w:r>
      <w:r w:rsidRPr="007A7198">
        <w:t xml:space="preserve"> and inhibits the trafficking of lymphocytes into tissues. Integrin α4β1 is involved with lymphocyte movement into the brain and is involved in the therapeutic effect of natalizumab in the inflammatory demyelinating disease multiple sclerosis.</w:t>
      </w:r>
    </w:p>
    <w:p w14:paraId="27A4E5C0" w14:textId="77777777" w:rsidR="004523B0" w:rsidRPr="007A7198" w:rsidRDefault="004523B0" w:rsidP="004523B0">
      <w:r w:rsidRPr="007A7198">
        <w:t>The innovator product T</w:t>
      </w:r>
      <w:r>
        <w:t>ysabri</w:t>
      </w:r>
      <w:r w:rsidRPr="007A7198">
        <w:t xml:space="preserve"> is indicated as </w:t>
      </w:r>
      <w:r>
        <w:t>‘</w:t>
      </w:r>
      <w:r w:rsidRPr="007A7198">
        <w:t>monotherapy for the treatment of patients with relapsing remitting multiple sclerosis (MS) to delay the progression of physical disability and to reduce the frequency of relapse</w:t>
      </w:r>
      <w:r>
        <w:t>’</w:t>
      </w:r>
      <w:r w:rsidRPr="007A7198">
        <w:t>.</w:t>
      </w:r>
      <w:r>
        <w:rPr>
          <w:rStyle w:val="FootnoteReference"/>
        </w:rPr>
        <w:footnoteReference w:id="3"/>
      </w:r>
    </w:p>
    <w:p w14:paraId="7C0EB2D7" w14:textId="563D1A27" w:rsidR="004523B0" w:rsidRPr="00F35454" w:rsidRDefault="00427B3B" w:rsidP="004523B0">
      <w:r>
        <w:t>The sponsor submitted a COR-B submission based on the Europ</w:t>
      </w:r>
      <w:r w:rsidRPr="00CB7CE6">
        <w:t>ean Union (EU) centralised</w:t>
      </w:r>
      <w:r>
        <w:t xml:space="preserve"> procedure which resulted in marketing authorisation being granted to Tyruko on 22 September 2023.</w:t>
      </w:r>
      <w:r w:rsidR="00DD3203">
        <w:rPr>
          <w:rStyle w:val="FootnoteReference"/>
        </w:rPr>
        <w:footnoteReference w:id="4"/>
      </w:r>
      <w:r>
        <w:t xml:space="preserve"> </w:t>
      </w:r>
      <w:r w:rsidR="004523B0" w:rsidRPr="00F35454">
        <w:t>The indication for T</w:t>
      </w:r>
      <w:r w:rsidR="004523B0">
        <w:t>yruko</w:t>
      </w:r>
      <w:r w:rsidR="004523B0" w:rsidRPr="00F35454">
        <w:t xml:space="preserve"> mirrored that of the innovator product, as follows:</w:t>
      </w:r>
    </w:p>
    <w:p w14:paraId="5AEFD5DE" w14:textId="77777777" w:rsidR="004523B0" w:rsidRPr="00F35454" w:rsidRDefault="004523B0" w:rsidP="004523B0">
      <w:pPr>
        <w:pStyle w:val="ListBullet"/>
      </w:pPr>
      <w:r w:rsidRPr="00F35454">
        <w:t>Tysabri is indicated as single disease modifying therapy in adults with highly active relapsing remitting multip</w:t>
      </w:r>
      <w:r w:rsidRPr="00EE1692">
        <w:t>le sclerosis (RRMS) for the</w:t>
      </w:r>
      <w:r w:rsidRPr="00F35454">
        <w:t xml:space="preserve"> following patient groups:</w:t>
      </w:r>
    </w:p>
    <w:p w14:paraId="3DEC97EA" w14:textId="0A73C3DA" w:rsidR="004523B0" w:rsidRPr="00F35454" w:rsidRDefault="004523B0" w:rsidP="004523B0">
      <w:pPr>
        <w:pStyle w:val="ListBullet2"/>
      </w:pPr>
      <w:r w:rsidRPr="00F35454">
        <w:t>Patients with highly active disease despite a full and adequate course of treatment with at least one disease modifying therapy</w:t>
      </w:r>
    </w:p>
    <w:p w14:paraId="049A58E9" w14:textId="5A10B9BD" w:rsidR="00CB6813" w:rsidRPr="001B3735" w:rsidRDefault="004523B0" w:rsidP="001B3735">
      <w:pPr>
        <w:pStyle w:val="ListBullet2"/>
      </w:pPr>
      <w:r w:rsidRPr="00F35454">
        <w:t>Patients with rapidly evolving severe RRMS defined by 2 or more disabling relapses in one year, and with 1 or more Gadolinium enhancing lesions on brain Magnetic Resonance Imaging (MRI) or a significant increase in T2 lesion load as compared to a previous recent MRI</w:t>
      </w:r>
      <w:r>
        <w:t>.</w:t>
      </w:r>
    </w:p>
    <w:p w14:paraId="0D615854" w14:textId="77777777" w:rsidR="00324B33" w:rsidRPr="003F31A2" w:rsidRDefault="00324B33" w:rsidP="00324B33">
      <w:pPr>
        <w:pStyle w:val="Heading3"/>
      </w:pPr>
      <w:bookmarkStart w:id="22" w:name="_Toc103679291"/>
      <w:bookmarkStart w:id="23" w:name="_Toc205908881"/>
      <w:r>
        <w:t>Regulatory status</w:t>
      </w:r>
      <w:bookmarkEnd w:id="18"/>
      <w:bookmarkEnd w:id="19"/>
      <w:bookmarkEnd w:id="22"/>
      <w:bookmarkEnd w:id="23"/>
    </w:p>
    <w:p w14:paraId="72C889D6" w14:textId="7E200950" w:rsidR="0017005C" w:rsidRPr="00BD5DBD" w:rsidRDefault="0017005C" w:rsidP="00741AB9">
      <w:pPr>
        <w:pStyle w:val="Heading4"/>
      </w:pPr>
      <w:bookmarkStart w:id="24" w:name="_Toc205908882"/>
      <w:r w:rsidRPr="00BD5DBD">
        <w:t>Australian regulatory</w:t>
      </w:r>
      <w:r>
        <w:t xml:space="preserve"> sta</w:t>
      </w:r>
      <w:r w:rsidR="0025785B">
        <w:t>t</w:t>
      </w:r>
      <w:r>
        <w:t>us</w:t>
      </w:r>
      <w:bookmarkEnd w:id="24"/>
    </w:p>
    <w:p w14:paraId="6A8633FA" w14:textId="01A1F32C" w:rsidR="00324B33"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biosimilar medicine for Australian regulatory purposes.</w:t>
      </w:r>
    </w:p>
    <w:p w14:paraId="0A6DD3F3" w14:textId="7DDE83D6" w:rsidR="00785C57" w:rsidRDefault="00785C57" w:rsidP="00324B33">
      <w:pPr>
        <w:rPr>
          <w:szCs w:val="22"/>
        </w:rPr>
      </w:pPr>
      <w:r>
        <w:rPr>
          <w:szCs w:val="22"/>
        </w:rPr>
        <w:t>The innovator product Tysab</w:t>
      </w:r>
      <w:r w:rsidR="0039135B">
        <w:rPr>
          <w:szCs w:val="22"/>
        </w:rPr>
        <w:t>r</w:t>
      </w:r>
      <w:r>
        <w:rPr>
          <w:szCs w:val="22"/>
        </w:rPr>
        <w:t>i has been in the ARTG since 2006.</w:t>
      </w:r>
    </w:p>
    <w:p w14:paraId="546C1031" w14:textId="764B1F59" w:rsidR="0017005C" w:rsidRDefault="00362917" w:rsidP="0017005C">
      <w:pPr>
        <w:pStyle w:val="Heading4"/>
      </w:pPr>
      <w:bookmarkStart w:id="25" w:name="_Toc205908883"/>
      <w:r>
        <w:t>International</w:t>
      </w:r>
      <w:r w:rsidR="0017005C" w:rsidRPr="00BD5DBD">
        <w:t xml:space="preserve"> regulatory</w:t>
      </w:r>
      <w:r w:rsidR="0017005C">
        <w:t xml:space="preserve"> status</w:t>
      </w:r>
      <w:bookmarkEnd w:id="25"/>
    </w:p>
    <w:p w14:paraId="79EC0762" w14:textId="3528AB5D" w:rsidR="00C133AB" w:rsidRPr="00C133AB" w:rsidRDefault="00C133AB" w:rsidP="00C52B7B">
      <w:r w:rsidRPr="00BD5DBD">
        <w:rPr>
          <w:szCs w:val="22"/>
        </w:rPr>
        <w:t xml:space="preserve">This submission was submitted through the TGA’s </w:t>
      </w:r>
      <w:hyperlink r:id="rId21" w:history="1">
        <w:r w:rsidRPr="00BD5DBD">
          <w:rPr>
            <w:rStyle w:val="Hyperlink"/>
            <w:szCs w:val="22"/>
          </w:rPr>
          <w:t>Comparable Overseas Regulator</w:t>
        </w:r>
      </w:hyperlink>
      <w:r w:rsidRPr="00BD5DBD">
        <w:rPr>
          <w:szCs w:val="22"/>
        </w:rPr>
        <w:t xml:space="preserve"> B (COR-B)</w:t>
      </w:r>
      <w:r w:rsidR="00B43E73">
        <w:rPr>
          <w:szCs w:val="22"/>
        </w:rPr>
        <w:t xml:space="preserve"> </w:t>
      </w:r>
      <w:r w:rsidRPr="00BD5DBD">
        <w:rPr>
          <w:szCs w:val="22"/>
        </w:rPr>
        <w:t xml:space="preserve">process, using evaluation reports from </w:t>
      </w:r>
      <w:r w:rsidR="002B2A78">
        <w:rPr>
          <w:szCs w:val="22"/>
        </w:rPr>
        <w:t xml:space="preserve">European Medicines </w:t>
      </w:r>
      <w:r w:rsidR="002B2A78" w:rsidRPr="00EE1692">
        <w:rPr>
          <w:szCs w:val="22"/>
        </w:rPr>
        <w:t>Agency (EMA)</w:t>
      </w:r>
      <w:r w:rsidRPr="00EE1692">
        <w:t>.</w:t>
      </w:r>
      <w:r w:rsidRPr="00BD5DBD">
        <w:rPr>
          <w:iCs/>
          <w:szCs w:val="22"/>
        </w:rPr>
        <w:t xml:space="preserve"> </w:t>
      </w:r>
      <w:r w:rsidRPr="00BD5DBD">
        <w:rPr>
          <w:szCs w:val="22"/>
        </w:rPr>
        <w:t>The full dossier was submitted to the TGA.</w:t>
      </w:r>
    </w:p>
    <w:p w14:paraId="02E90E03" w14:textId="1D825060" w:rsidR="008F4A62" w:rsidRDefault="008F4A62" w:rsidP="008F4A62">
      <w:pPr>
        <w:rPr>
          <w:rFonts w:eastAsia="Cambria" w:cs="Times New Roman"/>
          <w:i/>
          <w:color w:val="007099"/>
          <w:szCs w:val="22"/>
        </w:rPr>
      </w:pPr>
      <w:r w:rsidRPr="00BD5DBD">
        <w:rPr>
          <w:szCs w:val="22"/>
        </w:rPr>
        <w:t xml:space="preserve">At the time the TGA considered this submission, a similar submission had been approved </w:t>
      </w:r>
      <w:r w:rsidR="00740D97">
        <w:rPr>
          <w:szCs w:val="22"/>
        </w:rPr>
        <w:t xml:space="preserve">in the EU on 22 September 2023, the USA on </w:t>
      </w:r>
      <w:r w:rsidR="005D7B17">
        <w:rPr>
          <w:szCs w:val="22"/>
        </w:rPr>
        <w:t>24</w:t>
      </w:r>
      <w:r w:rsidR="000E728C">
        <w:rPr>
          <w:szCs w:val="22"/>
        </w:rPr>
        <w:t> August 2023</w:t>
      </w:r>
      <w:r w:rsidR="005D0A3E">
        <w:rPr>
          <w:szCs w:val="22"/>
        </w:rPr>
        <w:t>, Great Brita</w:t>
      </w:r>
      <w:r w:rsidR="00ED035C">
        <w:rPr>
          <w:szCs w:val="22"/>
        </w:rPr>
        <w:t>i</w:t>
      </w:r>
      <w:r w:rsidR="005D0A3E">
        <w:rPr>
          <w:szCs w:val="22"/>
        </w:rPr>
        <w:t xml:space="preserve">n on </w:t>
      </w:r>
      <w:r w:rsidR="00236077">
        <w:rPr>
          <w:szCs w:val="22"/>
        </w:rPr>
        <w:t>9 October 2023</w:t>
      </w:r>
      <w:r w:rsidR="00A610DC">
        <w:rPr>
          <w:szCs w:val="22"/>
        </w:rPr>
        <w:t xml:space="preserve">, </w:t>
      </w:r>
      <w:r w:rsidR="00236077">
        <w:rPr>
          <w:szCs w:val="22"/>
        </w:rPr>
        <w:t xml:space="preserve">Switzerland on </w:t>
      </w:r>
      <w:r w:rsidR="0009797C">
        <w:rPr>
          <w:szCs w:val="22"/>
        </w:rPr>
        <w:t>5</w:t>
      </w:r>
      <w:r w:rsidR="00236077">
        <w:rPr>
          <w:szCs w:val="22"/>
        </w:rPr>
        <w:t> </w:t>
      </w:r>
      <w:r w:rsidR="0009797C">
        <w:rPr>
          <w:szCs w:val="22"/>
        </w:rPr>
        <w:t>November</w:t>
      </w:r>
      <w:r w:rsidR="00236077">
        <w:rPr>
          <w:szCs w:val="22"/>
        </w:rPr>
        <w:t> 2024</w:t>
      </w:r>
      <w:r w:rsidR="00A610DC">
        <w:rPr>
          <w:szCs w:val="22"/>
        </w:rPr>
        <w:t xml:space="preserve"> and New Zealand on 18 July 2024. </w:t>
      </w:r>
      <w:r w:rsidRPr="00BD5DBD">
        <w:rPr>
          <w:szCs w:val="22"/>
        </w:rPr>
        <w:t xml:space="preserve">A similar submission was </w:t>
      </w:r>
      <w:r w:rsidRPr="00BD5DBD">
        <w:rPr>
          <w:szCs w:val="22"/>
        </w:rPr>
        <w:lastRenderedPageBreak/>
        <w:t>under consideratio</w:t>
      </w:r>
      <w:r w:rsidR="008270C2">
        <w:rPr>
          <w:szCs w:val="22"/>
        </w:rPr>
        <w:t xml:space="preserve">n in </w:t>
      </w:r>
      <w:r w:rsidR="005842EF">
        <w:rPr>
          <w:szCs w:val="22"/>
        </w:rPr>
        <w:t>Canada</w:t>
      </w:r>
      <w:r w:rsidR="008270C2">
        <w:rPr>
          <w:rStyle w:val="CommentReference"/>
        </w:rPr>
        <w:t>.</w:t>
      </w:r>
      <w:r w:rsidR="0043558F" w:rsidRPr="0043558F">
        <w:t xml:space="preserve"> </w:t>
      </w:r>
      <w:r w:rsidR="0043558F" w:rsidRPr="0043558F">
        <w:rPr>
          <w:szCs w:val="22"/>
        </w:rPr>
        <w:t>Marketing authorisation has not been refused or withdrawn in any country</w:t>
      </w:r>
      <w:r w:rsidR="0043558F">
        <w:rPr>
          <w:szCs w:val="22"/>
        </w:rPr>
        <w:t>.</w:t>
      </w:r>
    </w:p>
    <w:p w14:paraId="6D92589C" w14:textId="09786CEF" w:rsidR="00324B33" w:rsidRDefault="00324B33" w:rsidP="00324B33">
      <w:pPr>
        <w:pStyle w:val="Heading2"/>
      </w:pPr>
      <w:bookmarkStart w:id="26" w:name="_Toc504480011"/>
      <w:bookmarkStart w:id="27" w:name="_Toc103679293"/>
      <w:bookmarkStart w:id="28" w:name="_Toc205908884"/>
      <w:r>
        <w:t>Registration timeline</w:t>
      </w:r>
      <w:bookmarkEnd w:id="26"/>
      <w:bookmarkEnd w:id="27"/>
      <w:bookmarkEnd w:id="28"/>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73C0447" w:rsidR="00477C4E" w:rsidRPr="00BD5DBD" w:rsidRDefault="00477C4E" w:rsidP="00324B33">
      <w:pPr>
        <w:rPr>
          <w:szCs w:val="22"/>
        </w:rPr>
      </w:pPr>
      <w:r w:rsidRPr="00BD5DBD">
        <w:rPr>
          <w:szCs w:val="22"/>
        </w:rPr>
        <w:t xml:space="preserve">This submission was evaluated under the </w:t>
      </w:r>
      <w:hyperlink r:id="rId22" w:history="1">
        <w:r w:rsidRPr="00BD5DBD">
          <w:rPr>
            <w:rStyle w:val="Hyperlink"/>
            <w:szCs w:val="22"/>
          </w:rPr>
          <w:t>standard prescription medicines registration process</w:t>
        </w:r>
      </w:hyperlink>
      <w:r w:rsidRPr="00BD5DBD">
        <w:rPr>
          <w:szCs w:val="22"/>
        </w:rPr>
        <w:t>.</w:t>
      </w:r>
    </w:p>
    <w:p w14:paraId="5263E729" w14:textId="19E336BF" w:rsidR="005B02A2" w:rsidRPr="00E753F4" w:rsidRDefault="00324B33" w:rsidP="00E753F4">
      <w:pPr>
        <w:pStyle w:val="TableTitle"/>
      </w:pPr>
      <w:r w:rsidRPr="002C1232">
        <w:t xml:space="preserve">Table </w:t>
      </w:r>
      <w:r w:rsidR="008B1CB5">
        <w:fldChar w:fldCharType="begin"/>
      </w:r>
      <w:r w:rsidR="008B1CB5">
        <w:instrText xml:space="preserve"> SEQ Table \* ARABIC </w:instrText>
      </w:r>
      <w:r w:rsidR="008B1CB5">
        <w:fldChar w:fldCharType="separate"/>
      </w:r>
      <w:r w:rsidR="007956BC">
        <w:rPr>
          <w:noProof/>
        </w:rPr>
        <w:t>1</w:t>
      </w:r>
      <w:r w:rsidR="008B1CB5">
        <w:fldChar w:fldCharType="end"/>
      </w:r>
      <w:r w:rsidRPr="002C1232">
        <w:t xml:space="preserve">: Timeline for Submission </w:t>
      </w:r>
      <w:r w:rsidR="00AE249C" w:rsidRPr="000F341A">
        <w:t>PM-2023-04610-1-1</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35FC8D46" w:rsidR="00324B33" w:rsidRPr="00D01DDB" w:rsidRDefault="00EE01A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2023</w:t>
            </w:r>
          </w:p>
        </w:tc>
      </w:tr>
      <w:tr w:rsidR="00324B33" w:rsidRPr="00D01DDB" w14:paraId="5343781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C037D4E" w14:textId="2B0CE255" w:rsidR="00324B33" w:rsidRPr="00E679D1" w:rsidRDefault="00324B33" w:rsidP="00E679D1">
            <w:r w:rsidRPr="00E679D1">
              <w:t>First round evaluation completed</w:t>
            </w:r>
          </w:p>
        </w:tc>
        <w:tc>
          <w:tcPr>
            <w:tcW w:w="2977" w:type="dxa"/>
          </w:tcPr>
          <w:p w14:paraId="3CEAFAAB" w14:textId="0A3FB72F" w:rsidR="00324B33" w:rsidRPr="00D01DDB" w:rsidRDefault="00D572A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April 2024</w:t>
            </w:r>
          </w:p>
        </w:tc>
      </w:tr>
      <w:tr w:rsidR="00324B33" w:rsidRPr="00D01DDB" w14:paraId="60DA57C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02EA1147" w14:textId="2853A422" w:rsidR="00324B33" w:rsidRPr="00E679D1" w:rsidRDefault="00324B33" w:rsidP="00E679D1">
            <w:r w:rsidRPr="00E679D1">
              <w:t>Sponsor provides responses on questions raised in first round evaluation</w:t>
            </w:r>
          </w:p>
        </w:tc>
        <w:tc>
          <w:tcPr>
            <w:tcW w:w="2977" w:type="dxa"/>
          </w:tcPr>
          <w:p w14:paraId="68A577C1" w14:textId="584B2998" w:rsidR="00324B33" w:rsidRPr="00D01DDB" w:rsidRDefault="008270C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w:t>
            </w:r>
            <w:r w:rsidR="002259E9">
              <w:rPr>
                <w:szCs w:val="22"/>
              </w:rPr>
              <w:t> May 2024</w:t>
            </w:r>
          </w:p>
        </w:tc>
      </w:tr>
      <w:tr w:rsidR="00324B33" w:rsidRPr="00D01DDB" w14:paraId="767E33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324B33" w:rsidRPr="00E679D1" w:rsidRDefault="00324B33" w:rsidP="00E679D1">
            <w:r w:rsidRPr="00E679D1">
              <w:t>Second round evaluation completed</w:t>
            </w:r>
          </w:p>
        </w:tc>
        <w:tc>
          <w:tcPr>
            <w:tcW w:w="2977" w:type="dxa"/>
          </w:tcPr>
          <w:p w14:paraId="4E47DF62" w14:textId="67C3A5F0" w:rsidR="00324B33" w:rsidRPr="00D01DDB" w:rsidRDefault="00CF4CF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June 2024</w:t>
            </w:r>
          </w:p>
        </w:tc>
      </w:tr>
      <w:tr w:rsidR="00324B33" w:rsidRPr="00D01DDB" w14:paraId="302FCB4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16E9DC1" w14:textId="6AB47007" w:rsidR="00324B33" w:rsidRPr="00D01DDB" w:rsidRDefault="00324B33" w:rsidP="00324B33">
            <w:pPr>
              <w:rPr>
                <w:szCs w:val="22"/>
              </w:rPr>
            </w:pPr>
            <w:r w:rsidRPr="00D01DDB">
              <w:rPr>
                <w:szCs w:val="22"/>
              </w:rPr>
              <w:t>Delegate’s</w:t>
            </w:r>
            <w:r w:rsidR="00500D68">
              <w:rPr>
                <w:rStyle w:val="FootnoteReference"/>
                <w:szCs w:val="22"/>
              </w:rPr>
              <w:footnoteReference w:id="5"/>
            </w:r>
            <w:r w:rsidRPr="00D01DDB">
              <w:rPr>
                <w:szCs w:val="22"/>
              </w:rPr>
              <w:t xml:space="preserve"> Overall benefit-risk </w:t>
            </w:r>
            <w:r w:rsidRPr="00CF4CF3">
              <w:rPr>
                <w:color w:val="auto"/>
                <w:szCs w:val="22"/>
              </w:rPr>
              <w:t>assessment and request for Advisory Committee advice</w:t>
            </w:r>
          </w:p>
        </w:tc>
        <w:tc>
          <w:tcPr>
            <w:tcW w:w="2977" w:type="dxa"/>
          </w:tcPr>
          <w:p w14:paraId="3BA6EF79" w14:textId="7768634A" w:rsidR="00324B33" w:rsidRPr="00D01DDB" w:rsidRDefault="00F366B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July 2024</w:t>
            </w:r>
          </w:p>
        </w:tc>
      </w:tr>
      <w:tr w:rsidR="00324B33" w:rsidRPr="00D01DDB" w14:paraId="5832EBC8"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20592DE" w14:textId="1F72CD22" w:rsidR="00324B33" w:rsidRPr="00E679D1" w:rsidRDefault="00324B33" w:rsidP="00E679D1">
            <w:r w:rsidRPr="00E679D1">
              <w:t>Sponsor’s pre-Advisory Committee response</w:t>
            </w:r>
          </w:p>
        </w:tc>
        <w:tc>
          <w:tcPr>
            <w:tcW w:w="2977" w:type="dxa"/>
          </w:tcPr>
          <w:p w14:paraId="5AE04841" w14:textId="330B6859" w:rsidR="00324B33" w:rsidRPr="00D01DDB" w:rsidRDefault="002259E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July 2024</w:t>
            </w:r>
          </w:p>
        </w:tc>
      </w:tr>
      <w:tr w:rsidR="00324B33" w:rsidRPr="00D01DDB" w14:paraId="5754F7A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9DE187" w14:textId="123446EE" w:rsidR="00324B33" w:rsidRPr="00E679D1" w:rsidRDefault="00324B33" w:rsidP="00E679D1">
            <w:r w:rsidRPr="00E679D1">
              <w:t>Advisory Committee meeting</w:t>
            </w:r>
          </w:p>
        </w:tc>
        <w:tc>
          <w:tcPr>
            <w:tcW w:w="2977" w:type="dxa"/>
          </w:tcPr>
          <w:p w14:paraId="5BE1EDE7" w14:textId="525597F6" w:rsidR="00324B33" w:rsidRPr="00D01DDB" w:rsidRDefault="00760B4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and 2 August 2024</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4413C5B3" w:rsidR="00324B33" w:rsidRPr="00D01DDB" w:rsidRDefault="007D720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September 2024</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977" w:type="dxa"/>
          </w:tcPr>
          <w:p w14:paraId="5A8923FD" w14:textId="38C6C1C3" w:rsidR="00324B33" w:rsidRPr="00D01DDB" w:rsidRDefault="007D720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April 2025</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1533B1B2" w:rsidR="00324B33" w:rsidRPr="00D01DDB" w:rsidRDefault="005B1A4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158</w:t>
            </w:r>
          </w:p>
        </w:tc>
      </w:tr>
    </w:tbl>
    <w:p w14:paraId="34E07584" w14:textId="23BAC3C7" w:rsidR="00C22214" w:rsidRDefault="00433318" w:rsidP="00C22214">
      <w:pPr>
        <w:pStyle w:val="TableDescription"/>
      </w:pPr>
      <w:r w:rsidRPr="00006FAB">
        <w:t>* The COR-B process has a 175 working day evaluation and decision timeframe.</w:t>
      </w:r>
    </w:p>
    <w:p w14:paraId="220925F1" w14:textId="77777777" w:rsidR="00C22214" w:rsidRPr="00792A32" w:rsidRDefault="00C22214" w:rsidP="00C22214">
      <w:pPr>
        <w:pStyle w:val="Heading2"/>
      </w:pPr>
      <w:bookmarkStart w:id="29" w:name="_Toc196046504"/>
      <w:bookmarkStart w:id="30" w:name="_Toc247691527"/>
      <w:bookmarkStart w:id="31" w:name="_Toc314842510"/>
      <w:bookmarkStart w:id="32" w:name="_Toc103679294"/>
      <w:bookmarkStart w:id="33" w:name="_Toc205908885"/>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9"/>
      <w:bookmarkEnd w:id="30"/>
      <w:bookmarkEnd w:id="31"/>
      <w:bookmarkEnd w:id="32"/>
      <w:bookmarkEnd w:id="33"/>
    </w:p>
    <w:p w14:paraId="540151FC" w14:textId="77777777" w:rsidR="00C22214" w:rsidRPr="00BD5DBD" w:rsidRDefault="00C22214" w:rsidP="00BD5DBD">
      <w:pPr>
        <w:rPr>
          <w:szCs w:val="22"/>
        </w:rPr>
      </w:pPr>
      <w:bookmarkStart w:id="34" w:name="_Toc247691528"/>
      <w:bookmarkStart w:id="35" w:name="_Toc314842511"/>
      <w:r w:rsidRPr="00BD5DBD">
        <w:rPr>
          <w:szCs w:val="22"/>
        </w:rPr>
        <w:t>A summary of the TGA’s assessment for this submission is provided below.</w:t>
      </w:r>
    </w:p>
    <w:p w14:paraId="5F5FAA14" w14:textId="77777777" w:rsidR="00C22214" w:rsidRPr="00BD5DBD" w:rsidRDefault="00C22214" w:rsidP="00C22214">
      <w:pPr>
        <w:rPr>
          <w:szCs w:val="22"/>
        </w:rPr>
      </w:pPr>
      <w:r w:rsidRPr="00BD5DBD">
        <w:rPr>
          <w:szCs w:val="22"/>
        </w:rPr>
        <w:t>This section is a TGA summary of wording used in TGA’s evaluation report, which discussed numerous aspects of overseas evaluation reports and included some information that was commercial-in-confidence.</w:t>
      </w:r>
    </w:p>
    <w:p w14:paraId="668E3E84" w14:textId="6C612B4B" w:rsidR="007072A1" w:rsidRPr="00D56C61" w:rsidRDefault="007072A1" w:rsidP="00966EF1">
      <w:pPr>
        <w:rPr>
          <w:szCs w:val="22"/>
        </w:rPr>
      </w:pPr>
      <w:r w:rsidRPr="00D56C61">
        <w:rPr>
          <w:szCs w:val="22"/>
        </w:rPr>
        <w:t>Relevant guidelines or guidance documents referred to by the Delegate are listed below:</w:t>
      </w:r>
    </w:p>
    <w:p w14:paraId="4B3240A1" w14:textId="395C371E" w:rsidR="003155CC" w:rsidRDefault="003155CC" w:rsidP="003155CC">
      <w:pPr>
        <w:pStyle w:val="ListBullet"/>
      </w:pPr>
      <w:r>
        <w:t xml:space="preserve">European Medicines Agency (EMA): </w:t>
      </w:r>
      <w:hyperlink r:id="rId23" w:history="1">
        <w:r w:rsidRPr="00382669">
          <w:rPr>
            <w:rStyle w:val="Hyperlink"/>
          </w:rPr>
          <w:t>Guideline on similar biological medicinal products</w:t>
        </w:r>
      </w:hyperlink>
      <w:r>
        <w:t>. (CHMP/437/04 Rev. 1).</w:t>
      </w:r>
    </w:p>
    <w:p w14:paraId="61E647B3" w14:textId="77777777" w:rsidR="003155CC" w:rsidRDefault="003155CC" w:rsidP="003155CC">
      <w:pPr>
        <w:pStyle w:val="ListBullet"/>
        <w:numPr>
          <w:ilvl w:val="0"/>
          <w:numId w:val="0"/>
        </w:numPr>
        <w:ind w:left="360"/>
      </w:pPr>
      <w:r>
        <w:t xml:space="preserve">TGA-adopted, effective </w:t>
      </w:r>
      <w:r w:rsidRPr="00382669">
        <w:t>date: 25 May 2015</w:t>
      </w:r>
      <w:r>
        <w:t>.</w:t>
      </w:r>
    </w:p>
    <w:p w14:paraId="737C4347" w14:textId="28F5DD70" w:rsidR="00597358" w:rsidRDefault="00181150" w:rsidP="00181150">
      <w:pPr>
        <w:pStyle w:val="ListBullet"/>
      </w:pPr>
      <w:r>
        <w:lastRenderedPageBreak/>
        <w:t xml:space="preserve">EMA: </w:t>
      </w:r>
      <w:hyperlink r:id="rId24" w:history="1">
        <w:r w:rsidRPr="00C040A9">
          <w:rPr>
            <w:rStyle w:val="Hyperlink"/>
          </w:rPr>
          <w:t>Guideline on similar biological medicinal products containing monoclonal antibodies - non-clinical and clinical issues</w:t>
        </w:r>
      </w:hyperlink>
      <w:r>
        <w:t xml:space="preserve"> (EMA/CHMP/BMWP/403543/2010)</w:t>
      </w:r>
      <w:r w:rsidR="00597358">
        <w:t xml:space="preserve"> .</w:t>
      </w:r>
    </w:p>
    <w:p w14:paraId="621BEF2D" w14:textId="095DEDE6" w:rsidR="00181150" w:rsidRDefault="00181150" w:rsidP="00181150">
      <w:pPr>
        <w:pStyle w:val="ListBullet"/>
        <w:numPr>
          <w:ilvl w:val="0"/>
          <w:numId w:val="0"/>
        </w:numPr>
        <w:ind w:left="360"/>
      </w:pPr>
      <w:r>
        <w:t xml:space="preserve">TGA-adopted, effective date: </w:t>
      </w:r>
      <w:r w:rsidRPr="00C040A9">
        <w:t>17 Aug</w:t>
      </w:r>
      <w:r>
        <w:t>ust</w:t>
      </w:r>
      <w:r w:rsidRPr="00C040A9">
        <w:t xml:space="preserve"> 2015</w:t>
      </w:r>
    </w:p>
    <w:p w14:paraId="6D308958" w14:textId="6B4CA9E7" w:rsidR="00A81E40" w:rsidRDefault="00A81E40" w:rsidP="00A81E40">
      <w:pPr>
        <w:pStyle w:val="ListBullet"/>
      </w:pPr>
      <w:r>
        <w:t xml:space="preserve">EMA: </w:t>
      </w:r>
      <w:hyperlink r:id="rId25" w:history="1">
        <w:r w:rsidRPr="00B87463">
          <w:rPr>
            <w:rStyle w:val="Hyperlink"/>
          </w:rPr>
          <w:t>Guideline on clinical investigation of medicinal products for the treatment of multiple sclerosis</w:t>
        </w:r>
      </w:hyperlink>
      <w:r>
        <w:t xml:space="preserve"> (EMA/CHMP/771815/2011, Rev. 2)</w:t>
      </w:r>
    </w:p>
    <w:p w14:paraId="30ABD5B5" w14:textId="5184832D" w:rsidR="003155CC" w:rsidRPr="003155CC" w:rsidRDefault="00A81E40" w:rsidP="00A81E40">
      <w:pPr>
        <w:pStyle w:val="ListBullet"/>
        <w:numPr>
          <w:ilvl w:val="0"/>
          <w:numId w:val="0"/>
        </w:numPr>
        <w:ind w:left="360"/>
      </w:pPr>
      <w:r>
        <w:t>TGA-adopted, effective date: 1 October 2015</w:t>
      </w:r>
    </w:p>
    <w:p w14:paraId="37F5A1C0" w14:textId="77777777" w:rsidR="00C22214" w:rsidRDefault="00C22214" w:rsidP="00C22214">
      <w:pPr>
        <w:pStyle w:val="Heading3"/>
      </w:pPr>
      <w:bookmarkStart w:id="36" w:name="_Toc103679295"/>
      <w:bookmarkStart w:id="37" w:name="_Toc205908886"/>
      <w:r>
        <w:t>Quality</w:t>
      </w:r>
      <w:bookmarkEnd w:id="34"/>
      <w:bookmarkEnd w:id="35"/>
      <w:bookmarkEnd w:id="36"/>
      <w:bookmarkEnd w:id="37"/>
    </w:p>
    <w:p w14:paraId="72BE1783" w14:textId="3E25E998" w:rsidR="0079032D" w:rsidRPr="00F2101F" w:rsidRDefault="0079032D" w:rsidP="0079032D">
      <w:r w:rsidRPr="0079032D">
        <w:t>T</w:t>
      </w:r>
      <w:r>
        <w:t xml:space="preserve">yruko </w:t>
      </w:r>
      <w:r w:rsidRPr="0079032D">
        <w:t>(</w:t>
      </w:r>
      <w:r w:rsidR="00512783" w:rsidRPr="00945F07">
        <w:t>also referred to as</w:t>
      </w:r>
      <w:r w:rsidRPr="00945F07">
        <w:t xml:space="preserve"> PB006</w:t>
      </w:r>
      <w:r w:rsidRPr="0079032D">
        <w:t xml:space="preserve">) is a full length IgG4 monoclonal antibody </w:t>
      </w:r>
      <w:r w:rsidRPr="00F2101F">
        <w:t>targeting the α4 integrin. It is intended as a biosimilar to the T</w:t>
      </w:r>
      <w:r w:rsidR="00512783" w:rsidRPr="00F2101F">
        <w:t>ysabri</w:t>
      </w:r>
      <w:r w:rsidRPr="00F2101F">
        <w:t xml:space="preserve"> reference product. Only the </w:t>
      </w:r>
      <w:r w:rsidR="00512783" w:rsidRPr="00F2101F">
        <w:t>intravenous (</w:t>
      </w:r>
      <w:r w:rsidRPr="00F2101F">
        <w:t>IV</w:t>
      </w:r>
      <w:r w:rsidR="00512783" w:rsidRPr="00F2101F">
        <w:t>)</w:t>
      </w:r>
      <w:r w:rsidRPr="00F2101F">
        <w:t xml:space="preserve"> dosage form has been requested for marketing authorisation (T</w:t>
      </w:r>
      <w:r w:rsidR="00945F07" w:rsidRPr="00F2101F">
        <w:t>ysabri</w:t>
      </w:r>
      <w:r w:rsidRPr="00F2101F">
        <w:t xml:space="preserve"> also has a subcutaneous formulation).</w:t>
      </w:r>
    </w:p>
    <w:p w14:paraId="0198F740" w14:textId="03282C67" w:rsidR="0079032D" w:rsidRPr="00F2101F" w:rsidRDefault="0079032D" w:rsidP="0079032D">
      <w:r w:rsidRPr="00F2101F">
        <w:t xml:space="preserve">As expected for an IgG4 antibody, PB006 demonstrates reduced binding to </w:t>
      </w:r>
      <w:r w:rsidR="002963C5" w:rsidRPr="00F2101F">
        <w:t>fragment crystallisable gamma (</w:t>
      </w:r>
      <w:proofErr w:type="spellStart"/>
      <w:r w:rsidRPr="00F2101F">
        <w:t>Fcγ</w:t>
      </w:r>
      <w:proofErr w:type="spellEnd"/>
      <w:r w:rsidR="002963C5" w:rsidRPr="00F2101F">
        <w:t>)</w:t>
      </w:r>
      <w:r w:rsidRPr="00F2101F">
        <w:t xml:space="preserve"> receptors and lack of complement fixing ability </w:t>
      </w:r>
      <w:r w:rsidRPr="00F2101F">
        <w:rPr>
          <w:i/>
          <w:iCs/>
        </w:rPr>
        <w:t>in vitro</w:t>
      </w:r>
      <w:r w:rsidRPr="00F2101F">
        <w:t xml:space="preserve">. Its intact </w:t>
      </w:r>
      <w:proofErr w:type="spellStart"/>
      <w:r w:rsidRPr="00F2101F">
        <w:t>deglycosylated</w:t>
      </w:r>
      <w:proofErr w:type="spellEnd"/>
      <w:r w:rsidRPr="00F2101F">
        <w:t xml:space="preserve"> molecular weight is 146 </w:t>
      </w:r>
      <w:proofErr w:type="spellStart"/>
      <w:r w:rsidRPr="00F2101F">
        <w:t>kDa</w:t>
      </w:r>
      <w:proofErr w:type="spellEnd"/>
      <w:r w:rsidRPr="00F2101F">
        <w:t>.</w:t>
      </w:r>
    </w:p>
    <w:p w14:paraId="64521310" w14:textId="02BAC625" w:rsidR="0079032D" w:rsidRPr="0079032D" w:rsidRDefault="0079032D" w:rsidP="0079032D">
      <w:r w:rsidRPr="00F2101F">
        <w:t xml:space="preserve">All sites involved with manufacture, storage and quality control operate in accordance with EU </w:t>
      </w:r>
      <w:r w:rsidR="00431F28" w:rsidRPr="00F2101F">
        <w:t>Good Manufacturing Practices</w:t>
      </w:r>
      <w:r w:rsidRPr="00F2101F">
        <w:t xml:space="preserve">. PB006 active substance is manufactured on a </w:t>
      </w:r>
      <w:r w:rsidR="00431F28" w:rsidRPr="00F2101F">
        <w:t>Chinese hamster ovary (</w:t>
      </w:r>
      <w:r w:rsidRPr="00F2101F">
        <w:t>CHO</w:t>
      </w:r>
      <w:r w:rsidR="00431F28" w:rsidRPr="00F2101F">
        <w:t>)</w:t>
      </w:r>
      <w:r w:rsidRPr="0079032D">
        <w:t xml:space="preserve"> cell line, whereas as T</w:t>
      </w:r>
      <w:r w:rsidR="00370D9D">
        <w:t xml:space="preserve">ysabri </w:t>
      </w:r>
      <w:r w:rsidRPr="0079032D">
        <w:t>active substance is produced in non-secreting murine myeloma cells. Standard steps in monoclonal antibody manufacture apply, including fed batch expansion phase, Protein A chromatography, low pH virus inactivation, cation-exchange chromatography, anion-exchange chromatography, virus filtration and ultra/diafiltration. Overall</w:t>
      </w:r>
      <w:r w:rsidR="00370D9D">
        <w:t>,</w:t>
      </w:r>
      <w:r w:rsidRPr="0079032D">
        <w:t xml:space="preserve"> the manufacturing process was sufficiently described.</w:t>
      </w:r>
    </w:p>
    <w:p w14:paraId="3BB22B39" w14:textId="78E4359C" w:rsidR="0079032D" w:rsidRPr="0079032D" w:rsidRDefault="0079032D" w:rsidP="0079032D">
      <w:r w:rsidRPr="0079032D">
        <w:t>PB006 is a recombinant anti-α4-integrin produced in a CHO cell line. The finished product is presented as a sterile, colourless and clear to slightly opalescent concentrate for solution for intravenous infusion (each vial contains 300</w:t>
      </w:r>
      <w:r w:rsidR="0096122B">
        <w:t> </w:t>
      </w:r>
      <w:r w:rsidRPr="0079032D">
        <w:t>mg in 15</w:t>
      </w:r>
      <w:r w:rsidR="0096122B">
        <w:t> </w:t>
      </w:r>
      <w:r w:rsidRPr="0079032D">
        <w:t>mL). The other ingredients are sodium chloride, histidine, histidine hydrochloride monohydrate, polysorbate 80 and water for injections. The formulation is not identical to that of EU-T</w:t>
      </w:r>
      <w:r w:rsidR="0096122B">
        <w:t>ysabri</w:t>
      </w:r>
      <w:r w:rsidRPr="0079032D">
        <w:t xml:space="preserve"> and was developed with regard to long-term stability. The product is presented in a single use type I borosilicate glass vial with a bromo-butyl stopper and aluminium seal with a flip-top cap</w:t>
      </w:r>
      <w:r w:rsidR="00FD534A">
        <w:t>.</w:t>
      </w:r>
    </w:p>
    <w:p w14:paraId="3D3109EA" w14:textId="07C290BA" w:rsidR="0079032D" w:rsidRPr="0079032D" w:rsidRDefault="0079032D" w:rsidP="0079032D">
      <w:r w:rsidRPr="0079032D">
        <w:t xml:space="preserve">The </w:t>
      </w:r>
      <w:r w:rsidR="00FD534A">
        <w:t>s</w:t>
      </w:r>
      <w:r w:rsidRPr="0079032D">
        <w:t>ponsor has conducted extensive analytical assessment of PB006 and T</w:t>
      </w:r>
      <w:r w:rsidR="00FD534A">
        <w:t>ysabri</w:t>
      </w:r>
      <w:r w:rsidRPr="0079032D">
        <w:t xml:space="preserve"> to support biosimilarity. PB006 was shown to be identical in amino acid sequence and similar in physiochemical and functional tests to EU-T</w:t>
      </w:r>
      <w:r w:rsidR="00FD534A">
        <w:t>ysabri</w:t>
      </w:r>
      <w:r w:rsidRPr="0079032D">
        <w:t xml:space="preserve">. It was noted to have modest differences in glycosylation profiles (higher </w:t>
      </w:r>
      <w:proofErr w:type="spellStart"/>
      <w:r w:rsidRPr="0079032D">
        <w:t>galactosylation</w:t>
      </w:r>
      <w:proofErr w:type="spellEnd"/>
      <w:r w:rsidRPr="0079032D">
        <w:t xml:space="preserve"> and lower </w:t>
      </w:r>
      <w:proofErr w:type="spellStart"/>
      <w:r>
        <w:t>sialy</w:t>
      </w:r>
      <w:r w:rsidR="4F06037E">
        <w:t>l</w:t>
      </w:r>
      <w:r>
        <w:t>ated</w:t>
      </w:r>
      <w:proofErr w:type="spellEnd"/>
      <w:r w:rsidRPr="0079032D">
        <w:t xml:space="preserve"> glycans). In addition, many analyses were also carried on US-T</w:t>
      </w:r>
      <w:r w:rsidR="003F0C43">
        <w:t>ysabri</w:t>
      </w:r>
      <w:r w:rsidRPr="0079032D">
        <w:t xml:space="preserve"> to form a bridge to this product which was used in clinical </w:t>
      </w:r>
      <w:r w:rsidR="003F0C43">
        <w:t>S</w:t>
      </w:r>
      <w:r w:rsidRPr="0079032D">
        <w:t>tudy PB006-01-03. Any observed differences between EU-T</w:t>
      </w:r>
      <w:r w:rsidR="003F0C43">
        <w:t>ys</w:t>
      </w:r>
      <w:r w:rsidR="00B05E4C">
        <w:t>abri</w:t>
      </w:r>
      <w:r w:rsidRPr="0079032D">
        <w:t xml:space="preserve"> and PB006 were adequately accounted for by the </w:t>
      </w:r>
      <w:r w:rsidR="00B05E4C">
        <w:t>s</w:t>
      </w:r>
      <w:r w:rsidRPr="0079032D">
        <w:t>ponsor as not clinically relevant. Also, US-T</w:t>
      </w:r>
      <w:r w:rsidR="00B05E4C">
        <w:t>ysabri</w:t>
      </w:r>
      <w:r w:rsidRPr="0079032D">
        <w:t xml:space="preserve"> was satisfactorily bridged to EU-T</w:t>
      </w:r>
      <w:r w:rsidR="00B05E4C">
        <w:t>ysabri</w:t>
      </w:r>
      <w:r w:rsidRPr="0079032D">
        <w:t>.</w:t>
      </w:r>
    </w:p>
    <w:p w14:paraId="1D56388A" w14:textId="2392CFAF" w:rsidR="0079032D" w:rsidRPr="0079032D" w:rsidRDefault="0079032D" w:rsidP="0079032D">
      <w:r w:rsidRPr="0079032D">
        <w:t>In terms of functional similarity, the three products were shown to</w:t>
      </w:r>
      <w:r w:rsidR="00736A01">
        <w:t xml:space="preserve"> be</w:t>
      </w:r>
      <w:r w:rsidRPr="0079032D">
        <w:t xml:space="preserve"> highly similar in terms of binding to α4β1 and α4β7 and also inhibition of the </w:t>
      </w:r>
      <w:r w:rsidR="00FD3F37" w:rsidRPr="00FD3F37">
        <w:t>vascular cell adhesion m</w:t>
      </w:r>
      <w:r w:rsidR="00FD3F37" w:rsidRPr="00CE74F3">
        <w:t>olecule 1 (</w:t>
      </w:r>
      <w:r w:rsidRPr="00CE74F3">
        <w:t>VCAM1</w:t>
      </w:r>
      <w:r w:rsidR="00FD3F37" w:rsidRPr="00CE74F3">
        <w:t>)</w:t>
      </w:r>
      <w:r w:rsidRPr="00CE74F3">
        <w:t xml:space="preserve">- α4 interaction. As expected, there was no </w:t>
      </w:r>
      <w:r w:rsidR="00652CD2" w:rsidRPr="00CE74F3">
        <w:t>fragment crystallisable (</w:t>
      </w:r>
      <w:r w:rsidRPr="00CE74F3">
        <w:t>Fc</w:t>
      </w:r>
      <w:r w:rsidR="00652CD2" w:rsidRPr="00CE74F3">
        <w:t>)</w:t>
      </w:r>
      <w:r w:rsidRPr="00CE74F3">
        <w:t xml:space="preserve"> effector</w:t>
      </w:r>
      <w:r w:rsidRPr="0079032D">
        <w:t xml:space="preserve"> functions found in any of the products (</w:t>
      </w:r>
      <w:r w:rsidR="00DF66DA">
        <w:t>that is,</w:t>
      </w:r>
      <w:r w:rsidRPr="0079032D">
        <w:t xml:space="preserve"> antibody dependant cellular cytotoxicity, complement dependant cytotoxicity, antibody dependant cellular phagocytosis). The EU considered similarity of biological function to have been adequately demonstrated.</w:t>
      </w:r>
    </w:p>
    <w:p w14:paraId="62303814" w14:textId="3375F4A7" w:rsidR="0079032D" w:rsidRPr="0079032D" w:rsidRDefault="0079032D" w:rsidP="0079032D">
      <w:r w:rsidRPr="0079032D">
        <w:t>At the quality level biosimilarity between PB006 and EU-T</w:t>
      </w:r>
      <w:r w:rsidR="00DF66DA">
        <w:t>ysabri</w:t>
      </w:r>
      <w:r w:rsidRPr="0079032D">
        <w:t xml:space="preserve"> was demonstrated for most attributes during comprehensive testing. EU-</w:t>
      </w:r>
      <w:r w:rsidR="00F22012">
        <w:t xml:space="preserve"> </w:t>
      </w:r>
      <w:r w:rsidRPr="0079032D">
        <w:t>and US-T</w:t>
      </w:r>
      <w:r w:rsidR="00F22012">
        <w:t>ysabri</w:t>
      </w:r>
      <w:r w:rsidRPr="0079032D">
        <w:t xml:space="preserve"> were adequately bridged from a </w:t>
      </w:r>
      <w:r w:rsidRPr="0079032D">
        <w:lastRenderedPageBreak/>
        <w:t xml:space="preserve">quality perspective. Overall, </w:t>
      </w:r>
      <w:proofErr w:type="gramStart"/>
      <w:r w:rsidRPr="0079032D">
        <w:t>taking into account</w:t>
      </w:r>
      <w:proofErr w:type="gramEnd"/>
      <w:r w:rsidRPr="0079032D">
        <w:t xml:space="preserve"> the totality of provided data, biosimilarity is considered demonstrated from a quality point of view.</w:t>
      </w:r>
    </w:p>
    <w:p w14:paraId="2BE90AAE" w14:textId="77777777" w:rsidR="00C22214" w:rsidRDefault="00C22214" w:rsidP="00C22214">
      <w:pPr>
        <w:pStyle w:val="Heading3"/>
      </w:pPr>
      <w:bookmarkStart w:id="38" w:name="_Toc314842512"/>
      <w:bookmarkStart w:id="39" w:name="_Toc103679296"/>
      <w:bookmarkStart w:id="40" w:name="_Toc205908887"/>
      <w:r>
        <w:t>Nonclinical</w:t>
      </w:r>
      <w:bookmarkEnd w:id="38"/>
      <w:bookmarkEnd w:id="39"/>
      <w:bookmarkEnd w:id="40"/>
    </w:p>
    <w:p w14:paraId="2ABDFE6A" w14:textId="1D6876C7" w:rsidR="0074589C" w:rsidRPr="00030BDC" w:rsidRDefault="0074589C" w:rsidP="00030BDC">
      <w:r w:rsidRPr="00030BDC">
        <w:t>The nonclinical dossier was in accordance with the relevant EU guideline for similar monoclonal antibodies and the overall quality was high.</w:t>
      </w:r>
    </w:p>
    <w:p w14:paraId="55D60365" w14:textId="5E515677" w:rsidR="0074589C" w:rsidRPr="00030BDC" w:rsidRDefault="0074589C" w:rsidP="00030BDC">
      <w:r w:rsidRPr="00030BDC">
        <w:t>A set of comparative pharmacology studies were performed for T</w:t>
      </w:r>
      <w:r w:rsidR="000A0D23" w:rsidRPr="00030BDC">
        <w:t>yruko</w:t>
      </w:r>
      <w:r w:rsidRPr="00030BDC">
        <w:t xml:space="preserve"> and EU-T</w:t>
      </w:r>
      <w:r w:rsidR="000A0D23" w:rsidRPr="00030BDC">
        <w:t>y</w:t>
      </w:r>
      <w:r w:rsidR="00172C85" w:rsidRPr="00030BDC">
        <w:t>sabri</w:t>
      </w:r>
      <w:r w:rsidRPr="00030BDC">
        <w:t>, looking at</w:t>
      </w:r>
      <w:r w:rsidR="00CE7CD2" w:rsidRPr="00030BDC">
        <w:t xml:space="preserve"> fragment antigen binding (</w:t>
      </w:r>
      <w:r w:rsidRPr="00030BDC">
        <w:t>Fab</w:t>
      </w:r>
      <w:r w:rsidR="00CE7CD2" w:rsidRPr="00030BDC">
        <w:t>)</w:t>
      </w:r>
      <w:r w:rsidRPr="00030BDC">
        <w:t xml:space="preserve"> arm exchange, inhibition of VCAM1/</w:t>
      </w:r>
      <w:r w:rsidR="00C4515F" w:rsidRPr="00030BDC">
        <w:t xml:space="preserve"> mucosal </w:t>
      </w:r>
      <w:proofErr w:type="spellStart"/>
      <w:r w:rsidR="00C4515F" w:rsidRPr="00030BDC">
        <w:t>addressin</w:t>
      </w:r>
      <w:proofErr w:type="spellEnd"/>
      <w:r w:rsidR="00C4515F" w:rsidRPr="00030BDC">
        <w:t xml:space="preserve"> cell adhesion molecule 1 (</w:t>
      </w:r>
      <w:r w:rsidRPr="00030BDC">
        <w:t>MadCAM1</w:t>
      </w:r>
      <w:r w:rsidR="00C4515F" w:rsidRPr="00030BDC">
        <w:t>)</w:t>
      </w:r>
      <w:r w:rsidRPr="00030BDC">
        <w:t xml:space="preserve"> and α4 integrin interaction, α4β7 binding and cytotoxicity, phagocytosis, Fc</w:t>
      </w:r>
      <w:r w:rsidR="00AE3FBD" w:rsidRPr="00030BDC">
        <w:t xml:space="preserve"> receptor</w:t>
      </w:r>
      <w:r w:rsidRPr="00030BDC">
        <w:t xml:space="preserve"> and </w:t>
      </w:r>
      <w:proofErr w:type="spellStart"/>
      <w:r w:rsidRPr="00030BDC">
        <w:t>Fcγ</w:t>
      </w:r>
      <w:proofErr w:type="spellEnd"/>
      <w:r w:rsidRPr="00030BDC">
        <w:t xml:space="preserve"> binding, and complement activation</w:t>
      </w:r>
      <w:r w:rsidR="00172C85" w:rsidRPr="00030BDC">
        <w:t>.</w:t>
      </w:r>
    </w:p>
    <w:p w14:paraId="0E4D2032" w14:textId="48744151" w:rsidR="0074589C" w:rsidRPr="00030BDC" w:rsidRDefault="0074589C" w:rsidP="00030BDC">
      <w:r w:rsidRPr="00030BDC">
        <w:t>There was one repeat dose 28</w:t>
      </w:r>
      <w:r w:rsidR="00AE3FBD" w:rsidRPr="00030BDC">
        <w:t>-</w:t>
      </w:r>
      <w:r w:rsidRPr="00030BDC">
        <w:t>day comparative study in cynomolgus monkeys (</w:t>
      </w:r>
      <w:r w:rsidR="00D1149B" w:rsidRPr="00030BDC">
        <w:t>Good Laboratory Practices (</w:t>
      </w:r>
      <w:r w:rsidRPr="00030BDC">
        <w:t>GLP</w:t>
      </w:r>
      <w:r w:rsidR="00D1149B" w:rsidRPr="00030BDC">
        <w:t>)</w:t>
      </w:r>
      <w:r w:rsidRPr="00030BDC">
        <w:t xml:space="preserve"> compliant), with E</w:t>
      </w:r>
      <w:r w:rsidR="00AE609E">
        <w:t>U</w:t>
      </w:r>
      <w:r w:rsidRPr="00030BDC">
        <w:t>-T</w:t>
      </w:r>
      <w:r w:rsidR="00AE609E">
        <w:t>ysabri</w:t>
      </w:r>
      <w:r w:rsidRPr="00030BDC">
        <w:t xml:space="preserve"> as the reference. No differences in terms of mortality, clinical signs, local tolerance, </w:t>
      </w:r>
      <w:r w:rsidR="002455D5">
        <w:t>e</w:t>
      </w:r>
      <w:r w:rsidR="002455D5" w:rsidRPr="002455D5">
        <w:t xml:space="preserve">lectrocardiogram </w:t>
      </w:r>
      <w:r w:rsidR="002455D5">
        <w:t>(</w:t>
      </w:r>
      <w:r w:rsidRPr="00030BDC">
        <w:t>ECG</w:t>
      </w:r>
      <w:r w:rsidR="002455D5">
        <w:t>)</w:t>
      </w:r>
      <w:r w:rsidRPr="00030BDC">
        <w:t xml:space="preserve">, clinical pathology, histopathology or </w:t>
      </w:r>
      <w:proofErr w:type="spellStart"/>
      <w:r w:rsidRPr="00030BDC">
        <w:t>toxicokinetics</w:t>
      </w:r>
      <w:proofErr w:type="spellEnd"/>
      <w:r w:rsidRPr="00030BDC">
        <w:t xml:space="preserve"> were found. The inherent issues related to cynomolgus studies (small groups and inter-individual variability) reduce the sensitivity for detecting differences between treatments.</w:t>
      </w:r>
    </w:p>
    <w:p w14:paraId="7232C701" w14:textId="3A9A63B0" w:rsidR="00652CD2" w:rsidRDefault="0074589C" w:rsidP="00030BDC">
      <w:r w:rsidRPr="00030BDC">
        <w:t>The formulation of T</w:t>
      </w:r>
      <w:r w:rsidR="002455D5">
        <w:t>yruko</w:t>
      </w:r>
      <w:r w:rsidRPr="00030BDC">
        <w:t xml:space="preserve"> differs slightly from the reference as it contains histidine/histidine monohydrochloride monohydrate sucrose as buffer, instead of monobasic sodium phosphate monohydrate and dibasic sodium phosphate heptahydrate as buffer agent. The evaluat</w:t>
      </w:r>
      <w:r w:rsidR="00B30DFC">
        <w:t xml:space="preserve">ion </w:t>
      </w:r>
      <w:r w:rsidRPr="00030BDC">
        <w:t>considered the absence of local tolerability studied to be acceptable given all of the excipients are commonly used in approved biologic medicines at the same exposure and with the same route of administration.</w:t>
      </w:r>
    </w:p>
    <w:p w14:paraId="39E29C48" w14:textId="5661284C" w:rsidR="00211492" w:rsidRPr="00211492" w:rsidRDefault="00211492" w:rsidP="00211492">
      <w:r w:rsidRPr="00211492">
        <w:t>There were no nonclinical objections to the registration of Tyruko.</w:t>
      </w:r>
    </w:p>
    <w:p w14:paraId="35B580A5" w14:textId="69B9BE44" w:rsidR="00C22214" w:rsidRDefault="00C22214" w:rsidP="008804CF">
      <w:pPr>
        <w:pStyle w:val="Heading3"/>
      </w:pPr>
      <w:bookmarkStart w:id="41" w:name="_Toc247691530"/>
      <w:bookmarkStart w:id="42" w:name="_Toc314842513"/>
      <w:bookmarkStart w:id="43" w:name="_Toc103679297"/>
      <w:bookmarkStart w:id="44" w:name="_Toc205908888"/>
      <w:r>
        <w:t>Clinical</w:t>
      </w:r>
      <w:bookmarkEnd w:id="41"/>
      <w:bookmarkEnd w:id="42"/>
      <w:bookmarkEnd w:id="43"/>
      <w:bookmarkEnd w:id="44"/>
    </w:p>
    <w:p w14:paraId="32B0DEDA" w14:textId="77777777" w:rsidR="00C22214" w:rsidRPr="00433318" w:rsidRDefault="00C22214" w:rsidP="00433318">
      <w:pPr>
        <w:pStyle w:val="Heading4"/>
      </w:pPr>
      <w:bookmarkStart w:id="45" w:name="_Toc98931928"/>
      <w:bookmarkStart w:id="46" w:name="_Toc205908889"/>
      <w:r>
        <w:t>Summary of clinical studies</w:t>
      </w:r>
      <w:bookmarkEnd w:id="45"/>
      <w:bookmarkEnd w:id="46"/>
    </w:p>
    <w:p w14:paraId="6C525DD6" w14:textId="7CFDFD80" w:rsidR="00142886" w:rsidRPr="000C7DC2" w:rsidRDefault="00142886" w:rsidP="000C7DC2">
      <w:r w:rsidRPr="00B230F1">
        <w:t xml:space="preserve">Four clinical studies were submitted for evaluation. The two pivotal studies were a </w:t>
      </w:r>
      <w:proofErr w:type="gramStart"/>
      <w:r w:rsidR="00F94C22" w:rsidRPr="00B230F1">
        <w:t>three</w:t>
      </w:r>
      <w:r w:rsidRPr="00B230F1">
        <w:t xml:space="preserve"> arm</w:t>
      </w:r>
      <w:proofErr w:type="gramEnd"/>
      <w:r w:rsidRPr="00B230F1">
        <w:t xml:space="preserve"> </w:t>
      </w:r>
      <w:r w:rsidR="00F94C22" w:rsidRPr="00B230F1">
        <w:t>pharmacokinetic (</w:t>
      </w:r>
      <w:r w:rsidRPr="00B230F1">
        <w:t>PK</w:t>
      </w:r>
      <w:r w:rsidR="00F94C22" w:rsidRPr="00B230F1">
        <w:t>)</w:t>
      </w:r>
      <w:r w:rsidRPr="00B230F1">
        <w:t>/</w:t>
      </w:r>
      <w:r w:rsidR="00F94C22" w:rsidRPr="00B230F1">
        <w:t>pharmacodynamic (</w:t>
      </w:r>
      <w:r w:rsidRPr="00B230F1">
        <w:t>PD</w:t>
      </w:r>
      <w:r w:rsidR="00F94C22" w:rsidRPr="00B230F1">
        <w:t>)</w:t>
      </w:r>
      <w:r w:rsidRPr="00B230F1">
        <w:t xml:space="preserve"> study</w:t>
      </w:r>
      <w:r w:rsidRPr="000C7DC2">
        <w:t xml:space="preserve"> (T</w:t>
      </w:r>
      <w:r w:rsidR="00F94C22">
        <w:t>yruko</w:t>
      </w:r>
      <w:r w:rsidRPr="000C7DC2">
        <w:t>, US-T</w:t>
      </w:r>
      <w:r w:rsidR="00F94C22">
        <w:t>ysabri</w:t>
      </w:r>
      <w:r w:rsidRPr="000C7DC2">
        <w:t>, EU-T</w:t>
      </w:r>
      <w:r w:rsidR="00F94C22">
        <w:t>ysabri</w:t>
      </w:r>
      <w:r w:rsidRPr="000C7DC2">
        <w:t xml:space="preserve">) in healthy subjects and a </w:t>
      </w:r>
      <w:r w:rsidR="00F94C22">
        <w:t>P</w:t>
      </w:r>
      <w:r w:rsidRPr="000C7DC2">
        <w:t xml:space="preserve">hase </w:t>
      </w:r>
      <w:r w:rsidR="00F94C22">
        <w:t>III</w:t>
      </w:r>
      <w:r w:rsidRPr="000C7DC2">
        <w:t xml:space="preserve"> randomised clinical trial in patients with </w:t>
      </w:r>
      <w:r w:rsidR="006B2E27" w:rsidRPr="006B2E27">
        <w:t>relapsing-remitting multiple sclerosis</w:t>
      </w:r>
      <w:r w:rsidR="006B2E27">
        <w:t xml:space="preserve"> (</w:t>
      </w:r>
      <w:r w:rsidRPr="000C7DC2">
        <w:t>RRMS</w:t>
      </w:r>
      <w:r w:rsidR="006B2E27">
        <w:t>)</w:t>
      </w:r>
      <w:r w:rsidRPr="000C7DC2">
        <w:t>. The other two studies included a pilot PK/PD study with EU-T</w:t>
      </w:r>
      <w:r w:rsidR="006B2E27">
        <w:t>ysabri</w:t>
      </w:r>
      <w:r w:rsidRPr="000C7DC2">
        <w:t xml:space="preserve"> and a supportive safety study of PB006 in healthy subjects.</w:t>
      </w:r>
    </w:p>
    <w:p w14:paraId="2EE6D15B" w14:textId="563F6030" w:rsidR="00142886" w:rsidRPr="000C7DC2" w:rsidRDefault="00142886" w:rsidP="000C7DC2">
      <w:r w:rsidRPr="000C7DC2">
        <w:t xml:space="preserve">Clinical development was discussed with both the </w:t>
      </w:r>
      <w:r w:rsidR="00C670FD">
        <w:t xml:space="preserve">US </w:t>
      </w:r>
      <w:r w:rsidR="006D4755">
        <w:t xml:space="preserve">Food </w:t>
      </w:r>
      <w:r w:rsidR="00C670FD">
        <w:t xml:space="preserve">and Drug </w:t>
      </w:r>
      <w:r w:rsidR="00C670FD" w:rsidRPr="00DE174D">
        <w:t>Administration (</w:t>
      </w:r>
      <w:r w:rsidRPr="00DE174D">
        <w:t>FDA</w:t>
      </w:r>
      <w:r w:rsidR="00C670FD" w:rsidRPr="00DE174D">
        <w:t>)</w:t>
      </w:r>
      <w:r w:rsidRPr="00DE174D">
        <w:t xml:space="preserve"> and</w:t>
      </w:r>
      <w:r w:rsidRPr="000C7DC2">
        <w:t xml:space="preserve"> EMA. As the agencies had different requirements with regard the demonstration of similar efficacy (</w:t>
      </w:r>
      <w:r w:rsidR="00445704">
        <w:t xml:space="preserve">for example </w:t>
      </w:r>
      <w:r w:rsidRPr="000C7DC2">
        <w:t>MRI v</w:t>
      </w:r>
      <w:r w:rsidR="00445704">
        <w:t xml:space="preserve">ersus </w:t>
      </w:r>
      <w:r w:rsidRPr="000C7DC2">
        <w:t xml:space="preserve">sensitive PD endpoints) the </w:t>
      </w:r>
      <w:r w:rsidR="00C670FD">
        <w:t>s</w:t>
      </w:r>
      <w:r w:rsidRPr="000C7DC2">
        <w:t>ponsor developed studies that would ultimately satisfy both. In addition, the FDA requested data to be generated on switching from a reference product to the biosimilar.</w:t>
      </w:r>
    </w:p>
    <w:p w14:paraId="67FA5836" w14:textId="77777777" w:rsidR="00142886" w:rsidRPr="00901283" w:rsidRDefault="00142886" w:rsidP="00142886">
      <w:pPr>
        <w:pStyle w:val="Heading4"/>
        <w:rPr>
          <w:rFonts w:eastAsia="Times New Roman"/>
          <w:b w:val="0"/>
          <w:i/>
          <w:color w:val="7295D2" w:themeColor="accent1" w:themeTint="BF"/>
        </w:rPr>
      </w:pPr>
      <w:bookmarkStart w:id="47" w:name="_Toc205908890"/>
      <w:r w:rsidRPr="00AA53F4">
        <w:t>Pharmacology</w:t>
      </w:r>
      <w:bookmarkEnd w:id="47"/>
    </w:p>
    <w:p w14:paraId="0A170CC0" w14:textId="41517BF5" w:rsidR="00142886" w:rsidRDefault="00142886" w:rsidP="00142886">
      <w:pPr>
        <w:pStyle w:val="Heading5"/>
        <w:rPr>
          <w:b w:val="0"/>
          <w:color w:val="7295D2" w:themeColor="accent1" w:themeTint="BF"/>
        </w:rPr>
      </w:pPr>
      <w:r w:rsidRPr="00AA53F4">
        <w:t>Pharmacokinetics</w:t>
      </w:r>
    </w:p>
    <w:p w14:paraId="3150E244" w14:textId="581F6B4F" w:rsidR="00142886" w:rsidRPr="00FD2FF5" w:rsidRDefault="00142886" w:rsidP="00FD2FF5">
      <w:r w:rsidRPr="00FD2FF5">
        <w:t xml:space="preserve">Study PB006-01-03 was a multicentre PK/PD study in healthy subjects with randomisation to </w:t>
      </w:r>
      <w:r w:rsidR="00C670FD" w:rsidRPr="00FD2FF5">
        <w:t>three</w:t>
      </w:r>
      <w:r w:rsidRPr="00FD2FF5">
        <w:t xml:space="preserve"> treatment arms consisting of single doses of 3</w:t>
      </w:r>
      <w:r w:rsidR="00C670FD" w:rsidRPr="00FD2FF5">
        <w:t> </w:t>
      </w:r>
      <w:r w:rsidRPr="00FD2FF5">
        <w:t>mg/kg PB006, EU-T</w:t>
      </w:r>
      <w:r w:rsidR="00C670FD" w:rsidRPr="00FD2FF5">
        <w:t>ysabri</w:t>
      </w:r>
      <w:r w:rsidRPr="00FD2FF5">
        <w:t xml:space="preserve"> or US-T</w:t>
      </w:r>
      <w:r w:rsidR="00C670FD" w:rsidRPr="00FD2FF5">
        <w:t>ysabri</w:t>
      </w:r>
      <w:r w:rsidRPr="00FD2FF5">
        <w:t xml:space="preserve">. Treatment was given as a </w:t>
      </w:r>
      <w:proofErr w:type="gramStart"/>
      <w:r w:rsidRPr="00FD2FF5">
        <w:t>60</w:t>
      </w:r>
      <w:r w:rsidR="00FD2FF5" w:rsidRPr="00FD2FF5">
        <w:t xml:space="preserve"> </w:t>
      </w:r>
      <w:r w:rsidRPr="00FD2FF5">
        <w:t>minute</w:t>
      </w:r>
      <w:proofErr w:type="gramEnd"/>
      <w:r w:rsidRPr="00FD2FF5">
        <w:t xml:space="preserve"> intravenous infusion followed by PK and PD sampling over </w:t>
      </w:r>
      <w:r w:rsidRPr="00FD2FF5">
        <w:lastRenderedPageBreak/>
        <w:t>85 days. Final follow up visit was at 6 months. Safety assessments were conducted throughout the study, as was immunogenicity.</w:t>
      </w:r>
    </w:p>
    <w:p w14:paraId="07050D3E" w14:textId="4D243B8A" w:rsidR="00142886" w:rsidRPr="00614C4A" w:rsidRDefault="00142886" w:rsidP="00FD2FF5">
      <w:r w:rsidRPr="00FD2FF5">
        <w:t xml:space="preserve">Participants were healthy males and females aged 18 to 65 years (subsequently reduced to </w:t>
      </w:r>
      <w:r w:rsidRPr="00614C4A">
        <w:t>54</w:t>
      </w:r>
      <w:r w:rsidR="00FD2FF5" w:rsidRPr="00614C4A">
        <w:t> </w:t>
      </w:r>
      <w:r w:rsidRPr="00614C4A">
        <w:t>years on account of the COVID</w:t>
      </w:r>
      <w:r w:rsidR="00A461F7" w:rsidRPr="00614C4A">
        <w:t>-</w:t>
      </w:r>
      <w:r w:rsidRPr="00614C4A">
        <w:t xml:space="preserve">19 pandemic), with </w:t>
      </w:r>
      <w:r w:rsidR="000D619F" w:rsidRPr="00614C4A">
        <w:t>body mass index</w:t>
      </w:r>
      <w:r w:rsidR="00DE174D" w:rsidRPr="00614C4A">
        <w:t xml:space="preserve"> </w:t>
      </w:r>
      <w:r w:rsidRPr="00614C4A">
        <w:t>18.5 to 30</w:t>
      </w:r>
      <w:r w:rsidR="00A461F7" w:rsidRPr="00614C4A">
        <w:t> </w:t>
      </w:r>
      <w:r w:rsidRPr="00614C4A">
        <w:t>kg/m</w:t>
      </w:r>
      <w:r w:rsidRPr="00923462">
        <w:rPr>
          <w:vertAlign w:val="superscript"/>
        </w:rPr>
        <w:t>2</w:t>
      </w:r>
      <w:r w:rsidRPr="00614C4A">
        <w:t xml:space="preserve">, negative for anti-John </w:t>
      </w:r>
      <w:r w:rsidR="009927BE" w:rsidRPr="00614C4A">
        <w:t>Cunni</w:t>
      </w:r>
      <w:r w:rsidR="009927BE">
        <w:t>ng</w:t>
      </w:r>
      <w:r w:rsidR="009927BE" w:rsidRPr="00614C4A">
        <w:t xml:space="preserve">ham </w:t>
      </w:r>
      <w:r w:rsidRPr="00614C4A">
        <w:t>virus</w:t>
      </w:r>
      <w:r w:rsidR="00A461F7" w:rsidRPr="00614C4A">
        <w:t xml:space="preserve"> (JCV)</w:t>
      </w:r>
      <w:r w:rsidRPr="00614C4A">
        <w:t xml:space="preserve"> antibody and COVID</w:t>
      </w:r>
      <w:r w:rsidR="00A461F7" w:rsidRPr="00614C4A">
        <w:t>-</w:t>
      </w:r>
      <w:r w:rsidRPr="00614C4A">
        <w:t>19.</w:t>
      </w:r>
    </w:p>
    <w:p w14:paraId="67D9C263" w14:textId="2E8B2A25" w:rsidR="00142886" w:rsidRPr="00FD2FF5" w:rsidRDefault="00142886" w:rsidP="00FD2FF5">
      <w:r w:rsidRPr="00614C4A">
        <w:t xml:space="preserve">The primary PK endpoint was </w:t>
      </w:r>
      <w:r w:rsidR="00DD6349">
        <w:t xml:space="preserve">the </w:t>
      </w:r>
      <w:r w:rsidR="0048775E" w:rsidRPr="00614C4A">
        <w:t>area under the concentration time curve from time zero to infinity (</w:t>
      </w:r>
      <w:r w:rsidRPr="00614C4A">
        <w:t>AUC</w:t>
      </w:r>
      <w:r w:rsidR="0048775E" w:rsidRPr="00614C4A">
        <w:rPr>
          <w:vertAlign w:val="subscript"/>
        </w:rPr>
        <w:t>0-</w:t>
      </w:r>
      <w:r w:rsidRPr="00614C4A">
        <w:rPr>
          <w:vertAlign w:val="subscript"/>
        </w:rPr>
        <w:t>inf</w:t>
      </w:r>
      <w:r w:rsidR="0048775E" w:rsidRPr="00614C4A">
        <w:t>)</w:t>
      </w:r>
      <w:r w:rsidRPr="00614C4A">
        <w:t xml:space="preserve"> of total natalizumab, which was then compared between the products for a </w:t>
      </w:r>
      <w:proofErr w:type="gramStart"/>
      <w:r w:rsidRPr="00614C4A">
        <w:t>three way</w:t>
      </w:r>
      <w:proofErr w:type="gramEnd"/>
      <w:r w:rsidRPr="00614C4A">
        <w:t xml:space="preserve"> comparison. As a pre-requisite for the pooling of the two reference products, PK similarity needed to be established between EU-</w:t>
      </w:r>
      <w:r w:rsidR="00B63895" w:rsidRPr="00614C4A">
        <w:t>Tysabri</w:t>
      </w:r>
      <w:r w:rsidRPr="00614C4A">
        <w:t xml:space="preserve"> and US-T</w:t>
      </w:r>
      <w:r w:rsidR="003C5535" w:rsidRPr="00614C4A">
        <w:t xml:space="preserve">ysabri </w:t>
      </w:r>
      <w:r w:rsidRPr="00614C4A">
        <w:t>(</w:t>
      </w:r>
      <w:r w:rsidR="003C5535" w:rsidRPr="00614C4A">
        <w:t xml:space="preserve">that is, </w:t>
      </w:r>
      <w:r w:rsidRPr="00614C4A">
        <w:t>bridging). Similarity was established if the 90% confidence interval for AUC</w:t>
      </w:r>
      <w:r w:rsidR="003C5535" w:rsidRPr="00614C4A">
        <w:rPr>
          <w:vertAlign w:val="subscript"/>
        </w:rPr>
        <w:t>0-</w:t>
      </w:r>
      <w:r w:rsidRPr="00614C4A">
        <w:rPr>
          <w:vertAlign w:val="subscript"/>
        </w:rPr>
        <w:t xml:space="preserve">inf </w:t>
      </w:r>
      <w:r w:rsidRPr="00614C4A">
        <w:t>comparison ratios was between 80% and 125%. Secondary PK endpoints included</w:t>
      </w:r>
      <w:r w:rsidR="00C2599C" w:rsidRPr="00614C4A">
        <w:t xml:space="preserve"> </w:t>
      </w:r>
      <w:r w:rsidR="004A3A8F">
        <w:t xml:space="preserve">the </w:t>
      </w:r>
      <w:r w:rsidR="00C2599C" w:rsidRPr="00614C4A">
        <w:t>area under concentration-time curve from time zero to the time of last measurable concentration</w:t>
      </w:r>
      <w:r w:rsidRPr="00614C4A">
        <w:t xml:space="preserve"> </w:t>
      </w:r>
      <w:r w:rsidR="00C2599C" w:rsidRPr="00614C4A">
        <w:t>(</w:t>
      </w:r>
      <w:r w:rsidRPr="00614C4A">
        <w:t>AUC</w:t>
      </w:r>
      <w:r w:rsidR="00C2599C" w:rsidRPr="00614C4A">
        <w:rPr>
          <w:vertAlign w:val="subscript"/>
        </w:rPr>
        <w:t>0-</w:t>
      </w:r>
      <w:r w:rsidRPr="00614C4A">
        <w:rPr>
          <w:vertAlign w:val="subscript"/>
        </w:rPr>
        <w:t>t</w:t>
      </w:r>
      <w:r w:rsidR="00C2599C" w:rsidRPr="00614C4A">
        <w:t>)</w:t>
      </w:r>
      <w:r w:rsidRPr="00614C4A">
        <w:t xml:space="preserve">, </w:t>
      </w:r>
      <w:r w:rsidR="006A1139" w:rsidRPr="00614C4A">
        <w:t>maximum concentration (</w:t>
      </w:r>
      <w:r w:rsidRPr="00614C4A">
        <w:t>C</w:t>
      </w:r>
      <w:r w:rsidRPr="00614C4A">
        <w:rPr>
          <w:vertAlign w:val="subscript"/>
        </w:rPr>
        <w:t>max</w:t>
      </w:r>
      <w:r w:rsidR="006A1139" w:rsidRPr="00614C4A">
        <w:t>)</w:t>
      </w:r>
      <w:r w:rsidRPr="00614C4A">
        <w:t xml:space="preserve"> and</w:t>
      </w:r>
      <w:r w:rsidR="00774484" w:rsidRPr="00614C4A">
        <w:t xml:space="preserve"> </w:t>
      </w:r>
      <w:r w:rsidR="003969FD" w:rsidRPr="00614C4A">
        <w:t>time to</w:t>
      </w:r>
      <w:r w:rsidR="003969FD">
        <w:t xml:space="preserve"> maximum concentration</w:t>
      </w:r>
      <w:r w:rsidRPr="00FD2FF5">
        <w:t xml:space="preserve">. Unexchanged natalizumab was evaluated in further secondary analyses (unexchanged natalizumab is a separate assay for detecting </w:t>
      </w:r>
      <w:r w:rsidR="007B1F3A">
        <w:t>‘</w:t>
      </w:r>
      <w:r w:rsidRPr="00FD2FF5">
        <w:t>functional</w:t>
      </w:r>
      <w:r w:rsidR="007B1F3A">
        <w:t>’</w:t>
      </w:r>
      <w:r w:rsidRPr="00FD2FF5">
        <w:t xml:space="preserve"> bivalent antibodies which have not undergone Fab-arm exchange).</w:t>
      </w:r>
    </w:p>
    <w:p w14:paraId="28033904" w14:textId="2A59A291" w:rsidR="00142886" w:rsidRPr="00FD2FF5" w:rsidRDefault="00142886" w:rsidP="00FD2FF5">
      <w:r w:rsidRPr="00FD2FF5">
        <w:t>In total, 453 participants were randomised and nearly all received treatment (PB006</w:t>
      </w:r>
      <w:r w:rsidR="007B1F3A">
        <w:t> </w:t>
      </w:r>
      <w:r w:rsidRPr="00FD2FF5">
        <w:t>=</w:t>
      </w:r>
      <w:r w:rsidR="007B1F3A">
        <w:t> </w:t>
      </w:r>
      <w:r w:rsidRPr="00FD2FF5">
        <w:t>149</w:t>
      </w:r>
      <w:r w:rsidR="00B63895">
        <w:t>,</w:t>
      </w:r>
      <w:r w:rsidRPr="00FD2FF5">
        <w:t xml:space="preserve"> EU</w:t>
      </w:r>
      <w:r w:rsidR="00B63895">
        <w:noBreakHyphen/>
      </w:r>
      <w:r w:rsidRPr="00FD2FF5">
        <w:t>T</w:t>
      </w:r>
      <w:r w:rsidR="00B63895">
        <w:t>ysabri </w:t>
      </w:r>
      <w:r w:rsidRPr="00FD2FF5">
        <w:t>=</w:t>
      </w:r>
      <w:r w:rsidR="00B63895">
        <w:t> </w:t>
      </w:r>
      <w:r w:rsidRPr="00FD2FF5">
        <w:t>151</w:t>
      </w:r>
      <w:r w:rsidR="00B63895">
        <w:t>,</w:t>
      </w:r>
      <w:r w:rsidRPr="00FD2FF5">
        <w:t xml:space="preserve"> US-T</w:t>
      </w:r>
      <w:r w:rsidR="00B63895">
        <w:t>ysabri </w:t>
      </w:r>
      <w:r w:rsidRPr="00FD2FF5">
        <w:t>=</w:t>
      </w:r>
      <w:r w:rsidR="00B63895">
        <w:t> </w:t>
      </w:r>
      <w:r w:rsidRPr="00FD2FF5">
        <w:t>150) and completed the study. The primary PK set consisted of PB006</w:t>
      </w:r>
      <w:r w:rsidR="0093615A">
        <w:t> </w:t>
      </w:r>
      <w:r w:rsidRPr="00FD2FF5">
        <w:t>=</w:t>
      </w:r>
      <w:r w:rsidR="0093615A">
        <w:t> </w:t>
      </w:r>
      <w:r w:rsidRPr="00FD2FF5">
        <w:t>142, EU-T</w:t>
      </w:r>
      <w:r w:rsidR="0093615A">
        <w:t>ysabri </w:t>
      </w:r>
      <w:r w:rsidRPr="00FD2FF5">
        <w:t>=</w:t>
      </w:r>
      <w:r w:rsidR="0093615A">
        <w:t> </w:t>
      </w:r>
      <w:r w:rsidRPr="00FD2FF5">
        <w:t>147 and US-T</w:t>
      </w:r>
      <w:r w:rsidR="0093615A">
        <w:t>ysabri </w:t>
      </w:r>
      <w:r w:rsidRPr="00FD2FF5">
        <w:t>=</w:t>
      </w:r>
      <w:r w:rsidR="0093615A">
        <w:t> </w:t>
      </w:r>
      <w:r w:rsidRPr="00FD2FF5">
        <w:t>148. During the course of the study there were amendments to inclusion/exclusion criteria, changes to manage COVID</w:t>
      </w:r>
      <w:r w:rsidR="0093615A">
        <w:t>-</w:t>
      </w:r>
      <w:r w:rsidRPr="00FD2FF5">
        <w:t>19 risk and changes to the endpoints (including CD19+ as a primary PD endpoint). The participants were of mean age 31 and weight 71.4</w:t>
      </w:r>
      <w:r w:rsidR="00F45EB6">
        <w:t xml:space="preserve"> to </w:t>
      </w:r>
      <w:r w:rsidRPr="00FD2FF5">
        <w:t>72.5</w:t>
      </w:r>
      <w:r w:rsidR="009D4F97">
        <w:t> </w:t>
      </w:r>
      <w:r w:rsidRPr="00FD2FF5">
        <w:t xml:space="preserve">kg, approximately evenly split male and female and mainly </w:t>
      </w:r>
      <w:r w:rsidR="009D4F97">
        <w:t>W</w:t>
      </w:r>
      <w:r w:rsidRPr="00FD2FF5">
        <w:t>hite (83.1</w:t>
      </w:r>
      <w:r w:rsidR="009D4F97">
        <w:t xml:space="preserve"> to </w:t>
      </w:r>
      <w:r w:rsidRPr="00FD2FF5">
        <w:t>89.2%).</w:t>
      </w:r>
    </w:p>
    <w:p w14:paraId="1EAF1B42" w14:textId="6B653736" w:rsidR="00142886" w:rsidRPr="00FD2FF5" w:rsidRDefault="00142886" w:rsidP="00FD2FF5">
      <w:r w:rsidRPr="00FD2FF5">
        <w:t xml:space="preserve">Exposures to total natalizumab were similar across the </w:t>
      </w:r>
      <w:r w:rsidR="009D4F97">
        <w:t>three</w:t>
      </w:r>
      <w:r w:rsidRPr="00FD2FF5">
        <w:t xml:space="preserve"> treatment groups over the entire sampling period (</w:t>
      </w:r>
      <w:r w:rsidRPr="00FD2FF5">
        <w:fldChar w:fldCharType="begin"/>
      </w:r>
      <w:r w:rsidRPr="00FD2FF5">
        <w:instrText xml:space="preserve"> REF _Ref168327165 \h </w:instrText>
      </w:r>
      <w:r w:rsidR="00FD2FF5">
        <w:instrText xml:space="preserve"> \* MERGEFORMAT </w:instrText>
      </w:r>
      <w:r w:rsidRPr="00FD2FF5">
        <w:fldChar w:fldCharType="separate"/>
      </w:r>
      <w:r w:rsidR="007956BC">
        <w:t>Figure 1</w:t>
      </w:r>
      <w:r w:rsidRPr="00FD2FF5">
        <w:fldChar w:fldCharType="end"/>
      </w:r>
      <w:r w:rsidRPr="00FD2FF5">
        <w:t xml:space="preserve">). Concentration increased rapidly to a maximum following the end of the infusion period, remained high to </w:t>
      </w:r>
      <w:r w:rsidR="00CC0CF5">
        <w:t>D</w:t>
      </w:r>
      <w:r w:rsidRPr="00FD2FF5">
        <w:t xml:space="preserve">ay 3 and subsequently declined. After </w:t>
      </w:r>
      <w:r w:rsidR="00CC0CF5">
        <w:t>D</w:t>
      </w:r>
      <w:r w:rsidRPr="00FD2FF5">
        <w:t>ay 57 natalizumab was undetectable.</w:t>
      </w:r>
    </w:p>
    <w:p w14:paraId="3EB56D6C" w14:textId="5EAF13E1" w:rsidR="00142886" w:rsidRDefault="00142886" w:rsidP="00B62600">
      <w:pPr>
        <w:pStyle w:val="FigureTitle"/>
      </w:pPr>
      <w:bookmarkStart w:id="48" w:name="_Ref168327165"/>
      <w:r>
        <w:t xml:space="preserve">Figure </w:t>
      </w:r>
      <w:r w:rsidR="00F0136B">
        <w:fldChar w:fldCharType="begin"/>
      </w:r>
      <w:r w:rsidR="00F0136B">
        <w:instrText xml:space="preserve"> SEQ Figure \* ARABIC </w:instrText>
      </w:r>
      <w:r w:rsidR="00F0136B">
        <w:fldChar w:fldCharType="separate"/>
      </w:r>
      <w:r w:rsidR="007956BC">
        <w:rPr>
          <w:noProof/>
        </w:rPr>
        <w:t>1</w:t>
      </w:r>
      <w:r w:rsidR="00F0136B">
        <w:rPr>
          <w:noProof/>
        </w:rPr>
        <w:fldChar w:fldCharType="end"/>
      </w:r>
      <w:bookmarkEnd w:id="48"/>
      <w:r w:rsidR="00B62600">
        <w:rPr>
          <w:noProof/>
        </w:rPr>
        <w:t>:</w:t>
      </w:r>
      <w:r>
        <w:t xml:space="preserve"> </w:t>
      </w:r>
      <w:r w:rsidR="00AE24B2">
        <w:t>Study 01-03 t</w:t>
      </w:r>
      <w:r>
        <w:t xml:space="preserve">otal natalizumab time-concentration for the </w:t>
      </w:r>
      <w:r w:rsidR="00B62600">
        <w:t xml:space="preserve">three </w:t>
      </w:r>
      <w:r>
        <w:t>treatment arms</w:t>
      </w:r>
    </w:p>
    <w:p w14:paraId="513395C9" w14:textId="77777777" w:rsidR="00142886" w:rsidRDefault="00142886" w:rsidP="00142886">
      <w:r>
        <w:rPr>
          <w:noProof/>
        </w:rPr>
        <w:drawing>
          <wp:inline distT="0" distB="0" distL="0" distR="0" wp14:anchorId="36147695" wp14:editId="512A54A5">
            <wp:extent cx="5656415" cy="2200275"/>
            <wp:effectExtent l="0" t="0" r="1905" b="0"/>
            <wp:docPr id="2" name="Picture 2" descr="Study 01-03 total natalizumab time-concentration for the three treatment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01-03 total natalizumab time-concentration for the three treatment arms"/>
                    <pic:cNvPicPr/>
                  </pic:nvPicPr>
                  <pic:blipFill rotWithShape="1">
                    <a:blip r:embed="rId26"/>
                    <a:srcRect l="4154" r="2283" b="4617"/>
                    <a:stretch/>
                  </pic:blipFill>
                  <pic:spPr bwMode="auto">
                    <a:xfrm>
                      <a:off x="0" y="0"/>
                      <a:ext cx="5665866" cy="2203951"/>
                    </a:xfrm>
                    <a:prstGeom prst="rect">
                      <a:avLst/>
                    </a:prstGeom>
                    <a:ln>
                      <a:noFill/>
                    </a:ln>
                    <a:extLst>
                      <a:ext uri="{53640926-AAD7-44D8-BBD7-CCE9431645EC}">
                        <a14:shadowObscured xmlns:a14="http://schemas.microsoft.com/office/drawing/2010/main"/>
                      </a:ext>
                    </a:extLst>
                  </pic:spPr>
                </pic:pic>
              </a:graphicData>
            </a:graphic>
          </wp:inline>
        </w:drawing>
      </w:r>
    </w:p>
    <w:p w14:paraId="430619C9" w14:textId="2BEA698F" w:rsidR="00142886" w:rsidRPr="00B62600" w:rsidRDefault="00142886" w:rsidP="00B62600">
      <w:r w:rsidRPr="00B62600">
        <w:t>Formal comparison of the ratio of the AUC</w:t>
      </w:r>
      <w:r w:rsidR="003F64D0" w:rsidRPr="003F64D0">
        <w:rPr>
          <w:vertAlign w:val="subscript"/>
        </w:rPr>
        <w:t>0-</w:t>
      </w:r>
      <w:r w:rsidRPr="003F64D0">
        <w:rPr>
          <w:vertAlign w:val="subscript"/>
        </w:rPr>
        <w:t>inf</w:t>
      </w:r>
      <w:r w:rsidRPr="00B62600">
        <w:t xml:space="preserve"> geometric </w:t>
      </w:r>
      <w:r w:rsidR="00B524E9">
        <w:t>least square (</w:t>
      </w:r>
      <w:r w:rsidRPr="00B62600">
        <w:t>LS</w:t>
      </w:r>
      <w:r w:rsidR="00B524E9">
        <w:t>)</w:t>
      </w:r>
      <w:r w:rsidRPr="00B62600">
        <w:t xml:space="preserve"> means for PB006 v</w:t>
      </w:r>
      <w:r w:rsidR="00B524E9">
        <w:t>ersus</w:t>
      </w:r>
      <w:r w:rsidRPr="00B62600">
        <w:t xml:space="preserve"> the marketed T</w:t>
      </w:r>
      <w:r w:rsidR="00B524E9">
        <w:t>ysabri</w:t>
      </w:r>
      <w:r w:rsidRPr="00B62600">
        <w:t xml:space="preserve"> products, as well as </w:t>
      </w:r>
      <w:r w:rsidR="00AA6BCC">
        <w:t>EU-</w:t>
      </w:r>
      <w:r w:rsidRPr="00B62600">
        <w:t>T</w:t>
      </w:r>
      <w:r w:rsidR="00AA6BCC">
        <w:t>ysabri versus US-</w:t>
      </w:r>
      <w:r w:rsidRPr="00B62600">
        <w:t>T</w:t>
      </w:r>
      <w:r w:rsidR="00AA6BCC">
        <w:t>ysabri</w:t>
      </w:r>
      <w:r w:rsidRPr="00B62600">
        <w:t>, demonstrated PK bioequivalence (</w:t>
      </w:r>
      <w:r w:rsidR="000159C4">
        <w:t xml:space="preserve">that is, </w:t>
      </w:r>
      <w:r w:rsidRPr="00B62600">
        <w:t>90% confidence interval contained within 0.8 and 1.25) (</w:t>
      </w:r>
      <w:r w:rsidRPr="00B62600">
        <w:fldChar w:fldCharType="begin"/>
      </w:r>
      <w:r w:rsidRPr="00B62600">
        <w:instrText xml:space="preserve"> REF _Ref168327410 \h </w:instrText>
      </w:r>
      <w:r w:rsidR="00B62600" w:rsidRPr="00B62600">
        <w:instrText xml:space="preserve"> \* MERGEFORMAT </w:instrText>
      </w:r>
      <w:r w:rsidRPr="00B62600">
        <w:fldChar w:fldCharType="separate"/>
      </w:r>
      <w:r w:rsidR="007956BC">
        <w:t>Table 2</w:t>
      </w:r>
      <w:r w:rsidRPr="00B62600">
        <w:fldChar w:fldCharType="end"/>
      </w:r>
      <w:r w:rsidRPr="00B62600">
        <w:t>). The secondary PK comparisons of C</w:t>
      </w:r>
      <w:r w:rsidRPr="000159C4">
        <w:rPr>
          <w:vertAlign w:val="subscript"/>
        </w:rPr>
        <w:t>max</w:t>
      </w:r>
      <w:r w:rsidRPr="00B62600">
        <w:t xml:space="preserve"> and AUC</w:t>
      </w:r>
      <w:r w:rsidR="00D04069" w:rsidRPr="00D04069">
        <w:rPr>
          <w:vertAlign w:val="subscript"/>
        </w:rPr>
        <w:t>0-</w:t>
      </w:r>
      <w:r w:rsidR="00D04069" w:rsidRPr="001D558B">
        <w:rPr>
          <w:vertAlign w:val="subscript"/>
        </w:rPr>
        <w:t>t</w:t>
      </w:r>
      <w:r w:rsidRPr="00B62600">
        <w:t xml:space="preserve"> also demonstrated PK bioequivalence. Unexchanged natalizumab also demonstrated PK bioequivalence across the three treatment arms.</w:t>
      </w:r>
    </w:p>
    <w:p w14:paraId="5C17FEB9" w14:textId="7CF3B904" w:rsidR="00142886" w:rsidRDefault="00142886" w:rsidP="00CA6CEB">
      <w:pPr>
        <w:pStyle w:val="TableTitle"/>
      </w:pPr>
      <w:bookmarkStart w:id="49" w:name="_Ref168327410"/>
      <w:r>
        <w:lastRenderedPageBreak/>
        <w:t xml:space="preserve">Table </w:t>
      </w:r>
      <w:r w:rsidR="00CA6CEB">
        <w:fldChar w:fldCharType="begin"/>
      </w:r>
      <w:r w:rsidR="00CA6CEB">
        <w:instrText xml:space="preserve"> SEQ Table \* ARABIC </w:instrText>
      </w:r>
      <w:r w:rsidR="00CA6CEB">
        <w:fldChar w:fldCharType="separate"/>
      </w:r>
      <w:r w:rsidR="007956BC">
        <w:rPr>
          <w:noProof/>
        </w:rPr>
        <w:t>2</w:t>
      </w:r>
      <w:r w:rsidR="00CA6CEB">
        <w:rPr>
          <w:noProof/>
        </w:rPr>
        <w:fldChar w:fldCharType="end"/>
      </w:r>
      <w:bookmarkEnd w:id="49"/>
      <w:r w:rsidR="00D04069">
        <w:rPr>
          <w:noProof/>
        </w:rPr>
        <w:t xml:space="preserve">: </w:t>
      </w:r>
      <w:r w:rsidR="00D04069">
        <w:t xml:space="preserve">Study </w:t>
      </w:r>
      <w:r w:rsidR="00CA6CEB">
        <w:t>01-03 c</w:t>
      </w:r>
      <w:r>
        <w:t>omparison of AUC</w:t>
      </w:r>
      <w:r w:rsidR="00D04069" w:rsidRPr="00D04069">
        <w:rPr>
          <w:vertAlign w:val="subscript"/>
        </w:rPr>
        <w:t>0-</w:t>
      </w:r>
      <w:r w:rsidRPr="00D04069">
        <w:rPr>
          <w:vertAlign w:val="subscript"/>
        </w:rPr>
        <w:t xml:space="preserve">inf </w:t>
      </w:r>
      <w:r>
        <w:t>of total natalizumab in the PK population</w:t>
      </w:r>
    </w:p>
    <w:p w14:paraId="1F93DCB8" w14:textId="77777777" w:rsidR="00142886" w:rsidRDefault="00142886" w:rsidP="00142886">
      <w:r>
        <w:rPr>
          <w:noProof/>
        </w:rPr>
        <w:drawing>
          <wp:inline distT="0" distB="0" distL="0" distR="0" wp14:anchorId="47CDDDAF" wp14:editId="7EC1F519">
            <wp:extent cx="5550535" cy="2152650"/>
            <wp:effectExtent l="0" t="0" r="0" b="0"/>
            <wp:docPr id="3" name="Picture 3" descr="Study 01-03 comparison of AUC0-inf of total natalizumab in the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01-03 comparison of AUC0-inf of total natalizumab in the PK population"/>
                    <pic:cNvPicPr/>
                  </pic:nvPicPr>
                  <pic:blipFill rotWithShape="1">
                    <a:blip r:embed="rId27"/>
                    <a:srcRect l="3157"/>
                    <a:stretch/>
                  </pic:blipFill>
                  <pic:spPr bwMode="auto">
                    <a:xfrm>
                      <a:off x="0" y="0"/>
                      <a:ext cx="5550535" cy="2152650"/>
                    </a:xfrm>
                    <a:prstGeom prst="rect">
                      <a:avLst/>
                    </a:prstGeom>
                    <a:ln>
                      <a:noFill/>
                    </a:ln>
                    <a:extLst>
                      <a:ext uri="{53640926-AAD7-44D8-BBD7-CCE9431645EC}">
                        <a14:shadowObscured xmlns:a14="http://schemas.microsoft.com/office/drawing/2010/main"/>
                      </a:ext>
                    </a:extLst>
                  </pic:spPr>
                </pic:pic>
              </a:graphicData>
            </a:graphic>
          </wp:inline>
        </w:drawing>
      </w:r>
    </w:p>
    <w:p w14:paraId="0F9617F1" w14:textId="05470209" w:rsidR="00142886" w:rsidRPr="006C0B8A" w:rsidRDefault="00142886" w:rsidP="006C0B8A">
      <w:r w:rsidRPr="006C0B8A">
        <w:t xml:space="preserve">In the </w:t>
      </w:r>
      <w:r w:rsidR="006C0B8A" w:rsidRPr="006C0B8A">
        <w:t>P</w:t>
      </w:r>
      <w:r w:rsidRPr="006C0B8A">
        <w:t xml:space="preserve">hase </w:t>
      </w:r>
      <w:r w:rsidR="006C0B8A" w:rsidRPr="006C0B8A">
        <w:t>III</w:t>
      </w:r>
      <w:r w:rsidRPr="006C0B8A">
        <w:t xml:space="preserve"> clinical study natalizumab total trough concentrations were measured at </w:t>
      </w:r>
      <w:r w:rsidR="00C324C4">
        <w:t>W</w:t>
      </w:r>
      <w:r w:rsidRPr="006C0B8A">
        <w:t>eeks</w:t>
      </w:r>
      <w:r w:rsidR="00C324C4">
        <w:t> </w:t>
      </w:r>
      <w:r w:rsidRPr="006C0B8A">
        <w:t xml:space="preserve">8, 16, 24, 32 and 48. Although not formally compared, they were generally similar and with similar coefficient of variations (shown up to </w:t>
      </w:r>
      <w:r w:rsidR="00C324C4">
        <w:t>W</w:t>
      </w:r>
      <w:r w:rsidRPr="006C0B8A">
        <w:t xml:space="preserve">eek 24 in </w:t>
      </w:r>
      <w:r w:rsidRPr="006C0B8A">
        <w:fldChar w:fldCharType="begin"/>
      </w:r>
      <w:r w:rsidRPr="006C0B8A">
        <w:instrText xml:space="preserve"> REF _Ref169105112 \h </w:instrText>
      </w:r>
      <w:r w:rsidR="006C0B8A" w:rsidRPr="006C0B8A">
        <w:instrText xml:space="preserve"> \* MERGEFORMAT </w:instrText>
      </w:r>
      <w:r w:rsidRPr="006C0B8A">
        <w:fldChar w:fldCharType="separate"/>
      </w:r>
      <w:r w:rsidR="007956BC">
        <w:t>Table 3</w:t>
      </w:r>
      <w:r w:rsidRPr="006C0B8A">
        <w:fldChar w:fldCharType="end"/>
      </w:r>
      <w:r w:rsidRPr="006C0B8A">
        <w:t>).</w:t>
      </w:r>
    </w:p>
    <w:p w14:paraId="70A58E93" w14:textId="21DCA444" w:rsidR="00142886" w:rsidRDefault="00142886" w:rsidP="00C324C4">
      <w:pPr>
        <w:pStyle w:val="TableTitle"/>
      </w:pPr>
      <w:bookmarkStart w:id="50" w:name="_Ref169105112"/>
      <w:r>
        <w:t xml:space="preserve">Table </w:t>
      </w:r>
      <w:r w:rsidR="0011214D">
        <w:fldChar w:fldCharType="begin"/>
      </w:r>
      <w:r w:rsidR="0011214D">
        <w:instrText xml:space="preserve"> SEQ Table \* ARABIC </w:instrText>
      </w:r>
      <w:r w:rsidR="0011214D">
        <w:fldChar w:fldCharType="separate"/>
      </w:r>
      <w:r w:rsidR="007956BC">
        <w:rPr>
          <w:noProof/>
        </w:rPr>
        <w:t>3</w:t>
      </w:r>
      <w:r w:rsidR="0011214D">
        <w:rPr>
          <w:noProof/>
        </w:rPr>
        <w:fldChar w:fldCharType="end"/>
      </w:r>
      <w:bookmarkEnd w:id="50"/>
      <w:r w:rsidR="00C324C4">
        <w:rPr>
          <w:noProof/>
        </w:rPr>
        <w:t>:</w:t>
      </w:r>
      <w:r>
        <w:t xml:space="preserve"> Trough concentrations (total natalizumab) in the clinical efficacy study</w:t>
      </w:r>
    </w:p>
    <w:p w14:paraId="1A5B8388" w14:textId="77777777" w:rsidR="00142886" w:rsidRDefault="00142886" w:rsidP="00142886">
      <w:r>
        <w:rPr>
          <w:noProof/>
        </w:rPr>
        <w:drawing>
          <wp:inline distT="0" distB="0" distL="0" distR="0" wp14:anchorId="04E0A0B3" wp14:editId="54ED6F63">
            <wp:extent cx="5541010" cy="4476750"/>
            <wp:effectExtent l="0" t="0" r="2540" b="0"/>
            <wp:docPr id="7" name="Picture 7" descr="Trough concentrations (total natalizumab) in the clinical efficac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rough concentrations (total natalizumab) in the clinical efficacy study"/>
                    <pic:cNvPicPr/>
                  </pic:nvPicPr>
                  <pic:blipFill rotWithShape="1">
                    <a:blip r:embed="rId28"/>
                    <a:srcRect l="3324" b="2097"/>
                    <a:stretch/>
                  </pic:blipFill>
                  <pic:spPr bwMode="auto">
                    <a:xfrm>
                      <a:off x="0" y="0"/>
                      <a:ext cx="5541010" cy="4476750"/>
                    </a:xfrm>
                    <a:prstGeom prst="rect">
                      <a:avLst/>
                    </a:prstGeom>
                    <a:ln>
                      <a:noFill/>
                    </a:ln>
                    <a:extLst>
                      <a:ext uri="{53640926-AAD7-44D8-BBD7-CCE9431645EC}">
                        <a14:shadowObscured xmlns:a14="http://schemas.microsoft.com/office/drawing/2010/main"/>
                      </a:ext>
                    </a:extLst>
                  </pic:spPr>
                </pic:pic>
              </a:graphicData>
            </a:graphic>
          </wp:inline>
        </w:drawing>
      </w:r>
    </w:p>
    <w:p w14:paraId="54A06302" w14:textId="42E02535" w:rsidR="0011214D" w:rsidRDefault="00C72B52" w:rsidP="00C72B52">
      <w:pPr>
        <w:pStyle w:val="TableDescription"/>
      </w:pPr>
      <w:r>
        <w:t>BLQ = below limit of quantification, CV = coefficient of variation, Max = maximum, Min = minimum, N = number of patients in group, n = number of patients with data available, SD = standard deviation.</w:t>
      </w:r>
    </w:p>
    <w:p w14:paraId="610EA87E" w14:textId="46A1ECFA" w:rsidR="00142886" w:rsidRDefault="00142886" w:rsidP="00142886">
      <w:pPr>
        <w:pStyle w:val="Heading5"/>
        <w:rPr>
          <w:b w:val="0"/>
          <w:color w:val="7295D2" w:themeColor="accent1" w:themeTint="BF"/>
        </w:rPr>
      </w:pPr>
      <w:r w:rsidRPr="00AA53F4">
        <w:t>Pharmacodynamics</w:t>
      </w:r>
    </w:p>
    <w:p w14:paraId="0A62CAF6" w14:textId="2F49B6E8" w:rsidR="00142886" w:rsidRDefault="00142886" w:rsidP="00142886">
      <w:r>
        <w:t xml:space="preserve">In </w:t>
      </w:r>
      <w:r w:rsidR="00C72B52">
        <w:t>S</w:t>
      </w:r>
      <w:r>
        <w:t xml:space="preserve">tudy PB006-01-03 the two co-primary PD endpoints were the area under the effect curve </w:t>
      </w:r>
      <w:r w:rsidR="00710203">
        <w:t xml:space="preserve">from time zero </w:t>
      </w:r>
      <w:r>
        <w:t xml:space="preserve">to 12 weeks for </w:t>
      </w:r>
      <w:r w:rsidR="00F64A61">
        <w:t>B</w:t>
      </w:r>
      <w:r>
        <w:t>aseline adjusted CD19+</w:t>
      </w:r>
      <w:r w:rsidR="005F7263">
        <w:t xml:space="preserve"> (AUEC</w:t>
      </w:r>
      <w:r w:rsidR="005F7263" w:rsidRPr="00A526C0">
        <w:rPr>
          <w:vertAlign w:val="subscript"/>
        </w:rPr>
        <w:t xml:space="preserve">0-12w </w:t>
      </w:r>
      <w:r w:rsidR="005F7263">
        <w:t>CD19+</w:t>
      </w:r>
      <w:r>
        <w:t xml:space="preserve">; natalizumab is expected to increase CD19+ cell counts) and the area under the effect curve </w:t>
      </w:r>
      <w:r w:rsidR="00710203">
        <w:t xml:space="preserve">from time zero </w:t>
      </w:r>
      <w:r>
        <w:t xml:space="preserve">to </w:t>
      </w:r>
      <w:r>
        <w:lastRenderedPageBreak/>
        <w:t>12</w:t>
      </w:r>
      <w:r w:rsidR="008504E4">
        <w:t> </w:t>
      </w:r>
      <w:r>
        <w:t>weeks of the percentage saturation of the integrin receptor</w:t>
      </w:r>
      <w:r w:rsidR="0041696C">
        <w:t xml:space="preserve"> (AUEC</w:t>
      </w:r>
      <w:r w:rsidR="0041696C" w:rsidRPr="005F7263">
        <w:rPr>
          <w:vertAlign w:val="subscript"/>
        </w:rPr>
        <w:t xml:space="preserve">0-12w </w:t>
      </w:r>
      <w:r w:rsidR="0041696C">
        <w:t>α4 integrin % receptor saturation</w:t>
      </w:r>
      <w:r>
        <w:t xml:space="preserve">; as natalizumab binds α4 integrin it is expected to increase the receptor saturation). These endpoints were used to support PD biosimilarity. Secondary PD endpoints, which included CD34+ and soluble adhesion molecules, were also analysed but </w:t>
      </w:r>
      <w:r w:rsidR="005D39F5">
        <w:t>were</w:t>
      </w:r>
      <w:r>
        <w:t xml:space="preserve"> not considered further</w:t>
      </w:r>
      <w:r w:rsidR="005D39F5">
        <w:t>.</w:t>
      </w:r>
    </w:p>
    <w:p w14:paraId="0B10E309" w14:textId="466A510A" w:rsidR="00142886" w:rsidRPr="000E1488" w:rsidRDefault="000E1488" w:rsidP="000E1488">
      <w:r>
        <w:t>Pharmacodynamic</w:t>
      </w:r>
      <w:r w:rsidR="00E66AAB">
        <w:t xml:space="preserve"> </w:t>
      </w:r>
      <w:r w:rsidR="00142886" w:rsidRPr="000E1488">
        <w:t>biosimilarity for the above CD19+ (</w:t>
      </w:r>
      <w:r w:rsidR="00142886" w:rsidRPr="000E1488">
        <w:fldChar w:fldCharType="begin"/>
      </w:r>
      <w:r w:rsidR="00142886" w:rsidRPr="000E1488">
        <w:instrText xml:space="preserve"> REF _Ref168328307 \h </w:instrText>
      </w:r>
      <w:r>
        <w:instrText xml:space="preserve"> \* MERGEFORMAT </w:instrText>
      </w:r>
      <w:r w:rsidR="00142886" w:rsidRPr="000E1488">
        <w:fldChar w:fldCharType="separate"/>
      </w:r>
      <w:r w:rsidR="007956BC">
        <w:t>Table 4</w:t>
      </w:r>
      <w:r w:rsidR="00142886" w:rsidRPr="000E1488">
        <w:fldChar w:fldCharType="end"/>
      </w:r>
      <w:r w:rsidR="00142886" w:rsidRPr="000E1488">
        <w:t>) and integrin related (</w:t>
      </w:r>
      <w:r w:rsidR="00142886" w:rsidRPr="000E1488">
        <w:fldChar w:fldCharType="begin"/>
      </w:r>
      <w:r w:rsidR="00142886" w:rsidRPr="000E1488">
        <w:instrText xml:space="preserve"> REF _Ref168328324 \h </w:instrText>
      </w:r>
      <w:r>
        <w:instrText xml:space="preserve"> \* MERGEFORMAT </w:instrText>
      </w:r>
      <w:r w:rsidR="00142886" w:rsidRPr="000E1488">
        <w:fldChar w:fldCharType="separate"/>
      </w:r>
      <w:r w:rsidR="007956BC">
        <w:t>Table 5</w:t>
      </w:r>
      <w:r w:rsidR="00142886" w:rsidRPr="000E1488">
        <w:fldChar w:fldCharType="end"/>
      </w:r>
      <w:r w:rsidR="00142886" w:rsidRPr="000E1488">
        <w:t>) primary outcomes was demonstrated between PB006 and pooled T</w:t>
      </w:r>
      <w:r w:rsidR="00E66AAB">
        <w:t>ysabri</w:t>
      </w:r>
      <w:r w:rsidR="00142886" w:rsidRPr="000E1488">
        <w:t xml:space="preserve"> (pooling was permitted under pre-specified conditions).</w:t>
      </w:r>
    </w:p>
    <w:p w14:paraId="21E2956E" w14:textId="433141F0" w:rsidR="00142886" w:rsidRDefault="00142886" w:rsidP="00EA06BB">
      <w:pPr>
        <w:pStyle w:val="TableTitle"/>
      </w:pPr>
      <w:bookmarkStart w:id="51" w:name="_Ref168328307"/>
      <w:r>
        <w:t xml:space="preserve">Table </w:t>
      </w:r>
      <w:r w:rsidR="00EA06BB">
        <w:fldChar w:fldCharType="begin"/>
      </w:r>
      <w:r w:rsidR="00EA06BB">
        <w:instrText xml:space="preserve"> SEQ Table \* ARABIC </w:instrText>
      </w:r>
      <w:r w:rsidR="00EA06BB">
        <w:fldChar w:fldCharType="separate"/>
      </w:r>
      <w:r w:rsidR="007956BC">
        <w:rPr>
          <w:noProof/>
        </w:rPr>
        <w:t>4</w:t>
      </w:r>
      <w:r w:rsidR="00EA06BB">
        <w:rPr>
          <w:noProof/>
        </w:rPr>
        <w:fldChar w:fldCharType="end"/>
      </w:r>
      <w:bookmarkEnd w:id="51"/>
      <w:r w:rsidR="00B57C4C">
        <w:rPr>
          <w:noProof/>
        </w:rPr>
        <w:t>:</w:t>
      </w:r>
      <w:r>
        <w:t xml:space="preserve"> </w:t>
      </w:r>
      <w:r w:rsidR="00B57C4C">
        <w:t>S</w:t>
      </w:r>
      <w:r w:rsidR="00B57C4C" w:rsidRPr="00B57C4C">
        <w:t>tudy 01-03</w:t>
      </w:r>
      <w:r w:rsidR="00B57C4C">
        <w:t xml:space="preserve"> c</w:t>
      </w:r>
      <w:r>
        <w:t>omparison of PB006 and pooled T</w:t>
      </w:r>
      <w:r w:rsidR="00B57C4C">
        <w:t>y</w:t>
      </w:r>
      <w:r w:rsidR="00EA06BB">
        <w:t>sabri</w:t>
      </w:r>
      <w:r>
        <w:t xml:space="preserve"> on CD19+ primary </w:t>
      </w:r>
      <w:r w:rsidR="00EA06BB">
        <w:t>pharmacodynamic</w:t>
      </w:r>
      <w:r>
        <w:t xml:space="preserve"> outcome</w:t>
      </w:r>
    </w:p>
    <w:p w14:paraId="0C8B698B" w14:textId="77777777" w:rsidR="00142886" w:rsidRDefault="00142886" w:rsidP="00142886">
      <w:r>
        <w:rPr>
          <w:noProof/>
        </w:rPr>
        <w:drawing>
          <wp:inline distT="0" distB="0" distL="0" distR="0" wp14:anchorId="634498DC" wp14:editId="6963715F">
            <wp:extent cx="5645785" cy="1721485"/>
            <wp:effectExtent l="0" t="0" r="0" b="0"/>
            <wp:docPr id="5" name="Picture 5" descr="Study 01-03 comparison of PB006 and pooled Tysabri on CD19+ primary pharmacodynamic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01-03 comparison of PB006 and pooled Tysabri on CD19+ primary pharmacodynamic outcome"/>
                    <pic:cNvPicPr/>
                  </pic:nvPicPr>
                  <pic:blipFill rotWithShape="1">
                    <a:blip r:embed="rId29"/>
                    <a:srcRect l="1495"/>
                    <a:stretch/>
                  </pic:blipFill>
                  <pic:spPr bwMode="auto">
                    <a:xfrm>
                      <a:off x="0" y="0"/>
                      <a:ext cx="5645785" cy="1721485"/>
                    </a:xfrm>
                    <a:prstGeom prst="rect">
                      <a:avLst/>
                    </a:prstGeom>
                    <a:ln>
                      <a:noFill/>
                    </a:ln>
                    <a:extLst>
                      <a:ext uri="{53640926-AAD7-44D8-BBD7-CCE9431645EC}">
                        <a14:shadowObscured xmlns:a14="http://schemas.microsoft.com/office/drawing/2010/main"/>
                      </a:ext>
                    </a:extLst>
                  </pic:spPr>
                </pic:pic>
              </a:graphicData>
            </a:graphic>
          </wp:inline>
        </w:drawing>
      </w:r>
    </w:p>
    <w:p w14:paraId="5B5C9F09" w14:textId="771D8A79" w:rsidR="00142886" w:rsidRDefault="00142886" w:rsidP="00FE477D">
      <w:pPr>
        <w:pStyle w:val="TableTitle"/>
      </w:pPr>
      <w:bookmarkStart w:id="52" w:name="_Ref168328324"/>
      <w:r>
        <w:t xml:space="preserve">Table </w:t>
      </w:r>
      <w:r w:rsidR="00FE477D">
        <w:fldChar w:fldCharType="begin"/>
      </w:r>
      <w:r w:rsidR="00FE477D">
        <w:instrText xml:space="preserve"> SEQ Table \* ARABIC </w:instrText>
      </w:r>
      <w:r w:rsidR="00FE477D">
        <w:fldChar w:fldCharType="separate"/>
      </w:r>
      <w:r w:rsidR="007956BC">
        <w:rPr>
          <w:noProof/>
        </w:rPr>
        <w:t>5</w:t>
      </w:r>
      <w:r w:rsidR="00FE477D">
        <w:rPr>
          <w:noProof/>
        </w:rPr>
        <w:fldChar w:fldCharType="end"/>
      </w:r>
      <w:bookmarkEnd w:id="52"/>
      <w:r w:rsidR="00EA06BB">
        <w:rPr>
          <w:noProof/>
        </w:rPr>
        <w:t xml:space="preserve">: </w:t>
      </w:r>
      <w:r w:rsidR="00EA06BB">
        <w:t>Study 01-03</w:t>
      </w:r>
      <w:r>
        <w:t xml:space="preserve"> </w:t>
      </w:r>
      <w:r w:rsidR="00EA06BB">
        <w:t>c</w:t>
      </w:r>
      <w:r>
        <w:t xml:space="preserve">omparison of PB006 and pooled </w:t>
      </w:r>
      <w:r w:rsidR="00EA06BB">
        <w:t>Tysabri</w:t>
      </w:r>
      <w:r>
        <w:t xml:space="preserve"> on alpha4 integrin primary </w:t>
      </w:r>
      <w:r w:rsidR="00FE477D">
        <w:t>pharmacodynamic</w:t>
      </w:r>
      <w:r>
        <w:t xml:space="preserve"> outcome</w:t>
      </w:r>
    </w:p>
    <w:p w14:paraId="0B4DF630" w14:textId="77777777" w:rsidR="00142886" w:rsidRDefault="00142886" w:rsidP="00142886">
      <w:r>
        <w:rPr>
          <w:noProof/>
        </w:rPr>
        <w:drawing>
          <wp:inline distT="0" distB="0" distL="0" distR="0" wp14:anchorId="44E84F83" wp14:editId="4915F33F">
            <wp:extent cx="5710889" cy="1704975"/>
            <wp:effectExtent l="0" t="0" r="4445" b="0"/>
            <wp:docPr id="4" name="Picture 4" descr="Study 01-03 comparison of PB006 and pooled Tysabri on alpha4 integrin primary pharmacodynamic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y 01-03 comparison of PB006 and pooled Tysabri on alpha4 integrin primary pharmacodynamic outcome"/>
                    <pic:cNvPicPr/>
                  </pic:nvPicPr>
                  <pic:blipFill rotWithShape="1">
                    <a:blip r:embed="rId30"/>
                    <a:srcRect l="2327"/>
                    <a:stretch/>
                  </pic:blipFill>
                  <pic:spPr bwMode="auto">
                    <a:xfrm>
                      <a:off x="0" y="0"/>
                      <a:ext cx="5712886" cy="1705571"/>
                    </a:xfrm>
                    <a:prstGeom prst="rect">
                      <a:avLst/>
                    </a:prstGeom>
                    <a:ln>
                      <a:noFill/>
                    </a:ln>
                    <a:extLst>
                      <a:ext uri="{53640926-AAD7-44D8-BBD7-CCE9431645EC}">
                        <a14:shadowObscured xmlns:a14="http://schemas.microsoft.com/office/drawing/2010/main"/>
                      </a:ext>
                    </a:extLst>
                  </pic:spPr>
                </pic:pic>
              </a:graphicData>
            </a:graphic>
          </wp:inline>
        </w:drawing>
      </w:r>
    </w:p>
    <w:p w14:paraId="48EA41B7" w14:textId="77777777" w:rsidR="00142886" w:rsidRPr="00FE477D" w:rsidRDefault="00142886" w:rsidP="00FE477D">
      <w:r w:rsidRPr="00FE477D">
        <w:t xml:space="preserve">Secondary PD endpoints related to CD43+ cells (which increase following natalizumab administration), soluble VCAM and soluble </w:t>
      </w:r>
      <w:proofErr w:type="spellStart"/>
      <w:r w:rsidRPr="00FE477D">
        <w:t>MAdCAM</w:t>
      </w:r>
      <w:proofErr w:type="spellEnd"/>
      <w:r w:rsidRPr="00FE477D">
        <w:t>, were also very similar between the three treatments arms.</w:t>
      </w:r>
    </w:p>
    <w:p w14:paraId="5DE7DEBF" w14:textId="51E3A6F3" w:rsidR="00142886" w:rsidRPr="00FE477D" w:rsidRDefault="00142886" w:rsidP="00FE477D">
      <w:r w:rsidRPr="00FE477D">
        <w:t>Study T</w:t>
      </w:r>
      <w:r w:rsidR="00813C17">
        <w:t>ysabri</w:t>
      </w:r>
      <w:r w:rsidRPr="00FE477D">
        <w:t xml:space="preserve"> Pilot-01-01 was a randomised, single dose (at </w:t>
      </w:r>
      <w:r w:rsidR="00813C17">
        <w:t>three</w:t>
      </w:r>
      <w:r w:rsidRPr="00FE477D">
        <w:t xml:space="preserve"> different dose levels) </w:t>
      </w:r>
      <w:r w:rsidR="00813C17">
        <w:t>P</w:t>
      </w:r>
      <w:r w:rsidRPr="00FE477D">
        <w:t xml:space="preserve">hase </w:t>
      </w:r>
      <w:r w:rsidR="00813C17">
        <w:t>I</w:t>
      </w:r>
      <w:r w:rsidRPr="00FE477D">
        <w:t xml:space="preserve"> pilot study to characterise the PK and PD of the reference product EU-T</w:t>
      </w:r>
      <w:r w:rsidR="00813C17">
        <w:t>ysabri</w:t>
      </w:r>
      <w:r w:rsidRPr="00FE477D">
        <w:t xml:space="preserve">. It aimed to understand the PK/PD relationship of various PD markers to help determine appropriate endpoints for subsequent studies. It </w:t>
      </w:r>
      <w:r w:rsidR="00A042FC">
        <w:t>was</w:t>
      </w:r>
      <w:r w:rsidRPr="00FE477D">
        <w:t xml:space="preserve"> not considered further</w:t>
      </w:r>
      <w:r w:rsidR="00A042FC">
        <w:t>.</w:t>
      </w:r>
    </w:p>
    <w:p w14:paraId="23593A5A" w14:textId="77777777" w:rsidR="00142886" w:rsidRDefault="00142886" w:rsidP="00142886">
      <w:pPr>
        <w:pStyle w:val="Heading4"/>
      </w:pPr>
      <w:bookmarkStart w:id="53" w:name="_Toc205908891"/>
      <w:r w:rsidRPr="00AA53F4">
        <w:t>Efficacy</w:t>
      </w:r>
      <w:bookmarkEnd w:id="53"/>
    </w:p>
    <w:p w14:paraId="312056ED" w14:textId="165C45FA" w:rsidR="00142886" w:rsidRPr="00333D44" w:rsidRDefault="00142886" w:rsidP="00333D44">
      <w:r w:rsidRPr="00333D44">
        <w:t xml:space="preserve">Study PB006-03-01 was a multicentre, randomised, active-control clinical trial to compare the efficacy and safety of PB006 and </w:t>
      </w:r>
      <w:r w:rsidR="00333D44" w:rsidRPr="00333D44">
        <w:t>EU-</w:t>
      </w:r>
      <w:r w:rsidRPr="00333D44">
        <w:t>T</w:t>
      </w:r>
      <w:r w:rsidR="00333D44" w:rsidRPr="00333D44">
        <w:t>ysabri</w:t>
      </w:r>
      <w:r w:rsidRPr="00333D44">
        <w:t xml:space="preserve"> in patients with </w:t>
      </w:r>
      <w:r w:rsidR="00333D44" w:rsidRPr="00333D44">
        <w:t>r</w:t>
      </w:r>
      <w:r w:rsidRPr="00333D44">
        <w:t xml:space="preserve">elapsing-remitting </w:t>
      </w:r>
      <w:r w:rsidR="00333D44" w:rsidRPr="00333D44">
        <w:t>m</w:t>
      </w:r>
      <w:r w:rsidRPr="00333D44">
        <w:t xml:space="preserve">ultiple </w:t>
      </w:r>
      <w:r w:rsidR="00333D44" w:rsidRPr="00333D44">
        <w:t>s</w:t>
      </w:r>
      <w:r w:rsidRPr="00333D44">
        <w:t>clerosis (RRMS). The study was conducted at 48 centres in 7 countries in mainly Eastern Europe.</w:t>
      </w:r>
    </w:p>
    <w:p w14:paraId="40B39FD5" w14:textId="31D43733" w:rsidR="00142886" w:rsidRPr="00333D44" w:rsidRDefault="00142886" w:rsidP="00333D44">
      <w:r w:rsidRPr="00333D44">
        <w:t>The primary objective was to evaluate and compare the number of new active lesions over 24</w:t>
      </w:r>
      <w:r w:rsidR="004747F3">
        <w:t> </w:t>
      </w:r>
      <w:r w:rsidRPr="00333D44">
        <w:t>weeks and the secondary endpoints were to evaluate and compare the following:</w:t>
      </w:r>
    </w:p>
    <w:p w14:paraId="46079122" w14:textId="77777777" w:rsidR="00142886" w:rsidRPr="004747F3" w:rsidRDefault="00142886" w:rsidP="004747F3">
      <w:pPr>
        <w:pStyle w:val="ListBullet"/>
      </w:pPr>
      <w:r w:rsidRPr="004747F3">
        <w:lastRenderedPageBreak/>
        <w:t>new active lesions over 48 weeks</w:t>
      </w:r>
    </w:p>
    <w:p w14:paraId="2B57AEA1" w14:textId="66052932" w:rsidR="00142886" w:rsidRPr="000175E5" w:rsidRDefault="00142886" w:rsidP="004747F3">
      <w:pPr>
        <w:pStyle w:val="ListBullet"/>
      </w:pPr>
      <w:r w:rsidRPr="004747F3">
        <w:t xml:space="preserve">new </w:t>
      </w:r>
      <w:r w:rsidR="003F7AE3" w:rsidRPr="003F7AE3">
        <w:t>gadolinium-</w:t>
      </w:r>
      <w:r w:rsidR="003F7AE3" w:rsidRPr="000175E5">
        <w:t>enhancing (</w:t>
      </w:r>
      <w:proofErr w:type="spellStart"/>
      <w:r w:rsidRPr="000175E5">
        <w:t>GdE</w:t>
      </w:r>
      <w:proofErr w:type="spellEnd"/>
      <w:r w:rsidR="003F7AE3" w:rsidRPr="000175E5">
        <w:t>)</w:t>
      </w:r>
      <w:r w:rsidRPr="000175E5">
        <w:t xml:space="preserve"> T1-weighted lesions over 24 and 48 weeks</w:t>
      </w:r>
    </w:p>
    <w:p w14:paraId="5DD311D4" w14:textId="77777777" w:rsidR="00142886" w:rsidRPr="000175E5" w:rsidRDefault="00142886" w:rsidP="004747F3">
      <w:pPr>
        <w:pStyle w:val="ListBullet"/>
      </w:pPr>
      <w:r w:rsidRPr="000175E5">
        <w:t xml:space="preserve">number of patients without new </w:t>
      </w:r>
      <w:proofErr w:type="spellStart"/>
      <w:r w:rsidRPr="000175E5">
        <w:t>GdE</w:t>
      </w:r>
      <w:proofErr w:type="spellEnd"/>
      <w:r w:rsidRPr="000175E5">
        <w:t xml:space="preserve"> T1-weighted lesions over 24 and 48 weeks</w:t>
      </w:r>
    </w:p>
    <w:p w14:paraId="055FECD4" w14:textId="77777777" w:rsidR="00142886" w:rsidRPr="000175E5" w:rsidRDefault="00142886" w:rsidP="004747F3">
      <w:pPr>
        <w:pStyle w:val="ListBullet"/>
      </w:pPr>
      <w:r w:rsidRPr="000175E5">
        <w:t>number of new/enlarging T2-weighted lesions over 24 and 48 weeks</w:t>
      </w:r>
    </w:p>
    <w:p w14:paraId="4C0D2954" w14:textId="77777777" w:rsidR="00142886" w:rsidRPr="000175E5" w:rsidRDefault="00142886" w:rsidP="004747F3">
      <w:pPr>
        <w:pStyle w:val="ListBullet"/>
      </w:pPr>
      <w:r w:rsidRPr="000175E5">
        <w:t>number of patients without new/enlarging T2-weighted lesions over 24 and 48 weeks</w:t>
      </w:r>
    </w:p>
    <w:p w14:paraId="2FF74AB7" w14:textId="77777777" w:rsidR="00142886" w:rsidRPr="000175E5" w:rsidRDefault="00142886" w:rsidP="004747F3">
      <w:pPr>
        <w:pStyle w:val="ListBullet"/>
      </w:pPr>
      <w:r w:rsidRPr="000175E5">
        <w:t>number of persistent lesions after 24 and 48 weeks</w:t>
      </w:r>
    </w:p>
    <w:p w14:paraId="3CFA2818" w14:textId="37425CDF" w:rsidR="00142886" w:rsidRPr="000175E5" w:rsidRDefault="00142886" w:rsidP="004747F3">
      <w:pPr>
        <w:pStyle w:val="ListBullet"/>
      </w:pPr>
      <w:r w:rsidRPr="000175E5">
        <w:t xml:space="preserve">annualised relapse rates and changes in </w:t>
      </w:r>
      <w:r w:rsidR="00654159" w:rsidRPr="000175E5">
        <w:t>expanded disability status scale (</w:t>
      </w:r>
      <w:r w:rsidRPr="000175E5">
        <w:t>EDSS</w:t>
      </w:r>
      <w:r w:rsidR="00654159" w:rsidRPr="000175E5">
        <w:t>)</w:t>
      </w:r>
      <w:r w:rsidRPr="000175E5">
        <w:t xml:space="preserve"> after 24 and 48 weeks</w:t>
      </w:r>
    </w:p>
    <w:p w14:paraId="63E103D9" w14:textId="28C4984E" w:rsidR="00142886" w:rsidRPr="004747F3" w:rsidRDefault="00142886" w:rsidP="004747F3">
      <w:pPr>
        <w:pStyle w:val="ListBullet"/>
      </w:pPr>
      <w:r w:rsidRPr="000175E5">
        <w:t xml:space="preserve">local and systemic </w:t>
      </w:r>
      <w:r w:rsidR="00A24E67" w:rsidRPr="000175E5">
        <w:t>adverse events (</w:t>
      </w:r>
      <w:r w:rsidRPr="000175E5">
        <w:t>AEs</w:t>
      </w:r>
      <w:r w:rsidR="00A24E67" w:rsidRPr="000175E5">
        <w:t>)</w:t>
      </w:r>
      <w:r w:rsidRPr="000175E5">
        <w:t xml:space="preserve"> and </w:t>
      </w:r>
      <w:r w:rsidR="00A24E67" w:rsidRPr="000175E5">
        <w:t>serious adverse events (</w:t>
      </w:r>
      <w:r w:rsidRPr="000175E5">
        <w:t>SAEs</w:t>
      </w:r>
      <w:r w:rsidR="00A24E67" w:rsidRPr="000175E5">
        <w:t>)</w:t>
      </w:r>
      <w:r w:rsidRPr="000175E5">
        <w:t xml:space="preserve"> after</w:t>
      </w:r>
      <w:r w:rsidRPr="004747F3">
        <w:t xml:space="preserve"> 24 and 48</w:t>
      </w:r>
      <w:r w:rsidR="00A24E67">
        <w:t> </w:t>
      </w:r>
      <w:r w:rsidRPr="004747F3">
        <w:t>weeks</w:t>
      </w:r>
    </w:p>
    <w:p w14:paraId="4A5D8196" w14:textId="77777777" w:rsidR="00142886" w:rsidRPr="004747F3" w:rsidRDefault="00142886" w:rsidP="004747F3">
      <w:pPr>
        <w:pStyle w:val="ListBullet"/>
      </w:pPr>
      <w:r w:rsidRPr="004747F3">
        <w:t>immunogenic profile after 24 and 48 weeks and after switching</w:t>
      </w:r>
    </w:p>
    <w:p w14:paraId="00412499" w14:textId="77777777" w:rsidR="00142886" w:rsidRPr="004747F3" w:rsidRDefault="00142886" w:rsidP="004747F3">
      <w:pPr>
        <w:pStyle w:val="ListBullet"/>
      </w:pPr>
      <w:r w:rsidRPr="004747F3">
        <w:t>natalizumab trough concentration over time</w:t>
      </w:r>
    </w:p>
    <w:p w14:paraId="6718B833" w14:textId="5C35048E" w:rsidR="00142886" w:rsidRDefault="00142886">
      <w:pPr>
        <w:pStyle w:val="ListBullet"/>
      </w:pPr>
      <w:r w:rsidRPr="004747F3">
        <w:t>safety profile over 24 and 48 weeks</w:t>
      </w:r>
    </w:p>
    <w:p w14:paraId="3A5F662D" w14:textId="2D5B3360" w:rsidR="00142886" w:rsidRPr="00393814" w:rsidRDefault="00142886" w:rsidP="00393814">
      <w:r w:rsidRPr="00393814">
        <w:t>Patients were randomised 1:1 to receive either 4</w:t>
      </w:r>
      <w:r w:rsidR="001E6456">
        <w:t xml:space="preserve"> </w:t>
      </w:r>
      <w:r w:rsidRPr="00393814">
        <w:t>week</w:t>
      </w:r>
      <w:r w:rsidR="00F81D74">
        <w:t>s</w:t>
      </w:r>
      <w:r w:rsidRPr="00393814">
        <w:t xml:space="preserve"> intravenous infusions of 300</w:t>
      </w:r>
      <w:r w:rsidR="001E6456">
        <w:t> </w:t>
      </w:r>
      <w:r w:rsidRPr="00393814">
        <w:t xml:space="preserve">mg PB006 or </w:t>
      </w:r>
      <w:r w:rsidR="001E6456">
        <w:t>EU-</w:t>
      </w:r>
      <w:r w:rsidRPr="00393814">
        <w:t>T</w:t>
      </w:r>
      <w:r w:rsidR="00566B53">
        <w:t>ysabri</w:t>
      </w:r>
      <w:r w:rsidRPr="00393814">
        <w:t xml:space="preserve">, for a total of 12 infusions. Patients in the </w:t>
      </w:r>
      <w:r w:rsidR="00566B53">
        <w:t>EU-</w:t>
      </w:r>
      <w:r w:rsidRPr="00393814">
        <w:t>T</w:t>
      </w:r>
      <w:r w:rsidR="00566B53">
        <w:t>ysabri</w:t>
      </w:r>
      <w:r w:rsidRPr="00393814">
        <w:t xml:space="preserve"> group were re-randomised at </w:t>
      </w:r>
      <w:r w:rsidR="00566B53">
        <w:t>W</w:t>
      </w:r>
      <w:r w:rsidRPr="00393814">
        <w:t>eek 24 to either continue the same treatment or switch to PB006.</w:t>
      </w:r>
    </w:p>
    <w:p w14:paraId="78DFAA88" w14:textId="00E46996" w:rsidR="00142886" w:rsidRPr="000175E5" w:rsidRDefault="00142886" w:rsidP="00393814">
      <w:r w:rsidRPr="00393814">
        <w:t xml:space="preserve">The major inclusion criteria included male and female patients, aged 18 </w:t>
      </w:r>
      <w:r w:rsidR="00E16C50">
        <w:t xml:space="preserve">to </w:t>
      </w:r>
      <w:r w:rsidRPr="00393814">
        <w:t xml:space="preserve">60 years, with </w:t>
      </w:r>
      <w:r w:rsidR="00E16C50">
        <w:t>RR</w:t>
      </w:r>
      <w:r w:rsidRPr="00393814">
        <w:t xml:space="preserve">MS (defined by the 2010 revised McDonald criteria), at least </w:t>
      </w:r>
      <w:r w:rsidR="00E16C50">
        <w:t>one</w:t>
      </w:r>
      <w:r w:rsidRPr="00393814">
        <w:t xml:space="preserve"> relapse in the prior year, at least </w:t>
      </w:r>
      <w:r w:rsidR="00E16C50">
        <w:t>one</w:t>
      </w:r>
      <w:r w:rsidRPr="00393814">
        <w:t xml:space="preserve"> gadolinium enhancing T1-weighted brain lesion or at least 9 T2-weighted brain lesions at screening and a </w:t>
      </w:r>
      <w:proofErr w:type="spellStart"/>
      <w:r w:rsidRPr="00393814">
        <w:t>Kurtzke</w:t>
      </w:r>
      <w:proofErr w:type="spellEnd"/>
      <w:r w:rsidRPr="00393814">
        <w:t xml:space="preserve"> EDSS score of 0 </w:t>
      </w:r>
      <w:r w:rsidR="00E16C50">
        <w:t xml:space="preserve">to </w:t>
      </w:r>
      <w:r w:rsidRPr="00393814">
        <w:t xml:space="preserve">5 (inclusive). Major exclusion criteria included an MS manifestation other than RRMS, relapse from 30 days before screening until study drug administration, prior treatment with immunomodulators/suppressants as specified in the protocol, active infections, JCV index &gt; 1.5, past or current </w:t>
      </w:r>
      <w:r w:rsidR="00E90BCC">
        <w:t>p</w:t>
      </w:r>
      <w:r w:rsidR="00E90BCC" w:rsidRPr="00E90BCC">
        <w:t xml:space="preserve">rogressive multifocal leukoencephalopathy </w:t>
      </w:r>
      <w:r w:rsidR="00E90BCC">
        <w:t>(</w:t>
      </w:r>
      <w:r w:rsidRPr="000175E5">
        <w:t>PML</w:t>
      </w:r>
      <w:r w:rsidR="00E90BCC" w:rsidRPr="000175E5">
        <w:t>)</w:t>
      </w:r>
      <w:r w:rsidRPr="000175E5">
        <w:t xml:space="preserve">, malignancies within 5 years (except cured skin </w:t>
      </w:r>
      <w:r w:rsidR="00CE199E" w:rsidRPr="000175E5">
        <w:t>basal cell carcinoma</w:t>
      </w:r>
      <w:r w:rsidRPr="000175E5">
        <w:t xml:space="preserve"> and </w:t>
      </w:r>
      <w:r w:rsidR="00E17134" w:rsidRPr="000175E5">
        <w:t>squamous cell carcinoma</w:t>
      </w:r>
      <w:r w:rsidRPr="000175E5">
        <w:t>), severe cardiac or pulmonary disease, uncontrolled hypertension or poorly controlled diabetes and serum creatinine &gt; 120</w:t>
      </w:r>
      <w:r w:rsidR="005B07AE" w:rsidRPr="000175E5">
        <w:t> </w:t>
      </w:r>
      <w:r w:rsidRPr="000175E5">
        <w:t>µmol/L.</w:t>
      </w:r>
    </w:p>
    <w:p w14:paraId="379E099C" w14:textId="77777777" w:rsidR="00142886" w:rsidRPr="000175E5" w:rsidRDefault="00142886" w:rsidP="00393814">
      <w:r w:rsidRPr="000175E5">
        <w:t>A total of 230 patients providing evaluable data to 24 weeks were required to achieve 90% power with respect to equivalence estimation of the primary efficacy outcome. Randomisation was stratified for gadolinium enhancing lesions, ≤ or &gt;15 T2 lesions and JCV status for safety (negative, positive).</w:t>
      </w:r>
    </w:p>
    <w:p w14:paraId="44E37638" w14:textId="74DFC3EC" w:rsidR="00142886" w:rsidRPr="00393814" w:rsidRDefault="00142886" w:rsidP="00393814">
      <w:r w:rsidRPr="000175E5">
        <w:t>The analysis sets were the safety population, the safety-switch population, full analysis set (FAS) and per protocol population (PPP). The</w:t>
      </w:r>
      <w:r w:rsidRPr="00393814">
        <w:t xml:space="preserve"> primary endpoint was analysed in the PPP. The primary efficacy data were analysed using a negative binomial generalised linear model with fixed effects for the treatment group. Similarity was to be tested based on the corresponding 95% confidence interval. An equivalence margin for the mean difference of 2.1</w:t>
      </w:r>
      <w:r w:rsidR="001F4BA3">
        <w:t> </w:t>
      </w:r>
      <w:r w:rsidRPr="00393814">
        <w:t>lesions was chosen.</w:t>
      </w:r>
    </w:p>
    <w:p w14:paraId="653B264C" w14:textId="00D03B96" w:rsidR="00142886" w:rsidRPr="00393814" w:rsidRDefault="00142886" w:rsidP="00393814">
      <w:r w:rsidRPr="00393814">
        <w:t>A total of 265 patients were randomised and 264 were treated with study drug (131 with PB006, 133 with EU-T</w:t>
      </w:r>
      <w:r w:rsidR="004C1F6D">
        <w:t>ysabri</w:t>
      </w:r>
      <w:r w:rsidRPr="00393814">
        <w:t xml:space="preserve">). As can be seen in </w:t>
      </w:r>
      <w:r w:rsidRPr="00393814">
        <w:fldChar w:fldCharType="begin"/>
      </w:r>
      <w:r w:rsidRPr="00393814">
        <w:instrText xml:space="preserve"> REF _Ref168586519 \h </w:instrText>
      </w:r>
      <w:r w:rsidR="00393814">
        <w:instrText xml:space="preserve"> \* MERGEFORMAT </w:instrText>
      </w:r>
      <w:r w:rsidRPr="00393814">
        <w:fldChar w:fldCharType="separate"/>
      </w:r>
      <w:r w:rsidR="007956BC">
        <w:t>Figure 2</w:t>
      </w:r>
      <w:r w:rsidRPr="00393814">
        <w:fldChar w:fldCharType="end"/>
      </w:r>
      <w:r w:rsidRPr="00393814">
        <w:t xml:space="preserve"> most (93.6%) patients completed the </w:t>
      </w:r>
      <w:proofErr w:type="gramStart"/>
      <w:r w:rsidRPr="00393814">
        <w:t>24 week</w:t>
      </w:r>
      <w:proofErr w:type="gramEnd"/>
      <w:r w:rsidRPr="00393814">
        <w:t xml:space="preserve"> primary efficacy period, with only a few further dropouts before the </w:t>
      </w:r>
      <w:proofErr w:type="gramStart"/>
      <w:r w:rsidRPr="00393814">
        <w:t>48 week</w:t>
      </w:r>
      <w:proofErr w:type="gramEnd"/>
      <w:r w:rsidRPr="00393814">
        <w:t xml:space="preserve"> timepoint. Following </w:t>
      </w:r>
      <w:r w:rsidR="004C1F6D">
        <w:t>W</w:t>
      </w:r>
      <w:r w:rsidRPr="00393814">
        <w:t>eek 24 re-randomisation of the EU-T</w:t>
      </w:r>
      <w:r w:rsidR="004C1F6D">
        <w:t>ysabri</w:t>
      </w:r>
      <w:r w:rsidRPr="00393814">
        <w:t xml:space="preserve"> group, 30 </w:t>
      </w:r>
      <w:r w:rsidR="004C1F6D">
        <w:t xml:space="preserve">patients </w:t>
      </w:r>
      <w:r w:rsidRPr="00393814">
        <w:t>were switched over to PB006. Overall</w:t>
      </w:r>
      <w:r w:rsidR="004C1F6D">
        <w:t>,</w:t>
      </w:r>
      <w:r w:rsidRPr="00393814">
        <w:t xml:space="preserve"> 161 patients were exposed to PB006 in this study.</w:t>
      </w:r>
    </w:p>
    <w:p w14:paraId="2939174A" w14:textId="257EA847" w:rsidR="00142886" w:rsidRDefault="00142886" w:rsidP="004C1F6D">
      <w:pPr>
        <w:pStyle w:val="FigureTitle"/>
      </w:pPr>
      <w:bookmarkStart w:id="54" w:name="_Ref168586519"/>
      <w:r>
        <w:lastRenderedPageBreak/>
        <w:t xml:space="preserve">Figure </w:t>
      </w:r>
      <w:r w:rsidR="00F0136B">
        <w:fldChar w:fldCharType="begin"/>
      </w:r>
      <w:r w:rsidR="00F0136B">
        <w:instrText xml:space="preserve"> SEQ Figure \* ARABIC </w:instrText>
      </w:r>
      <w:r w:rsidR="00F0136B">
        <w:fldChar w:fldCharType="separate"/>
      </w:r>
      <w:r w:rsidR="007956BC">
        <w:rPr>
          <w:noProof/>
        </w:rPr>
        <w:t>2</w:t>
      </w:r>
      <w:r w:rsidR="00F0136B">
        <w:rPr>
          <w:noProof/>
        </w:rPr>
        <w:fldChar w:fldCharType="end"/>
      </w:r>
      <w:bookmarkEnd w:id="54"/>
      <w:r w:rsidR="004C1F6D">
        <w:rPr>
          <w:noProof/>
        </w:rPr>
        <w:t>: Antilope study p</w:t>
      </w:r>
      <w:r>
        <w:rPr>
          <w:noProof/>
        </w:rPr>
        <w:t>articipant flow</w:t>
      </w:r>
    </w:p>
    <w:p w14:paraId="0E3F3805" w14:textId="77777777" w:rsidR="00142886" w:rsidRDefault="00142886" w:rsidP="00142886">
      <w:r>
        <w:rPr>
          <w:noProof/>
        </w:rPr>
        <w:drawing>
          <wp:inline distT="0" distB="0" distL="0" distR="0" wp14:anchorId="55D3C468" wp14:editId="430545C9">
            <wp:extent cx="4887690" cy="5473065"/>
            <wp:effectExtent l="0" t="0" r="8255" b="0"/>
            <wp:docPr id="6" name="Picture 6" descr="Antilope study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tilope study participant flow"/>
                    <pic:cNvPicPr/>
                  </pic:nvPicPr>
                  <pic:blipFill>
                    <a:blip r:embed="rId31"/>
                    <a:stretch>
                      <a:fillRect/>
                    </a:stretch>
                  </pic:blipFill>
                  <pic:spPr>
                    <a:xfrm>
                      <a:off x="0" y="0"/>
                      <a:ext cx="4891161" cy="5476952"/>
                    </a:xfrm>
                    <a:prstGeom prst="rect">
                      <a:avLst/>
                    </a:prstGeom>
                  </pic:spPr>
                </pic:pic>
              </a:graphicData>
            </a:graphic>
          </wp:inline>
        </w:drawing>
      </w:r>
    </w:p>
    <w:p w14:paraId="2A54CBE5" w14:textId="737D1AB4" w:rsidR="00142886" w:rsidRPr="00F979A5" w:rsidRDefault="00F979A5" w:rsidP="00F979A5">
      <w:pPr>
        <w:pStyle w:val="FigureDescription"/>
      </w:pPr>
      <w:r w:rsidRPr="00F979A5">
        <w:t>N</w:t>
      </w:r>
      <w:r>
        <w:t> </w:t>
      </w:r>
      <w:r w:rsidRPr="00F979A5">
        <w:t>=</w:t>
      </w:r>
      <w:r>
        <w:t> </w:t>
      </w:r>
      <w:r w:rsidRPr="00F979A5">
        <w:t>Number of patients with the specified event/reason.</w:t>
      </w:r>
    </w:p>
    <w:p w14:paraId="42A6D8E3" w14:textId="1431205D" w:rsidR="00142886" w:rsidRPr="00F979A5" w:rsidRDefault="00142886" w:rsidP="00F979A5">
      <w:r w:rsidRPr="00F979A5">
        <w:t>Baseline characteristics were similar between treatment groups. Most patients were female (58.6</w:t>
      </w:r>
      <w:r w:rsidR="00F979A5">
        <w:t xml:space="preserve"> to </w:t>
      </w:r>
      <w:r w:rsidRPr="00F979A5">
        <w:t xml:space="preserve">64.1%) and </w:t>
      </w:r>
      <w:r w:rsidR="00F979A5">
        <w:t>W</w:t>
      </w:r>
      <w:r w:rsidRPr="00F979A5">
        <w:t>hite (100%), with a mean age of 36.7 year</w:t>
      </w:r>
      <w:r w:rsidR="00F979A5">
        <w:t>s</w:t>
      </w:r>
      <w:r w:rsidRPr="00F979A5">
        <w:t xml:space="preserve"> and weight of 70.3</w:t>
      </w:r>
      <w:r w:rsidR="00F979A5">
        <w:t> </w:t>
      </w:r>
      <w:r w:rsidRPr="00F979A5">
        <w:t xml:space="preserve">kg. In terms of baseline disease characteristics 53% had no gadolinium enhancing lesions and nearly all (96.6%) had more than 15 T2 lesions. In terms of JCV safety, 59.8% were negative. The mean time since most recent relapse was 2.86 </w:t>
      </w:r>
      <w:r w:rsidR="00F979A5">
        <w:t>to</w:t>
      </w:r>
      <w:r w:rsidRPr="00F979A5">
        <w:t xml:space="preserve"> 3.038 months. A single relapse in the preceding year was most common in both groups (65.6% </w:t>
      </w:r>
      <w:r w:rsidR="00DC1BA9">
        <w:t>to</w:t>
      </w:r>
      <w:r w:rsidRPr="00F979A5">
        <w:t xml:space="preserve"> 68.4%).</w:t>
      </w:r>
    </w:p>
    <w:p w14:paraId="15DB4DB1" w14:textId="7A481B91" w:rsidR="00142886" w:rsidRPr="00F979A5" w:rsidRDefault="00142886" w:rsidP="00F979A5">
      <w:r w:rsidRPr="00F979A5">
        <w:t>For the primary efficacy outcome (PPP), the exponentiated difference between EU-T</w:t>
      </w:r>
      <w:r w:rsidR="00DC1BA9">
        <w:t>ysabri</w:t>
      </w:r>
      <w:r w:rsidRPr="00F979A5">
        <w:t xml:space="preserve"> and PB006 of the cumulative number of new lesions over 24 weeks was 0.17. The 90% confidence interval was -0.488 and 0.819 and the 95% confidence interval was -0.613 and 0.944. Both confidence intervals included 0 (</w:t>
      </w:r>
      <w:r w:rsidR="00DC1BA9">
        <w:t>that is,</w:t>
      </w:r>
      <w:r w:rsidRPr="00F979A5">
        <w:t xml:space="preserve"> no difference in the number of cumulative active lesions between the treatments). Furthermore, the confidence intervals were contained within the specified margins of -2.1 and 2.1. The primary outcome was met (</w:t>
      </w:r>
      <w:r w:rsidR="00DC1BA9">
        <w:t>that is,</w:t>
      </w:r>
      <w:r w:rsidRPr="00F979A5">
        <w:t xml:space="preserve"> no difference between EU-T</w:t>
      </w:r>
      <w:r w:rsidR="00DC1BA9">
        <w:t>ysabri</w:t>
      </w:r>
      <w:r w:rsidRPr="00F979A5">
        <w:t xml:space="preserve"> and PB006). Sensitivity analysis using the FAS found the same result. All other sensitivity analyses were consistent.</w:t>
      </w:r>
    </w:p>
    <w:p w14:paraId="19402EE2" w14:textId="77777777" w:rsidR="00142886" w:rsidRPr="00F979A5" w:rsidRDefault="00142886" w:rsidP="00F979A5">
      <w:r w:rsidRPr="00F979A5">
        <w:t>Secondary efficacy analyses showed the following (FAS):</w:t>
      </w:r>
    </w:p>
    <w:p w14:paraId="4E5354B0" w14:textId="58732D6C" w:rsidR="00142886" w:rsidRPr="006C563D" w:rsidRDefault="00142886" w:rsidP="00401F61">
      <w:pPr>
        <w:pStyle w:val="ListBullet"/>
      </w:pPr>
      <w:r w:rsidRPr="00401F61">
        <w:lastRenderedPageBreak/>
        <w:t>new active lesion</w:t>
      </w:r>
      <w:r w:rsidRPr="006C563D">
        <w:t>s over 48 weeks – the mean</w:t>
      </w:r>
      <w:r w:rsidR="00401F61" w:rsidRPr="006C563D">
        <w:t xml:space="preserve"> (standard deviation</w:t>
      </w:r>
      <w:r w:rsidRPr="006C563D">
        <w:t xml:space="preserve"> (SD)</w:t>
      </w:r>
      <w:r w:rsidR="00401F61" w:rsidRPr="006C563D">
        <w:t>)</w:t>
      </w:r>
      <w:r w:rsidRPr="006C563D">
        <w:t xml:space="preserve"> was 1.5 (3.72) in the PB006 arm and 2.3 (5.68) in the EU-T</w:t>
      </w:r>
      <w:r w:rsidR="00401F61" w:rsidRPr="006C563D">
        <w:t>ysabri</w:t>
      </w:r>
      <w:r w:rsidRPr="006C563D">
        <w:t xml:space="preserve"> arm.</w:t>
      </w:r>
    </w:p>
    <w:p w14:paraId="6DE4D3CE" w14:textId="68603242" w:rsidR="00142886" w:rsidRPr="006C563D" w:rsidRDefault="00142886" w:rsidP="00401F61">
      <w:pPr>
        <w:pStyle w:val="ListBullet"/>
      </w:pPr>
      <w:r w:rsidRPr="006C563D">
        <w:t xml:space="preserve">new </w:t>
      </w:r>
      <w:proofErr w:type="spellStart"/>
      <w:r w:rsidRPr="006C563D">
        <w:t>GdE</w:t>
      </w:r>
      <w:proofErr w:type="spellEnd"/>
      <w:r w:rsidRPr="006C563D">
        <w:t xml:space="preserve"> T1-weighted lesions over 24 and 48 weeks – the mean (SD) was 0.3 (1.01) at </w:t>
      </w:r>
      <w:r w:rsidR="00401F61" w:rsidRPr="006C563D">
        <w:t>W</w:t>
      </w:r>
      <w:r w:rsidRPr="006C563D">
        <w:t xml:space="preserve">eek 24 and 0.3 (1.02) at </w:t>
      </w:r>
      <w:r w:rsidR="00401F61" w:rsidRPr="006C563D">
        <w:t>W</w:t>
      </w:r>
      <w:r w:rsidRPr="006C563D">
        <w:t xml:space="preserve">eek 48 in the PB006 arm and 0.4 (1.25) at </w:t>
      </w:r>
      <w:r w:rsidR="00401F61" w:rsidRPr="006C563D">
        <w:t>W</w:t>
      </w:r>
      <w:r w:rsidRPr="006C563D">
        <w:t xml:space="preserve">eek 24 and 0.4 (1.39) at </w:t>
      </w:r>
      <w:r w:rsidR="00401F61" w:rsidRPr="006C563D">
        <w:t>W</w:t>
      </w:r>
      <w:r w:rsidRPr="006C563D">
        <w:t>eek 48 in the EU-T</w:t>
      </w:r>
      <w:r w:rsidR="00401F61" w:rsidRPr="006C563D">
        <w:t>ysabri</w:t>
      </w:r>
      <w:r w:rsidRPr="006C563D">
        <w:t xml:space="preserve"> arm.</w:t>
      </w:r>
    </w:p>
    <w:p w14:paraId="7E9E66F1" w14:textId="05D0A20C" w:rsidR="00142886" w:rsidRPr="006C563D" w:rsidRDefault="00142886" w:rsidP="00401F61">
      <w:pPr>
        <w:pStyle w:val="ListBullet"/>
      </w:pPr>
      <w:r w:rsidRPr="006C563D">
        <w:t xml:space="preserve">number of patients without new </w:t>
      </w:r>
      <w:proofErr w:type="spellStart"/>
      <w:r w:rsidRPr="006C563D">
        <w:t>GdE</w:t>
      </w:r>
      <w:proofErr w:type="spellEnd"/>
      <w:r w:rsidRPr="006C563D">
        <w:t xml:space="preserve"> T1-weighted lesions over 24 and 48 weeks – the percentage was similar at 24 weeks (83.2% with PB006 and 78.9% with EU-T</w:t>
      </w:r>
      <w:r w:rsidR="00401F61" w:rsidRPr="006C563D">
        <w:t>ysabri</w:t>
      </w:r>
      <w:r w:rsidRPr="006C563D">
        <w:t>) and at 48 weeks (80.2% with PB006 and 77.7% with EU-T</w:t>
      </w:r>
      <w:r w:rsidR="00401F61" w:rsidRPr="006C563D">
        <w:t>ysabri</w:t>
      </w:r>
      <w:r w:rsidRPr="006C563D">
        <w:t>).</w:t>
      </w:r>
    </w:p>
    <w:p w14:paraId="1DE014FA" w14:textId="6537B3F8" w:rsidR="00142886" w:rsidRPr="006C563D" w:rsidRDefault="00142886" w:rsidP="00401F61">
      <w:pPr>
        <w:pStyle w:val="ListBullet"/>
      </w:pPr>
      <w:r w:rsidRPr="006C563D">
        <w:t xml:space="preserve">number of new/enlarging T2-weighted lesions over 24 and 48 weeks – the cumulative mean at </w:t>
      </w:r>
      <w:r w:rsidR="00F61C7D" w:rsidRPr="006C563D">
        <w:t>W</w:t>
      </w:r>
      <w:r w:rsidRPr="006C563D">
        <w:t>eek 24 was 1.5 with PB006 and 2.0 with EU-T</w:t>
      </w:r>
      <w:r w:rsidR="00F61C7D" w:rsidRPr="006C563D">
        <w:t>ysabri</w:t>
      </w:r>
      <w:r w:rsidRPr="006C563D">
        <w:t xml:space="preserve">; at </w:t>
      </w:r>
      <w:r w:rsidR="00F61C7D" w:rsidRPr="006C563D">
        <w:t>W</w:t>
      </w:r>
      <w:r w:rsidRPr="006C563D">
        <w:t>eek 48 it was 1.6 with PB006 and 2.4 with EU-T</w:t>
      </w:r>
      <w:r w:rsidR="00F61C7D" w:rsidRPr="006C563D">
        <w:t>ysabri</w:t>
      </w:r>
      <w:r w:rsidRPr="006C563D">
        <w:t>.</w:t>
      </w:r>
    </w:p>
    <w:p w14:paraId="3891842D" w14:textId="5CF48569" w:rsidR="00142886" w:rsidRPr="006C563D" w:rsidRDefault="00142886" w:rsidP="00401F61">
      <w:pPr>
        <w:pStyle w:val="ListBullet"/>
      </w:pPr>
      <w:r w:rsidRPr="006C563D">
        <w:t>number of patients without new/enlarging T2-weighted lesions over 24 and 48 weeks – the percentage was similar at 24 weeks (57.3% with PB006 and 54.1% with EU-T</w:t>
      </w:r>
      <w:r w:rsidR="003D5265" w:rsidRPr="006C563D">
        <w:t>ysabri</w:t>
      </w:r>
      <w:r w:rsidRPr="006C563D">
        <w:t>) and 48</w:t>
      </w:r>
      <w:r w:rsidR="003D5265" w:rsidRPr="006C563D">
        <w:t> </w:t>
      </w:r>
      <w:r w:rsidRPr="006C563D">
        <w:t>weeks (54.2% with PB006 and 50.5% with E</w:t>
      </w:r>
      <w:r w:rsidR="003D5265" w:rsidRPr="006C563D">
        <w:t>U</w:t>
      </w:r>
      <w:r w:rsidRPr="006C563D">
        <w:t>-T</w:t>
      </w:r>
      <w:r w:rsidR="003D5265" w:rsidRPr="006C563D">
        <w:t>ysabri</w:t>
      </w:r>
      <w:r w:rsidRPr="006C563D">
        <w:t>).</w:t>
      </w:r>
    </w:p>
    <w:p w14:paraId="41888585" w14:textId="08D4E534" w:rsidR="00142886" w:rsidRPr="006C563D" w:rsidRDefault="00142886" w:rsidP="00401F61">
      <w:pPr>
        <w:pStyle w:val="ListBullet"/>
      </w:pPr>
      <w:r w:rsidRPr="006C563D">
        <w:t xml:space="preserve">number of persistent lesions after 24 and 48 weeks – the mean cumulative number at </w:t>
      </w:r>
      <w:r w:rsidR="00D9160C" w:rsidRPr="006C563D">
        <w:t>W</w:t>
      </w:r>
      <w:r w:rsidRPr="006C563D">
        <w:t>eek</w:t>
      </w:r>
      <w:r w:rsidR="00D9160C" w:rsidRPr="006C563D">
        <w:t> </w:t>
      </w:r>
      <w:r w:rsidRPr="006C563D">
        <w:t>24 was 0.5 with PB006 and 0.4 with EU-T</w:t>
      </w:r>
      <w:r w:rsidR="00D9160C" w:rsidRPr="006C563D">
        <w:t>ysabri</w:t>
      </w:r>
      <w:r w:rsidRPr="006C563D">
        <w:t xml:space="preserve">; at </w:t>
      </w:r>
      <w:r w:rsidR="00D9160C" w:rsidRPr="006C563D">
        <w:t>W</w:t>
      </w:r>
      <w:r w:rsidRPr="006C563D">
        <w:t>eek 48 it was 0.5 with PB006 and 0.6 with EU-T</w:t>
      </w:r>
      <w:r w:rsidR="00D9160C" w:rsidRPr="006C563D">
        <w:t>ysabri</w:t>
      </w:r>
      <w:r w:rsidRPr="006C563D">
        <w:t>.</w:t>
      </w:r>
    </w:p>
    <w:p w14:paraId="2D770A9F" w14:textId="5E9D9F42" w:rsidR="00142886" w:rsidRPr="006C563D" w:rsidRDefault="00142886" w:rsidP="00401F61">
      <w:pPr>
        <w:pStyle w:val="ListBullet"/>
      </w:pPr>
      <w:r w:rsidRPr="006C563D">
        <w:t>annualised relapse rates (ARR) after 24 and 48 weeks – the ARR after 24 weeks was 0.206 with PB006 and 0.152 with EU-T</w:t>
      </w:r>
      <w:r w:rsidR="00D9160C" w:rsidRPr="006C563D">
        <w:t>ysabri</w:t>
      </w:r>
      <w:r w:rsidRPr="006C563D">
        <w:t>; after 48 weeks it was 0.174 with PB006 and 0.133 with EU-T</w:t>
      </w:r>
      <w:r w:rsidR="00D9160C" w:rsidRPr="006C563D">
        <w:t>ysabri</w:t>
      </w:r>
      <w:r w:rsidRPr="006C563D">
        <w:t xml:space="preserve">. Note that no patients in either group had more than </w:t>
      </w:r>
      <w:r w:rsidR="00D9160C" w:rsidRPr="006C563D">
        <w:t>one</w:t>
      </w:r>
      <w:r w:rsidRPr="006C563D">
        <w:t xml:space="preserve"> relapse in the first 24 weeks.</w:t>
      </w:r>
    </w:p>
    <w:p w14:paraId="4ADF3E4B" w14:textId="77777777" w:rsidR="00142886" w:rsidRPr="006C563D" w:rsidRDefault="00142886" w:rsidP="00401F61">
      <w:pPr>
        <w:pStyle w:val="ListBullet"/>
      </w:pPr>
      <w:r w:rsidRPr="006C563D">
        <w:t>changes in EDSS after 24 and 48 weeks – the mean changes in EDSS were minimal and similar between the two arms.</w:t>
      </w:r>
    </w:p>
    <w:p w14:paraId="7165967D" w14:textId="77777777" w:rsidR="00142886" w:rsidRPr="006C563D" w:rsidRDefault="00142886" w:rsidP="00142886">
      <w:pPr>
        <w:pStyle w:val="Heading4"/>
      </w:pPr>
      <w:bookmarkStart w:id="55" w:name="_Toc205908892"/>
      <w:r w:rsidRPr="006C563D">
        <w:t>Safety</w:t>
      </w:r>
      <w:bookmarkEnd w:id="55"/>
    </w:p>
    <w:p w14:paraId="614B320B" w14:textId="17683A55" w:rsidR="00142886" w:rsidRPr="006C563D" w:rsidRDefault="00142886" w:rsidP="00142886">
      <w:r w:rsidRPr="006C563D">
        <w:t xml:space="preserve">Safety of PB006 was based on </w:t>
      </w:r>
      <w:r w:rsidR="00D9160C" w:rsidRPr="006C563D">
        <w:t>S</w:t>
      </w:r>
      <w:r w:rsidRPr="006C563D">
        <w:t>tud</w:t>
      </w:r>
      <w:r w:rsidR="00D9160C" w:rsidRPr="006C563D">
        <w:t xml:space="preserve">y </w:t>
      </w:r>
      <w:r w:rsidRPr="006C563D">
        <w:t>PB006-01-02 (</w:t>
      </w:r>
      <w:r w:rsidR="00D9160C" w:rsidRPr="006C563D">
        <w:t>P</w:t>
      </w:r>
      <w:r w:rsidRPr="006C563D">
        <w:t xml:space="preserve">hase </w:t>
      </w:r>
      <w:r w:rsidR="00D9160C" w:rsidRPr="006C563D">
        <w:t>I</w:t>
      </w:r>
      <w:r w:rsidRPr="006C563D">
        <w:t xml:space="preserve"> study in which 10 healthy subjects were treated with a single 300</w:t>
      </w:r>
      <w:r w:rsidR="00D9160C" w:rsidRPr="006C563D">
        <w:t> </w:t>
      </w:r>
      <w:r w:rsidRPr="006C563D">
        <w:t xml:space="preserve">mg </w:t>
      </w:r>
      <w:r w:rsidR="00D9160C" w:rsidRPr="006C563D">
        <w:t>IV</w:t>
      </w:r>
      <w:r w:rsidRPr="006C563D">
        <w:t xml:space="preserve"> dose of PB006), </w:t>
      </w:r>
      <w:r w:rsidR="00D9160C" w:rsidRPr="006C563D">
        <w:t xml:space="preserve">Study </w:t>
      </w:r>
      <w:r w:rsidRPr="006C563D">
        <w:t xml:space="preserve">PB006-01-03 and </w:t>
      </w:r>
      <w:r w:rsidR="00D9160C" w:rsidRPr="006C563D">
        <w:t>Study </w:t>
      </w:r>
      <w:r w:rsidRPr="006C563D">
        <w:t>PB006</w:t>
      </w:r>
      <w:r w:rsidR="00D9160C" w:rsidRPr="006C563D">
        <w:noBreakHyphen/>
      </w:r>
      <w:r w:rsidRPr="006C563D">
        <w:t>03</w:t>
      </w:r>
      <w:r w:rsidR="00D9160C" w:rsidRPr="006C563D">
        <w:noBreakHyphen/>
      </w:r>
      <w:r w:rsidRPr="006C563D">
        <w:t>01.</w:t>
      </w:r>
    </w:p>
    <w:p w14:paraId="1CCBBAEC" w14:textId="77777777" w:rsidR="00142886" w:rsidRPr="006C563D" w:rsidRDefault="00142886" w:rsidP="00142886">
      <w:r w:rsidRPr="006C563D">
        <w:t>PB006 was administered to 159 healthy subjects and to 161 patients with RRMS.</w:t>
      </w:r>
    </w:p>
    <w:p w14:paraId="4ECEAAED" w14:textId="505CAD6C" w:rsidR="00142886" w:rsidRPr="006C563D" w:rsidRDefault="00142886" w:rsidP="00142886">
      <w:r w:rsidRPr="006C563D">
        <w:t xml:space="preserve">As the dosing in the main </w:t>
      </w:r>
      <w:r w:rsidR="00D9160C" w:rsidRPr="006C563D">
        <w:t>P</w:t>
      </w:r>
      <w:r w:rsidRPr="006C563D">
        <w:t xml:space="preserve">hase </w:t>
      </w:r>
      <w:r w:rsidR="00D9160C" w:rsidRPr="006C563D">
        <w:t>I</w:t>
      </w:r>
      <w:r w:rsidRPr="006C563D">
        <w:t xml:space="preserve"> </w:t>
      </w:r>
      <w:r w:rsidR="00D9160C" w:rsidRPr="006C563D">
        <w:t>S</w:t>
      </w:r>
      <w:r w:rsidRPr="006C563D">
        <w:t>tudy 01-03 was weight based, the lowest dose given was 156</w:t>
      </w:r>
      <w:r w:rsidR="00D9160C" w:rsidRPr="006C563D">
        <w:t> </w:t>
      </w:r>
      <w:r w:rsidRPr="006C563D">
        <w:t>mg and the highest dose was 274</w:t>
      </w:r>
      <w:r w:rsidR="00D9160C" w:rsidRPr="006C563D">
        <w:t> </w:t>
      </w:r>
      <w:r w:rsidRPr="006C563D">
        <w:t>mg (very similar doses were given for EU-</w:t>
      </w:r>
      <w:r w:rsidR="00D9160C" w:rsidRPr="006C563D">
        <w:t>T</w:t>
      </w:r>
      <w:r w:rsidR="00EF5071" w:rsidRPr="006C563D">
        <w:t>ysabri</w:t>
      </w:r>
      <w:r w:rsidRPr="006C563D">
        <w:t xml:space="preserve"> and US</w:t>
      </w:r>
      <w:r w:rsidR="00EF5071" w:rsidRPr="006C563D">
        <w:noBreakHyphen/>
      </w:r>
      <w:r w:rsidRPr="006C563D">
        <w:t>T</w:t>
      </w:r>
      <w:r w:rsidR="00EF5071" w:rsidRPr="006C563D">
        <w:t>ysabri</w:t>
      </w:r>
      <w:r w:rsidRPr="006C563D">
        <w:t xml:space="preserve">). The dosing in </w:t>
      </w:r>
      <w:r w:rsidR="00EF5071" w:rsidRPr="006C563D">
        <w:t>P</w:t>
      </w:r>
      <w:r w:rsidRPr="006C563D">
        <w:t xml:space="preserve">hase </w:t>
      </w:r>
      <w:r w:rsidR="00EF5071" w:rsidRPr="006C563D">
        <w:t>III</w:t>
      </w:r>
      <w:r w:rsidRPr="006C563D">
        <w:t xml:space="preserve"> </w:t>
      </w:r>
      <w:r w:rsidR="00EF5071" w:rsidRPr="006C563D">
        <w:t>S</w:t>
      </w:r>
      <w:r w:rsidRPr="006C563D">
        <w:t xml:space="preserve">tudy 03-01 was the same as the standard clinical dose, </w:t>
      </w:r>
      <w:r w:rsidR="00EF5071" w:rsidRPr="006C563D">
        <w:t xml:space="preserve">that is, </w:t>
      </w:r>
      <w:r w:rsidRPr="006C563D">
        <w:t>300</w:t>
      </w:r>
      <w:r w:rsidR="00EF5071" w:rsidRPr="006C563D">
        <w:t> </w:t>
      </w:r>
      <w:r w:rsidRPr="006C563D">
        <w:t>mg every 4 weeks. Patient disposition in this study was similar for PB006 and the reference product.</w:t>
      </w:r>
    </w:p>
    <w:p w14:paraId="698032F7" w14:textId="7F9CA3CF" w:rsidR="00142886" w:rsidRDefault="00142886" w:rsidP="00142886">
      <w:r w:rsidRPr="006C563D">
        <w:t xml:space="preserve">In </w:t>
      </w:r>
      <w:r w:rsidR="00FE4884" w:rsidRPr="006C563D">
        <w:t>S</w:t>
      </w:r>
      <w:r w:rsidRPr="006C563D">
        <w:t xml:space="preserve">tudy 01-02 all </w:t>
      </w:r>
      <w:r w:rsidR="00FE4884" w:rsidRPr="006C563D">
        <w:t>treatment-emergent adverse events (</w:t>
      </w:r>
      <w:r w:rsidRPr="006C563D">
        <w:t>TEAEs</w:t>
      </w:r>
      <w:r w:rsidR="00FE4884" w:rsidRPr="006C563D">
        <w:t>)</w:t>
      </w:r>
      <w:r>
        <w:t xml:space="preserve"> were mild or moderate and there were no serious AEs, fatal AEs or AEs leading to discontinuation. The most common TEAEs occurring in </w:t>
      </w:r>
      <w:r w:rsidR="00FE4884">
        <w:t>more than one</w:t>
      </w:r>
      <w:r>
        <w:t xml:space="preserve"> subject were headache, catheter site pain, fatigue and injection site haematoma.</w:t>
      </w:r>
    </w:p>
    <w:p w14:paraId="76302B02" w14:textId="0146D207" w:rsidR="00142886" w:rsidRDefault="00142886" w:rsidP="00142886">
      <w:r>
        <w:t xml:space="preserve">In </w:t>
      </w:r>
      <w:r w:rsidR="00FC04D8">
        <w:t>S</w:t>
      </w:r>
      <w:r>
        <w:t xml:space="preserve">tudy 01-03, AE frequency was similar across the arms. Three were </w:t>
      </w:r>
      <w:r w:rsidR="00FC04D8">
        <w:t xml:space="preserve">two </w:t>
      </w:r>
      <w:r>
        <w:t xml:space="preserve">SAEs and </w:t>
      </w:r>
      <w:r w:rsidR="00716E6D">
        <w:t>one</w:t>
      </w:r>
      <w:r>
        <w:t xml:space="preserve"> severe TEAE reported, all in the US-T</w:t>
      </w:r>
      <w:r w:rsidR="00716E6D">
        <w:t>ysabri</w:t>
      </w:r>
      <w:r>
        <w:t xml:space="preserve"> arm. There were no AEs leading to study discontinuation and no fatal AEs. The most common TEAEs were headache and injection site reaction. </w:t>
      </w:r>
      <w:r w:rsidR="00716E6D">
        <w:t>Adverse events w</w:t>
      </w:r>
      <w:r>
        <w:t>ere generally balanced across the arms.</w:t>
      </w:r>
    </w:p>
    <w:p w14:paraId="5728EEDD" w14:textId="3E889768" w:rsidR="00142886" w:rsidRDefault="00142886" w:rsidP="00142886">
      <w:r>
        <w:t xml:space="preserve">In the </w:t>
      </w:r>
      <w:r w:rsidR="002B583A">
        <w:t>P</w:t>
      </w:r>
      <w:r>
        <w:t xml:space="preserve">hase </w:t>
      </w:r>
      <w:r w:rsidR="002B583A">
        <w:t>III</w:t>
      </w:r>
      <w:r>
        <w:t xml:space="preserve"> </w:t>
      </w:r>
      <w:r w:rsidR="002B583A">
        <w:t>S</w:t>
      </w:r>
      <w:r>
        <w:t>tudy 03-01 the percentages of patients with TEAEs, SAEs and TEAEs related to study drug were similar across the arms (</w:t>
      </w:r>
      <w:r>
        <w:fldChar w:fldCharType="begin"/>
      </w:r>
      <w:r>
        <w:instrText xml:space="preserve"> REF _Ref169518713 \h </w:instrText>
      </w:r>
      <w:r>
        <w:fldChar w:fldCharType="separate"/>
      </w:r>
      <w:r w:rsidR="007956BC">
        <w:t xml:space="preserve">Table </w:t>
      </w:r>
      <w:r w:rsidR="007956BC">
        <w:rPr>
          <w:noProof/>
        </w:rPr>
        <w:t>6</w:t>
      </w:r>
      <w:r>
        <w:fldChar w:fldCharType="end"/>
      </w:r>
      <w:r>
        <w:t xml:space="preserve">). There were no fatal AEs. The frequency of TEAEs of at least </w:t>
      </w:r>
      <w:r w:rsidR="005D0C2D">
        <w:t>G</w:t>
      </w:r>
      <w:r>
        <w:t>rade 3 was numerically higher with PB006 than EU-T</w:t>
      </w:r>
      <w:r w:rsidR="002B583A">
        <w:t>ysabri</w:t>
      </w:r>
      <w:r>
        <w:t xml:space="preserve"> (3.1% </w:t>
      </w:r>
      <w:r w:rsidR="002B583A">
        <w:t>vers</w:t>
      </w:r>
      <w:r w:rsidR="005D0C2D">
        <w:t>u</w:t>
      </w:r>
      <w:r w:rsidR="002B583A">
        <w:t>s</w:t>
      </w:r>
      <w:r>
        <w:t xml:space="preserve"> </w:t>
      </w:r>
      <w:r>
        <w:lastRenderedPageBreak/>
        <w:t>1%), as was discontinuation due to any AE (6.1% v</w:t>
      </w:r>
      <w:r w:rsidR="002B583A">
        <w:t>ersus</w:t>
      </w:r>
      <w:r>
        <w:t xml:space="preserve"> 2.9%). The date from the 30 subjects who switched to PB006 from EU-T</w:t>
      </w:r>
      <w:r w:rsidR="002B583A">
        <w:t>ysabri</w:t>
      </w:r>
      <w:r>
        <w:t xml:space="preserve"> at </w:t>
      </w:r>
      <w:r w:rsidR="002B583A">
        <w:t>W</w:t>
      </w:r>
      <w:r>
        <w:t>eek 24 did not suggest an increase in development of AEs from that time point.</w:t>
      </w:r>
    </w:p>
    <w:p w14:paraId="5860813B" w14:textId="0A50860B" w:rsidR="00142886" w:rsidRDefault="00142886" w:rsidP="00766CA9">
      <w:pPr>
        <w:pStyle w:val="TableTitle"/>
      </w:pPr>
      <w:bookmarkStart w:id="56" w:name="_Ref169518713"/>
      <w:r>
        <w:t xml:space="preserve">Table </w:t>
      </w:r>
      <w:r w:rsidR="002B583A">
        <w:fldChar w:fldCharType="begin"/>
      </w:r>
      <w:r w:rsidR="002B583A">
        <w:instrText xml:space="preserve"> SEQ Table \* ARABIC </w:instrText>
      </w:r>
      <w:r w:rsidR="002B583A">
        <w:fldChar w:fldCharType="separate"/>
      </w:r>
      <w:r w:rsidR="007956BC">
        <w:rPr>
          <w:noProof/>
        </w:rPr>
        <w:t>6</w:t>
      </w:r>
      <w:r w:rsidR="002B583A">
        <w:rPr>
          <w:noProof/>
        </w:rPr>
        <w:fldChar w:fldCharType="end"/>
      </w:r>
      <w:bookmarkEnd w:id="56"/>
      <w:r w:rsidR="002B583A">
        <w:rPr>
          <w:noProof/>
        </w:rPr>
        <w:t>:</w:t>
      </w:r>
      <w:r>
        <w:t xml:space="preserve"> Summary of </w:t>
      </w:r>
      <w:r w:rsidR="002B583A">
        <w:t xml:space="preserve">adverse events </w:t>
      </w:r>
      <w:r>
        <w:t xml:space="preserve">by treatment sequence in </w:t>
      </w:r>
      <w:r w:rsidR="002B583A">
        <w:t xml:space="preserve">Study </w:t>
      </w:r>
      <w:r>
        <w:t xml:space="preserve">PB006-03-01 </w:t>
      </w:r>
      <w:r w:rsidR="002B583A">
        <w:t xml:space="preserve">safety </w:t>
      </w:r>
      <w:r w:rsidR="00766CA9">
        <w:t>population</w:t>
      </w:r>
    </w:p>
    <w:p w14:paraId="094A9253" w14:textId="77777777" w:rsidR="00142886" w:rsidRDefault="00142886" w:rsidP="00142886">
      <w:r>
        <w:rPr>
          <w:noProof/>
        </w:rPr>
        <w:drawing>
          <wp:inline distT="0" distB="0" distL="0" distR="0" wp14:anchorId="278F3289" wp14:editId="15D4F1BB">
            <wp:extent cx="5683885" cy="3057525"/>
            <wp:effectExtent l="0" t="0" r="0" b="9525"/>
            <wp:docPr id="8" name="Picture 8" descr="Summary of adverse events by treatment sequence in Study PB006-03-01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mmary of adverse events by treatment sequence in Study PB006-03-01 safety population"/>
                    <pic:cNvPicPr/>
                  </pic:nvPicPr>
                  <pic:blipFill rotWithShape="1">
                    <a:blip r:embed="rId32"/>
                    <a:srcRect l="831" b="3196"/>
                    <a:stretch/>
                  </pic:blipFill>
                  <pic:spPr bwMode="auto">
                    <a:xfrm>
                      <a:off x="0" y="0"/>
                      <a:ext cx="5683885" cy="3057525"/>
                    </a:xfrm>
                    <a:prstGeom prst="rect">
                      <a:avLst/>
                    </a:prstGeom>
                    <a:ln>
                      <a:noFill/>
                    </a:ln>
                    <a:extLst>
                      <a:ext uri="{53640926-AAD7-44D8-BBD7-CCE9431645EC}">
                        <a14:shadowObscured xmlns:a14="http://schemas.microsoft.com/office/drawing/2010/main"/>
                      </a:ext>
                    </a:extLst>
                  </pic:spPr>
                </pic:pic>
              </a:graphicData>
            </a:graphic>
          </wp:inline>
        </w:drawing>
      </w:r>
    </w:p>
    <w:p w14:paraId="737C45EE" w14:textId="57E40B87" w:rsidR="00142886" w:rsidRDefault="00142886" w:rsidP="00142886">
      <w:r>
        <w:t xml:space="preserve">The most frequently reported events, with exposure adjusted event rates </w:t>
      </w:r>
      <w:r w:rsidR="0053073A">
        <w:t>(</w:t>
      </w:r>
      <w:r>
        <w:t>this metric was relevant given the re-randomisation in the EU-T</w:t>
      </w:r>
      <w:r w:rsidR="005132F3">
        <w:t>ysabri</w:t>
      </w:r>
      <w:r>
        <w:t xml:space="preserve"> group) greater than 10 events per 100 patient-years in at least one group were nasopharyngitis, COVID-19, headache and tension headache. Although there were differences in AE rates for individual AEs between arms, the overall safety profile appeared similar for PB-006 and the reference product.</w:t>
      </w:r>
    </w:p>
    <w:p w14:paraId="01939DEC" w14:textId="020BF0B5" w:rsidR="00142886" w:rsidRPr="00BF0393" w:rsidRDefault="00142886" w:rsidP="00B8238A">
      <w:pPr>
        <w:pStyle w:val="Heading5"/>
      </w:pPr>
      <w:r w:rsidRPr="00BF0393">
        <w:t>Adverse events of special interest</w:t>
      </w:r>
    </w:p>
    <w:p w14:paraId="21D1772E" w14:textId="3B8F508C" w:rsidR="00AA7749" w:rsidRDefault="00142886" w:rsidP="00AA7749">
      <w:pPr>
        <w:pStyle w:val="Heading6"/>
      </w:pPr>
      <w:r>
        <w:t>Progressive multifocal leukoencephalopathy</w:t>
      </w:r>
    </w:p>
    <w:p w14:paraId="171E0DED" w14:textId="1940684F" w:rsidR="00142886" w:rsidRPr="00305C2B" w:rsidRDefault="00AA7749" w:rsidP="00305C2B">
      <w:r w:rsidRPr="00305C2B">
        <w:t>T</w:t>
      </w:r>
      <w:r w:rsidR="00142886" w:rsidRPr="00305C2B">
        <w:t xml:space="preserve">hroughout clinical development the STRATIFY JCV </w:t>
      </w:r>
      <w:proofErr w:type="spellStart"/>
      <w:r w:rsidR="00142886" w:rsidRPr="00305C2B">
        <w:t>DxSelect</w:t>
      </w:r>
      <w:proofErr w:type="spellEnd"/>
      <w:r w:rsidR="00142886" w:rsidRPr="00305C2B">
        <w:t xml:space="preserve"> assay was used for screening study subjects. In parallel, a new assay (</w:t>
      </w:r>
      <w:proofErr w:type="spellStart"/>
      <w:r w:rsidR="00142886" w:rsidRPr="00305C2B">
        <w:t>ImmunoWELL</w:t>
      </w:r>
      <w:proofErr w:type="spellEnd"/>
      <w:r w:rsidR="00142886" w:rsidRPr="00305C2B">
        <w:t xml:space="preserve"> JCV IgG assay) was developed for clinical use. The </w:t>
      </w:r>
      <w:proofErr w:type="spellStart"/>
      <w:r w:rsidR="00142886" w:rsidRPr="00305C2B">
        <w:t>ImmunoWELL</w:t>
      </w:r>
      <w:proofErr w:type="spellEnd"/>
      <w:r w:rsidR="00142886" w:rsidRPr="00305C2B">
        <w:t xml:space="preserve"> test was validated for precision, selectivity, a potential hook-effect and robustness and was deemed suitable for intended use (qualitative detection of antibodies to </w:t>
      </w:r>
      <w:r w:rsidR="007B7F39">
        <w:t>JC</w:t>
      </w:r>
      <w:r w:rsidR="00142886" w:rsidRPr="00305C2B">
        <w:t xml:space="preserve"> </w:t>
      </w:r>
      <w:r w:rsidR="00F87021">
        <w:t>v</w:t>
      </w:r>
      <w:r w:rsidR="00142886" w:rsidRPr="00305C2B">
        <w:t>irus in human serum or plasma).</w:t>
      </w:r>
    </w:p>
    <w:p w14:paraId="7708F07F" w14:textId="013365EC" w:rsidR="00142886" w:rsidRPr="00622845" w:rsidRDefault="00142886" w:rsidP="00622845">
      <w:r w:rsidRPr="00622845">
        <w:t xml:space="preserve">Samples from </w:t>
      </w:r>
      <w:r w:rsidR="00622845">
        <w:t>S</w:t>
      </w:r>
      <w:r w:rsidRPr="00622845">
        <w:t xml:space="preserve">tudies PB006-01-03 and 03-01 were used to validate </w:t>
      </w:r>
      <w:proofErr w:type="spellStart"/>
      <w:r w:rsidRPr="00622845">
        <w:t>ImmunoWELL</w:t>
      </w:r>
      <w:proofErr w:type="spellEnd"/>
      <w:r w:rsidRPr="00622845">
        <w:t xml:space="preserve"> JCV IgG assay against STRATIFY JVC </w:t>
      </w:r>
      <w:proofErr w:type="spellStart"/>
      <w:r w:rsidRPr="00622845">
        <w:t>DxSelect</w:t>
      </w:r>
      <w:proofErr w:type="spellEnd"/>
      <w:r w:rsidRPr="00622845">
        <w:t xml:space="preserve"> (</w:t>
      </w:r>
      <w:r w:rsidR="003166C2">
        <w:t>that is,</w:t>
      </w:r>
      <w:r w:rsidRPr="00622845">
        <w:t xml:space="preserve"> using matching samples). An equivocal zone of results of 0.25 to 0.50 was set to balance sensitivity and specificity (similar to the 0.20 to 0.40 zone for the STRATIFY assay). </w:t>
      </w:r>
      <w:proofErr w:type="spellStart"/>
      <w:r w:rsidRPr="00622845">
        <w:t>ImmunoWELL</w:t>
      </w:r>
      <w:proofErr w:type="spellEnd"/>
      <w:r w:rsidRPr="00622845">
        <w:t xml:space="preserve"> assay characteristics are shown in </w:t>
      </w:r>
      <w:r w:rsidRPr="00622845">
        <w:fldChar w:fldCharType="begin"/>
      </w:r>
      <w:r w:rsidRPr="00622845">
        <w:instrText xml:space="preserve"> REF _Ref169527453 \h </w:instrText>
      </w:r>
      <w:r w:rsidR="00622845">
        <w:instrText xml:space="preserve"> \* MERGEFORMAT </w:instrText>
      </w:r>
      <w:r w:rsidRPr="00622845">
        <w:fldChar w:fldCharType="separate"/>
      </w:r>
      <w:r w:rsidR="007956BC" w:rsidRPr="003166C2">
        <w:t xml:space="preserve">Table </w:t>
      </w:r>
      <w:r w:rsidR="007956BC">
        <w:t>7</w:t>
      </w:r>
      <w:r w:rsidRPr="00622845">
        <w:fldChar w:fldCharType="end"/>
      </w:r>
      <w:r w:rsidRPr="00622845">
        <w:t>.</w:t>
      </w:r>
    </w:p>
    <w:p w14:paraId="2CFF34B5" w14:textId="326424B0" w:rsidR="00142886" w:rsidRPr="003166C2" w:rsidRDefault="00142886" w:rsidP="003166C2">
      <w:pPr>
        <w:pStyle w:val="TableTitle"/>
      </w:pPr>
      <w:bookmarkStart w:id="57" w:name="_Ref169527453"/>
      <w:r w:rsidRPr="003166C2">
        <w:t xml:space="preserve">Table </w:t>
      </w:r>
      <w:r w:rsidR="003166C2">
        <w:fldChar w:fldCharType="begin"/>
      </w:r>
      <w:r w:rsidR="003166C2">
        <w:instrText xml:space="preserve"> SEQ Table \* ARABIC </w:instrText>
      </w:r>
      <w:r w:rsidR="003166C2">
        <w:fldChar w:fldCharType="separate"/>
      </w:r>
      <w:r w:rsidR="007956BC">
        <w:rPr>
          <w:noProof/>
        </w:rPr>
        <w:t>7</w:t>
      </w:r>
      <w:r w:rsidR="003166C2">
        <w:fldChar w:fldCharType="end"/>
      </w:r>
      <w:bookmarkEnd w:id="57"/>
      <w:r w:rsidR="003166C2" w:rsidRPr="003166C2">
        <w:t>:</w:t>
      </w:r>
      <w:r w:rsidRPr="003166C2">
        <w:t xml:space="preserve"> </w:t>
      </w:r>
      <w:proofErr w:type="spellStart"/>
      <w:r w:rsidRPr="003166C2">
        <w:t>ImmunoWELL</w:t>
      </w:r>
      <w:proofErr w:type="spellEnd"/>
      <w:r w:rsidRPr="003166C2">
        <w:t xml:space="preserve"> assay characteristics</w:t>
      </w:r>
    </w:p>
    <w:p w14:paraId="5595C9A9" w14:textId="77777777" w:rsidR="00142886" w:rsidRDefault="00142886" w:rsidP="00142886">
      <w:r>
        <w:rPr>
          <w:noProof/>
        </w:rPr>
        <w:drawing>
          <wp:inline distT="0" distB="0" distL="0" distR="0" wp14:anchorId="7B512766" wp14:editId="64B0D01C">
            <wp:extent cx="5553075" cy="800100"/>
            <wp:effectExtent l="0" t="0" r="9525" b="0"/>
            <wp:docPr id="9" name="Picture 9" descr="ImmunoWELL assay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munoWELL assay characteristics"/>
                    <pic:cNvPicPr/>
                  </pic:nvPicPr>
                  <pic:blipFill rotWithShape="1">
                    <a:blip r:embed="rId33"/>
                    <a:srcRect l="1495" r="1618" b="11826"/>
                    <a:stretch/>
                  </pic:blipFill>
                  <pic:spPr bwMode="auto">
                    <a:xfrm>
                      <a:off x="0" y="0"/>
                      <a:ext cx="5553075" cy="800100"/>
                    </a:xfrm>
                    <a:prstGeom prst="rect">
                      <a:avLst/>
                    </a:prstGeom>
                    <a:ln>
                      <a:noFill/>
                    </a:ln>
                    <a:extLst>
                      <a:ext uri="{53640926-AAD7-44D8-BBD7-CCE9431645EC}">
                        <a14:shadowObscured xmlns:a14="http://schemas.microsoft.com/office/drawing/2010/main"/>
                      </a:ext>
                    </a:extLst>
                  </pic:spPr>
                </pic:pic>
              </a:graphicData>
            </a:graphic>
          </wp:inline>
        </w:drawing>
      </w:r>
    </w:p>
    <w:p w14:paraId="6ADEB300" w14:textId="49963A59" w:rsidR="00597358" w:rsidRDefault="00142886" w:rsidP="003166C2">
      <w:r w:rsidRPr="003166C2">
        <w:t xml:space="preserve">The STRATIFY and </w:t>
      </w:r>
      <w:proofErr w:type="spellStart"/>
      <w:r w:rsidRPr="003166C2">
        <w:t>ImmunoWELL</w:t>
      </w:r>
      <w:proofErr w:type="spellEnd"/>
      <w:r w:rsidRPr="003166C2">
        <w:t xml:space="preserve"> perform very similarly between the index values of 0.9 and 1.5 which is critical for stratifying patients according to JCV risk (</w:t>
      </w:r>
      <w:r w:rsidR="00F0136B">
        <w:t>that is,</w:t>
      </w:r>
      <w:r w:rsidR="00597358">
        <w:t xml:space="preserve"> </w:t>
      </w:r>
      <w:r w:rsidRPr="003166C2">
        <w:t xml:space="preserve">low is &lt;0.09, </w:t>
      </w:r>
      <w:r w:rsidRPr="003166C2">
        <w:lastRenderedPageBreak/>
        <w:t>intermediate is 0.9</w:t>
      </w:r>
      <w:r w:rsidR="00F0136B">
        <w:t xml:space="preserve"> to </w:t>
      </w:r>
      <w:r w:rsidRPr="003166C2">
        <w:t>1.5 and high is 1.5</w:t>
      </w:r>
      <w:r w:rsidR="00F0136B">
        <w:t xml:space="preserve"> to </w:t>
      </w:r>
      <w:r w:rsidRPr="003166C2">
        <w:t>2.5) (</w:t>
      </w:r>
      <w:r w:rsidR="00B90B36">
        <w:fldChar w:fldCharType="begin"/>
      </w:r>
      <w:r w:rsidR="00B90B36">
        <w:instrText xml:space="preserve"> REF _Ref200724636 \h </w:instrText>
      </w:r>
      <w:r w:rsidR="00B90B36">
        <w:fldChar w:fldCharType="separate"/>
      </w:r>
      <w:r w:rsidR="007956BC">
        <w:t xml:space="preserve">Figure </w:t>
      </w:r>
      <w:r w:rsidR="007956BC">
        <w:rPr>
          <w:noProof/>
        </w:rPr>
        <w:t>3</w:t>
      </w:r>
      <w:r w:rsidR="00B90B36">
        <w:fldChar w:fldCharType="end"/>
      </w:r>
      <w:r w:rsidRPr="003166C2">
        <w:t>). In terms of comparing the two assays, if a minor offset exists it is expected to be below 0.1 index values</w:t>
      </w:r>
      <w:r w:rsidR="00597358">
        <w:t>.</w:t>
      </w:r>
    </w:p>
    <w:p w14:paraId="6456BA4D" w14:textId="6FE45278" w:rsidR="00142886" w:rsidRDefault="00F0136B" w:rsidP="007B7F39">
      <w:pPr>
        <w:pStyle w:val="FigureTitle"/>
      </w:pPr>
      <w:bookmarkStart w:id="58" w:name="_Ref200724636"/>
      <w:r>
        <w:t xml:space="preserve">Figure </w:t>
      </w:r>
      <w:r>
        <w:fldChar w:fldCharType="begin"/>
      </w:r>
      <w:r>
        <w:instrText xml:space="preserve"> SEQ Figure \* ARABIC </w:instrText>
      </w:r>
      <w:r>
        <w:fldChar w:fldCharType="separate"/>
      </w:r>
      <w:r w:rsidR="007956BC">
        <w:rPr>
          <w:noProof/>
        </w:rPr>
        <w:t>3</w:t>
      </w:r>
      <w:r>
        <w:rPr>
          <w:noProof/>
        </w:rPr>
        <w:fldChar w:fldCharType="end"/>
      </w:r>
      <w:bookmarkEnd w:id="58"/>
      <w:r>
        <w:t>:</w:t>
      </w:r>
      <w:r w:rsidR="00142886">
        <w:t xml:space="preserve"> </w:t>
      </w:r>
      <w:r w:rsidR="00B90B36">
        <w:t>S</w:t>
      </w:r>
      <w:r w:rsidR="00B90B36" w:rsidRPr="00B90B36">
        <w:t>tudy 03-01</w:t>
      </w:r>
      <w:r w:rsidR="009266CF">
        <w:t xml:space="preserve"> C</w:t>
      </w:r>
      <w:r w:rsidR="00142886">
        <w:t xml:space="preserve">orrelation of index values from </w:t>
      </w:r>
      <w:proofErr w:type="spellStart"/>
      <w:r w:rsidR="00142886">
        <w:t>ImmunoWELL</w:t>
      </w:r>
      <w:proofErr w:type="spellEnd"/>
      <w:r w:rsidR="00142886">
        <w:t xml:space="preserve"> </w:t>
      </w:r>
      <w:r w:rsidR="009266CF" w:rsidRPr="009266CF">
        <w:t>John Cunningham virus</w:t>
      </w:r>
      <w:r w:rsidR="00142886">
        <w:t xml:space="preserve"> </w:t>
      </w:r>
      <w:r w:rsidR="00B90B36">
        <w:t>immunoglobulin G versus</w:t>
      </w:r>
      <w:r w:rsidR="00142886">
        <w:t xml:space="preserve"> STRATIFY </w:t>
      </w:r>
      <w:r w:rsidR="009266CF" w:rsidRPr="009266CF">
        <w:t>John Cunningham virus</w:t>
      </w:r>
      <w:r w:rsidR="00142886">
        <w:t xml:space="preserve"> </w:t>
      </w:r>
      <w:proofErr w:type="spellStart"/>
      <w:r w:rsidR="00142886">
        <w:t>DxSelect</w:t>
      </w:r>
      <w:proofErr w:type="spellEnd"/>
      <w:r w:rsidR="00142886">
        <w:t xml:space="preserve"> using combined dataset from </w:t>
      </w:r>
      <w:r w:rsidR="00B90B36">
        <w:t>multiple sclerosis</w:t>
      </w:r>
      <w:r w:rsidR="00142886">
        <w:t xml:space="preserve"> patient sample</w:t>
      </w:r>
      <w:r w:rsidR="00B90B36">
        <w:t>s</w:t>
      </w:r>
    </w:p>
    <w:p w14:paraId="6E35F9B5" w14:textId="77777777" w:rsidR="00142886" w:rsidRDefault="00142886" w:rsidP="00142886">
      <w:r>
        <w:rPr>
          <w:noProof/>
        </w:rPr>
        <w:drawing>
          <wp:inline distT="0" distB="0" distL="0" distR="0" wp14:anchorId="7C14E0F6" wp14:editId="4307F690">
            <wp:extent cx="5731510" cy="3639185"/>
            <wp:effectExtent l="0" t="0" r="2540" b="0"/>
            <wp:docPr id="10" name="Picture 10" descr="Study 03-01 Correlation of index values from ImmunoWELL John Cunningham virus immunoglobulin G versus STRATIFY John Cunningham virus DxSelect using combined dataset from multiple sclerosis  patien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03-01 Correlation of index values from ImmunoWELL John Cunningham virus immunoglobulin G versus STRATIFY John Cunningham virus DxSelect using combined dataset from multiple sclerosis  patient samples"/>
                    <pic:cNvPicPr/>
                  </pic:nvPicPr>
                  <pic:blipFill>
                    <a:blip r:embed="rId34"/>
                    <a:stretch>
                      <a:fillRect/>
                    </a:stretch>
                  </pic:blipFill>
                  <pic:spPr>
                    <a:xfrm>
                      <a:off x="0" y="0"/>
                      <a:ext cx="5731510" cy="3639185"/>
                    </a:xfrm>
                    <a:prstGeom prst="rect">
                      <a:avLst/>
                    </a:prstGeom>
                  </pic:spPr>
                </pic:pic>
              </a:graphicData>
            </a:graphic>
          </wp:inline>
        </w:drawing>
      </w:r>
    </w:p>
    <w:p w14:paraId="27B97783" w14:textId="77777777" w:rsidR="00142886" w:rsidRPr="007B7F39" w:rsidRDefault="00142886" w:rsidP="007B7F39">
      <w:r w:rsidRPr="007B7F39">
        <w:t xml:space="preserve">Using slightly different threshold values for each assay (0.8 and 1.4 for </w:t>
      </w:r>
      <w:proofErr w:type="spellStart"/>
      <w:r w:rsidRPr="007B7F39">
        <w:t>ImmunoWELL</w:t>
      </w:r>
      <w:proofErr w:type="spellEnd"/>
      <w:r w:rsidRPr="007B7F39">
        <w:t xml:space="preserve"> JCV and 0.9 and 1.5 for STRATIFY JCV </w:t>
      </w:r>
      <w:proofErr w:type="spellStart"/>
      <w:r w:rsidRPr="007B7F39">
        <w:t>DxSelect</w:t>
      </w:r>
      <w:proofErr w:type="spellEnd"/>
      <w:r w:rsidRPr="007B7F39">
        <w:t>), there was strong agreement between the assays and acceptable sensitivity and specificity.</w:t>
      </w:r>
    </w:p>
    <w:p w14:paraId="112A9FA7" w14:textId="5DF4FAB4" w:rsidR="00142886" w:rsidRPr="007B7F39" w:rsidRDefault="00142886" w:rsidP="007B7F39">
      <w:r w:rsidRPr="007B7F39">
        <w:t xml:space="preserve">In </w:t>
      </w:r>
      <w:r w:rsidR="00AA5386">
        <w:t>S</w:t>
      </w:r>
      <w:r w:rsidRPr="007B7F39">
        <w:t xml:space="preserve">tudy PB006-0102 no JCV-positive subjects were enrolled and no PML cases were reported (to </w:t>
      </w:r>
      <w:r w:rsidR="00AA5386">
        <w:t>D</w:t>
      </w:r>
      <w:r w:rsidRPr="007B7F39">
        <w:t>ay 169).</w:t>
      </w:r>
    </w:p>
    <w:p w14:paraId="2B3B92F3" w14:textId="1A42C441" w:rsidR="00142886" w:rsidRPr="007B7F39" w:rsidRDefault="00142886" w:rsidP="007B7F39">
      <w:r w:rsidRPr="007B7F39">
        <w:t xml:space="preserve">In </w:t>
      </w:r>
      <w:r w:rsidR="00AA5386">
        <w:t>S</w:t>
      </w:r>
      <w:r w:rsidRPr="007B7F39">
        <w:t xml:space="preserve">tudy PB006-01-03 all randomised subjects tested negative for anti-JCV antibodies at screening. On </w:t>
      </w:r>
      <w:r w:rsidR="00AA5386">
        <w:t>D</w:t>
      </w:r>
      <w:r w:rsidRPr="007B7F39">
        <w:t>ay 85, 19 subjects tested positive (9 with PB006, 4 with EU-T</w:t>
      </w:r>
      <w:r w:rsidR="00CC4797">
        <w:t>ysabri</w:t>
      </w:r>
      <w:r w:rsidRPr="007B7F39">
        <w:t xml:space="preserve"> and 6 with US-T</w:t>
      </w:r>
      <w:r w:rsidR="00CC4797">
        <w:t>ysabri</w:t>
      </w:r>
      <w:r w:rsidRPr="007B7F39">
        <w:t>). No PML cases were detected.</w:t>
      </w:r>
    </w:p>
    <w:p w14:paraId="2781407B" w14:textId="2C4DF266" w:rsidR="00142886" w:rsidRPr="007B7F39" w:rsidRDefault="00142886" w:rsidP="007B7F39">
      <w:r w:rsidRPr="007B7F39">
        <w:t xml:space="preserve">In </w:t>
      </w:r>
      <w:r w:rsidR="00CC4797">
        <w:t>S</w:t>
      </w:r>
      <w:r w:rsidRPr="007B7F39">
        <w:t xml:space="preserve">tudy PB-006-03-01, no patients had a JCV index &gt; 1.5 at </w:t>
      </w:r>
      <w:r w:rsidR="00273CD6">
        <w:t>B</w:t>
      </w:r>
      <w:r w:rsidRPr="007B7F39">
        <w:t xml:space="preserve">aseline. At </w:t>
      </w:r>
      <w:r w:rsidR="00273CD6">
        <w:t>W</w:t>
      </w:r>
      <w:r w:rsidRPr="007B7F39">
        <w:t xml:space="preserve">eek 48, 6% in the PB006 arm and 5.9% in the </w:t>
      </w:r>
      <w:r w:rsidR="00BD320C">
        <w:t>EU</w:t>
      </w:r>
      <w:r w:rsidRPr="007B7F39">
        <w:t>-T</w:t>
      </w:r>
      <w:r w:rsidR="00273CD6">
        <w:t>ysabri</w:t>
      </w:r>
      <w:r w:rsidRPr="007B7F39">
        <w:t xml:space="preserve"> arm developed a JCV index &gt; 1.5. Although 5 patients had MRI findings suspicious for PML, no cases of PML occurred in the study. Clinical monitoring for PML extended to 6 months after discontinuing natalizumab and was undertaken by most patients (253</w:t>
      </w:r>
      <w:r w:rsidR="00814572">
        <w:t xml:space="preserve"> out of </w:t>
      </w:r>
      <w:r w:rsidRPr="007B7F39">
        <w:t>265).</w:t>
      </w:r>
    </w:p>
    <w:p w14:paraId="10331904" w14:textId="50A62CA9" w:rsidR="00814572" w:rsidRDefault="00142886" w:rsidP="00814572">
      <w:pPr>
        <w:pStyle w:val="Heading6"/>
      </w:pPr>
      <w:r w:rsidRPr="007B7F39">
        <w:t>Laboratory findings</w:t>
      </w:r>
    </w:p>
    <w:p w14:paraId="24937E1C" w14:textId="0359D11C" w:rsidR="00142886" w:rsidRPr="00814572" w:rsidRDefault="00814572" w:rsidP="00814572">
      <w:r w:rsidRPr="00814572">
        <w:t>I</w:t>
      </w:r>
      <w:r w:rsidR="00142886" w:rsidRPr="00814572">
        <w:t>n</w:t>
      </w:r>
      <w:r w:rsidRPr="00814572">
        <w:t xml:space="preserve"> S</w:t>
      </w:r>
      <w:r w:rsidR="00142886" w:rsidRPr="00814572">
        <w:t>tudy PB006-01-03, transient and modest increases in various leukocyte types were seen (leukocytes, lymphocytes, eosinophils, monocytes) and were similar across the treatment arms.</w:t>
      </w:r>
    </w:p>
    <w:p w14:paraId="4959C054" w14:textId="22F24982" w:rsidR="00142886" w:rsidRPr="00814572" w:rsidRDefault="00142886" w:rsidP="00814572">
      <w:r w:rsidRPr="00814572">
        <w:t xml:space="preserve">In </w:t>
      </w:r>
      <w:r w:rsidR="000446C6">
        <w:t>St</w:t>
      </w:r>
      <w:r w:rsidRPr="00814572">
        <w:t>udy PB006-03-01, modest increases in eosinophils, leukocytes, lymphocytes and monocytes were seen in both treatment groups (slightly numerically higher in the PB006 group). Small changes in haemoglobin were also seen (mean change -5.3</w:t>
      </w:r>
      <w:r w:rsidR="000446C6">
        <w:t> </w:t>
      </w:r>
      <w:r w:rsidRPr="00814572">
        <w:t>g/L in PB006 arm and -1.5</w:t>
      </w:r>
      <w:r w:rsidR="000446C6">
        <w:t> </w:t>
      </w:r>
      <w:r w:rsidRPr="00814572">
        <w:t>g/L in EU</w:t>
      </w:r>
      <w:r w:rsidR="000446C6">
        <w:noBreakHyphen/>
      </w:r>
      <w:r w:rsidRPr="00814572">
        <w:t>T</w:t>
      </w:r>
      <w:r w:rsidR="000446C6">
        <w:t>ysabri</w:t>
      </w:r>
      <w:r w:rsidRPr="00814572">
        <w:t xml:space="preserve"> arm).</w:t>
      </w:r>
    </w:p>
    <w:p w14:paraId="13342D49" w14:textId="5B7017C6" w:rsidR="00142886" w:rsidRPr="00814572" w:rsidRDefault="00142886" w:rsidP="00814572">
      <w:r w:rsidRPr="00814572">
        <w:t xml:space="preserve">Other laboratory findings were similar between groups in </w:t>
      </w:r>
      <w:r w:rsidR="000446C6">
        <w:t xml:space="preserve">Study </w:t>
      </w:r>
      <w:r w:rsidRPr="00814572">
        <w:t>03-01.</w:t>
      </w:r>
    </w:p>
    <w:p w14:paraId="53BA0A08" w14:textId="411C3DDE" w:rsidR="00142886" w:rsidRDefault="00142886" w:rsidP="00814572">
      <w:r w:rsidRPr="00814572">
        <w:lastRenderedPageBreak/>
        <w:t xml:space="preserve">Most other AESI did not occur (JCV granule neuronopathy, opportunistic infections, liver injury, hypersensitivity, encephalitis, meningitis). The most frequent occurring </w:t>
      </w:r>
      <w:proofErr w:type="gramStart"/>
      <w:r w:rsidRPr="00814572">
        <w:t>were</w:t>
      </w:r>
      <w:proofErr w:type="gramEnd"/>
      <w:r w:rsidRPr="00814572">
        <w:t xml:space="preserve"> urticaria and herpes</w:t>
      </w:r>
      <w:r w:rsidRPr="007B7F39">
        <w:t>.</w:t>
      </w:r>
    </w:p>
    <w:p w14:paraId="13C16D11" w14:textId="77777777" w:rsidR="00142886" w:rsidRDefault="00142886" w:rsidP="00223AAA">
      <w:pPr>
        <w:pStyle w:val="Heading5"/>
      </w:pPr>
      <w:r>
        <w:t>Immunogenicity</w:t>
      </w:r>
    </w:p>
    <w:p w14:paraId="7E81E7DC" w14:textId="4F8AC64D" w:rsidR="00142886" w:rsidRPr="00223AAA" w:rsidRDefault="00142886" w:rsidP="00223AAA">
      <w:r w:rsidRPr="00223AAA">
        <w:t>During T</w:t>
      </w:r>
      <w:r w:rsidR="00223AAA">
        <w:t>ysabri</w:t>
      </w:r>
      <w:r w:rsidRPr="00223AAA">
        <w:t xml:space="preserve"> development persistent </w:t>
      </w:r>
      <w:r w:rsidRPr="00BB423C">
        <w:t>antidrug antibodies (ADAs)</w:t>
      </w:r>
      <w:r w:rsidRPr="00223AAA">
        <w:t xml:space="preserve"> were associated with a substantial decrease in the effectiveness of natalizumab and increased hypersensitivity reactions. </w:t>
      </w:r>
      <w:r w:rsidR="005D6201">
        <w:t>Antidrug antibodies</w:t>
      </w:r>
      <w:r w:rsidRPr="00223AAA">
        <w:t xml:space="preserve"> were detected in approximately 10% in the 2 </w:t>
      </w:r>
      <w:proofErr w:type="gramStart"/>
      <w:r w:rsidRPr="00223AAA">
        <w:t>year controlled</w:t>
      </w:r>
      <w:proofErr w:type="gramEnd"/>
      <w:r w:rsidRPr="00223AAA">
        <w:t xml:space="preserve"> trials and persistent ADAs developed in 6%.</w:t>
      </w:r>
    </w:p>
    <w:p w14:paraId="58A8D616" w14:textId="770740A7" w:rsidR="00142886" w:rsidRPr="00223AAA" w:rsidRDefault="00142886" w:rsidP="00223AAA">
      <w:r w:rsidRPr="00223AAA">
        <w:t xml:space="preserve">The </w:t>
      </w:r>
      <w:r w:rsidR="005D6201">
        <w:t>s</w:t>
      </w:r>
      <w:r w:rsidRPr="00223AAA">
        <w:t>ponsor validated a 3</w:t>
      </w:r>
      <w:r w:rsidR="0064409C">
        <w:t>-</w:t>
      </w:r>
      <w:r w:rsidRPr="00223AAA">
        <w:t>tier testing approach to ADAs for PB006 (</w:t>
      </w:r>
      <w:r w:rsidR="005D6201">
        <w:t xml:space="preserve">that is, </w:t>
      </w:r>
      <w:r w:rsidRPr="00223AAA">
        <w:t>screening, confirmation and quantification). A qualitative assay for neutrali</w:t>
      </w:r>
      <w:r w:rsidR="00912B8F">
        <w:t>s</w:t>
      </w:r>
      <w:r w:rsidRPr="00223AAA">
        <w:t>ing ADAs was also developed.</w:t>
      </w:r>
    </w:p>
    <w:p w14:paraId="6029EADF" w14:textId="08A5C8B6" w:rsidR="00142886" w:rsidRPr="00223AAA" w:rsidRDefault="00142886" w:rsidP="00223AAA">
      <w:r w:rsidRPr="00223AAA">
        <w:t xml:space="preserve">In </w:t>
      </w:r>
      <w:r w:rsidR="003F0AF5">
        <w:t>S</w:t>
      </w:r>
      <w:r w:rsidRPr="00223AAA">
        <w:t>tudy PB006-01-02, 30% of subjects developed treatment emergent ADAs.</w:t>
      </w:r>
    </w:p>
    <w:p w14:paraId="432467E5" w14:textId="6D9B8056" w:rsidR="00142886" w:rsidRPr="00223AAA" w:rsidRDefault="00142886" w:rsidP="00223AAA">
      <w:bookmarkStart w:id="59" w:name="_Hlk202301636"/>
      <w:r w:rsidRPr="00223AAA">
        <w:t xml:space="preserve">In </w:t>
      </w:r>
      <w:r w:rsidR="003F0AF5">
        <w:t>S</w:t>
      </w:r>
      <w:r w:rsidRPr="00223AAA">
        <w:t>tudy PB006-01-03 the immunogenicity profile of PB006 was essentially the same as both of the reference products. Treatment emergent ADAs occurred in 87% of subjects (87</w:t>
      </w:r>
      <w:r w:rsidR="003F0AF5">
        <w:t xml:space="preserve"> to </w:t>
      </w:r>
      <w:r w:rsidRPr="00223AAA">
        <w:t>92% with the reference products) and neutrali</w:t>
      </w:r>
      <w:r w:rsidR="00912B8F">
        <w:t>s</w:t>
      </w:r>
      <w:r w:rsidRPr="00223AAA">
        <w:t>ing ADAs occurred in 82% of ADA positive subjects (75</w:t>
      </w:r>
      <w:r w:rsidR="00912B8F">
        <w:t xml:space="preserve"> to </w:t>
      </w:r>
      <w:r w:rsidRPr="00223AAA">
        <w:t xml:space="preserve">84% with reference products; </w:t>
      </w:r>
      <w:r w:rsidR="00912B8F">
        <w:t>that is,</w:t>
      </w:r>
      <w:r w:rsidRPr="00223AAA">
        <w:t xml:space="preserve"> most ADAs were found to be neutrali</w:t>
      </w:r>
      <w:r w:rsidR="00912B8F">
        <w:t>s</w:t>
      </w:r>
      <w:r w:rsidRPr="00223AAA">
        <w:t>ing). Titres were also similar across groups. There were no effects on PK (AUC</w:t>
      </w:r>
      <w:r w:rsidR="00912B8F" w:rsidRPr="00912B8F">
        <w:rPr>
          <w:vertAlign w:val="subscript"/>
        </w:rPr>
        <w:t>0-</w:t>
      </w:r>
      <w:r w:rsidRPr="00912B8F">
        <w:rPr>
          <w:vertAlign w:val="subscript"/>
        </w:rPr>
        <w:t xml:space="preserve">inf </w:t>
      </w:r>
      <w:r w:rsidRPr="00223AAA">
        <w:t>and C</w:t>
      </w:r>
      <w:r w:rsidRPr="00912B8F">
        <w:rPr>
          <w:vertAlign w:val="subscript"/>
        </w:rPr>
        <w:t>max</w:t>
      </w:r>
      <w:r w:rsidRPr="00223AAA">
        <w:t>) and PD biomarkers.</w:t>
      </w:r>
    </w:p>
    <w:p w14:paraId="66B291D5" w14:textId="684EC197" w:rsidR="00142886" w:rsidRPr="00223AAA" w:rsidRDefault="00142886" w:rsidP="00223AAA">
      <w:bookmarkStart w:id="60" w:name="_Hlk202301606"/>
      <w:bookmarkEnd w:id="59"/>
      <w:r w:rsidRPr="00223AAA">
        <w:t xml:space="preserve">In </w:t>
      </w:r>
      <w:r w:rsidR="00912B8F">
        <w:t xml:space="preserve">Study </w:t>
      </w:r>
      <w:r w:rsidRPr="00223AAA">
        <w:t>PB-006-03-01 after 24 weeks, 79% of subjects with PB006 and 74% with EU-T</w:t>
      </w:r>
      <w:r w:rsidR="0064409C">
        <w:t>ysabri</w:t>
      </w:r>
      <w:r w:rsidRPr="00223AAA">
        <w:t xml:space="preserve"> developed treatment emergent ADAs (</w:t>
      </w:r>
      <w:r w:rsidRPr="00223AAA">
        <w:fldChar w:fldCharType="begin"/>
      </w:r>
      <w:r w:rsidRPr="00223AAA">
        <w:instrText xml:space="preserve"> REF _Ref169534024 \h </w:instrText>
      </w:r>
      <w:r w:rsidR="00223AAA">
        <w:instrText xml:space="preserve"> \* MERGEFORMAT </w:instrText>
      </w:r>
      <w:r w:rsidRPr="00223AAA">
        <w:fldChar w:fldCharType="separate"/>
      </w:r>
      <w:r w:rsidR="007956BC">
        <w:t>Table 8</w:t>
      </w:r>
      <w:r w:rsidRPr="00223AAA">
        <w:fldChar w:fldCharType="end"/>
      </w:r>
      <w:r w:rsidRPr="00223AAA">
        <w:t>). Most of the antibodies were classified as persistent and were at similar percentages in each treatment group. Geometric mean maximal ADA titre was 223.6 with PB006 and 150.7 with EU-T</w:t>
      </w:r>
      <w:r w:rsidR="001E5209">
        <w:t>ysabri</w:t>
      </w:r>
      <w:r w:rsidRPr="00223AAA">
        <w:t xml:space="preserve">. In general ADA incidence was similar with PB006 and the reference, with somewhat higher geometric mean titres. There were fewer ADA positive subjects by </w:t>
      </w:r>
      <w:r w:rsidR="001E5209">
        <w:t>W</w:t>
      </w:r>
      <w:r w:rsidRPr="00223AAA">
        <w:t>eek 48</w:t>
      </w:r>
      <w:r w:rsidR="00415ACE">
        <w:t xml:space="preserve"> in both the </w:t>
      </w:r>
      <w:r w:rsidR="00C9784F">
        <w:t xml:space="preserve">PB006 and </w:t>
      </w:r>
      <w:r w:rsidR="00CD69DD">
        <w:t>EU-Tysabri groups</w:t>
      </w:r>
      <w:r w:rsidRPr="00223AAA">
        <w:t>.</w:t>
      </w:r>
    </w:p>
    <w:bookmarkEnd w:id="60"/>
    <w:p w14:paraId="6B9189D1" w14:textId="744E2C8E" w:rsidR="00142886" w:rsidRPr="00223AAA" w:rsidRDefault="00142886" w:rsidP="00223AAA">
      <w:r w:rsidRPr="00223AAA">
        <w:t>Most of the ADAs detected were neutrali</w:t>
      </w:r>
      <w:r w:rsidR="001E5209">
        <w:t>s</w:t>
      </w:r>
      <w:r w:rsidRPr="00223AAA">
        <w:t>ing (approximately 87% of ADA positive subjects) and were spread similarly across the treatment groups.</w:t>
      </w:r>
    </w:p>
    <w:p w14:paraId="49611747" w14:textId="6356D8A2" w:rsidR="00142886" w:rsidRPr="00223AAA" w:rsidRDefault="00142886" w:rsidP="00223AAA">
      <w:r w:rsidRPr="00223AAA">
        <w:t xml:space="preserve">In terms of differential effects on natalizumab exposure at </w:t>
      </w:r>
      <w:r w:rsidR="00677A54">
        <w:t>W</w:t>
      </w:r>
      <w:r w:rsidRPr="00223AAA">
        <w:t>eek 24, ADA positive subjects treated with PB006 had a slightly higher geometric mean trough concentration than those treated with EU-T</w:t>
      </w:r>
      <w:r w:rsidR="00677A54">
        <w:t>ysabri</w:t>
      </w:r>
      <w:r w:rsidRPr="00223AAA">
        <w:t xml:space="preserve"> (11375.8</w:t>
      </w:r>
      <w:r w:rsidR="00677A54">
        <w:t> </w:t>
      </w:r>
      <w:r w:rsidRPr="00223AAA">
        <w:t>ng/mL v</w:t>
      </w:r>
      <w:r w:rsidR="00677A54">
        <w:t>ers</w:t>
      </w:r>
      <w:r w:rsidR="006F67CF">
        <w:t>u</w:t>
      </w:r>
      <w:r w:rsidR="00677A54">
        <w:t>s</w:t>
      </w:r>
      <w:r w:rsidRPr="00223AAA">
        <w:t xml:space="preserve"> 10405.1</w:t>
      </w:r>
      <w:r w:rsidR="00677A54">
        <w:t> </w:t>
      </w:r>
      <w:r w:rsidRPr="00223AAA">
        <w:t>ng/mL, respectively). This was more pronounced amongst neutrali</w:t>
      </w:r>
      <w:r w:rsidR="00677A54">
        <w:t>s</w:t>
      </w:r>
      <w:r w:rsidRPr="00223AAA">
        <w:t>ing ADA positive subjects, where concentrations were 8350.6</w:t>
      </w:r>
      <w:r w:rsidR="00677A54">
        <w:t> </w:t>
      </w:r>
      <w:r w:rsidRPr="00223AAA">
        <w:t>ng/mL with PB006 and 6957.4</w:t>
      </w:r>
      <w:r w:rsidR="00677A54">
        <w:t> </w:t>
      </w:r>
      <w:r w:rsidRPr="00223AAA">
        <w:t>ng/mL with EU-T</w:t>
      </w:r>
      <w:r w:rsidR="00677A54">
        <w:t>ysabri</w:t>
      </w:r>
      <w:r w:rsidRPr="00223AAA">
        <w:t>. Whilst exposure was significantly lower in ADA positive subjects, the difference appeared similar with PB006 and EU</w:t>
      </w:r>
      <w:r w:rsidR="00C57094">
        <w:noBreakHyphen/>
      </w:r>
      <w:r w:rsidRPr="00223AAA">
        <w:t>T</w:t>
      </w:r>
      <w:r w:rsidR="00C57094">
        <w:t>ysabri</w:t>
      </w:r>
      <w:r w:rsidRPr="00223AAA">
        <w:t xml:space="preserve"> (trough concentrations in ADA positive subjects were 30</w:t>
      </w:r>
      <w:r w:rsidR="00C57094">
        <w:t xml:space="preserve"> to </w:t>
      </w:r>
      <w:r w:rsidRPr="00223AAA">
        <w:t>31% those of ADA negative subjects).</w:t>
      </w:r>
    </w:p>
    <w:p w14:paraId="2CC6DE7A" w14:textId="319C9C33" w:rsidR="00142886" w:rsidRPr="00223AAA" w:rsidRDefault="00142886" w:rsidP="00223AAA">
      <w:r w:rsidRPr="00223AAA">
        <w:t>No treatment-related difference in the impacts of ADA or neutrali</w:t>
      </w:r>
      <w:r w:rsidR="00C57094">
        <w:t>s</w:t>
      </w:r>
      <w:r w:rsidRPr="00223AAA">
        <w:t>ing status were detected.</w:t>
      </w:r>
    </w:p>
    <w:p w14:paraId="6451C66F" w14:textId="2595CA2B" w:rsidR="00142886" w:rsidRDefault="00142886" w:rsidP="001D31BD">
      <w:pPr>
        <w:pStyle w:val="TableTitle"/>
      </w:pPr>
      <w:bookmarkStart w:id="61" w:name="_Ref169534024"/>
      <w:r>
        <w:lastRenderedPageBreak/>
        <w:t xml:space="preserve">Table </w:t>
      </w:r>
      <w:r w:rsidR="0064409C">
        <w:fldChar w:fldCharType="begin"/>
      </w:r>
      <w:r w:rsidR="0064409C">
        <w:instrText xml:space="preserve"> SEQ Table \* ARABIC </w:instrText>
      </w:r>
      <w:r w:rsidR="0064409C">
        <w:fldChar w:fldCharType="separate"/>
      </w:r>
      <w:r w:rsidR="007956BC">
        <w:rPr>
          <w:noProof/>
        </w:rPr>
        <w:t>8</w:t>
      </w:r>
      <w:r w:rsidR="0064409C">
        <w:rPr>
          <w:noProof/>
        </w:rPr>
        <w:fldChar w:fldCharType="end"/>
      </w:r>
      <w:bookmarkEnd w:id="61"/>
      <w:r w:rsidR="00467C41">
        <w:rPr>
          <w:noProof/>
        </w:rPr>
        <w:t>:</w:t>
      </w:r>
      <w:r>
        <w:t xml:space="preserve"> </w:t>
      </w:r>
      <w:r w:rsidR="00467C41">
        <w:t xml:space="preserve">Study 03-01 antidrug antibodies </w:t>
      </w:r>
      <w:r>
        <w:t>related parameters with PB006 and EU-T</w:t>
      </w:r>
      <w:r w:rsidR="00467C41">
        <w:t>ysabri</w:t>
      </w:r>
      <w:r>
        <w:t xml:space="preserve"> </w:t>
      </w:r>
    </w:p>
    <w:p w14:paraId="035C6ED2" w14:textId="5D47F940" w:rsidR="00B0434A" w:rsidRPr="00B0434A" w:rsidRDefault="00F868F4" w:rsidP="00B0434A">
      <w:r>
        <w:rPr>
          <w:noProof/>
        </w:rPr>
        <w:drawing>
          <wp:inline distT="0" distB="0" distL="0" distR="0" wp14:anchorId="403DB389" wp14:editId="3F5D8A4E">
            <wp:extent cx="5305425" cy="4602480"/>
            <wp:effectExtent l="0" t="0" r="9525" b="7620"/>
            <wp:docPr id="795310497" name="Picture 1" descr=" Study 03-01 antidrug antibodies related parameters with PB006 and EU-Tysab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10497" name="Picture 1" descr=" Study 03-01 antidrug antibodies related parameters with PB006 and EU-Tysabri "/>
                    <pic:cNvPicPr>
                      <a:picLocks noChangeAspect="1" noChangeArrowheads="1"/>
                    </pic:cNvPicPr>
                  </pic:nvPicPr>
                  <pic:blipFill rotWithShape="1">
                    <a:blip r:embed="rId35">
                      <a:extLst>
                        <a:ext uri="{28A0092B-C50C-407E-A947-70E740481C1C}">
                          <a14:useLocalDpi xmlns:a14="http://schemas.microsoft.com/office/drawing/2010/main" val="0"/>
                        </a:ext>
                      </a:extLst>
                    </a:blip>
                    <a:srcRect l="2327" t="1828" r="5097"/>
                    <a:stretch/>
                  </pic:blipFill>
                  <pic:spPr bwMode="auto">
                    <a:xfrm>
                      <a:off x="0" y="0"/>
                      <a:ext cx="5305425" cy="4602480"/>
                    </a:xfrm>
                    <a:prstGeom prst="rect">
                      <a:avLst/>
                    </a:prstGeom>
                    <a:noFill/>
                    <a:ln>
                      <a:noFill/>
                    </a:ln>
                    <a:extLst>
                      <a:ext uri="{53640926-AAD7-44D8-BBD7-CCE9431645EC}">
                        <a14:shadowObscured xmlns:a14="http://schemas.microsoft.com/office/drawing/2010/main"/>
                      </a:ext>
                    </a:extLst>
                  </pic:spPr>
                </pic:pic>
              </a:graphicData>
            </a:graphic>
          </wp:inline>
        </w:drawing>
      </w:r>
      <w:bookmarkStart w:id="62" w:name="_Toc314842514"/>
      <w:bookmarkStart w:id="63" w:name="_Toc103679298"/>
    </w:p>
    <w:p w14:paraId="1F0D9C2C" w14:textId="7FE4B0B8" w:rsidR="00B0434A" w:rsidRPr="00B0434A" w:rsidRDefault="00C22214" w:rsidP="00B0434A">
      <w:pPr>
        <w:pStyle w:val="Heading3"/>
        <w:rPr>
          <w:lang w:eastAsia="en-AU"/>
        </w:rPr>
      </w:pPr>
      <w:bookmarkStart w:id="64" w:name="_Toc205908893"/>
      <w:r>
        <w:rPr>
          <w:lang w:eastAsia="en-AU"/>
        </w:rPr>
        <w:t>Risk management plan</w:t>
      </w:r>
      <w:bookmarkEnd w:id="62"/>
      <w:bookmarkEnd w:id="63"/>
      <w:bookmarkEnd w:id="64"/>
    </w:p>
    <w:p w14:paraId="49A57E73" w14:textId="719EBE01" w:rsidR="00220EFA" w:rsidRPr="00220EFA" w:rsidRDefault="00220EFA" w:rsidP="00220EFA">
      <w:bookmarkStart w:id="65" w:name="_Toc247691531"/>
      <w:bookmarkStart w:id="66" w:name="_Toc314842515"/>
      <w:r w:rsidRPr="00220EFA">
        <w:t xml:space="preserve">The sponsor has </w:t>
      </w:r>
      <w:r w:rsidRPr="00894373">
        <w:t>submitted EU-risk management plan (RMP) version 1.2 (dated 9 May 2023; data lock point (DLP) 21 October 2021) and Australia-</w:t>
      </w:r>
      <w:r w:rsidR="00506AFA" w:rsidRPr="00894373">
        <w:t>S</w:t>
      </w:r>
      <w:r w:rsidRPr="00894373">
        <w:t xml:space="preserve">pecific </w:t>
      </w:r>
      <w:r w:rsidR="00506AFA" w:rsidRPr="00894373">
        <w:t>A</w:t>
      </w:r>
      <w:r w:rsidRPr="00894373">
        <w:t xml:space="preserve">nnex (ASA) version 1.0 (dated 21 September 2023) in support of this application. </w:t>
      </w:r>
      <w:r w:rsidR="006F0ADF" w:rsidRPr="00894373">
        <w:t>T</w:t>
      </w:r>
      <w:r w:rsidRPr="00894373">
        <w:t>he sponsor has submitted ASA version 1.1 (dated 2 May 2024) in association with previously submitted EU RMP version</w:t>
      </w:r>
      <w:r w:rsidRPr="00220EFA">
        <w:t xml:space="preserve"> 1.2 (dated 9</w:t>
      </w:r>
      <w:r w:rsidR="006F0ADF">
        <w:t> </w:t>
      </w:r>
      <w:r w:rsidRPr="00220EFA">
        <w:t>May</w:t>
      </w:r>
      <w:r w:rsidR="006F0ADF">
        <w:t> </w:t>
      </w:r>
      <w:r w:rsidRPr="00220EFA">
        <w:t>2023; DLP 21 October 2021).</w:t>
      </w:r>
    </w:p>
    <w:p w14:paraId="39F3CD1D" w14:textId="1110740C"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7956BC" w:rsidRPr="007956BC">
        <w:rPr>
          <w:szCs w:val="22"/>
        </w:rPr>
        <w:t xml:space="preserve">Table </w:t>
      </w:r>
      <w:r w:rsidR="007956BC" w:rsidRPr="007956BC">
        <w:rPr>
          <w:noProof/>
          <w:szCs w:val="22"/>
        </w:rPr>
        <w:t>9</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36E44BE2" w:rsidR="006A277A" w:rsidRDefault="00C22214" w:rsidP="00C22214">
      <w:pPr>
        <w:pStyle w:val="TableTitle"/>
      </w:pPr>
      <w:bookmarkStart w:id="67" w:name="_Ref97629131"/>
      <w:r>
        <w:t xml:space="preserve">Table </w:t>
      </w:r>
      <w:r w:rsidR="006F0ADF">
        <w:fldChar w:fldCharType="begin"/>
      </w:r>
      <w:r w:rsidR="006F0ADF">
        <w:instrText xml:space="preserve"> SEQ Table \* ARABIC </w:instrText>
      </w:r>
      <w:r w:rsidR="006F0ADF">
        <w:fldChar w:fldCharType="separate"/>
      </w:r>
      <w:r w:rsidR="007956BC">
        <w:rPr>
          <w:noProof/>
        </w:rPr>
        <w:t>9</w:t>
      </w:r>
      <w:r w:rsidR="006F0ADF">
        <w:rPr>
          <w:noProof/>
        </w:rPr>
        <w:fldChar w:fldCharType="end"/>
      </w:r>
      <w:bookmarkEnd w:id="67"/>
      <w:r>
        <w:t>: Summary of safety concerns</w:t>
      </w:r>
    </w:p>
    <w:tbl>
      <w:tblPr>
        <w:tblStyle w:val="TableTGAblue2023"/>
        <w:tblW w:w="9469" w:type="dxa"/>
        <w:tblLayout w:type="fixed"/>
        <w:tblLook w:val="04A0" w:firstRow="1" w:lastRow="0" w:firstColumn="1" w:lastColumn="0" w:noHBand="0" w:noVBand="1"/>
      </w:tblPr>
      <w:tblGrid>
        <w:gridCol w:w="1555"/>
        <w:gridCol w:w="3402"/>
        <w:gridCol w:w="992"/>
        <w:gridCol w:w="1276"/>
        <w:gridCol w:w="992"/>
        <w:gridCol w:w="1252"/>
      </w:tblGrid>
      <w:tr w:rsidR="00426FAA" w:rsidRPr="00F129A9" w14:paraId="4AC19221" w14:textId="77777777" w:rsidTr="00426FAA">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957" w:type="dxa"/>
            <w:gridSpan w:val="2"/>
            <w:vMerge w:val="restart"/>
          </w:tcPr>
          <w:p w14:paraId="67277B55" w14:textId="77777777" w:rsidR="00426FAA" w:rsidRPr="00281968" w:rsidRDefault="00426FAA">
            <w:pPr>
              <w:pStyle w:val="Tabletext0"/>
              <w:rPr>
                <w:b w:val="0"/>
                <w:kern w:val="0"/>
                <w:sz w:val="20"/>
                <w:szCs w:val="20"/>
              </w:rPr>
            </w:pPr>
            <w:r w:rsidRPr="00281968">
              <w:rPr>
                <w:kern w:val="0"/>
                <w:sz w:val="20"/>
                <w:szCs w:val="20"/>
              </w:rPr>
              <w:t>Summary of safety concerns</w:t>
            </w:r>
          </w:p>
        </w:tc>
        <w:tc>
          <w:tcPr>
            <w:tcW w:w="2268" w:type="dxa"/>
            <w:gridSpan w:val="2"/>
          </w:tcPr>
          <w:p w14:paraId="70B35BE5" w14:textId="77777777" w:rsidR="00426FAA" w:rsidRPr="00F129A9" w:rsidRDefault="00426FAA">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F129A9">
              <w:rPr>
                <w:kern w:val="0"/>
                <w:sz w:val="18"/>
              </w:rPr>
              <w:t>Pharmacovigilance</w:t>
            </w:r>
          </w:p>
        </w:tc>
        <w:tc>
          <w:tcPr>
            <w:tcW w:w="2244" w:type="dxa"/>
            <w:gridSpan w:val="2"/>
          </w:tcPr>
          <w:p w14:paraId="2BD94F3D" w14:textId="77777777" w:rsidR="00426FAA" w:rsidRPr="00F129A9" w:rsidRDefault="00426FAA">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F129A9">
              <w:rPr>
                <w:kern w:val="0"/>
                <w:sz w:val="18"/>
              </w:rPr>
              <w:t>Risk Minimisation</w:t>
            </w:r>
          </w:p>
        </w:tc>
      </w:tr>
      <w:tr w:rsidR="00426FAA" w:rsidRPr="00F129A9" w14:paraId="3B7461D0" w14:textId="77777777" w:rsidTr="00281968">
        <w:trPr>
          <w:trHeight w:val="150"/>
        </w:trPr>
        <w:tc>
          <w:tcPr>
            <w:cnfStyle w:val="001000000000" w:firstRow="0" w:lastRow="0" w:firstColumn="1" w:lastColumn="0" w:oddVBand="0" w:evenVBand="0" w:oddHBand="0" w:evenHBand="0" w:firstRowFirstColumn="0" w:firstRowLastColumn="0" w:lastRowFirstColumn="0" w:lastRowLastColumn="0"/>
            <w:tcW w:w="4957" w:type="dxa"/>
            <w:gridSpan w:val="2"/>
            <w:vMerge/>
          </w:tcPr>
          <w:p w14:paraId="7F0FD3F3" w14:textId="77777777" w:rsidR="00426FAA" w:rsidRPr="00F129A9" w:rsidRDefault="00426FAA">
            <w:pPr>
              <w:pStyle w:val="Tabletext0"/>
              <w:rPr>
                <w:b/>
                <w:kern w:val="0"/>
              </w:rPr>
            </w:pPr>
          </w:p>
        </w:tc>
        <w:tc>
          <w:tcPr>
            <w:tcW w:w="992" w:type="dxa"/>
            <w:shd w:val="clear" w:color="auto" w:fill="DEEAF6" w:themeFill="accent5" w:themeFillTint="33"/>
          </w:tcPr>
          <w:p w14:paraId="1D431AEC" w14:textId="77777777" w:rsidR="00426FAA" w:rsidRPr="00281968" w:rsidRDefault="00426FAA" w:rsidP="00281968">
            <w:pPr>
              <w:pStyle w:val="Tabletext0"/>
              <w:keepNext/>
              <w:cnfStyle w:val="000000000000" w:firstRow="0" w:lastRow="0" w:firstColumn="0" w:lastColumn="0" w:oddVBand="0" w:evenVBand="0" w:oddHBand="0" w:evenHBand="0" w:firstRowFirstColumn="0" w:firstRowLastColumn="0" w:lastRowFirstColumn="0" w:lastRowLastColumn="0"/>
              <w:rPr>
                <w:b/>
                <w:color w:val="263287"/>
                <w:kern w:val="0"/>
                <w:sz w:val="18"/>
              </w:rPr>
            </w:pPr>
            <w:r w:rsidRPr="00281968">
              <w:rPr>
                <w:b/>
                <w:color w:val="263287"/>
                <w:kern w:val="0"/>
                <w:sz w:val="18"/>
              </w:rPr>
              <w:t>Routine</w:t>
            </w:r>
          </w:p>
        </w:tc>
        <w:tc>
          <w:tcPr>
            <w:tcW w:w="1276" w:type="dxa"/>
            <w:shd w:val="clear" w:color="auto" w:fill="DEEAF6" w:themeFill="accent5" w:themeFillTint="33"/>
          </w:tcPr>
          <w:p w14:paraId="326C9D23" w14:textId="77777777" w:rsidR="00426FAA" w:rsidRPr="00281968" w:rsidRDefault="00426FAA" w:rsidP="00281968">
            <w:pPr>
              <w:pStyle w:val="Tabletext0"/>
              <w:keepNext/>
              <w:cnfStyle w:val="000000000000" w:firstRow="0" w:lastRow="0" w:firstColumn="0" w:lastColumn="0" w:oddVBand="0" w:evenVBand="0" w:oddHBand="0" w:evenHBand="0" w:firstRowFirstColumn="0" w:firstRowLastColumn="0" w:lastRowFirstColumn="0" w:lastRowLastColumn="0"/>
              <w:rPr>
                <w:b/>
                <w:color w:val="263287"/>
                <w:kern w:val="0"/>
                <w:sz w:val="18"/>
              </w:rPr>
            </w:pPr>
            <w:r w:rsidRPr="00281968">
              <w:rPr>
                <w:b/>
                <w:color w:val="263287"/>
                <w:kern w:val="0"/>
                <w:sz w:val="18"/>
              </w:rPr>
              <w:t>Additional</w:t>
            </w:r>
          </w:p>
        </w:tc>
        <w:tc>
          <w:tcPr>
            <w:tcW w:w="992" w:type="dxa"/>
            <w:shd w:val="clear" w:color="auto" w:fill="DEEAF6" w:themeFill="accent5" w:themeFillTint="33"/>
          </w:tcPr>
          <w:p w14:paraId="0BD5138C" w14:textId="77777777" w:rsidR="00426FAA" w:rsidRPr="00281968" w:rsidRDefault="00426FAA" w:rsidP="00281968">
            <w:pPr>
              <w:pStyle w:val="Tabletext0"/>
              <w:keepNext/>
              <w:cnfStyle w:val="000000000000" w:firstRow="0" w:lastRow="0" w:firstColumn="0" w:lastColumn="0" w:oddVBand="0" w:evenVBand="0" w:oddHBand="0" w:evenHBand="0" w:firstRowFirstColumn="0" w:firstRowLastColumn="0" w:lastRowFirstColumn="0" w:lastRowLastColumn="0"/>
              <w:rPr>
                <w:b/>
                <w:color w:val="263287"/>
                <w:kern w:val="0"/>
                <w:sz w:val="18"/>
              </w:rPr>
            </w:pPr>
            <w:r w:rsidRPr="00281968">
              <w:rPr>
                <w:b/>
                <w:color w:val="263287"/>
                <w:kern w:val="0"/>
                <w:sz w:val="18"/>
              </w:rPr>
              <w:t>Routine</w:t>
            </w:r>
          </w:p>
        </w:tc>
        <w:tc>
          <w:tcPr>
            <w:tcW w:w="1252" w:type="dxa"/>
            <w:shd w:val="clear" w:color="auto" w:fill="DEEAF6" w:themeFill="accent5" w:themeFillTint="33"/>
          </w:tcPr>
          <w:p w14:paraId="085B8E72" w14:textId="77777777" w:rsidR="00426FAA" w:rsidRPr="00281968" w:rsidRDefault="00426FAA" w:rsidP="00281968">
            <w:pPr>
              <w:pStyle w:val="Tabletext0"/>
              <w:keepNext/>
              <w:cnfStyle w:val="000000000000" w:firstRow="0" w:lastRow="0" w:firstColumn="0" w:lastColumn="0" w:oddVBand="0" w:evenVBand="0" w:oddHBand="0" w:evenHBand="0" w:firstRowFirstColumn="0" w:firstRowLastColumn="0" w:lastRowFirstColumn="0" w:lastRowLastColumn="0"/>
              <w:rPr>
                <w:b/>
                <w:color w:val="263287"/>
                <w:kern w:val="0"/>
                <w:sz w:val="18"/>
              </w:rPr>
            </w:pPr>
            <w:r w:rsidRPr="00281968">
              <w:rPr>
                <w:b/>
                <w:color w:val="263287"/>
                <w:kern w:val="0"/>
                <w:sz w:val="18"/>
              </w:rPr>
              <w:t>Additional</w:t>
            </w:r>
          </w:p>
        </w:tc>
      </w:tr>
      <w:tr w:rsidR="00426FAA" w:rsidRPr="00F129A9" w14:paraId="0C73FA51" w14:textId="77777777" w:rsidTr="008B0927">
        <w:trPr>
          <w:trHeight w:val="137"/>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7AD93D74" w14:textId="77777777" w:rsidR="00426FAA" w:rsidRPr="00281968" w:rsidRDefault="00426FAA">
            <w:pPr>
              <w:pStyle w:val="Tabletext0"/>
              <w:rPr>
                <w:b/>
                <w:kern w:val="0"/>
                <w:sz w:val="20"/>
                <w:szCs w:val="20"/>
              </w:rPr>
            </w:pPr>
            <w:r w:rsidRPr="00281968">
              <w:rPr>
                <w:b/>
                <w:kern w:val="0"/>
                <w:sz w:val="20"/>
                <w:szCs w:val="20"/>
              </w:rPr>
              <w:t>Important identified risks</w:t>
            </w:r>
          </w:p>
        </w:tc>
        <w:tc>
          <w:tcPr>
            <w:tcW w:w="3402" w:type="dxa"/>
          </w:tcPr>
          <w:p w14:paraId="7B17839F" w14:textId="77777777" w:rsidR="00426FAA" w:rsidRPr="00281968" w:rsidRDefault="00426FAA">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kern w:val="0"/>
                <w:sz w:val="20"/>
                <w:szCs w:val="20"/>
              </w:rPr>
              <w:t>Progressive multifocal leukoencephalopathy (PML)</w:t>
            </w:r>
          </w:p>
        </w:tc>
        <w:tc>
          <w:tcPr>
            <w:tcW w:w="992" w:type="dxa"/>
          </w:tcPr>
          <w:p w14:paraId="50216DF6"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rFonts w:ascii="Wingdings" w:eastAsia="Wingdings" w:hAnsi="Wingdings" w:cs="Wingdings"/>
                <w:kern w:val="0"/>
                <w:sz w:val="20"/>
                <w:szCs w:val="20"/>
              </w:rPr>
              <w:sym w:font="Wingdings" w:char="F0FC"/>
            </w:r>
            <w:r w:rsidRPr="00281968">
              <w:rPr>
                <w:rFonts w:eastAsia="Cambria"/>
                <w:kern w:val="0"/>
                <w:sz w:val="20"/>
                <w:szCs w:val="20"/>
              </w:rPr>
              <w:t>*</w:t>
            </w:r>
          </w:p>
        </w:tc>
        <w:tc>
          <w:tcPr>
            <w:tcW w:w="1276" w:type="dxa"/>
          </w:tcPr>
          <w:p w14:paraId="2D84524E"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kern w:val="0"/>
                <w:sz w:val="20"/>
                <w:szCs w:val="20"/>
              </w:rPr>
              <w:t>–</w:t>
            </w:r>
          </w:p>
        </w:tc>
        <w:tc>
          <w:tcPr>
            <w:tcW w:w="992" w:type="dxa"/>
          </w:tcPr>
          <w:p w14:paraId="48564F4E"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rFonts w:ascii="Wingdings" w:eastAsia="Wingdings" w:hAnsi="Wingdings" w:cs="Wingdings"/>
                <w:kern w:val="0"/>
                <w:sz w:val="20"/>
                <w:szCs w:val="20"/>
              </w:rPr>
              <w:sym w:font="Wingdings" w:char="F0FC"/>
            </w:r>
          </w:p>
        </w:tc>
        <w:tc>
          <w:tcPr>
            <w:tcW w:w="1252" w:type="dxa"/>
          </w:tcPr>
          <w:p w14:paraId="322D3C6D"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rFonts w:ascii="Wingdings" w:eastAsia="Wingdings" w:hAnsi="Wingdings" w:cs="Wingdings"/>
                <w:kern w:val="0"/>
                <w:sz w:val="20"/>
                <w:szCs w:val="20"/>
              </w:rPr>
              <w:sym w:font="Wingdings" w:char="F0FC"/>
            </w:r>
            <w:r w:rsidRPr="00281968">
              <w:rPr>
                <w:rFonts w:asciiTheme="majorHAnsi" w:hAnsiTheme="majorHAnsi"/>
                <w:kern w:val="0"/>
                <w:sz w:val="20"/>
                <w:szCs w:val="20"/>
              </w:rPr>
              <w:t xml:space="preserve"> †‡§ǁ</w:t>
            </w:r>
          </w:p>
        </w:tc>
      </w:tr>
      <w:tr w:rsidR="00426FAA" w:rsidRPr="00F129A9" w14:paraId="6C203BBF" w14:textId="77777777" w:rsidTr="008B0927">
        <w:trPr>
          <w:trHeight w:val="94"/>
        </w:trPr>
        <w:tc>
          <w:tcPr>
            <w:cnfStyle w:val="001000000000" w:firstRow="0" w:lastRow="0" w:firstColumn="1" w:lastColumn="0" w:oddVBand="0" w:evenVBand="0" w:oddHBand="0" w:evenHBand="0" w:firstRowFirstColumn="0" w:firstRowLastColumn="0" w:lastRowFirstColumn="0" w:lastRowLastColumn="0"/>
            <w:tcW w:w="1555" w:type="dxa"/>
            <w:vMerge/>
          </w:tcPr>
          <w:p w14:paraId="5856AB4C" w14:textId="77777777" w:rsidR="00426FAA" w:rsidRPr="00281968" w:rsidRDefault="00426FAA">
            <w:pPr>
              <w:pStyle w:val="Tabletext0"/>
              <w:rPr>
                <w:b/>
                <w:kern w:val="0"/>
                <w:sz w:val="20"/>
                <w:szCs w:val="20"/>
              </w:rPr>
            </w:pPr>
          </w:p>
        </w:tc>
        <w:tc>
          <w:tcPr>
            <w:tcW w:w="3402" w:type="dxa"/>
          </w:tcPr>
          <w:p w14:paraId="0FF67374" w14:textId="77777777" w:rsidR="00426FAA" w:rsidRPr="00281968" w:rsidRDefault="00426FAA">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kern w:val="0"/>
                <w:sz w:val="20"/>
                <w:szCs w:val="20"/>
              </w:rPr>
              <w:t>Serious herpes infections</w:t>
            </w:r>
          </w:p>
        </w:tc>
        <w:tc>
          <w:tcPr>
            <w:tcW w:w="992" w:type="dxa"/>
          </w:tcPr>
          <w:p w14:paraId="7CB7F1BE"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rFonts w:ascii="Wingdings" w:eastAsia="Wingdings" w:hAnsi="Wingdings" w:cs="Wingdings"/>
                <w:kern w:val="0"/>
                <w:sz w:val="20"/>
                <w:szCs w:val="20"/>
              </w:rPr>
              <w:sym w:font="Wingdings" w:char="F0FC"/>
            </w:r>
            <w:r w:rsidRPr="00281968">
              <w:rPr>
                <w:rFonts w:eastAsia="Cambria"/>
                <w:kern w:val="0"/>
                <w:sz w:val="20"/>
                <w:szCs w:val="20"/>
              </w:rPr>
              <w:t>*</w:t>
            </w:r>
          </w:p>
        </w:tc>
        <w:tc>
          <w:tcPr>
            <w:tcW w:w="1276" w:type="dxa"/>
          </w:tcPr>
          <w:p w14:paraId="37C2069A"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kern w:val="0"/>
                <w:sz w:val="20"/>
                <w:szCs w:val="20"/>
              </w:rPr>
              <w:t>–</w:t>
            </w:r>
          </w:p>
        </w:tc>
        <w:tc>
          <w:tcPr>
            <w:tcW w:w="992" w:type="dxa"/>
          </w:tcPr>
          <w:p w14:paraId="29841019"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rFonts w:ascii="Wingdings" w:eastAsia="Wingdings" w:hAnsi="Wingdings" w:cs="Wingdings"/>
                <w:kern w:val="0"/>
                <w:sz w:val="20"/>
                <w:szCs w:val="20"/>
              </w:rPr>
              <w:sym w:font="Wingdings" w:char="F0FC"/>
            </w:r>
          </w:p>
        </w:tc>
        <w:tc>
          <w:tcPr>
            <w:tcW w:w="1252" w:type="dxa"/>
          </w:tcPr>
          <w:p w14:paraId="4A6A53DE"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rFonts w:ascii="Wingdings" w:eastAsia="Wingdings" w:hAnsi="Wingdings" w:cs="Wingdings"/>
                <w:kern w:val="0"/>
                <w:sz w:val="20"/>
                <w:szCs w:val="20"/>
              </w:rPr>
              <w:sym w:font="Wingdings" w:char="F0FC"/>
            </w:r>
            <w:r w:rsidRPr="00281968">
              <w:rPr>
                <w:rFonts w:asciiTheme="majorHAnsi" w:hAnsiTheme="majorHAnsi"/>
                <w:kern w:val="0"/>
                <w:sz w:val="20"/>
                <w:szCs w:val="20"/>
              </w:rPr>
              <w:t xml:space="preserve"> †</w:t>
            </w:r>
          </w:p>
        </w:tc>
      </w:tr>
      <w:tr w:rsidR="00426FAA" w:rsidRPr="00F129A9" w14:paraId="5391A3A8" w14:textId="77777777" w:rsidTr="008B0927">
        <w:trPr>
          <w:trHeight w:val="159"/>
        </w:trPr>
        <w:tc>
          <w:tcPr>
            <w:cnfStyle w:val="001000000000" w:firstRow="0" w:lastRow="0" w:firstColumn="1" w:lastColumn="0" w:oddVBand="0" w:evenVBand="0" w:oddHBand="0" w:evenHBand="0" w:firstRowFirstColumn="0" w:firstRowLastColumn="0" w:lastRowFirstColumn="0" w:lastRowLastColumn="0"/>
            <w:tcW w:w="1555" w:type="dxa"/>
          </w:tcPr>
          <w:p w14:paraId="2BA0EEE5" w14:textId="77777777" w:rsidR="00426FAA" w:rsidRPr="00281968" w:rsidRDefault="00426FAA">
            <w:pPr>
              <w:pStyle w:val="Tabletext0"/>
              <w:rPr>
                <w:b/>
                <w:kern w:val="0"/>
                <w:sz w:val="20"/>
                <w:szCs w:val="20"/>
              </w:rPr>
            </w:pPr>
            <w:r w:rsidRPr="00281968">
              <w:rPr>
                <w:b/>
                <w:kern w:val="0"/>
                <w:sz w:val="20"/>
                <w:szCs w:val="20"/>
              </w:rPr>
              <w:t>Important potential risks</w:t>
            </w:r>
          </w:p>
        </w:tc>
        <w:tc>
          <w:tcPr>
            <w:tcW w:w="3402" w:type="dxa"/>
          </w:tcPr>
          <w:p w14:paraId="57F99F3B" w14:textId="77777777" w:rsidR="00426FAA" w:rsidRPr="00281968" w:rsidRDefault="00426FAA">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kern w:val="0"/>
                <w:sz w:val="20"/>
                <w:szCs w:val="20"/>
              </w:rPr>
              <w:t>Malignancies</w:t>
            </w:r>
          </w:p>
        </w:tc>
        <w:tc>
          <w:tcPr>
            <w:tcW w:w="992" w:type="dxa"/>
          </w:tcPr>
          <w:p w14:paraId="1E5E84AF"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rFonts w:ascii="Wingdings" w:eastAsia="Wingdings" w:hAnsi="Wingdings" w:cs="Wingdings"/>
                <w:kern w:val="0"/>
                <w:sz w:val="20"/>
                <w:szCs w:val="20"/>
              </w:rPr>
              <w:sym w:font="Wingdings" w:char="F0FC"/>
            </w:r>
            <w:r w:rsidRPr="00281968">
              <w:rPr>
                <w:rFonts w:eastAsia="Cambria"/>
                <w:kern w:val="0"/>
                <w:sz w:val="20"/>
                <w:szCs w:val="20"/>
              </w:rPr>
              <w:t>*</w:t>
            </w:r>
          </w:p>
        </w:tc>
        <w:tc>
          <w:tcPr>
            <w:tcW w:w="1276" w:type="dxa"/>
          </w:tcPr>
          <w:p w14:paraId="2B14F6C8"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kern w:val="0"/>
                <w:sz w:val="20"/>
                <w:szCs w:val="20"/>
              </w:rPr>
              <w:t>–</w:t>
            </w:r>
          </w:p>
        </w:tc>
        <w:tc>
          <w:tcPr>
            <w:tcW w:w="992" w:type="dxa"/>
          </w:tcPr>
          <w:p w14:paraId="5E4C1BE3"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rFonts w:ascii="Wingdings" w:eastAsia="Wingdings" w:hAnsi="Wingdings" w:cs="Wingdings"/>
                <w:kern w:val="0"/>
                <w:sz w:val="20"/>
                <w:szCs w:val="20"/>
              </w:rPr>
              <w:sym w:font="Wingdings" w:char="F0FC"/>
            </w:r>
          </w:p>
        </w:tc>
        <w:tc>
          <w:tcPr>
            <w:tcW w:w="1252" w:type="dxa"/>
          </w:tcPr>
          <w:p w14:paraId="28D6CD60"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kern w:val="0"/>
                <w:sz w:val="20"/>
                <w:szCs w:val="20"/>
              </w:rPr>
              <w:t>–</w:t>
            </w:r>
          </w:p>
        </w:tc>
      </w:tr>
      <w:tr w:rsidR="00426FAA" w:rsidRPr="00F129A9" w14:paraId="2CB8A3D2" w14:textId="77777777" w:rsidTr="008B0927">
        <w:trPr>
          <w:trHeight w:val="178"/>
        </w:trPr>
        <w:tc>
          <w:tcPr>
            <w:cnfStyle w:val="001000000000" w:firstRow="0" w:lastRow="0" w:firstColumn="1" w:lastColumn="0" w:oddVBand="0" w:evenVBand="0" w:oddHBand="0" w:evenHBand="0" w:firstRowFirstColumn="0" w:firstRowLastColumn="0" w:lastRowFirstColumn="0" w:lastRowLastColumn="0"/>
            <w:tcW w:w="1555" w:type="dxa"/>
          </w:tcPr>
          <w:p w14:paraId="15403E53" w14:textId="77777777" w:rsidR="00426FAA" w:rsidRPr="00281968" w:rsidRDefault="00426FAA">
            <w:pPr>
              <w:pStyle w:val="Tabletext0"/>
              <w:rPr>
                <w:b/>
                <w:kern w:val="0"/>
                <w:sz w:val="20"/>
                <w:szCs w:val="20"/>
              </w:rPr>
            </w:pPr>
            <w:r w:rsidRPr="00281968">
              <w:rPr>
                <w:b/>
                <w:kern w:val="0"/>
                <w:sz w:val="20"/>
                <w:szCs w:val="20"/>
              </w:rPr>
              <w:lastRenderedPageBreak/>
              <w:t>Missing information</w:t>
            </w:r>
          </w:p>
        </w:tc>
        <w:tc>
          <w:tcPr>
            <w:tcW w:w="3402" w:type="dxa"/>
          </w:tcPr>
          <w:p w14:paraId="5CA3A4E8" w14:textId="77777777" w:rsidR="00426FAA" w:rsidRPr="00281968" w:rsidRDefault="00426FAA">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kern w:val="0"/>
                <w:sz w:val="20"/>
                <w:szCs w:val="20"/>
              </w:rPr>
              <w:t>PML risk following switch from disease modifying therapies with immunosuppressant effect</w:t>
            </w:r>
          </w:p>
        </w:tc>
        <w:tc>
          <w:tcPr>
            <w:tcW w:w="992" w:type="dxa"/>
          </w:tcPr>
          <w:p w14:paraId="0CFA3F50"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rFonts w:ascii="Wingdings" w:eastAsia="Wingdings" w:hAnsi="Wingdings" w:cs="Wingdings"/>
                <w:kern w:val="0"/>
                <w:sz w:val="20"/>
                <w:szCs w:val="20"/>
              </w:rPr>
              <w:sym w:font="Wingdings" w:char="F0FC"/>
            </w:r>
          </w:p>
        </w:tc>
        <w:tc>
          <w:tcPr>
            <w:tcW w:w="1276" w:type="dxa"/>
          </w:tcPr>
          <w:p w14:paraId="775B8A2B"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kern w:val="0"/>
                <w:sz w:val="20"/>
                <w:szCs w:val="20"/>
              </w:rPr>
              <w:t>–</w:t>
            </w:r>
          </w:p>
        </w:tc>
        <w:tc>
          <w:tcPr>
            <w:tcW w:w="992" w:type="dxa"/>
          </w:tcPr>
          <w:p w14:paraId="0DD096F9"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rFonts w:ascii="Wingdings" w:eastAsia="Wingdings" w:hAnsi="Wingdings" w:cs="Wingdings"/>
                <w:kern w:val="0"/>
                <w:sz w:val="20"/>
                <w:szCs w:val="20"/>
              </w:rPr>
              <w:sym w:font="Wingdings" w:char="F0FC"/>
            </w:r>
          </w:p>
        </w:tc>
        <w:tc>
          <w:tcPr>
            <w:tcW w:w="1252" w:type="dxa"/>
          </w:tcPr>
          <w:p w14:paraId="163C91F8" w14:textId="77777777" w:rsidR="00426FAA" w:rsidRPr="00281968" w:rsidRDefault="00426FAA">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81968">
              <w:rPr>
                <w:kern w:val="0"/>
                <w:sz w:val="20"/>
                <w:szCs w:val="20"/>
              </w:rPr>
              <w:t>–</w:t>
            </w:r>
          </w:p>
        </w:tc>
      </w:tr>
    </w:tbl>
    <w:p w14:paraId="42718921" w14:textId="77777777" w:rsidR="00426FAA" w:rsidRPr="00F129A9" w:rsidRDefault="00426FAA" w:rsidP="00281968">
      <w:pPr>
        <w:pStyle w:val="TableDescription"/>
      </w:pPr>
      <w:r w:rsidRPr="00F129A9">
        <w:t>* Targeted follow-up forms</w:t>
      </w:r>
    </w:p>
    <w:p w14:paraId="18A688AA" w14:textId="77777777" w:rsidR="00426FAA" w:rsidRPr="00F129A9" w:rsidRDefault="00426FAA" w:rsidP="00281968">
      <w:pPr>
        <w:pStyle w:val="TableDescription"/>
      </w:pPr>
      <w:r w:rsidRPr="00F129A9">
        <w:t>† Physician Information and Management Guideline including reference to an MRI learning platform</w:t>
      </w:r>
    </w:p>
    <w:p w14:paraId="47D594C9" w14:textId="77777777" w:rsidR="00426FAA" w:rsidRPr="00F129A9" w:rsidRDefault="00426FAA" w:rsidP="00281968">
      <w:pPr>
        <w:pStyle w:val="TableDescription"/>
      </w:pPr>
      <w:r w:rsidRPr="00F129A9">
        <w:t>‡ Patient Alert Card</w:t>
      </w:r>
    </w:p>
    <w:p w14:paraId="67B9B13E" w14:textId="77777777" w:rsidR="00426FAA" w:rsidRPr="00F129A9" w:rsidRDefault="00426FAA" w:rsidP="00281968">
      <w:pPr>
        <w:pStyle w:val="TableDescription"/>
      </w:pPr>
      <w:r w:rsidRPr="00F129A9">
        <w:t>§ Pre-Administration Questionnaire</w:t>
      </w:r>
    </w:p>
    <w:p w14:paraId="59D189A3" w14:textId="77777777" w:rsidR="00426FAA" w:rsidRPr="00F129A9" w:rsidRDefault="00426FAA" w:rsidP="00281968">
      <w:pPr>
        <w:pStyle w:val="TableDescription"/>
      </w:pPr>
      <w:r w:rsidRPr="00F129A9">
        <w:t>ǁ MRI learning material</w:t>
      </w:r>
    </w:p>
    <w:p w14:paraId="21BEA9B4" w14:textId="3D6A6666" w:rsidR="00C52EFD" w:rsidRPr="000A7520" w:rsidRDefault="00C52EFD" w:rsidP="000A7520">
      <w:r w:rsidRPr="000A7520">
        <w:t>The summary of safety concerns in the EU RMP align with the safety concerns proposed in the ASA. It is noted that the EU RMP for the reference product</w:t>
      </w:r>
      <w:r w:rsidR="005F1234">
        <w:t xml:space="preserve"> </w:t>
      </w:r>
      <w:r w:rsidRPr="000A7520">
        <w:t>Tysabri, includes missing information ‘immunogenicity potential of subcutaneously administered Tysabri (anti</w:t>
      </w:r>
      <w:r w:rsidR="000A7520" w:rsidRPr="000A7520">
        <w:noBreakHyphen/>
      </w:r>
      <w:r w:rsidRPr="000A7520">
        <w:t>natalizumab antibody formation resulting in a potential adverse clinical consequence of serious hypersensitivity reactions, including anaphylaxis)’. This risk is not relevant to the proposed product as no subcutaneous dosage form is proposed for Tyruko. The summary of safety concerns is acceptable from an RMP perspective.</w:t>
      </w:r>
    </w:p>
    <w:p w14:paraId="2A812161" w14:textId="527D2F6E" w:rsidR="00C52EFD" w:rsidRPr="000A7520" w:rsidRDefault="00C52EFD" w:rsidP="000A7520">
      <w:r w:rsidRPr="000A7520">
        <w:t>The sponsor proposes only routine PV activities for Tyruko including targeted follow up questionnaires for PML, serious herpes infections</w:t>
      </w:r>
      <w:r w:rsidR="000A7520">
        <w:t xml:space="preserve"> </w:t>
      </w:r>
      <w:r w:rsidRPr="000A7520">
        <w:t xml:space="preserve">and malignancies. There are no additional pharmacovigilance activities for the safety concerns of Tyruko. This is acceptable from an RMP </w:t>
      </w:r>
      <w:r w:rsidR="009E6C09" w:rsidRPr="000A7520">
        <w:t>perspective;</w:t>
      </w:r>
      <w:r w:rsidRPr="000A7520">
        <w:t xml:space="preserve"> </w:t>
      </w:r>
      <w:proofErr w:type="gramStart"/>
      <w:r w:rsidRPr="000A7520">
        <w:t>however</w:t>
      </w:r>
      <w:proofErr w:type="gramEnd"/>
      <w:r w:rsidRPr="000A7520">
        <w:t xml:space="preserve"> the sponsor should be aware of any changes to the reference product’s RMP (Tysabri) </w:t>
      </w:r>
      <w:proofErr w:type="gramStart"/>
      <w:r w:rsidRPr="000A7520">
        <w:t>as a result of</w:t>
      </w:r>
      <w:proofErr w:type="gramEnd"/>
      <w:r w:rsidRPr="000A7520">
        <w:t xml:space="preserve"> the ongoing observational studies. Consideration should be made if the changes to the reference product are also relevant for Tyruko. If so and the changes are considered significant, a revised ASA should be provided to the TGA for review and approval via the post approval RMP update process.</w:t>
      </w:r>
    </w:p>
    <w:p w14:paraId="36EA488D" w14:textId="57D33DBC" w:rsidR="00C52EFD" w:rsidRPr="009E6C09" w:rsidRDefault="0006753B" w:rsidP="009E6C09">
      <w:r>
        <w:t>T</w:t>
      </w:r>
      <w:r w:rsidRPr="0006753B">
        <w:t>he proposed RMP in the ASA aligns with the EU</w:t>
      </w:r>
      <w:r w:rsidR="00A67366">
        <w:t xml:space="preserve"> </w:t>
      </w:r>
      <w:r w:rsidRPr="0006753B">
        <w:t>RMP for the reference product</w:t>
      </w:r>
      <w:r w:rsidR="00C52EFD" w:rsidRPr="009E6C09">
        <w:t>. Mock ups of the Physician Information and Management Guideline have been provided and require further review. The sponsor should also provide the Patient Alert Card and Pre-Administration Questionnaire to the TGA for review and approval prior to product launch. It is noted that the PML Risk Estimates Algorithm is not included, and prescribers are required to refer to the guideline for this information. This is not the case with the reference product’s PI where the figure is included. This approach taken by the biosimilar is raised to the Delegate to consider.</w:t>
      </w:r>
    </w:p>
    <w:p w14:paraId="74A4F87F" w14:textId="77777777" w:rsidR="00C22214" w:rsidRDefault="00C22214" w:rsidP="00C22214">
      <w:pPr>
        <w:pStyle w:val="Heading3"/>
      </w:pPr>
      <w:bookmarkStart w:id="68" w:name="_Toc103679299"/>
      <w:bookmarkStart w:id="69" w:name="_Toc205908894"/>
      <w:r>
        <w:t>Risk-benefit analysis</w:t>
      </w:r>
      <w:bookmarkEnd w:id="65"/>
      <w:bookmarkEnd w:id="66"/>
      <w:bookmarkEnd w:id="68"/>
      <w:bookmarkEnd w:id="69"/>
    </w:p>
    <w:p w14:paraId="77DE2655" w14:textId="77777777" w:rsidR="00C22214" w:rsidRDefault="00C22214" w:rsidP="00C22214">
      <w:pPr>
        <w:pStyle w:val="Heading4"/>
      </w:pPr>
      <w:bookmarkStart w:id="70" w:name="_Toc98931932"/>
      <w:bookmarkStart w:id="71" w:name="_Toc205908895"/>
      <w:r>
        <w:t>Delegate’s considerations</w:t>
      </w:r>
      <w:bookmarkEnd w:id="70"/>
      <w:bookmarkEnd w:id="71"/>
    </w:p>
    <w:p w14:paraId="29C61A0A" w14:textId="77777777" w:rsidR="00DB442C" w:rsidRPr="006502CD" w:rsidRDefault="00DB442C" w:rsidP="004D5C55">
      <w:pPr>
        <w:pStyle w:val="Heading5"/>
      </w:pPr>
      <w:r w:rsidRPr="006502CD">
        <w:t>Proposed indication</w:t>
      </w:r>
    </w:p>
    <w:p w14:paraId="229D2FF0" w14:textId="295F0ADD" w:rsidR="00135F41" w:rsidRDefault="00DB442C" w:rsidP="00DB442C">
      <w:r>
        <w:t>Given that T</w:t>
      </w:r>
      <w:r w:rsidR="00E540EF">
        <w:t>yruko</w:t>
      </w:r>
      <w:r>
        <w:t xml:space="preserve"> is a biosimilar to AU-T</w:t>
      </w:r>
      <w:r w:rsidR="00E540EF">
        <w:t>ysabri</w:t>
      </w:r>
      <w:r>
        <w:t xml:space="preserve"> it needs to have the same indication, </w:t>
      </w:r>
      <w:r w:rsidR="00E540EF">
        <w:t>that is</w:t>
      </w:r>
      <w:r w:rsidR="00135F41">
        <w:t>, ‘</w:t>
      </w:r>
      <w:r w:rsidRPr="00135F41">
        <w:t>T</w:t>
      </w:r>
      <w:r w:rsidR="00135F41" w:rsidRPr="00135F41">
        <w:t>ysabri</w:t>
      </w:r>
      <w:r w:rsidRPr="00135F41">
        <w:t xml:space="preserve"> is indicated as monotherapy for the treatment of patients with relapsing remitting multiple sclerosis (MS) to delay the progression of physical disability and to reduce the frequency of relapse</w:t>
      </w:r>
      <w:r w:rsidR="00C76A08">
        <w:t>’</w:t>
      </w:r>
      <w:r w:rsidRPr="00135F41">
        <w:t>.</w:t>
      </w:r>
    </w:p>
    <w:p w14:paraId="08706E43" w14:textId="253AD874" w:rsidR="00DB442C" w:rsidRDefault="00DB442C" w:rsidP="00DB442C">
      <w:r>
        <w:t>The wording and details are different to the EU indication on which the COR-B submission was based. The Delegate considers it nevertheless an appropriate indication in Australia on the basis that it has the same wording as AU-T</w:t>
      </w:r>
      <w:r w:rsidR="00C76A08">
        <w:t>ysabri</w:t>
      </w:r>
      <w:r>
        <w:t xml:space="preserve">, the disease is the same (relapsing remitting multiple sclerosis) and it reflects the patient population studied in the pivotal </w:t>
      </w:r>
      <w:r w:rsidR="00C76A08">
        <w:t>P</w:t>
      </w:r>
      <w:r>
        <w:t xml:space="preserve">hase </w:t>
      </w:r>
      <w:r w:rsidR="00C76A08">
        <w:t>III</w:t>
      </w:r>
      <w:r>
        <w:t xml:space="preserve"> trial. The details of disease severity are absent in the Australian </w:t>
      </w:r>
      <w:proofErr w:type="gramStart"/>
      <w:r>
        <w:t>indication</w:t>
      </w:r>
      <w:proofErr w:type="gramEnd"/>
      <w:r>
        <w:t xml:space="preserve"> and this reflects how it was previously </w:t>
      </w:r>
      <w:r>
        <w:lastRenderedPageBreak/>
        <w:t xml:space="preserve">evaluated and registered. Despite the lack of restriction in the Australian indication, natalizumab would almost certainly only be used in a more severe and refractory patient group, given the risk of </w:t>
      </w:r>
      <w:r w:rsidR="00980895" w:rsidRPr="00980895">
        <w:t xml:space="preserve">progressive multifocal leukoencephalopathy </w:t>
      </w:r>
      <w:r w:rsidR="00980895">
        <w:t>(</w:t>
      </w:r>
      <w:r>
        <w:t>PML</w:t>
      </w:r>
      <w:r w:rsidR="00980895">
        <w:t>)</w:t>
      </w:r>
      <w:r>
        <w:t>.</w:t>
      </w:r>
    </w:p>
    <w:p w14:paraId="061BA90D" w14:textId="77777777" w:rsidR="00DB442C" w:rsidRPr="006502CD" w:rsidRDefault="00DB442C" w:rsidP="00982FBF">
      <w:pPr>
        <w:pStyle w:val="Heading5"/>
      </w:pPr>
      <w:r w:rsidRPr="006502CD">
        <w:t>Efficacy</w:t>
      </w:r>
    </w:p>
    <w:p w14:paraId="08DD2084" w14:textId="65C824AD" w:rsidR="007853C6" w:rsidRDefault="00DB442C" w:rsidP="00DB442C">
      <w:r>
        <w:t>The efficacy of T</w:t>
      </w:r>
      <w:r w:rsidR="00980895">
        <w:t>yruko</w:t>
      </w:r>
      <w:r>
        <w:t xml:space="preserve"> is established on the basis that the pivotal clinical trial met its primary outcome measure and that its confidence interval was within the pre-specified boundaries. </w:t>
      </w:r>
      <w:bookmarkStart w:id="72" w:name="_Hlk202127088"/>
      <w:r w:rsidR="00B724E0">
        <w:t>Results from Tyruko</w:t>
      </w:r>
      <w:r w:rsidR="00AA60C6">
        <w:t xml:space="preserve"> and the reference product treated arms were similar in terms of secondary endpoints. </w:t>
      </w:r>
      <w:r w:rsidR="00875A2E">
        <w:t>The annualised relapse rates were numerically higher with</w:t>
      </w:r>
      <w:r w:rsidR="00676D7C">
        <w:t xml:space="preserve"> Tyruko than EU-Tysabri. However, the absolute annualised relapse rates were low for both</w:t>
      </w:r>
      <w:r w:rsidR="00520170">
        <w:t xml:space="preserve">. </w:t>
      </w:r>
      <w:r w:rsidR="0006210A">
        <w:t xml:space="preserve">Some </w:t>
      </w:r>
      <w:r w:rsidR="00520170">
        <w:t>MRI based secondary endpoints</w:t>
      </w:r>
      <w:r w:rsidR="0006210A">
        <w:t xml:space="preserve">, such as number of new active lesions over </w:t>
      </w:r>
      <w:r w:rsidR="00031C51">
        <w:t>48 weeks, demonstrated a numerically lower number of lesions with Tyruko.</w:t>
      </w:r>
    </w:p>
    <w:bookmarkEnd w:id="72"/>
    <w:p w14:paraId="11C33953" w14:textId="77777777" w:rsidR="00DB442C" w:rsidRPr="006502CD" w:rsidRDefault="00DB442C" w:rsidP="00982FBF">
      <w:pPr>
        <w:pStyle w:val="Heading5"/>
      </w:pPr>
      <w:r w:rsidRPr="006502CD">
        <w:t>Safety</w:t>
      </w:r>
    </w:p>
    <w:p w14:paraId="46A76DCC" w14:textId="7619D7DB" w:rsidR="00F37D60" w:rsidRDefault="00DB442C" w:rsidP="00DB442C">
      <w:r>
        <w:t xml:space="preserve">The size of the dataset allowed adequate assessment of the safety profile, including 131 patients treated for up to a year. </w:t>
      </w:r>
      <w:r w:rsidR="00476833">
        <w:t>T</w:t>
      </w:r>
      <w:r>
        <w:t xml:space="preserve">he immunogenicity profiles were very similar between the biosimilar and reference products, </w:t>
      </w:r>
      <w:r w:rsidR="00603BD3">
        <w:t>impact of ADA on serum drug trough levels were similar between arms.</w:t>
      </w:r>
      <w:r w:rsidR="00C07EEF">
        <w:t xml:space="preserve"> No treatment-related difference in the impacts of ADA or neutralising status were detected.</w:t>
      </w:r>
    </w:p>
    <w:p w14:paraId="32AF2031" w14:textId="3FA88D09" w:rsidR="00DB442C" w:rsidRPr="001E53D3" w:rsidRDefault="00DB442C" w:rsidP="00982FBF">
      <w:pPr>
        <w:pStyle w:val="Heading5"/>
      </w:pPr>
      <w:r w:rsidRPr="001E53D3">
        <w:t xml:space="preserve">Proposed changes to the assessment of </w:t>
      </w:r>
      <w:r w:rsidR="008645DC" w:rsidRPr="001E53D3">
        <w:t>progressive multifocal leukoencephalopathy</w:t>
      </w:r>
      <w:r w:rsidRPr="001E53D3">
        <w:t xml:space="preserve"> risk in the P</w:t>
      </w:r>
      <w:r w:rsidR="008645DC" w:rsidRPr="001E53D3">
        <w:t>roduct Information</w:t>
      </w:r>
    </w:p>
    <w:p w14:paraId="1E0E685A" w14:textId="75E56920" w:rsidR="00DB442C" w:rsidRPr="00DB442C" w:rsidRDefault="00DB442C" w:rsidP="00DB442C">
      <w:r w:rsidRPr="001E53D3">
        <w:t>The Delegate’s position is that the T</w:t>
      </w:r>
      <w:r w:rsidR="006B29D1" w:rsidRPr="001E53D3">
        <w:t>yruko Product Information (</w:t>
      </w:r>
      <w:r w:rsidRPr="001E53D3">
        <w:t>PI</w:t>
      </w:r>
      <w:r w:rsidR="006B29D1" w:rsidRPr="001E53D3">
        <w:t>)</w:t>
      </w:r>
      <w:r w:rsidRPr="001E53D3">
        <w:t xml:space="preserve"> should essentially reflect the innovator T</w:t>
      </w:r>
      <w:r w:rsidR="008645DC" w:rsidRPr="001E53D3">
        <w:t>ysabri</w:t>
      </w:r>
      <w:r w:rsidRPr="001E53D3">
        <w:t>’s PI, except for the addition of relevant data generated for the biosimilar (</w:t>
      </w:r>
      <w:r w:rsidR="008645DC" w:rsidRPr="001E53D3">
        <w:t xml:space="preserve">that is, </w:t>
      </w:r>
      <w:r w:rsidRPr="001E53D3">
        <w:t>PK, efficacy, safety, immunogenicity). This is appropriate for a biosimilar and reflect</w:t>
      </w:r>
      <w:r w:rsidR="002941C8" w:rsidRPr="001E53D3">
        <w:t>s</w:t>
      </w:r>
      <w:r w:rsidRPr="001E53D3">
        <w:t xml:space="preserve"> the practice of the TGA. The PI content around PML risk guidance, index values and assay descriptions (STRATIFY JCV) should be reinstated. The Delegate would consider statements around how the index value </w:t>
      </w:r>
      <w:r w:rsidR="00670BBC">
        <w:t xml:space="preserve">threshold </w:t>
      </w:r>
      <w:r w:rsidRPr="001E53D3">
        <w:t xml:space="preserve">for risk assessment may be somewhat different for different assays and the prescriber should ensure the appropriate assay and </w:t>
      </w:r>
      <w:r w:rsidR="00670BBC">
        <w:t>threshold</w:t>
      </w:r>
      <w:r w:rsidRPr="001E53D3">
        <w:t xml:space="preserve"> are used for decision making</w:t>
      </w:r>
      <w:r w:rsidR="002941C8" w:rsidRPr="001E53D3">
        <w:t>.</w:t>
      </w:r>
    </w:p>
    <w:p w14:paraId="3916F296" w14:textId="77777777" w:rsidR="00C22214" w:rsidRDefault="00C22214" w:rsidP="00C22214">
      <w:pPr>
        <w:pStyle w:val="Heading4"/>
      </w:pPr>
      <w:bookmarkStart w:id="73" w:name="_Toc98931933"/>
      <w:bookmarkStart w:id="74" w:name="_Toc205908896"/>
      <w:r w:rsidRPr="00D23139">
        <w:t>Proposed action</w:t>
      </w:r>
      <w:bookmarkEnd w:id="73"/>
      <w:bookmarkEnd w:id="74"/>
    </w:p>
    <w:p w14:paraId="6C14FDB4" w14:textId="50B8307A" w:rsidR="00E03A37" w:rsidRPr="00554417" w:rsidRDefault="00E03A37" w:rsidP="00E03A37">
      <w:pPr>
        <w:pStyle w:val="Instructions"/>
        <w:rPr>
          <w:i w:val="0"/>
          <w:iCs/>
          <w:color w:val="auto"/>
        </w:rPr>
      </w:pPr>
      <w:r>
        <w:rPr>
          <w:i w:val="0"/>
          <w:iCs/>
          <w:color w:val="auto"/>
        </w:rPr>
        <w:t>Following agreement on the content of the Product Information, the Delegate intends to approve T</w:t>
      </w:r>
      <w:r w:rsidR="00B053BE">
        <w:rPr>
          <w:i w:val="0"/>
          <w:iCs/>
          <w:color w:val="auto"/>
        </w:rPr>
        <w:t>yruko</w:t>
      </w:r>
      <w:r>
        <w:rPr>
          <w:i w:val="0"/>
          <w:iCs/>
          <w:color w:val="auto"/>
        </w:rPr>
        <w:t>.</w:t>
      </w:r>
    </w:p>
    <w:p w14:paraId="318CFABC" w14:textId="77777777" w:rsidR="00C22214" w:rsidRPr="00F73346" w:rsidRDefault="00C22214" w:rsidP="00C22214">
      <w:pPr>
        <w:pStyle w:val="Heading4"/>
      </w:pPr>
      <w:bookmarkStart w:id="75" w:name="_Toc98931936"/>
      <w:bookmarkStart w:id="76" w:name="_Toc205908897"/>
      <w:bookmarkStart w:id="77" w:name="_Toc247691532"/>
      <w:bookmarkStart w:id="78" w:name="_Toc314842516"/>
      <w:r w:rsidRPr="00F73346">
        <w:t>Advisory Committee considerations</w:t>
      </w:r>
      <w:bookmarkEnd w:id="75"/>
      <w:bookmarkEnd w:id="76"/>
    </w:p>
    <w:p w14:paraId="087BB9CB" w14:textId="077667C2" w:rsidR="00C22214" w:rsidRPr="00BD5DBD" w:rsidRDefault="00C22214" w:rsidP="00C22214">
      <w:pPr>
        <w:rPr>
          <w:bCs/>
          <w:szCs w:val="22"/>
        </w:rPr>
      </w:pPr>
      <w:r w:rsidRPr="00BD5DBD">
        <w:rPr>
          <w:bCs/>
          <w:szCs w:val="22"/>
        </w:rPr>
        <w:t xml:space="preserve">The </w:t>
      </w:r>
      <w:hyperlink r:id="rId36"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Default="00C22214" w:rsidP="00C22214">
      <w:pPr>
        <w:pStyle w:val="Heading5"/>
      </w:pPr>
      <w:r w:rsidRPr="00F73346">
        <w:t>Specific advice to the Delegate</w:t>
      </w:r>
    </w:p>
    <w:p w14:paraId="49056805" w14:textId="77777777" w:rsidR="008007B5" w:rsidRPr="008007B5" w:rsidRDefault="008007B5" w:rsidP="008007B5">
      <w:r w:rsidRPr="008007B5">
        <w:t>The ACM advised the following in response to the Delegate’s specific request for advice:</w:t>
      </w:r>
    </w:p>
    <w:p w14:paraId="6F7454C4" w14:textId="77777777" w:rsidR="008007B5" w:rsidRPr="00FA479F" w:rsidRDefault="008007B5" w:rsidP="008007B5">
      <w:pPr>
        <w:pStyle w:val="Numberbullet0"/>
        <w:rPr>
          <w:b/>
          <w:bCs/>
          <w:i/>
          <w:iCs/>
        </w:rPr>
      </w:pPr>
      <w:r w:rsidRPr="00FA479F">
        <w:rPr>
          <w:b/>
          <w:bCs/>
          <w:i/>
          <w:iCs/>
        </w:rPr>
        <w:t>What is ACM’s view of the Delegate’s position of retaining the JCV risk assessment/management information as it is found in the innovator PI?</w:t>
      </w:r>
    </w:p>
    <w:p w14:paraId="5CE4D1F2" w14:textId="77777777" w:rsidR="008007B5" w:rsidRPr="00FA479F" w:rsidRDefault="008007B5" w:rsidP="00FA479F">
      <w:r w:rsidRPr="00FA479F">
        <w:t xml:space="preserve">The ACM was of the view that retaining the JCV risk assessment information as it was in the innovator PI was likely to cause confusion, given there are differences between the STRATIFY and </w:t>
      </w:r>
      <w:proofErr w:type="spellStart"/>
      <w:r w:rsidRPr="00FA479F">
        <w:t>ImmunoWELL</w:t>
      </w:r>
      <w:proofErr w:type="spellEnd"/>
      <w:r w:rsidRPr="00FA479F">
        <w:t xml:space="preserve"> assays. The ACM suggested a generic risk stratification table be included in the Product Information, with no reference to proprietary platforms, but noted that there are </w:t>
      </w:r>
      <w:r w:rsidRPr="00FA479F">
        <w:lastRenderedPageBreak/>
        <w:t xml:space="preserve">slightly different values between assays that might complicate this. The ACM concluded that the inclusion of the specific assay values in Physician’s information guidelines would be acceptable, but that references to that should be made in the PI. The ACM were satisfied that the STRATIFY and </w:t>
      </w:r>
      <w:proofErr w:type="spellStart"/>
      <w:r w:rsidRPr="00FA479F">
        <w:t>ImmunoWELL</w:t>
      </w:r>
      <w:proofErr w:type="spellEnd"/>
      <w:r w:rsidRPr="00FA479F">
        <w:t xml:space="preserve"> assays were substantially comparable.</w:t>
      </w:r>
    </w:p>
    <w:p w14:paraId="51571CBC" w14:textId="5E61CCD4" w:rsidR="008007B5" w:rsidRPr="00FA479F" w:rsidRDefault="008007B5" w:rsidP="00FA479F">
      <w:r w:rsidRPr="00FA479F">
        <w:t>The ACM noted that in the Australian setting, T</w:t>
      </w:r>
      <w:r w:rsidR="005C50A5">
        <w:t>yruko</w:t>
      </w:r>
      <w:r w:rsidRPr="00FA479F">
        <w:t xml:space="preserve"> would primarily be prescribed by specialist neurologists, who would often be sub-specialised in MS treatment and management, but not always, especially in regional settings. The risks of immunomodulatory treatment are well known to these prescribers.</w:t>
      </w:r>
    </w:p>
    <w:p w14:paraId="15F640C0" w14:textId="1D30DAB7" w:rsidR="008007B5" w:rsidRPr="00FA479F" w:rsidRDefault="008007B5" w:rsidP="00FA479F">
      <w:r w:rsidRPr="00FA479F">
        <w:t>The ACM advised that the clinical management flowchart found in the PI should be consistent between T</w:t>
      </w:r>
      <w:r w:rsidR="009B0307">
        <w:t>yruko</w:t>
      </w:r>
      <w:r w:rsidRPr="00FA479F">
        <w:t xml:space="preserve"> and the reference product to minimise confusion. There was concern that if a patient were switched between two different regimens, this could suggest significant differences be taken in the clinical approach, which would be inappropriate given their equivalence.</w:t>
      </w:r>
    </w:p>
    <w:p w14:paraId="231EC12C" w14:textId="77777777" w:rsidR="008007B5" w:rsidRPr="00FA479F" w:rsidRDefault="008007B5" w:rsidP="00FA479F">
      <w:r w:rsidRPr="00FA479F">
        <w:t>The ACM debated whether a requirement for more frequent MRI scans for high-risk patients could increase burden on patients, as well as public hospital imaging departments. However, it was acknowledged that the more frequent imaging recommendation is for high-risk patients only, of whom there are not many in practice. The wording pertaining to imaging surveillance should be consistent between innovator and biosimilar unless there is compelling evidence to justify a difference. The ACM was of the view that the wording in the innovator product’s PI was permissive enough to justify more frequent MRI scans if appropriate, and alternative wording would be unnecessary and potentially confusing.</w:t>
      </w:r>
    </w:p>
    <w:p w14:paraId="6DE56A08" w14:textId="4D41C563" w:rsidR="008007B5" w:rsidRPr="00FD1667" w:rsidRDefault="008007B5" w:rsidP="00FD1667">
      <w:pPr>
        <w:pStyle w:val="Numberbullet0"/>
        <w:rPr>
          <w:b/>
          <w:bCs/>
          <w:i/>
          <w:iCs/>
        </w:rPr>
      </w:pPr>
      <w:r w:rsidRPr="00FD1667">
        <w:rPr>
          <w:b/>
          <w:bCs/>
          <w:i/>
          <w:iCs/>
        </w:rPr>
        <w:t>What is the current landscape for JCV antibody testing for patients using natalizumab (T</w:t>
      </w:r>
      <w:r w:rsidR="00FD1667">
        <w:rPr>
          <w:b/>
          <w:bCs/>
          <w:i/>
          <w:iCs/>
        </w:rPr>
        <w:t>ysabri</w:t>
      </w:r>
      <w:r w:rsidRPr="00FD1667">
        <w:rPr>
          <w:b/>
          <w:bCs/>
          <w:i/>
          <w:iCs/>
        </w:rPr>
        <w:t xml:space="preserve">) in Australia (i.e. what assay is used, where is it done)? </w:t>
      </w:r>
    </w:p>
    <w:p w14:paraId="1521A5D3" w14:textId="53E194E2" w:rsidR="008007B5" w:rsidRPr="00B72911" w:rsidRDefault="008007B5" w:rsidP="00B72911">
      <w:r w:rsidRPr="00B72911">
        <w:t>The ACM advised that patients who are being treated with T</w:t>
      </w:r>
      <w:r w:rsidR="00B72911">
        <w:t>ysabri</w:t>
      </w:r>
      <w:r w:rsidRPr="00B72911">
        <w:t xml:space="preserve"> are assessed for JCV antibodies using the STRATIFY assay, which is performed in Denmark. Results are returned in approximately 4-6 weeks. This service is provided by the innovator sponsor free of charge.</w:t>
      </w:r>
    </w:p>
    <w:p w14:paraId="46E35F4D" w14:textId="6096DBC4" w:rsidR="008007B5" w:rsidRPr="00B72911" w:rsidRDefault="008007B5" w:rsidP="00B72911">
      <w:r w:rsidRPr="00B72911">
        <w:t>The ACM noted that there are no equivalent Australian-based assays available for screening JCV antibodies. Patients who would be prescribed T</w:t>
      </w:r>
      <w:r w:rsidR="00BA6E86">
        <w:t>yruko</w:t>
      </w:r>
      <w:r w:rsidRPr="00B72911">
        <w:t xml:space="preserve"> would be screened using a unique proprietary platform </w:t>
      </w:r>
      <w:proofErr w:type="spellStart"/>
      <w:r w:rsidRPr="00B72911">
        <w:t>ImmunoWELL</w:t>
      </w:r>
      <w:proofErr w:type="spellEnd"/>
      <w:r w:rsidRPr="00B72911">
        <w:t xml:space="preserve">, under development by Sandoz, which has not yet been registered in Australia. The ACM noted that Sandoz states its </w:t>
      </w:r>
      <w:proofErr w:type="spellStart"/>
      <w:r w:rsidRPr="00B72911">
        <w:t>ImmunoWELL</w:t>
      </w:r>
      <w:proofErr w:type="spellEnd"/>
      <w:r w:rsidRPr="00B72911">
        <w:t xml:space="preserve"> assay would also be provided free of charge, with reading to be conducted in Romania, but sought clarification on the inclusion of shipping charges in that scheme, which is a prominent issue due to Australia’s geographic isolation.</w:t>
      </w:r>
    </w:p>
    <w:p w14:paraId="1BCBEA09" w14:textId="6EB41A0F" w:rsidR="008007B5" w:rsidRPr="001D16F9" w:rsidRDefault="008007B5" w:rsidP="001D16F9">
      <w:pPr>
        <w:pStyle w:val="Numberbullet0"/>
        <w:rPr>
          <w:b/>
          <w:bCs/>
          <w:i/>
          <w:iCs/>
        </w:rPr>
      </w:pPr>
      <w:r w:rsidRPr="001D16F9">
        <w:rPr>
          <w:b/>
          <w:bCs/>
          <w:i/>
          <w:iCs/>
        </w:rPr>
        <w:t>Does ACM have comments on the safety/efficacy data for T</w:t>
      </w:r>
      <w:r w:rsidR="001D16F9" w:rsidRPr="001D16F9">
        <w:rPr>
          <w:b/>
          <w:bCs/>
          <w:i/>
          <w:iCs/>
        </w:rPr>
        <w:t>yruko</w:t>
      </w:r>
      <w:r w:rsidRPr="001D16F9">
        <w:rPr>
          <w:b/>
          <w:bCs/>
          <w:i/>
          <w:iCs/>
        </w:rPr>
        <w:t xml:space="preserve"> as presented in the overview? </w:t>
      </w:r>
    </w:p>
    <w:p w14:paraId="78DE25AC" w14:textId="77777777" w:rsidR="008007B5" w:rsidRPr="001D16F9" w:rsidRDefault="008007B5" w:rsidP="001D16F9">
      <w:r w:rsidRPr="001D16F9">
        <w:t>The ACM held the view that the efficacy and safety data were sufficient and would support approval of this application if the outstanding issues with the PI are resolved.</w:t>
      </w:r>
    </w:p>
    <w:p w14:paraId="5291EA2A" w14:textId="77777777" w:rsidR="00C22214" w:rsidRDefault="00C22214" w:rsidP="00C22214">
      <w:pPr>
        <w:pStyle w:val="Heading5"/>
      </w:pPr>
      <w:r w:rsidRPr="00F73346">
        <w:t>Conclusion</w:t>
      </w:r>
    </w:p>
    <w:p w14:paraId="0E588909" w14:textId="77777777" w:rsidR="00C229B8" w:rsidRPr="00C229B8" w:rsidRDefault="00C229B8" w:rsidP="00C229B8">
      <w:r w:rsidRPr="00C229B8">
        <w:t>The ACM considered this product to have an overall positive benefit-risk profile for the indication:</w:t>
      </w:r>
    </w:p>
    <w:p w14:paraId="758DD0FE" w14:textId="2F0AFA9E" w:rsidR="00C229B8" w:rsidRPr="00C229B8" w:rsidRDefault="00C229B8" w:rsidP="00C229B8">
      <w:pPr>
        <w:ind w:left="720"/>
        <w:rPr>
          <w:i/>
          <w:iCs/>
        </w:rPr>
      </w:pPr>
      <w:r w:rsidRPr="00C229B8">
        <w:rPr>
          <w:i/>
          <w:iCs/>
        </w:rPr>
        <w:t>Monotherapy for the treatment of patients with relapsing remitting multiple sclerosis (MS) to delay the progression of physical disability and to reduce the frequency of relapse.</w:t>
      </w:r>
    </w:p>
    <w:p w14:paraId="307F236C" w14:textId="77777777" w:rsidR="00C22214" w:rsidRPr="002E238E" w:rsidRDefault="00C22214" w:rsidP="00C22214">
      <w:pPr>
        <w:pStyle w:val="Heading2"/>
      </w:pPr>
      <w:bookmarkStart w:id="79" w:name="_Toc103679300"/>
      <w:bookmarkStart w:id="80" w:name="_Toc205908898"/>
      <w:r>
        <w:lastRenderedPageBreak/>
        <w:t>Outcome</w:t>
      </w:r>
      <w:bookmarkEnd w:id="77"/>
      <w:bookmarkEnd w:id="78"/>
      <w:bookmarkEnd w:id="79"/>
      <w:bookmarkEnd w:id="80"/>
    </w:p>
    <w:p w14:paraId="4EF22939" w14:textId="6FB23FC7"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F723CB" w:rsidRPr="00F723CB">
        <w:t xml:space="preserve">Tyruko (natalizumab) 300 mg/15 mL, concentrate for injection, </w:t>
      </w:r>
      <w:r w:rsidRPr="0017005C">
        <w:t>indicated for:</w:t>
      </w:r>
    </w:p>
    <w:p w14:paraId="26EAD491" w14:textId="1FDEE710" w:rsidR="00A93DC6" w:rsidRPr="00821DC7" w:rsidRDefault="00821DC7" w:rsidP="00821DC7">
      <w:pPr>
        <w:ind w:left="720"/>
        <w:rPr>
          <w:i/>
          <w:iCs/>
        </w:rPr>
      </w:pPr>
      <w:r w:rsidRPr="00821DC7">
        <w:rPr>
          <w:i/>
          <w:iCs/>
        </w:rPr>
        <w:t>Tyruko is indicated as monotherapy for the treatment of patients with relapsing remitting multiple sclerosis (MS) to delay the progression of physical disability and to reduce the frequency of relapse.</w:t>
      </w:r>
    </w:p>
    <w:p w14:paraId="0D732DA4" w14:textId="77777777" w:rsidR="00854D98" w:rsidRPr="00D23139" w:rsidRDefault="00854D98" w:rsidP="00854D98">
      <w:pPr>
        <w:pStyle w:val="Heading3"/>
      </w:pPr>
      <w:bookmarkStart w:id="81" w:name="_Toc103679301"/>
      <w:bookmarkStart w:id="82" w:name="_Toc205908899"/>
      <w:r w:rsidRPr="00D23139">
        <w:t>Specific conditions of registration applying to these goods</w:t>
      </w:r>
      <w:bookmarkEnd w:id="81"/>
      <w:bookmarkEnd w:id="82"/>
    </w:p>
    <w:p w14:paraId="7C967F1B" w14:textId="74912CBD" w:rsidR="00854D98" w:rsidRPr="00506AFA" w:rsidRDefault="00506AFA" w:rsidP="00506AFA">
      <w:pPr>
        <w:pStyle w:val="ListBullet"/>
      </w:pPr>
      <w:r w:rsidRPr="00506AFA">
        <w:t>The Tyruko EU-Risk Management Plan (RMP) (version 1.2, dated 9 May 2023, data lock point 21 October 2021), with Australia</w:t>
      </w:r>
      <w:r>
        <w:t>-</w:t>
      </w:r>
      <w:r w:rsidRPr="00506AFA">
        <w:t>Specific Annex (version 1.1, dated 2 May 2024), included with submission PM-2023-04610-1-1, and any subsequent revisions, as agreed with the TGA will be implemented in Australia.</w:t>
      </w:r>
    </w:p>
    <w:p w14:paraId="451DC3FC" w14:textId="2D1EC6E2" w:rsidR="00C22214" w:rsidRDefault="00C22214" w:rsidP="00C22214">
      <w:pPr>
        <w:pStyle w:val="Heading2"/>
      </w:pPr>
      <w:bookmarkStart w:id="83" w:name="_Toc103679303"/>
      <w:bookmarkStart w:id="84" w:name="_Toc205908900"/>
      <w:r>
        <w:t>Attachment 1. Product Information</w:t>
      </w:r>
      <w:bookmarkEnd w:id="83"/>
      <w:bookmarkEnd w:id="84"/>
    </w:p>
    <w:p w14:paraId="53357BF3" w14:textId="22D762F5" w:rsidR="00C22214" w:rsidRPr="00A46010" w:rsidRDefault="00675F81" w:rsidP="00C22214">
      <w:pPr>
        <w:rPr>
          <w:szCs w:val="22"/>
        </w:rPr>
        <w:sectPr w:rsidR="00C22214" w:rsidRPr="00A46010" w:rsidSect="007452E8">
          <w:headerReference w:type="default" r:id="rId37"/>
          <w:footerReference w:type="default" r:id="rId38"/>
          <w:pgSz w:w="11906" w:h="16838" w:code="9"/>
          <w:pgMar w:top="1134" w:right="1418" w:bottom="1361" w:left="1418" w:header="573" w:footer="567" w:gutter="0"/>
          <w:cols w:space="708"/>
          <w:docGrid w:linePitch="360"/>
        </w:sectPr>
      </w:pPr>
      <w:r w:rsidRPr="00BD5DBD">
        <w:rPr>
          <w:szCs w:val="22"/>
        </w:rPr>
        <w:t xml:space="preserve">The </w:t>
      </w:r>
      <w:hyperlink r:id="rId39" w:history="1">
        <w:r w:rsidRPr="00BD5DBD">
          <w:rPr>
            <w:rStyle w:val="Hyperlink"/>
            <w:szCs w:val="22"/>
          </w:rPr>
          <w:t>Product Information</w:t>
        </w:r>
      </w:hyperlink>
      <w:r w:rsidRPr="00BD5DBD">
        <w:rPr>
          <w:szCs w:val="22"/>
        </w:rPr>
        <w:t xml:space="preserve"> (</w:t>
      </w:r>
      <w:hyperlink r:id="rId40"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506AFA">
        <w:rPr>
          <w:szCs w:val="22"/>
        </w:rPr>
        <w:t>Tyruko</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41" w:history="1">
        <w:r w:rsidRPr="00BD5DBD">
          <w:rPr>
            <w:rStyle w:val="Hyperlink"/>
            <w:szCs w:val="22"/>
          </w:rPr>
          <w:t>Consumer Medicines Information</w:t>
        </w:r>
      </w:hyperlink>
      <w:r w:rsidRPr="00BD5DBD">
        <w:rPr>
          <w:szCs w:val="22"/>
        </w:rPr>
        <w:t xml:space="preserve"> (CMI), please refer to the TGA </w:t>
      </w:r>
      <w:hyperlink r:id="rId42" w:history="1">
        <w:r w:rsidRPr="00BD5DBD">
          <w:rPr>
            <w:rStyle w:val="Hyperlink"/>
            <w:szCs w:val="22"/>
          </w:rPr>
          <w:t>PI/CMI search facility.</w:t>
        </w:r>
      </w:hyperlink>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4"/>
          <w:bookmarkEnd w:id="5"/>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6401234C" w:rsidR="00F02AEC" w:rsidRDefault="00F02AEC">
            <w:pPr>
              <w:pStyle w:val="Address"/>
              <w:jc w:val="center"/>
              <w:rPr>
                <w:sz w:val="22"/>
                <w:szCs w:val="22"/>
              </w:rPr>
            </w:pPr>
            <w:r w:rsidRPr="00215D48">
              <w:t xml:space="preserve">Email: </w:t>
            </w:r>
            <w:hyperlink r:id="rId43" w:history="1">
              <w:r w:rsidRPr="00215D48">
                <w:rPr>
                  <w:rStyle w:val="Hyperlink"/>
                </w:rPr>
                <w:t>info@tga.gov.au</w:t>
              </w:r>
            </w:hyperlink>
            <w:r w:rsidR="00597358">
              <w:t xml:space="preserve"> </w:t>
            </w:r>
            <w:r w:rsidRPr="00215D48">
              <w:t>Phone: 1800 020 653</w:t>
            </w:r>
            <w:r w:rsidR="00597358">
              <w:t xml:space="preserve"> </w:t>
            </w:r>
            <w:r w:rsidRPr="00215D48">
              <w:t xml:space="preserve">Fax: </w:t>
            </w:r>
            <w:r w:rsidRPr="00BA0DFC">
              <w:t>02 6203 1605</w:t>
            </w:r>
          </w:p>
          <w:p w14:paraId="4533D80F" w14:textId="04A1925C" w:rsidR="00F02AEC" w:rsidRPr="00215D48" w:rsidRDefault="00F02AEC">
            <w:pPr>
              <w:pStyle w:val="Address"/>
              <w:jc w:val="center"/>
              <w:rPr>
                <w:rStyle w:val="Hyperlink"/>
                <w:b/>
                <w:color w:val="auto"/>
                <w:sz w:val="22"/>
              </w:rPr>
            </w:pPr>
            <w:hyperlink r:id="rId44"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5"/>
      <w:footerReference w:type="first" r:id="rId4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EA2E1" w14:textId="77777777" w:rsidR="004E0DC2" w:rsidRDefault="004E0DC2" w:rsidP="00F02AEC">
      <w:pPr>
        <w:spacing w:after="0" w:line="240" w:lineRule="auto"/>
      </w:pPr>
      <w:r>
        <w:separator/>
      </w:r>
    </w:p>
  </w:endnote>
  <w:endnote w:type="continuationSeparator" w:id="0">
    <w:p w14:paraId="05C0FB5B" w14:textId="77777777" w:rsidR="004E0DC2" w:rsidRDefault="004E0DC2"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0C2173">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0C2173">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D237F8">
      <w:trPr>
        <w:trHeight w:val="423"/>
      </w:trPr>
      <w:tc>
        <w:tcPr>
          <w:tcW w:w="7338" w:type="dxa"/>
          <w:tcBorders>
            <w:top w:val="single" w:sz="4" w:space="0" w:color="auto"/>
          </w:tcBorders>
        </w:tcPr>
        <w:p w14:paraId="3C421323" w14:textId="7F00897D" w:rsidR="007452E8" w:rsidRPr="004A3084" w:rsidRDefault="007452E8" w:rsidP="007452E8">
          <w:pPr>
            <w:pStyle w:val="Footer"/>
          </w:pPr>
          <w:proofErr w:type="spellStart"/>
          <w:r w:rsidRPr="00487162">
            <w:t>AusPA</w:t>
          </w:r>
          <w:r>
            <w:t>R</w:t>
          </w:r>
          <w:proofErr w:type="spellEnd"/>
          <w:r>
            <w:t xml:space="preserve"> - </w:t>
          </w:r>
          <w:proofErr w:type="spellStart"/>
          <w:r w:rsidR="000F341A" w:rsidRPr="000F341A">
            <w:t>T</w:t>
          </w:r>
          <w:r w:rsidR="000F341A">
            <w:t>yruko</w:t>
          </w:r>
          <w:proofErr w:type="spellEnd"/>
          <w:r w:rsidR="000F341A" w:rsidRPr="000F341A">
            <w:t xml:space="preserve"> - natalizumab - Sandoz Pty Ltd - </w:t>
          </w:r>
          <w:bookmarkStart w:id="85" w:name="_Hlk204677626"/>
          <w:r w:rsidR="000F341A" w:rsidRPr="000F341A">
            <w:t>PM-2023-04610-1-1</w:t>
          </w:r>
          <w:bookmarkEnd w:id="85"/>
          <w:r>
            <w:br/>
          </w:r>
          <w:r w:rsidR="00265765">
            <w:t>Final</w:t>
          </w:r>
          <w:r w:rsidR="00A46010">
            <w:t xml:space="preserve"> </w:t>
          </w:r>
          <w:r w:rsidR="00265765">
            <w:t>12</w:t>
          </w:r>
          <w:r w:rsidR="00A46010">
            <w:t xml:space="preserve"> </w:t>
          </w:r>
          <w:r w:rsidR="00265765">
            <w:t>August</w:t>
          </w:r>
          <w:r w:rsidR="00A46010">
            <w:t xml:space="preserve"> 2025</w:t>
          </w:r>
        </w:p>
      </w:tc>
      <w:tc>
        <w:tcPr>
          <w:tcW w:w="1734" w:type="dxa"/>
          <w:tcBorders>
            <w:top w:val="single" w:sz="4" w:space="0" w:color="auto"/>
          </w:tcBorders>
        </w:tcPr>
        <w:sdt>
          <w:sdtPr>
            <w:id w:val="11571659"/>
            <w:docPartObj>
              <w:docPartGallery w:val="Page Numbers (Top of Page)"/>
              <w:docPartUnique/>
            </w:docPartObj>
          </w:sdt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BDF84" w14:textId="77777777" w:rsidR="004E0DC2" w:rsidRDefault="004E0DC2" w:rsidP="00F02AEC">
      <w:pPr>
        <w:spacing w:after="0" w:line="240" w:lineRule="auto"/>
      </w:pPr>
      <w:r>
        <w:separator/>
      </w:r>
    </w:p>
  </w:footnote>
  <w:footnote w:type="continuationSeparator" w:id="0">
    <w:p w14:paraId="1B54B487" w14:textId="77777777" w:rsidR="004E0DC2" w:rsidRDefault="004E0DC2"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1943E256" w14:textId="42752DB5" w:rsidR="006D1F37" w:rsidRDefault="006D1F37">
      <w:pPr>
        <w:pStyle w:val="FootnoteText"/>
      </w:pPr>
      <w:r>
        <w:rPr>
          <w:rStyle w:val="FootnoteReference"/>
        </w:rPr>
        <w:footnoteRef/>
      </w:r>
      <w:r>
        <w:t xml:space="preserve"> </w:t>
      </w:r>
      <w:r>
        <w:rPr>
          <w:noProof/>
        </w:rPr>
        <w:t xml:space="preserve">Therapeutic Guidelines Neurology. Australia. Retrieved June 18, 2024, from </w:t>
      </w:r>
      <w:hyperlink r:id="rId1" w:anchor="toc_d1e1503" w:history="1">
        <w:r w:rsidRPr="006D7EDC">
          <w:rPr>
            <w:rStyle w:val="Hyperlink"/>
            <w:noProof/>
          </w:rPr>
          <w:t>https://tgldcdp.tg.org.au/viewTopic?etgAccess=true&amp;guidelinePage=Neurology&amp;topicfile=multiple-sclerosis&amp;guidelinename=Neurology&amp;sectionId=toc_d1e1503#toc_d1e1503</w:t>
        </w:r>
      </w:hyperlink>
    </w:p>
  </w:footnote>
  <w:footnote w:id="3">
    <w:p w14:paraId="2CA5F10B" w14:textId="77777777" w:rsidR="004523B0" w:rsidRDefault="004523B0" w:rsidP="004523B0">
      <w:pPr>
        <w:pStyle w:val="FootnoteText"/>
      </w:pPr>
      <w:r>
        <w:rPr>
          <w:rStyle w:val="FootnoteReference"/>
        </w:rPr>
        <w:footnoteRef/>
      </w:r>
      <w:r>
        <w:t xml:space="preserve"> Tysabri was first registered in Australia on 1 November 2006. ARTG number: 112372.</w:t>
      </w:r>
    </w:p>
  </w:footnote>
  <w:footnote w:id="4">
    <w:p w14:paraId="01212489" w14:textId="5B683EE3" w:rsidR="00DD3203" w:rsidRDefault="00DD3203" w:rsidP="00DD3203">
      <w:pPr>
        <w:pStyle w:val="FootnoteText"/>
      </w:pPr>
      <w:r>
        <w:rPr>
          <w:rStyle w:val="FootnoteReference"/>
        </w:rPr>
        <w:footnoteRef/>
      </w:r>
      <w:r>
        <w:t xml:space="preserve"> The TGA makes use of assessments from comparable overseas regulators (CORs), where possible, in the evaluation of prescription medicines. Under the COR-B approach, the TGA regulatory decision will be mostly based on a critical review of the COR assessment reports. The COR-B process has a 175 working day evaluation and decision timeframe, allowing for TGA evaluation of certain data, in addition to the label, Product Information (PI) and Risk Management Plan (RMP).</w:t>
      </w:r>
      <w:r w:rsidR="00597358">
        <w:t xml:space="preserve"> </w:t>
      </w:r>
      <w:r>
        <w:t>The amount and type of additional data requiring evaluation will determine whether the application is best processed under the COR-B approach or as a Category 1 application. Examples of additional data that may be considered under the COR-B process include updated stability data, validation data for an additional manufacturing site and updates to pivotal studies that support the proposed indication.</w:t>
      </w:r>
    </w:p>
  </w:footnote>
  <w:footnote w:id="5">
    <w:p w14:paraId="224CD836" w14:textId="6BF41E8A" w:rsidR="00500D68" w:rsidRDefault="00500D68">
      <w:pPr>
        <w:pStyle w:val="FootnoteText"/>
      </w:pPr>
      <w:r>
        <w:rPr>
          <w:rStyle w:val="FootnoteReference"/>
        </w:rPr>
        <w:footnoteRef/>
      </w:r>
      <w:r w:rsidR="00597358">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Delegate of the Secretary of the Department of Health</w:t>
      </w:r>
      <w:r w:rsidR="0006693A">
        <w:t>, Disability</w:t>
      </w:r>
      <w:r w:rsidR="0006693A" w:rsidRPr="00C133A3">
        <w:t xml:space="preserve"> and Age</w:t>
      </w:r>
      <w:r w:rsidR="0006693A">
        <w:t>ing</w:t>
      </w:r>
      <w:r w:rsidR="0006693A" w:rsidRPr="00C133A3">
        <w:t xml:space="preserve"> </w:t>
      </w:r>
      <w:r w:rsidR="00AD0111" w:rsidRPr="00C133A3">
        <w:t xml:space="preserve">who </w:t>
      </w:r>
      <w:r w:rsidR="00AD0111">
        <w:t>decided the submission</w:t>
      </w:r>
      <w:r w:rsidR="00AD0111" w:rsidRPr="00C133A3">
        <w:t xml:space="preserve"> under section 25 of the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00000" w:rsidP="007452E8">
          <w:pPr>
            <w:ind w:left="-57"/>
            <w:rPr>
              <w:noProof/>
            </w:rPr>
          </w:pPr>
          <w:sdt>
            <w:sdtPr>
              <w:rPr>
                <w:noProof/>
              </w:rPr>
              <w:id w:val="1926993388"/>
              <w:showingPlcHdr/>
              <w:picture/>
            </w:sdt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2" w15:restartNumberingAfterBreak="0">
    <w:nsid w:val="5F9D5034"/>
    <w:multiLevelType w:val="hybridMultilevel"/>
    <w:tmpl w:val="461636DA"/>
    <w:lvl w:ilvl="0" w:tplc="B366BDDC">
      <w:start w:val="1"/>
      <w:numFmt w:val="decimal"/>
      <w:lvlText w:val="%1."/>
      <w:lvlJc w:val="left"/>
      <w:pPr>
        <w:ind w:left="1020" w:hanging="360"/>
      </w:pPr>
    </w:lvl>
    <w:lvl w:ilvl="1" w:tplc="4606E20E">
      <w:start w:val="1"/>
      <w:numFmt w:val="decimal"/>
      <w:lvlText w:val="%2."/>
      <w:lvlJc w:val="left"/>
      <w:pPr>
        <w:ind w:left="1020" w:hanging="360"/>
      </w:pPr>
    </w:lvl>
    <w:lvl w:ilvl="2" w:tplc="C5001CA4">
      <w:start w:val="1"/>
      <w:numFmt w:val="decimal"/>
      <w:lvlText w:val="%3."/>
      <w:lvlJc w:val="left"/>
      <w:pPr>
        <w:ind w:left="1020" w:hanging="360"/>
      </w:pPr>
    </w:lvl>
    <w:lvl w:ilvl="3" w:tplc="459CD906">
      <w:start w:val="1"/>
      <w:numFmt w:val="decimal"/>
      <w:lvlText w:val="%4."/>
      <w:lvlJc w:val="left"/>
      <w:pPr>
        <w:ind w:left="1020" w:hanging="360"/>
      </w:pPr>
    </w:lvl>
    <w:lvl w:ilvl="4" w:tplc="4F049BDA">
      <w:start w:val="1"/>
      <w:numFmt w:val="decimal"/>
      <w:lvlText w:val="%5."/>
      <w:lvlJc w:val="left"/>
      <w:pPr>
        <w:ind w:left="1020" w:hanging="360"/>
      </w:pPr>
    </w:lvl>
    <w:lvl w:ilvl="5" w:tplc="64463AFC">
      <w:start w:val="1"/>
      <w:numFmt w:val="decimal"/>
      <w:lvlText w:val="%6."/>
      <w:lvlJc w:val="left"/>
      <w:pPr>
        <w:ind w:left="1020" w:hanging="360"/>
      </w:pPr>
    </w:lvl>
    <w:lvl w:ilvl="6" w:tplc="5AEEECA2">
      <w:start w:val="1"/>
      <w:numFmt w:val="decimal"/>
      <w:lvlText w:val="%7."/>
      <w:lvlJc w:val="left"/>
      <w:pPr>
        <w:ind w:left="1020" w:hanging="360"/>
      </w:pPr>
    </w:lvl>
    <w:lvl w:ilvl="7" w:tplc="B0B6D90E">
      <w:start w:val="1"/>
      <w:numFmt w:val="decimal"/>
      <w:lvlText w:val="%8."/>
      <w:lvlJc w:val="left"/>
      <w:pPr>
        <w:ind w:left="1020" w:hanging="360"/>
      </w:pPr>
    </w:lvl>
    <w:lvl w:ilvl="8" w:tplc="97DC62C6">
      <w:start w:val="1"/>
      <w:numFmt w:val="decimal"/>
      <w:lvlText w:val="%9."/>
      <w:lvlJc w:val="left"/>
      <w:pPr>
        <w:ind w:left="1020" w:hanging="360"/>
      </w:pPr>
    </w:lvl>
  </w:abstractNum>
  <w:abstractNum w:abstractNumId="13" w15:restartNumberingAfterBreak="0">
    <w:nsid w:val="62E1248D"/>
    <w:multiLevelType w:val="hybridMultilevel"/>
    <w:tmpl w:val="7A64D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0"/>
  </w:num>
  <w:num w:numId="5" w16cid:durableId="1652950129">
    <w:abstractNumId w:val="6"/>
  </w:num>
  <w:num w:numId="6" w16cid:durableId="1053193207">
    <w:abstractNumId w:val="8"/>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9"/>
  </w:num>
  <w:num w:numId="9" w16cid:durableId="173421270">
    <w:abstractNumId w:val="2"/>
  </w:num>
  <w:num w:numId="10" w16cid:durableId="2108043357">
    <w:abstractNumId w:val="5"/>
  </w:num>
  <w:num w:numId="11" w16cid:durableId="1725904230">
    <w:abstractNumId w:val="7"/>
  </w:num>
  <w:num w:numId="12" w16cid:durableId="141579354">
    <w:abstractNumId w:val="11"/>
  </w:num>
  <w:num w:numId="13" w16cid:durableId="283735081">
    <w:abstractNumId w:val="14"/>
  </w:num>
  <w:num w:numId="14" w16cid:durableId="444277310">
    <w:abstractNumId w:val="13"/>
  </w:num>
  <w:num w:numId="15" w16cid:durableId="178393912">
    <w:abstractNumId w:val="0"/>
  </w:num>
  <w:num w:numId="16" w16cid:durableId="17694209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46F2"/>
    <w:rsid w:val="00005062"/>
    <w:rsid w:val="00005BAD"/>
    <w:rsid w:val="000069C8"/>
    <w:rsid w:val="0001064C"/>
    <w:rsid w:val="00013783"/>
    <w:rsid w:val="0001384A"/>
    <w:rsid w:val="00013C41"/>
    <w:rsid w:val="000159C4"/>
    <w:rsid w:val="000175E5"/>
    <w:rsid w:val="00021E34"/>
    <w:rsid w:val="00030BDC"/>
    <w:rsid w:val="00031C51"/>
    <w:rsid w:val="00031F4D"/>
    <w:rsid w:val="00032A0F"/>
    <w:rsid w:val="0003600C"/>
    <w:rsid w:val="000405E8"/>
    <w:rsid w:val="00040D8D"/>
    <w:rsid w:val="000446C6"/>
    <w:rsid w:val="00046423"/>
    <w:rsid w:val="00053284"/>
    <w:rsid w:val="00054F90"/>
    <w:rsid w:val="0005730F"/>
    <w:rsid w:val="00057331"/>
    <w:rsid w:val="0006104E"/>
    <w:rsid w:val="0006210A"/>
    <w:rsid w:val="00063129"/>
    <w:rsid w:val="000640BD"/>
    <w:rsid w:val="00064FCD"/>
    <w:rsid w:val="00065839"/>
    <w:rsid w:val="00065FDF"/>
    <w:rsid w:val="000661AE"/>
    <w:rsid w:val="0006693A"/>
    <w:rsid w:val="0006753B"/>
    <w:rsid w:val="00070B69"/>
    <w:rsid w:val="00071DD4"/>
    <w:rsid w:val="00072236"/>
    <w:rsid w:val="0007415A"/>
    <w:rsid w:val="00075A5F"/>
    <w:rsid w:val="00077844"/>
    <w:rsid w:val="00081A23"/>
    <w:rsid w:val="000849FF"/>
    <w:rsid w:val="0008538D"/>
    <w:rsid w:val="00085BEA"/>
    <w:rsid w:val="00087ABF"/>
    <w:rsid w:val="00090510"/>
    <w:rsid w:val="000917AE"/>
    <w:rsid w:val="00094400"/>
    <w:rsid w:val="00094B81"/>
    <w:rsid w:val="00094E7F"/>
    <w:rsid w:val="00096FA2"/>
    <w:rsid w:val="000975AA"/>
    <w:rsid w:val="0009797C"/>
    <w:rsid w:val="00097F1C"/>
    <w:rsid w:val="000A0D23"/>
    <w:rsid w:val="000A2146"/>
    <w:rsid w:val="000A3A30"/>
    <w:rsid w:val="000A4302"/>
    <w:rsid w:val="000A43AF"/>
    <w:rsid w:val="000A7520"/>
    <w:rsid w:val="000B1957"/>
    <w:rsid w:val="000B59C5"/>
    <w:rsid w:val="000B6B15"/>
    <w:rsid w:val="000C2173"/>
    <w:rsid w:val="000C25A7"/>
    <w:rsid w:val="000C7DC2"/>
    <w:rsid w:val="000D619F"/>
    <w:rsid w:val="000D78EC"/>
    <w:rsid w:val="000D7934"/>
    <w:rsid w:val="000E1488"/>
    <w:rsid w:val="000E1AEF"/>
    <w:rsid w:val="000E2597"/>
    <w:rsid w:val="000E504E"/>
    <w:rsid w:val="000E6746"/>
    <w:rsid w:val="000E728C"/>
    <w:rsid w:val="000F07F1"/>
    <w:rsid w:val="000F0A8E"/>
    <w:rsid w:val="000F1748"/>
    <w:rsid w:val="000F341A"/>
    <w:rsid w:val="000F51B4"/>
    <w:rsid w:val="000F6A5A"/>
    <w:rsid w:val="000F6E49"/>
    <w:rsid w:val="000F7B51"/>
    <w:rsid w:val="001019F2"/>
    <w:rsid w:val="00101BEE"/>
    <w:rsid w:val="00101CE6"/>
    <w:rsid w:val="00101FB1"/>
    <w:rsid w:val="00103F31"/>
    <w:rsid w:val="0010558A"/>
    <w:rsid w:val="001101FF"/>
    <w:rsid w:val="0011117C"/>
    <w:rsid w:val="0011214D"/>
    <w:rsid w:val="00113A30"/>
    <w:rsid w:val="00113F9F"/>
    <w:rsid w:val="00114025"/>
    <w:rsid w:val="0011553A"/>
    <w:rsid w:val="001218A1"/>
    <w:rsid w:val="00121B49"/>
    <w:rsid w:val="0012473C"/>
    <w:rsid w:val="00127083"/>
    <w:rsid w:val="00127A74"/>
    <w:rsid w:val="0013018C"/>
    <w:rsid w:val="0013132F"/>
    <w:rsid w:val="0013306D"/>
    <w:rsid w:val="00134B71"/>
    <w:rsid w:val="0013528C"/>
    <w:rsid w:val="00135D03"/>
    <w:rsid w:val="00135F41"/>
    <w:rsid w:val="001366AD"/>
    <w:rsid w:val="001403A5"/>
    <w:rsid w:val="00141FC9"/>
    <w:rsid w:val="00142886"/>
    <w:rsid w:val="001442A2"/>
    <w:rsid w:val="0014445C"/>
    <w:rsid w:val="0014480B"/>
    <w:rsid w:val="001468CA"/>
    <w:rsid w:val="001500A8"/>
    <w:rsid w:val="00150C79"/>
    <w:rsid w:val="00151952"/>
    <w:rsid w:val="00152B01"/>
    <w:rsid w:val="00155D85"/>
    <w:rsid w:val="00165D28"/>
    <w:rsid w:val="0016769E"/>
    <w:rsid w:val="0017005C"/>
    <w:rsid w:val="00172C85"/>
    <w:rsid w:val="00175CD8"/>
    <w:rsid w:val="00176816"/>
    <w:rsid w:val="00176A78"/>
    <w:rsid w:val="00176F8A"/>
    <w:rsid w:val="001772FB"/>
    <w:rsid w:val="00177ABC"/>
    <w:rsid w:val="00181150"/>
    <w:rsid w:val="00182BD8"/>
    <w:rsid w:val="00190C53"/>
    <w:rsid w:val="001946B8"/>
    <w:rsid w:val="00196FD8"/>
    <w:rsid w:val="001A0080"/>
    <w:rsid w:val="001A1B03"/>
    <w:rsid w:val="001A3235"/>
    <w:rsid w:val="001A51F2"/>
    <w:rsid w:val="001A76F9"/>
    <w:rsid w:val="001B06FF"/>
    <w:rsid w:val="001B148D"/>
    <w:rsid w:val="001B1703"/>
    <w:rsid w:val="001B3735"/>
    <w:rsid w:val="001B62D6"/>
    <w:rsid w:val="001C1C2E"/>
    <w:rsid w:val="001C31A1"/>
    <w:rsid w:val="001C3FA2"/>
    <w:rsid w:val="001C5EE2"/>
    <w:rsid w:val="001C60F3"/>
    <w:rsid w:val="001D0077"/>
    <w:rsid w:val="001D16F9"/>
    <w:rsid w:val="001D31BD"/>
    <w:rsid w:val="001D558B"/>
    <w:rsid w:val="001D7DD7"/>
    <w:rsid w:val="001E019F"/>
    <w:rsid w:val="001E07A1"/>
    <w:rsid w:val="001E27EF"/>
    <w:rsid w:val="001E407B"/>
    <w:rsid w:val="001E466E"/>
    <w:rsid w:val="001E5209"/>
    <w:rsid w:val="001E53D3"/>
    <w:rsid w:val="001E6456"/>
    <w:rsid w:val="001E7FC6"/>
    <w:rsid w:val="001F2378"/>
    <w:rsid w:val="001F2502"/>
    <w:rsid w:val="001F4BA3"/>
    <w:rsid w:val="001F70A5"/>
    <w:rsid w:val="0020235D"/>
    <w:rsid w:val="0020369B"/>
    <w:rsid w:val="002037AB"/>
    <w:rsid w:val="00207B4D"/>
    <w:rsid w:val="00210C81"/>
    <w:rsid w:val="00210F9B"/>
    <w:rsid w:val="00211492"/>
    <w:rsid w:val="002117B1"/>
    <w:rsid w:val="002164B7"/>
    <w:rsid w:val="00217CCE"/>
    <w:rsid w:val="002203B1"/>
    <w:rsid w:val="00220EFA"/>
    <w:rsid w:val="00223AAA"/>
    <w:rsid w:val="002259E9"/>
    <w:rsid w:val="00226F39"/>
    <w:rsid w:val="002334AD"/>
    <w:rsid w:val="00236077"/>
    <w:rsid w:val="00236665"/>
    <w:rsid w:val="00241B60"/>
    <w:rsid w:val="002455D5"/>
    <w:rsid w:val="0024662E"/>
    <w:rsid w:val="0025785B"/>
    <w:rsid w:val="00257969"/>
    <w:rsid w:val="00265765"/>
    <w:rsid w:val="002677F5"/>
    <w:rsid w:val="00267B83"/>
    <w:rsid w:val="00273CD6"/>
    <w:rsid w:val="00275309"/>
    <w:rsid w:val="00275A62"/>
    <w:rsid w:val="00280048"/>
    <w:rsid w:val="00281968"/>
    <w:rsid w:val="00282DFA"/>
    <w:rsid w:val="0028489E"/>
    <w:rsid w:val="002848DE"/>
    <w:rsid w:val="002862E9"/>
    <w:rsid w:val="0028794E"/>
    <w:rsid w:val="00291AAD"/>
    <w:rsid w:val="00292CA6"/>
    <w:rsid w:val="002941C8"/>
    <w:rsid w:val="0029609A"/>
    <w:rsid w:val="002963C5"/>
    <w:rsid w:val="00296A87"/>
    <w:rsid w:val="002A1611"/>
    <w:rsid w:val="002A5841"/>
    <w:rsid w:val="002A6929"/>
    <w:rsid w:val="002B1EDF"/>
    <w:rsid w:val="002B2061"/>
    <w:rsid w:val="002B2A78"/>
    <w:rsid w:val="002B30CB"/>
    <w:rsid w:val="002B43D7"/>
    <w:rsid w:val="002B583A"/>
    <w:rsid w:val="002C1232"/>
    <w:rsid w:val="002C1E44"/>
    <w:rsid w:val="002C323D"/>
    <w:rsid w:val="002C3A23"/>
    <w:rsid w:val="002C3B65"/>
    <w:rsid w:val="002C5C92"/>
    <w:rsid w:val="002C5E29"/>
    <w:rsid w:val="002D0478"/>
    <w:rsid w:val="002D5928"/>
    <w:rsid w:val="002D7127"/>
    <w:rsid w:val="002D7146"/>
    <w:rsid w:val="002E56BC"/>
    <w:rsid w:val="002F3EEB"/>
    <w:rsid w:val="002F56FF"/>
    <w:rsid w:val="002F599E"/>
    <w:rsid w:val="002F5DE0"/>
    <w:rsid w:val="003008D8"/>
    <w:rsid w:val="00301D9A"/>
    <w:rsid w:val="00301E94"/>
    <w:rsid w:val="00303959"/>
    <w:rsid w:val="00303CF5"/>
    <w:rsid w:val="00305C2B"/>
    <w:rsid w:val="00306E72"/>
    <w:rsid w:val="00312AC3"/>
    <w:rsid w:val="00312D48"/>
    <w:rsid w:val="00313349"/>
    <w:rsid w:val="0031380F"/>
    <w:rsid w:val="00313B41"/>
    <w:rsid w:val="00314430"/>
    <w:rsid w:val="003155CC"/>
    <w:rsid w:val="003163BC"/>
    <w:rsid w:val="003166C2"/>
    <w:rsid w:val="00317E01"/>
    <w:rsid w:val="0032351A"/>
    <w:rsid w:val="00324B33"/>
    <w:rsid w:val="00326BCE"/>
    <w:rsid w:val="00327488"/>
    <w:rsid w:val="00333D44"/>
    <w:rsid w:val="00334D4E"/>
    <w:rsid w:val="00336FE1"/>
    <w:rsid w:val="00342D56"/>
    <w:rsid w:val="003432E9"/>
    <w:rsid w:val="003450F6"/>
    <w:rsid w:val="00345497"/>
    <w:rsid w:val="003456E7"/>
    <w:rsid w:val="00346EC2"/>
    <w:rsid w:val="00347589"/>
    <w:rsid w:val="003477F9"/>
    <w:rsid w:val="00347E8E"/>
    <w:rsid w:val="00352DB6"/>
    <w:rsid w:val="0035444D"/>
    <w:rsid w:val="0035572F"/>
    <w:rsid w:val="0035695E"/>
    <w:rsid w:val="00356D62"/>
    <w:rsid w:val="00362917"/>
    <w:rsid w:val="00363E69"/>
    <w:rsid w:val="00363EE3"/>
    <w:rsid w:val="00364CC6"/>
    <w:rsid w:val="00365E8B"/>
    <w:rsid w:val="003665B5"/>
    <w:rsid w:val="00370D9D"/>
    <w:rsid w:val="0037275F"/>
    <w:rsid w:val="003735F3"/>
    <w:rsid w:val="00374729"/>
    <w:rsid w:val="00377247"/>
    <w:rsid w:val="00377E89"/>
    <w:rsid w:val="003845C5"/>
    <w:rsid w:val="00387298"/>
    <w:rsid w:val="00387984"/>
    <w:rsid w:val="0039135B"/>
    <w:rsid w:val="00391720"/>
    <w:rsid w:val="00392D58"/>
    <w:rsid w:val="00393814"/>
    <w:rsid w:val="0039382A"/>
    <w:rsid w:val="00394498"/>
    <w:rsid w:val="00395140"/>
    <w:rsid w:val="003969FD"/>
    <w:rsid w:val="003A1EEF"/>
    <w:rsid w:val="003A2422"/>
    <w:rsid w:val="003A3748"/>
    <w:rsid w:val="003A6BE3"/>
    <w:rsid w:val="003B149C"/>
    <w:rsid w:val="003B5E61"/>
    <w:rsid w:val="003C0FDB"/>
    <w:rsid w:val="003C1192"/>
    <w:rsid w:val="003C4A97"/>
    <w:rsid w:val="003C5535"/>
    <w:rsid w:val="003C55E2"/>
    <w:rsid w:val="003C63D5"/>
    <w:rsid w:val="003C7AA8"/>
    <w:rsid w:val="003D3AD0"/>
    <w:rsid w:val="003D3F2E"/>
    <w:rsid w:val="003D48CB"/>
    <w:rsid w:val="003D5265"/>
    <w:rsid w:val="003D71A1"/>
    <w:rsid w:val="003F0AF5"/>
    <w:rsid w:val="003F0C43"/>
    <w:rsid w:val="003F0D58"/>
    <w:rsid w:val="003F2255"/>
    <w:rsid w:val="003F2A56"/>
    <w:rsid w:val="003F2F2D"/>
    <w:rsid w:val="003F64D0"/>
    <w:rsid w:val="003F7AE3"/>
    <w:rsid w:val="00401F61"/>
    <w:rsid w:val="00404066"/>
    <w:rsid w:val="00406ACA"/>
    <w:rsid w:val="00414E23"/>
    <w:rsid w:val="00415ACE"/>
    <w:rsid w:val="0041688F"/>
    <w:rsid w:val="0041696C"/>
    <w:rsid w:val="0042376F"/>
    <w:rsid w:val="004246B8"/>
    <w:rsid w:val="004248F1"/>
    <w:rsid w:val="00426FAA"/>
    <w:rsid w:val="00427B3B"/>
    <w:rsid w:val="00427C92"/>
    <w:rsid w:val="00431F28"/>
    <w:rsid w:val="00433318"/>
    <w:rsid w:val="0043558F"/>
    <w:rsid w:val="00435753"/>
    <w:rsid w:val="0043720D"/>
    <w:rsid w:val="00441D2C"/>
    <w:rsid w:val="00441D51"/>
    <w:rsid w:val="00442938"/>
    <w:rsid w:val="00442A56"/>
    <w:rsid w:val="00442B05"/>
    <w:rsid w:val="004444B0"/>
    <w:rsid w:val="00445704"/>
    <w:rsid w:val="0045060B"/>
    <w:rsid w:val="00450B2B"/>
    <w:rsid w:val="004523B0"/>
    <w:rsid w:val="00452E73"/>
    <w:rsid w:val="00455ABC"/>
    <w:rsid w:val="004573DC"/>
    <w:rsid w:val="004626FF"/>
    <w:rsid w:val="00466670"/>
    <w:rsid w:val="00467825"/>
    <w:rsid w:val="0046784A"/>
    <w:rsid w:val="00467C41"/>
    <w:rsid w:val="00470A52"/>
    <w:rsid w:val="00471BD5"/>
    <w:rsid w:val="00472409"/>
    <w:rsid w:val="004747F3"/>
    <w:rsid w:val="004752BC"/>
    <w:rsid w:val="00476833"/>
    <w:rsid w:val="00477C4E"/>
    <w:rsid w:val="00477F07"/>
    <w:rsid w:val="00480ED6"/>
    <w:rsid w:val="00481503"/>
    <w:rsid w:val="00481D12"/>
    <w:rsid w:val="004854A6"/>
    <w:rsid w:val="0048775E"/>
    <w:rsid w:val="00487A48"/>
    <w:rsid w:val="00487E6A"/>
    <w:rsid w:val="00491A55"/>
    <w:rsid w:val="00492410"/>
    <w:rsid w:val="004938C2"/>
    <w:rsid w:val="00493AEA"/>
    <w:rsid w:val="00494C3E"/>
    <w:rsid w:val="00497DF1"/>
    <w:rsid w:val="004A318E"/>
    <w:rsid w:val="004A3739"/>
    <w:rsid w:val="004A3A8F"/>
    <w:rsid w:val="004A52F3"/>
    <w:rsid w:val="004A57E8"/>
    <w:rsid w:val="004B3081"/>
    <w:rsid w:val="004B4A09"/>
    <w:rsid w:val="004C1F6D"/>
    <w:rsid w:val="004C41CE"/>
    <w:rsid w:val="004C5AC0"/>
    <w:rsid w:val="004C622A"/>
    <w:rsid w:val="004C631B"/>
    <w:rsid w:val="004D0F0B"/>
    <w:rsid w:val="004D1650"/>
    <w:rsid w:val="004D2F00"/>
    <w:rsid w:val="004D3057"/>
    <w:rsid w:val="004D31D8"/>
    <w:rsid w:val="004D368F"/>
    <w:rsid w:val="004D5388"/>
    <w:rsid w:val="004D5C55"/>
    <w:rsid w:val="004E0DC2"/>
    <w:rsid w:val="004E5954"/>
    <w:rsid w:val="004E7C5D"/>
    <w:rsid w:val="004E7F16"/>
    <w:rsid w:val="004F18EC"/>
    <w:rsid w:val="004F1F8C"/>
    <w:rsid w:val="004F449B"/>
    <w:rsid w:val="004F4F5D"/>
    <w:rsid w:val="004F5C31"/>
    <w:rsid w:val="00500D68"/>
    <w:rsid w:val="005057D1"/>
    <w:rsid w:val="00506AFA"/>
    <w:rsid w:val="00512783"/>
    <w:rsid w:val="005131EC"/>
    <w:rsid w:val="005132F3"/>
    <w:rsid w:val="00515FD0"/>
    <w:rsid w:val="00520170"/>
    <w:rsid w:val="00522D20"/>
    <w:rsid w:val="00522F04"/>
    <w:rsid w:val="005252B6"/>
    <w:rsid w:val="00526BC0"/>
    <w:rsid w:val="0052746A"/>
    <w:rsid w:val="0053073A"/>
    <w:rsid w:val="005314CF"/>
    <w:rsid w:val="00531C47"/>
    <w:rsid w:val="005327FA"/>
    <w:rsid w:val="00533397"/>
    <w:rsid w:val="0053377D"/>
    <w:rsid w:val="00535DFE"/>
    <w:rsid w:val="005373B5"/>
    <w:rsid w:val="0053786D"/>
    <w:rsid w:val="00537AB7"/>
    <w:rsid w:val="0054669B"/>
    <w:rsid w:val="005503AA"/>
    <w:rsid w:val="00551AD7"/>
    <w:rsid w:val="005562D8"/>
    <w:rsid w:val="005610D1"/>
    <w:rsid w:val="00562F42"/>
    <w:rsid w:val="00564706"/>
    <w:rsid w:val="00565739"/>
    <w:rsid w:val="00566B53"/>
    <w:rsid w:val="0056766D"/>
    <w:rsid w:val="00575215"/>
    <w:rsid w:val="00577925"/>
    <w:rsid w:val="00583B80"/>
    <w:rsid w:val="00583C30"/>
    <w:rsid w:val="005842EF"/>
    <w:rsid w:val="0058575E"/>
    <w:rsid w:val="005875B0"/>
    <w:rsid w:val="0058783C"/>
    <w:rsid w:val="005910A6"/>
    <w:rsid w:val="005911AE"/>
    <w:rsid w:val="0059204F"/>
    <w:rsid w:val="005926E2"/>
    <w:rsid w:val="0059313A"/>
    <w:rsid w:val="00595161"/>
    <w:rsid w:val="00595D35"/>
    <w:rsid w:val="00597358"/>
    <w:rsid w:val="005A4B78"/>
    <w:rsid w:val="005A54EA"/>
    <w:rsid w:val="005B023F"/>
    <w:rsid w:val="005B02A2"/>
    <w:rsid w:val="005B07AE"/>
    <w:rsid w:val="005B1417"/>
    <w:rsid w:val="005B1A41"/>
    <w:rsid w:val="005B69CF"/>
    <w:rsid w:val="005C3F07"/>
    <w:rsid w:val="005C4B46"/>
    <w:rsid w:val="005C50A5"/>
    <w:rsid w:val="005C5DC5"/>
    <w:rsid w:val="005C741B"/>
    <w:rsid w:val="005D0A3E"/>
    <w:rsid w:val="005D0C2D"/>
    <w:rsid w:val="005D2089"/>
    <w:rsid w:val="005D2B8F"/>
    <w:rsid w:val="005D39F5"/>
    <w:rsid w:val="005D5045"/>
    <w:rsid w:val="005D5FF3"/>
    <w:rsid w:val="005D6201"/>
    <w:rsid w:val="005D7514"/>
    <w:rsid w:val="005D7B17"/>
    <w:rsid w:val="005E0FC6"/>
    <w:rsid w:val="005E1A7B"/>
    <w:rsid w:val="005E1E75"/>
    <w:rsid w:val="005E231F"/>
    <w:rsid w:val="005F1234"/>
    <w:rsid w:val="005F6F82"/>
    <w:rsid w:val="005F7263"/>
    <w:rsid w:val="00600733"/>
    <w:rsid w:val="00600DFC"/>
    <w:rsid w:val="00602A6C"/>
    <w:rsid w:val="00602D6E"/>
    <w:rsid w:val="00603A85"/>
    <w:rsid w:val="00603BD3"/>
    <w:rsid w:val="00605C05"/>
    <w:rsid w:val="00611351"/>
    <w:rsid w:val="0061217D"/>
    <w:rsid w:val="006129AE"/>
    <w:rsid w:val="00614C4A"/>
    <w:rsid w:val="00620E2E"/>
    <w:rsid w:val="00622845"/>
    <w:rsid w:val="006277A1"/>
    <w:rsid w:val="00630544"/>
    <w:rsid w:val="00630BC8"/>
    <w:rsid w:val="00630C66"/>
    <w:rsid w:val="00633BD7"/>
    <w:rsid w:val="00634580"/>
    <w:rsid w:val="00634884"/>
    <w:rsid w:val="006351D9"/>
    <w:rsid w:val="00637130"/>
    <w:rsid w:val="00637F0E"/>
    <w:rsid w:val="00642129"/>
    <w:rsid w:val="006423F2"/>
    <w:rsid w:val="0064409C"/>
    <w:rsid w:val="00644DB5"/>
    <w:rsid w:val="00650213"/>
    <w:rsid w:val="00650234"/>
    <w:rsid w:val="00652CD2"/>
    <w:rsid w:val="00654159"/>
    <w:rsid w:val="006574D0"/>
    <w:rsid w:val="0066044B"/>
    <w:rsid w:val="006630AA"/>
    <w:rsid w:val="00663544"/>
    <w:rsid w:val="00664953"/>
    <w:rsid w:val="006655FC"/>
    <w:rsid w:val="00666539"/>
    <w:rsid w:val="00666911"/>
    <w:rsid w:val="00670518"/>
    <w:rsid w:val="00670BBC"/>
    <w:rsid w:val="00675F81"/>
    <w:rsid w:val="00676D7C"/>
    <w:rsid w:val="00677A54"/>
    <w:rsid w:val="0068143E"/>
    <w:rsid w:val="0068507D"/>
    <w:rsid w:val="00686887"/>
    <w:rsid w:val="006870FE"/>
    <w:rsid w:val="00691AF2"/>
    <w:rsid w:val="00692B80"/>
    <w:rsid w:val="00692CCD"/>
    <w:rsid w:val="00692D51"/>
    <w:rsid w:val="00694DD7"/>
    <w:rsid w:val="0069636B"/>
    <w:rsid w:val="006A1139"/>
    <w:rsid w:val="006A1762"/>
    <w:rsid w:val="006A1F0B"/>
    <w:rsid w:val="006A277A"/>
    <w:rsid w:val="006A45BF"/>
    <w:rsid w:val="006A5973"/>
    <w:rsid w:val="006A63B2"/>
    <w:rsid w:val="006B04F3"/>
    <w:rsid w:val="006B29D1"/>
    <w:rsid w:val="006B2E27"/>
    <w:rsid w:val="006B6280"/>
    <w:rsid w:val="006B6EB0"/>
    <w:rsid w:val="006B7126"/>
    <w:rsid w:val="006B7BB7"/>
    <w:rsid w:val="006B7C90"/>
    <w:rsid w:val="006C0B8A"/>
    <w:rsid w:val="006C563D"/>
    <w:rsid w:val="006C6B86"/>
    <w:rsid w:val="006D09FA"/>
    <w:rsid w:val="006D1F37"/>
    <w:rsid w:val="006D4553"/>
    <w:rsid w:val="006D4755"/>
    <w:rsid w:val="006D4A35"/>
    <w:rsid w:val="006D62DB"/>
    <w:rsid w:val="006D6348"/>
    <w:rsid w:val="006D6B44"/>
    <w:rsid w:val="006E27FE"/>
    <w:rsid w:val="006E29E8"/>
    <w:rsid w:val="006E48B8"/>
    <w:rsid w:val="006E48C8"/>
    <w:rsid w:val="006F0ADF"/>
    <w:rsid w:val="006F3EB4"/>
    <w:rsid w:val="006F41E9"/>
    <w:rsid w:val="006F52DA"/>
    <w:rsid w:val="006F67CF"/>
    <w:rsid w:val="00700CC6"/>
    <w:rsid w:val="00701110"/>
    <w:rsid w:val="00702C3F"/>
    <w:rsid w:val="00702E91"/>
    <w:rsid w:val="0070330F"/>
    <w:rsid w:val="00703624"/>
    <w:rsid w:val="007046ED"/>
    <w:rsid w:val="007072A1"/>
    <w:rsid w:val="00710203"/>
    <w:rsid w:val="0071060C"/>
    <w:rsid w:val="00710762"/>
    <w:rsid w:val="00710BC5"/>
    <w:rsid w:val="00710DD1"/>
    <w:rsid w:val="007121CA"/>
    <w:rsid w:val="00712A2E"/>
    <w:rsid w:val="00714B40"/>
    <w:rsid w:val="00716E6D"/>
    <w:rsid w:val="0072003B"/>
    <w:rsid w:val="00721059"/>
    <w:rsid w:val="007211E6"/>
    <w:rsid w:val="007220C4"/>
    <w:rsid w:val="00726084"/>
    <w:rsid w:val="00726255"/>
    <w:rsid w:val="00732361"/>
    <w:rsid w:val="00732F1C"/>
    <w:rsid w:val="0073535E"/>
    <w:rsid w:val="007357B9"/>
    <w:rsid w:val="00736A01"/>
    <w:rsid w:val="00740D97"/>
    <w:rsid w:val="007414D9"/>
    <w:rsid w:val="00741AB9"/>
    <w:rsid w:val="00741BBF"/>
    <w:rsid w:val="00742D03"/>
    <w:rsid w:val="00744216"/>
    <w:rsid w:val="007452E8"/>
    <w:rsid w:val="0074589C"/>
    <w:rsid w:val="00745F7E"/>
    <w:rsid w:val="00746990"/>
    <w:rsid w:val="00747093"/>
    <w:rsid w:val="00750D70"/>
    <w:rsid w:val="00752014"/>
    <w:rsid w:val="00754939"/>
    <w:rsid w:val="007575D0"/>
    <w:rsid w:val="00760B48"/>
    <w:rsid w:val="00760B9A"/>
    <w:rsid w:val="007614A8"/>
    <w:rsid w:val="00763323"/>
    <w:rsid w:val="007647EE"/>
    <w:rsid w:val="007662E0"/>
    <w:rsid w:val="00766CA9"/>
    <w:rsid w:val="00773FE3"/>
    <w:rsid w:val="00774484"/>
    <w:rsid w:val="00774D6F"/>
    <w:rsid w:val="00775D4B"/>
    <w:rsid w:val="00776E9C"/>
    <w:rsid w:val="00776ECA"/>
    <w:rsid w:val="007816D8"/>
    <w:rsid w:val="007838AC"/>
    <w:rsid w:val="00784150"/>
    <w:rsid w:val="007853C6"/>
    <w:rsid w:val="00785C57"/>
    <w:rsid w:val="0079032D"/>
    <w:rsid w:val="00790369"/>
    <w:rsid w:val="00793272"/>
    <w:rsid w:val="0079499A"/>
    <w:rsid w:val="00794B64"/>
    <w:rsid w:val="007952DD"/>
    <w:rsid w:val="007956BC"/>
    <w:rsid w:val="007967C3"/>
    <w:rsid w:val="007A0284"/>
    <w:rsid w:val="007A0A33"/>
    <w:rsid w:val="007A235D"/>
    <w:rsid w:val="007A7198"/>
    <w:rsid w:val="007B04DE"/>
    <w:rsid w:val="007B0905"/>
    <w:rsid w:val="007B0AE6"/>
    <w:rsid w:val="007B1DC3"/>
    <w:rsid w:val="007B1F3A"/>
    <w:rsid w:val="007B4313"/>
    <w:rsid w:val="007B47E9"/>
    <w:rsid w:val="007B6F2B"/>
    <w:rsid w:val="007B7F39"/>
    <w:rsid w:val="007C0F0B"/>
    <w:rsid w:val="007C4EF4"/>
    <w:rsid w:val="007C57BC"/>
    <w:rsid w:val="007C6601"/>
    <w:rsid w:val="007D04CA"/>
    <w:rsid w:val="007D0A2B"/>
    <w:rsid w:val="007D12A1"/>
    <w:rsid w:val="007D2270"/>
    <w:rsid w:val="007D40E5"/>
    <w:rsid w:val="007D4138"/>
    <w:rsid w:val="007D720A"/>
    <w:rsid w:val="007E4178"/>
    <w:rsid w:val="007E73BB"/>
    <w:rsid w:val="007F0A77"/>
    <w:rsid w:val="007F1E37"/>
    <w:rsid w:val="007F50D3"/>
    <w:rsid w:val="007F6064"/>
    <w:rsid w:val="007F6B1F"/>
    <w:rsid w:val="007F6E6E"/>
    <w:rsid w:val="007F73FF"/>
    <w:rsid w:val="008007B5"/>
    <w:rsid w:val="00804897"/>
    <w:rsid w:val="00807218"/>
    <w:rsid w:val="00807A1C"/>
    <w:rsid w:val="008107EF"/>
    <w:rsid w:val="00811D4C"/>
    <w:rsid w:val="00813C17"/>
    <w:rsid w:val="00814572"/>
    <w:rsid w:val="00816356"/>
    <w:rsid w:val="00821DC7"/>
    <w:rsid w:val="008270C2"/>
    <w:rsid w:val="008329DB"/>
    <w:rsid w:val="008361C5"/>
    <w:rsid w:val="0083628F"/>
    <w:rsid w:val="00837AB9"/>
    <w:rsid w:val="00844EA6"/>
    <w:rsid w:val="00847596"/>
    <w:rsid w:val="008477DA"/>
    <w:rsid w:val="008504E4"/>
    <w:rsid w:val="00850637"/>
    <w:rsid w:val="0085114A"/>
    <w:rsid w:val="00851B40"/>
    <w:rsid w:val="00852A75"/>
    <w:rsid w:val="00854D98"/>
    <w:rsid w:val="0085751E"/>
    <w:rsid w:val="00860B29"/>
    <w:rsid w:val="008622E8"/>
    <w:rsid w:val="008628C3"/>
    <w:rsid w:val="008645DC"/>
    <w:rsid w:val="008645EE"/>
    <w:rsid w:val="008670D9"/>
    <w:rsid w:val="00870144"/>
    <w:rsid w:val="00873D7A"/>
    <w:rsid w:val="00875A2E"/>
    <w:rsid w:val="00876441"/>
    <w:rsid w:val="008771C8"/>
    <w:rsid w:val="00877CB3"/>
    <w:rsid w:val="008804CF"/>
    <w:rsid w:val="00882D58"/>
    <w:rsid w:val="00882F19"/>
    <w:rsid w:val="00883D35"/>
    <w:rsid w:val="00884569"/>
    <w:rsid w:val="00885265"/>
    <w:rsid w:val="00887525"/>
    <w:rsid w:val="00887A51"/>
    <w:rsid w:val="00890D9B"/>
    <w:rsid w:val="00891C6C"/>
    <w:rsid w:val="0089264A"/>
    <w:rsid w:val="00892D49"/>
    <w:rsid w:val="008933DD"/>
    <w:rsid w:val="00893B77"/>
    <w:rsid w:val="00893CCD"/>
    <w:rsid w:val="00894373"/>
    <w:rsid w:val="00894605"/>
    <w:rsid w:val="008964B3"/>
    <w:rsid w:val="00896CF6"/>
    <w:rsid w:val="008A4B53"/>
    <w:rsid w:val="008A7A6E"/>
    <w:rsid w:val="008A7AA6"/>
    <w:rsid w:val="008B04DF"/>
    <w:rsid w:val="008B0927"/>
    <w:rsid w:val="008B149B"/>
    <w:rsid w:val="008B1CB5"/>
    <w:rsid w:val="008C2D69"/>
    <w:rsid w:val="008C312F"/>
    <w:rsid w:val="008C3267"/>
    <w:rsid w:val="008C49C6"/>
    <w:rsid w:val="008C5335"/>
    <w:rsid w:val="008C7063"/>
    <w:rsid w:val="008C754C"/>
    <w:rsid w:val="008C7958"/>
    <w:rsid w:val="008C7B93"/>
    <w:rsid w:val="008D46EE"/>
    <w:rsid w:val="008D48F4"/>
    <w:rsid w:val="008D497A"/>
    <w:rsid w:val="008D56C9"/>
    <w:rsid w:val="008D6A54"/>
    <w:rsid w:val="008D755A"/>
    <w:rsid w:val="008E12BA"/>
    <w:rsid w:val="008E2585"/>
    <w:rsid w:val="008E2D7A"/>
    <w:rsid w:val="008E59AF"/>
    <w:rsid w:val="008F0732"/>
    <w:rsid w:val="008F3215"/>
    <w:rsid w:val="008F4A62"/>
    <w:rsid w:val="008F689C"/>
    <w:rsid w:val="008F7256"/>
    <w:rsid w:val="0090149E"/>
    <w:rsid w:val="00903DAE"/>
    <w:rsid w:val="0090424C"/>
    <w:rsid w:val="00905DFF"/>
    <w:rsid w:val="0090605E"/>
    <w:rsid w:val="009108CE"/>
    <w:rsid w:val="00912B8F"/>
    <w:rsid w:val="00912DF5"/>
    <w:rsid w:val="00914FB3"/>
    <w:rsid w:val="00915A9F"/>
    <w:rsid w:val="00916ED5"/>
    <w:rsid w:val="00917D27"/>
    <w:rsid w:val="00923462"/>
    <w:rsid w:val="00925E2E"/>
    <w:rsid w:val="009266CF"/>
    <w:rsid w:val="00930D58"/>
    <w:rsid w:val="00934810"/>
    <w:rsid w:val="00934C52"/>
    <w:rsid w:val="00935AAA"/>
    <w:rsid w:val="0093615A"/>
    <w:rsid w:val="00945F07"/>
    <w:rsid w:val="0095031E"/>
    <w:rsid w:val="00954297"/>
    <w:rsid w:val="009543FB"/>
    <w:rsid w:val="00960A56"/>
    <w:rsid w:val="0096122B"/>
    <w:rsid w:val="009622C3"/>
    <w:rsid w:val="00962E45"/>
    <w:rsid w:val="0096352B"/>
    <w:rsid w:val="00966130"/>
    <w:rsid w:val="00966EF1"/>
    <w:rsid w:val="00967223"/>
    <w:rsid w:val="0097198D"/>
    <w:rsid w:val="009728BA"/>
    <w:rsid w:val="00975192"/>
    <w:rsid w:val="009751F7"/>
    <w:rsid w:val="00976EDB"/>
    <w:rsid w:val="00980895"/>
    <w:rsid w:val="00982FBF"/>
    <w:rsid w:val="0098350E"/>
    <w:rsid w:val="0098428C"/>
    <w:rsid w:val="00984A6A"/>
    <w:rsid w:val="00990C12"/>
    <w:rsid w:val="009926B8"/>
    <w:rsid w:val="009927BE"/>
    <w:rsid w:val="0099404F"/>
    <w:rsid w:val="00996FA5"/>
    <w:rsid w:val="009A07B7"/>
    <w:rsid w:val="009A517A"/>
    <w:rsid w:val="009A7E8D"/>
    <w:rsid w:val="009B0058"/>
    <w:rsid w:val="009B0307"/>
    <w:rsid w:val="009B29E4"/>
    <w:rsid w:val="009B5662"/>
    <w:rsid w:val="009B7D12"/>
    <w:rsid w:val="009C134F"/>
    <w:rsid w:val="009C20D9"/>
    <w:rsid w:val="009C2211"/>
    <w:rsid w:val="009C40E8"/>
    <w:rsid w:val="009C45C5"/>
    <w:rsid w:val="009C6F20"/>
    <w:rsid w:val="009D01E8"/>
    <w:rsid w:val="009D0321"/>
    <w:rsid w:val="009D2312"/>
    <w:rsid w:val="009D2829"/>
    <w:rsid w:val="009D4791"/>
    <w:rsid w:val="009D4F97"/>
    <w:rsid w:val="009E1E95"/>
    <w:rsid w:val="009E38F4"/>
    <w:rsid w:val="009E6858"/>
    <w:rsid w:val="009E6C09"/>
    <w:rsid w:val="009E6F8C"/>
    <w:rsid w:val="009E70DB"/>
    <w:rsid w:val="009F0A1E"/>
    <w:rsid w:val="009F1ACF"/>
    <w:rsid w:val="009F405F"/>
    <w:rsid w:val="009F4467"/>
    <w:rsid w:val="00A01332"/>
    <w:rsid w:val="00A01C56"/>
    <w:rsid w:val="00A042FC"/>
    <w:rsid w:val="00A1152F"/>
    <w:rsid w:val="00A12534"/>
    <w:rsid w:val="00A14D87"/>
    <w:rsid w:val="00A2174E"/>
    <w:rsid w:val="00A23A38"/>
    <w:rsid w:val="00A24DE4"/>
    <w:rsid w:val="00A24E67"/>
    <w:rsid w:val="00A31AE0"/>
    <w:rsid w:val="00A32C50"/>
    <w:rsid w:val="00A352DF"/>
    <w:rsid w:val="00A358E7"/>
    <w:rsid w:val="00A365AA"/>
    <w:rsid w:val="00A370A1"/>
    <w:rsid w:val="00A4380B"/>
    <w:rsid w:val="00A4589E"/>
    <w:rsid w:val="00A46010"/>
    <w:rsid w:val="00A461F7"/>
    <w:rsid w:val="00A47BF7"/>
    <w:rsid w:val="00A51A2D"/>
    <w:rsid w:val="00A526C0"/>
    <w:rsid w:val="00A52E8C"/>
    <w:rsid w:val="00A54857"/>
    <w:rsid w:val="00A55834"/>
    <w:rsid w:val="00A5596B"/>
    <w:rsid w:val="00A610DC"/>
    <w:rsid w:val="00A61221"/>
    <w:rsid w:val="00A63C07"/>
    <w:rsid w:val="00A63D9B"/>
    <w:rsid w:val="00A64B3E"/>
    <w:rsid w:val="00A67366"/>
    <w:rsid w:val="00A704DC"/>
    <w:rsid w:val="00A755F6"/>
    <w:rsid w:val="00A7713F"/>
    <w:rsid w:val="00A81E40"/>
    <w:rsid w:val="00A87E96"/>
    <w:rsid w:val="00A93DC6"/>
    <w:rsid w:val="00A9411A"/>
    <w:rsid w:val="00AA4A4B"/>
    <w:rsid w:val="00AA5386"/>
    <w:rsid w:val="00AA60C6"/>
    <w:rsid w:val="00AA6682"/>
    <w:rsid w:val="00AA6BCC"/>
    <w:rsid w:val="00AA7749"/>
    <w:rsid w:val="00AB0613"/>
    <w:rsid w:val="00AB1C23"/>
    <w:rsid w:val="00AB1D3A"/>
    <w:rsid w:val="00AB69AB"/>
    <w:rsid w:val="00AB758D"/>
    <w:rsid w:val="00AB76DF"/>
    <w:rsid w:val="00AB7C5C"/>
    <w:rsid w:val="00AB7CBF"/>
    <w:rsid w:val="00AC48D9"/>
    <w:rsid w:val="00AD0111"/>
    <w:rsid w:val="00AD4C72"/>
    <w:rsid w:val="00AD5451"/>
    <w:rsid w:val="00AD6847"/>
    <w:rsid w:val="00AE1947"/>
    <w:rsid w:val="00AE249C"/>
    <w:rsid w:val="00AE24B2"/>
    <w:rsid w:val="00AE252D"/>
    <w:rsid w:val="00AE3407"/>
    <w:rsid w:val="00AE3FBD"/>
    <w:rsid w:val="00AE609E"/>
    <w:rsid w:val="00AE75ED"/>
    <w:rsid w:val="00AF1C8B"/>
    <w:rsid w:val="00AF299B"/>
    <w:rsid w:val="00AF7B46"/>
    <w:rsid w:val="00AF7E43"/>
    <w:rsid w:val="00B02AE0"/>
    <w:rsid w:val="00B0434A"/>
    <w:rsid w:val="00B05326"/>
    <w:rsid w:val="00B053BE"/>
    <w:rsid w:val="00B05E4C"/>
    <w:rsid w:val="00B11FC9"/>
    <w:rsid w:val="00B132F2"/>
    <w:rsid w:val="00B14545"/>
    <w:rsid w:val="00B14E60"/>
    <w:rsid w:val="00B15EBE"/>
    <w:rsid w:val="00B17BA2"/>
    <w:rsid w:val="00B230F1"/>
    <w:rsid w:val="00B24205"/>
    <w:rsid w:val="00B25ACB"/>
    <w:rsid w:val="00B26DC3"/>
    <w:rsid w:val="00B27B55"/>
    <w:rsid w:val="00B30B9D"/>
    <w:rsid w:val="00B30DFC"/>
    <w:rsid w:val="00B3582D"/>
    <w:rsid w:val="00B40304"/>
    <w:rsid w:val="00B4296C"/>
    <w:rsid w:val="00B43E73"/>
    <w:rsid w:val="00B44B70"/>
    <w:rsid w:val="00B4574D"/>
    <w:rsid w:val="00B468E1"/>
    <w:rsid w:val="00B46BC0"/>
    <w:rsid w:val="00B46DFB"/>
    <w:rsid w:val="00B5141B"/>
    <w:rsid w:val="00B524E9"/>
    <w:rsid w:val="00B55681"/>
    <w:rsid w:val="00B55890"/>
    <w:rsid w:val="00B57AAD"/>
    <w:rsid w:val="00B57C4C"/>
    <w:rsid w:val="00B62600"/>
    <w:rsid w:val="00B6374E"/>
    <w:rsid w:val="00B63895"/>
    <w:rsid w:val="00B66F35"/>
    <w:rsid w:val="00B6720D"/>
    <w:rsid w:val="00B724E0"/>
    <w:rsid w:val="00B72911"/>
    <w:rsid w:val="00B72AE8"/>
    <w:rsid w:val="00B72B16"/>
    <w:rsid w:val="00B73A70"/>
    <w:rsid w:val="00B744A2"/>
    <w:rsid w:val="00B76A1C"/>
    <w:rsid w:val="00B775FD"/>
    <w:rsid w:val="00B80408"/>
    <w:rsid w:val="00B81397"/>
    <w:rsid w:val="00B8238A"/>
    <w:rsid w:val="00B8258D"/>
    <w:rsid w:val="00B850FB"/>
    <w:rsid w:val="00B875A6"/>
    <w:rsid w:val="00B90B36"/>
    <w:rsid w:val="00B925DB"/>
    <w:rsid w:val="00B93B17"/>
    <w:rsid w:val="00B967FF"/>
    <w:rsid w:val="00B974B9"/>
    <w:rsid w:val="00BA184C"/>
    <w:rsid w:val="00BA3F6D"/>
    <w:rsid w:val="00BA4BE6"/>
    <w:rsid w:val="00BA4FC0"/>
    <w:rsid w:val="00BA52FC"/>
    <w:rsid w:val="00BA5324"/>
    <w:rsid w:val="00BA592F"/>
    <w:rsid w:val="00BA61E0"/>
    <w:rsid w:val="00BA6D58"/>
    <w:rsid w:val="00BA6E86"/>
    <w:rsid w:val="00BA7F7D"/>
    <w:rsid w:val="00BB15DF"/>
    <w:rsid w:val="00BB1C14"/>
    <w:rsid w:val="00BB30F9"/>
    <w:rsid w:val="00BB31D2"/>
    <w:rsid w:val="00BB326C"/>
    <w:rsid w:val="00BB423C"/>
    <w:rsid w:val="00BB6847"/>
    <w:rsid w:val="00BB7F8F"/>
    <w:rsid w:val="00BC08C7"/>
    <w:rsid w:val="00BC6EC7"/>
    <w:rsid w:val="00BC716A"/>
    <w:rsid w:val="00BD05D4"/>
    <w:rsid w:val="00BD07DF"/>
    <w:rsid w:val="00BD26F4"/>
    <w:rsid w:val="00BD320C"/>
    <w:rsid w:val="00BD49B4"/>
    <w:rsid w:val="00BD5A3D"/>
    <w:rsid w:val="00BD5DBD"/>
    <w:rsid w:val="00BD5DF6"/>
    <w:rsid w:val="00BD70DA"/>
    <w:rsid w:val="00BD76C9"/>
    <w:rsid w:val="00BE0041"/>
    <w:rsid w:val="00BE1A90"/>
    <w:rsid w:val="00BE3A36"/>
    <w:rsid w:val="00BE4AB6"/>
    <w:rsid w:val="00BE640F"/>
    <w:rsid w:val="00BF0BF9"/>
    <w:rsid w:val="00BF29AA"/>
    <w:rsid w:val="00BF4075"/>
    <w:rsid w:val="00BF4638"/>
    <w:rsid w:val="00BF5130"/>
    <w:rsid w:val="00C059D0"/>
    <w:rsid w:val="00C07551"/>
    <w:rsid w:val="00C07EEF"/>
    <w:rsid w:val="00C1109F"/>
    <w:rsid w:val="00C11765"/>
    <w:rsid w:val="00C12D65"/>
    <w:rsid w:val="00C133AB"/>
    <w:rsid w:val="00C150C5"/>
    <w:rsid w:val="00C20B56"/>
    <w:rsid w:val="00C22214"/>
    <w:rsid w:val="00C226C1"/>
    <w:rsid w:val="00C229B8"/>
    <w:rsid w:val="00C2599C"/>
    <w:rsid w:val="00C26F72"/>
    <w:rsid w:val="00C301B8"/>
    <w:rsid w:val="00C309A7"/>
    <w:rsid w:val="00C31A8B"/>
    <w:rsid w:val="00C324C4"/>
    <w:rsid w:val="00C335AB"/>
    <w:rsid w:val="00C3602F"/>
    <w:rsid w:val="00C407AB"/>
    <w:rsid w:val="00C44FE3"/>
    <w:rsid w:val="00C4515F"/>
    <w:rsid w:val="00C47B60"/>
    <w:rsid w:val="00C52B7B"/>
    <w:rsid w:val="00C52EFD"/>
    <w:rsid w:val="00C543DD"/>
    <w:rsid w:val="00C547CD"/>
    <w:rsid w:val="00C559F5"/>
    <w:rsid w:val="00C56F10"/>
    <w:rsid w:val="00C57094"/>
    <w:rsid w:val="00C570FF"/>
    <w:rsid w:val="00C57CEA"/>
    <w:rsid w:val="00C60FEC"/>
    <w:rsid w:val="00C62B5E"/>
    <w:rsid w:val="00C63BD3"/>
    <w:rsid w:val="00C6574E"/>
    <w:rsid w:val="00C670FD"/>
    <w:rsid w:val="00C675F3"/>
    <w:rsid w:val="00C67E36"/>
    <w:rsid w:val="00C707FD"/>
    <w:rsid w:val="00C72B52"/>
    <w:rsid w:val="00C76A08"/>
    <w:rsid w:val="00C76DEB"/>
    <w:rsid w:val="00C815FB"/>
    <w:rsid w:val="00C816C6"/>
    <w:rsid w:val="00C8333D"/>
    <w:rsid w:val="00C863A7"/>
    <w:rsid w:val="00C912F4"/>
    <w:rsid w:val="00C9156F"/>
    <w:rsid w:val="00C92338"/>
    <w:rsid w:val="00C933D4"/>
    <w:rsid w:val="00C9581A"/>
    <w:rsid w:val="00C9784F"/>
    <w:rsid w:val="00C97D29"/>
    <w:rsid w:val="00CA05E6"/>
    <w:rsid w:val="00CA6CEB"/>
    <w:rsid w:val="00CB0550"/>
    <w:rsid w:val="00CB1907"/>
    <w:rsid w:val="00CB4E0A"/>
    <w:rsid w:val="00CB6813"/>
    <w:rsid w:val="00CB7CE6"/>
    <w:rsid w:val="00CC0CF5"/>
    <w:rsid w:val="00CC2260"/>
    <w:rsid w:val="00CC4797"/>
    <w:rsid w:val="00CC4DB4"/>
    <w:rsid w:val="00CD29CF"/>
    <w:rsid w:val="00CD5A0A"/>
    <w:rsid w:val="00CD69DD"/>
    <w:rsid w:val="00CE199E"/>
    <w:rsid w:val="00CE74F3"/>
    <w:rsid w:val="00CE7CD2"/>
    <w:rsid w:val="00CF4A41"/>
    <w:rsid w:val="00CF4CF3"/>
    <w:rsid w:val="00CF6A55"/>
    <w:rsid w:val="00CF6DC6"/>
    <w:rsid w:val="00CF6DCF"/>
    <w:rsid w:val="00D01DDB"/>
    <w:rsid w:val="00D04069"/>
    <w:rsid w:val="00D042A8"/>
    <w:rsid w:val="00D05F20"/>
    <w:rsid w:val="00D0673A"/>
    <w:rsid w:val="00D077C2"/>
    <w:rsid w:val="00D078BE"/>
    <w:rsid w:val="00D1149B"/>
    <w:rsid w:val="00D1294B"/>
    <w:rsid w:val="00D13F8A"/>
    <w:rsid w:val="00D141D4"/>
    <w:rsid w:val="00D153E2"/>
    <w:rsid w:val="00D16F60"/>
    <w:rsid w:val="00D21E01"/>
    <w:rsid w:val="00D22981"/>
    <w:rsid w:val="00D237F8"/>
    <w:rsid w:val="00D263BF"/>
    <w:rsid w:val="00D26B89"/>
    <w:rsid w:val="00D3349B"/>
    <w:rsid w:val="00D424A8"/>
    <w:rsid w:val="00D46EEF"/>
    <w:rsid w:val="00D470BF"/>
    <w:rsid w:val="00D518A3"/>
    <w:rsid w:val="00D51A64"/>
    <w:rsid w:val="00D56C61"/>
    <w:rsid w:val="00D572A6"/>
    <w:rsid w:val="00D6036F"/>
    <w:rsid w:val="00D606FB"/>
    <w:rsid w:val="00D613E9"/>
    <w:rsid w:val="00D62877"/>
    <w:rsid w:val="00D63760"/>
    <w:rsid w:val="00D645CD"/>
    <w:rsid w:val="00D6674A"/>
    <w:rsid w:val="00D6703F"/>
    <w:rsid w:val="00D72A77"/>
    <w:rsid w:val="00D734EB"/>
    <w:rsid w:val="00D76B13"/>
    <w:rsid w:val="00D82713"/>
    <w:rsid w:val="00D86F00"/>
    <w:rsid w:val="00D87441"/>
    <w:rsid w:val="00D87C59"/>
    <w:rsid w:val="00D87E70"/>
    <w:rsid w:val="00D9160C"/>
    <w:rsid w:val="00D918D5"/>
    <w:rsid w:val="00D94C8E"/>
    <w:rsid w:val="00D95AF2"/>
    <w:rsid w:val="00D95AFE"/>
    <w:rsid w:val="00D95C28"/>
    <w:rsid w:val="00DA0491"/>
    <w:rsid w:val="00DA77F1"/>
    <w:rsid w:val="00DB1372"/>
    <w:rsid w:val="00DB192C"/>
    <w:rsid w:val="00DB1CF3"/>
    <w:rsid w:val="00DB2F73"/>
    <w:rsid w:val="00DB442C"/>
    <w:rsid w:val="00DB5425"/>
    <w:rsid w:val="00DB72A6"/>
    <w:rsid w:val="00DC1BA9"/>
    <w:rsid w:val="00DC1FC8"/>
    <w:rsid w:val="00DC5330"/>
    <w:rsid w:val="00DC6611"/>
    <w:rsid w:val="00DD3203"/>
    <w:rsid w:val="00DD6349"/>
    <w:rsid w:val="00DD79F2"/>
    <w:rsid w:val="00DE1344"/>
    <w:rsid w:val="00DE174D"/>
    <w:rsid w:val="00DE4C91"/>
    <w:rsid w:val="00DF40F5"/>
    <w:rsid w:val="00DF5BFE"/>
    <w:rsid w:val="00DF66DA"/>
    <w:rsid w:val="00DF77DE"/>
    <w:rsid w:val="00E00601"/>
    <w:rsid w:val="00E03A37"/>
    <w:rsid w:val="00E0523F"/>
    <w:rsid w:val="00E077C4"/>
    <w:rsid w:val="00E11EF3"/>
    <w:rsid w:val="00E14E9D"/>
    <w:rsid w:val="00E16C50"/>
    <w:rsid w:val="00E17134"/>
    <w:rsid w:val="00E23E50"/>
    <w:rsid w:val="00E26213"/>
    <w:rsid w:val="00E274DF"/>
    <w:rsid w:val="00E30021"/>
    <w:rsid w:val="00E33A3B"/>
    <w:rsid w:val="00E34D66"/>
    <w:rsid w:val="00E362C4"/>
    <w:rsid w:val="00E40150"/>
    <w:rsid w:val="00E42BA2"/>
    <w:rsid w:val="00E45A4F"/>
    <w:rsid w:val="00E46CC2"/>
    <w:rsid w:val="00E4746F"/>
    <w:rsid w:val="00E47E0C"/>
    <w:rsid w:val="00E51813"/>
    <w:rsid w:val="00E52C0B"/>
    <w:rsid w:val="00E53D3F"/>
    <w:rsid w:val="00E540EF"/>
    <w:rsid w:val="00E5579B"/>
    <w:rsid w:val="00E575FE"/>
    <w:rsid w:val="00E57FF4"/>
    <w:rsid w:val="00E62657"/>
    <w:rsid w:val="00E63534"/>
    <w:rsid w:val="00E66AAB"/>
    <w:rsid w:val="00E679D1"/>
    <w:rsid w:val="00E67C1C"/>
    <w:rsid w:val="00E753F4"/>
    <w:rsid w:val="00E800F9"/>
    <w:rsid w:val="00E80FF5"/>
    <w:rsid w:val="00E84002"/>
    <w:rsid w:val="00E84C8C"/>
    <w:rsid w:val="00E865ED"/>
    <w:rsid w:val="00E90BCC"/>
    <w:rsid w:val="00E91F11"/>
    <w:rsid w:val="00E9706D"/>
    <w:rsid w:val="00EA06BB"/>
    <w:rsid w:val="00EA3AF4"/>
    <w:rsid w:val="00EB0ECB"/>
    <w:rsid w:val="00EB2196"/>
    <w:rsid w:val="00EB2531"/>
    <w:rsid w:val="00EB3393"/>
    <w:rsid w:val="00EB5750"/>
    <w:rsid w:val="00EB7EE4"/>
    <w:rsid w:val="00ED035C"/>
    <w:rsid w:val="00ED38F5"/>
    <w:rsid w:val="00EE01A9"/>
    <w:rsid w:val="00EE0E28"/>
    <w:rsid w:val="00EE1692"/>
    <w:rsid w:val="00EE17C5"/>
    <w:rsid w:val="00EF0B87"/>
    <w:rsid w:val="00EF0ECA"/>
    <w:rsid w:val="00EF3F0B"/>
    <w:rsid w:val="00EF5071"/>
    <w:rsid w:val="00EF5583"/>
    <w:rsid w:val="00F0136B"/>
    <w:rsid w:val="00F0289D"/>
    <w:rsid w:val="00F02AEC"/>
    <w:rsid w:val="00F07572"/>
    <w:rsid w:val="00F0D291"/>
    <w:rsid w:val="00F11685"/>
    <w:rsid w:val="00F11BC7"/>
    <w:rsid w:val="00F14BAC"/>
    <w:rsid w:val="00F152BA"/>
    <w:rsid w:val="00F157FC"/>
    <w:rsid w:val="00F2101F"/>
    <w:rsid w:val="00F2199A"/>
    <w:rsid w:val="00F22012"/>
    <w:rsid w:val="00F24A5D"/>
    <w:rsid w:val="00F30AF3"/>
    <w:rsid w:val="00F35454"/>
    <w:rsid w:val="00F363F2"/>
    <w:rsid w:val="00F366B5"/>
    <w:rsid w:val="00F37D60"/>
    <w:rsid w:val="00F43CD1"/>
    <w:rsid w:val="00F44743"/>
    <w:rsid w:val="00F45AE0"/>
    <w:rsid w:val="00F45EB6"/>
    <w:rsid w:val="00F51BA7"/>
    <w:rsid w:val="00F52BF3"/>
    <w:rsid w:val="00F54B04"/>
    <w:rsid w:val="00F60CF2"/>
    <w:rsid w:val="00F61C7D"/>
    <w:rsid w:val="00F64A61"/>
    <w:rsid w:val="00F65095"/>
    <w:rsid w:val="00F657B4"/>
    <w:rsid w:val="00F723CB"/>
    <w:rsid w:val="00F73052"/>
    <w:rsid w:val="00F76116"/>
    <w:rsid w:val="00F7649F"/>
    <w:rsid w:val="00F8083B"/>
    <w:rsid w:val="00F81D74"/>
    <w:rsid w:val="00F825BE"/>
    <w:rsid w:val="00F82D1B"/>
    <w:rsid w:val="00F8589F"/>
    <w:rsid w:val="00F86160"/>
    <w:rsid w:val="00F865A7"/>
    <w:rsid w:val="00F868F4"/>
    <w:rsid w:val="00F87021"/>
    <w:rsid w:val="00F93A1E"/>
    <w:rsid w:val="00F94C22"/>
    <w:rsid w:val="00F9720C"/>
    <w:rsid w:val="00F979A5"/>
    <w:rsid w:val="00FA0754"/>
    <w:rsid w:val="00FA1BC9"/>
    <w:rsid w:val="00FA3095"/>
    <w:rsid w:val="00FA30B1"/>
    <w:rsid w:val="00FA373E"/>
    <w:rsid w:val="00FA479F"/>
    <w:rsid w:val="00FA49C3"/>
    <w:rsid w:val="00FA661D"/>
    <w:rsid w:val="00FA75F8"/>
    <w:rsid w:val="00FA7A62"/>
    <w:rsid w:val="00FB0027"/>
    <w:rsid w:val="00FB236E"/>
    <w:rsid w:val="00FB3F7B"/>
    <w:rsid w:val="00FB4BEA"/>
    <w:rsid w:val="00FB4C2A"/>
    <w:rsid w:val="00FB792E"/>
    <w:rsid w:val="00FC04D8"/>
    <w:rsid w:val="00FC2107"/>
    <w:rsid w:val="00FC28CC"/>
    <w:rsid w:val="00FC44ED"/>
    <w:rsid w:val="00FC48FE"/>
    <w:rsid w:val="00FC6F56"/>
    <w:rsid w:val="00FD1667"/>
    <w:rsid w:val="00FD2FF5"/>
    <w:rsid w:val="00FD3594"/>
    <w:rsid w:val="00FD3F37"/>
    <w:rsid w:val="00FD51B6"/>
    <w:rsid w:val="00FD534A"/>
    <w:rsid w:val="00FD7AFE"/>
    <w:rsid w:val="00FE087C"/>
    <w:rsid w:val="00FE1035"/>
    <w:rsid w:val="00FE477D"/>
    <w:rsid w:val="00FE4884"/>
    <w:rsid w:val="00FE4E84"/>
    <w:rsid w:val="00FE6146"/>
    <w:rsid w:val="00FE79A0"/>
    <w:rsid w:val="00FF0682"/>
    <w:rsid w:val="00FF0939"/>
    <w:rsid w:val="00FF1F8B"/>
    <w:rsid w:val="0BAF2511"/>
    <w:rsid w:val="17548362"/>
    <w:rsid w:val="2AFB6E4C"/>
    <w:rsid w:val="30919F07"/>
    <w:rsid w:val="35E41C89"/>
    <w:rsid w:val="43A195A2"/>
    <w:rsid w:val="4F06037E"/>
    <w:rsid w:val="5E0AD2FE"/>
    <w:rsid w:val="626066E9"/>
    <w:rsid w:val="6670053C"/>
    <w:rsid w:val="7615D7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F167B2FD-24B3-4A80-AD58-18F46DEAD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Wingdings 3" w:hAnsi="Wingdings 3"/>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Standard">
    <w:name w:val="Standard"/>
    <w:basedOn w:val="Normal"/>
    <w:link w:val="StandardChar"/>
    <w:qFormat/>
    <w:rsid w:val="00426FAA"/>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426FAA"/>
    <w:rPr>
      <w:rFonts w:ascii="Cambria" w:eastAsia="Times New Roman" w:hAnsi="Cambria" w:cs="Times New Roman"/>
      <w:snapToGrid w:val="0"/>
      <w:kern w:val="16"/>
      <w:sz w:val="23"/>
      <w:szCs w:val="24"/>
    </w:rPr>
  </w:style>
  <w:style w:type="paragraph" w:customStyle="1" w:styleId="Tabletext0">
    <w:name w:val="Table text"/>
    <w:basedOn w:val="Standard"/>
    <w:link w:val="TabletextChar"/>
    <w:qFormat/>
    <w:rsid w:val="00426FAA"/>
    <w:pPr>
      <w:spacing w:before="20" w:after="20"/>
    </w:pPr>
  </w:style>
  <w:style w:type="paragraph" w:customStyle="1" w:styleId="Bulletlist">
    <w:name w:val="Bullet list"/>
    <w:basedOn w:val="Standard"/>
    <w:link w:val="BulletlistChar"/>
    <w:qFormat/>
    <w:rsid w:val="00426FAA"/>
    <w:pPr>
      <w:numPr>
        <w:numId w:val="15"/>
      </w:numPr>
      <w:spacing w:after="180"/>
    </w:pPr>
    <w:rPr>
      <w:kern w:val="2"/>
      <w:szCs w:val="22"/>
    </w:rPr>
  </w:style>
  <w:style w:type="character" w:customStyle="1" w:styleId="TabletextChar">
    <w:name w:val="Table text Char"/>
    <w:basedOn w:val="StandardChar"/>
    <w:link w:val="Tabletext0"/>
    <w:rsid w:val="00426FAA"/>
    <w:rPr>
      <w:rFonts w:ascii="Cambria" w:eastAsia="Times New Roman" w:hAnsi="Cambria" w:cs="Times New Roman"/>
      <w:snapToGrid w:val="0"/>
      <w:kern w:val="16"/>
      <w:sz w:val="23"/>
      <w:szCs w:val="24"/>
    </w:rPr>
  </w:style>
  <w:style w:type="character" w:customStyle="1" w:styleId="BulletlistChar">
    <w:name w:val="Bullet list Char"/>
    <w:basedOn w:val="StandardChar"/>
    <w:link w:val="Bulletlist"/>
    <w:rsid w:val="00426FAA"/>
    <w:rPr>
      <w:rFonts w:ascii="Cambria" w:eastAsia="Times New Roman" w:hAnsi="Cambria" w:cs="Times New Roman"/>
      <w:snapToGrid w:val="0"/>
      <w:kern w:val="2"/>
      <w:sz w:val="23"/>
      <w:szCs w:val="22"/>
    </w:rPr>
  </w:style>
  <w:style w:type="character" w:styleId="Mention">
    <w:name w:val="Mention"/>
    <w:basedOn w:val="DefaultParagraphFont"/>
    <w:uiPriority w:val="99"/>
    <w:unhideWhenUsed/>
    <w:rsid w:val="00441D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1156413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4.png"/><Relationship Id="rId39" Type="http://schemas.openxmlformats.org/officeDocument/2006/relationships/hyperlink" Target="https://www.tga.gov.au/products/australian-register-therapeutic-goods-artg/product-information-one" TargetMode="External"/><Relationship Id="rId3" Type="http://schemas.openxmlformats.org/officeDocument/2006/relationships/customXml" Target="../customXml/item3.xml"/><Relationship Id="rId21" Type="http://schemas.openxmlformats.org/officeDocument/2006/relationships/hyperlink" Target="https://www.tga.gov.au/comparable-overseas-regulators-cors-timeframes-and-milestones" TargetMode="External"/><Relationship Id="rId34" Type="http://schemas.openxmlformats.org/officeDocument/2006/relationships/image" Target="media/image12.png"/><Relationship Id="rId42" Type="http://schemas.openxmlformats.org/officeDocument/2006/relationships/hyperlink" Target="https://www.tga.gov.au/picmi-search-facility"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sites/default/files/2024-05/EMACHMP7718152011%20rev%202%20Products%20for%20MS%20~stigation%20of%20medicinal%20products%20for%20the%20treatment%20of%20Multiple%20Sclerosis%20CURRENT.PDF" TargetMode="External"/><Relationship Id="rId33" Type="http://schemas.openxmlformats.org/officeDocument/2006/relationships/image" Target="media/image11.png"/><Relationship Id="rId38" Type="http://schemas.openxmlformats.org/officeDocument/2006/relationships/footer" Target="footer3.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7.png"/><Relationship Id="rId41" Type="http://schemas.openxmlformats.org/officeDocument/2006/relationships/hyperlink" Target="https://www.tga.gov.au/products/australian-register-therapeutic-goods-artg/consumer-medicines-information-cm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resources/resource/international-scientific-guidelines/international-scientific-guideline-guideline-similar-biological-medicinal-products-containing-monoclonal-antibodies-non-clinical-and-clinical-issues" TargetMode="External"/><Relationship Id="rId32" Type="http://schemas.openxmlformats.org/officeDocument/2006/relationships/image" Target="media/image10.png"/><Relationship Id="rId37" Type="http://schemas.openxmlformats.org/officeDocument/2006/relationships/header" Target="header3.xml"/><Relationship Id="rId40" Type="http://schemas.openxmlformats.org/officeDocument/2006/relationships/hyperlink" Target="https://www.tga.gov.au/products/australian-register-therapeutic-goods-artg/product-information-one"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resources/resource/international-scientific-guidelines/international-scientific-guidelines-guideline-similar-biological-medicinal-products" TargetMode="External"/><Relationship Id="rId28" Type="http://schemas.openxmlformats.org/officeDocument/2006/relationships/image" Target="media/image6.png"/><Relationship Id="rId36" Type="http://schemas.openxmlformats.org/officeDocument/2006/relationships/hyperlink" Target="https://www.tga.gov.au/committee/advisory-committee-medicines-acm" TargetMode="Externa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9.png"/><Relationship Id="rId44"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mailto:info@tga.gov.au"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gldcdp.tg.org.au/viewTopic?etgAccess=true&amp;guidelinePage=Neurology&amp;topicfile=multiple-sclerosis&amp;guidelinename=Neurology&amp;sectionId=toc_d1e1503"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6036CA5AA2DC42B4FBCA2E46EE3806" ma:contentTypeVersion="3" ma:contentTypeDescription="Create a new document." ma:contentTypeScope="" ma:versionID="a4e50140aa48ad1a064471c4ee0cca1d">
  <xsd:schema xmlns:xsd="http://www.w3.org/2001/XMLSchema" xmlns:xs="http://www.w3.org/2001/XMLSchema" xmlns:p="http://schemas.microsoft.com/office/2006/metadata/properties" xmlns:ns2="034567d4-30a2-4f6f-b6e3-91bfb586b214" targetNamespace="http://schemas.microsoft.com/office/2006/metadata/properties" ma:root="true" ma:fieldsID="f8f5239db2c120135e55c6db8a58e720" ns2:_="">
    <xsd:import namespace="034567d4-30a2-4f6f-b6e3-91bfb586b21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567d4-30a2-4f6f-b6e3-91bfb586b2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The24</b:Tag>
    <b:SourceType>ElectronicSource</b:SourceType>
    <b:Guid>{6A227E3C-9986-4E28-B1AB-6C85F4776440}</b:Guid>
    <b:Title>Therapeutic Guidelines Neurology</b:Title>
    <b:Author>
      <b:Author>
        <b:Corporate>Therapeutic Guidelines</b:Corporate>
      </b:Author>
    </b:Author>
    <b:CountryRegion>Australia</b:CountryRegion>
    <b:YearAccessed>2024</b:YearAccessed>
    <b:MonthAccessed>June</b:MonthAccessed>
    <b:DayAccessed>18</b:DayAccessed>
    <b:URL>https://tgldcdp.tg.org.au/viewTopic?etgAccess=true&amp;guidelinePage=Neurology&amp;topicfile=multiple-sclerosis&amp;guidelinename=Neurology&amp;sectionId=toc_d1e1503#toc_d1e1503</b:URL>
    <b:RefOrder>1</b:RefOrder>
  </b:Source>
</b:Sources>
</file>

<file path=customXml/itemProps1.xml><?xml version="1.0" encoding="utf-8"?>
<ds:datastoreItem xmlns:ds="http://schemas.openxmlformats.org/officeDocument/2006/customXml" ds:itemID="{6C68432C-BBD4-49DA-A9C7-8D74994EC138}">
  <ds:schemaRefs>
    <ds:schemaRef ds:uri="http://schemas.microsoft.com/sharepoint/v3/contenttype/forms"/>
  </ds:schemaRefs>
</ds:datastoreItem>
</file>

<file path=customXml/itemProps2.xml><?xml version="1.0" encoding="utf-8"?>
<ds:datastoreItem xmlns:ds="http://schemas.openxmlformats.org/officeDocument/2006/customXml" ds:itemID="{B60B8F4A-FEBB-4FD3-B34B-871D00A5C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567d4-30a2-4f6f-b6e3-91bfb586b2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EB1849-5575-463E-A3DD-A0B81CC114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4A655A-61C2-414D-BDE8-59D7C811A1F8}">
  <ds:schemaRefs>
    <ds:schemaRef ds:uri="http://schemas.openxmlformats.org/officeDocument/2006/bibliography"/>
  </ds:schemaRefs>
</ds:datastoreItem>
</file>

<file path=docMetadata/LabelInfo.xml><?xml version="1.0" encoding="utf-8"?>
<clbl:labelList xmlns:clbl="http://schemas.microsoft.com/office/2020/mipLabelMetadata">
  <clbl:label id="{6dcd08ae-1359-412b-948b-ab375616dfe7}" enabled="1" method="Standard" siteId="{15eae2cb-1c94-4d1f-804f-cb0c347dbdad}" removed="0"/>
</clbl:labelList>
</file>

<file path=docProps/app.xml><?xml version="1.0" encoding="utf-8"?>
<Properties xmlns="http://schemas.openxmlformats.org/officeDocument/2006/extended-properties" xmlns:vt="http://schemas.openxmlformats.org/officeDocument/2006/docPropsVTypes">
  <Template>Normal.dotm</Template>
  <TotalTime>280</TotalTime>
  <Pages>27</Pages>
  <Words>8259</Words>
  <Characters>47081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55230</CharactersWithSpaces>
  <SharedDoc>false</SharedDoc>
  <HLinks>
    <vt:vector size="294" baseType="variant">
      <vt:variant>
        <vt:i4>3473445</vt:i4>
      </vt:variant>
      <vt:variant>
        <vt:i4>285</vt:i4>
      </vt:variant>
      <vt:variant>
        <vt:i4>0</vt:i4>
      </vt:variant>
      <vt:variant>
        <vt:i4>5</vt:i4>
      </vt:variant>
      <vt:variant>
        <vt:lpwstr>https://www.tga.gov.au/</vt:lpwstr>
      </vt:variant>
      <vt:variant>
        <vt:lpwstr/>
      </vt:variant>
      <vt:variant>
        <vt:i4>5242926</vt:i4>
      </vt:variant>
      <vt:variant>
        <vt:i4>282</vt:i4>
      </vt:variant>
      <vt:variant>
        <vt:i4>0</vt:i4>
      </vt:variant>
      <vt:variant>
        <vt:i4>5</vt:i4>
      </vt:variant>
      <vt:variant>
        <vt:lpwstr>mailto:info@tga.gov.au</vt:lpwstr>
      </vt:variant>
      <vt:variant>
        <vt:lpwstr/>
      </vt:variant>
      <vt:variant>
        <vt:i4>720961</vt:i4>
      </vt:variant>
      <vt:variant>
        <vt:i4>279</vt:i4>
      </vt:variant>
      <vt:variant>
        <vt:i4>0</vt:i4>
      </vt:variant>
      <vt:variant>
        <vt:i4>5</vt:i4>
      </vt:variant>
      <vt:variant>
        <vt:lpwstr>https://www.tga.gov.au/picmi-search-facility</vt:lpwstr>
      </vt:variant>
      <vt:variant>
        <vt:lpwstr/>
      </vt:variant>
      <vt:variant>
        <vt:i4>983049</vt:i4>
      </vt:variant>
      <vt:variant>
        <vt:i4>276</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273</vt:i4>
      </vt:variant>
      <vt:variant>
        <vt:i4>0</vt:i4>
      </vt:variant>
      <vt:variant>
        <vt:i4>5</vt:i4>
      </vt:variant>
      <vt:variant>
        <vt:lpwstr>https://www.tga.gov.au/products/australian-register-therapeutic-goods-artg/product-information-one</vt:lpwstr>
      </vt:variant>
      <vt:variant>
        <vt:lpwstr/>
      </vt:variant>
      <vt:variant>
        <vt:i4>2752617</vt:i4>
      </vt:variant>
      <vt:variant>
        <vt:i4>270</vt:i4>
      </vt:variant>
      <vt:variant>
        <vt:i4>0</vt:i4>
      </vt:variant>
      <vt:variant>
        <vt:i4>5</vt:i4>
      </vt:variant>
      <vt:variant>
        <vt:lpwstr>https://www.tga.gov.au/products/australian-register-therapeutic-goods-artg/product-information-one</vt:lpwstr>
      </vt:variant>
      <vt:variant>
        <vt:lpwstr/>
      </vt:variant>
      <vt:variant>
        <vt:i4>524365</vt:i4>
      </vt:variant>
      <vt:variant>
        <vt:i4>267</vt:i4>
      </vt:variant>
      <vt:variant>
        <vt:i4>0</vt:i4>
      </vt:variant>
      <vt:variant>
        <vt:i4>5</vt:i4>
      </vt:variant>
      <vt:variant>
        <vt:lpwstr>https://www.tga.gov.au/committee/advisory-committee-medicines-acm</vt:lpwstr>
      </vt:variant>
      <vt:variant>
        <vt:lpwstr/>
      </vt:variant>
      <vt:variant>
        <vt:i4>2097213</vt:i4>
      </vt:variant>
      <vt:variant>
        <vt:i4>198</vt:i4>
      </vt:variant>
      <vt:variant>
        <vt:i4>0</vt:i4>
      </vt:variant>
      <vt:variant>
        <vt:i4>5</vt:i4>
      </vt:variant>
      <vt:variant>
        <vt:lpwstr>https://www.tga.gov.au/sites/default/files/2024-05/EMACHMP7718152011 rev 2 Products for MS ~stigation of medicinal products for the treatment of Multiple Sclerosis CURRENT.PDF</vt:lpwstr>
      </vt:variant>
      <vt:variant>
        <vt:lpwstr/>
      </vt:variant>
      <vt:variant>
        <vt:i4>2949228</vt:i4>
      </vt:variant>
      <vt:variant>
        <vt:i4>195</vt:i4>
      </vt:variant>
      <vt:variant>
        <vt:i4>0</vt:i4>
      </vt:variant>
      <vt:variant>
        <vt:i4>5</vt:i4>
      </vt:variant>
      <vt:variant>
        <vt:lpwstr>https://www.tga.gov.au/resources/resource/international-scientific-guidelines/international-scientific-guideline-guideline-similar-biological-medicinal-products-containing-monoclonal-antibodies-non-clinical-and-clinical-issues</vt:lpwstr>
      </vt:variant>
      <vt:variant>
        <vt:lpwstr/>
      </vt:variant>
      <vt:variant>
        <vt:i4>131161</vt:i4>
      </vt:variant>
      <vt:variant>
        <vt:i4>192</vt:i4>
      </vt:variant>
      <vt:variant>
        <vt:i4>0</vt:i4>
      </vt:variant>
      <vt:variant>
        <vt:i4>5</vt:i4>
      </vt:variant>
      <vt:variant>
        <vt:lpwstr>https://www.tga.gov.au/resources/resource/international-scientific-guidelines/international-scientific-guidelines-guideline-similar-biological-medicinal-products</vt:lpwstr>
      </vt:variant>
      <vt:variant>
        <vt:lpwstr/>
      </vt:variant>
      <vt:variant>
        <vt:i4>1835097</vt:i4>
      </vt:variant>
      <vt:variant>
        <vt:i4>186</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5636121</vt:i4>
      </vt:variant>
      <vt:variant>
        <vt:i4>183</vt:i4>
      </vt:variant>
      <vt:variant>
        <vt:i4>0</vt:i4>
      </vt:variant>
      <vt:variant>
        <vt:i4>5</vt:i4>
      </vt:variant>
      <vt:variant>
        <vt:lpwstr>https://www.tga.gov.au/comparable-overseas-regulators-cors-timeframes-and-milestones</vt:lpwstr>
      </vt:variant>
      <vt:variant>
        <vt:lpwstr/>
      </vt:variant>
      <vt:variant>
        <vt:i4>3670063</vt:i4>
      </vt:variant>
      <vt:variant>
        <vt:i4>180</vt:i4>
      </vt:variant>
      <vt:variant>
        <vt:i4>0</vt:i4>
      </vt:variant>
      <vt:variant>
        <vt:i4>5</vt:i4>
      </vt:variant>
      <vt:variant>
        <vt:lpwstr>https://www.tga.gov.au/obstetric-drug-information-services</vt:lpwstr>
      </vt:variant>
      <vt:variant>
        <vt:lpwstr/>
      </vt:variant>
      <vt:variant>
        <vt:i4>2949173</vt:i4>
      </vt:variant>
      <vt:variant>
        <vt:i4>177</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174</vt:i4>
      </vt:variant>
      <vt:variant>
        <vt:i4>0</vt:i4>
      </vt:variant>
      <vt:variant>
        <vt:i4>5</vt:i4>
      </vt:variant>
      <vt:variant>
        <vt:lpwstr>https://www.tga.gov.au/black-triangle-scheme</vt:lpwstr>
      </vt:variant>
      <vt:variant>
        <vt:lpwstr/>
      </vt:variant>
      <vt:variant>
        <vt:i4>1835067</vt:i4>
      </vt:variant>
      <vt:variant>
        <vt:i4>167</vt:i4>
      </vt:variant>
      <vt:variant>
        <vt:i4>0</vt:i4>
      </vt:variant>
      <vt:variant>
        <vt:i4>5</vt:i4>
      </vt:variant>
      <vt:variant>
        <vt:lpwstr/>
      </vt:variant>
      <vt:variant>
        <vt:lpwstr>_Toc200986146</vt:lpwstr>
      </vt:variant>
      <vt:variant>
        <vt:i4>1835067</vt:i4>
      </vt:variant>
      <vt:variant>
        <vt:i4>161</vt:i4>
      </vt:variant>
      <vt:variant>
        <vt:i4>0</vt:i4>
      </vt:variant>
      <vt:variant>
        <vt:i4>5</vt:i4>
      </vt:variant>
      <vt:variant>
        <vt:lpwstr/>
      </vt:variant>
      <vt:variant>
        <vt:lpwstr>_Toc200986145</vt:lpwstr>
      </vt:variant>
      <vt:variant>
        <vt:i4>1835067</vt:i4>
      </vt:variant>
      <vt:variant>
        <vt:i4>155</vt:i4>
      </vt:variant>
      <vt:variant>
        <vt:i4>0</vt:i4>
      </vt:variant>
      <vt:variant>
        <vt:i4>5</vt:i4>
      </vt:variant>
      <vt:variant>
        <vt:lpwstr/>
      </vt:variant>
      <vt:variant>
        <vt:lpwstr>_Toc200986144</vt:lpwstr>
      </vt:variant>
      <vt:variant>
        <vt:i4>1835067</vt:i4>
      </vt:variant>
      <vt:variant>
        <vt:i4>149</vt:i4>
      </vt:variant>
      <vt:variant>
        <vt:i4>0</vt:i4>
      </vt:variant>
      <vt:variant>
        <vt:i4>5</vt:i4>
      </vt:variant>
      <vt:variant>
        <vt:lpwstr/>
      </vt:variant>
      <vt:variant>
        <vt:lpwstr>_Toc200986143</vt:lpwstr>
      </vt:variant>
      <vt:variant>
        <vt:i4>1835067</vt:i4>
      </vt:variant>
      <vt:variant>
        <vt:i4>143</vt:i4>
      </vt:variant>
      <vt:variant>
        <vt:i4>0</vt:i4>
      </vt:variant>
      <vt:variant>
        <vt:i4>5</vt:i4>
      </vt:variant>
      <vt:variant>
        <vt:lpwstr/>
      </vt:variant>
      <vt:variant>
        <vt:lpwstr>_Toc200986142</vt:lpwstr>
      </vt:variant>
      <vt:variant>
        <vt:i4>1835067</vt:i4>
      </vt:variant>
      <vt:variant>
        <vt:i4>137</vt:i4>
      </vt:variant>
      <vt:variant>
        <vt:i4>0</vt:i4>
      </vt:variant>
      <vt:variant>
        <vt:i4>5</vt:i4>
      </vt:variant>
      <vt:variant>
        <vt:lpwstr/>
      </vt:variant>
      <vt:variant>
        <vt:lpwstr>_Toc200986141</vt:lpwstr>
      </vt:variant>
      <vt:variant>
        <vt:i4>1835067</vt:i4>
      </vt:variant>
      <vt:variant>
        <vt:i4>131</vt:i4>
      </vt:variant>
      <vt:variant>
        <vt:i4>0</vt:i4>
      </vt:variant>
      <vt:variant>
        <vt:i4>5</vt:i4>
      </vt:variant>
      <vt:variant>
        <vt:lpwstr/>
      </vt:variant>
      <vt:variant>
        <vt:lpwstr>_Toc200986140</vt:lpwstr>
      </vt:variant>
      <vt:variant>
        <vt:i4>1769531</vt:i4>
      </vt:variant>
      <vt:variant>
        <vt:i4>125</vt:i4>
      </vt:variant>
      <vt:variant>
        <vt:i4>0</vt:i4>
      </vt:variant>
      <vt:variant>
        <vt:i4>5</vt:i4>
      </vt:variant>
      <vt:variant>
        <vt:lpwstr/>
      </vt:variant>
      <vt:variant>
        <vt:lpwstr>_Toc200986139</vt:lpwstr>
      </vt:variant>
      <vt:variant>
        <vt:i4>1769531</vt:i4>
      </vt:variant>
      <vt:variant>
        <vt:i4>119</vt:i4>
      </vt:variant>
      <vt:variant>
        <vt:i4>0</vt:i4>
      </vt:variant>
      <vt:variant>
        <vt:i4>5</vt:i4>
      </vt:variant>
      <vt:variant>
        <vt:lpwstr/>
      </vt:variant>
      <vt:variant>
        <vt:lpwstr>_Toc200986138</vt:lpwstr>
      </vt:variant>
      <vt:variant>
        <vt:i4>1769531</vt:i4>
      </vt:variant>
      <vt:variant>
        <vt:i4>113</vt:i4>
      </vt:variant>
      <vt:variant>
        <vt:i4>0</vt:i4>
      </vt:variant>
      <vt:variant>
        <vt:i4>5</vt:i4>
      </vt:variant>
      <vt:variant>
        <vt:lpwstr/>
      </vt:variant>
      <vt:variant>
        <vt:lpwstr>_Toc200986137</vt:lpwstr>
      </vt:variant>
      <vt:variant>
        <vt:i4>1769531</vt:i4>
      </vt:variant>
      <vt:variant>
        <vt:i4>107</vt:i4>
      </vt:variant>
      <vt:variant>
        <vt:i4>0</vt:i4>
      </vt:variant>
      <vt:variant>
        <vt:i4>5</vt:i4>
      </vt:variant>
      <vt:variant>
        <vt:lpwstr/>
      </vt:variant>
      <vt:variant>
        <vt:lpwstr>_Toc200986136</vt:lpwstr>
      </vt:variant>
      <vt:variant>
        <vt:i4>1769531</vt:i4>
      </vt:variant>
      <vt:variant>
        <vt:i4>101</vt:i4>
      </vt:variant>
      <vt:variant>
        <vt:i4>0</vt:i4>
      </vt:variant>
      <vt:variant>
        <vt:i4>5</vt:i4>
      </vt:variant>
      <vt:variant>
        <vt:lpwstr/>
      </vt:variant>
      <vt:variant>
        <vt:lpwstr>_Toc200986135</vt:lpwstr>
      </vt:variant>
      <vt:variant>
        <vt:i4>1769531</vt:i4>
      </vt:variant>
      <vt:variant>
        <vt:i4>95</vt:i4>
      </vt:variant>
      <vt:variant>
        <vt:i4>0</vt:i4>
      </vt:variant>
      <vt:variant>
        <vt:i4>5</vt:i4>
      </vt:variant>
      <vt:variant>
        <vt:lpwstr/>
      </vt:variant>
      <vt:variant>
        <vt:lpwstr>_Toc200986134</vt:lpwstr>
      </vt:variant>
      <vt:variant>
        <vt:i4>1769531</vt:i4>
      </vt:variant>
      <vt:variant>
        <vt:i4>89</vt:i4>
      </vt:variant>
      <vt:variant>
        <vt:i4>0</vt:i4>
      </vt:variant>
      <vt:variant>
        <vt:i4>5</vt:i4>
      </vt:variant>
      <vt:variant>
        <vt:lpwstr/>
      </vt:variant>
      <vt:variant>
        <vt:lpwstr>_Toc200986133</vt:lpwstr>
      </vt:variant>
      <vt:variant>
        <vt:i4>1769531</vt:i4>
      </vt:variant>
      <vt:variant>
        <vt:i4>83</vt:i4>
      </vt:variant>
      <vt:variant>
        <vt:i4>0</vt:i4>
      </vt:variant>
      <vt:variant>
        <vt:i4>5</vt:i4>
      </vt:variant>
      <vt:variant>
        <vt:lpwstr/>
      </vt:variant>
      <vt:variant>
        <vt:lpwstr>_Toc200986132</vt:lpwstr>
      </vt:variant>
      <vt:variant>
        <vt:i4>1769531</vt:i4>
      </vt:variant>
      <vt:variant>
        <vt:i4>77</vt:i4>
      </vt:variant>
      <vt:variant>
        <vt:i4>0</vt:i4>
      </vt:variant>
      <vt:variant>
        <vt:i4>5</vt:i4>
      </vt:variant>
      <vt:variant>
        <vt:lpwstr/>
      </vt:variant>
      <vt:variant>
        <vt:lpwstr>_Toc200986131</vt:lpwstr>
      </vt:variant>
      <vt:variant>
        <vt:i4>1769531</vt:i4>
      </vt:variant>
      <vt:variant>
        <vt:i4>71</vt:i4>
      </vt:variant>
      <vt:variant>
        <vt:i4>0</vt:i4>
      </vt:variant>
      <vt:variant>
        <vt:i4>5</vt:i4>
      </vt:variant>
      <vt:variant>
        <vt:lpwstr/>
      </vt:variant>
      <vt:variant>
        <vt:lpwstr>_Toc200986130</vt:lpwstr>
      </vt:variant>
      <vt:variant>
        <vt:i4>1703995</vt:i4>
      </vt:variant>
      <vt:variant>
        <vt:i4>65</vt:i4>
      </vt:variant>
      <vt:variant>
        <vt:i4>0</vt:i4>
      </vt:variant>
      <vt:variant>
        <vt:i4>5</vt:i4>
      </vt:variant>
      <vt:variant>
        <vt:lpwstr/>
      </vt:variant>
      <vt:variant>
        <vt:lpwstr>_Toc200986129</vt:lpwstr>
      </vt:variant>
      <vt:variant>
        <vt:i4>1703995</vt:i4>
      </vt:variant>
      <vt:variant>
        <vt:i4>59</vt:i4>
      </vt:variant>
      <vt:variant>
        <vt:i4>0</vt:i4>
      </vt:variant>
      <vt:variant>
        <vt:i4>5</vt:i4>
      </vt:variant>
      <vt:variant>
        <vt:lpwstr/>
      </vt:variant>
      <vt:variant>
        <vt:lpwstr>_Toc200986128</vt:lpwstr>
      </vt:variant>
      <vt:variant>
        <vt:i4>1703995</vt:i4>
      </vt:variant>
      <vt:variant>
        <vt:i4>53</vt:i4>
      </vt:variant>
      <vt:variant>
        <vt:i4>0</vt:i4>
      </vt:variant>
      <vt:variant>
        <vt:i4>5</vt:i4>
      </vt:variant>
      <vt:variant>
        <vt:lpwstr/>
      </vt:variant>
      <vt:variant>
        <vt:lpwstr>_Toc200986127</vt:lpwstr>
      </vt:variant>
      <vt:variant>
        <vt:i4>1703995</vt:i4>
      </vt:variant>
      <vt:variant>
        <vt:i4>47</vt:i4>
      </vt:variant>
      <vt:variant>
        <vt:i4>0</vt:i4>
      </vt:variant>
      <vt:variant>
        <vt:i4>5</vt:i4>
      </vt:variant>
      <vt:variant>
        <vt:lpwstr/>
      </vt:variant>
      <vt:variant>
        <vt:lpwstr>_Toc200986126</vt:lpwstr>
      </vt:variant>
      <vt:variant>
        <vt:i4>1703995</vt:i4>
      </vt:variant>
      <vt:variant>
        <vt:i4>41</vt:i4>
      </vt:variant>
      <vt:variant>
        <vt:i4>0</vt:i4>
      </vt:variant>
      <vt:variant>
        <vt:i4>5</vt:i4>
      </vt:variant>
      <vt:variant>
        <vt:lpwstr/>
      </vt:variant>
      <vt:variant>
        <vt:lpwstr>_Toc200986125</vt:lpwstr>
      </vt:variant>
      <vt:variant>
        <vt:i4>1703995</vt:i4>
      </vt:variant>
      <vt:variant>
        <vt:i4>35</vt:i4>
      </vt:variant>
      <vt:variant>
        <vt:i4>0</vt:i4>
      </vt:variant>
      <vt:variant>
        <vt:i4>5</vt:i4>
      </vt:variant>
      <vt:variant>
        <vt:lpwstr/>
      </vt:variant>
      <vt:variant>
        <vt:lpwstr>_Toc200986124</vt:lpwstr>
      </vt:variant>
      <vt:variant>
        <vt:i4>1703995</vt:i4>
      </vt:variant>
      <vt:variant>
        <vt:i4>29</vt:i4>
      </vt:variant>
      <vt:variant>
        <vt:i4>0</vt:i4>
      </vt:variant>
      <vt:variant>
        <vt:i4>5</vt:i4>
      </vt:variant>
      <vt:variant>
        <vt:lpwstr/>
      </vt:variant>
      <vt:variant>
        <vt:lpwstr>_Toc200986123</vt:lpwstr>
      </vt:variant>
      <vt:variant>
        <vt:i4>1703995</vt:i4>
      </vt:variant>
      <vt:variant>
        <vt:i4>23</vt:i4>
      </vt:variant>
      <vt:variant>
        <vt:i4>0</vt:i4>
      </vt:variant>
      <vt:variant>
        <vt:i4>5</vt:i4>
      </vt:variant>
      <vt:variant>
        <vt:lpwstr/>
      </vt:variant>
      <vt:variant>
        <vt:lpwstr>_Toc200986122</vt:lpwstr>
      </vt:variant>
      <vt:variant>
        <vt:i4>1703995</vt:i4>
      </vt:variant>
      <vt:variant>
        <vt:i4>17</vt:i4>
      </vt:variant>
      <vt:variant>
        <vt:i4>0</vt:i4>
      </vt:variant>
      <vt:variant>
        <vt:i4>5</vt:i4>
      </vt:variant>
      <vt:variant>
        <vt:lpwstr/>
      </vt:variant>
      <vt:variant>
        <vt:lpwstr>_Toc200986121</vt:lpwstr>
      </vt:variant>
      <vt:variant>
        <vt:i4>1703995</vt:i4>
      </vt:variant>
      <vt:variant>
        <vt:i4>11</vt:i4>
      </vt:variant>
      <vt:variant>
        <vt:i4>0</vt:i4>
      </vt:variant>
      <vt:variant>
        <vt:i4>5</vt:i4>
      </vt:variant>
      <vt:variant>
        <vt:lpwstr/>
      </vt:variant>
      <vt:variant>
        <vt:lpwstr>_Toc200986120</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2687013</vt:i4>
      </vt:variant>
      <vt:variant>
        <vt:i4>0</vt:i4>
      </vt:variant>
      <vt:variant>
        <vt:i4>0</vt:i4>
      </vt:variant>
      <vt:variant>
        <vt:i4>5</vt:i4>
      </vt:variant>
      <vt:variant>
        <vt:lpwstr>https://tgldcdp.tg.org.au/viewTopic?etgAccess=true&amp;guidelinePage=Neurology&amp;topicfile=multiple-sclerosis&amp;guidelinename=Neurology&amp;sectionId=toc_d1e1503</vt:lpwstr>
      </vt:variant>
      <vt:variant>
        <vt:lpwstr>toc_d1e1503</vt:lpwstr>
      </vt:variant>
      <vt:variant>
        <vt:i4>3145815</vt:i4>
      </vt:variant>
      <vt:variant>
        <vt:i4>6</vt:i4>
      </vt:variant>
      <vt:variant>
        <vt:i4>0</vt:i4>
      </vt:variant>
      <vt:variant>
        <vt:i4>5</vt:i4>
      </vt:variant>
      <vt:variant>
        <vt:lpwstr>mailto:OTTAL1@sandoz.net</vt:lpwstr>
      </vt:variant>
      <vt:variant>
        <vt:lpwstr/>
      </vt:variant>
      <vt:variant>
        <vt:i4>5570615</vt:i4>
      </vt:variant>
      <vt:variant>
        <vt:i4>3</vt:i4>
      </vt:variant>
      <vt:variant>
        <vt:i4>0</vt:i4>
      </vt:variant>
      <vt:variant>
        <vt:i4>5</vt:i4>
      </vt:variant>
      <vt:variant>
        <vt:lpwstr>mailto:KUBAVAM1@sandoz.net</vt:lpwstr>
      </vt:variant>
      <vt:variant>
        <vt:lpwstr/>
      </vt:variant>
      <vt:variant>
        <vt:i4>5308459</vt:i4>
      </vt:variant>
      <vt:variant>
        <vt:i4>0</vt:i4>
      </vt:variant>
      <vt:variant>
        <vt:i4>0</vt:i4>
      </vt:variant>
      <vt:variant>
        <vt:i4>5</vt:i4>
      </vt:variant>
      <vt:variant>
        <vt:lpwstr>mailto:BERNHAN2@sandoz.net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Tyruko</dc:title>
  <dc:subject>Prescription medicines</dc:subject>
  <dc:creator>Therapeutic Goods Administration</dc:creator>
  <cp:keywords/>
  <dc:description/>
  <cp:lastModifiedBy>MANNY, Kristy</cp:lastModifiedBy>
  <cp:revision>58</cp:revision>
  <cp:lastPrinted>2025-08-15T04:37:00Z</cp:lastPrinted>
  <dcterms:created xsi:type="dcterms:W3CDTF">2025-07-29T00:46:00Z</dcterms:created>
  <dcterms:modified xsi:type="dcterms:W3CDTF">2025-08-15T04:38:00Z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0x010100D26036CA5AA2DC42B4FBCA2E46EE3806</vt:lpwstr>
  </property>
  <property fmtid="{D5CDD505-2E9C-101B-9397-08002B2CF9AE}" pid="3" name="MSIP_Label_d9f50806-5fab-44bf-8458-86be2449532a_Enabled">
    <vt:lpwstr>true</vt:lpwstr>
  </property>
  <property fmtid="{D5CDD505-2E9C-101B-9397-08002B2CF9AE}" pid="4" name="MSIP_Label_d9f50806-5fab-44bf-8458-86be2449532a_SetDate">
    <vt:lpwstr>2025-07-01T09:34:23Z</vt:lpwstr>
  </property>
  <property fmtid="{D5CDD505-2E9C-101B-9397-08002B2CF9AE}" pid="5" name="MSIP_Label_d9f50806-5fab-44bf-8458-86be2449532a_Method">
    <vt:lpwstr>Privileged</vt:lpwstr>
  </property>
  <property fmtid="{D5CDD505-2E9C-101B-9397-08002B2CF9AE}" pid="6" name="MSIP_Label_d9f50806-5fab-44bf-8458-86be2449532a_Name">
    <vt:lpwstr>Public</vt:lpwstr>
  </property>
  <property fmtid="{D5CDD505-2E9C-101B-9397-08002B2CF9AE}" pid="7" name="MSIP_Label_d9f50806-5fab-44bf-8458-86be2449532a_SiteId">
    <vt:lpwstr>2bb78490-2953-4d30-92c3-d36530f082a4</vt:lpwstr>
  </property>
  <property fmtid="{D5CDD505-2E9C-101B-9397-08002B2CF9AE}" pid="8" name="MSIP_Label_d9f50806-5fab-44bf-8458-86be2449532a_ActionId">
    <vt:lpwstr>d0abf0fa-b2e2-4b9d-aa7c-81c05efe3349</vt:lpwstr>
  </property>
  <property fmtid="{D5CDD505-2E9C-101B-9397-08002B2CF9AE}" pid="9" name="MSIP_Label_d9f50806-5fab-44bf-8458-86be2449532a_ContentBits">
    <vt:lpwstr>0</vt:lpwstr>
  </property>
  <property fmtid="{D5CDD505-2E9C-101B-9397-08002B2CF9AE}" pid="10" name="MSIP_Label_d9f50806-5fab-44bf-8458-86be2449532a_Tag">
    <vt:lpwstr>10, 0, 1, 1</vt:lpwstr>
  </property>
</Properties>
</file>