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FCD9" w14:textId="355B6381" w:rsidR="002C4189" w:rsidRPr="004C6325" w:rsidRDefault="00FB7D91" w:rsidP="00A73D97">
      <w:pPr>
        <w:tabs>
          <w:tab w:val="left" w:pos="284"/>
        </w:tabs>
        <w:spacing w:after="480" w:line="240" w:lineRule="auto"/>
        <w:ind w:right="-63"/>
        <w:rPr>
          <w:rFonts w:asciiTheme="majorHAnsi" w:hAnsiTheme="majorHAnsi"/>
        </w:rPr>
      </w:pPr>
      <w:bookmarkStart w:id="0" w:name="_Hlk26453310"/>
      <w:r w:rsidRPr="004C6325">
        <w:rPr>
          <w:noProof/>
          <w:lang w:eastAsia="en-AU"/>
        </w:rPr>
        <mc:AlternateContent>
          <mc:Choice Requires="wps">
            <w:drawing>
              <wp:inline distT="0" distB="0" distL="0" distR="0" wp14:anchorId="7A29FFC0" wp14:editId="3845631C">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6AEA1" w14:textId="77777777" w:rsidR="00D66994" w:rsidRDefault="00D66994">
                            <w:pPr>
                              <w:spacing w:after="0"/>
                              <w:rPr>
                                <w:rFonts w:ascii="Wingdings 3" w:hAnsi="Wingdings 3"/>
                                <w:sz w:val="24"/>
                              </w:rPr>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A29FFC0"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2376AEA1" w14:textId="77777777" w:rsidR="00D66994" w:rsidRDefault="00D66994">
                      <w:pPr>
                        <w:spacing w:after="0"/>
                        <w:rPr>
                          <w:rFonts w:ascii="Wingdings 3" w:hAnsi="Wingdings 3"/>
                          <w:sz w:val="24"/>
                        </w:rPr>
                      </w:pPr>
                      <w:r>
                        <w:rPr>
                          <w:rFonts w:ascii="SimSun" w:eastAsia="SimSun" w:hAnsi="SimSun" w:cs="Arial" w:hint="eastAsia"/>
                          <w:sz w:val="40"/>
                        </w:rPr>
                        <w:t>▼</w:t>
                      </w:r>
                    </w:p>
                  </w:txbxContent>
                </v:textbox>
                <w10:anchorlock/>
              </v:shape>
            </w:pict>
          </mc:Fallback>
        </mc:AlternateContent>
      </w:r>
      <w:bookmarkStart w:id="1" w:name="_Hlk26455486"/>
      <w:r w:rsidRPr="004C6325">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4C6325">
          <w:rPr>
            <w:rStyle w:val="Hyperlink"/>
            <w:rFonts w:asciiTheme="majorHAnsi" w:hAnsiTheme="majorHAnsi"/>
          </w:rPr>
          <w:t>www.tga.gov.au/reporting-problems</w:t>
        </w:r>
      </w:hyperlink>
      <w:r w:rsidRPr="004C6325">
        <w:rPr>
          <w:rFonts w:asciiTheme="majorHAnsi" w:hAnsiTheme="majorHAnsi"/>
        </w:rPr>
        <w:t>.</w:t>
      </w:r>
    </w:p>
    <w:p w14:paraId="761EEFBD" w14:textId="4C0C6AE1" w:rsidR="00770977" w:rsidRPr="00AF52D2" w:rsidRDefault="00FB7D91" w:rsidP="00A73D97">
      <w:pPr>
        <w:pStyle w:val="Heading1"/>
        <w:numPr>
          <w:ilvl w:val="0"/>
          <w:numId w:val="0"/>
        </w:numPr>
        <w:spacing w:before="120" w:after="120"/>
        <w:ind w:right="-63"/>
        <w:jc w:val="center"/>
        <w:rPr>
          <w:rFonts w:eastAsia="SimSun" w:cstheme="minorHAnsi"/>
        </w:rPr>
      </w:pPr>
      <w:r w:rsidRPr="00AF52D2">
        <w:rPr>
          <w:rFonts w:eastAsia="SimSun" w:cstheme="minorHAnsi"/>
        </w:rPr>
        <w:t>Australian Product Information</w:t>
      </w:r>
      <w:r w:rsidR="00F93A39" w:rsidRPr="00AF52D2">
        <w:rPr>
          <w:rFonts w:eastAsia="SimSun" w:cstheme="minorHAnsi"/>
        </w:rPr>
        <w:fldChar w:fldCharType="begin"/>
      </w:r>
      <w:r w:rsidR="00F93A39" w:rsidRPr="00AF52D2">
        <w:rPr>
          <w:rFonts w:eastAsia="SimSun" w:cstheme="minorHAnsi"/>
        </w:rPr>
        <w:instrText xml:space="preserve"> DOCVARIABLE VAULT_ND_6794a6b6-fbe7-4736-a2cf-1f83168af378 \* MERGEFORMAT </w:instrText>
      </w:r>
      <w:r w:rsidR="00F93A39" w:rsidRPr="00AF52D2">
        <w:rPr>
          <w:rFonts w:eastAsia="SimSun" w:cstheme="minorHAnsi"/>
        </w:rPr>
        <w:fldChar w:fldCharType="separate"/>
      </w:r>
      <w:r w:rsidR="00F93A39" w:rsidRPr="00AF52D2">
        <w:rPr>
          <w:rFonts w:eastAsia="SimSun" w:cstheme="minorHAnsi"/>
        </w:rPr>
        <w:t xml:space="preserve"> </w:t>
      </w:r>
      <w:r w:rsidR="00F93A39" w:rsidRPr="00AF52D2">
        <w:rPr>
          <w:rFonts w:eastAsia="SimSun" w:cstheme="minorHAnsi"/>
        </w:rPr>
        <w:fldChar w:fldCharType="end"/>
      </w:r>
    </w:p>
    <w:p w14:paraId="1944C79B" w14:textId="14FF46EB" w:rsidR="002C4189" w:rsidRDefault="001F75CA" w:rsidP="00A73D97">
      <w:pPr>
        <w:pStyle w:val="Heading1"/>
        <w:numPr>
          <w:ilvl w:val="0"/>
          <w:numId w:val="0"/>
        </w:numPr>
        <w:spacing w:before="120" w:after="240"/>
        <w:ind w:right="-63"/>
        <w:jc w:val="center"/>
        <w:rPr>
          <w:rFonts w:eastAsia="SimSun" w:cstheme="minorHAnsi"/>
        </w:rPr>
      </w:pPr>
      <w:r>
        <w:rPr>
          <w:rFonts w:eastAsia="SimSun" w:cstheme="minorHAnsi"/>
        </w:rPr>
        <w:t>SKYTROFA</w:t>
      </w:r>
      <w:r w:rsidR="00D42B91" w:rsidRPr="00D42B91">
        <w:rPr>
          <w:rFonts w:ascii="Cambria" w:eastAsia="SimSun" w:hAnsi="Cambria" w:cstheme="minorHAnsi"/>
          <w:vertAlign w:val="superscript"/>
        </w:rPr>
        <w:t>®</w:t>
      </w:r>
      <w:r w:rsidR="00FB7D91" w:rsidRPr="004C6325">
        <w:rPr>
          <w:rFonts w:eastAsia="SimSun" w:cstheme="minorHAnsi"/>
        </w:rPr>
        <w:t xml:space="preserve"> (</w:t>
      </w:r>
      <w:r>
        <w:rPr>
          <w:rFonts w:eastAsiaTheme="minorHAnsi" w:cstheme="minorHAnsi"/>
          <w:caps w:val="0"/>
        </w:rPr>
        <w:t>lonapegsomatropin</w:t>
      </w:r>
      <w:r w:rsidR="00FB7D91" w:rsidRPr="004C6325">
        <w:rPr>
          <w:rFonts w:eastAsia="SimSun" w:cstheme="minorHAnsi"/>
        </w:rPr>
        <w:t>)</w:t>
      </w:r>
      <w:r w:rsidR="00F93A39">
        <w:rPr>
          <w:rFonts w:eastAsia="SimSun" w:cstheme="minorHAnsi"/>
        </w:rPr>
        <w:fldChar w:fldCharType="begin"/>
      </w:r>
      <w:r w:rsidR="00F93A39">
        <w:rPr>
          <w:rFonts w:eastAsia="SimSun" w:cstheme="minorHAnsi"/>
        </w:rPr>
        <w:instrText xml:space="preserve"> DOCVARIABLE vault_nd_a22416a2-1776-407e-8efe-f5e3bfe72e90 \* MERGEFORMAT </w:instrText>
      </w:r>
      <w:r w:rsidR="00F93A39">
        <w:rPr>
          <w:rFonts w:eastAsia="SimSun" w:cstheme="minorHAnsi"/>
        </w:rPr>
        <w:fldChar w:fldCharType="separate"/>
      </w:r>
      <w:r w:rsidR="00F93A39">
        <w:rPr>
          <w:rFonts w:eastAsia="SimSun" w:cstheme="minorHAnsi"/>
        </w:rPr>
        <w:t xml:space="preserve"> </w:t>
      </w:r>
      <w:r w:rsidR="00F93A39">
        <w:rPr>
          <w:rFonts w:eastAsia="SimSun" w:cstheme="minorHAnsi"/>
        </w:rPr>
        <w:fldChar w:fldCharType="end"/>
      </w:r>
    </w:p>
    <w:p w14:paraId="7EAA56AD" w14:textId="76C6CB03" w:rsidR="002C4189" w:rsidRPr="00AF52D2" w:rsidRDefault="00223DC8" w:rsidP="00A73D97">
      <w:pPr>
        <w:pStyle w:val="Heading1"/>
        <w:numPr>
          <w:ilvl w:val="0"/>
          <w:numId w:val="0"/>
        </w:numPr>
        <w:spacing w:before="120" w:after="240"/>
        <w:ind w:right="-63"/>
        <w:jc w:val="center"/>
        <w:rPr>
          <w:rFonts w:cstheme="minorHAnsi"/>
        </w:rPr>
      </w:pPr>
      <w:r w:rsidRPr="00AF52D2">
        <w:rPr>
          <w:rFonts w:cstheme="minorHAnsi"/>
        </w:rPr>
        <w:t>POWDER AND SOLVENT FOR SOLUTION FOR INJECTION</w:t>
      </w:r>
      <w:r w:rsidR="00F93A39" w:rsidRPr="00AF52D2">
        <w:rPr>
          <w:rFonts w:cstheme="minorHAnsi"/>
        </w:rPr>
        <w:fldChar w:fldCharType="begin"/>
      </w:r>
      <w:r w:rsidR="00F93A39" w:rsidRPr="00AF52D2">
        <w:rPr>
          <w:rFonts w:cstheme="minorHAnsi"/>
        </w:rPr>
        <w:instrText xml:space="preserve"> DOCVARIABLE VAULT_ND_a11b571e-c91e-4149-9119-883a5d0c5656 \* MERGEFORMAT </w:instrText>
      </w:r>
      <w:r w:rsidR="00F93A39" w:rsidRPr="00AF52D2">
        <w:rPr>
          <w:rFonts w:cstheme="minorHAnsi"/>
        </w:rPr>
        <w:fldChar w:fldCharType="separate"/>
      </w:r>
      <w:r w:rsidR="00F93A39" w:rsidRPr="00AF52D2">
        <w:rPr>
          <w:rFonts w:cstheme="minorHAnsi"/>
        </w:rPr>
        <w:t xml:space="preserve"> </w:t>
      </w:r>
      <w:r w:rsidR="00F93A39" w:rsidRPr="00AF52D2">
        <w:rPr>
          <w:rFonts w:cstheme="minorHAnsi"/>
        </w:rPr>
        <w:fldChar w:fldCharType="end"/>
      </w:r>
    </w:p>
    <w:p w14:paraId="39CC61DB" w14:textId="388DD3DD" w:rsidR="00063135" w:rsidRPr="00AF52D2" w:rsidRDefault="00063135" w:rsidP="00A73D97">
      <w:pPr>
        <w:pStyle w:val="Heading1"/>
        <w:spacing w:before="0" w:after="120"/>
        <w:ind w:left="0" w:right="-63" w:firstLine="0"/>
        <w:rPr>
          <w:rFonts w:cstheme="minorHAnsi"/>
        </w:rPr>
      </w:pPr>
      <w:r w:rsidRPr="00AF52D2">
        <w:rPr>
          <w:rFonts w:cstheme="minorHAnsi"/>
        </w:rPr>
        <w:t>NAME OF THE MEDICINE</w:t>
      </w:r>
      <w:r w:rsidR="00F93A39" w:rsidRPr="00AF52D2">
        <w:rPr>
          <w:rFonts w:cstheme="minorHAnsi"/>
        </w:rPr>
        <w:fldChar w:fldCharType="begin"/>
      </w:r>
      <w:r w:rsidR="00F93A39" w:rsidRPr="00AF52D2">
        <w:rPr>
          <w:rFonts w:cstheme="minorHAnsi"/>
        </w:rPr>
        <w:instrText xml:space="preserve"> DOCVARIABLE VAULT_ND_2046cd24-67d4-4f2c-9270-9b36b95a0cbb \* MERGEFORMAT </w:instrText>
      </w:r>
      <w:r w:rsidR="00F93A39" w:rsidRPr="00AF52D2">
        <w:rPr>
          <w:rFonts w:cstheme="minorHAnsi"/>
        </w:rPr>
        <w:fldChar w:fldCharType="separate"/>
      </w:r>
      <w:r w:rsidR="00F93A39" w:rsidRPr="00AF52D2">
        <w:rPr>
          <w:rFonts w:cstheme="minorHAnsi"/>
        </w:rPr>
        <w:t xml:space="preserve"> </w:t>
      </w:r>
      <w:r w:rsidR="00F93A39" w:rsidRPr="00AF52D2">
        <w:rPr>
          <w:rFonts w:cstheme="minorHAnsi"/>
        </w:rPr>
        <w:fldChar w:fldCharType="end"/>
      </w:r>
    </w:p>
    <w:p w14:paraId="67CC3517" w14:textId="457CE256" w:rsidR="002C4189" w:rsidRDefault="0019707C" w:rsidP="00A73D97">
      <w:pPr>
        <w:spacing w:after="0" w:line="240" w:lineRule="auto"/>
        <w:ind w:right="-63"/>
        <w:rPr>
          <w:rFonts w:asciiTheme="majorHAnsi" w:hAnsiTheme="majorHAnsi" w:cstheme="minorHAnsi"/>
        </w:rPr>
      </w:pPr>
      <w:r w:rsidRPr="00BD0A77">
        <w:rPr>
          <w:rFonts w:asciiTheme="majorHAnsi" w:hAnsiTheme="majorHAnsi" w:cstheme="minorHAnsi"/>
        </w:rPr>
        <w:t>Lonapegsomatropin</w:t>
      </w:r>
    </w:p>
    <w:p w14:paraId="64C933C8" w14:textId="77777777" w:rsidR="00BD0A77" w:rsidRPr="00BD0A77" w:rsidRDefault="00BD0A77" w:rsidP="00A73D97">
      <w:pPr>
        <w:spacing w:after="0" w:line="240" w:lineRule="auto"/>
        <w:ind w:right="-63"/>
        <w:rPr>
          <w:rFonts w:asciiTheme="majorHAnsi" w:hAnsiTheme="majorHAnsi" w:cstheme="minorHAnsi"/>
        </w:rPr>
      </w:pPr>
    </w:p>
    <w:p w14:paraId="201D9224" w14:textId="755FACB9" w:rsidR="002C4189" w:rsidRPr="00AF52D2" w:rsidRDefault="00FB7D91" w:rsidP="00A73D97">
      <w:pPr>
        <w:pStyle w:val="Heading1"/>
        <w:spacing w:before="0" w:after="120"/>
        <w:ind w:left="0" w:right="-63" w:firstLine="0"/>
        <w:rPr>
          <w:rFonts w:cstheme="minorHAnsi"/>
        </w:rPr>
      </w:pPr>
      <w:r w:rsidRPr="00AF52D2">
        <w:rPr>
          <w:rFonts w:cstheme="minorHAnsi"/>
        </w:rPr>
        <w:t>Qualitative and quantitative composition</w:t>
      </w:r>
      <w:r w:rsidR="00F93A39" w:rsidRPr="00AF52D2">
        <w:rPr>
          <w:rFonts w:cstheme="minorHAnsi"/>
        </w:rPr>
        <w:fldChar w:fldCharType="begin"/>
      </w:r>
      <w:r w:rsidR="00F93A39" w:rsidRPr="00AF52D2">
        <w:rPr>
          <w:rFonts w:cstheme="minorHAnsi"/>
        </w:rPr>
        <w:instrText xml:space="preserve"> DOCVARIABLE VAULT_ND_288e9fd5-11bb-42d2-9108-c9466347a57a \* MERGEFORMAT </w:instrText>
      </w:r>
      <w:r w:rsidR="00F93A39" w:rsidRPr="00AF52D2">
        <w:rPr>
          <w:rFonts w:cstheme="minorHAnsi"/>
        </w:rPr>
        <w:fldChar w:fldCharType="separate"/>
      </w:r>
      <w:r w:rsidR="00F93A39" w:rsidRPr="00AF52D2">
        <w:rPr>
          <w:rFonts w:cstheme="minorHAnsi"/>
        </w:rPr>
        <w:t xml:space="preserve"> </w:t>
      </w:r>
      <w:r w:rsidR="00F93A39" w:rsidRPr="00AF52D2">
        <w:rPr>
          <w:rFonts w:cstheme="minorHAnsi"/>
        </w:rPr>
        <w:fldChar w:fldCharType="end"/>
      </w:r>
    </w:p>
    <w:p w14:paraId="37CFA7D5" w14:textId="77777777" w:rsidR="00320370" w:rsidRPr="00F16B27" w:rsidRDefault="00320370" w:rsidP="00A73D97">
      <w:pPr>
        <w:spacing w:line="240" w:lineRule="auto"/>
        <w:ind w:right="-63"/>
        <w:rPr>
          <w:rFonts w:asciiTheme="majorHAnsi" w:hAnsiTheme="majorHAnsi"/>
        </w:rPr>
      </w:pPr>
      <w:r w:rsidRPr="00F16B27">
        <w:rPr>
          <w:rFonts w:asciiTheme="majorHAnsi" w:hAnsiTheme="majorHAnsi"/>
        </w:rPr>
        <w:t xml:space="preserve">Skytrofa consists of somatropin transiently conjugated to a </w:t>
      </w:r>
      <w:proofErr w:type="spellStart"/>
      <w:r w:rsidRPr="00F16B27">
        <w:rPr>
          <w:rFonts w:asciiTheme="majorHAnsi" w:hAnsiTheme="majorHAnsi"/>
        </w:rPr>
        <w:t>methoxypolyethylene</w:t>
      </w:r>
      <w:proofErr w:type="spellEnd"/>
      <w:r w:rsidRPr="00F16B27">
        <w:rPr>
          <w:rFonts w:asciiTheme="majorHAnsi" w:hAnsiTheme="majorHAnsi"/>
        </w:rPr>
        <w:t xml:space="preserve"> glycol carrier (</w:t>
      </w:r>
      <w:proofErr w:type="spellStart"/>
      <w:r w:rsidRPr="00F16B27">
        <w:rPr>
          <w:rFonts w:asciiTheme="majorHAnsi" w:hAnsiTheme="majorHAnsi"/>
        </w:rPr>
        <w:t>mPEG</w:t>
      </w:r>
      <w:proofErr w:type="spellEnd"/>
      <w:r w:rsidRPr="00F16B27">
        <w:rPr>
          <w:rFonts w:asciiTheme="majorHAnsi" w:hAnsiTheme="majorHAnsi"/>
        </w:rPr>
        <w:t xml:space="preserve">) via a proprietary </w:t>
      </w:r>
      <w:proofErr w:type="spellStart"/>
      <w:r w:rsidRPr="00F16B27">
        <w:rPr>
          <w:rFonts w:asciiTheme="majorHAnsi" w:hAnsiTheme="majorHAnsi"/>
        </w:rPr>
        <w:t>TransCon</w:t>
      </w:r>
      <w:proofErr w:type="spellEnd"/>
      <w:r w:rsidRPr="00F16B27">
        <w:rPr>
          <w:rFonts w:asciiTheme="majorHAnsi" w:hAnsiTheme="majorHAnsi"/>
        </w:rPr>
        <w:t xml:space="preserve"> Linker. The strength of Skytrofa always indicates the quantity of the somatropin moiety.</w:t>
      </w:r>
    </w:p>
    <w:p w14:paraId="56F7BC84" w14:textId="77777777" w:rsidR="00320370" w:rsidRPr="00EA2EE9" w:rsidRDefault="00320370" w:rsidP="00A73D97">
      <w:pPr>
        <w:widowControl w:val="0"/>
        <w:spacing w:line="240" w:lineRule="auto"/>
        <w:ind w:right="-63"/>
        <w:rPr>
          <w:rFonts w:asciiTheme="majorHAnsi" w:hAnsiTheme="majorHAnsi"/>
          <w:b/>
          <w:bCs/>
        </w:rPr>
      </w:pPr>
      <w:r w:rsidRPr="00EA2EE9">
        <w:rPr>
          <w:rFonts w:asciiTheme="majorHAnsi" w:hAnsiTheme="majorHAnsi"/>
          <w:b/>
          <w:bCs/>
        </w:rPr>
        <w:t>Skytrofa 3 mg powder and solvent for solution for injection in cartridge</w:t>
      </w:r>
    </w:p>
    <w:p w14:paraId="4422A96A" w14:textId="77777777" w:rsidR="00320370" w:rsidRPr="00F16B27" w:rsidRDefault="00320370" w:rsidP="00A73D97">
      <w:pPr>
        <w:widowControl w:val="0"/>
        <w:spacing w:line="240" w:lineRule="auto"/>
        <w:ind w:right="-63"/>
        <w:rPr>
          <w:rFonts w:asciiTheme="majorHAnsi" w:hAnsiTheme="majorHAnsi"/>
        </w:rPr>
      </w:pPr>
      <w:r w:rsidRPr="00F16B27">
        <w:rPr>
          <w:rFonts w:asciiTheme="majorHAnsi" w:hAnsiTheme="majorHAnsi"/>
        </w:rPr>
        <w:t>Each dual</w:t>
      </w:r>
      <w:r w:rsidRPr="00F16B27">
        <w:rPr>
          <w:rFonts w:asciiTheme="majorHAnsi" w:hAnsiTheme="majorHAnsi"/>
        </w:rPr>
        <w:noBreakHyphen/>
        <w:t>chamber cartridge contains 3 mg of somatropin* equivalent to 8.6 mg of lonapegsomatropin and 0.279 mL of solvent. After reconstitution the concentration based on somatropin** protein is 11 mg/</w:t>
      </w:r>
      <w:proofErr w:type="spellStart"/>
      <w:r w:rsidRPr="00F16B27">
        <w:rPr>
          <w:rFonts w:asciiTheme="majorHAnsi" w:hAnsiTheme="majorHAnsi"/>
        </w:rPr>
        <w:t>mL.</w:t>
      </w:r>
      <w:proofErr w:type="spellEnd"/>
      <w:r w:rsidRPr="00F16B27">
        <w:rPr>
          <w:rFonts w:asciiTheme="majorHAnsi" w:hAnsiTheme="majorHAnsi"/>
        </w:rPr>
        <w:t xml:space="preserve"> </w:t>
      </w:r>
    </w:p>
    <w:p w14:paraId="63297F20" w14:textId="77777777" w:rsidR="00320370" w:rsidRPr="00EA2EE9" w:rsidRDefault="00320370" w:rsidP="00A73D97">
      <w:pPr>
        <w:widowControl w:val="0"/>
        <w:spacing w:line="240" w:lineRule="auto"/>
        <w:ind w:right="-63"/>
        <w:rPr>
          <w:rFonts w:asciiTheme="majorHAnsi" w:hAnsiTheme="majorHAnsi"/>
          <w:b/>
          <w:bCs/>
        </w:rPr>
      </w:pPr>
      <w:r w:rsidRPr="00EA2EE9">
        <w:rPr>
          <w:rFonts w:asciiTheme="majorHAnsi" w:hAnsiTheme="majorHAnsi"/>
          <w:b/>
          <w:bCs/>
        </w:rPr>
        <w:t>Skytrofa 3.6 mg powder and solvent for solution for injection in cartridge</w:t>
      </w:r>
    </w:p>
    <w:p w14:paraId="52512CD8" w14:textId="77777777" w:rsidR="00320370" w:rsidRPr="00F16B27" w:rsidRDefault="00320370" w:rsidP="00A73D97">
      <w:pPr>
        <w:widowControl w:val="0"/>
        <w:spacing w:line="240" w:lineRule="auto"/>
        <w:ind w:right="-63"/>
        <w:rPr>
          <w:rFonts w:asciiTheme="majorHAnsi" w:hAnsiTheme="majorHAnsi"/>
        </w:rPr>
      </w:pPr>
      <w:r w:rsidRPr="00F16B27">
        <w:rPr>
          <w:rFonts w:asciiTheme="majorHAnsi" w:hAnsiTheme="majorHAnsi"/>
        </w:rPr>
        <w:t>Each dual</w:t>
      </w:r>
      <w:r w:rsidRPr="00F16B27">
        <w:rPr>
          <w:rFonts w:asciiTheme="majorHAnsi" w:hAnsiTheme="majorHAnsi"/>
        </w:rPr>
        <w:noBreakHyphen/>
        <w:t>chamber cartridge contains 3.6 mg of somatropin* equivalent to 10.3 mg of lonapegsomatropin and 0.329 mL of solvent. After reconstitution the concentration based on somatropin** protein is 11 mg/</w:t>
      </w:r>
      <w:proofErr w:type="spellStart"/>
      <w:r w:rsidRPr="00F16B27">
        <w:rPr>
          <w:rFonts w:asciiTheme="majorHAnsi" w:hAnsiTheme="majorHAnsi"/>
        </w:rPr>
        <w:t>mL.</w:t>
      </w:r>
      <w:proofErr w:type="spellEnd"/>
    </w:p>
    <w:p w14:paraId="13DCAE93" w14:textId="77777777" w:rsidR="00320370" w:rsidRPr="00EA2EE9" w:rsidRDefault="00320370" w:rsidP="00A73D97">
      <w:pPr>
        <w:widowControl w:val="0"/>
        <w:spacing w:line="240" w:lineRule="auto"/>
        <w:ind w:right="-63"/>
        <w:rPr>
          <w:rFonts w:asciiTheme="majorHAnsi" w:hAnsiTheme="majorHAnsi"/>
          <w:b/>
          <w:bCs/>
        </w:rPr>
      </w:pPr>
      <w:r w:rsidRPr="00EA2EE9">
        <w:rPr>
          <w:rFonts w:asciiTheme="majorHAnsi" w:hAnsiTheme="majorHAnsi"/>
          <w:b/>
          <w:bCs/>
        </w:rPr>
        <w:t>Skytrofa 4.3 mg powder and solvent for solution for injection in cartridge</w:t>
      </w:r>
    </w:p>
    <w:p w14:paraId="7411A5B1" w14:textId="77777777" w:rsidR="00320370" w:rsidRPr="00F16B27" w:rsidRDefault="00320370" w:rsidP="00A73D97">
      <w:pPr>
        <w:widowControl w:val="0"/>
        <w:spacing w:line="240" w:lineRule="auto"/>
        <w:ind w:right="-63"/>
        <w:rPr>
          <w:rFonts w:asciiTheme="majorHAnsi" w:hAnsiTheme="majorHAnsi"/>
        </w:rPr>
      </w:pPr>
      <w:r w:rsidRPr="00F16B27">
        <w:rPr>
          <w:rFonts w:asciiTheme="majorHAnsi" w:hAnsiTheme="majorHAnsi"/>
        </w:rPr>
        <w:t>Each dual</w:t>
      </w:r>
      <w:r w:rsidRPr="00F16B27">
        <w:rPr>
          <w:rFonts w:asciiTheme="majorHAnsi" w:hAnsiTheme="majorHAnsi"/>
        </w:rPr>
        <w:noBreakHyphen/>
        <w:t>chamber cartridge contains 4.3 mg of somatropin* equivalent to 12.3 mg of lonapegsomatropin and 0.388 mL of solvent. After reconstitution the concentration based on somatropin** protein is 11 mg/</w:t>
      </w:r>
      <w:proofErr w:type="spellStart"/>
      <w:r w:rsidRPr="00F16B27">
        <w:rPr>
          <w:rFonts w:asciiTheme="majorHAnsi" w:hAnsiTheme="majorHAnsi"/>
        </w:rPr>
        <w:t>mL.</w:t>
      </w:r>
      <w:proofErr w:type="spellEnd"/>
    </w:p>
    <w:p w14:paraId="1B27F4BC" w14:textId="77777777" w:rsidR="00320370" w:rsidRPr="00EA2EE9" w:rsidRDefault="00320370" w:rsidP="00A73D97">
      <w:pPr>
        <w:widowControl w:val="0"/>
        <w:spacing w:line="240" w:lineRule="auto"/>
        <w:ind w:right="-63"/>
        <w:rPr>
          <w:rFonts w:asciiTheme="majorHAnsi" w:hAnsiTheme="majorHAnsi"/>
          <w:b/>
          <w:bCs/>
        </w:rPr>
      </w:pPr>
      <w:r w:rsidRPr="00EA2EE9">
        <w:rPr>
          <w:rFonts w:asciiTheme="majorHAnsi" w:hAnsiTheme="majorHAnsi"/>
          <w:b/>
          <w:bCs/>
        </w:rPr>
        <w:t>Skytrofa 5.2 mg powder and solvent for solution for injection in cartridge</w:t>
      </w:r>
    </w:p>
    <w:p w14:paraId="69A85D31" w14:textId="77777777" w:rsidR="00320370" w:rsidRPr="00F16B27" w:rsidRDefault="00320370" w:rsidP="00A73D97">
      <w:pPr>
        <w:widowControl w:val="0"/>
        <w:spacing w:line="240" w:lineRule="auto"/>
        <w:ind w:right="-63"/>
        <w:rPr>
          <w:rFonts w:asciiTheme="majorHAnsi" w:hAnsiTheme="majorHAnsi"/>
        </w:rPr>
      </w:pPr>
      <w:r w:rsidRPr="00F16B27">
        <w:rPr>
          <w:rFonts w:asciiTheme="majorHAnsi" w:hAnsiTheme="majorHAnsi"/>
        </w:rPr>
        <w:t>Each dual</w:t>
      </w:r>
      <w:r w:rsidRPr="00F16B27">
        <w:rPr>
          <w:rFonts w:asciiTheme="majorHAnsi" w:hAnsiTheme="majorHAnsi"/>
        </w:rPr>
        <w:noBreakHyphen/>
        <w:t>chamber cartridge contains 5.2 mg of somatropin* equivalent to 14.8 mg of lonapegsomatropin and 0.464 mL of solvent. After reconstitution the concentration based on somatropin** protein is 11 mg/</w:t>
      </w:r>
      <w:proofErr w:type="spellStart"/>
      <w:r w:rsidRPr="00F16B27">
        <w:rPr>
          <w:rFonts w:asciiTheme="majorHAnsi" w:hAnsiTheme="majorHAnsi"/>
        </w:rPr>
        <w:t>mL.</w:t>
      </w:r>
      <w:proofErr w:type="spellEnd"/>
    </w:p>
    <w:p w14:paraId="18BD332C" w14:textId="77777777" w:rsidR="00320370" w:rsidRPr="00EA2EE9" w:rsidRDefault="00320370" w:rsidP="00A73D97">
      <w:pPr>
        <w:widowControl w:val="0"/>
        <w:spacing w:line="240" w:lineRule="auto"/>
        <w:ind w:right="-63"/>
        <w:rPr>
          <w:rFonts w:asciiTheme="majorHAnsi" w:hAnsiTheme="majorHAnsi"/>
          <w:b/>
          <w:bCs/>
        </w:rPr>
      </w:pPr>
      <w:r w:rsidRPr="00EA2EE9">
        <w:rPr>
          <w:rFonts w:asciiTheme="majorHAnsi" w:hAnsiTheme="majorHAnsi"/>
          <w:b/>
          <w:bCs/>
        </w:rPr>
        <w:t>Skytrofa 6.3 mg powder and solvent for solution for injection in cartridge</w:t>
      </w:r>
    </w:p>
    <w:p w14:paraId="7693893E" w14:textId="77777777" w:rsidR="00320370" w:rsidRDefault="00320370" w:rsidP="00A73D97">
      <w:pPr>
        <w:widowControl w:val="0"/>
        <w:spacing w:line="240" w:lineRule="auto"/>
        <w:ind w:right="-63"/>
        <w:rPr>
          <w:rFonts w:asciiTheme="majorHAnsi" w:hAnsiTheme="majorHAnsi"/>
        </w:rPr>
      </w:pPr>
      <w:r w:rsidRPr="00F16B27">
        <w:rPr>
          <w:rFonts w:asciiTheme="majorHAnsi" w:hAnsiTheme="majorHAnsi"/>
        </w:rPr>
        <w:t>Each dual</w:t>
      </w:r>
      <w:r w:rsidRPr="00F16B27">
        <w:rPr>
          <w:rFonts w:asciiTheme="majorHAnsi" w:hAnsiTheme="majorHAnsi"/>
        </w:rPr>
        <w:noBreakHyphen/>
        <w:t>chamber cartridge contains 6.3 mg of somatropin* equivalent to 18 mg of lonapegsomatropin and 0.285 mL of solvent. After reconstitution the concentration based on somatropin** protein is 22 mg/</w:t>
      </w:r>
      <w:proofErr w:type="spellStart"/>
      <w:r w:rsidRPr="00F16B27">
        <w:rPr>
          <w:rFonts w:asciiTheme="majorHAnsi" w:hAnsiTheme="majorHAnsi"/>
        </w:rPr>
        <w:t>mL.</w:t>
      </w:r>
      <w:proofErr w:type="spellEnd"/>
    </w:p>
    <w:p w14:paraId="3F2CE2C2" w14:textId="77777777" w:rsidR="006834C8" w:rsidRPr="006834C8" w:rsidRDefault="006834C8" w:rsidP="00056193">
      <w:pPr>
        <w:rPr>
          <w:rFonts w:asciiTheme="majorHAnsi" w:hAnsiTheme="majorHAnsi"/>
        </w:rPr>
      </w:pPr>
    </w:p>
    <w:p w14:paraId="0EB7F47D" w14:textId="77777777" w:rsidR="006834C8" w:rsidRPr="006834C8" w:rsidRDefault="006834C8" w:rsidP="00056193">
      <w:pPr>
        <w:rPr>
          <w:rFonts w:asciiTheme="majorHAnsi" w:hAnsiTheme="majorHAnsi"/>
        </w:rPr>
      </w:pPr>
    </w:p>
    <w:p w14:paraId="6F1A45A7" w14:textId="665C3428" w:rsidR="00CA3ADE" w:rsidRPr="00CA3ADE" w:rsidRDefault="00CA3ADE" w:rsidP="00A73D97">
      <w:pPr>
        <w:keepNext/>
        <w:keepLines/>
        <w:widowControl w:val="0"/>
        <w:spacing w:line="240" w:lineRule="auto"/>
        <w:ind w:right="-63"/>
        <w:rPr>
          <w:rFonts w:asciiTheme="majorHAnsi" w:hAnsiTheme="majorHAnsi"/>
          <w:b/>
          <w:bCs/>
        </w:rPr>
      </w:pPr>
      <w:r w:rsidRPr="00CA3ADE">
        <w:rPr>
          <w:rFonts w:asciiTheme="majorHAnsi" w:hAnsiTheme="majorHAnsi"/>
          <w:b/>
          <w:bCs/>
        </w:rPr>
        <w:lastRenderedPageBreak/>
        <w:t>Skytrofa 7.6 mg powder and solvent for solution for injection in cartridge</w:t>
      </w:r>
    </w:p>
    <w:p w14:paraId="355D1B40" w14:textId="1989A6B2" w:rsidR="00CA3ADE" w:rsidRPr="00CA3ADE" w:rsidRDefault="00CA3ADE" w:rsidP="00A73D97">
      <w:pPr>
        <w:keepNext/>
        <w:keepLines/>
        <w:widowControl w:val="0"/>
        <w:spacing w:line="240" w:lineRule="auto"/>
        <w:ind w:right="-63"/>
        <w:rPr>
          <w:rFonts w:asciiTheme="majorHAnsi" w:hAnsiTheme="majorHAnsi"/>
        </w:rPr>
      </w:pPr>
      <w:r w:rsidRPr="00CA3ADE">
        <w:rPr>
          <w:rFonts w:asciiTheme="majorHAnsi" w:hAnsiTheme="majorHAnsi"/>
        </w:rPr>
        <w:t>Each dual</w:t>
      </w:r>
      <w:r w:rsidRPr="00CA3ADE">
        <w:rPr>
          <w:rFonts w:asciiTheme="majorHAnsi" w:hAnsiTheme="majorHAnsi"/>
        </w:rPr>
        <w:noBreakHyphen/>
        <w:t>chamber cartridge contains 7.6 mg of somatropin* equivalent to 21.7 mg of lonapegsomatropin and 0.338 mL of solvent. After reconstitution the concentration based on somatropin** protein is 22 mg/</w:t>
      </w:r>
      <w:proofErr w:type="spellStart"/>
      <w:r w:rsidRPr="00CA3ADE">
        <w:rPr>
          <w:rFonts w:asciiTheme="majorHAnsi" w:hAnsiTheme="majorHAnsi"/>
        </w:rPr>
        <w:t>mL.</w:t>
      </w:r>
      <w:proofErr w:type="spellEnd"/>
    </w:p>
    <w:p w14:paraId="0C51C333" w14:textId="2543E915" w:rsidR="00CA3ADE" w:rsidRPr="00CA3ADE" w:rsidRDefault="00CA3ADE" w:rsidP="00A73D97">
      <w:pPr>
        <w:widowControl w:val="0"/>
        <w:spacing w:line="240" w:lineRule="auto"/>
        <w:ind w:right="-63"/>
        <w:rPr>
          <w:rFonts w:asciiTheme="majorHAnsi" w:hAnsiTheme="majorHAnsi"/>
          <w:b/>
          <w:bCs/>
        </w:rPr>
      </w:pPr>
      <w:r w:rsidRPr="00CA3ADE">
        <w:rPr>
          <w:rFonts w:asciiTheme="majorHAnsi" w:hAnsiTheme="majorHAnsi"/>
          <w:b/>
          <w:bCs/>
        </w:rPr>
        <w:t>Skytrofa 9.1 mg powder and solvent for solution for injection in cartridge</w:t>
      </w:r>
    </w:p>
    <w:p w14:paraId="37BA2A49" w14:textId="77777777" w:rsidR="00CA3ADE" w:rsidRPr="00CA3ADE" w:rsidRDefault="00CA3ADE" w:rsidP="00A73D97">
      <w:pPr>
        <w:widowControl w:val="0"/>
        <w:spacing w:line="240" w:lineRule="auto"/>
        <w:ind w:right="-63"/>
        <w:rPr>
          <w:rFonts w:asciiTheme="majorHAnsi" w:hAnsiTheme="majorHAnsi"/>
        </w:rPr>
      </w:pPr>
      <w:r w:rsidRPr="00CA3ADE">
        <w:rPr>
          <w:rFonts w:asciiTheme="majorHAnsi" w:hAnsiTheme="majorHAnsi"/>
        </w:rPr>
        <w:t>Each dual</w:t>
      </w:r>
      <w:r w:rsidRPr="00CA3ADE">
        <w:rPr>
          <w:rFonts w:asciiTheme="majorHAnsi" w:hAnsiTheme="majorHAnsi"/>
        </w:rPr>
        <w:noBreakHyphen/>
        <w:t>chamber cartridge contains 9.1 mg of somatropin* equivalent to 25.9 mg of lonapegsomatropin and 0.4 mL of solvent. After reconstitution the concentration based on somatropin** protein is 22 mg/</w:t>
      </w:r>
      <w:proofErr w:type="spellStart"/>
      <w:r w:rsidRPr="00CA3ADE">
        <w:rPr>
          <w:rFonts w:asciiTheme="majorHAnsi" w:hAnsiTheme="majorHAnsi"/>
        </w:rPr>
        <w:t>mL.</w:t>
      </w:r>
      <w:proofErr w:type="spellEnd"/>
    </w:p>
    <w:p w14:paraId="5B9431D8" w14:textId="7419B75B" w:rsidR="00CA3ADE" w:rsidRPr="00CA3ADE" w:rsidRDefault="00CA3ADE" w:rsidP="00A73D97">
      <w:pPr>
        <w:widowControl w:val="0"/>
        <w:spacing w:line="240" w:lineRule="auto"/>
        <w:ind w:right="-63"/>
        <w:rPr>
          <w:rFonts w:asciiTheme="majorHAnsi" w:hAnsiTheme="majorHAnsi"/>
          <w:b/>
          <w:bCs/>
        </w:rPr>
      </w:pPr>
      <w:r w:rsidRPr="00CA3ADE">
        <w:rPr>
          <w:rFonts w:asciiTheme="majorHAnsi" w:hAnsiTheme="majorHAnsi"/>
          <w:b/>
          <w:bCs/>
        </w:rPr>
        <w:t>Skytrofa 11 mg powder and solvent for solution for injection in cartridge</w:t>
      </w:r>
    </w:p>
    <w:p w14:paraId="5F491557" w14:textId="77777777" w:rsidR="00CA3ADE" w:rsidRPr="00CA3ADE" w:rsidRDefault="00CA3ADE" w:rsidP="00A73D97">
      <w:pPr>
        <w:widowControl w:val="0"/>
        <w:spacing w:line="240" w:lineRule="auto"/>
        <w:ind w:right="-63"/>
        <w:rPr>
          <w:rFonts w:asciiTheme="majorHAnsi" w:hAnsiTheme="majorHAnsi"/>
        </w:rPr>
      </w:pPr>
      <w:r w:rsidRPr="00CA3ADE">
        <w:rPr>
          <w:rFonts w:asciiTheme="majorHAnsi" w:hAnsiTheme="majorHAnsi"/>
        </w:rPr>
        <w:t>Each dual</w:t>
      </w:r>
      <w:r w:rsidRPr="00CA3ADE">
        <w:rPr>
          <w:rFonts w:asciiTheme="majorHAnsi" w:hAnsiTheme="majorHAnsi"/>
        </w:rPr>
        <w:noBreakHyphen/>
        <w:t>chamber cartridge contains 11 mg of somatropin* equivalent to 31.4 mg of lonapegsomatropin and 0.479 mL of solvent. After reconstitution the concentration based on somatropin** protein is 22 mg/</w:t>
      </w:r>
      <w:proofErr w:type="spellStart"/>
      <w:r w:rsidRPr="00CA3ADE">
        <w:rPr>
          <w:rFonts w:asciiTheme="majorHAnsi" w:hAnsiTheme="majorHAnsi"/>
        </w:rPr>
        <w:t>mL.</w:t>
      </w:r>
      <w:proofErr w:type="spellEnd"/>
    </w:p>
    <w:p w14:paraId="14A8198A" w14:textId="1176CFC5" w:rsidR="00CA3ADE" w:rsidRPr="00CA3ADE" w:rsidRDefault="00CA3ADE" w:rsidP="00A73D97">
      <w:pPr>
        <w:widowControl w:val="0"/>
        <w:spacing w:line="240" w:lineRule="auto"/>
        <w:ind w:right="-63"/>
        <w:rPr>
          <w:rFonts w:asciiTheme="majorHAnsi" w:hAnsiTheme="majorHAnsi"/>
          <w:b/>
          <w:bCs/>
        </w:rPr>
      </w:pPr>
      <w:r w:rsidRPr="00CA3ADE">
        <w:rPr>
          <w:rFonts w:asciiTheme="majorHAnsi" w:hAnsiTheme="majorHAnsi"/>
          <w:b/>
          <w:bCs/>
        </w:rPr>
        <w:t>Skytrofa 13.3 mg powder and solvent for solution for injection in cartridge</w:t>
      </w:r>
    </w:p>
    <w:p w14:paraId="0FE8762A" w14:textId="77777777" w:rsidR="00CA3ADE" w:rsidRPr="00CA3ADE" w:rsidRDefault="00CA3ADE" w:rsidP="00A73D97">
      <w:pPr>
        <w:widowControl w:val="0"/>
        <w:spacing w:line="240" w:lineRule="auto"/>
        <w:ind w:right="-63"/>
        <w:rPr>
          <w:rFonts w:asciiTheme="majorHAnsi" w:hAnsiTheme="majorHAnsi"/>
        </w:rPr>
      </w:pPr>
      <w:r w:rsidRPr="00CA3ADE">
        <w:rPr>
          <w:rFonts w:asciiTheme="majorHAnsi" w:hAnsiTheme="majorHAnsi"/>
        </w:rPr>
        <w:t>Each dual</w:t>
      </w:r>
      <w:r w:rsidRPr="00CA3ADE">
        <w:rPr>
          <w:rFonts w:asciiTheme="majorHAnsi" w:hAnsiTheme="majorHAnsi"/>
        </w:rPr>
        <w:noBreakHyphen/>
        <w:t>chamber cartridge contains 13.3 mg of somatropin* equivalent to 37.9 mg of lonapegsomatropin and 0.574 mL of solvent. After reconstitution the concentration based on somatropin** protein is 22 mg/</w:t>
      </w:r>
      <w:proofErr w:type="spellStart"/>
      <w:r w:rsidRPr="00CA3ADE">
        <w:rPr>
          <w:rFonts w:asciiTheme="majorHAnsi" w:hAnsiTheme="majorHAnsi"/>
        </w:rPr>
        <w:t>mL.</w:t>
      </w:r>
      <w:proofErr w:type="spellEnd"/>
    </w:p>
    <w:p w14:paraId="67A85E03" w14:textId="77777777" w:rsidR="00CA3ADE" w:rsidRPr="00CA3ADE" w:rsidRDefault="00CA3ADE" w:rsidP="00A73D97">
      <w:pPr>
        <w:widowControl w:val="0"/>
        <w:spacing w:line="240" w:lineRule="auto"/>
        <w:ind w:right="-63"/>
        <w:rPr>
          <w:rFonts w:asciiTheme="majorHAnsi" w:hAnsiTheme="majorHAnsi"/>
        </w:rPr>
      </w:pPr>
      <w:r w:rsidRPr="00CA3ADE">
        <w:rPr>
          <w:rFonts w:asciiTheme="majorHAnsi" w:hAnsiTheme="majorHAnsi"/>
        </w:rPr>
        <w:t xml:space="preserve">* The strength indicates the quantity of the somatropin moiety without consideration of the </w:t>
      </w:r>
      <w:proofErr w:type="spellStart"/>
      <w:r w:rsidRPr="00CA3ADE">
        <w:rPr>
          <w:rFonts w:asciiTheme="majorHAnsi" w:hAnsiTheme="majorHAnsi"/>
        </w:rPr>
        <w:t>mPEG</w:t>
      </w:r>
      <w:proofErr w:type="spellEnd"/>
      <w:r w:rsidRPr="00CA3ADE">
        <w:rPr>
          <w:rFonts w:asciiTheme="majorHAnsi" w:hAnsiTheme="majorHAnsi"/>
        </w:rPr>
        <w:noBreakHyphen/>
        <w:t>linker.</w:t>
      </w:r>
    </w:p>
    <w:p w14:paraId="05F2671C" w14:textId="486DB699" w:rsidR="00CA3ADE" w:rsidRPr="00CA3ADE" w:rsidRDefault="00CA3ADE" w:rsidP="00A73D97">
      <w:pPr>
        <w:widowControl w:val="0"/>
        <w:spacing w:line="240" w:lineRule="auto"/>
        <w:ind w:right="-63"/>
        <w:rPr>
          <w:rFonts w:asciiTheme="majorHAnsi" w:hAnsiTheme="majorHAnsi"/>
        </w:rPr>
      </w:pPr>
      <w:r w:rsidRPr="00CA3ADE">
        <w:rPr>
          <w:rFonts w:asciiTheme="majorHAnsi" w:hAnsiTheme="majorHAnsi"/>
        </w:rPr>
        <w:t xml:space="preserve">** Produced in </w:t>
      </w:r>
      <w:r w:rsidRPr="00CA3ADE">
        <w:rPr>
          <w:rFonts w:asciiTheme="majorHAnsi" w:hAnsiTheme="majorHAnsi"/>
          <w:i/>
          <w:iCs/>
        </w:rPr>
        <w:t>Escherichia coli</w:t>
      </w:r>
      <w:r w:rsidRPr="00CA3ADE">
        <w:rPr>
          <w:rFonts w:asciiTheme="majorHAnsi" w:hAnsiTheme="majorHAnsi"/>
        </w:rPr>
        <w:t xml:space="preserve"> cells by recombinant DNA technology.</w:t>
      </w:r>
    </w:p>
    <w:p w14:paraId="60FB38DF" w14:textId="06DB24B5" w:rsidR="002C4189" w:rsidRDefault="00FB7D91" w:rsidP="00A73D97">
      <w:pPr>
        <w:pStyle w:val="BodyText"/>
        <w:spacing w:before="252"/>
        <w:ind w:left="0" w:right="-63"/>
        <w:rPr>
          <w:rFonts w:asciiTheme="majorHAnsi" w:hAnsiTheme="majorHAnsi" w:cstheme="minorHAnsi"/>
        </w:rPr>
      </w:pPr>
      <w:r w:rsidRPr="004C6325">
        <w:rPr>
          <w:rFonts w:asciiTheme="majorHAnsi" w:hAnsiTheme="majorHAnsi" w:cstheme="minorHAnsi"/>
        </w:rPr>
        <w:t xml:space="preserve">For the full list of excipients, see </w:t>
      </w:r>
      <w:r w:rsidRPr="004C6325">
        <w:rPr>
          <w:rFonts w:asciiTheme="majorHAnsi" w:hAnsiTheme="majorHAnsi" w:cstheme="minorHAnsi"/>
          <w:color w:val="0000FF"/>
        </w:rPr>
        <w:t>Section 6.1</w:t>
      </w:r>
      <w:r w:rsidRPr="004C6325">
        <w:rPr>
          <w:rFonts w:asciiTheme="majorHAnsi" w:hAnsiTheme="majorHAnsi" w:cstheme="minorHAnsi"/>
        </w:rPr>
        <w:t xml:space="preserve"> List of </w:t>
      </w:r>
      <w:r w:rsidR="001865D6">
        <w:rPr>
          <w:rFonts w:asciiTheme="majorHAnsi" w:hAnsiTheme="majorHAnsi" w:cstheme="minorHAnsi"/>
        </w:rPr>
        <w:t>e</w:t>
      </w:r>
      <w:r w:rsidRPr="004C6325">
        <w:rPr>
          <w:rFonts w:asciiTheme="majorHAnsi" w:hAnsiTheme="majorHAnsi" w:cstheme="minorHAnsi"/>
        </w:rPr>
        <w:t>xcipients</w:t>
      </w:r>
      <w:r w:rsidR="009D2610" w:rsidRPr="004C6325">
        <w:rPr>
          <w:rFonts w:asciiTheme="majorHAnsi" w:hAnsiTheme="majorHAnsi" w:cstheme="minorHAnsi"/>
        </w:rPr>
        <w:t>.</w:t>
      </w:r>
    </w:p>
    <w:p w14:paraId="25AF3E16" w14:textId="77777777" w:rsidR="00770977" w:rsidRPr="00770977" w:rsidRDefault="00770977" w:rsidP="00A73D97">
      <w:pPr>
        <w:pStyle w:val="BodyText"/>
        <w:spacing w:before="252"/>
        <w:ind w:left="0" w:right="-63"/>
      </w:pPr>
    </w:p>
    <w:p w14:paraId="20C1A41F" w14:textId="5A839493" w:rsidR="002C4189" w:rsidRPr="00AF52D2" w:rsidRDefault="00FB7D91" w:rsidP="00A73D97">
      <w:pPr>
        <w:pStyle w:val="Heading1"/>
        <w:spacing w:before="0" w:after="120"/>
        <w:ind w:left="0" w:right="-63" w:firstLine="0"/>
        <w:rPr>
          <w:rFonts w:cstheme="minorHAnsi"/>
        </w:rPr>
      </w:pPr>
      <w:r w:rsidRPr="00AF52D2">
        <w:rPr>
          <w:rFonts w:cstheme="minorHAnsi"/>
        </w:rPr>
        <w:t>Pharmaceutical form</w:t>
      </w:r>
      <w:r w:rsidR="00F93A39" w:rsidRPr="00AF52D2">
        <w:rPr>
          <w:rFonts w:cstheme="minorHAnsi"/>
        </w:rPr>
        <w:fldChar w:fldCharType="begin"/>
      </w:r>
      <w:r w:rsidR="00F93A39" w:rsidRPr="00AF52D2">
        <w:rPr>
          <w:rFonts w:cstheme="minorHAnsi"/>
        </w:rPr>
        <w:instrText xml:space="preserve"> DOCVARIABLE VAULT_ND_8206a998-8378-46de-a668-3d97d818049b \* MERGEFORMAT </w:instrText>
      </w:r>
      <w:r w:rsidR="00F93A39" w:rsidRPr="00AF52D2">
        <w:rPr>
          <w:rFonts w:cstheme="minorHAnsi"/>
        </w:rPr>
        <w:fldChar w:fldCharType="separate"/>
      </w:r>
      <w:r w:rsidR="00F93A39" w:rsidRPr="00AF52D2">
        <w:rPr>
          <w:rFonts w:cstheme="minorHAnsi"/>
        </w:rPr>
        <w:t xml:space="preserve"> </w:t>
      </w:r>
      <w:r w:rsidR="00F93A39" w:rsidRPr="00AF52D2">
        <w:rPr>
          <w:rFonts w:cstheme="minorHAnsi"/>
        </w:rPr>
        <w:fldChar w:fldCharType="end"/>
      </w:r>
    </w:p>
    <w:p w14:paraId="0120B214" w14:textId="672A32A9" w:rsidR="00B16B71" w:rsidRPr="00B16B71" w:rsidRDefault="00B16B71" w:rsidP="00A73D97">
      <w:pPr>
        <w:ind w:right="-63"/>
        <w:rPr>
          <w:rFonts w:asciiTheme="majorHAnsi" w:hAnsiTheme="majorHAnsi"/>
        </w:rPr>
      </w:pPr>
      <w:r w:rsidRPr="00B16B71">
        <w:rPr>
          <w:rFonts w:asciiTheme="majorHAnsi" w:hAnsiTheme="majorHAnsi"/>
        </w:rPr>
        <w:t>Powder and solvent for solution for injection (injection).</w:t>
      </w:r>
    </w:p>
    <w:p w14:paraId="16EBE762" w14:textId="4F09D371" w:rsidR="00B16B71" w:rsidRPr="00B16B71" w:rsidRDefault="00B16B71" w:rsidP="00A73D97">
      <w:pPr>
        <w:ind w:right="-63"/>
        <w:rPr>
          <w:rFonts w:asciiTheme="majorHAnsi" w:hAnsiTheme="majorHAnsi"/>
        </w:rPr>
      </w:pPr>
      <w:r w:rsidRPr="00B16B71">
        <w:rPr>
          <w:rFonts w:asciiTheme="majorHAnsi" w:hAnsiTheme="majorHAnsi"/>
        </w:rPr>
        <w:t>White to off</w:t>
      </w:r>
      <w:r w:rsidRPr="00B16B71">
        <w:rPr>
          <w:rFonts w:asciiTheme="majorHAnsi" w:hAnsiTheme="majorHAnsi"/>
        </w:rPr>
        <w:noBreakHyphen/>
        <w:t>white powder.</w:t>
      </w:r>
    </w:p>
    <w:p w14:paraId="6FD1DCD4" w14:textId="7318539F" w:rsidR="00770977" w:rsidRPr="00B16B71" w:rsidRDefault="00B16B71" w:rsidP="00A73D97">
      <w:pPr>
        <w:pStyle w:val="BodyText"/>
        <w:ind w:left="0" w:right="-63"/>
        <w:rPr>
          <w:rFonts w:asciiTheme="majorHAnsi" w:hAnsiTheme="majorHAnsi"/>
          <w:spacing w:val="-4"/>
        </w:rPr>
      </w:pPr>
      <w:r w:rsidRPr="00B16B71">
        <w:rPr>
          <w:rFonts w:asciiTheme="majorHAnsi" w:hAnsiTheme="majorHAnsi"/>
        </w:rPr>
        <w:t>The solvent is a clear and colourless solution.</w:t>
      </w:r>
    </w:p>
    <w:p w14:paraId="7D80D1D5" w14:textId="77777777" w:rsidR="00770977" w:rsidRDefault="00770977" w:rsidP="00A73D97">
      <w:pPr>
        <w:pStyle w:val="BodyText"/>
        <w:ind w:left="0" w:right="-63"/>
      </w:pPr>
    </w:p>
    <w:p w14:paraId="0FF9C56F" w14:textId="5DD202DC" w:rsidR="002C4189" w:rsidRPr="00AF52D2" w:rsidRDefault="00FB7D91" w:rsidP="00A73D97">
      <w:pPr>
        <w:pStyle w:val="Heading1"/>
        <w:spacing w:before="0" w:after="120"/>
        <w:ind w:left="0" w:right="-63" w:firstLine="0"/>
        <w:rPr>
          <w:rFonts w:cstheme="minorHAnsi"/>
        </w:rPr>
      </w:pPr>
      <w:r w:rsidRPr="00AF52D2">
        <w:rPr>
          <w:rFonts w:cstheme="minorHAnsi"/>
        </w:rPr>
        <w:t>Clinical particulars</w:t>
      </w:r>
      <w:r w:rsidR="00F93A39" w:rsidRPr="00AF52D2">
        <w:rPr>
          <w:rFonts w:cstheme="minorHAnsi"/>
        </w:rPr>
        <w:fldChar w:fldCharType="begin"/>
      </w:r>
      <w:r w:rsidR="00F93A39" w:rsidRPr="00AF52D2">
        <w:rPr>
          <w:rFonts w:cstheme="minorHAnsi"/>
        </w:rPr>
        <w:instrText xml:space="preserve"> DOCVARIABLE VAULT_ND_8e41f407-93d3-46bc-b7fb-33a3efcce7a9 \* MERGEFORMAT </w:instrText>
      </w:r>
      <w:r w:rsidR="00F93A39" w:rsidRPr="00AF52D2">
        <w:rPr>
          <w:rFonts w:cstheme="minorHAnsi"/>
        </w:rPr>
        <w:fldChar w:fldCharType="separate"/>
      </w:r>
      <w:r w:rsidR="00F93A39" w:rsidRPr="00AF52D2">
        <w:rPr>
          <w:rFonts w:cstheme="minorHAnsi"/>
        </w:rPr>
        <w:t xml:space="preserve"> </w:t>
      </w:r>
      <w:r w:rsidR="00F93A39" w:rsidRPr="00AF52D2">
        <w:rPr>
          <w:rFonts w:cstheme="minorHAnsi"/>
        </w:rPr>
        <w:fldChar w:fldCharType="end"/>
      </w:r>
    </w:p>
    <w:p w14:paraId="7C17FF86" w14:textId="462575BB" w:rsidR="002C4189" w:rsidRPr="004C6325" w:rsidRDefault="00FB7D91" w:rsidP="00A73D97">
      <w:pPr>
        <w:pStyle w:val="Heading2"/>
        <w:spacing w:before="0" w:after="120"/>
        <w:ind w:left="0" w:right="-63" w:firstLine="0"/>
        <w:rPr>
          <w:rFonts w:cstheme="minorHAnsi"/>
        </w:rPr>
      </w:pPr>
      <w:r w:rsidRPr="004C6325">
        <w:rPr>
          <w:rFonts w:cstheme="minorHAnsi"/>
        </w:rPr>
        <w:t>Therapeutic indications</w:t>
      </w:r>
      <w:r w:rsidR="00F93A39">
        <w:rPr>
          <w:rFonts w:cstheme="minorHAnsi"/>
        </w:rPr>
        <w:fldChar w:fldCharType="begin"/>
      </w:r>
      <w:r w:rsidR="00F93A39">
        <w:rPr>
          <w:rFonts w:cstheme="minorHAnsi"/>
        </w:rPr>
        <w:instrText xml:space="preserve"> DOCVARIABLE vault_nd_60997615-9b75-41b1-a376-5e12fb8d7a1e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7ECC3395" w14:textId="327DE160" w:rsidR="00AC3191" w:rsidRPr="000C4EB2" w:rsidRDefault="000C4EB2" w:rsidP="00A73D97">
      <w:pPr>
        <w:spacing w:line="240" w:lineRule="auto"/>
        <w:ind w:right="-63"/>
        <w:rPr>
          <w:rFonts w:asciiTheme="majorHAnsi" w:hAnsiTheme="majorHAnsi" w:cstheme="minorHAnsi"/>
        </w:rPr>
      </w:pPr>
      <w:r w:rsidRPr="000C4EB2">
        <w:rPr>
          <w:rFonts w:asciiTheme="majorHAnsi" w:hAnsiTheme="majorHAnsi"/>
        </w:rPr>
        <w:t>Growth failure in children and adolescents aged from 3 years up to 18 years due to insufficient endogenous growth hormone secretion</w:t>
      </w:r>
      <w:r w:rsidR="00056193">
        <w:rPr>
          <w:rFonts w:asciiTheme="majorHAnsi" w:hAnsiTheme="majorHAnsi"/>
        </w:rPr>
        <w:t>.</w:t>
      </w:r>
      <w:r w:rsidRPr="000C4EB2">
        <w:rPr>
          <w:rFonts w:asciiTheme="majorHAnsi" w:hAnsiTheme="majorHAnsi"/>
        </w:rPr>
        <w:t xml:space="preserve"> </w:t>
      </w:r>
    </w:p>
    <w:p w14:paraId="44B59CC0" w14:textId="070C4DEF" w:rsidR="002C4189" w:rsidRPr="004C6325" w:rsidRDefault="00FB7D91" w:rsidP="00A73D97">
      <w:pPr>
        <w:pStyle w:val="Heading2"/>
        <w:spacing w:before="0" w:after="120"/>
        <w:ind w:left="0" w:right="-63" w:firstLine="0"/>
        <w:rPr>
          <w:rFonts w:cstheme="minorHAnsi"/>
        </w:rPr>
      </w:pPr>
      <w:r w:rsidRPr="004C6325">
        <w:rPr>
          <w:rFonts w:cstheme="minorHAnsi"/>
        </w:rPr>
        <w:t>Dose and method of administration</w:t>
      </w:r>
      <w:r w:rsidR="00F93A39">
        <w:rPr>
          <w:rFonts w:cstheme="minorHAnsi"/>
        </w:rPr>
        <w:fldChar w:fldCharType="begin"/>
      </w:r>
      <w:r w:rsidR="00F93A39">
        <w:rPr>
          <w:rFonts w:cstheme="minorHAnsi"/>
        </w:rPr>
        <w:instrText xml:space="preserve"> DOCVARIABLE vault_nd_92d6a904-eabd-492d-b0f8-a1874396d2a6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1B527765" w14:textId="77777777" w:rsidR="00093F8D" w:rsidRPr="00093F8D" w:rsidRDefault="00093F8D" w:rsidP="00A73D97">
      <w:pPr>
        <w:spacing w:line="240" w:lineRule="auto"/>
        <w:ind w:right="-63"/>
        <w:rPr>
          <w:rFonts w:asciiTheme="majorHAnsi" w:hAnsiTheme="majorHAnsi"/>
        </w:rPr>
      </w:pPr>
      <w:r w:rsidRPr="00093F8D">
        <w:rPr>
          <w:rFonts w:asciiTheme="majorHAnsi" w:hAnsiTheme="majorHAnsi"/>
        </w:rPr>
        <w:t>Treatment should be initiated and monitored by physicians who are qualified and experienced in the diagnosis and management of paediatric patients with GHD.</w:t>
      </w:r>
    </w:p>
    <w:p w14:paraId="36127ED6" w14:textId="77777777" w:rsidR="00093F8D" w:rsidRDefault="00093F8D" w:rsidP="00A73D97">
      <w:pPr>
        <w:spacing w:line="240" w:lineRule="auto"/>
        <w:ind w:right="-63"/>
        <w:rPr>
          <w:rFonts w:asciiTheme="majorHAnsi" w:hAnsiTheme="majorHAnsi"/>
        </w:rPr>
      </w:pPr>
      <w:r w:rsidRPr="00093F8D">
        <w:rPr>
          <w:rFonts w:asciiTheme="majorHAnsi" w:hAnsiTheme="majorHAnsi"/>
        </w:rPr>
        <w:t xml:space="preserve">The amount and concentration of lonapegsomatropin is always expressed in terms of mg somatropin referring to the content of the somatropin moiety and not including </w:t>
      </w:r>
      <w:proofErr w:type="spellStart"/>
      <w:r w:rsidRPr="00093F8D">
        <w:rPr>
          <w:rFonts w:asciiTheme="majorHAnsi" w:hAnsiTheme="majorHAnsi"/>
        </w:rPr>
        <w:t>mPEG</w:t>
      </w:r>
      <w:proofErr w:type="spellEnd"/>
      <w:r w:rsidRPr="00093F8D">
        <w:rPr>
          <w:rFonts w:asciiTheme="majorHAnsi" w:hAnsiTheme="majorHAnsi"/>
        </w:rPr>
        <w:noBreakHyphen/>
        <w:t xml:space="preserve">linker </w:t>
      </w:r>
      <w:proofErr w:type="gramStart"/>
      <w:r w:rsidRPr="00093F8D">
        <w:rPr>
          <w:rFonts w:asciiTheme="majorHAnsi" w:hAnsiTheme="majorHAnsi"/>
        </w:rPr>
        <w:t>in order to</w:t>
      </w:r>
      <w:proofErr w:type="gramEnd"/>
      <w:r w:rsidRPr="00093F8D">
        <w:rPr>
          <w:rFonts w:asciiTheme="majorHAnsi" w:hAnsiTheme="majorHAnsi"/>
        </w:rPr>
        <w:t xml:space="preserve"> prevent medication errors when patients switch from daily somatropin therapy.</w:t>
      </w:r>
    </w:p>
    <w:p w14:paraId="064B4885" w14:textId="00D838F9" w:rsidR="002C4189" w:rsidRPr="004C6325" w:rsidRDefault="00FB7D91" w:rsidP="00A73D97">
      <w:pPr>
        <w:pStyle w:val="Heading3"/>
        <w:spacing w:before="0" w:after="120"/>
        <w:ind w:left="0" w:right="-63"/>
        <w:rPr>
          <w:rFonts w:cstheme="minorHAnsi"/>
        </w:rPr>
      </w:pPr>
      <w:r w:rsidRPr="004C6325">
        <w:rPr>
          <w:rFonts w:cstheme="minorHAnsi"/>
        </w:rPr>
        <w:lastRenderedPageBreak/>
        <w:t>Dosage</w:t>
      </w:r>
      <w:r w:rsidR="00F93A39">
        <w:rPr>
          <w:rFonts w:cstheme="minorHAnsi"/>
        </w:rPr>
        <w:fldChar w:fldCharType="begin"/>
      </w:r>
      <w:r w:rsidR="00F93A39">
        <w:rPr>
          <w:rFonts w:cstheme="minorHAnsi"/>
        </w:rPr>
        <w:instrText xml:space="preserve"> DOCVARIABLE vault_nd_52608d15-135a-4242-a27c-80e0d014ddad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641EEE8C" w14:textId="6FD31615" w:rsidR="00520B12" w:rsidRPr="001B5391" w:rsidRDefault="00520B12" w:rsidP="00A73D97">
      <w:pPr>
        <w:ind w:right="-63"/>
        <w:rPr>
          <w:rFonts w:asciiTheme="majorHAnsi" w:hAnsiTheme="majorHAnsi"/>
        </w:rPr>
      </w:pPr>
      <w:r w:rsidRPr="001B5391">
        <w:rPr>
          <w:rFonts w:asciiTheme="majorHAnsi" w:hAnsiTheme="majorHAnsi"/>
        </w:rPr>
        <w:t xml:space="preserve">The </w:t>
      </w:r>
      <w:r w:rsidR="00E208E5">
        <w:rPr>
          <w:rFonts w:asciiTheme="majorHAnsi" w:hAnsiTheme="majorHAnsi"/>
        </w:rPr>
        <w:t>dosage</w:t>
      </w:r>
      <w:r w:rsidR="00E208E5" w:rsidRPr="001B5391">
        <w:rPr>
          <w:rFonts w:asciiTheme="majorHAnsi" w:hAnsiTheme="majorHAnsi"/>
        </w:rPr>
        <w:t xml:space="preserve"> </w:t>
      </w:r>
      <w:r w:rsidRPr="001B5391">
        <w:rPr>
          <w:rFonts w:asciiTheme="majorHAnsi" w:hAnsiTheme="majorHAnsi"/>
        </w:rPr>
        <w:t>and administration should be individualised for each patient.</w:t>
      </w:r>
    </w:p>
    <w:p w14:paraId="02BA063E" w14:textId="551E6E77" w:rsidR="00520B12" w:rsidRPr="001B5391" w:rsidRDefault="00520B12" w:rsidP="00A73D97">
      <w:pPr>
        <w:keepNext/>
        <w:ind w:right="-63"/>
        <w:rPr>
          <w:rFonts w:asciiTheme="majorHAnsi" w:hAnsiTheme="majorHAnsi"/>
          <w:i/>
          <w:iCs/>
          <w:u w:val="single"/>
        </w:rPr>
      </w:pPr>
      <w:r w:rsidRPr="001B5391">
        <w:rPr>
          <w:rFonts w:asciiTheme="majorHAnsi" w:hAnsiTheme="majorHAnsi"/>
          <w:i/>
          <w:iCs/>
          <w:u w:val="single"/>
        </w:rPr>
        <w:t>Starting dose</w:t>
      </w:r>
    </w:p>
    <w:p w14:paraId="2A602BFF" w14:textId="77777777" w:rsidR="00520B12" w:rsidRPr="001B5391" w:rsidRDefault="00520B12" w:rsidP="00A73D97">
      <w:pPr>
        <w:ind w:right="-63"/>
        <w:rPr>
          <w:rFonts w:asciiTheme="majorHAnsi" w:hAnsiTheme="majorHAnsi"/>
        </w:rPr>
      </w:pPr>
      <w:r w:rsidRPr="001B5391">
        <w:rPr>
          <w:rFonts w:asciiTheme="majorHAnsi" w:hAnsiTheme="majorHAnsi"/>
        </w:rPr>
        <w:t>The recommended starting dose of Skytrofa is 0.24 mg somatropin/kg body weight, given once weekly. The recommended starting dose strengths for such a dose by weight range can be found in Table 1.</w:t>
      </w:r>
    </w:p>
    <w:p w14:paraId="66A6A288" w14:textId="05C148B1" w:rsidR="00520B12" w:rsidRPr="001B5391" w:rsidRDefault="00520B12" w:rsidP="00A73D97">
      <w:pPr>
        <w:pStyle w:val="Caption"/>
        <w:tabs>
          <w:tab w:val="left" w:pos="1134"/>
        </w:tabs>
        <w:spacing w:after="0"/>
        <w:ind w:left="1134" w:right="-63" w:hanging="1134"/>
        <w:rPr>
          <w:rFonts w:asciiTheme="majorHAnsi" w:hAnsiTheme="majorHAnsi"/>
          <w:b/>
          <w:bCs/>
          <w:i w:val="0"/>
          <w:iCs w:val="0"/>
          <w:noProof/>
          <w:color w:val="000000" w:themeColor="text1"/>
          <w:sz w:val="22"/>
          <w:szCs w:val="22"/>
          <w:lang w:val="en-GB"/>
        </w:rPr>
      </w:pPr>
      <w:bookmarkStart w:id="2" w:name="_Ref78357668"/>
      <w:bookmarkStart w:id="3" w:name="_Ref78349049"/>
      <w:r w:rsidRPr="001B5391">
        <w:rPr>
          <w:rFonts w:asciiTheme="majorHAnsi" w:hAnsiTheme="majorHAnsi"/>
          <w:b/>
          <w:bCs/>
          <w:i w:val="0"/>
          <w:iCs w:val="0"/>
          <w:noProof/>
          <w:color w:val="000000" w:themeColor="text1"/>
          <w:sz w:val="22"/>
          <w:szCs w:val="22"/>
          <w:lang w:val="en-GB"/>
        </w:rPr>
        <w:t>Table </w:t>
      </w:r>
      <w:r w:rsidRPr="001B5391">
        <w:rPr>
          <w:rFonts w:asciiTheme="majorHAnsi" w:hAnsiTheme="majorHAnsi"/>
          <w:b/>
          <w:bCs/>
          <w:i w:val="0"/>
          <w:iCs w:val="0"/>
          <w:color w:val="000000" w:themeColor="text1"/>
          <w:sz w:val="22"/>
          <w:szCs w:val="22"/>
          <w:lang w:val="en-GB"/>
        </w:rPr>
        <w:fldChar w:fldCharType="begin"/>
      </w:r>
      <w:r w:rsidRPr="001B5391">
        <w:rPr>
          <w:rFonts w:asciiTheme="majorHAnsi" w:hAnsiTheme="majorHAnsi"/>
          <w:b/>
          <w:bCs/>
          <w:i w:val="0"/>
          <w:iCs w:val="0"/>
          <w:color w:val="000000" w:themeColor="text1"/>
          <w:sz w:val="22"/>
          <w:szCs w:val="22"/>
          <w:lang w:val="en-GB"/>
        </w:rPr>
        <w:instrText xml:space="preserve"> SEQ Table \* ARABIC \* MERGEFORMAT </w:instrText>
      </w:r>
      <w:r w:rsidRPr="001B5391">
        <w:rPr>
          <w:rFonts w:asciiTheme="majorHAnsi" w:hAnsiTheme="majorHAnsi"/>
          <w:b/>
          <w:bCs/>
          <w:i w:val="0"/>
          <w:iCs w:val="0"/>
          <w:color w:val="000000" w:themeColor="text1"/>
          <w:sz w:val="22"/>
          <w:szCs w:val="22"/>
          <w:lang w:val="en-GB"/>
        </w:rPr>
        <w:fldChar w:fldCharType="separate"/>
      </w:r>
      <w:r w:rsidR="002C045A">
        <w:rPr>
          <w:rFonts w:asciiTheme="majorHAnsi" w:hAnsiTheme="majorHAnsi"/>
          <w:b/>
          <w:bCs/>
          <w:i w:val="0"/>
          <w:iCs w:val="0"/>
          <w:noProof/>
          <w:color w:val="000000" w:themeColor="text1"/>
          <w:sz w:val="22"/>
          <w:szCs w:val="22"/>
          <w:lang w:val="en-GB"/>
        </w:rPr>
        <w:t>1</w:t>
      </w:r>
      <w:r w:rsidRPr="001B5391">
        <w:rPr>
          <w:rFonts w:asciiTheme="majorHAnsi" w:hAnsiTheme="majorHAnsi"/>
          <w:b/>
          <w:bCs/>
          <w:i w:val="0"/>
          <w:iCs w:val="0"/>
          <w:color w:val="000000" w:themeColor="text1"/>
          <w:sz w:val="22"/>
          <w:szCs w:val="22"/>
          <w:lang w:val="en-GB"/>
        </w:rPr>
        <w:fldChar w:fldCharType="end"/>
      </w:r>
      <w:bookmarkEnd w:id="2"/>
      <w:r w:rsidRPr="001B5391">
        <w:rPr>
          <w:rFonts w:asciiTheme="majorHAnsi" w:hAnsiTheme="majorHAnsi"/>
          <w:b/>
          <w:bCs/>
          <w:i w:val="0"/>
          <w:iCs w:val="0"/>
          <w:noProof/>
          <w:color w:val="000000" w:themeColor="text1"/>
          <w:sz w:val="22"/>
          <w:szCs w:val="22"/>
          <w:lang w:val="en-GB"/>
        </w:rPr>
        <w:tab/>
      </w:r>
      <w:r w:rsidRPr="001B5391">
        <w:rPr>
          <w:rFonts w:asciiTheme="majorHAnsi" w:hAnsiTheme="majorHAnsi"/>
          <w:b/>
          <w:bCs/>
          <w:i w:val="0"/>
          <w:iCs w:val="0"/>
          <w:color w:val="000000" w:themeColor="text1"/>
          <w:sz w:val="22"/>
          <w:szCs w:val="22"/>
          <w:lang w:val="en-GB"/>
        </w:rPr>
        <w:t xml:space="preserve">Recommended </w:t>
      </w:r>
      <w:r w:rsidRPr="001B5391">
        <w:rPr>
          <w:rFonts w:asciiTheme="majorHAnsi" w:hAnsiTheme="majorHAnsi"/>
          <w:b/>
          <w:bCs/>
          <w:i w:val="0"/>
          <w:iCs w:val="0"/>
          <w:noProof/>
          <w:color w:val="000000" w:themeColor="text1"/>
          <w:sz w:val="22"/>
          <w:szCs w:val="22"/>
          <w:lang w:val="en-GB"/>
        </w:rPr>
        <w:t>dose</w:t>
      </w:r>
      <w:r w:rsidRPr="001B5391">
        <w:rPr>
          <w:rFonts w:asciiTheme="majorHAnsi" w:hAnsiTheme="majorHAnsi"/>
          <w:b/>
          <w:bCs/>
          <w:i w:val="0"/>
          <w:iCs w:val="0"/>
          <w:color w:val="000000" w:themeColor="text1"/>
          <w:sz w:val="22"/>
          <w:szCs w:val="22"/>
          <w:lang w:val="en-GB"/>
        </w:rPr>
        <w:t xml:space="preserve"> for </w:t>
      </w:r>
      <w:r w:rsidRPr="001B5391">
        <w:rPr>
          <w:rFonts w:asciiTheme="majorHAnsi" w:hAnsiTheme="majorHAnsi"/>
          <w:b/>
          <w:bCs/>
          <w:i w:val="0"/>
          <w:iCs w:val="0"/>
          <w:noProof/>
          <w:color w:val="000000" w:themeColor="text1"/>
          <w:sz w:val="22"/>
          <w:szCs w:val="22"/>
          <w:lang w:val="en-GB"/>
        </w:rPr>
        <w:t>patients by weight, when prescribed doses</w:t>
      </w:r>
      <w:r w:rsidRPr="001B5391">
        <w:rPr>
          <w:rFonts w:asciiTheme="majorHAnsi" w:hAnsiTheme="majorHAnsi"/>
          <w:b/>
          <w:bCs/>
          <w:i w:val="0"/>
          <w:iCs w:val="0"/>
          <w:color w:val="000000" w:themeColor="text1"/>
          <w:sz w:val="22"/>
          <w:szCs w:val="22"/>
          <w:lang w:val="en-GB"/>
        </w:rPr>
        <w:t xml:space="preserve"> of 0.24 </w:t>
      </w:r>
      <w:r w:rsidRPr="001B5391">
        <w:rPr>
          <w:rFonts w:asciiTheme="majorHAnsi" w:hAnsiTheme="majorHAnsi"/>
          <w:b/>
          <w:bCs/>
          <w:i w:val="0"/>
          <w:iCs w:val="0"/>
          <w:noProof/>
          <w:color w:val="000000" w:themeColor="text1"/>
          <w:sz w:val="22"/>
          <w:szCs w:val="22"/>
          <w:lang w:val="en-GB"/>
        </w:rPr>
        <w:t>mg somatropin/kg/week</w:t>
      </w:r>
      <w:bookmarkEnd w:id="3"/>
      <w:r w:rsidRPr="001B5391">
        <w:rPr>
          <w:rFonts w:asciiTheme="majorHAnsi" w:hAnsiTheme="majorHAnsi"/>
          <w:b/>
          <w:bCs/>
          <w:i w:val="0"/>
          <w:iCs w:val="0"/>
          <w:noProof/>
          <w:color w:val="000000" w:themeColor="text1"/>
          <w:sz w:val="22"/>
          <w:szCs w:val="22"/>
          <w:lang w:val="en-GB"/>
        </w:rPr>
        <w:fldChar w:fldCharType="begin"/>
      </w:r>
      <w:r w:rsidRPr="001B5391">
        <w:rPr>
          <w:rFonts w:asciiTheme="majorHAnsi" w:hAnsiTheme="majorHAnsi"/>
          <w:b/>
          <w:bCs/>
          <w:i w:val="0"/>
          <w:iCs w:val="0"/>
          <w:noProof/>
          <w:color w:val="000000" w:themeColor="text1"/>
          <w:sz w:val="22"/>
          <w:szCs w:val="22"/>
          <w:lang w:val="en-GB"/>
        </w:rPr>
        <w:instrText xml:space="preserve"> DOCVARIABLE vault_nd_09018928-90c8-4d92-8f2b-33023ac38a4c \* MERGEFORMAT </w:instrText>
      </w:r>
      <w:r w:rsidRPr="001B5391">
        <w:rPr>
          <w:rFonts w:asciiTheme="majorHAnsi" w:hAnsiTheme="majorHAnsi"/>
          <w:b/>
          <w:bCs/>
          <w:i w:val="0"/>
          <w:iCs w:val="0"/>
          <w:noProof/>
          <w:color w:val="000000" w:themeColor="text1"/>
          <w:sz w:val="22"/>
          <w:szCs w:val="22"/>
          <w:lang w:val="en-GB"/>
        </w:rPr>
        <w:fldChar w:fldCharType="separate"/>
      </w:r>
      <w:r w:rsidRPr="001B5391">
        <w:rPr>
          <w:rFonts w:asciiTheme="majorHAnsi" w:hAnsiTheme="majorHAnsi"/>
          <w:b/>
          <w:bCs/>
          <w:i w:val="0"/>
          <w:iCs w:val="0"/>
          <w:noProof/>
          <w:color w:val="000000" w:themeColor="text1"/>
          <w:sz w:val="22"/>
          <w:szCs w:val="22"/>
          <w:lang w:val="en-GB"/>
        </w:rPr>
        <w:t xml:space="preserve"> </w:t>
      </w:r>
      <w:r w:rsidRPr="001B5391">
        <w:rPr>
          <w:rFonts w:asciiTheme="majorHAnsi" w:hAnsiTheme="majorHAnsi"/>
          <w:b/>
          <w:bCs/>
          <w:i w:val="0"/>
          <w:iCs w:val="0"/>
          <w:noProof/>
          <w:color w:val="000000" w:themeColor="text1"/>
          <w:sz w:val="22"/>
          <w:szCs w:val="22"/>
          <w:lang w:val="en-GB"/>
        </w:rPr>
        <w:fldChar w:fldCharType="end"/>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49"/>
        <w:gridCol w:w="6895"/>
      </w:tblGrid>
      <w:tr w:rsidR="00520B12" w:rsidRPr="001B5391" w14:paraId="79655C88" w14:textId="77777777" w:rsidTr="00D04679">
        <w:trPr>
          <w:cantSplit/>
          <w:tblHeader/>
        </w:trPr>
        <w:tc>
          <w:tcPr>
            <w:tcW w:w="1498" w:type="pct"/>
          </w:tcPr>
          <w:p w14:paraId="21B626EE" w14:textId="77777777" w:rsidR="00520B12" w:rsidRPr="001B5391" w:rsidRDefault="00520B12" w:rsidP="00A73D97">
            <w:pPr>
              <w:pStyle w:val="C-TableHeader"/>
              <w:spacing w:before="0" w:after="0"/>
              <w:ind w:right="-63"/>
              <w:jc w:val="center"/>
              <w:rPr>
                <w:rFonts w:asciiTheme="majorHAnsi" w:hAnsiTheme="majorHAnsi"/>
                <w:szCs w:val="22"/>
                <w:lang w:val="en-GB"/>
              </w:rPr>
            </w:pPr>
            <w:r w:rsidRPr="001B5391">
              <w:rPr>
                <w:rFonts w:asciiTheme="majorHAnsi" w:hAnsiTheme="majorHAnsi"/>
                <w:szCs w:val="22"/>
                <w:lang w:val="en-GB"/>
              </w:rPr>
              <w:t>Weight (kg)</w:t>
            </w:r>
          </w:p>
        </w:tc>
        <w:tc>
          <w:tcPr>
            <w:tcW w:w="3502" w:type="pct"/>
          </w:tcPr>
          <w:p w14:paraId="64004509" w14:textId="77777777" w:rsidR="00520B12" w:rsidRPr="001B5391" w:rsidRDefault="00520B12" w:rsidP="00A73D97">
            <w:pPr>
              <w:pStyle w:val="C-TableHeader"/>
              <w:spacing w:before="0" w:after="0"/>
              <w:ind w:right="-63"/>
              <w:jc w:val="center"/>
              <w:rPr>
                <w:rFonts w:asciiTheme="majorHAnsi" w:hAnsiTheme="majorHAnsi"/>
                <w:szCs w:val="22"/>
                <w:lang w:val="en-GB"/>
              </w:rPr>
            </w:pPr>
            <w:r w:rsidRPr="001B5391">
              <w:rPr>
                <w:rFonts w:asciiTheme="majorHAnsi" w:hAnsiTheme="majorHAnsi"/>
                <w:szCs w:val="22"/>
                <w:lang w:val="en-GB"/>
              </w:rPr>
              <w:t>Somatropin dose strength</w:t>
            </w:r>
          </w:p>
        </w:tc>
      </w:tr>
      <w:tr w:rsidR="00520B12" w:rsidRPr="001B5391" w14:paraId="789F923F" w14:textId="77777777" w:rsidTr="00D04679">
        <w:trPr>
          <w:cantSplit/>
        </w:trPr>
        <w:tc>
          <w:tcPr>
            <w:tcW w:w="1498" w:type="pct"/>
          </w:tcPr>
          <w:p w14:paraId="409BCDAF"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11.5 – 13.9</w:t>
            </w:r>
          </w:p>
        </w:tc>
        <w:tc>
          <w:tcPr>
            <w:tcW w:w="3502" w:type="pct"/>
          </w:tcPr>
          <w:p w14:paraId="342E8B37"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3 mg</w:t>
            </w:r>
          </w:p>
        </w:tc>
      </w:tr>
      <w:tr w:rsidR="00520B12" w:rsidRPr="001B5391" w14:paraId="3D090134" w14:textId="77777777" w:rsidTr="00D04679">
        <w:trPr>
          <w:cantSplit/>
        </w:trPr>
        <w:tc>
          <w:tcPr>
            <w:tcW w:w="1498" w:type="pct"/>
          </w:tcPr>
          <w:p w14:paraId="1CBA6FDA"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14 – 16.4</w:t>
            </w:r>
          </w:p>
        </w:tc>
        <w:tc>
          <w:tcPr>
            <w:tcW w:w="3502" w:type="pct"/>
          </w:tcPr>
          <w:p w14:paraId="3761C681"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3.6 mg</w:t>
            </w:r>
          </w:p>
        </w:tc>
      </w:tr>
      <w:tr w:rsidR="00520B12" w:rsidRPr="001B5391" w14:paraId="03BC70B4" w14:textId="77777777" w:rsidTr="00D04679">
        <w:trPr>
          <w:cantSplit/>
        </w:trPr>
        <w:tc>
          <w:tcPr>
            <w:tcW w:w="1498" w:type="pct"/>
          </w:tcPr>
          <w:p w14:paraId="1D800687"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16.5 – 19.9</w:t>
            </w:r>
          </w:p>
        </w:tc>
        <w:tc>
          <w:tcPr>
            <w:tcW w:w="3502" w:type="pct"/>
          </w:tcPr>
          <w:p w14:paraId="53872C54"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4.3 mg</w:t>
            </w:r>
          </w:p>
        </w:tc>
      </w:tr>
      <w:tr w:rsidR="00520B12" w:rsidRPr="001B5391" w14:paraId="6FCD9D36" w14:textId="77777777" w:rsidTr="00D04679">
        <w:trPr>
          <w:cantSplit/>
        </w:trPr>
        <w:tc>
          <w:tcPr>
            <w:tcW w:w="1498" w:type="pct"/>
          </w:tcPr>
          <w:p w14:paraId="6F3C693A"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20 – 23.9</w:t>
            </w:r>
          </w:p>
        </w:tc>
        <w:tc>
          <w:tcPr>
            <w:tcW w:w="3502" w:type="pct"/>
          </w:tcPr>
          <w:p w14:paraId="7B9DCCFA"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5.2 mg</w:t>
            </w:r>
          </w:p>
        </w:tc>
      </w:tr>
      <w:tr w:rsidR="00520B12" w:rsidRPr="001B5391" w14:paraId="44D3B00E" w14:textId="77777777" w:rsidTr="00D04679">
        <w:trPr>
          <w:cantSplit/>
        </w:trPr>
        <w:tc>
          <w:tcPr>
            <w:tcW w:w="1498" w:type="pct"/>
          </w:tcPr>
          <w:p w14:paraId="3E150D57"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24 – 28.9</w:t>
            </w:r>
          </w:p>
        </w:tc>
        <w:tc>
          <w:tcPr>
            <w:tcW w:w="3502" w:type="pct"/>
          </w:tcPr>
          <w:p w14:paraId="48AD8BA9"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6.3 mg</w:t>
            </w:r>
          </w:p>
        </w:tc>
      </w:tr>
      <w:tr w:rsidR="00520B12" w:rsidRPr="001B5391" w14:paraId="7A86731C" w14:textId="77777777" w:rsidTr="00D04679">
        <w:trPr>
          <w:cantSplit/>
        </w:trPr>
        <w:tc>
          <w:tcPr>
            <w:tcW w:w="1498" w:type="pct"/>
          </w:tcPr>
          <w:p w14:paraId="0815E4E0"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29 – 34.9</w:t>
            </w:r>
          </w:p>
        </w:tc>
        <w:tc>
          <w:tcPr>
            <w:tcW w:w="3502" w:type="pct"/>
          </w:tcPr>
          <w:p w14:paraId="4AFA2C68"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7.6 mg</w:t>
            </w:r>
          </w:p>
        </w:tc>
      </w:tr>
      <w:tr w:rsidR="00520B12" w:rsidRPr="001B5391" w14:paraId="30BDE1FC" w14:textId="77777777" w:rsidTr="00D04679">
        <w:trPr>
          <w:cantSplit/>
        </w:trPr>
        <w:tc>
          <w:tcPr>
            <w:tcW w:w="1498" w:type="pct"/>
          </w:tcPr>
          <w:p w14:paraId="12FAF781"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35 – 41.9</w:t>
            </w:r>
          </w:p>
        </w:tc>
        <w:tc>
          <w:tcPr>
            <w:tcW w:w="3502" w:type="pct"/>
          </w:tcPr>
          <w:p w14:paraId="40F5CCC8"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9.1 mg</w:t>
            </w:r>
          </w:p>
        </w:tc>
      </w:tr>
      <w:tr w:rsidR="00520B12" w:rsidRPr="001B5391" w14:paraId="0C1ACA39" w14:textId="77777777" w:rsidTr="00D04679">
        <w:trPr>
          <w:cantSplit/>
        </w:trPr>
        <w:tc>
          <w:tcPr>
            <w:tcW w:w="1498" w:type="pct"/>
          </w:tcPr>
          <w:p w14:paraId="7F934567"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42 – 50.9</w:t>
            </w:r>
          </w:p>
        </w:tc>
        <w:tc>
          <w:tcPr>
            <w:tcW w:w="3502" w:type="pct"/>
          </w:tcPr>
          <w:p w14:paraId="4FDA7DD9"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11 mg</w:t>
            </w:r>
          </w:p>
        </w:tc>
      </w:tr>
      <w:tr w:rsidR="00520B12" w:rsidRPr="001B5391" w14:paraId="119828EF" w14:textId="77777777" w:rsidTr="00D04679">
        <w:trPr>
          <w:cantSplit/>
        </w:trPr>
        <w:tc>
          <w:tcPr>
            <w:tcW w:w="1498" w:type="pct"/>
          </w:tcPr>
          <w:p w14:paraId="7ACC9EC2"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51 – 60.4</w:t>
            </w:r>
          </w:p>
        </w:tc>
        <w:tc>
          <w:tcPr>
            <w:tcW w:w="3502" w:type="pct"/>
          </w:tcPr>
          <w:p w14:paraId="16F35F35"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13.3 mg</w:t>
            </w:r>
          </w:p>
        </w:tc>
      </w:tr>
      <w:tr w:rsidR="00520B12" w:rsidRPr="001B5391" w14:paraId="45161D7F" w14:textId="77777777" w:rsidTr="00D04679">
        <w:trPr>
          <w:cantSplit/>
        </w:trPr>
        <w:tc>
          <w:tcPr>
            <w:tcW w:w="1498" w:type="pct"/>
          </w:tcPr>
          <w:p w14:paraId="1567008A"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60.5 – 69.9</w:t>
            </w:r>
          </w:p>
        </w:tc>
        <w:tc>
          <w:tcPr>
            <w:tcW w:w="3502" w:type="pct"/>
          </w:tcPr>
          <w:p w14:paraId="2B8C6BF3"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15.2 mg (using two dual</w:t>
            </w:r>
            <w:r w:rsidRPr="001B5391">
              <w:rPr>
                <w:rFonts w:asciiTheme="majorHAnsi" w:hAnsiTheme="majorHAnsi"/>
                <w:szCs w:val="22"/>
                <w:lang w:val="en-GB"/>
              </w:rPr>
              <w:noBreakHyphen/>
              <w:t>chamber cartridges of 7.6 mg each)</w:t>
            </w:r>
          </w:p>
        </w:tc>
      </w:tr>
      <w:tr w:rsidR="00520B12" w:rsidRPr="001B5391" w14:paraId="5D69DBFA" w14:textId="77777777" w:rsidTr="00D04679">
        <w:trPr>
          <w:cantSplit/>
        </w:trPr>
        <w:tc>
          <w:tcPr>
            <w:tcW w:w="1498" w:type="pct"/>
          </w:tcPr>
          <w:p w14:paraId="7C767144"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70 – 84.9</w:t>
            </w:r>
          </w:p>
        </w:tc>
        <w:tc>
          <w:tcPr>
            <w:tcW w:w="3502" w:type="pct"/>
          </w:tcPr>
          <w:p w14:paraId="66E43FA0"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18.2 mg (using two dual</w:t>
            </w:r>
            <w:r w:rsidRPr="001B5391">
              <w:rPr>
                <w:rFonts w:asciiTheme="majorHAnsi" w:hAnsiTheme="majorHAnsi"/>
                <w:szCs w:val="22"/>
                <w:lang w:val="en-GB"/>
              </w:rPr>
              <w:noBreakHyphen/>
              <w:t>chamber cartridges of 9.1 mg each)</w:t>
            </w:r>
          </w:p>
        </w:tc>
      </w:tr>
      <w:tr w:rsidR="00520B12" w:rsidRPr="001B5391" w14:paraId="7F068A96" w14:textId="77777777" w:rsidTr="00D04679">
        <w:trPr>
          <w:cantSplit/>
        </w:trPr>
        <w:tc>
          <w:tcPr>
            <w:tcW w:w="1498" w:type="pct"/>
          </w:tcPr>
          <w:p w14:paraId="4128F384"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85 – 100</w:t>
            </w:r>
          </w:p>
        </w:tc>
        <w:tc>
          <w:tcPr>
            <w:tcW w:w="3502" w:type="pct"/>
          </w:tcPr>
          <w:p w14:paraId="5B12E5CB" w14:textId="77777777" w:rsidR="00520B12" w:rsidRPr="001B5391" w:rsidRDefault="00520B12"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22 mg (using two dual</w:t>
            </w:r>
            <w:r w:rsidRPr="001B5391">
              <w:rPr>
                <w:rFonts w:asciiTheme="majorHAnsi" w:hAnsiTheme="majorHAnsi"/>
                <w:szCs w:val="22"/>
                <w:lang w:val="en-GB"/>
              </w:rPr>
              <w:noBreakHyphen/>
              <w:t>chamber cartridges of 11 mg each)</w:t>
            </w:r>
          </w:p>
        </w:tc>
      </w:tr>
    </w:tbl>
    <w:p w14:paraId="38FFA7A3" w14:textId="77777777" w:rsidR="00520B12" w:rsidRPr="001B5391" w:rsidRDefault="00520B12" w:rsidP="00A73D97">
      <w:pPr>
        <w:pStyle w:val="C-BodyText"/>
        <w:spacing w:before="0" w:after="0" w:line="240" w:lineRule="auto"/>
        <w:ind w:right="-63"/>
        <w:rPr>
          <w:rFonts w:asciiTheme="majorHAnsi" w:hAnsiTheme="majorHAnsi"/>
          <w:noProof/>
          <w:sz w:val="22"/>
          <w:szCs w:val="22"/>
          <w:lang w:val="en-GB"/>
        </w:rPr>
      </w:pPr>
    </w:p>
    <w:p w14:paraId="42CED788" w14:textId="77777777" w:rsidR="00520B12" w:rsidRPr="001B5391" w:rsidRDefault="00520B12" w:rsidP="00A73D97">
      <w:pPr>
        <w:pStyle w:val="C-BodyText"/>
        <w:spacing w:before="0" w:after="0" w:line="240" w:lineRule="auto"/>
        <w:ind w:right="-63"/>
        <w:rPr>
          <w:rFonts w:asciiTheme="majorHAnsi" w:hAnsiTheme="majorHAnsi"/>
          <w:noProof/>
          <w:sz w:val="22"/>
          <w:szCs w:val="22"/>
          <w:lang w:val="en-GB"/>
        </w:rPr>
      </w:pPr>
      <w:r w:rsidRPr="001B5391">
        <w:rPr>
          <w:rFonts w:asciiTheme="majorHAnsi" w:hAnsiTheme="majorHAnsi"/>
          <w:noProof/>
          <w:sz w:val="22"/>
          <w:szCs w:val="22"/>
          <w:lang w:val="en-GB"/>
        </w:rPr>
        <w:t>If prescribing a dose other than 0.24 mg somatropin/kg/week, calculate the total weekly dose (in mg somatropin) and select the appropriate dose strength as follows:</w:t>
      </w:r>
    </w:p>
    <w:p w14:paraId="142F428B" w14:textId="77777777" w:rsidR="00520B12" w:rsidRPr="001B5391" w:rsidRDefault="00520B12" w:rsidP="00A73D97">
      <w:pPr>
        <w:pStyle w:val="C-BodyText"/>
        <w:numPr>
          <w:ilvl w:val="1"/>
          <w:numId w:val="13"/>
        </w:numPr>
        <w:tabs>
          <w:tab w:val="left" w:pos="567"/>
        </w:tabs>
        <w:spacing w:before="0" w:after="0" w:line="240" w:lineRule="auto"/>
        <w:ind w:left="567" w:right="-63" w:hanging="567"/>
        <w:rPr>
          <w:rFonts w:asciiTheme="majorHAnsi" w:hAnsiTheme="majorHAnsi"/>
          <w:noProof/>
          <w:sz w:val="22"/>
          <w:szCs w:val="22"/>
          <w:lang w:val="en-GB"/>
        </w:rPr>
      </w:pPr>
      <w:r w:rsidRPr="001B5391">
        <w:rPr>
          <w:rFonts w:asciiTheme="majorHAnsi" w:hAnsiTheme="majorHAnsi"/>
          <w:noProof/>
          <w:sz w:val="22"/>
          <w:szCs w:val="22"/>
          <w:lang w:val="en-GB"/>
        </w:rPr>
        <w:t>Total weekly dose (mg somatropin) = prescribed dose (mg somatropin/kg) x patient’s body weight (kg)</w:t>
      </w:r>
    </w:p>
    <w:p w14:paraId="74188292" w14:textId="0B80AF43" w:rsidR="00520B12" w:rsidRDefault="00520B12" w:rsidP="00A73D97">
      <w:pPr>
        <w:pStyle w:val="C-BodyText"/>
        <w:numPr>
          <w:ilvl w:val="1"/>
          <w:numId w:val="13"/>
        </w:numPr>
        <w:tabs>
          <w:tab w:val="left" w:pos="567"/>
        </w:tabs>
        <w:spacing w:before="0" w:after="0" w:line="240" w:lineRule="auto"/>
        <w:ind w:left="567" w:right="-63" w:hanging="567"/>
        <w:rPr>
          <w:rFonts w:asciiTheme="majorHAnsi" w:hAnsiTheme="majorHAnsi"/>
          <w:noProof/>
          <w:sz w:val="22"/>
          <w:szCs w:val="22"/>
          <w:lang w:val="en-GB"/>
        </w:rPr>
      </w:pPr>
      <w:r w:rsidRPr="001B5391">
        <w:rPr>
          <w:rFonts w:asciiTheme="majorHAnsi" w:hAnsiTheme="majorHAnsi"/>
          <w:noProof/>
          <w:sz w:val="22"/>
          <w:szCs w:val="22"/>
          <w:lang w:val="en-GB"/>
        </w:rPr>
        <w:t>Round the total weekly dose (mg somatropin) to the closest dose strength while also considering treatment goals and clinical response.</w:t>
      </w:r>
    </w:p>
    <w:p w14:paraId="6B7E1996" w14:textId="77777777" w:rsidR="0029739C" w:rsidRPr="001B5391" w:rsidRDefault="0029739C" w:rsidP="0029739C">
      <w:pPr>
        <w:pStyle w:val="C-BodyText"/>
        <w:tabs>
          <w:tab w:val="left" w:pos="567"/>
        </w:tabs>
        <w:spacing w:before="0" w:after="0" w:line="240" w:lineRule="auto"/>
        <w:ind w:left="567" w:right="-63"/>
        <w:rPr>
          <w:rFonts w:asciiTheme="majorHAnsi" w:hAnsiTheme="majorHAnsi"/>
          <w:noProof/>
          <w:sz w:val="22"/>
          <w:szCs w:val="22"/>
          <w:lang w:val="en-GB"/>
        </w:rPr>
      </w:pPr>
    </w:p>
    <w:p w14:paraId="5D01BD80" w14:textId="62D0639F" w:rsidR="00520B12" w:rsidRPr="001B5391" w:rsidRDefault="00520B12" w:rsidP="00A73D97">
      <w:pPr>
        <w:ind w:right="-63"/>
        <w:rPr>
          <w:rFonts w:asciiTheme="majorHAnsi" w:hAnsiTheme="majorHAnsi"/>
          <w:i/>
          <w:iCs/>
          <w:u w:val="single"/>
        </w:rPr>
      </w:pPr>
      <w:r w:rsidRPr="001B5391">
        <w:rPr>
          <w:rFonts w:asciiTheme="majorHAnsi" w:hAnsiTheme="majorHAnsi"/>
          <w:i/>
          <w:iCs/>
          <w:u w:val="single"/>
        </w:rPr>
        <w:t>Starting dose for patients switching</w:t>
      </w:r>
      <w:r w:rsidRPr="001B5391">
        <w:rPr>
          <w:rFonts w:asciiTheme="majorHAnsi" w:hAnsiTheme="majorHAnsi"/>
          <w:i/>
          <w:u w:val="single"/>
        </w:rPr>
        <w:t xml:space="preserve"> from daily somatropin medicinal products</w:t>
      </w:r>
    </w:p>
    <w:p w14:paraId="0D4B34CF" w14:textId="059360B1" w:rsidR="00520B12" w:rsidRPr="001B5391" w:rsidRDefault="00520B12" w:rsidP="00A73D97">
      <w:pPr>
        <w:ind w:right="-63"/>
        <w:rPr>
          <w:rFonts w:asciiTheme="majorHAnsi" w:hAnsiTheme="majorHAnsi"/>
        </w:rPr>
      </w:pPr>
      <w:r w:rsidRPr="001B5391">
        <w:rPr>
          <w:rFonts w:asciiTheme="majorHAnsi" w:hAnsiTheme="majorHAnsi"/>
        </w:rPr>
        <w:t>If changing therapy to once</w:t>
      </w:r>
      <w:r w:rsidRPr="001B5391">
        <w:rPr>
          <w:rFonts w:asciiTheme="majorHAnsi" w:hAnsiTheme="majorHAnsi"/>
        </w:rPr>
        <w:noBreakHyphen/>
        <w:t>weekly lonapegsomatropin from daily somatropin, there should be at least 8 hours between the final dose of once</w:t>
      </w:r>
      <w:r w:rsidRPr="001B5391">
        <w:rPr>
          <w:rFonts w:asciiTheme="majorHAnsi" w:hAnsiTheme="majorHAnsi"/>
        </w:rPr>
        <w:noBreakHyphen/>
        <w:t>daily somatropin and the first dose of lonapegsomatropin.</w:t>
      </w:r>
    </w:p>
    <w:p w14:paraId="3A215B00" w14:textId="77777777" w:rsidR="00520B12" w:rsidRPr="001B5391" w:rsidRDefault="00520B12" w:rsidP="00A73D97">
      <w:pPr>
        <w:ind w:right="-63"/>
        <w:rPr>
          <w:rFonts w:asciiTheme="majorHAnsi" w:hAnsiTheme="majorHAnsi"/>
        </w:rPr>
      </w:pPr>
      <w:r w:rsidRPr="001B5391">
        <w:rPr>
          <w:rFonts w:asciiTheme="majorHAnsi" w:hAnsiTheme="majorHAnsi"/>
        </w:rPr>
        <w:t>In children switching from daily somatropin, physicians may adjust the starting dose taking into consideration the current somatropin dose, individual clinical response, and clinical considerations specific to the patient.</w:t>
      </w:r>
    </w:p>
    <w:p w14:paraId="00FD0B51" w14:textId="17843C0C" w:rsidR="00520B12" w:rsidRPr="001B5391" w:rsidRDefault="00520B12" w:rsidP="00A73D97">
      <w:pPr>
        <w:ind w:right="-63"/>
        <w:rPr>
          <w:rFonts w:asciiTheme="majorHAnsi" w:hAnsiTheme="majorHAnsi"/>
        </w:rPr>
      </w:pPr>
      <w:r w:rsidRPr="001B5391">
        <w:rPr>
          <w:rFonts w:asciiTheme="majorHAnsi" w:hAnsiTheme="majorHAnsi"/>
        </w:rPr>
        <w:t>For children switching from daily somatropin medicinal products at a weekly dose equal to or greater than 0.24 mg somatropin/kg body weight, the recommended starting dose of lonapegsomatropin is 0.24 mg somatropin/kg body weight (see Table 1).</w:t>
      </w:r>
      <w:r w:rsidR="00F83BFD">
        <w:rPr>
          <w:rFonts w:asciiTheme="majorHAnsi" w:hAnsiTheme="majorHAnsi"/>
        </w:rPr>
        <w:t xml:space="preserve"> </w:t>
      </w:r>
      <w:r w:rsidR="00BC4C25">
        <w:rPr>
          <w:rFonts w:asciiTheme="majorHAnsi" w:hAnsiTheme="majorHAnsi"/>
        </w:rPr>
        <w:t xml:space="preserve">Doses greater </w:t>
      </w:r>
    </w:p>
    <w:p w14:paraId="6D9269F0" w14:textId="77777777" w:rsidR="00520B12" w:rsidRPr="001B5391" w:rsidRDefault="00520B12" w:rsidP="00A73D97">
      <w:pPr>
        <w:ind w:right="-63"/>
        <w:rPr>
          <w:rFonts w:asciiTheme="majorHAnsi" w:hAnsiTheme="majorHAnsi"/>
        </w:rPr>
      </w:pPr>
      <w:r w:rsidRPr="001B5391">
        <w:rPr>
          <w:rFonts w:asciiTheme="majorHAnsi" w:hAnsiTheme="majorHAnsi"/>
        </w:rPr>
        <w:t>For children switching from daily somatropin medicinal products at a weekly dose less than 0.24 mg somatropin/kg body weight, use the previously prescribed weekly dose as the recommended starting dose of lonapegsomatropin (see equation above).</w:t>
      </w:r>
    </w:p>
    <w:p w14:paraId="3341B57B" w14:textId="6F8AB322" w:rsidR="00520B12" w:rsidRPr="001B5391" w:rsidRDefault="00520B12" w:rsidP="00A73D97">
      <w:pPr>
        <w:keepNext/>
        <w:keepLines/>
        <w:ind w:right="-63"/>
        <w:rPr>
          <w:rFonts w:asciiTheme="majorHAnsi" w:hAnsiTheme="majorHAnsi"/>
          <w:i/>
          <w:u w:val="single"/>
        </w:rPr>
      </w:pPr>
      <w:r w:rsidRPr="001B5391">
        <w:rPr>
          <w:rFonts w:asciiTheme="majorHAnsi" w:hAnsiTheme="majorHAnsi"/>
          <w:i/>
          <w:u w:val="single"/>
        </w:rPr>
        <w:lastRenderedPageBreak/>
        <w:t>Dose titration</w:t>
      </w:r>
    </w:p>
    <w:p w14:paraId="2521B771" w14:textId="0015738B" w:rsidR="005106C9" w:rsidRPr="001B5391" w:rsidRDefault="00520B12" w:rsidP="00A73D97">
      <w:pPr>
        <w:spacing w:after="0" w:line="240" w:lineRule="auto"/>
        <w:ind w:right="-63"/>
        <w:rPr>
          <w:rFonts w:asciiTheme="majorHAnsi" w:hAnsiTheme="majorHAnsi"/>
        </w:rPr>
      </w:pPr>
      <w:r w:rsidRPr="001B5391">
        <w:rPr>
          <w:rFonts w:asciiTheme="majorHAnsi" w:hAnsiTheme="majorHAnsi"/>
        </w:rPr>
        <w:t>The dose of lonapegsomatropin should be individually adjusted for each patient based on clinical response, adverse reactions, and serum insulin</w:t>
      </w:r>
      <w:r w:rsidRPr="001B5391">
        <w:rPr>
          <w:rFonts w:asciiTheme="majorHAnsi" w:hAnsiTheme="majorHAnsi"/>
        </w:rPr>
        <w:noBreakHyphen/>
        <w:t>like growth factor</w:t>
      </w:r>
      <w:r w:rsidRPr="001B5391">
        <w:rPr>
          <w:rFonts w:asciiTheme="majorHAnsi" w:hAnsiTheme="majorHAnsi"/>
        </w:rPr>
        <w:noBreakHyphen/>
        <w:t>1 (IGF</w:t>
      </w:r>
      <w:r w:rsidRPr="001B5391">
        <w:rPr>
          <w:rFonts w:asciiTheme="majorHAnsi" w:hAnsiTheme="majorHAnsi"/>
        </w:rPr>
        <w:noBreakHyphen/>
        <w:t>1) concentrations outside the targeted range. Available somatropin dose strengths can be found in section 1.</w:t>
      </w:r>
    </w:p>
    <w:p w14:paraId="53BE49A4" w14:textId="77777777" w:rsidR="00520B12" w:rsidRPr="001B5391" w:rsidRDefault="00520B12" w:rsidP="00A73D97">
      <w:pPr>
        <w:spacing w:after="0" w:line="240" w:lineRule="auto"/>
        <w:ind w:right="-63"/>
        <w:rPr>
          <w:rFonts w:asciiTheme="majorHAnsi" w:hAnsiTheme="majorHAnsi"/>
        </w:rPr>
      </w:pPr>
    </w:p>
    <w:p w14:paraId="39F3ECCC" w14:textId="77777777" w:rsidR="0018628F" w:rsidRPr="001B5391" w:rsidRDefault="0018628F" w:rsidP="00A73D97">
      <w:pPr>
        <w:ind w:right="-63"/>
        <w:rPr>
          <w:rFonts w:asciiTheme="majorHAnsi" w:hAnsiTheme="majorHAnsi"/>
        </w:rPr>
      </w:pPr>
      <w:r w:rsidRPr="001B5391">
        <w:rPr>
          <w:rFonts w:asciiTheme="majorHAnsi" w:hAnsiTheme="majorHAnsi"/>
        </w:rPr>
        <w:t>Average IGF</w:t>
      </w:r>
      <w:r w:rsidRPr="001B5391">
        <w:rPr>
          <w:rFonts w:asciiTheme="majorHAnsi" w:hAnsiTheme="majorHAnsi"/>
        </w:rPr>
        <w:noBreakHyphen/>
        <w:t>1 standard deviation score (SDS) levels (drawn 4</w:t>
      </w:r>
      <w:r w:rsidRPr="001B5391">
        <w:rPr>
          <w:rFonts w:asciiTheme="majorHAnsi" w:hAnsiTheme="majorHAnsi"/>
        </w:rPr>
        <w:noBreakHyphen/>
        <w:t>5 days after dosing) can be used as guidance for dose titration (see Table 2). It is necessary to wait a minimum of 2 weeks after initiation of lonapegsomatropin or after any dose change before assessing the resulting IGF</w:t>
      </w:r>
      <w:r w:rsidRPr="001B5391">
        <w:rPr>
          <w:rFonts w:asciiTheme="majorHAnsi" w:hAnsiTheme="majorHAnsi"/>
        </w:rPr>
        <w:noBreakHyphen/>
        <w:t>1 SDS levels. Dose adjustments should be targeted to achieve average IGF</w:t>
      </w:r>
      <w:r w:rsidRPr="001B5391">
        <w:rPr>
          <w:rFonts w:asciiTheme="majorHAnsi" w:hAnsiTheme="majorHAnsi"/>
        </w:rPr>
        <w:noBreakHyphen/>
        <w:t>1 SDS levels in the normal range, i.e. between -2 and +2 (preferably close to 0 SDS).</w:t>
      </w:r>
    </w:p>
    <w:p w14:paraId="1717B5C0" w14:textId="77777777" w:rsidR="0018628F" w:rsidRPr="001B5391" w:rsidRDefault="0018628F" w:rsidP="00A73D97">
      <w:pPr>
        <w:ind w:right="-63"/>
        <w:rPr>
          <w:rFonts w:asciiTheme="majorHAnsi" w:hAnsiTheme="majorHAnsi"/>
        </w:rPr>
      </w:pPr>
      <w:r w:rsidRPr="001B5391">
        <w:rPr>
          <w:rFonts w:asciiTheme="majorHAnsi" w:hAnsiTheme="majorHAnsi"/>
        </w:rPr>
        <w:t>IGF</w:t>
      </w:r>
      <w:r w:rsidRPr="001B5391">
        <w:rPr>
          <w:rFonts w:asciiTheme="majorHAnsi" w:hAnsiTheme="majorHAnsi"/>
        </w:rPr>
        <w:noBreakHyphen/>
        <w:t>1 SDS levels may vary over time, and therefore routine monitoring of serum IGF</w:t>
      </w:r>
      <w:r w:rsidRPr="001B5391">
        <w:rPr>
          <w:rFonts w:asciiTheme="majorHAnsi" w:hAnsiTheme="majorHAnsi"/>
        </w:rPr>
        <w:noBreakHyphen/>
        <w:t>1 SDS levels throughout the course of treatment is recommended, especially during puberty.</w:t>
      </w:r>
    </w:p>
    <w:p w14:paraId="408918DD" w14:textId="79BEA919" w:rsidR="0096513E" w:rsidRPr="00056193" w:rsidRDefault="00B03D6D" w:rsidP="00F54C80">
      <w:pPr>
        <w:pStyle w:val="Caption"/>
        <w:tabs>
          <w:tab w:val="left" w:pos="1134"/>
        </w:tabs>
        <w:spacing w:after="0"/>
        <w:ind w:right="-62"/>
        <w:rPr>
          <w:rFonts w:asciiTheme="majorHAnsi" w:hAnsiTheme="majorHAnsi"/>
          <w:i w:val="0"/>
          <w:color w:val="auto"/>
          <w:sz w:val="22"/>
          <w:szCs w:val="22"/>
        </w:rPr>
      </w:pPr>
      <w:bookmarkStart w:id="4" w:name="_Ref78357730"/>
      <w:r w:rsidRPr="00F54C80">
        <w:rPr>
          <w:rFonts w:asciiTheme="majorHAnsi" w:hAnsiTheme="majorHAnsi"/>
          <w:i w:val="0"/>
          <w:color w:val="auto"/>
          <w:sz w:val="22"/>
          <w:szCs w:val="22"/>
        </w:rPr>
        <w:t>The</w:t>
      </w:r>
      <w:r>
        <w:rPr>
          <w:rFonts w:asciiTheme="majorHAnsi" w:hAnsiTheme="majorHAnsi"/>
          <w:i w:val="0"/>
          <w:color w:val="auto"/>
          <w:sz w:val="22"/>
          <w:szCs w:val="22"/>
        </w:rPr>
        <w:t xml:space="preserve"> </w:t>
      </w:r>
      <w:r w:rsidR="0079412C">
        <w:rPr>
          <w:rFonts w:asciiTheme="majorHAnsi" w:hAnsiTheme="majorHAnsi"/>
          <w:i w:val="0"/>
          <w:iCs w:val="0"/>
          <w:color w:val="auto"/>
          <w:sz w:val="22"/>
          <w:szCs w:val="22"/>
        </w:rPr>
        <w:t xml:space="preserve">recommended </w:t>
      </w:r>
      <w:r w:rsidR="00590242" w:rsidRPr="00056193">
        <w:rPr>
          <w:rFonts w:asciiTheme="majorHAnsi" w:hAnsiTheme="majorHAnsi"/>
          <w:i w:val="0"/>
          <w:iCs w:val="0"/>
          <w:color w:val="auto"/>
          <w:sz w:val="22"/>
          <w:szCs w:val="22"/>
        </w:rPr>
        <w:t>starting</w:t>
      </w:r>
      <w:r w:rsidR="00623953" w:rsidRPr="00056193">
        <w:rPr>
          <w:rFonts w:asciiTheme="majorHAnsi" w:hAnsiTheme="majorHAnsi"/>
          <w:i w:val="0"/>
          <w:color w:val="auto"/>
          <w:sz w:val="22"/>
          <w:szCs w:val="22"/>
        </w:rPr>
        <w:t xml:space="preserve"> dose </w:t>
      </w:r>
      <w:r w:rsidRPr="00056193">
        <w:rPr>
          <w:rFonts w:asciiTheme="majorHAnsi" w:hAnsiTheme="majorHAnsi"/>
          <w:i w:val="0"/>
          <w:color w:val="auto"/>
          <w:sz w:val="22"/>
          <w:szCs w:val="22"/>
        </w:rPr>
        <w:t>is</w:t>
      </w:r>
      <w:r w:rsidR="00623953" w:rsidRPr="00056193">
        <w:rPr>
          <w:rFonts w:asciiTheme="majorHAnsi" w:hAnsiTheme="majorHAnsi"/>
          <w:i w:val="0"/>
          <w:color w:val="auto"/>
          <w:sz w:val="22"/>
          <w:szCs w:val="22"/>
        </w:rPr>
        <w:t xml:space="preserve"> 0.</w:t>
      </w:r>
      <w:r w:rsidR="00623953" w:rsidRPr="00056193">
        <w:rPr>
          <w:rFonts w:asciiTheme="majorHAnsi" w:hAnsiTheme="majorHAnsi"/>
          <w:i w:val="0"/>
          <w:iCs w:val="0"/>
          <w:color w:val="auto"/>
          <w:sz w:val="22"/>
          <w:szCs w:val="22"/>
        </w:rPr>
        <w:t>24</w:t>
      </w:r>
      <w:r w:rsidR="008244E3">
        <w:rPr>
          <w:rFonts w:asciiTheme="majorHAnsi" w:hAnsiTheme="majorHAnsi"/>
          <w:i w:val="0"/>
          <w:iCs w:val="0"/>
          <w:color w:val="auto"/>
          <w:sz w:val="22"/>
          <w:szCs w:val="22"/>
        </w:rPr>
        <w:t> </w:t>
      </w:r>
      <w:r w:rsidR="00623953" w:rsidRPr="00056193">
        <w:rPr>
          <w:rFonts w:asciiTheme="majorHAnsi" w:hAnsiTheme="majorHAnsi"/>
          <w:i w:val="0"/>
          <w:iCs w:val="0"/>
          <w:color w:val="auto"/>
          <w:sz w:val="22"/>
          <w:szCs w:val="22"/>
        </w:rPr>
        <w:t>mg</w:t>
      </w:r>
      <w:r w:rsidR="00623953" w:rsidRPr="00056193">
        <w:rPr>
          <w:rFonts w:asciiTheme="majorHAnsi" w:hAnsiTheme="majorHAnsi"/>
          <w:i w:val="0"/>
          <w:color w:val="auto"/>
          <w:sz w:val="22"/>
          <w:szCs w:val="22"/>
        </w:rPr>
        <w:t>/kg</w:t>
      </w:r>
      <w:r w:rsidR="008244E3">
        <w:rPr>
          <w:rFonts w:asciiTheme="majorHAnsi" w:hAnsiTheme="majorHAnsi"/>
          <w:i w:val="0"/>
          <w:iCs w:val="0"/>
          <w:color w:val="auto"/>
          <w:sz w:val="22"/>
          <w:szCs w:val="22"/>
        </w:rPr>
        <w:t xml:space="preserve"> body weight</w:t>
      </w:r>
      <w:r w:rsidR="00623953" w:rsidRPr="00056193">
        <w:rPr>
          <w:rFonts w:asciiTheme="majorHAnsi" w:hAnsiTheme="majorHAnsi"/>
          <w:i w:val="0"/>
          <w:color w:val="auto"/>
          <w:sz w:val="22"/>
          <w:szCs w:val="22"/>
        </w:rPr>
        <w:t xml:space="preserve">/week based on clinical trial protocols. </w:t>
      </w:r>
      <w:r w:rsidRPr="00056193">
        <w:rPr>
          <w:rFonts w:asciiTheme="majorHAnsi" w:hAnsiTheme="majorHAnsi"/>
          <w:i w:val="0"/>
          <w:color w:val="auto"/>
          <w:sz w:val="22"/>
          <w:szCs w:val="22"/>
        </w:rPr>
        <w:t>Higher</w:t>
      </w:r>
      <w:r w:rsidRPr="00056193">
        <w:rPr>
          <w:rFonts w:asciiTheme="majorHAnsi" w:hAnsiTheme="majorHAnsi"/>
          <w:i w:val="0"/>
          <w:iCs w:val="0"/>
          <w:color w:val="auto"/>
          <w:sz w:val="22"/>
          <w:szCs w:val="22"/>
        </w:rPr>
        <w:t xml:space="preserve"> </w:t>
      </w:r>
      <w:r w:rsidR="002935B1">
        <w:rPr>
          <w:rFonts w:asciiTheme="majorHAnsi" w:hAnsiTheme="majorHAnsi"/>
          <w:i w:val="0"/>
          <w:iCs w:val="0"/>
          <w:color w:val="auto"/>
          <w:sz w:val="22"/>
          <w:szCs w:val="22"/>
        </w:rPr>
        <w:t>starting</w:t>
      </w:r>
      <w:r>
        <w:rPr>
          <w:rFonts w:asciiTheme="majorHAnsi" w:hAnsiTheme="majorHAnsi"/>
          <w:i w:val="0"/>
          <w:color w:val="auto"/>
          <w:sz w:val="22"/>
          <w:szCs w:val="22"/>
        </w:rPr>
        <w:t xml:space="preserve"> </w:t>
      </w:r>
      <w:r w:rsidRPr="00056193">
        <w:rPr>
          <w:rFonts w:asciiTheme="majorHAnsi" w:hAnsiTheme="majorHAnsi"/>
          <w:i w:val="0"/>
          <w:color w:val="auto"/>
          <w:sz w:val="22"/>
          <w:szCs w:val="22"/>
        </w:rPr>
        <w:t xml:space="preserve">doses have </w:t>
      </w:r>
      <w:r w:rsidR="00623953" w:rsidRPr="00056193">
        <w:rPr>
          <w:rFonts w:asciiTheme="majorHAnsi" w:hAnsiTheme="majorHAnsi"/>
          <w:i w:val="0"/>
          <w:color w:val="auto"/>
          <w:sz w:val="22"/>
          <w:szCs w:val="22"/>
        </w:rPr>
        <w:t>not been</w:t>
      </w:r>
      <w:r w:rsidRPr="00056193">
        <w:rPr>
          <w:rFonts w:asciiTheme="majorHAnsi" w:hAnsiTheme="majorHAnsi"/>
          <w:i w:val="0"/>
          <w:color w:val="auto"/>
          <w:sz w:val="22"/>
          <w:szCs w:val="22"/>
        </w:rPr>
        <w:t xml:space="preserve"> </w:t>
      </w:r>
      <w:r w:rsidR="00623953" w:rsidRPr="00056193">
        <w:rPr>
          <w:rFonts w:asciiTheme="majorHAnsi" w:hAnsiTheme="majorHAnsi"/>
          <w:i w:val="0"/>
          <w:color w:val="auto"/>
          <w:sz w:val="22"/>
          <w:szCs w:val="22"/>
        </w:rPr>
        <w:t>studied in clinically relevant trial settings.</w:t>
      </w:r>
    </w:p>
    <w:p w14:paraId="5C1B9226" w14:textId="77777777" w:rsidR="0096513E" w:rsidRDefault="0096513E" w:rsidP="00A73D97">
      <w:pPr>
        <w:pStyle w:val="Caption"/>
        <w:tabs>
          <w:tab w:val="left" w:pos="1134"/>
        </w:tabs>
        <w:spacing w:after="0"/>
        <w:ind w:left="1130" w:right="-63" w:hanging="1130"/>
        <w:rPr>
          <w:rFonts w:asciiTheme="majorHAnsi" w:hAnsiTheme="majorHAnsi"/>
          <w:b/>
          <w:bCs/>
          <w:i w:val="0"/>
          <w:iCs w:val="0"/>
          <w:color w:val="000000" w:themeColor="text1"/>
          <w:sz w:val="22"/>
          <w:szCs w:val="22"/>
          <w:lang w:val="en-GB"/>
        </w:rPr>
      </w:pPr>
    </w:p>
    <w:p w14:paraId="52628650" w14:textId="4102878E" w:rsidR="0018628F" w:rsidRPr="001B5391" w:rsidRDefault="0018628F" w:rsidP="00A73D97">
      <w:pPr>
        <w:pStyle w:val="Caption"/>
        <w:tabs>
          <w:tab w:val="left" w:pos="1134"/>
        </w:tabs>
        <w:spacing w:after="0"/>
        <w:ind w:left="1130" w:right="-63" w:hanging="1130"/>
        <w:rPr>
          <w:rFonts w:asciiTheme="majorHAnsi" w:hAnsiTheme="majorHAnsi"/>
          <w:b/>
          <w:bCs/>
          <w:i w:val="0"/>
          <w:iCs w:val="0"/>
          <w:color w:val="000000" w:themeColor="text1"/>
          <w:sz w:val="22"/>
          <w:szCs w:val="22"/>
          <w:lang w:val="en-GB"/>
        </w:rPr>
      </w:pPr>
      <w:r w:rsidRPr="001B5391">
        <w:rPr>
          <w:rFonts w:asciiTheme="majorHAnsi" w:hAnsiTheme="majorHAnsi"/>
          <w:b/>
          <w:bCs/>
          <w:i w:val="0"/>
          <w:iCs w:val="0"/>
          <w:color w:val="000000" w:themeColor="text1"/>
          <w:sz w:val="22"/>
          <w:szCs w:val="22"/>
          <w:lang w:val="en-GB"/>
        </w:rPr>
        <w:t>Table </w:t>
      </w:r>
      <w:r w:rsidRPr="001B5391">
        <w:rPr>
          <w:rFonts w:asciiTheme="majorHAnsi" w:hAnsiTheme="majorHAnsi"/>
          <w:b/>
          <w:bCs/>
          <w:i w:val="0"/>
          <w:iCs w:val="0"/>
          <w:color w:val="000000" w:themeColor="text1"/>
          <w:sz w:val="22"/>
          <w:szCs w:val="22"/>
          <w:lang w:val="en-GB"/>
        </w:rPr>
        <w:fldChar w:fldCharType="begin"/>
      </w:r>
      <w:r w:rsidRPr="001B5391">
        <w:rPr>
          <w:rFonts w:asciiTheme="majorHAnsi" w:hAnsiTheme="majorHAnsi"/>
          <w:b/>
          <w:bCs/>
          <w:i w:val="0"/>
          <w:iCs w:val="0"/>
          <w:color w:val="000000" w:themeColor="text1"/>
          <w:sz w:val="22"/>
          <w:szCs w:val="22"/>
          <w:lang w:val="en-GB"/>
        </w:rPr>
        <w:instrText xml:space="preserve"> SEQ Table \* ARABIC \* MERGEFORMAT</w:instrText>
      </w:r>
      <w:r w:rsidRPr="001B5391">
        <w:rPr>
          <w:rFonts w:asciiTheme="majorHAnsi" w:hAnsiTheme="majorHAnsi"/>
          <w:b/>
          <w:bCs/>
          <w:i w:val="0"/>
          <w:iCs w:val="0"/>
          <w:color w:val="000000" w:themeColor="text1"/>
          <w:sz w:val="22"/>
          <w:szCs w:val="22"/>
          <w:lang w:val="en-GB"/>
        </w:rPr>
        <w:fldChar w:fldCharType="separate"/>
      </w:r>
      <w:r w:rsidR="002C045A">
        <w:rPr>
          <w:rFonts w:asciiTheme="majorHAnsi" w:hAnsiTheme="majorHAnsi"/>
          <w:b/>
          <w:bCs/>
          <w:i w:val="0"/>
          <w:iCs w:val="0"/>
          <w:noProof/>
          <w:color w:val="000000" w:themeColor="text1"/>
          <w:sz w:val="22"/>
          <w:szCs w:val="22"/>
          <w:lang w:val="en-GB"/>
        </w:rPr>
        <w:t>2</w:t>
      </w:r>
      <w:r w:rsidRPr="001B5391">
        <w:rPr>
          <w:rFonts w:asciiTheme="majorHAnsi" w:hAnsiTheme="majorHAnsi"/>
          <w:b/>
          <w:bCs/>
          <w:i w:val="0"/>
          <w:iCs w:val="0"/>
          <w:color w:val="000000" w:themeColor="text1"/>
          <w:sz w:val="22"/>
          <w:szCs w:val="22"/>
          <w:lang w:val="en-GB"/>
        </w:rPr>
        <w:fldChar w:fldCharType="end"/>
      </w:r>
      <w:bookmarkEnd w:id="4"/>
      <w:r w:rsidRPr="001B5391">
        <w:rPr>
          <w:rFonts w:asciiTheme="majorHAnsi" w:hAnsiTheme="majorHAnsi"/>
          <w:b/>
          <w:bCs/>
          <w:i w:val="0"/>
          <w:iCs w:val="0"/>
          <w:color w:val="000000" w:themeColor="text1"/>
          <w:sz w:val="22"/>
          <w:szCs w:val="22"/>
          <w:lang w:val="en-GB"/>
        </w:rPr>
        <w:tab/>
        <w:t>Recommended change in somatropin dose strength for average IGF</w:t>
      </w:r>
      <w:r w:rsidRPr="001B5391">
        <w:rPr>
          <w:rFonts w:asciiTheme="majorHAnsi" w:hAnsiTheme="majorHAnsi"/>
          <w:b/>
          <w:bCs/>
          <w:i w:val="0"/>
          <w:iCs w:val="0"/>
          <w:color w:val="000000" w:themeColor="text1"/>
          <w:sz w:val="22"/>
          <w:szCs w:val="22"/>
          <w:lang w:val="en-GB"/>
        </w:rPr>
        <w:noBreakHyphen/>
        <w:t>1 SDS categories</w:t>
      </w:r>
      <w:r w:rsidR="00AF52D2">
        <w:rPr>
          <w:rFonts w:asciiTheme="majorHAnsi" w:hAnsiTheme="majorHAnsi"/>
          <w:b/>
          <w:bCs/>
          <w:i w:val="0"/>
          <w:iCs w:val="0"/>
          <w:color w:val="000000" w:themeColor="text1"/>
          <w:sz w:val="22"/>
          <w:szCs w:val="22"/>
          <w:lang w:val="en-GB"/>
        </w:rPr>
        <w:fldChar w:fldCharType="begin"/>
      </w:r>
      <w:r w:rsidR="00AF52D2">
        <w:rPr>
          <w:rFonts w:asciiTheme="majorHAnsi" w:hAnsiTheme="majorHAnsi"/>
          <w:b/>
          <w:bCs/>
          <w:i w:val="0"/>
          <w:iCs w:val="0"/>
          <w:color w:val="000000" w:themeColor="text1"/>
          <w:sz w:val="22"/>
          <w:szCs w:val="22"/>
          <w:lang w:val="en-GB"/>
        </w:rPr>
        <w:instrText xml:space="preserve"> DOCVARIABLE vault_nd_48c6beda-d46b-438b-9dfa-75a4b6e67f96 \* MERGEFORMAT </w:instrText>
      </w:r>
      <w:r w:rsidR="00AF52D2">
        <w:rPr>
          <w:rFonts w:asciiTheme="majorHAnsi" w:hAnsiTheme="majorHAnsi"/>
          <w:b/>
          <w:bCs/>
          <w:i w:val="0"/>
          <w:iCs w:val="0"/>
          <w:color w:val="000000" w:themeColor="text1"/>
          <w:sz w:val="22"/>
          <w:szCs w:val="22"/>
          <w:lang w:val="en-GB"/>
        </w:rPr>
        <w:fldChar w:fldCharType="separate"/>
      </w:r>
      <w:r w:rsidR="00AF52D2">
        <w:rPr>
          <w:rFonts w:asciiTheme="majorHAnsi" w:hAnsiTheme="majorHAnsi"/>
          <w:b/>
          <w:bCs/>
          <w:i w:val="0"/>
          <w:iCs w:val="0"/>
          <w:color w:val="000000" w:themeColor="text1"/>
          <w:sz w:val="22"/>
          <w:szCs w:val="22"/>
          <w:lang w:val="en-GB"/>
        </w:rPr>
        <w:t xml:space="preserve"> </w:t>
      </w:r>
      <w:r w:rsidR="00AF52D2">
        <w:rPr>
          <w:rFonts w:asciiTheme="majorHAnsi" w:hAnsiTheme="majorHAnsi"/>
          <w:b/>
          <w:bCs/>
          <w:i w:val="0"/>
          <w:iCs w:val="0"/>
          <w:color w:val="000000" w:themeColor="text1"/>
          <w:sz w:val="22"/>
          <w:szCs w:val="22"/>
          <w:lang w:val="en-GB"/>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3"/>
        <w:gridCol w:w="4780"/>
      </w:tblGrid>
      <w:tr w:rsidR="0018628F" w:rsidRPr="001B5391" w14:paraId="4CA33385" w14:textId="77777777" w:rsidTr="00D04679">
        <w:tc>
          <w:tcPr>
            <w:tcW w:w="4173" w:type="dxa"/>
          </w:tcPr>
          <w:p w14:paraId="28C7952A" w14:textId="77777777" w:rsidR="0018628F" w:rsidRPr="001B5391" w:rsidRDefault="0018628F" w:rsidP="00A73D97">
            <w:pPr>
              <w:pStyle w:val="C-TableHeader"/>
              <w:spacing w:before="0" w:after="0"/>
              <w:ind w:right="-63"/>
              <w:jc w:val="center"/>
              <w:rPr>
                <w:rFonts w:asciiTheme="majorHAnsi" w:hAnsiTheme="majorHAnsi"/>
                <w:szCs w:val="22"/>
                <w:lang w:val="en-GB"/>
              </w:rPr>
            </w:pPr>
            <w:r w:rsidRPr="001B5391">
              <w:rPr>
                <w:rFonts w:asciiTheme="majorHAnsi" w:hAnsiTheme="majorHAnsi"/>
                <w:szCs w:val="22"/>
                <w:lang w:val="en-GB"/>
              </w:rPr>
              <w:t>Average IGF</w:t>
            </w:r>
            <w:r w:rsidRPr="001B5391">
              <w:rPr>
                <w:rFonts w:asciiTheme="majorHAnsi" w:hAnsiTheme="majorHAnsi"/>
                <w:szCs w:val="22"/>
                <w:lang w:val="en-GB"/>
              </w:rPr>
              <w:noBreakHyphen/>
              <w:t xml:space="preserve">1 SDS range </w:t>
            </w:r>
            <w:r w:rsidRPr="001B5391">
              <w:rPr>
                <w:rFonts w:asciiTheme="majorHAnsi" w:hAnsiTheme="majorHAnsi"/>
                <w:b w:val="0"/>
                <w:bCs/>
                <w:szCs w:val="22"/>
                <w:lang w:val="en-GB"/>
              </w:rPr>
              <w:br/>
            </w:r>
            <w:r w:rsidRPr="001B5391">
              <w:rPr>
                <w:rFonts w:asciiTheme="majorHAnsi" w:hAnsiTheme="majorHAnsi"/>
                <w:szCs w:val="22"/>
                <w:lang w:val="en-GB"/>
              </w:rPr>
              <w:t>(drawn on post</w:t>
            </w:r>
            <w:r w:rsidRPr="001B5391">
              <w:rPr>
                <w:rFonts w:asciiTheme="majorHAnsi" w:hAnsiTheme="majorHAnsi"/>
                <w:szCs w:val="22"/>
                <w:lang w:val="en-GB"/>
              </w:rPr>
              <w:noBreakHyphen/>
              <w:t>dose day 4</w:t>
            </w:r>
            <w:r w:rsidRPr="001B5391">
              <w:rPr>
                <w:rFonts w:asciiTheme="majorHAnsi" w:hAnsiTheme="majorHAnsi"/>
                <w:szCs w:val="22"/>
                <w:lang w:val="en-GB"/>
              </w:rPr>
              <w:noBreakHyphen/>
              <w:t>5)</w:t>
            </w:r>
          </w:p>
        </w:tc>
        <w:tc>
          <w:tcPr>
            <w:tcW w:w="4780" w:type="dxa"/>
          </w:tcPr>
          <w:p w14:paraId="0BB22788" w14:textId="77777777" w:rsidR="0018628F" w:rsidRPr="001B5391" w:rsidRDefault="0018628F" w:rsidP="00A73D97">
            <w:pPr>
              <w:pStyle w:val="C-TableHeader"/>
              <w:spacing w:before="0" w:after="0"/>
              <w:ind w:right="-63"/>
              <w:jc w:val="center"/>
              <w:rPr>
                <w:rFonts w:asciiTheme="majorHAnsi" w:hAnsiTheme="majorHAnsi"/>
                <w:szCs w:val="22"/>
                <w:lang w:val="en-GB"/>
              </w:rPr>
            </w:pPr>
            <w:r w:rsidRPr="001B5391">
              <w:rPr>
                <w:rFonts w:asciiTheme="majorHAnsi" w:hAnsiTheme="majorHAnsi"/>
                <w:szCs w:val="22"/>
                <w:lang w:val="en-GB"/>
              </w:rPr>
              <w:t>Recommended change in somatropin dose strength</w:t>
            </w:r>
          </w:p>
        </w:tc>
      </w:tr>
      <w:tr w:rsidR="0018628F" w:rsidRPr="001B5391" w14:paraId="7E5C598E" w14:textId="77777777" w:rsidTr="00D04679">
        <w:tc>
          <w:tcPr>
            <w:tcW w:w="4173" w:type="dxa"/>
          </w:tcPr>
          <w:p w14:paraId="2BFC481D" w14:textId="77777777" w:rsidR="0018628F" w:rsidRPr="001B5391" w:rsidRDefault="0018628F"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&gt; +4</w:t>
            </w:r>
          </w:p>
        </w:tc>
        <w:tc>
          <w:tcPr>
            <w:tcW w:w="4780" w:type="dxa"/>
            <w:vAlign w:val="bottom"/>
          </w:tcPr>
          <w:p w14:paraId="08674F5D" w14:textId="77777777" w:rsidR="0018628F" w:rsidRPr="001B5391" w:rsidRDefault="0018628F"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Reduce by 3 dose strengths</w:t>
            </w:r>
          </w:p>
        </w:tc>
      </w:tr>
      <w:tr w:rsidR="0018628F" w:rsidRPr="001B5391" w14:paraId="3FB60BD5" w14:textId="77777777" w:rsidTr="00D04679">
        <w:tc>
          <w:tcPr>
            <w:tcW w:w="4173" w:type="dxa"/>
          </w:tcPr>
          <w:p w14:paraId="37E49452" w14:textId="77777777" w:rsidR="0018628F" w:rsidRPr="001B5391" w:rsidRDefault="0018628F"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 xml:space="preserve"> +3 to +4</w:t>
            </w:r>
          </w:p>
        </w:tc>
        <w:tc>
          <w:tcPr>
            <w:tcW w:w="4780" w:type="dxa"/>
            <w:vAlign w:val="bottom"/>
          </w:tcPr>
          <w:p w14:paraId="571AF1AB" w14:textId="77777777" w:rsidR="0018628F" w:rsidRPr="001B5391" w:rsidRDefault="0018628F"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Reduce by 2 dose strengths</w:t>
            </w:r>
          </w:p>
        </w:tc>
      </w:tr>
      <w:tr w:rsidR="0018628F" w:rsidRPr="001B5391" w14:paraId="654DEB95" w14:textId="77777777" w:rsidTr="00D04679">
        <w:tc>
          <w:tcPr>
            <w:tcW w:w="4173" w:type="dxa"/>
          </w:tcPr>
          <w:p w14:paraId="45F0B4A2" w14:textId="77777777" w:rsidR="0018628F" w:rsidRPr="001B5391" w:rsidRDefault="0018628F"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+2 to +3</w:t>
            </w:r>
          </w:p>
        </w:tc>
        <w:tc>
          <w:tcPr>
            <w:tcW w:w="4780" w:type="dxa"/>
            <w:vAlign w:val="bottom"/>
          </w:tcPr>
          <w:p w14:paraId="3E4E84EA" w14:textId="77777777" w:rsidR="0018628F" w:rsidRPr="001B5391" w:rsidRDefault="0018628F"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Reduce by 1 dose strength</w:t>
            </w:r>
          </w:p>
        </w:tc>
      </w:tr>
      <w:tr w:rsidR="0018628F" w:rsidRPr="001B5391" w14:paraId="30546063" w14:textId="77777777" w:rsidTr="00D04679">
        <w:tc>
          <w:tcPr>
            <w:tcW w:w="4173" w:type="dxa"/>
          </w:tcPr>
          <w:p w14:paraId="7953A684" w14:textId="77777777" w:rsidR="0018628F" w:rsidRPr="001B5391" w:rsidRDefault="0018628F"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-2 to +2</w:t>
            </w:r>
          </w:p>
        </w:tc>
        <w:tc>
          <w:tcPr>
            <w:tcW w:w="4780" w:type="dxa"/>
            <w:vAlign w:val="bottom"/>
          </w:tcPr>
          <w:p w14:paraId="19280BAB" w14:textId="77777777" w:rsidR="0018628F" w:rsidRPr="001B5391" w:rsidRDefault="0018628F"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No change</w:t>
            </w:r>
          </w:p>
        </w:tc>
      </w:tr>
      <w:tr w:rsidR="0018628F" w:rsidRPr="001B5391" w14:paraId="474F05E6" w14:textId="77777777" w:rsidTr="00D04679">
        <w:tc>
          <w:tcPr>
            <w:tcW w:w="4173" w:type="dxa"/>
          </w:tcPr>
          <w:p w14:paraId="30027176" w14:textId="77777777" w:rsidR="0018628F" w:rsidRPr="001B5391" w:rsidRDefault="0018628F"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 xml:space="preserve">&lt; </w:t>
            </w:r>
            <w:r w:rsidRPr="001B5391">
              <w:rPr>
                <w:rFonts w:asciiTheme="majorHAnsi" w:hAnsiTheme="majorHAnsi"/>
                <w:szCs w:val="22"/>
                <w:lang w:val="en-GB"/>
              </w:rPr>
              <w:noBreakHyphen/>
              <w:t>2</w:t>
            </w:r>
          </w:p>
        </w:tc>
        <w:tc>
          <w:tcPr>
            <w:tcW w:w="4780" w:type="dxa"/>
            <w:vAlign w:val="bottom"/>
          </w:tcPr>
          <w:p w14:paraId="68C777E2" w14:textId="77777777" w:rsidR="0018628F" w:rsidRPr="001B5391" w:rsidRDefault="0018628F" w:rsidP="00A73D97">
            <w:pPr>
              <w:pStyle w:val="C-TableText"/>
              <w:spacing w:before="0" w:after="0"/>
              <w:ind w:right="-63"/>
              <w:jc w:val="center"/>
              <w:rPr>
                <w:rFonts w:asciiTheme="majorHAnsi" w:hAnsiTheme="majorHAnsi"/>
                <w:szCs w:val="22"/>
                <w:lang w:val="en-GB"/>
              </w:rPr>
            </w:pPr>
            <w:r w:rsidRPr="001B5391">
              <w:rPr>
                <w:rFonts w:asciiTheme="majorHAnsi" w:hAnsiTheme="majorHAnsi"/>
                <w:szCs w:val="22"/>
                <w:lang w:val="en-GB"/>
              </w:rPr>
              <w:t>Increase by 1 dose strength</w:t>
            </w:r>
          </w:p>
        </w:tc>
      </w:tr>
    </w:tbl>
    <w:p w14:paraId="3DA21881" w14:textId="77777777" w:rsidR="0018628F" w:rsidRPr="001B5391" w:rsidRDefault="0018628F" w:rsidP="004504FE">
      <w:pPr>
        <w:spacing w:after="0" w:line="240" w:lineRule="auto"/>
        <w:ind w:right="-62"/>
        <w:rPr>
          <w:rFonts w:asciiTheme="majorHAnsi" w:hAnsiTheme="majorHAnsi"/>
        </w:rPr>
      </w:pPr>
    </w:p>
    <w:p w14:paraId="0E92DF70" w14:textId="77777777" w:rsidR="0018628F" w:rsidRPr="001B5391" w:rsidRDefault="0018628F" w:rsidP="00A73D97">
      <w:pPr>
        <w:ind w:right="-63"/>
        <w:rPr>
          <w:rFonts w:asciiTheme="majorHAnsi" w:hAnsiTheme="majorHAnsi"/>
          <w:i/>
          <w:u w:val="single"/>
        </w:rPr>
      </w:pPr>
      <w:r w:rsidRPr="001B5391">
        <w:rPr>
          <w:rFonts w:asciiTheme="majorHAnsi" w:hAnsiTheme="majorHAnsi"/>
          <w:i/>
          <w:u w:val="single"/>
        </w:rPr>
        <w:t>Treatment evaluation</w:t>
      </w:r>
    </w:p>
    <w:p w14:paraId="171C74CF" w14:textId="77777777" w:rsidR="0018628F" w:rsidRPr="001B5391" w:rsidRDefault="0018628F" w:rsidP="00A73D97">
      <w:pPr>
        <w:ind w:right="-63"/>
        <w:rPr>
          <w:rFonts w:asciiTheme="majorHAnsi" w:hAnsiTheme="majorHAnsi"/>
        </w:rPr>
      </w:pPr>
      <w:r w:rsidRPr="001B5391">
        <w:rPr>
          <w:rFonts w:asciiTheme="majorHAnsi" w:hAnsiTheme="majorHAnsi"/>
        </w:rPr>
        <w:t>Evaluation of efficacy and safety should be considered at approximately 6</w:t>
      </w:r>
      <w:r w:rsidRPr="001B5391">
        <w:rPr>
          <w:rFonts w:asciiTheme="majorHAnsi" w:hAnsiTheme="majorHAnsi"/>
        </w:rPr>
        <w:noBreakHyphen/>
        <w:t xml:space="preserve"> to 12</w:t>
      </w:r>
      <w:r w:rsidRPr="001B5391">
        <w:rPr>
          <w:rFonts w:asciiTheme="majorHAnsi" w:hAnsiTheme="majorHAnsi"/>
        </w:rPr>
        <w:noBreakHyphen/>
        <w:t>month intervals and may be assessed by evaluating auxological parameters, biochemistry (IGF</w:t>
      </w:r>
      <w:r w:rsidRPr="001B5391">
        <w:rPr>
          <w:rFonts w:asciiTheme="majorHAnsi" w:hAnsiTheme="majorHAnsi"/>
        </w:rPr>
        <w:noBreakHyphen/>
        <w:t>1, hormones, glucose, and lipid levels), and pubertal status. More frequent evaluations should be considered during puberty.</w:t>
      </w:r>
    </w:p>
    <w:p w14:paraId="2EA378DC" w14:textId="77777777" w:rsidR="0018628F" w:rsidRPr="001B5391" w:rsidRDefault="0018628F" w:rsidP="00A73D97">
      <w:pPr>
        <w:ind w:right="-63"/>
        <w:rPr>
          <w:rFonts w:asciiTheme="majorHAnsi" w:hAnsiTheme="majorHAnsi"/>
        </w:rPr>
      </w:pPr>
      <w:r w:rsidRPr="001B5391">
        <w:rPr>
          <w:rFonts w:asciiTheme="majorHAnsi" w:hAnsiTheme="majorHAnsi"/>
        </w:rPr>
        <w:t>Treatment should be discontinued in patients with annualised height velocity &lt; 2 cm/year, final height achievement, height velocity SDS &lt; + 1 after the first year of treatment, or in case bone age is &gt; 14 years (girls) or &gt; 16 years (boys) which corresponds to the closure of the epiphyseal growth plates.</w:t>
      </w:r>
    </w:p>
    <w:p w14:paraId="1C4500D8" w14:textId="77777777" w:rsidR="0018628F" w:rsidRPr="001B5391" w:rsidRDefault="0018628F" w:rsidP="00A73D97">
      <w:pPr>
        <w:ind w:right="-63"/>
        <w:rPr>
          <w:rFonts w:asciiTheme="majorHAnsi" w:hAnsiTheme="majorHAnsi"/>
        </w:rPr>
      </w:pPr>
      <w:r w:rsidRPr="001B5391">
        <w:rPr>
          <w:rFonts w:asciiTheme="majorHAnsi" w:hAnsiTheme="majorHAnsi"/>
        </w:rPr>
        <w:t>Once the epiphyses are fused, patients should be clinically re</w:t>
      </w:r>
      <w:r w:rsidRPr="001B5391">
        <w:rPr>
          <w:rFonts w:asciiTheme="majorHAnsi" w:hAnsiTheme="majorHAnsi"/>
        </w:rPr>
        <w:noBreakHyphen/>
        <w:t>evaluated for the need for growth hormone treatment.</w:t>
      </w:r>
    </w:p>
    <w:p w14:paraId="5076A93D" w14:textId="77777777" w:rsidR="0018628F" w:rsidRPr="001B5391" w:rsidRDefault="0018628F" w:rsidP="00A73D97">
      <w:pPr>
        <w:keepNext/>
        <w:keepLines/>
        <w:ind w:right="-63"/>
        <w:rPr>
          <w:rFonts w:asciiTheme="majorHAnsi" w:hAnsiTheme="majorHAnsi"/>
          <w:i/>
          <w:iCs/>
          <w:u w:val="single"/>
        </w:rPr>
      </w:pPr>
      <w:r w:rsidRPr="001B5391">
        <w:rPr>
          <w:rFonts w:asciiTheme="majorHAnsi" w:hAnsiTheme="majorHAnsi"/>
          <w:i/>
          <w:iCs/>
          <w:u w:val="single"/>
        </w:rPr>
        <w:t>Oral oestrogen therapy</w:t>
      </w:r>
    </w:p>
    <w:p w14:paraId="144C0D12" w14:textId="37072087" w:rsidR="0018628F" w:rsidRPr="001B5391" w:rsidRDefault="0018628F" w:rsidP="00A73D97">
      <w:pPr>
        <w:ind w:right="-63"/>
        <w:rPr>
          <w:rFonts w:asciiTheme="majorHAnsi" w:hAnsiTheme="majorHAnsi"/>
        </w:rPr>
      </w:pPr>
      <w:r w:rsidRPr="001B5391">
        <w:rPr>
          <w:rFonts w:asciiTheme="majorHAnsi" w:hAnsiTheme="majorHAnsi"/>
        </w:rPr>
        <w:t>Females on oral oestrogen</w:t>
      </w:r>
      <w:r w:rsidRPr="001B5391">
        <w:rPr>
          <w:rFonts w:asciiTheme="majorHAnsi" w:hAnsiTheme="majorHAnsi"/>
        </w:rPr>
        <w:noBreakHyphen/>
        <w:t>containing therapy may require a higher dose of growth hormone to achieve the treatment goal (see section 4.4).</w:t>
      </w:r>
    </w:p>
    <w:p w14:paraId="04C783B6" w14:textId="2777BA94" w:rsidR="0018628F" w:rsidRPr="001B5391" w:rsidRDefault="0018628F" w:rsidP="00A73D97">
      <w:pPr>
        <w:ind w:right="-63"/>
        <w:rPr>
          <w:rFonts w:asciiTheme="majorHAnsi" w:hAnsiTheme="majorHAnsi"/>
          <w:i/>
          <w:u w:val="single"/>
        </w:rPr>
      </w:pPr>
      <w:bookmarkStart w:id="5" w:name="_Hlk35644288"/>
      <w:r w:rsidRPr="001B5391">
        <w:rPr>
          <w:rFonts w:asciiTheme="majorHAnsi" w:hAnsiTheme="majorHAnsi"/>
          <w:i/>
          <w:u w:val="single"/>
        </w:rPr>
        <w:t>Missed dose</w:t>
      </w:r>
    </w:p>
    <w:p w14:paraId="2F91B930" w14:textId="77777777" w:rsidR="0018628F" w:rsidRPr="001B5391" w:rsidRDefault="0018628F" w:rsidP="00A73D97">
      <w:pPr>
        <w:ind w:right="-63"/>
        <w:rPr>
          <w:rFonts w:asciiTheme="majorHAnsi" w:hAnsiTheme="majorHAnsi"/>
        </w:rPr>
      </w:pPr>
      <w:r w:rsidRPr="001B5391">
        <w:rPr>
          <w:rFonts w:asciiTheme="majorHAnsi" w:hAnsiTheme="majorHAnsi"/>
        </w:rPr>
        <w:t>If a dose is missed, it should be administered as soon as possible and no more than 2 days after the missed dose. If more than 2 days have passed, the missed dose should be skipped, and the next dose should be administered on the regularly scheduled day. In each case, patients can then resume their regular once weekly dosing schedule.</w:t>
      </w:r>
    </w:p>
    <w:p w14:paraId="5E435505" w14:textId="77777777" w:rsidR="0018628F" w:rsidRPr="001B5391" w:rsidRDefault="0018628F" w:rsidP="00A73D97">
      <w:pPr>
        <w:ind w:right="-63"/>
        <w:rPr>
          <w:rFonts w:asciiTheme="majorHAnsi" w:hAnsiTheme="majorHAnsi"/>
          <w:i/>
          <w:u w:val="single"/>
        </w:rPr>
      </w:pPr>
      <w:r w:rsidRPr="001B5391">
        <w:rPr>
          <w:rFonts w:asciiTheme="majorHAnsi" w:hAnsiTheme="majorHAnsi"/>
          <w:i/>
          <w:u w:val="single"/>
        </w:rPr>
        <w:lastRenderedPageBreak/>
        <w:t>Changing the dosing day</w:t>
      </w:r>
    </w:p>
    <w:p w14:paraId="18908384" w14:textId="77777777" w:rsidR="0018628F" w:rsidRPr="001B5391" w:rsidRDefault="0018628F" w:rsidP="00A73D97">
      <w:pPr>
        <w:ind w:right="-63"/>
        <w:rPr>
          <w:rFonts w:asciiTheme="majorHAnsi" w:hAnsiTheme="majorHAnsi"/>
        </w:rPr>
      </w:pPr>
      <w:r w:rsidRPr="001B5391">
        <w:rPr>
          <w:rFonts w:asciiTheme="majorHAnsi" w:hAnsiTheme="majorHAnsi"/>
        </w:rPr>
        <w:t>The day of weekly injection can be changed to a different day of the week. Lonapegsomatropin can be administered 2 days before or 2 days after the scheduled dosing day. It should be ensured that at least 5 days will pass between the last dose and the newly</w:t>
      </w:r>
      <w:r w:rsidRPr="001B5391">
        <w:rPr>
          <w:rFonts w:asciiTheme="majorHAnsi" w:hAnsiTheme="majorHAnsi"/>
        </w:rPr>
        <w:noBreakHyphen/>
        <w:t>established regular once weekly dosing day.</w:t>
      </w:r>
    </w:p>
    <w:bookmarkEnd w:id="5"/>
    <w:p w14:paraId="7F87D58F" w14:textId="77777777" w:rsidR="0018628F" w:rsidRPr="001B5391" w:rsidRDefault="0018628F" w:rsidP="00A73D97">
      <w:pPr>
        <w:keepNext/>
        <w:keepLines/>
        <w:ind w:right="-63"/>
        <w:rPr>
          <w:rFonts w:asciiTheme="majorHAnsi" w:hAnsiTheme="majorHAnsi"/>
          <w:i/>
          <w:iCs/>
          <w:u w:val="single"/>
        </w:rPr>
      </w:pPr>
      <w:r w:rsidRPr="001B5391">
        <w:rPr>
          <w:rFonts w:asciiTheme="majorHAnsi" w:hAnsiTheme="majorHAnsi"/>
          <w:i/>
          <w:iCs/>
          <w:u w:val="single"/>
        </w:rPr>
        <w:t>Special populations</w:t>
      </w:r>
    </w:p>
    <w:p w14:paraId="695C8B11" w14:textId="373D89F2" w:rsidR="0018628F" w:rsidRPr="001B5391" w:rsidRDefault="0018628F" w:rsidP="00A73D97">
      <w:pPr>
        <w:keepNext/>
        <w:keepLines/>
        <w:ind w:right="-63"/>
        <w:rPr>
          <w:rFonts w:asciiTheme="majorHAnsi" w:hAnsiTheme="majorHAnsi"/>
          <w:i/>
        </w:rPr>
      </w:pPr>
      <w:r w:rsidRPr="001B5391">
        <w:rPr>
          <w:rFonts w:asciiTheme="majorHAnsi" w:hAnsiTheme="majorHAnsi"/>
          <w:i/>
        </w:rPr>
        <w:t>Renal impairment</w:t>
      </w:r>
    </w:p>
    <w:p w14:paraId="387D8C90" w14:textId="7C0E653B" w:rsidR="00520B12" w:rsidRPr="001B5391" w:rsidRDefault="0018628F" w:rsidP="00A73D97">
      <w:pPr>
        <w:spacing w:after="0" w:line="240" w:lineRule="auto"/>
        <w:ind w:right="-63"/>
        <w:rPr>
          <w:rFonts w:asciiTheme="majorHAnsi" w:hAnsiTheme="majorHAnsi"/>
        </w:rPr>
      </w:pPr>
      <w:r w:rsidRPr="001B5391">
        <w:rPr>
          <w:rFonts w:asciiTheme="majorHAnsi" w:hAnsiTheme="majorHAnsi"/>
        </w:rPr>
        <w:t>No information in patients with renal impairment is available and dose recommendations cannot be given.</w:t>
      </w:r>
    </w:p>
    <w:p w14:paraId="61D45DA1" w14:textId="77777777" w:rsidR="0018628F" w:rsidRPr="001B5391" w:rsidRDefault="0018628F" w:rsidP="00A73D97">
      <w:pPr>
        <w:spacing w:after="0" w:line="240" w:lineRule="auto"/>
        <w:ind w:right="-63"/>
        <w:rPr>
          <w:rFonts w:asciiTheme="majorHAnsi" w:hAnsiTheme="majorHAnsi"/>
        </w:rPr>
      </w:pPr>
    </w:p>
    <w:p w14:paraId="4C3F2AB6" w14:textId="4EE1DC02" w:rsidR="006476D3" w:rsidRPr="001B5391" w:rsidRDefault="006476D3" w:rsidP="00A73D97">
      <w:pPr>
        <w:ind w:right="-63"/>
        <w:rPr>
          <w:rFonts w:asciiTheme="majorHAnsi" w:hAnsiTheme="majorHAnsi"/>
        </w:rPr>
      </w:pPr>
      <w:r w:rsidRPr="001B5391">
        <w:rPr>
          <w:rFonts w:asciiTheme="majorHAnsi" w:hAnsiTheme="majorHAnsi"/>
          <w:i/>
        </w:rPr>
        <w:t>Hepatic impairment</w:t>
      </w:r>
    </w:p>
    <w:p w14:paraId="429CC9D0" w14:textId="77777777" w:rsidR="006476D3" w:rsidRPr="001B5391" w:rsidRDefault="006476D3" w:rsidP="00A73D97">
      <w:pPr>
        <w:ind w:right="-63"/>
        <w:rPr>
          <w:rFonts w:asciiTheme="majorHAnsi" w:hAnsiTheme="majorHAnsi"/>
        </w:rPr>
      </w:pPr>
      <w:r w:rsidRPr="001B5391">
        <w:rPr>
          <w:rFonts w:asciiTheme="majorHAnsi" w:hAnsiTheme="majorHAnsi"/>
        </w:rPr>
        <w:t>No information in patients with hepatic impairment is available and dose recommendations cannot be given.</w:t>
      </w:r>
    </w:p>
    <w:p w14:paraId="45DCEFF0" w14:textId="77777777" w:rsidR="0096513E" w:rsidRDefault="0096513E" w:rsidP="00A73D97">
      <w:pPr>
        <w:ind w:right="-63"/>
        <w:rPr>
          <w:rFonts w:asciiTheme="majorHAnsi" w:hAnsiTheme="majorHAnsi"/>
          <w:i/>
        </w:rPr>
      </w:pPr>
    </w:p>
    <w:p w14:paraId="09C986E7" w14:textId="1689F732" w:rsidR="006476D3" w:rsidRPr="001B5391" w:rsidRDefault="006476D3" w:rsidP="00A73D97">
      <w:pPr>
        <w:ind w:right="-63"/>
        <w:rPr>
          <w:rFonts w:asciiTheme="majorHAnsi" w:hAnsiTheme="majorHAnsi"/>
          <w:i/>
        </w:rPr>
      </w:pPr>
      <w:r w:rsidRPr="001B5391">
        <w:rPr>
          <w:rFonts w:asciiTheme="majorHAnsi" w:hAnsiTheme="majorHAnsi"/>
          <w:i/>
        </w:rPr>
        <w:t>Paediatric population</w:t>
      </w:r>
    </w:p>
    <w:p w14:paraId="700233D0" w14:textId="5E3021F0" w:rsidR="006476D3" w:rsidRPr="001B5391" w:rsidRDefault="006476D3" w:rsidP="00A73D97">
      <w:pPr>
        <w:ind w:right="-63"/>
        <w:rPr>
          <w:rFonts w:asciiTheme="majorHAnsi" w:hAnsiTheme="majorHAnsi"/>
        </w:rPr>
      </w:pPr>
      <w:r w:rsidRPr="001B5391">
        <w:rPr>
          <w:rFonts w:asciiTheme="majorHAnsi" w:hAnsiTheme="majorHAnsi"/>
        </w:rPr>
        <w:t xml:space="preserve">The safety and efficacy of lonapegsomatropin in children under 3 years of age has not been established. Currently available data are described in section 5.1 but no recommendation on a </w:t>
      </w:r>
      <w:r w:rsidR="00E208E5">
        <w:rPr>
          <w:rFonts w:asciiTheme="majorHAnsi" w:hAnsiTheme="majorHAnsi"/>
        </w:rPr>
        <w:t>dosage</w:t>
      </w:r>
      <w:r w:rsidR="00E208E5" w:rsidRPr="001B5391">
        <w:rPr>
          <w:rFonts w:asciiTheme="majorHAnsi" w:hAnsiTheme="majorHAnsi"/>
        </w:rPr>
        <w:t xml:space="preserve"> </w:t>
      </w:r>
      <w:r w:rsidRPr="001B5391">
        <w:rPr>
          <w:rFonts w:asciiTheme="majorHAnsi" w:hAnsiTheme="majorHAnsi"/>
        </w:rPr>
        <w:t>can be made.</w:t>
      </w:r>
    </w:p>
    <w:p w14:paraId="24CB340B" w14:textId="37D5D940" w:rsidR="006476D3" w:rsidRPr="00B10FCD" w:rsidRDefault="006476D3" w:rsidP="00A73D97">
      <w:pPr>
        <w:ind w:right="-63"/>
        <w:rPr>
          <w:rFonts w:asciiTheme="majorHAnsi" w:hAnsiTheme="majorHAnsi"/>
          <w:b/>
          <w:bCs/>
        </w:rPr>
      </w:pPr>
      <w:r w:rsidRPr="00B10FCD">
        <w:rPr>
          <w:rFonts w:asciiTheme="majorHAnsi" w:hAnsiTheme="majorHAnsi"/>
          <w:b/>
          <w:bCs/>
        </w:rPr>
        <w:t>Method of administration</w:t>
      </w:r>
    </w:p>
    <w:p w14:paraId="45897BFB" w14:textId="77777777" w:rsidR="006476D3" w:rsidRPr="001B5391" w:rsidRDefault="006476D3" w:rsidP="00A73D97">
      <w:pPr>
        <w:ind w:right="-63"/>
        <w:rPr>
          <w:rFonts w:asciiTheme="majorHAnsi" w:hAnsiTheme="majorHAnsi"/>
        </w:rPr>
      </w:pPr>
      <w:r w:rsidRPr="001B5391">
        <w:rPr>
          <w:rFonts w:asciiTheme="majorHAnsi" w:hAnsiTheme="majorHAnsi"/>
        </w:rPr>
        <w:t>Each injection should be administered subcutaneously once</w:t>
      </w:r>
      <w:r w:rsidRPr="001B5391">
        <w:rPr>
          <w:rFonts w:asciiTheme="majorHAnsi" w:hAnsiTheme="majorHAnsi"/>
        </w:rPr>
        <w:noBreakHyphen/>
        <w:t>weekly in the abdomen, buttock or thigh. The site of administration should be varied to prevent lipoatrophy.</w:t>
      </w:r>
    </w:p>
    <w:p w14:paraId="5A6587FA" w14:textId="77777777" w:rsidR="006476D3" w:rsidRPr="001B5391" w:rsidRDefault="006476D3" w:rsidP="00A73D97">
      <w:pPr>
        <w:ind w:right="-63"/>
        <w:rPr>
          <w:rFonts w:asciiTheme="majorHAnsi" w:hAnsiTheme="majorHAnsi"/>
        </w:rPr>
      </w:pPr>
      <w:r w:rsidRPr="001B5391">
        <w:rPr>
          <w:rFonts w:asciiTheme="majorHAnsi" w:hAnsiTheme="majorHAnsi"/>
        </w:rPr>
        <w:t xml:space="preserve">Lonapegsomatropin is intended to be administered after reconstitution of the powder for solution for injection with the enclosed solvent. Lonapegsomatropin should be administered by means of the </w:t>
      </w:r>
      <w:r w:rsidRPr="001B5391">
        <w:rPr>
          <w:rFonts w:asciiTheme="majorHAnsi" w:hAnsiTheme="majorHAnsi"/>
          <w:noProof/>
        </w:rPr>
        <w:t>Skytrofa</w:t>
      </w:r>
      <w:r w:rsidRPr="001B5391">
        <w:rPr>
          <w:rFonts w:asciiTheme="majorHAnsi" w:hAnsiTheme="majorHAnsi"/>
        </w:rPr>
        <w:t xml:space="preserve"> Auto</w:t>
      </w:r>
      <w:r w:rsidRPr="001B5391">
        <w:rPr>
          <w:rFonts w:asciiTheme="majorHAnsi" w:hAnsiTheme="majorHAnsi"/>
        </w:rPr>
        <w:noBreakHyphen/>
        <w:t xml:space="preserve">Injector. The patient and caregiver should receive training to ensure understanding of the administration procedure by means of the device </w:t>
      </w:r>
      <w:proofErr w:type="gramStart"/>
      <w:r w:rsidRPr="001B5391">
        <w:rPr>
          <w:rFonts w:asciiTheme="majorHAnsi" w:hAnsiTheme="majorHAnsi"/>
        </w:rPr>
        <w:t>in order to</w:t>
      </w:r>
      <w:proofErr w:type="gramEnd"/>
      <w:r w:rsidRPr="001B5391">
        <w:rPr>
          <w:rFonts w:asciiTheme="majorHAnsi" w:hAnsiTheme="majorHAnsi"/>
        </w:rPr>
        <w:t xml:space="preserve"> be allowed to (self)</w:t>
      </w:r>
      <w:r w:rsidRPr="001B5391">
        <w:rPr>
          <w:rFonts w:asciiTheme="majorHAnsi" w:hAnsiTheme="majorHAnsi"/>
        </w:rPr>
        <w:noBreakHyphen/>
        <w:t>inject lonapegsomatropin.</w:t>
      </w:r>
    </w:p>
    <w:p w14:paraId="1CAF088F" w14:textId="65546AF8" w:rsidR="006476D3" w:rsidRPr="001B5391" w:rsidRDefault="006476D3" w:rsidP="00A73D97">
      <w:pPr>
        <w:ind w:right="-63"/>
        <w:rPr>
          <w:rFonts w:asciiTheme="majorHAnsi" w:hAnsiTheme="majorHAnsi"/>
        </w:rPr>
      </w:pPr>
      <w:r w:rsidRPr="001B5391">
        <w:rPr>
          <w:rFonts w:asciiTheme="majorHAnsi" w:hAnsiTheme="majorHAnsi"/>
        </w:rPr>
        <w:t xml:space="preserve">The reconstituted solution should be colourless and clear to opalescent and free or practically free of visible particles (see section 6.6). </w:t>
      </w:r>
    </w:p>
    <w:p w14:paraId="739F35EE" w14:textId="7792E1A8" w:rsidR="0018628F" w:rsidRPr="001B5391" w:rsidRDefault="006476D3" w:rsidP="00A73D97">
      <w:pPr>
        <w:spacing w:after="0" w:line="240" w:lineRule="auto"/>
        <w:ind w:right="-63"/>
        <w:rPr>
          <w:rFonts w:asciiTheme="majorHAnsi" w:hAnsiTheme="majorHAnsi"/>
        </w:rPr>
      </w:pPr>
      <w:r w:rsidRPr="001B5391">
        <w:rPr>
          <w:rFonts w:asciiTheme="majorHAnsi" w:hAnsiTheme="majorHAnsi"/>
        </w:rPr>
        <w:t xml:space="preserve">For instructions on reconstitution of the medicinal product before administration, see section 6.6 and the instructions </w:t>
      </w:r>
      <w:r w:rsidR="00112FEB">
        <w:rPr>
          <w:rFonts w:asciiTheme="majorHAnsi" w:hAnsiTheme="majorHAnsi"/>
        </w:rPr>
        <w:t xml:space="preserve">for use </w:t>
      </w:r>
      <w:r w:rsidRPr="001B5391">
        <w:rPr>
          <w:rFonts w:asciiTheme="majorHAnsi" w:hAnsiTheme="majorHAnsi"/>
        </w:rPr>
        <w:t xml:space="preserve">included </w:t>
      </w:r>
      <w:r w:rsidR="00112FEB">
        <w:rPr>
          <w:rFonts w:asciiTheme="majorHAnsi" w:hAnsiTheme="majorHAnsi"/>
        </w:rPr>
        <w:t>in the medicine carton</w:t>
      </w:r>
      <w:r w:rsidRPr="001B5391">
        <w:rPr>
          <w:rFonts w:asciiTheme="majorHAnsi" w:hAnsiTheme="majorHAnsi"/>
        </w:rPr>
        <w:t>.</w:t>
      </w:r>
    </w:p>
    <w:p w14:paraId="3237C1DD" w14:textId="77777777" w:rsidR="00520B12" w:rsidRDefault="00520B12" w:rsidP="00A73D97">
      <w:pPr>
        <w:spacing w:after="0" w:line="240" w:lineRule="auto"/>
        <w:ind w:right="-63"/>
        <w:rPr>
          <w:rFonts w:asciiTheme="majorHAnsi" w:hAnsiTheme="majorHAnsi"/>
          <w:spacing w:val="-2"/>
          <w:sz w:val="18"/>
          <w:szCs w:val="18"/>
        </w:rPr>
      </w:pPr>
    </w:p>
    <w:p w14:paraId="0DBCB52D" w14:textId="337160CE" w:rsidR="005106C9" w:rsidRPr="004C6325" w:rsidRDefault="005106C9" w:rsidP="00A73D97">
      <w:pPr>
        <w:pStyle w:val="Heading2"/>
        <w:keepNext/>
        <w:ind w:left="0" w:right="-63" w:firstLine="0"/>
      </w:pPr>
      <w:r w:rsidRPr="004C6325">
        <w:t>Contraindications</w:t>
      </w:r>
      <w:fldSimple w:instr=" DOCVARIABLE vault_nd_0d582298-1c42-42e2-8b52-308ce4740eb3 \* MERGEFORMAT">
        <w:r w:rsidR="00F93A39">
          <w:t xml:space="preserve"> </w:t>
        </w:r>
      </w:fldSimple>
    </w:p>
    <w:p w14:paraId="67DA243C" w14:textId="77777777" w:rsidR="00C7310C" w:rsidRPr="00C7310C" w:rsidRDefault="00C7310C" w:rsidP="00A73D97">
      <w:pPr>
        <w:ind w:right="-63"/>
        <w:rPr>
          <w:rFonts w:asciiTheme="majorHAnsi" w:hAnsiTheme="majorHAnsi"/>
        </w:rPr>
      </w:pPr>
      <w:r w:rsidRPr="00C7310C">
        <w:rPr>
          <w:rFonts w:asciiTheme="majorHAnsi" w:hAnsiTheme="majorHAnsi"/>
        </w:rPr>
        <w:t>Hypersensitivity to the active substance or to any of the excipients listed in section 6.1 (see section 4.4).</w:t>
      </w:r>
    </w:p>
    <w:p w14:paraId="259BBE13" w14:textId="0ECED114" w:rsidR="00C7310C" w:rsidRPr="00C7310C" w:rsidRDefault="00D509BD" w:rsidP="00A73D97">
      <w:pPr>
        <w:autoSpaceDE w:val="0"/>
        <w:autoSpaceDN w:val="0"/>
        <w:adjustRightInd w:val="0"/>
        <w:ind w:right="-63"/>
        <w:rPr>
          <w:rFonts w:asciiTheme="majorHAnsi" w:hAnsiTheme="majorHAnsi"/>
        </w:rPr>
      </w:pPr>
      <w:r>
        <w:rPr>
          <w:rFonts w:asciiTheme="majorHAnsi" w:hAnsiTheme="majorHAnsi"/>
        </w:rPr>
        <w:t>Lonapegsomatropin</w:t>
      </w:r>
      <w:r w:rsidRPr="00C7310C">
        <w:rPr>
          <w:rFonts w:asciiTheme="majorHAnsi" w:hAnsiTheme="majorHAnsi"/>
        </w:rPr>
        <w:t xml:space="preserve"> </w:t>
      </w:r>
      <w:r w:rsidR="00C7310C" w:rsidRPr="00C7310C">
        <w:rPr>
          <w:rFonts w:asciiTheme="majorHAnsi" w:hAnsiTheme="majorHAnsi"/>
        </w:rPr>
        <w:t>must not be used when there is any evidence of activity of a tumour (see section 4.4). Intracranial tumours must be inactive and anti</w:t>
      </w:r>
      <w:r w:rsidR="00C7310C" w:rsidRPr="00C7310C">
        <w:rPr>
          <w:rFonts w:asciiTheme="majorHAnsi" w:hAnsiTheme="majorHAnsi"/>
        </w:rPr>
        <w:noBreakHyphen/>
        <w:t>tumour therapy must be completed prior to starting growth hormone therapy. Treatment should be discontinued if there is evidence of tumour growth.</w:t>
      </w:r>
    </w:p>
    <w:p w14:paraId="06533FAB" w14:textId="77777777" w:rsidR="00C7310C" w:rsidRPr="00C7310C" w:rsidRDefault="00C7310C" w:rsidP="00A73D97">
      <w:pPr>
        <w:ind w:right="-63"/>
        <w:rPr>
          <w:rFonts w:asciiTheme="majorHAnsi" w:hAnsiTheme="majorHAnsi"/>
        </w:rPr>
      </w:pPr>
      <w:r w:rsidRPr="00C7310C">
        <w:rPr>
          <w:rFonts w:asciiTheme="majorHAnsi" w:hAnsiTheme="majorHAnsi"/>
        </w:rPr>
        <w:lastRenderedPageBreak/>
        <w:t xml:space="preserve">Patients with acute critical illness suffering complications following open heart surgery, abdominal surgery, multiple accidental </w:t>
      </w:r>
      <w:proofErr w:type="gramStart"/>
      <w:r w:rsidRPr="00C7310C">
        <w:rPr>
          <w:rFonts w:asciiTheme="majorHAnsi" w:hAnsiTheme="majorHAnsi"/>
        </w:rPr>
        <w:t>trauma</w:t>
      </w:r>
      <w:proofErr w:type="gramEnd"/>
      <w:r w:rsidRPr="00C7310C">
        <w:rPr>
          <w:rFonts w:asciiTheme="majorHAnsi" w:hAnsiTheme="majorHAnsi"/>
        </w:rPr>
        <w:t>, acute respiratory failure or similar conditions must not be treated with lonapegsomatropin (regarding patients undergoing substitution therapy, see section 4.4).</w:t>
      </w:r>
    </w:p>
    <w:p w14:paraId="77E9466B" w14:textId="77777777" w:rsidR="005106C9" w:rsidRDefault="00C7310C" w:rsidP="00A73D97">
      <w:pPr>
        <w:spacing w:after="0" w:line="240" w:lineRule="auto"/>
        <w:ind w:left="284" w:right="-63" w:hanging="284"/>
        <w:rPr>
          <w:rFonts w:asciiTheme="majorHAnsi" w:hAnsiTheme="majorHAnsi"/>
        </w:rPr>
      </w:pPr>
      <w:r w:rsidRPr="00C7310C">
        <w:rPr>
          <w:rFonts w:asciiTheme="majorHAnsi" w:hAnsiTheme="majorHAnsi"/>
        </w:rPr>
        <w:t>Lonapegsomatropin must not be used for growth promotion in children with closed epiphyses.</w:t>
      </w:r>
    </w:p>
    <w:p w14:paraId="6F89F77B" w14:textId="77777777" w:rsidR="0045219C" w:rsidRDefault="0045219C" w:rsidP="0045219C">
      <w:pPr>
        <w:rPr>
          <w:rFonts w:asciiTheme="majorHAnsi" w:hAnsiTheme="majorHAnsi"/>
        </w:rPr>
      </w:pPr>
    </w:p>
    <w:p w14:paraId="3DD8DDDE" w14:textId="70433A37" w:rsidR="002C4189" w:rsidRPr="004C6325" w:rsidRDefault="00E43CF6" w:rsidP="00A73D97">
      <w:pPr>
        <w:pStyle w:val="Heading2"/>
        <w:ind w:left="0" w:right="-63" w:firstLine="0"/>
        <w:rPr>
          <w:rFonts w:cstheme="minorHAnsi"/>
        </w:rPr>
      </w:pPr>
      <w:r>
        <w:rPr>
          <w:rFonts w:cstheme="minorHAnsi"/>
        </w:rPr>
        <w:t>Special warnings and precautions for use</w:t>
      </w:r>
      <w:r w:rsidR="00F93A39">
        <w:rPr>
          <w:rFonts w:cstheme="minorHAnsi"/>
        </w:rPr>
        <w:fldChar w:fldCharType="begin"/>
      </w:r>
      <w:r w:rsidR="00F93A39">
        <w:rPr>
          <w:rFonts w:cstheme="minorHAnsi"/>
        </w:rPr>
        <w:instrText xml:space="preserve"> DOCVARIABLE vault_nd_6a98de7b-729d-43a7-9df0-d1076e1b289f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7BEC130F" w14:textId="77777777" w:rsidR="00342A24" w:rsidRPr="001567B6" w:rsidRDefault="00342A24" w:rsidP="00A73D97">
      <w:pPr>
        <w:ind w:right="-63"/>
        <w:rPr>
          <w:rFonts w:asciiTheme="majorHAnsi" w:hAnsiTheme="majorHAnsi"/>
          <w:b/>
          <w:bCs/>
        </w:rPr>
      </w:pPr>
      <w:r w:rsidRPr="001567B6">
        <w:rPr>
          <w:rFonts w:asciiTheme="majorHAnsi" w:hAnsiTheme="majorHAnsi"/>
          <w:b/>
          <w:bCs/>
        </w:rPr>
        <w:t>Traceability</w:t>
      </w:r>
    </w:p>
    <w:p w14:paraId="73638954" w14:textId="77777777" w:rsidR="00342A24" w:rsidRPr="00733D84" w:rsidRDefault="00342A24" w:rsidP="00A73D97">
      <w:pPr>
        <w:ind w:right="-63"/>
        <w:rPr>
          <w:rFonts w:asciiTheme="majorHAnsi" w:hAnsiTheme="majorHAnsi"/>
        </w:rPr>
      </w:pPr>
      <w:proofErr w:type="gramStart"/>
      <w:r w:rsidRPr="00733D84">
        <w:rPr>
          <w:rFonts w:asciiTheme="majorHAnsi" w:hAnsiTheme="majorHAnsi"/>
        </w:rPr>
        <w:t>In order to</w:t>
      </w:r>
      <w:proofErr w:type="gramEnd"/>
      <w:r w:rsidRPr="00733D84">
        <w:rPr>
          <w:rFonts w:asciiTheme="majorHAnsi" w:hAnsiTheme="majorHAnsi"/>
        </w:rPr>
        <w:t xml:space="preserve"> improve the traceability of biological medicinal products, the name and the batch number of the administered product should be clearly recorded.</w:t>
      </w:r>
    </w:p>
    <w:p w14:paraId="0D034802" w14:textId="77777777" w:rsidR="00342A24" w:rsidRPr="001567B6" w:rsidRDefault="00342A24" w:rsidP="00A73D97">
      <w:pPr>
        <w:keepNext/>
        <w:keepLines/>
        <w:ind w:right="-63"/>
        <w:rPr>
          <w:rFonts w:asciiTheme="majorHAnsi" w:hAnsiTheme="majorHAnsi"/>
          <w:b/>
          <w:bCs/>
        </w:rPr>
      </w:pPr>
      <w:r w:rsidRPr="00BD6357">
        <w:rPr>
          <w:rFonts w:asciiTheme="majorHAnsi" w:hAnsiTheme="majorHAnsi"/>
          <w:b/>
          <w:bCs/>
        </w:rPr>
        <w:t>Acute critical illness</w:t>
      </w:r>
    </w:p>
    <w:p w14:paraId="014DB974" w14:textId="6C40385E" w:rsidR="00263CF1" w:rsidRPr="00733D84" w:rsidRDefault="00342A24" w:rsidP="00A73D97">
      <w:pPr>
        <w:pStyle w:val="Heading3"/>
        <w:spacing w:before="0" w:after="120"/>
        <w:ind w:left="0" w:right="-63"/>
        <w:rPr>
          <w:b w:val="0"/>
          <w:bCs w:val="0"/>
        </w:rPr>
      </w:pPr>
      <w:r w:rsidRPr="00733D84">
        <w:rPr>
          <w:b w:val="0"/>
          <w:bCs w:val="0"/>
        </w:rPr>
        <w:t>In critically ill adult patients suffering complications following open heart surgery, abdominal surgery, multiple accidental trauma or acute respiratory failure mortality was higher in patients treated with 5.3 mg or 8 mg somatropin daily (i.e. 37.1 – 56 mg/week) compared to patients receiving placebo, 42% vs. 19%. As there is no information available on the safety of growth hormone</w:t>
      </w:r>
      <w:r w:rsidR="00651D5E" w:rsidRPr="00733D84">
        <w:rPr>
          <w:b w:val="0"/>
          <w:bCs w:val="0"/>
        </w:rPr>
        <w:t xml:space="preserve"> substitution therapy in acutely critically ill patients, the benefits of continued lonapegsomatropin treatment in this situation should be weighed against the potential risks involved. In all patients developing other or similar acute critical illness, the possible benefit of treatment with lonapegsomatropin must be weighed against the potential risk involved.</w:t>
      </w:r>
      <w:r w:rsidR="00F93A39">
        <w:rPr>
          <w:b w:val="0"/>
          <w:bCs w:val="0"/>
        </w:rPr>
        <w:fldChar w:fldCharType="begin"/>
      </w:r>
      <w:r w:rsidR="00F93A39">
        <w:rPr>
          <w:b w:val="0"/>
          <w:bCs w:val="0"/>
        </w:rPr>
        <w:instrText xml:space="preserve"> DOCVARIABLE vault_nd_c75a5962-648b-41c0-a847-c9aefa472813 \* MERGEFORMAT </w:instrText>
      </w:r>
      <w:r w:rsidR="00F93A39">
        <w:rPr>
          <w:b w:val="0"/>
          <w:bCs w:val="0"/>
        </w:rPr>
        <w:fldChar w:fldCharType="separate"/>
      </w:r>
      <w:r w:rsidR="00F93A39">
        <w:rPr>
          <w:b w:val="0"/>
          <w:bCs w:val="0"/>
        </w:rPr>
        <w:t xml:space="preserve"> </w:t>
      </w:r>
      <w:r w:rsidR="00F93A39">
        <w:rPr>
          <w:b w:val="0"/>
          <w:bCs w:val="0"/>
        </w:rPr>
        <w:fldChar w:fldCharType="end"/>
      </w:r>
    </w:p>
    <w:p w14:paraId="031FC308" w14:textId="21FC3F1F" w:rsidR="00634D1F" w:rsidRPr="001567B6" w:rsidRDefault="00634D1F" w:rsidP="00A73D97">
      <w:pPr>
        <w:ind w:right="-63"/>
        <w:rPr>
          <w:rFonts w:asciiTheme="majorHAnsi" w:hAnsiTheme="majorHAnsi"/>
          <w:b/>
          <w:bCs/>
        </w:rPr>
      </w:pPr>
      <w:r w:rsidRPr="001567B6">
        <w:rPr>
          <w:rFonts w:asciiTheme="majorHAnsi" w:hAnsiTheme="majorHAnsi"/>
          <w:b/>
          <w:bCs/>
        </w:rPr>
        <w:t>Neoplasm</w:t>
      </w:r>
    </w:p>
    <w:p w14:paraId="630DCBF5" w14:textId="77777777" w:rsidR="00634D1F" w:rsidRPr="00733D84" w:rsidRDefault="00634D1F" w:rsidP="00A73D97">
      <w:pPr>
        <w:ind w:right="-63"/>
        <w:rPr>
          <w:rFonts w:asciiTheme="majorHAnsi" w:hAnsiTheme="majorHAnsi"/>
        </w:rPr>
      </w:pPr>
      <w:r w:rsidRPr="00733D84">
        <w:rPr>
          <w:rFonts w:asciiTheme="majorHAnsi" w:hAnsiTheme="majorHAnsi"/>
        </w:rPr>
        <w:t>In patients with previous malignant disease, special attention should be given to signs and symptoms of relapse.</w:t>
      </w:r>
    </w:p>
    <w:p w14:paraId="23564F3F" w14:textId="77777777" w:rsidR="00634D1F" w:rsidRPr="00733D84" w:rsidRDefault="00634D1F" w:rsidP="00A73D97">
      <w:pPr>
        <w:ind w:right="-63"/>
        <w:rPr>
          <w:rFonts w:asciiTheme="majorHAnsi" w:hAnsiTheme="majorHAnsi"/>
        </w:rPr>
      </w:pPr>
      <w:r w:rsidRPr="00733D84">
        <w:rPr>
          <w:rFonts w:asciiTheme="majorHAnsi" w:hAnsiTheme="majorHAnsi"/>
        </w:rPr>
        <w:t>Patients with pre</w:t>
      </w:r>
      <w:r w:rsidRPr="00733D84">
        <w:rPr>
          <w:rFonts w:asciiTheme="majorHAnsi" w:hAnsiTheme="majorHAnsi"/>
        </w:rPr>
        <w:noBreakHyphen/>
        <w:t>existing tumours or GHD secondary to an intracranial lesion should be examined routinely for progression or recurrence of the underlying disease process.</w:t>
      </w:r>
    </w:p>
    <w:p w14:paraId="412AE42D" w14:textId="77777777" w:rsidR="00634D1F" w:rsidRPr="00733D84" w:rsidRDefault="00634D1F" w:rsidP="00A73D97">
      <w:pPr>
        <w:ind w:right="-63"/>
        <w:rPr>
          <w:rFonts w:asciiTheme="majorHAnsi" w:hAnsiTheme="majorHAnsi"/>
        </w:rPr>
      </w:pPr>
      <w:r w:rsidRPr="00733D84">
        <w:rPr>
          <w:rFonts w:asciiTheme="majorHAnsi" w:hAnsiTheme="majorHAnsi"/>
        </w:rPr>
        <w:t xml:space="preserve">In childhood cancer survivors, an increased risk of a second neoplasm has been reported in patients treated with growth hormone after their first neoplasm. Intracranial tumours, </w:t>
      </w:r>
      <w:proofErr w:type="gramStart"/>
      <w:r w:rsidRPr="00733D84">
        <w:rPr>
          <w:rFonts w:asciiTheme="majorHAnsi" w:hAnsiTheme="majorHAnsi"/>
        </w:rPr>
        <w:t>in particular</w:t>
      </w:r>
      <w:proofErr w:type="gramEnd"/>
      <w:r w:rsidRPr="00733D84">
        <w:rPr>
          <w:rFonts w:asciiTheme="majorHAnsi" w:hAnsiTheme="majorHAnsi"/>
        </w:rPr>
        <w:t xml:space="preserve"> meningiomas, were the most common form of a second neoplasm reported in patients treated with radiation to the head for their first neoplasm.</w:t>
      </w:r>
    </w:p>
    <w:p w14:paraId="49E30932" w14:textId="650E5E0D" w:rsidR="00634D1F" w:rsidRPr="001567B6" w:rsidRDefault="00634D1F" w:rsidP="00A73D97">
      <w:pPr>
        <w:ind w:right="-63"/>
        <w:rPr>
          <w:rFonts w:asciiTheme="majorHAnsi" w:hAnsiTheme="majorHAnsi"/>
          <w:b/>
          <w:bCs/>
        </w:rPr>
      </w:pPr>
      <w:r w:rsidRPr="001567B6">
        <w:rPr>
          <w:rFonts w:asciiTheme="majorHAnsi" w:hAnsiTheme="majorHAnsi"/>
          <w:b/>
          <w:bCs/>
        </w:rPr>
        <w:t>Hypersensitivity</w:t>
      </w:r>
    </w:p>
    <w:p w14:paraId="508468B9" w14:textId="77777777" w:rsidR="00634D1F" w:rsidRPr="00733D84" w:rsidRDefault="00634D1F" w:rsidP="00A73D97">
      <w:pPr>
        <w:ind w:right="-63"/>
        <w:rPr>
          <w:rFonts w:asciiTheme="majorHAnsi" w:hAnsiTheme="majorHAnsi"/>
        </w:rPr>
      </w:pPr>
      <w:r w:rsidRPr="00733D84">
        <w:rPr>
          <w:rFonts w:asciiTheme="majorHAnsi" w:hAnsiTheme="majorHAnsi"/>
        </w:rPr>
        <w:t xml:space="preserve">Anaphylactic reactions including angioedema have been reported with the use of lonapegsomatropin. </w:t>
      </w:r>
    </w:p>
    <w:p w14:paraId="02B2531C" w14:textId="77777777" w:rsidR="00634D1F" w:rsidRPr="00733D84" w:rsidRDefault="00634D1F" w:rsidP="00A73D97">
      <w:pPr>
        <w:ind w:right="-63"/>
        <w:rPr>
          <w:rFonts w:asciiTheme="majorHAnsi" w:hAnsiTheme="majorHAnsi"/>
        </w:rPr>
      </w:pPr>
      <w:r w:rsidRPr="00733D84">
        <w:rPr>
          <w:rFonts w:asciiTheme="majorHAnsi" w:hAnsiTheme="majorHAnsi"/>
        </w:rPr>
        <w:t xml:space="preserve">Inform patients and caregivers that such reactions can occur, particularly after first dose, and that prompt medical attention should be sought if a sudden serious hypersensitivity reaction occurs. </w:t>
      </w:r>
    </w:p>
    <w:p w14:paraId="0E2AFABE" w14:textId="77777777" w:rsidR="00634D1F" w:rsidRPr="00733D84" w:rsidRDefault="00634D1F" w:rsidP="00A73D97">
      <w:pPr>
        <w:ind w:right="-63"/>
        <w:rPr>
          <w:rFonts w:asciiTheme="majorHAnsi" w:hAnsiTheme="majorHAnsi"/>
        </w:rPr>
      </w:pPr>
      <w:r w:rsidRPr="00733D84">
        <w:rPr>
          <w:rFonts w:asciiTheme="majorHAnsi" w:hAnsiTheme="majorHAnsi"/>
        </w:rPr>
        <w:t>If a hypersensitivity reaction occurs, the use of lonapegsomatropin should be discontinued (see section 4.3).</w:t>
      </w:r>
    </w:p>
    <w:p w14:paraId="78154457" w14:textId="733B1819" w:rsidR="00634D1F" w:rsidRPr="001567B6" w:rsidRDefault="00634D1F" w:rsidP="00A73D97">
      <w:pPr>
        <w:ind w:right="-63"/>
        <w:rPr>
          <w:rFonts w:asciiTheme="majorHAnsi" w:hAnsiTheme="majorHAnsi"/>
          <w:b/>
          <w:bCs/>
        </w:rPr>
      </w:pPr>
      <w:r w:rsidRPr="001567B6">
        <w:rPr>
          <w:rFonts w:asciiTheme="majorHAnsi" w:hAnsiTheme="majorHAnsi"/>
          <w:b/>
          <w:bCs/>
        </w:rPr>
        <w:t>Benign intracranial hypertension</w:t>
      </w:r>
    </w:p>
    <w:p w14:paraId="09985778" w14:textId="77777777" w:rsidR="00634D1F" w:rsidRPr="00733D84" w:rsidRDefault="00634D1F" w:rsidP="00A73D97">
      <w:pPr>
        <w:ind w:right="-63"/>
        <w:rPr>
          <w:rFonts w:asciiTheme="majorHAnsi" w:hAnsiTheme="majorHAnsi"/>
        </w:rPr>
      </w:pPr>
      <w:r w:rsidRPr="00733D84">
        <w:rPr>
          <w:rFonts w:asciiTheme="majorHAnsi" w:hAnsiTheme="majorHAnsi"/>
        </w:rPr>
        <w:lastRenderedPageBreak/>
        <w:t xml:space="preserve">In case of severe or recurrent ataxia, headache, visual problems, nausea and/or vomiting, a </w:t>
      </w:r>
      <w:proofErr w:type="spellStart"/>
      <w:r w:rsidRPr="00733D84">
        <w:rPr>
          <w:rFonts w:asciiTheme="majorHAnsi" w:hAnsiTheme="majorHAnsi"/>
        </w:rPr>
        <w:t>funduscopy</w:t>
      </w:r>
      <w:proofErr w:type="spellEnd"/>
      <w:r w:rsidRPr="00733D84">
        <w:rPr>
          <w:rFonts w:asciiTheme="majorHAnsi" w:hAnsiTheme="majorHAnsi"/>
        </w:rPr>
        <w:t xml:space="preserve"> for </w:t>
      </w:r>
      <w:proofErr w:type="spellStart"/>
      <w:r w:rsidRPr="00733D84">
        <w:rPr>
          <w:rFonts w:asciiTheme="majorHAnsi" w:hAnsiTheme="majorHAnsi"/>
        </w:rPr>
        <w:t>papilloedema</w:t>
      </w:r>
      <w:proofErr w:type="spellEnd"/>
      <w:r w:rsidRPr="00733D84">
        <w:rPr>
          <w:rFonts w:asciiTheme="majorHAnsi" w:hAnsiTheme="majorHAnsi"/>
        </w:rPr>
        <w:t xml:space="preserve"> is recommended. If </w:t>
      </w:r>
      <w:proofErr w:type="spellStart"/>
      <w:r w:rsidRPr="00733D84">
        <w:rPr>
          <w:rFonts w:asciiTheme="majorHAnsi" w:hAnsiTheme="majorHAnsi"/>
        </w:rPr>
        <w:t>papilloedema</w:t>
      </w:r>
      <w:proofErr w:type="spellEnd"/>
      <w:r w:rsidRPr="00733D84">
        <w:rPr>
          <w:rFonts w:asciiTheme="majorHAnsi" w:hAnsiTheme="majorHAnsi"/>
        </w:rPr>
        <w:t xml:space="preserve"> is confirmed, a diagnosis of benign intracranial hypertension should be considered and, if appropriate, growth hormone treatment should be discontinued. At present there is insufficient evidence to give specific advice on the continuation of growth hormone treatment in patients with resolved intracranial hypertension. If growth hormone treatment is restarted, careful monitoring for symptoms of intracranial hypertension is necessary. Funduscopic examination is recommended at the initiation and periodically </w:t>
      </w:r>
      <w:proofErr w:type="gramStart"/>
      <w:r w:rsidRPr="00733D84">
        <w:rPr>
          <w:rFonts w:asciiTheme="majorHAnsi" w:hAnsiTheme="majorHAnsi"/>
        </w:rPr>
        <w:t>during the course of</w:t>
      </w:r>
      <w:proofErr w:type="gramEnd"/>
      <w:r w:rsidRPr="00733D84">
        <w:rPr>
          <w:rFonts w:asciiTheme="majorHAnsi" w:hAnsiTheme="majorHAnsi"/>
        </w:rPr>
        <w:t xml:space="preserve"> treatment.</w:t>
      </w:r>
    </w:p>
    <w:p w14:paraId="6D0F05D2" w14:textId="3D186F31" w:rsidR="00634D1F" w:rsidRPr="001567B6" w:rsidRDefault="00634D1F" w:rsidP="00A73D97">
      <w:pPr>
        <w:ind w:right="-63"/>
        <w:rPr>
          <w:rFonts w:asciiTheme="majorHAnsi" w:hAnsiTheme="majorHAnsi"/>
          <w:b/>
          <w:bCs/>
        </w:rPr>
      </w:pPr>
      <w:r w:rsidRPr="001567B6">
        <w:rPr>
          <w:rFonts w:asciiTheme="majorHAnsi" w:hAnsiTheme="majorHAnsi"/>
          <w:b/>
          <w:bCs/>
        </w:rPr>
        <w:t>Insulin sensitivity</w:t>
      </w:r>
    </w:p>
    <w:p w14:paraId="04A7AE90" w14:textId="77777777" w:rsidR="00634D1F" w:rsidRPr="00733D84" w:rsidRDefault="00634D1F" w:rsidP="00A73D97">
      <w:pPr>
        <w:ind w:right="-63"/>
        <w:rPr>
          <w:rFonts w:asciiTheme="majorHAnsi" w:hAnsiTheme="majorHAnsi"/>
        </w:rPr>
      </w:pPr>
      <w:r w:rsidRPr="00733D84">
        <w:rPr>
          <w:rFonts w:asciiTheme="majorHAnsi" w:hAnsiTheme="majorHAnsi"/>
        </w:rPr>
        <w:t>Growth hormone may reduce insulin sensitivity. For patients with diabetes mellitus, the insulin dose may require adjustment after lonapegsomatropin therapy is instituted. Patients with diabetes mellitus, glucose intolerance, or additional risk factors for diabetes mellitus should be monitored closely during lonapegsomatropin therapy (see section 4.5).</w:t>
      </w:r>
    </w:p>
    <w:p w14:paraId="54576842" w14:textId="6D6E8B3B" w:rsidR="00634D1F" w:rsidRPr="001567B6" w:rsidRDefault="00634D1F" w:rsidP="00A73D97">
      <w:pPr>
        <w:ind w:right="-63"/>
        <w:rPr>
          <w:rFonts w:asciiTheme="majorHAnsi" w:hAnsiTheme="majorHAnsi"/>
          <w:b/>
          <w:bCs/>
        </w:rPr>
      </w:pPr>
      <w:r w:rsidRPr="001567B6">
        <w:rPr>
          <w:rFonts w:asciiTheme="majorHAnsi" w:hAnsiTheme="majorHAnsi"/>
          <w:b/>
          <w:bCs/>
        </w:rPr>
        <w:t>Hypoadrenalism</w:t>
      </w:r>
    </w:p>
    <w:p w14:paraId="2C2D25DB" w14:textId="77777777" w:rsidR="00634D1F" w:rsidRPr="00733D84" w:rsidRDefault="00634D1F" w:rsidP="00A73D97">
      <w:pPr>
        <w:ind w:right="-63"/>
        <w:rPr>
          <w:rFonts w:asciiTheme="majorHAnsi" w:hAnsiTheme="majorHAnsi"/>
        </w:rPr>
      </w:pPr>
      <w:r w:rsidRPr="00733D84">
        <w:rPr>
          <w:rFonts w:asciiTheme="majorHAnsi" w:hAnsiTheme="majorHAnsi"/>
        </w:rPr>
        <w:t>Introduction of growth hormone treatment may result in inhibition of 11β</w:t>
      </w:r>
      <w:r w:rsidRPr="00733D84">
        <w:rPr>
          <w:rFonts w:asciiTheme="majorHAnsi" w:hAnsiTheme="majorHAnsi"/>
        </w:rPr>
        <w:noBreakHyphen/>
        <w:t>Hydroxysteroid dehydrogenase type 1 (11βHSD</w:t>
      </w:r>
      <w:r w:rsidRPr="00733D84">
        <w:rPr>
          <w:rFonts w:asciiTheme="majorHAnsi" w:hAnsiTheme="majorHAnsi"/>
        </w:rPr>
        <w:noBreakHyphen/>
        <w:t>1) and reduced serum cortisol concentrations. Consequently, previously undiagnosed central (secondary) hypoadrenalism may be unmasked and glucocorticoid replacement may be required. In addition, patients treated with glucocorticoid replacement therapy for previously diagnosed hypoadrenalism may require an increase in their maintenance or stress doses, following initiation of lonapegsomatropin treatment (see section 4.5).</w:t>
      </w:r>
    </w:p>
    <w:p w14:paraId="5F5CD7CC" w14:textId="44E04DDF" w:rsidR="00634D1F" w:rsidRPr="001567B6" w:rsidRDefault="00634D1F" w:rsidP="00A73D97">
      <w:pPr>
        <w:ind w:right="-63"/>
        <w:rPr>
          <w:rFonts w:asciiTheme="majorHAnsi" w:hAnsiTheme="majorHAnsi"/>
          <w:b/>
          <w:bCs/>
        </w:rPr>
      </w:pPr>
      <w:r w:rsidRPr="001567B6">
        <w:rPr>
          <w:rFonts w:asciiTheme="majorHAnsi" w:hAnsiTheme="majorHAnsi"/>
          <w:b/>
          <w:bCs/>
        </w:rPr>
        <w:t>Thyroid function</w:t>
      </w:r>
    </w:p>
    <w:p w14:paraId="47516C9D" w14:textId="77777777" w:rsidR="002342B5" w:rsidRPr="00733D84" w:rsidRDefault="00634D1F" w:rsidP="00A73D97">
      <w:pPr>
        <w:ind w:right="-63"/>
        <w:rPr>
          <w:rFonts w:asciiTheme="majorHAnsi" w:hAnsiTheme="majorHAnsi"/>
        </w:rPr>
      </w:pPr>
      <w:r w:rsidRPr="00733D84">
        <w:rPr>
          <w:rFonts w:asciiTheme="majorHAnsi" w:hAnsiTheme="majorHAnsi"/>
        </w:rPr>
        <w:t>Growth hormone increases the extrathyroidal conversion of T4 to T3 which may result in a reduction in serum T4 and an increase in serum T3 concentrations. Monitoring of thyroid function should therefore be conducted in all patients. In patients with hypopituitarism on standard replacement</w:t>
      </w:r>
      <w:r w:rsidR="002342B5" w:rsidRPr="00733D84">
        <w:rPr>
          <w:rFonts w:asciiTheme="majorHAnsi" w:hAnsiTheme="majorHAnsi"/>
        </w:rPr>
        <w:t xml:space="preserve"> therapy, the potential effect of lonapegsomatropin treatment on thyroid function must be closely monitored (see section 4.5 and 4.8).</w:t>
      </w:r>
    </w:p>
    <w:p w14:paraId="0ACE0BE4" w14:textId="115A2C71" w:rsidR="002342B5" w:rsidRPr="005A1833" w:rsidRDefault="002342B5" w:rsidP="00A73D97">
      <w:pPr>
        <w:ind w:right="-63"/>
        <w:rPr>
          <w:rFonts w:asciiTheme="majorHAnsi" w:hAnsiTheme="majorHAnsi" w:cs="Times New Roman"/>
          <w:b/>
          <w:bCs/>
        </w:rPr>
      </w:pPr>
      <w:r w:rsidRPr="005A1833">
        <w:rPr>
          <w:rFonts w:asciiTheme="majorHAnsi" w:hAnsiTheme="majorHAnsi" w:cs="Times New Roman"/>
          <w:b/>
          <w:bCs/>
        </w:rPr>
        <w:t>Slipped capital femoral epiphysis</w:t>
      </w:r>
      <w:r w:rsidR="00AE7EA2" w:rsidRPr="005A1833">
        <w:rPr>
          <w:rFonts w:asciiTheme="majorHAnsi" w:hAnsiTheme="majorHAnsi" w:cs="Times New Roman"/>
          <w:b/>
          <w:bCs/>
        </w:rPr>
        <w:t xml:space="preserve"> and osteonecrosis</w:t>
      </w:r>
    </w:p>
    <w:p w14:paraId="3EA56EC2" w14:textId="6567420A" w:rsidR="002342B5" w:rsidRPr="005A1833" w:rsidRDefault="002342B5" w:rsidP="00A73D97">
      <w:pPr>
        <w:ind w:right="-63"/>
        <w:rPr>
          <w:rFonts w:asciiTheme="majorHAnsi" w:hAnsiTheme="majorHAnsi"/>
        </w:rPr>
      </w:pPr>
      <w:r w:rsidRPr="005A1833">
        <w:rPr>
          <w:rFonts w:asciiTheme="majorHAnsi" w:hAnsiTheme="majorHAnsi"/>
        </w:rPr>
        <w:t xml:space="preserve">In patients with endocrine disorders, including GHD, slipped epiphyses of the hip may occur more </w:t>
      </w:r>
      <w:r w:rsidRPr="005A1833">
        <w:rPr>
          <w:rFonts w:asciiTheme="majorHAnsi" w:hAnsiTheme="majorHAnsi" w:cs="Times New Roman"/>
        </w:rPr>
        <w:t xml:space="preserve">frequently than in the general population. </w:t>
      </w:r>
      <w:r w:rsidR="00AE7EA2" w:rsidRPr="005A1833">
        <w:rPr>
          <w:rFonts w:asciiTheme="majorHAnsi" w:hAnsiTheme="majorHAnsi" w:cs="Times New Roman"/>
        </w:rPr>
        <w:t xml:space="preserve">Osteonecrosis has been reported in patients treated with other growth hormone products.  </w:t>
      </w:r>
      <w:r w:rsidRPr="005A1833">
        <w:rPr>
          <w:rFonts w:asciiTheme="majorHAnsi" w:hAnsiTheme="majorHAnsi" w:cs="Times New Roman"/>
        </w:rPr>
        <w:t>Children with persistent hip/knee pain and/or limping during treatment with</w:t>
      </w:r>
      <w:r w:rsidRPr="005A1833">
        <w:rPr>
          <w:rFonts w:asciiTheme="majorHAnsi" w:hAnsiTheme="majorHAnsi"/>
        </w:rPr>
        <w:t xml:space="preserve"> lonapegsomatropin should be examined clinically.</w:t>
      </w:r>
    </w:p>
    <w:p w14:paraId="170D683F" w14:textId="76634463" w:rsidR="002342B5" w:rsidRPr="00F75674" w:rsidRDefault="002342B5" w:rsidP="00F75674">
      <w:pPr>
        <w:rPr>
          <w:rFonts w:asciiTheme="majorHAnsi" w:hAnsiTheme="majorHAnsi"/>
          <w:b/>
          <w:bCs/>
        </w:rPr>
      </w:pPr>
      <w:r w:rsidRPr="00F75674">
        <w:rPr>
          <w:rFonts w:asciiTheme="majorHAnsi" w:hAnsiTheme="majorHAnsi"/>
          <w:b/>
          <w:bCs/>
        </w:rPr>
        <w:t>Scoliosis</w:t>
      </w:r>
    </w:p>
    <w:p w14:paraId="548169CC" w14:textId="77777777" w:rsidR="002342B5" w:rsidRPr="00733D84" w:rsidRDefault="002342B5" w:rsidP="00A73D97">
      <w:pPr>
        <w:ind w:right="-63"/>
        <w:rPr>
          <w:rFonts w:asciiTheme="majorHAnsi" w:hAnsiTheme="majorHAnsi"/>
        </w:rPr>
      </w:pPr>
      <w:r w:rsidRPr="00733D84">
        <w:rPr>
          <w:rFonts w:asciiTheme="majorHAnsi" w:hAnsiTheme="majorHAnsi"/>
        </w:rPr>
        <w:t>Scoliosis may progress in any child during rapid growth. Because growth hormone treatment increases growth rate, signs and progression of scoliosis should be monitored during treatment. However, growth hormone treatment has not been shown to increase the incidence or severity of scoliosis (see section 4.8).</w:t>
      </w:r>
    </w:p>
    <w:p w14:paraId="2AC5203D" w14:textId="594370FD" w:rsidR="002342B5" w:rsidRPr="001567B6" w:rsidRDefault="002342B5" w:rsidP="00A73D97">
      <w:pPr>
        <w:ind w:right="-63"/>
        <w:rPr>
          <w:rFonts w:asciiTheme="majorHAnsi" w:hAnsiTheme="majorHAnsi"/>
          <w:b/>
          <w:bCs/>
        </w:rPr>
      </w:pPr>
      <w:r w:rsidRPr="001567B6">
        <w:rPr>
          <w:rFonts w:asciiTheme="majorHAnsi" w:hAnsiTheme="majorHAnsi"/>
          <w:b/>
          <w:bCs/>
        </w:rPr>
        <w:t>Pancreatitis</w:t>
      </w:r>
    </w:p>
    <w:p w14:paraId="314CCCE2" w14:textId="77777777" w:rsidR="002342B5" w:rsidRPr="00733D84" w:rsidRDefault="002342B5" w:rsidP="00A73D97">
      <w:pPr>
        <w:ind w:right="-63"/>
        <w:rPr>
          <w:rFonts w:asciiTheme="majorHAnsi" w:hAnsiTheme="majorHAnsi"/>
        </w:rPr>
      </w:pPr>
      <w:r w:rsidRPr="00733D84">
        <w:rPr>
          <w:rFonts w:asciiTheme="majorHAnsi" w:hAnsiTheme="majorHAnsi"/>
        </w:rPr>
        <w:t>Although rare, pancreatitis should be considered in growth hormone treated children who develop unexplained abdominal pain.</w:t>
      </w:r>
    </w:p>
    <w:p w14:paraId="03F6F05A" w14:textId="0B5290D3" w:rsidR="002342B5" w:rsidRPr="001567B6" w:rsidRDefault="002342B5" w:rsidP="00A73D97">
      <w:pPr>
        <w:ind w:right="-63"/>
        <w:rPr>
          <w:rFonts w:asciiTheme="majorHAnsi" w:hAnsiTheme="majorHAnsi"/>
          <w:b/>
          <w:bCs/>
        </w:rPr>
      </w:pPr>
      <w:r w:rsidRPr="001567B6">
        <w:rPr>
          <w:rFonts w:asciiTheme="majorHAnsi" w:hAnsiTheme="majorHAnsi"/>
          <w:b/>
          <w:bCs/>
        </w:rPr>
        <w:lastRenderedPageBreak/>
        <w:t>Prader</w:t>
      </w:r>
      <w:r w:rsidRPr="001567B6">
        <w:rPr>
          <w:rFonts w:asciiTheme="majorHAnsi" w:hAnsiTheme="majorHAnsi"/>
          <w:b/>
          <w:bCs/>
        </w:rPr>
        <w:noBreakHyphen/>
        <w:t>Willi syndrome</w:t>
      </w:r>
    </w:p>
    <w:p w14:paraId="50FD5E59" w14:textId="77777777" w:rsidR="002342B5" w:rsidRPr="00733D84" w:rsidRDefault="002342B5" w:rsidP="00A73D97">
      <w:pPr>
        <w:ind w:right="-63"/>
        <w:rPr>
          <w:rFonts w:asciiTheme="majorHAnsi" w:hAnsiTheme="majorHAnsi"/>
        </w:rPr>
      </w:pPr>
      <w:r w:rsidRPr="00733D84">
        <w:rPr>
          <w:rFonts w:asciiTheme="majorHAnsi" w:hAnsiTheme="majorHAnsi"/>
        </w:rPr>
        <w:t>Lonapegsomatropin has not been studied in patients with Prader</w:t>
      </w:r>
      <w:r w:rsidRPr="00733D84">
        <w:rPr>
          <w:rFonts w:asciiTheme="majorHAnsi" w:hAnsiTheme="majorHAnsi"/>
        </w:rPr>
        <w:noBreakHyphen/>
        <w:t>Willi syndrome. Lonapegsomatropin is not indicated for the long</w:t>
      </w:r>
      <w:r w:rsidRPr="00733D84">
        <w:rPr>
          <w:rFonts w:asciiTheme="majorHAnsi" w:hAnsiTheme="majorHAnsi"/>
        </w:rPr>
        <w:noBreakHyphen/>
        <w:t>term treatment of paediatric patients who have growth failure due to genetically confirmed Prader</w:t>
      </w:r>
      <w:r w:rsidRPr="00733D84">
        <w:rPr>
          <w:rFonts w:asciiTheme="majorHAnsi" w:hAnsiTheme="majorHAnsi"/>
        </w:rPr>
        <w:noBreakHyphen/>
        <w:t>Willi syndrome unless they also have a diagnosis of GHD. There have been reports of sudden death after initiating therapy with growth hormone in patients with Prader</w:t>
      </w:r>
      <w:r w:rsidRPr="00733D84">
        <w:rPr>
          <w:rFonts w:asciiTheme="majorHAnsi" w:hAnsiTheme="majorHAnsi"/>
        </w:rPr>
        <w:noBreakHyphen/>
        <w:t>Willi syndrome who had one or more of the following risk factors: severe obesity, history of upper airway obstruction or sleep apnoea, or unidentified respiratory infection.</w:t>
      </w:r>
    </w:p>
    <w:p w14:paraId="1F0E5C05" w14:textId="798AAC3D" w:rsidR="002342B5" w:rsidRPr="001567B6" w:rsidRDefault="002342B5" w:rsidP="00A73D97">
      <w:pPr>
        <w:ind w:right="-63"/>
        <w:rPr>
          <w:rFonts w:asciiTheme="majorHAnsi" w:hAnsiTheme="majorHAnsi"/>
          <w:b/>
          <w:bCs/>
        </w:rPr>
      </w:pPr>
      <w:r w:rsidRPr="00BD6357">
        <w:rPr>
          <w:rFonts w:asciiTheme="majorHAnsi" w:hAnsiTheme="majorHAnsi"/>
          <w:b/>
          <w:bCs/>
        </w:rPr>
        <w:t>Leukaemia</w:t>
      </w:r>
    </w:p>
    <w:p w14:paraId="10167CB6" w14:textId="77777777" w:rsidR="002342B5" w:rsidRPr="005A1833" w:rsidRDefault="002342B5" w:rsidP="00A73D97">
      <w:pPr>
        <w:ind w:right="-63"/>
        <w:rPr>
          <w:rFonts w:asciiTheme="majorHAnsi" w:hAnsiTheme="majorHAnsi"/>
        </w:rPr>
      </w:pPr>
      <w:r w:rsidRPr="005A1833">
        <w:rPr>
          <w:rFonts w:asciiTheme="majorHAnsi" w:hAnsiTheme="majorHAnsi"/>
        </w:rPr>
        <w:t>Leukaemia has been reported in a small number of GHD patients, some of whom have been treated with somatropin. However, there is no evidence that the leukaemia incidence is increased in growth hormone recipients without predisposing factors.</w:t>
      </w:r>
    </w:p>
    <w:p w14:paraId="28F49152" w14:textId="57FEAC33" w:rsidR="002342B5" w:rsidRPr="005A1833" w:rsidRDefault="002342B5" w:rsidP="00A73D97">
      <w:pPr>
        <w:ind w:right="-63"/>
        <w:rPr>
          <w:rFonts w:asciiTheme="majorHAnsi" w:hAnsiTheme="majorHAnsi"/>
          <w:b/>
          <w:bCs/>
        </w:rPr>
      </w:pPr>
      <w:r w:rsidRPr="005A1833">
        <w:rPr>
          <w:rFonts w:asciiTheme="majorHAnsi" w:hAnsiTheme="majorHAnsi"/>
          <w:b/>
          <w:bCs/>
        </w:rPr>
        <w:t>Use with oral oestrogen containing therapy</w:t>
      </w:r>
    </w:p>
    <w:p w14:paraId="121E9E19" w14:textId="77777777" w:rsidR="002342B5" w:rsidRPr="005A1833" w:rsidRDefault="002342B5" w:rsidP="00A73D97">
      <w:pPr>
        <w:ind w:right="-63"/>
        <w:rPr>
          <w:rFonts w:asciiTheme="majorHAnsi" w:hAnsiTheme="majorHAnsi"/>
        </w:rPr>
      </w:pPr>
      <w:r w:rsidRPr="005A1833">
        <w:rPr>
          <w:rFonts w:asciiTheme="majorHAnsi" w:hAnsiTheme="majorHAnsi"/>
        </w:rPr>
        <w:t>Oral oestrogen influences the IGF</w:t>
      </w:r>
      <w:r w:rsidRPr="005A1833">
        <w:rPr>
          <w:rFonts w:asciiTheme="majorHAnsi" w:hAnsiTheme="majorHAnsi"/>
        </w:rPr>
        <w:noBreakHyphen/>
        <w:t>1 response to growth hormone. If a female patient taking lonapegsomatropin begins oral oestrogen containing therapy, the dose of lonapegsomatropin may need to be increased to maintain the serum IGF</w:t>
      </w:r>
      <w:r w:rsidRPr="005A1833">
        <w:rPr>
          <w:rFonts w:asciiTheme="majorHAnsi" w:hAnsiTheme="majorHAnsi"/>
        </w:rPr>
        <w:noBreakHyphen/>
        <w:t xml:space="preserve">1 levels within the normal </w:t>
      </w:r>
      <w:proofErr w:type="gramStart"/>
      <w:r w:rsidRPr="005A1833">
        <w:rPr>
          <w:rFonts w:asciiTheme="majorHAnsi" w:hAnsiTheme="majorHAnsi"/>
        </w:rPr>
        <w:t>age appropriate</w:t>
      </w:r>
      <w:proofErr w:type="gramEnd"/>
      <w:r w:rsidRPr="005A1833">
        <w:rPr>
          <w:rFonts w:asciiTheme="majorHAnsi" w:hAnsiTheme="majorHAnsi"/>
        </w:rPr>
        <w:t xml:space="preserve"> range (see section 4.2). Conversely, if a female patient on lonapegsomatropin discontinues oral oestrogen containing therapy, the dose of lonapegsomatropin may need to be reduced to avoid excess of growth hormone and/or adverse reactions (see section 4.5).</w:t>
      </w:r>
    </w:p>
    <w:p w14:paraId="18D16AF3" w14:textId="60210D19" w:rsidR="002342B5" w:rsidRPr="005A1833" w:rsidRDefault="002342B5" w:rsidP="00A73D97">
      <w:pPr>
        <w:ind w:right="-63"/>
        <w:rPr>
          <w:rFonts w:asciiTheme="majorHAnsi" w:hAnsiTheme="majorHAnsi"/>
          <w:b/>
        </w:rPr>
      </w:pPr>
      <w:r w:rsidRPr="005A1833">
        <w:rPr>
          <w:rFonts w:asciiTheme="majorHAnsi" w:hAnsiTheme="majorHAnsi"/>
          <w:b/>
        </w:rPr>
        <w:t>Antibodies</w:t>
      </w:r>
    </w:p>
    <w:p w14:paraId="13E43292" w14:textId="129EEFFE" w:rsidR="00342A24" w:rsidRPr="005A1833" w:rsidRDefault="002342B5" w:rsidP="00A73D97">
      <w:pPr>
        <w:ind w:right="-63"/>
        <w:rPr>
          <w:rFonts w:asciiTheme="majorHAnsi" w:hAnsiTheme="majorHAnsi"/>
          <w:bCs/>
        </w:rPr>
      </w:pPr>
      <w:r w:rsidRPr="005A1833">
        <w:rPr>
          <w:rFonts w:asciiTheme="majorHAnsi" w:hAnsiTheme="majorHAnsi"/>
          <w:bCs/>
        </w:rPr>
        <w:t>Antibodies to lonapegsomatropin were observed in some patients. None of these antibodies were neutralising and there was no apparent clinical impact. However, testing for the presence of antibodies should be considered in patients who fail to respond to therapy.</w:t>
      </w:r>
    </w:p>
    <w:p w14:paraId="2D322E3C" w14:textId="117EEF57" w:rsidR="002C4189" w:rsidRPr="005A1833" w:rsidRDefault="00FB7D91" w:rsidP="00A73D97">
      <w:pPr>
        <w:pStyle w:val="Heading3"/>
        <w:spacing w:before="0" w:after="120"/>
        <w:ind w:left="0" w:right="-63"/>
        <w:rPr>
          <w:rFonts w:cstheme="minorHAnsi"/>
        </w:rPr>
      </w:pPr>
      <w:r w:rsidRPr="005A1833">
        <w:rPr>
          <w:rFonts w:cstheme="minorHAnsi"/>
        </w:rPr>
        <w:t>Use in the elderly</w:t>
      </w:r>
      <w:r w:rsidR="00F93A39" w:rsidRPr="005A1833">
        <w:rPr>
          <w:rFonts w:cstheme="minorHAnsi"/>
        </w:rPr>
        <w:fldChar w:fldCharType="begin"/>
      </w:r>
      <w:r w:rsidR="00F93A39" w:rsidRPr="005A1833">
        <w:rPr>
          <w:rFonts w:cstheme="minorHAnsi"/>
        </w:rPr>
        <w:instrText xml:space="preserve"> DOCVARIABLE vault_nd_3be4a454-f998-4cd2-b2ca-fa4c02114c96 \* MERGEFORMAT </w:instrText>
      </w:r>
      <w:r w:rsidR="00F93A39" w:rsidRPr="005A1833">
        <w:rPr>
          <w:rFonts w:cstheme="minorHAnsi"/>
        </w:rPr>
        <w:fldChar w:fldCharType="separate"/>
      </w:r>
      <w:r w:rsidR="00F93A39" w:rsidRPr="005A1833">
        <w:rPr>
          <w:rFonts w:cstheme="minorHAnsi"/>
        </w:rPr>
        <w:t xml:space="preserve"> </w:t>
      </w:r>
      <w:r w:rsidR="00F93A39" w:rsidRPr="005A1833">
        <w:rPr>
          <w:rFonts w:cstheme="minorHAnsi"/>
        </w:rPr>
        <w:fldChar w:fldCharType="end"/>
      </w:r>
    </w:p>
    <w:p w14:paraId="43F1A50B" w14:textId="12108F75" w:rsidR="00907F47" w:rsidRPr="005A1833" w:rsidRDefault="00DC131B" w:rsidP="00A73D97">
      <w:pPr>
        <w:ind w:right="-63"/>
        <w:rPr>
          <w:rFonts w:asciiTheme="majorHAnsi" w:hAnsiTheme="majorHAnsi"/>
          <w:highlight w:val="yellow"/>
        </w:rPr>
      </w:pPr>
      <w:r w:rsidRPr="005A1833">
        <w:rPr>
          <w:rFonts w:asciiTheme="majorHAnsi" w:hAnsiTheme="majorHAnsi"/>
          <w:bCs/>
        </w:rPr>
        <w:t xml:space="preserve">No information in </w:t>
      </w:r>
      <w:r w:rsidR="00786CE7" w:rsidRPr="005A1833">
        <w:rPr>
          <w:rFonts w:asciiTheme="majorHAnsi" w:hAnsiTheme="majorHAnsi"/>
          <w:bCs/>
        </w:rPr>
        <w:t xml:space="preserve">the </w:t>
      </w:r>
      <w:r w:rsidRPr="005A1833">
        <w:rPr>
          <w:rFonts w:asciiTheme="majorHAnsi" w:hAnsiTheme="majorHAnsi"/>
          <w:bCs/>
        </w:rPr>
        <w:t>elderly</w:t>
      </w:r>
      <w:r w:rsidR="001B4873" w:rsidRPr="005A1833">
        <w:rPr>
          <w:rFonts w:asciiTheme="majorHAnsi" w:hAnsiTheme="majorHAnsi"/>
          <w:bCs/>
        </w:rPr>
        <w:t xml:space="preserve"> is available</w:t>
      </w:r>
      <w:r w:rsidRPr="005A1833">
        <w:rPr>
          <w:rFonts w:asciiTheme="majorHAnsi" w:hAnsiTheme="majorHAnsi"/>
          <w:bCs/>
        </w:rPr>
        <w:t>.</w:t>
      </w:r>
    </w:p>
    <w:p w14:paraId="06276842" w14:textId="0267DBD5" w:rsidR="002C4189" w:rsidRPr="005A1833" w:rsidRDefault="00FB7D91" w:rsidP="00A73D97">
      <w:pPr>
        <w:pStyle w:val="Heading3"/>
        <w:spacing w:before="0" w:after="120"/>
        <w:ind w:left="0" w:right="-63"/>
        <w:rPr>
          <w:rFonts w:cstheme="minorHAnsi"/>
        </w:rPr>
      </w:pPr>
      <w:r w:rsidRPr="005A1833">
        <w:rPr>
          <w:rFonts w:cstheme="minorHAnsi"/>
        </w:rPr>
        <w:t>Paediatric use</w:t>
      </w:r>
      <w:r w:rsidR="00F93A39" w:rsidRPr="005A1833">
        <w:rPr>
          <w:rFonts w:cstheme="minorHAnsi"/>
        </w:rPr>
        <w:fldChar w:fldCharType="begin"/>
      </w:r>
      <w:r w:rsidR="00F93A39" w:rsidRPr="005A1833">
        <w:rPr>
          <w:rFonts w:cstheme="minorHAnsi"/>
        </w:rPr>
        <w:instrText xml:space="preserve"> DOCVARIABLE vault_nd_c5ad85d5-f1c0-45d7-bd36-83598c109bea \* MERGEFORMAT </w:instrText>
      </w:r>
      <w:r w:rsidR="00F93A39" w:rsidRPr="005A1833">
        <w:rPr>
          <w:rFonts w:cstheme="minorHAnsi"/>
        </w:rPr>
        <w:fldChar w:fldCharType="separate"/>
      </w:r>
      <w:r w:rsidR="00F93A39" w:rsidRPr="005A1833">
        <w:rPr>
          <w:rFonts w:cstheme="minorHAnsi"/>
        </w:rPr>
        <w:t xml:space="preserve"> </w:t>
      </w:r>
      <w:r w:rsidR="00F93A39" w:rsidRPr="005A1833">
        <w:rPr>
          <w:rFonts w:cstheme="minorHAnsi"/>
        </w:rPr>
        <w:fldChar w:fldCharType="end"/>
      </w:r>
    </w:p>
    <w:p w14:paraId="4A503F4A" w14:textId="472F5330" w:rsidR="003E6411" w:rsidRPr="005A1833" w:rsidRDefault="00FB7D91" w:rsidP="00A73D97">
      <w:pPr>
        <w:ind w:right="-63"/>
        <w:rPr>
          <w:rFonts w:asciiTheme="majorHAnsi" w:eastAsiaTheme="majorEastAsia" w:hAnsiTheme="majorHAnsi" w:cstheme="minorHAnsi"/>
        </w:rPr>
      </w:pPr>
      <w:r w:rsidRPr="005A1833">
        <w:rPr>
          <w:rFonts w:asciiTheme="majorHAnsi" w:eastAsiaTheme="majorEastAsia" w:hAnsiTheme="majorHAnsi" w:cstheme="minorHAnsi"/>
        </w:rPr>
        <w:t xml:space="preserve">The safety and </w:t>
      </w:r>
      <w:r w:rsidR="009E4C0F" w:rsidRPr="005A1833">
        <w:rPr>
          <w:rFonts w:asciiTheme="majorHAnsi" w:eastAsiaTheme="majorEastAsia" w:hAnsiTheme="majorHAnsi" w:cstheme="minorHAnsi"/>
        </w:rPr>
        <w:t xml:space="preserve">efficacy </w:t>
      </w:r>
      <w:r w:rsidRPr="005A1833">
        <w:rPr>
          <w:rFonts w:asciiTheme="majorHAnsi" w:eastAsiaTheme="majorEastAsia" w:hAnsiTheme="majorHAnsi" w:cstheme="minorHAnsi"/>
        </w:rPr>
        <w:t xml:space="preserve">of </w:t>
      </w:r>
      <w:r w:rsidR="00304011" w:rsidRPr="005A1833">
        <w:rPr>
          <w:rFonts w:asciiTheme="majorHAnsi" w:eastAsiaTheme="majorEastAsia" w:hAnsiTheme="majorHAnsi" w:cstheme="minorHAnsi"/>
        </w:rPr>
        <w:t>Skytrofa</w:t>
      </w:r>
      <w:r w:rsidRPr="005A1833">
        <w:rPr>
          <w:rFonts w:asciiTheme="majorHAnsi" w:eastAsiaTheme="majorEastAsia" w:hAnsiTheme="majorHAnsi" w:cstheme="minorHAnsi"/>
        </w:rPr>
        <w:t xml:space="preserve"> in </w:t>
      </w:r>
      <w:r w:rsidR="003E6411" w:rsidRPr="005A1833">
        <w:rPr>
          <w:rFonts w:asciiTheme="majorHAnsi" w:eastAsiaTheme="majorEastAsia" w:hAnsiTheme="majorHAnsi" w:cstheme="minorHAnsi"/>
        </w:rPr>
        <w:t xml:space="preserve">children </w:t>
      </w:r>
      <w:r w:rsidR="00AB1F10" w:rsidRPr="005A1833">
        <w:rPr>
          <w:rFonts w:asciiTheme="majorHAnsi" w:eastAsiaTheme="majorEastAsia" w:hAnsiTheme="majorHAnsi" w:cstheme="minorHAnsi"/>
        </w:rPr>
        <w:t>below</w:t>
      </w:r>
      <w:r w:rsidR="003E6411" w:rsidRPr="005A1833">
        <w:rPr>
          <w:rFonts w:asciiTheme="majorHAnsi" w:eastAsiaTheme="majorEastAsia" w:hAnsiTheme="majorHAnsi" w:cstheme="minorHAnsi"/>
        </w:rPr>
        <w:t xml:space="preserve"> </w:t>
      </w:r>
      <w:r w:rsidR="002B3CB8" w:rsidRPr="005A1833">
        <w:rPr>
          <w:rFonts w:asciiTheme="majorHAnsi" w:eastAsiaTheme="majorEastAsia" w:hAnsiTheme="majorHAnsi" w:cstheme="minorHAnsi"/>
        </w:rPr>
        <w:t xml:space="preserve">3 years of age </w:t>
      </w:r>
      <w:r w:rsidRPr="005A1833">
        <w:rPr>
          <w:rFonts w:asciiTheme="majorHAnsi" w:eastAsiaTheme="majorEastAsia" w:hAnsiTheme="majorHAnsi" w:cstheme="minorHAnsi"/>
        </w:rPr>
        <w:t xml:space="preserve">have not been </w:t>
      </w:r>
      <w:proofErr w:type="gramStart"/>
      <w:r w:rsidRPr="005A1833">
        <w:rPr>
          <w:rFonts w:asciiTheme="majorHAnsi" w:eastAsiaTheme="majorEastAsia" w:hAnsiTheme="majorHAnsi" w:cstheme="minorHAnsi"/>
        </w:rPr>
        <w:t>established</w:t>
      </w:r>
      <w:proofErr w:type="gramEnd"/>
      <w:r w:rsidR="002B3CB8" w:rsidRPr="005A1833">
        <w:rPr>
          <w:rFonts w:asciiTheme="majorHAnsi" w:eastAsiaTheme="majorEastAsia" w:hAnsiTheme="majorHAnsi" w:cstheme="minorHAnsi"/>
        </w:rPr>
        <w:t xml:space="preserve"> and dose recommendation </w:t>
      </w:r>
      <w:r w:rsidR="003529EE" w:rsidRPr="005A1833">
        <w:rPr>
          <w:rFonts w:asciiTheme="majorHAnsi" w:eastAsiaTheme="majorEastAsia" w:hAnsiTheme="majorHAnsi" w:cstheme="minorHAnsi"/>
        </w:rPr>
        <w:t>cannot be given</w:t>
      </w:r>
      <w:r w:rsidR="00BE45B0" w:rsidRPr="005A1833">
        <w:rPr>
          <w:rFonts w:asciiTheme="majorHAnsi" w:eastAsiaTheme="majorEastAsia" w:hAnsiTheme="majorHAnsi" w:cstheme="minorHAnsi"/>
        </w:rPr>
        <w:t xml:space="preserve"> </w:t>
      </w:r>
      <w:r w:rsidR="00BE45B0" w:rsidRPr="005A1833">
        <w:rPr>
          <w:rFonts w:asciiTheme="majorHAnsi" w:hAnsiTheme="majorHAnsi"/>
        </w:rPr>
        <w:t>(see section </w:t>
      </w:r>
      <w:r w:rsidR="00BD0D47" w:rsidRPr="005A1833">
        <w:rPr>
          <w:rFonts w:asciiTheme="majorHAnsi" w:hAnsiTheme="majorHAnsi"/>
        </w:rPr>
        <w:t>4.2</w:t>
      </w:r>
      <w:r w:rsidR="00BE45B0" w:rsidRPr="005A1833">
        <w:rPr>
          <w:rFonts w:asciiTheme="majorHAnsi" w:hAnsiTheme="majorHAnsi"/>
        </w:rPr>
        <w:t>).</w:t>
      </w:r>
    </w:p>
    <w:p w14:paraId="52672BF3" w14:textId="2F57855D" w:rsidR="002C4189" w:rsidRPr="005A1833" w:rsidRDefault="00FB7D91" w:rsidP="00A73D97">
      <w:pPr>
        <w:pStyle w:val="Heading3"/>
        <w:spacing w:before="0" w:after="120"/>
        <w:ind w:left="0" w:right="-63"/>
        <w:rPr>
          <w:rFonts w:cstheme="minorHAnsi"/>
        </w:rPr>
      </w:pPr>
      <w:r w:rsidRPr="005A1833">
        <w:rPr>
          <w:rFonts w:cstheme="minorHAnsi"/>
        </w:rPr>
        <w:t>Effects on laboratory tests</w:t>
      </w:r>
      <w:r w:rsidR="00F93A39" w:rsidRPr="005A1833">
        <w:rPr>
          <w:rFonts w:cstheme="minorHAnsi"/>
        </w:rPr>
        <w:fldChar w:fldCharType="begin"/>
      </w:r>
      <w:r w:rsidR="00F93A39" w:rsidRPr="005A1833">
        <w:rPr>
          <w:rFonts w:cstheme="minorHAnsi"/>
        </w:rPr>
        <w:instrText xml:space="preserve"> DOCVARIABLE vault_nd_44ad97e9-3fd8-41ce-ad84-a504c76c96e2 \* MERGEFORMAT </w:instrText>
      </w:r>
      <w:r w:rsidR="00F93A39" w:rsidRPr="005A1833">
        <w:rPr>
          <w:rFonts w:cstheme="minorHAnsi"/>
        </w:rPr>
        <w:fldChar w:fldCharType="separate"/>
      </w:r>
      <w:r w:rsidR="00F93A39" w:rsidRPr="005A1833">
        <w:rPr>
          <w:rFonts w:cstheme="minorHAnsi"/>
        </w:rPr>
        <w:t xml:space="preserve"> </w:t>
      </w:r>
      <w:r w:rsidR="00F93A39" w:rsidRPr="005A1833">
        <w:rPr>
          <w:rFonts w:cstheme="minorHAnsi"/>
        </w:rPr>
        <w:fldChar w:fldCharType="end"/>
      </w:r>
    </w:p>
    <w:p w14:paraId="4ACE3F3C" w14:textId="4ACF1F8A" w:rsidR="00DE393A" w:rsidRPr="005A1833" w:rsidRDefault="006C09B4" w:rsidP="00786CE7">
      <w:pPr>
        <w:pStyle w:val="C-BodyText"/>
        <w:rPr>
          <w:rFonts w:asciiTheme="majorHAnsi" w:hAnsiTheme="majorHAnsi"/>
          <w:szCs w:val="24"/>
        </w:rPr>
      </w:pPr>
      <w:r w:rsidRPr="005A1833">
        <w:rPr>
          <w:rFonts w:asciiTheme="majorHAnsi" w:hAnsiTheme="majorHAnsi"/>
          <w:szCs w:val="24"/>
        </w:rPr>
        <w:t>Serum levels of phosphate, alkaline phosphatase, and parathyroid hormone may increase after somatropin treatment. If a patient is found to have abnormal laboratory tests, monitor as appropriate.</w:t>
      </w:r>
    </w:p>
    <w:p w14:paraId="3E9B09E6" w14:textId="2C522C90" w:rsidR="002C4189" w:rsidRPr="004C6325" w:rsidRDefault="004161CE" w:rsidP="00A73D97">
      <w:pPr>
        <w:pStyle w:val="Heading2"/>
        <w:keepNext/>
        <w:ind w:left="0" w:right="-63" w:firstLine="0"/>
        <w:rPr>
          <w:rFonts w:cstheme="minorHAnsi"/>
        </w:rPr>
      </w:pPr>
      <w:r>
        <w:rPr>
          <w:rFonts w:cstheme="minorHAnsi"/>
        </w:rPr>
        <w:lastRenderedPageBreak/>
        <w:t>Interactions with other medicines and other forms of interactions</w:t>
      </w:r>
      <w:r w:rsidR="00F93A39">
        <w:rPr>
          <w:rFonts w:cstheme="minorHAnsi"/>
        </w:rPr>
        <w:fldChar w:fldCharType="begin"/>
      </w:r>
      <w:r w:rsidR="00F93A39">
        <w:rPr>
          <w:rFonts w:cstheme="minorHAnsi"/>
        </w:rPr>
        <w:instrText xml:space="preserve"> DOCVARIABLE vault_nd_a92265e0-887d-4b85-a689-41d6cc3946b1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641E0FDA" w14:textId="6F00597C" w:rsidR="00085659" w:rsidRPr="00B40125" w:rsidRDefault="00085659" w:rsidP="00A73D97">
      <w:pPr>
        <w:keepNext/>
        <w:keepLines/>
        <w:ind w:right="-63"/>
        <w:rPr>
          <w:rFonts w:asciiTheme="majorHAnsi" w:hAnsiTheme="majorHAnsi"/>
          <w:b/>
          <w:bCs/>
        </w:rPr>
      </w:pPr>
      <w:bookmarkStart w:id="6" w:name="_Hlk41541926"/>
      <w:r w:rsidRPr="00B40125">
        <w:rPr>
          <w:rFonts w:asciiTheme="majorHAnsi" w:hAnsiTheme="majorHAnsi"/>
          <w:b/>
          <w:bCs/>
        </w:rPr>
        <w:t>Glucocorticoid treatment</w:t>
      </w:r>
    </w:p>
    <w:p w14:paraId="3EF30A0A" w14:textId="77777777" w:rsidR="00085659" w:rsidRPr="00085659" w:rsidRDefault="00085659" w:rsidP="00A73D97">
      <w:pPr>
        <w:keepNext/>
        <w:keepLines/>
        <w:ind w:right="-63"/>
        <w:rPr>
          <w:rFonts w:asciiTheme="majorHAnsi" w:hAnsiTheme="majorHAnsi"/>
        </w:rPr>
      </w:pPr>
      <w:r w:rsidRPr="00085659">
        <w:rPr>
          <w:rFonts w:asciiTheme="majorHAnsi" w:hAnsiTheme="majorHAnsi"/>
        </w:rPr>
        <w:t>Concomitant treatment with glucocorticoids inhibits the growth</w:t>
      </w:r>
      <w:r w:rsidRPr="00085659">
        <w:rPr>
          <w:rFonts w:asciiTheme="majorHAnsi" w:hAnsiTheme="majorHAnsi"/>
        </w:rPr>
        <w:noBreakHyphen/>
        <w:t>promoting effects of lonapegsomatropin. Patients with adrenocorticotropic hormone (ACTH) deficiency should have their glucocorticoid replacement therapy carefully adjusted to avoid any inhibitory effect on growth, and patients treated with glucocorticoids should have their growth monitored carefully to assess the potential impact of glucocorticoid treatment on growth.</w:t>
      </w:r>
    </w:p>
    <w:p w14:paraId="6027F4FE" w14:textId="77777777" w:rsidR="00085659" w:rsidRPr="00085659" w:rsidRDefault="00085659" w:rsidP="00A73D97">
      <w:pPr>
        <w:ind w:right="-63"/>
        <w:rPr>
          <w:rFonts w:asciiTheme="majorHAnsi" w:hAnsiTheme="majorHAnsi"/>
        </w:rPr>
      </w:pPr>
      <w:r w:rsidRPr="00085659">
        <w:rPr>
          <w:rFonts w:asciiTheme="majorHAnsi" w:hAnsiTheme="majorHAnsi"/>
        </w:rPr>
        <w:t>Growth hormone decreases the conversion of cortisone to cortisol and may unmask previously undiscovered central hypoadrenalism or render low glucocorticoid replacement doses ineffective (see section 4.4).</w:t>
      </w:r>
    </w:p>
    <w:p w14:paraId="1733302C" w14:textId="7B75EF57" w:rsidR="00085659" w:rsidRPr="00B40125" w:rsidRDefault="00085659" w:rsidP="00A73D97">
      <w:pPr>
        <w:keepNext/>
        <w:keepLines/>
        <w:ind w:right="-63"/>
        <w:rPr>
          <w:rFonts w:asciiTheme="majorHAnsi" w:hAnsiTheme="majorHAnsi"/>
          <w:b/>
          <w:bCs/>
        </w:rPr>
      </w:pPr>
      <w:r w:rsidRPr="00B40125">
        <w:rPr>
          <w:rFonts w:asciiTheme="majorHAnsi" w:hAnsiTheme="majorHAnsi"/>
          <w:b/>
          <w:bCs/>
        </w:rPr>
        <w:t>Cytochrome P450</w:t>
      </w:r>
      <w:r w:rsidRPr="00B40125">
        <w:rPr>
          <w:rFonts w:asciiTheme="majorHAnsi" w:hAnsiTheme="majorHAnsi"/>
          <w:b/>
          <w:bCs/>
        </w:rPr>
        <w:noBreakHyphen/>
        <w:t>metabolised products</w:t>
      </w:r>
    </w:p>
    <w:p w14:paraId="23BA8350" w14:textId="77777777" w:rsidR="00085659" w:rsidRPr="00085659" w:rsidRDefault="00085659" w:rsidP="00A73D97">
      <w:pPr>
        <w:ind w:right="-63"/>
        <w:rPr>
          <w:rFonts w:asciiTheme="majorHAnsi" w:hAnsiTheme="majorHAnsi"/>
        </w:rPr>
      </w:pPr>
      <w:r w:rsidRPr="00085659">
        <w:rPr>
          <w:rFonts w:asciiTheme="majorHAnsi" w:hAnsiTheme="majorHAnsi"/>
        </w:rPr>
        <w:t>Drug</w:t>
      </w:r>
      <w:r w:rsidRPr="00085659">
        <w:rPr>
          <w:rFonts w:asciiTheme="majorHAnsi" w:hAnsiTheme="majorHAnsi"/>
        </w:rPr>
        <w:noBreakHyphen/>
        <w:t>drug interaction studies have not been performed with lonapegsomatropin. Data from interaction studies with somatropin performed in growth hormone deficient children and adults, and healthy elderly men, suggest that somatropin administration may increase the clearance of compounds known to be metabolised by cytochrome P450 isoenzymes, especially CYP3A and CYP1A2. The clearance of compounds metabolised by CYP 3A4 (e.g. sex steroids, corticosteroids, anticonvulsants and ciclosporin) and CYP1A2 (e.g. theophylline) may be increased and could result in lower exposure of these compounds. The clinical significance of this is unknown.</w:t>
      </w:r>
    </w:p>
    <w:p w14:paraId="1BD13A41" w14:textId="766BE233" w:rsidR="00085659" w:rsidRPr="00B40125" w:rsidRDefault="00085659" w:rsidP="00A73D97">
      <w:pPr>
        <w:ind w:right="-63"/>
        <w:rPr>
          <w:rFonts w:asciiTheme="majorHAnsi" w:hAnsiTheme="majorHAnsi"/>
          <w:b/>
          <w:bCs/>
        </w:rPr>
      </w:pPr>
      <w:r w:rsidRPr="00B40125">
        <w:rPr>
          <w:rFonts w:asciiTheme="majorHAnsi" w:hAnsiTheme="majorHAnsi"/>
          <w:b/>
          <w:bCs/>
        </w:rPr>
        <w:t>Insulin and/or other hypoglycaemic agents</w:t>
      </w:r>
    </w:p>
    <w:p w14:paraId="5D748B40" w14:textId="77777777" w:rsidR="00085659" w:rsidRPr="00085659" w:rsidRDefault="00085659" w:rsidP="00A73D97">
      <w:pPr>
        <w:ind w:right="-63"/>
        <w:rPr>
          <w:rFonts w:asciiTheme="majorHAnsi" w:hAnsiTheme="majorHAnsi"/>
        </w:rPr>
      </w:pPr>
      <w:r w:rsidRPr="00085659">
        <w:rPr>
          <w:rFonts w:asciiTheme="majorHAnsi" w:hAnsiTheme="majorHAnsi"/>
        </w:rPr>
        <w:t>In patients with diabetes mellitus requiring therapy with a medicinal product (</w:t>
      </w:r>
      <w:proofErr w:type="spellStart"/>
      <w:r w:rsidRPr="00085659">
        <w:rPr>
          <w:rFonts w:asciiTheme="majorHAnsi" w:hAnsiTheme="majorHAnsi"/>
        </w:rPr>
        <w:t>e.g</w:t>
      </w:r>
      <w:proofErr w:type="spellEnd"/>
      <w:r w:rsidRPr="00085659">
        <w:rPr>
          <w:rFonts w:asciiTheme="majorHAnsi" w:hAnsiTheme="majorHAnsi"/>
        </w:rPr>
        <w:t>, anti-hyperglycaemic medicinal products), the dose of insulin and/or oral hypoglycaemic medicinal product may require adjustment when lonapegsomatropin therapy is initiated (see section 4.4).</w:t>
      </w:r>
    </w:p>
    <w:p w14:paraId="6670FBC9" w14:textId="23D1B9A3" w:rsidR="00085659" w:rsidRPr="00B40125" w:rsidRDefault="00085659" w:rsidP="00A73D97">
      <w:pPr>
        <w:ind w:right="-63"/>
        <w:rPr>
          <w:rFonts w:asciiTheme="majorHAnsi" w:hAnsiTheme="majorHAnsi"/>
          <w:b/>
          <w:bCs/>
        </w:rPr>
      </w:pPr>
      <w:r w:rsidRPr="00B40125">
        <w:rPr>
          <w:rFonts w:asciiTheme="majorHAnsi" w:hAnsiTheme="majorHAnsi"/>
          <w:b/>
          <w:bCs/>
        </w:rPr>
        <w:t>Thyroid hormones</w:t>
      </w:r>
    </w:p>
    <w:p w14:paraId="7A1C17E1" w14:textId="77777777" w:rsidR="00085659" w:rsidRPr="00085659" w:rsidRDefault="00085659" w:rsidP="00A73D97">
      <w:pPr>
        <w:ind w:right="-63"/>
        <w:rPr>
          <w:rFonts w:asciiTheme="majorHAnsi" w:hAnsiTheme="majorHAnsi"/>
        </w:rPr>
      </w:pPr>
      <w:r w:rsidRPr="00085659">
        <w:rPr>
          <w:rFonts w:asciiTheme="majorHAnsi" w:hAnsiTheme="majorHAnsi"/>
        </w:rPr>
        <w:t>Because growth hormone increases the extrathyroidal conversion of T4 to T3, adjustment of thyroid hormone replacement therapy may be necessary (see section 4.4).</w:t>
      </w:r>
    </w:p>
    <w:p w14:paraId="312B6FFD" w14:textId="3FCB667A" w:rsidR="00085659" w:rsidRPr="00B40125" w:rsidRDefault="00085659" w:rsidP="00A73D97">
      <w:pPr>
        <w:ind w:right="-63"/>
        <w:rPr>
          <w:rFonts w:asciiTheme="majorHAnsi" w:hAnsiTheme="majorHAnsi"/>
          <w:b/>
          <w:bCs/>
        </w:rPr>
      </w:pPr>
      <w:r w:rsidRPr="00B40125">
        <w:rPr>
          <w:rFonts w:asciiTheme="majorHAnsi" w:hAnsiTheme="majorHAnsi"/>
          <w:b/>
          <w:bCs/>
        </w:rPr>
        <w:t>Oral oestrogen therapy</w:t>
      </w:r>
    </w:p>
    <w:p w14:paraId="7F5ADACB" w14:textId="77777777" w:rsidR="00085659" w:rsidRPr="00085659" w:rsidRDefault="00085659" w:rsidP="00A73D97">
      <w:pPr>
        <w:ind w:right="-63"/>
        <w:rPr>
          <w:rFonts w:asciiTheme="majorHAnsi" w:hAnsiTheme="majorHAnsi"/>
        </w:rPr>
      </w:pPr>
      <w:r w:rsidRPr="00085659">
        <w:rPr>
          <w:rFonts w:asciiTheme="majorHAnsi" w:hAnsiTheme="majorHAnsi"/>
        </w:rPr>
        <w:t>In female patients on oral oestrogen</w:t>
      </w:r>
      <w:r w:rsidRPr="00085659">
        <w:rPr>
          <w:rFonts w:asciiTheme="majorHAnsi" w:hAnsiTheme="majorHAnsi"/>
        </w:rPr>
        <w:noBreakHyphen/>
        <w:t>containing therapy, a higher dose of growth hormone may be required to achieve the treatment goal (see section 4.2 and 4.4).</w:t>
      </w:r>
    </w:p>
    <w:bookmarkEnd w:id="6"/>
    <w:p w14:paraId="41348B76" w14:textId="797F1DDE" w:rsidR="002C4189" w:rsidRPr="004C6325" w:rsidRDefault="00FB7D91" w:rsidP="00A73D97">
      <w:pPr>
        <w:pStyle w:val="Heading2"/>
        <w:ind w:left="0" w:right="-63" w:firstLine="0"/>
      </w:pPr>
      <w:r w:rsidRPr="004C6325">
        <w:t>Fertility, pregnancy and lactation</w:t>
      </w:r>
      <w:fldSimple w:instr=" DOCVARIABLE vault_nd_7e03bf89-b8b9-4264-af70-ab0854622d14 \* MERGEFORMAT">
        <w:r w:rsidR="00F93A39">
          <w:t xml:space="preserve"> </w:t>
        </w:r>
      </w:fldSimple>
    </w:p>
    <w:p w14:paraId="17D71366" w14:textId="025D0031" w:rsidR="002C4189" w:rsidRPr="00EE05B3" w:rsidRDefault="00FB7D91" w:rsidP="00A73D97">
      <w:pPr>
        <w:pStyle w:val="Heading3"/>
        <w:spacing w:before="0" w:after="120"/>
        <w:ind w:left="0" w:right="-63"/>
        <w:rPr>
          <w:rFonts w:cstheme="minorHAnsi"/>
        </w:rPr>
      </w:pPr>
      <w:r w:rsidRPr="00EE05B3">
        <w:rPr>
          <w:rFonts w:cstheme="minorHAnsi"/>
        </w:rPr>
        <w:t>Effects on fertility</w:t>
      </w:r>
    </w:p>
    <w:p w14:paraId="33498E70" w14:textId="00EAF40E" w:rsidR="00D509BD" w:rsidRPr="00ED3263" w:rsidRDefault="00CA3EB6" w:rsidP="00D509BD">
      <w:pPr>
        <w:pStyle w:val="Default"/>
        <w:rPr>
          <w:rFonts w:ascii="Cambria" w:hAnsi="Cambria" w:cs="Cambria"/>
          <w:sz w:val="22"/>
          <w:szCs w:val="22"/>
        </w:rPr>
      </w:pPr>
      <w:r w:rsidRPr="00F75674">
        <w:rPr>
          <w:rFonts w:asciiTheme="majorHAnsi" w:hAnsiTheme="majorHAnsi"/>
          <w:sz w:val="22"/>
          <w:szCs w:val="22"/>
        </w:rPr>
        <w:t xml:space="preserve">There are no clinical data on the effect of lonapegsomatropin on fertility. </w:t>
      </w:r>
      <w:r w:rsidR="005E26A3" w:rsidRPr="00F75674">
        <w:rPr>
          <w:rFonts w:asciiTheme="majorHAnsi" w:hAnsiTheme="majorHAnsi"/>
          <w:sz w:val="22"/>
          <w:szCs w:val="22"/>
        </w:rPr>
        <w:t xml:space="preserve">Lonapegsomatropin did not affect </w:t>
      </w:r>
      <w:r w:rsidR="00D509BD" w:rsidRPr="00F75674">
        <w:rPr>
          <w:rFonts w:asciiTheme="majorHAnsi" w:hAnsiTheme="majorHAnsi"/>
          <w:sz w:val="22"/>
          <w:szCs w:val="22"/>
        </w:rPr>
        <w:t xml:space="preserve">male or female </w:t>
      </w:r>
      <w:r w:rsidR="005E26A3" w:rsidRPr="00F75674">
        <w:rPr>
          <w:rFonts w:asciiTheme="majorHAnsi" w:hAnsiTheme="majorHAnsi"/>
          <w:sz w:val="22"/>
          <w:szCs w:val="22"/>
        </w:rPr>
        <w:t xml:space="preserve">fertility </w:t>
      </w:r>
      <w:r w:rsidR="00D509BD" w:rsidRPr="00F75674">
        <w:rPr>
          <w:rFonts w:asciiTheme="majorHAnsi" w:hAnsiTheme="majorHAnsi"/>
          <w:sz w:val="22"/>
          <w:szCs w:val="22"/>
        </w:rPr>
        <w:t xml:space="preserve">in rats </w:t>
      </w:r>
      <w:r w:rsidR="005E26A3" w:rsidRPr="00F75674">
        <w:rPr>
          <w:rFonts w:asciiTheme="majorHAnsi" w:hAnsiTheme="majorHAnsi"/>
          <w:sz w:val="22"/>
          <w:szCs w:val="22"/>
        </w:rPr>
        <w:t xml:space="preserve">at </w:t>
      </w:r>
      <w:r w:rsidR="00D509BD" w:rsidRPr="00F75674">
        <w:rPr>
          <w:rFonts w:asciiTheme="majorHAnsi" w:hAnsiTheme="majorHAnsi"/>
          <w:sz w:val="22"/>
          <w:szCs w:val="22"/>
        </w:rPr>
        <w:t xml:space="preserve">subcutaneous </w:t>
      </w:r>
      <w:r w:rsidR="005E26A3" w:rsidRPr="00F75674">
        <w:rPr>
          <w:rFonts w:asciiTheme="majorHAnsi" w:hAnsiTheme="majorHAnsi"/>
          <w:sz w:val="22"/>
          <w:szCs w:val="22"/>
        </w:rPr>
        <w:t xml:space="preserve">doses up to 20-fold the clinical dose of 0.24 mg/kg/week. </w:t>
      </w:r>
      <w:r w:rsidR="00D509BD" w:rsidRPr="00ED3263">
        <w:rPr>
          <w:rFonts w:ascii="Cambria" w:hAnsi="Cambria" w:cs="Cambria"/>
          <w:sz w:val="22"/>
          <w:szCs w:val="22"/>
        </w:rPr>
        <w:t xml:space="preserve">Anti-drug antibodies developed in treated rats, reducing exposure to lonapegsomatropin, and limiting the predictive value of the study. No microscopic changes in male or female reproductive organs to indicate potential impairment of fertility were observed in monkeys treated with lonapegsomatropin at subcutaneous doses up to 4.8 mg/kg/week (in terms of the somatropin content), yielding systemic exposure more than 50-times higher than in patients at 0.24 mg/kg/week. </w:t>
      </w:r>
    </w:p>
    <w:p w14:paraId="4A4DC1EE" w14:textId="50A178A7" w:rsidR="002C4189" w:rsidRPr="00EE05B3" w:rsidRDefault="00FB7D91" w:rsidP="00A73D97">
      <w:pPr>
        <w:pStyle w:val="Heading3"/>
        <w:spacing w:before="0" w:after="120"/>
        <w:ind w:left="0" w:right="-63"/>
        <w:rPr>
          <w:rFonts w:cstheme="minorHAnsi"/>
        </w:rPr>
      </w:pPr>
      <w:r w:rsidRPr="00EE05B3">
        <w:rPr>
          <w:rFonts w:cstheme="minorHAnsi"/>
        </w:rPr>
        <w:lastRenderedPageBreak/>
        <w:t>Use in pregnancy</w:t>
      </w:r>
    </w:p>
    <w:p w14:paraId="2415A9C5" w14:textId="765B4961" w:rsidR="002C4189" w:rsidRPr="00EE05B3" w:rsidRDefault="00FB7D91" w:rsidP="00A73D97">
      <w:pPr>
        <w:spacing w:line="240" w:lineRule="auto"/>
        <w:ind w:right="-63"/>
        <w:rPr>
          <w:rFonts w:asciiTheme="majorHAnsi" w:eastAsiaTheme="majorEastAsia" w:hAnsiTheme="majorHAnsi" w:cstheme="minorHAnsi"/>
          <w:b/>
          <w:bCs/>
        </w:rPr>
      </w:pPr>
      <w:r w:rsidRPr="0044029A">
        <w:rPr>
          <w:rFonts w:asciiTheme="majorHAnsi" w:eastAsiaTheme="majorEastAsia" w:hAnsiTheme="majorHAnsi" w:cstheme="minorHAnsi"/>
          <w:b/>
          <w:bCs/>
        </w:rPr>
        <w:t xml:space="preserve">Category </w:t>
      </w:r>
      <w:r w:rsidR="00E75079">
        <w:rPr>
          <w:rFonts w:asciiTheme="majorHAnsi" w:eastAsiaTheme="majorEastAsia" w:hAnsiTheme="majorHAnsi" w:cstheme="minorHAnsi"/>
          <w:b/>
          <w:bCs/>
        </w:rPr>
        <w:t>B2</w:t>
      </w:r>
    </w:p>
    <w:p w14:paraId="443A9EA9" w14:textId="673B82C2" w:rsidR="00884041" w:rsidRPr="00F75674" w:rsidRDefault="00884041" w:rsidP="00A73D97">
      <w:pPr>
        <w:spacing w:line="240" w:lineRule="auto"/>
        <w:ind w:right="-63"/>
        <w:rPr>
          <w:rFonts w:ascii="Cambria" w:hAnsi="Cambria" w:cs="Cambria"/>
          <w:color w:val="000000"/>
          <w:lang w:val="en-GB"/>
        </w:rPr>
      </w:pPr>
      <w:r w:rsidRPr="00F75674">
        <w:rPr>
          <w:rFonts w:ascii="Cambria" w:hAnsi="Cambria" w:cs="Cambria"/>
          <w:color w:val="000000"/>
          <w:lang w:val="en-GB"/>
        </w:rPr>
        <w:t>There are no or limited amount of data from the use of lonapegsomatropin in pregnant women; published studies with short</w:t>
      </w:r>
      <w:r w:rsidRPr="00F75674">
        <w:rPr>
          <w:rFonts w:ascii="Cambria" w:hAnsi="Cambria" w:cs="Cambria"/>
          <w:color w:val="000000"/>
          <w:lang w:val="en-GB"/>
        </w:rPr>
        <w:noBreakHyphen/>
        <w:t>acting somatropin use in pregnant women over several decades have not identified any drug</w:t>
      </w:r>
      <w:r w:rsidRPr="00F75674">
        <w:rPr>
          <w:rFonts w:ascii="Cambria" w:hAnsi="Cambria" w:cs="Cambria"/>
          <w:color w:val="000000"/>
          <w:lang w:val="en-GB"/>
        </w:rPr>
        <w:noBreakHyphen/>
        <w:t xml:space="preserve">associated risk of major birth defects, miscarriages, or adverse maternal or </w:t>
      </w:r>
      <w:r w:rsidR="0094684A" w:rsidRPr="00F75674">
        <w:rPr>
          <w:rFonts w:ascii="Cambria" w:hAnsi="Cambria" w:cs="Cambria"/>
          <w:color w:val="000000"/>
          <w:lang w:val="en-GB"/>
        </w:rPr>
        <w:t>fet</w:t>
      </w:r>
      <w:r w:rsidRPr="00F75674">
        <w:rPr>
          <w:rFonts w:ascii="Cambria" w:hAnsi="Cambria" w:cs="Cambria"/>
          <w:color w:val="000000"/>
          <w:lang w:val="en-GB"/>
        </w:rPr>
        <w:t>al outcomes.</w:t>
      </w:r>
    </w:p>
    <w:p w14:paraId="5D9A0158" w14:textId="16F3A68B" w:rsidR="00D509BD" w:rsidRPr="00056193" w:rsidRDefault="00D509BD" w:rsidP="00D509BD">
      <w:pPr>
        <w:pStyle w:val="Default"/>
        <w:rPr>
          <w:rFonts w:asciiTheme="majorHAnsi" w:hAnsiTheme="majorHAnsi" w:cs="Cambria"/>
          <w:sz w:val="22"/>
          <w:szCs w:val="22"/>
        </w:rPr>
      </w:pPr>
      <w:r w:rsidRPr="00056193">
        <w:rPr>
          <w:rFonts w:asciiTheme="majorHAnsi" w:hAnsiTheme="majorHAnsi" w:cs="Cambria"/>
          <w:sz w:val="22"/>
          <w:szCs w:val="22"/>
        </w:rPr>
        <w:t xml:space="preserve">No adverse effects on </w:t>
      </w:r>
      <w:proofErr w:type="spellStart"/>
      <w:r w:rsidRPr="00056193">
        <w:rPr>
          <w:rFonts w:asciiTheme="majorHAnsi" w:hAnsiTheme="majorHAnsi" w:cs="Cambria"/>
          <w:sz w:val="22"/>
          <w:szCs w:val="22"/>
        </w:rPr>
        <w:t>embryofetal</w:t>
      </w:r>
      <w:proofErr w:type="spellEnd"/>
      <w:r w:rsidRPr="00056193">
        <w:rPr>
          <w:rFonts w:asciiTheme="majorHAnsi" w:hAnsiTheme="majorHAnsi" w:cs="Cambria"/>
          <w:sz w:val="22"/>
          <w:szCs w:val="22"/>
        </w:rPr>
        <w:t xml:space="preserve"> development were observed in pregnant rats administered lonapegsomatropin at subcutaneous doses up to 13-fold the clinical dose of 0.24 mg/kg/week. Weekly dosing in rats yielded intermittent exposure during critical periods of organogenesis, limiting the predictive value of the study.</w:t>
      </w:r>
      <w:r w:rsidR="00FE0BC6" w:rsidRPr="00056193">
        <w:rPr>
          <w:rFonts w:asciiTheme="majorHAnsi" w:hAnsiTheme="majorHAnsi" w:cs="Cambria"/>
          <w:sz w:val="22"/>
          <w:szCs w:val="22"/>
        </w:rPr>
        <w:t xml:space="preserve"> </w:t>
      </w:r>
      <w:r w:rsidR="00E75079" w:rsidRPr="00056193">
        <w:rPr>
          <w:rFonts w:asciiTheme="majorHAnsi" w:hAnsiTheme="majorHAnsi" w:cs="Cambria"/>
          <w:sz w:val="22"/>
          <w:szCs w:val="22"/>
        </w:rPr>
        <w:t>I</w:t>
      </w:r>
      <w:r w:rsidR="00117E01" w:rsidRPr="00056193">
        <w:rPr>
          <w:rFonts w:asciiTheme="majorHAnsi" w:hAnsiTheme="majorHAnsi" w:cs="Cambria"/>
          <w:sz w:val="22"/>
          <w:szCs w:val="22"/>
        </w:rPr>
        <w:t>n a pre- and postnatal developmental study</w:t>
      </w:r>
      <w:r w:rsidR="004C0274" w:rsidRPr="00056193">
        <w:rPr>
          <w:rFonts w:asciiTheme="majorHAnsi" w:hAnsiTheme="majorHAnsi" w:cs="Cambria"/>
          <w:sz w:val="22"/>
          <w:szCs w:val="22"/>
        </w:rPr>
        <w:t xml:space="preserve"> performed with a struc</w:t>
      </w:r>
      <w:r w:rsidR="00583B8E" w:rsidRPr="00056193">
        <w:rPr>
          <w:rFonts w:asciiTheme="majorHAnsi" w:hAnsiTheme="majorHAnsi" w:cs="Cambria"/>
          <w:sz w:val="22"/>
          <w:szCs w:val="22"/>
        </w:rPr>
        <w:t>turally related transiently pegylated somatropin prodrug</w:t>
      </w:r>
      <w:r w:rsidR="00117E01" w:rsidRPr="00056193">
        <w:rPr>
          <w:rFonts w:asciiTheme="majorHAnsi" w:hAnsiTheme="majorHAnsi" w:cs="Cambria"/>
          <w:sz w:val="22"/>
          <w:szCs w:val="22"/>
        </w:rPr>
        <w:t xml:space="preserve"> in rats there were no adverse effects on the development of the conceptus </w:t>
      </w:r>
      <w:r w:rsidR="005E5D00" w:rsidRPr="00056193">
        <w:rPr>
          <w:rFonts w:asciiTheme="majorHAnsi" w:hAnsiTheme="majorHAnsi" w:cs="Cambria"/>
          <w:sz w:val="22"/>
          <w:szCs w:val="22"/>
        </w:rPr>
        <w:t xml:space="preserve">or </w:t>
      </w:r>
      <w:r w:rsidR="00117E01" w:rsidRPr="00056193">
        <w:rPr>
          <w:rFonts w:asciiTheme="majorHAnsi" w:hAnsiTheme="majorHAnsi" w:cs="Cambria"/>
          <w:sz w:val="22"/>
          <w:szCs w:val="22"/>
        </w:rPr>
        <w:t xml:space="preserve">the offspring </w:t>
      </w:r>
      <w:r w:rsidR="005E5D00" w:rsidRPr="00056193">
        <w:rPr>
          <w:rFonts w:asciiTheme="majorHAnsi" w:hAnsiTheme="majorHAnsi" w:cs="Cambria"/>
          <w:sz w:val="22"/>
          <w:szCs w:val="22"/>
        </w:rPr>
        <w:t>with</w:t>
      </w:r>
      <w:r w:rsidR="00385E9D" w:rsidRPr="00056193">
        <w:rPr>
          <w:rFonts w:asciiTheme="majorHAnsi" w:hAnsiTheme="majorHAnsi" w:cs="Cambria"/>
          <w:sz w:val="22"/>
          <w:szCs w:val="22"/>
        </w:rPr>
        <w:t xml:space="preserve"> maternal</w:t>
      </w:r>
      <w:r w:rsidR="00B14A7B" w:rsidRPr="00056193">
        <w:rPr>
          <w:rFonts w:asciiTheme="majorHAnsi" w:hAnsiTheme="majorHAnsi" w:cs="Cambria"/>
          <w:sz w:val="22"/>
          <w:szCs w:val="22"/>
        </w:rPr>
        <w:t xml:space="preserve"> </w:t>
      </w:r>
      <w:r w:rsidR="00BE7CF4" w:rsidRPr="00056193">
        <w:rPr>
          <w:rFonts w:asciiTheme="majorHAnsi" w:hAnsiTheme="majorHAnsi" w:cs="Cambria"/>
          <w:sz w:val="22"/>
          <w:szCs w:val="22"/>
        </w:rPr>
        <w:t xml:space="preserve">weekly </w:t>
      </w:r>
      <w:r w:rsidR="00385E9D" w:rsidRPr="00056193">
        <w:rPr>
          <w:rFonts w:asciiTheme="majorHAnsi" w:hAnsiTheme="majorHAnsi" w:cs="Cambria"/>
          <w:sz w:val="22"/>
          <w:szCs w:val="22"/>
        </w:rPr>
        <w:t xml:space="preserve">administration </w:t>
      </w:r>
      <w:r w:rsidR="00117E01" w:rsidRPr="00056193">
        <w:rPr>
          <w:rFonts w:asciiTheme="majorHAnsi" w:hAnsiTheme="majorHAnsi" w:cs="Cambria"/>
          <w:sz w:val="22"/>
          <w:szCs w:val="22"/>
        </w:rPr>
        <w:t xml:space="preserve">from implantation through weaning </w:t>
      </w:r>
      <w:r w:rsidR="00A026BC" w:rsidRPr="00056193">
        <w:rPr>
          <w:rFonts w:asciiTheme="majorHAnsi" w:hAnsiTheme="majorHAnsi" w:cs="Cambria"/>
          <w:sz w:val="22"/>
          <w:szCs w:val="22"/>
        </w:rPr>
        <w:t xml:space="preserve">at </w:t>
      </w:r>
      <w:r w:rsidR="00117E01" w:rsidRPr="00056193">
        <w:rPr>
          <w:rFonts w:asciiTheme="majorHAnsi" w:hAnsiTheme="majorHAnsi" w:cs="Cambria"/>
          <w:sz w:val="22"/>
          <w:szCs w:val="22"/>
        </w:rPr>
        <w:t>subcutaneous doses up to 13-fold the clinical dose of 0.24 mg somatropin/kg/week.</w:t>
      </w:r>
      <w:r w:rsidR="003B078F" w:rsidRPr="00056193">
        <w:rPr>
          <w:rFonts w:asciiTheme="majorHAnsi" w:hAnsiTheme="majorHAnsi" w:cs="Cambria"/>
          <w:sz w:val="22"/>
          <w:szCs w:val="22"/>
        </w:rPr>
        <w:t xml:space="preserve"> </w:t>
      </w:r>
      <w:r w:rsidRPr="00056193">
        <w:rPr>
          <w:rFonts w:asciiTheme="majorHAnsi" w:hAnsiTheme="majorHAnsi" w:cs="Cambria"/>
          <w:sz w:val="22"/>
          <w:szCs w:val="22"/>
        </w:rPr>
        <w:t xml:space="preserve">A study in rabbits revealed malformations with lonapegsomatropin at all tested dose levels (≥0.35 mg/kg every second day) and </w:t>
      </w:r>
      <w:proofErr w:type="spellStart"/>
      <w:r w:rsidRPr="00056193">
        <w:rPr>
          <w:rFonts w:asciiTheme="majorHAnsi" w:hAnsiTheme="majorHAnsi" w:cs="Cambria"/>
          <w:sz w:val="22"/>
          <w:szCs w:val="22"/>
        </w:rPr>
        <w:t>embryofetal</w:t>
      </w:r>
      <w:proofErr w:type="spellEnd"/>
      <w:r w:rsidRPr="00056193">
        <w:rPr>
          <w:rFonts w:asciiTheme="majorHAnsi" w:hAnsiTheme="majorHAnsi" w:cs="Cambria"/>
          <w:sz w:val="22"/>
          <w:szCs w:val="22"/>
        </w:rPr>
        <w:t xml:space="preserve"> lethality at 1.4 mg/kg every second day. Adverse effects on </w:t>
      </w:r>
      <w:proofErr w:type="spellStart"/>
      <w:r w:rsidRPr="00056193">
        <w:rPr>
          <w:rFonts w:asciiTheme="majorHAnsi" w:hAnsiTheme="majorHAnsi" w:cs="Cambria"/>
          <w:sz w:val="22"/>
          <w:szCs w:val="22"/>
        </w:rPr>
        <w:t>embryofetal</w:t>
      </w:r>
      <w:proofErr w:type="spellEnd"/>
      <w:r w:rsidRPr="00056193">
        <w:rPr>
          <w:rFonts w:asciiTheme="majorHAnsi" w:hAnsiTheme="majorHAnsi" w:cs="Cambria"/>
          <w:sz w:val="22"/>
          <w:szCs w:val="22"/>
        </w:rPr>
        <w:t xml:space="preserve"> development observed in the rabbit are most likely to be secondary to maternal toxicity.</w:t>
      </w:r>
    </w:p>
    <w:p w14:paraId="7C804FFF" w14:textId="77777777" w:rsidR="003B078F" w:rsidRPr="00D509BD" w:rsidRDefault="003B078F" w:rsidP="00D509BD">
      <w:pPr>
        <w:pStyle w:val="Default"/>
        <w:rPr>
          <w:rFonts w:ascii="Cambria" w:hAnsi="Cambria" w:cs="Cambria"/>
          <w:sz w:val="22"/>
          <w:szCs w:val="22"/>
        </w:rPr>
      </w:pPr>
    </w:p>
    <w:p w14:paraId="6B55B318" w14:textId="7028D41E" w:rsidR="00296C44" w:rsidRPr="00F75674" w:rsidRDefault="00D509BD" w:rsidP="33658BB9">
      <w:pPr>
        <w:spacing w:line="240" w:lineRule="auto"/>
        <w:ind w:right="-63"/>
        <w:rPr>
          <w:rFonts w:ascii="Cambria" w:hAnsi="Cambria" w:cs="Cambria"/>
          <w:color w:val="000000"/>
          <w:lang w:val="en-GB"/>
        </w:rPr>
      </w:pPr>
      <w:r w:rsidRPr="00F75674">
        <w:rPr>
          <w:rFonts w:ascii="Cambria" w:hAnsi="Cambria" w:cs="Cambria"/>
          <w:color w:val="000000"/>
          <w:lang w:val="en-GB"/>
        </w:rPr>
        <w:t>Skytrofa</w:t>
      </w:r>
      <w:r w:rsidR="00D274C8" w:rsidRPr="00F75674">
        <w:rPr>
          <w:rFonts w:ascii="Cambria" w:hAnsi="Cambria" w:cs="Cambria"/>
          <w:color w:val="000000"/>
          <w:lang w:val="en-GB"/>
        </w:rPr>
        <w:t xml:space="preserve"> should</w:t>
      </w:r>
      <w:r w:rsidR="00BC18C5" w:rsidRPr="00F75674">
        <w:rPr>
          <w:rFonts w:ascii="Cambria" w:hAnsi="Cambria" w:cs="Cambria"/>
          <w:color w:val="000000"/>
          <w:lang w:val="en-GB"/>
        </w:rPr>
        <w:t xml:space="preserve"> not</w:t>
      </w:r>
      <w:r w:rsidR="00D274C8" w:rsidRPr="00F75674">
        <w:rPr>
          <w:rFonts w:ascii="Cambria" w:hAnsi="Cambria" w:cs="Cambria"/>
          <w:color w:val="000000"/>
          <w:lang w:val="en-GB"/>
        </w:rPr>
        <w:t xml:space="preserve"> be used during pregnancy </w:t>
      </w:r>
      <w:r w:rsidR="009D752B" w:rsidRPr="00F75674">
        <w:rPr>
          <w:rFonts w:ascii="Cambria" w:hAnsi="Cambria" w:cs="Cambria"/>
          <w:color w:val="000000"/>
          <w:lang w:val="en-GB"/>
        </w:rPr>
        <w:t>unless</w:t>
      </w:r>
      <w:r w:rsidR="00D274C8" w:rsidRPr="00F75674">
        <w:rPr>
          <w:rFonts w:ascii="Cambria" w:hAnsi="Cambria" w:cs="Cambria"/>
          <w:color w:val="000000"/>
          <w:lang w:val="en-GB"/>
        </w:rPr>
        <w:t xml:space="preserve"> clearly needed.</w:t>
      </w:r>
    </w:p>
    <w:p w14:paraId="28DD31A7" w14:textId="5E1A9BFF" w:rsidR="002C4189" w:rsidRPr="00EE05B3" w:rsidRDefault="00FB7D91" w:rsidP="00A73D97">
      <w:pPr>
        <w:pStyle w:val="Heading3"/>
        <w:spacing w:before="0" w:after="120"/>
        <w:ind w:left="0" w:right="-63"/>
        <w:rPr>
          <w:rFonts w:cstheme="minorHAnsi"/>
        </w:rPr>
      </w:pPr>
      <w:r w:rsidRPr="00EE05B3">
        <w:rPr>
          <w:rFonts w:cstheme="minorHAnsi"/>
        </w:rPr>
        <w:t>Use in lactation</w:t>
      </w:r>
      <w:r w:rsidR="00F93A39">
        <w:rPr>
          <w:rFonts w:cstheme="minorHAnsi"/>
        </w:rPr>
        <w:fldChar w:fldCharType="begin"/>
      </w:r>
      <w:r w:rsidR="00F93A39">
        <w:rPr>
          <w:rFonts w:cstheme="minorHAnsi"/>
        </w:rPr>
        <w:instrText xml:space="preserve"> DOCVARIABLE vault_nd_204f8535-5b00-4998-9b23-c829ae6ae1d8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13428315" w14:textId="77777777" w:rsidR="00731F92" w:rsidRPr="00731F92" w:rsidRDefault="00731F92" w:rsidP="00A73D97">
      <w:pPr>
        <w:spacing w:line="240" w:lineRule="auto"/>
        <w:ind w:right="-63"/>
        <w:rPr>
          <w:rFonts w:asciiTheme="majorHAnsi" w:hAnsiTheme="majorHAnsi"/>
        </w:rPr>
      </w:pPr>
      <w:r w:rsidRPr="00731F92">
        <w:rPr>
          <w:rFonts w:asciiTheme="majorHAnsi" w:hAnsiTheme="majorHAnsi"/>
        </w:rPr>
        <w:t>There are no data on the presence of lonapegsomatropin in human milk or effect on the breastfed newborns/infants. As lonapegsomatropin is not orally absorbed, it is unlikely to adversely affect the breastfed newborns/infants.</w:t>
      </w:r>
    </w:p>
    <w:p w14:paraId="79651534" w14:textId="5241A246" w:rsidR="00EE05B3" w:rsidRPr="00EE05B3" w:rsidRDefault="00731F92" w:rsidP="00A73D97">
      <w:pPr>
        <w:tabs>
          <w:tab w:val="left" w:pos="6379"/>
        </w:tabs>
        <w:spacing w:line="240" w:lineRule="auto"/>
        <w:ind w:right="-63"/>
        <w:rPr>
          <w:rFonts w:asciiTheme="majorHAnsi" w:hAnsiTheme="majorHAnsi"/>
        </w:rPr>
      </w:pPr>
      <w:r w:rsidRPr="00731F92">
        <w:rPr>
          <w:rFonts w:asciiTheme="majorHAnsi" w:hAnsiTheme="majorHAnsi"/>
        </w:rPr>
        <w:t>Skytrofa can be used during breastfeeding on strict indication.</w:t>
      </w:r>
    </w:p>
    <w:p w14:paraId="03B7028E" w14:textId="30FC2021" w:rsidR="002C4189" w:rsidRPr="004C6325" w:rsidRDefault="00FB7D91" w:rsidP="00A73D97">
      <w:pPr>
        <w:pStyle w:val="Heading2"/>
        <w:ind w:left="0" w:right="-63" w:firstLine="0"/>
        <w:rPr>
          <w:rFonts w:cstheme="minorHAnsi"/>
        </w:rPr>
      </w:pPr>
      <w:r w:rsidRPr="004C6325">
        <w:rPr>
          <w:rFonts w:cstheme="minorHAnsi"/>
        </w:rPr>
        <w:t>Effects on ability to drive and use machines</w:t>
      </w:r>
      <w:r w:rsidR="00F93A39">
        <w:rPr>
          <w:rFonts w:cstheme="minorHAnsi"/>
        </w:rPr>
        <w:fldChar w:fldCharType="begin"/>
      </w:r>
      <w:r w:rsidR="00F93A39">
        <w:rPr>
          <w:rFonts w:cstheme="minorHAnsi"/>
        </w:rPr>
        <w:instrText xml:space="preserve"> DOCVARIABLE vault_nd_479d27e7-9613-4f80-8643-ff9ce8300bcf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438894ED" w14:textId="6BC8277F" w:rsidR="000A61DA" w:rsidRPr="00AA6596" w:rsidRDefault="00AA6596" w:rsidP="00A73D97">
      <w:pPr>
        <w:ind w:right="-63"/>
        <w:rPr>
          <w:rFonts w:asciiTheme="majorHAnsi" w:hAnsiTheme="majorHAnsi"/>
        </w:rPr>
      </w:pPr>
      <w:r w:rsidRPr="00AA6596">
        <w:rPr>
          <w:rFonts w:asciiTheme="majorHAnsi" w:hAnsiTheme="majorHAnsi"/>
        </w:rPr>
        <w:t>Lonapegsomatropin has no or negligible influence on the ability to drive and use machines.</w:t>
      </w:r>
    </w:p>
    <w:p w14:paraId="08F3400C" w14:textId="16B99FE2" w:rsidR="002C4189" w:rsidRPr="004C6325" w:rsidRDefault="00FB7D91" w:rsidP="00A73D97">
      <w:pPr>
        <w:pStyle w:val="Heading2"/>
        <w:ind w:left="0" w:right="-63" w:firstLine="0"/>
        <w:rPr>
          <w:rFonts w:cstheme="minorHAnsi"/>
        </w:rPr>
      </w:pPr>
      <w:r w:rsidRPr="004C6325">
        <w:rPr>
          <w:rFonts w:cstheme="minorHAnsi"/>
        </w:rPr>
        <w:t>Adverse effects (</w:t>
      </w:r>
      <w:r w:rsidR="00754D54">
        <w:rPr>
          <w:rFonts w:cstheme="minorHAnsi"/>
        </w:rPr>
        <w:t>u</w:t>
      </w:r>
      <w:r w:rsidRPr="004C6325">
        <w:rPr>
          <w:rFonts w:cstheme="minorHAnsi"/>
        </w:rPr>
        <w:t>ndesirable effects)</w:t>
      </w:r>
      <w:r w:rsidR="00F93A39">
        <w:rPr>
          <w:rFonts w:cstheme="minorHAnsi"/>
        </w:rPr>
        <w:fldChar w:fldCharType="begin"/>
      </w:r>
      <w:r w:rsidR="00F93A39">
        <w:rPr>
          <w:rFonts w:cstheme="minorHAnsi"/>
        </w:rPr>
        <w:instrText xml:space="preserve"> DOCVARIABLE vault_nd_adc98f5e-c408-437b-ae3e-11d0c6f764c4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76ECB3C5" w14:textId="21761DFB" w:rsidR="002C4189" w:rsidRPr="004C6325" w:rsidRDefault="00FB7D91" w:rsidP="00A73D97">
      <w:pPr>
        <w:pStyle w:val="Heading3"/>
        <w:spacing w:before="0" w:after="120"/>
        <w:ind w:left="0" w:right="-63"/>
      </w:pPr>
      <w:r w:rsidRPr="004C6325">
        <w:t>Summary of the safety profile</w:t>
      </w:r>
      <w:fldSimple w:instr=" DOCVARIABLE vault_nd_15d1bc65-91cb-49fb-8a99-0a47340bb93d \* MERGEFORMAT">
        <w:r w:rsidR="00F93A39">
          <w:t xml:space="preserve"> </w:t>
        </w:r>
      </w:fldSimple>
    </w:p>
    <w:p w14:paraId="683BA1C8" w14:textId="1F27A07E" w:rsidR="00754D54" w:rsidRPr="009C4567" w:rsidRDefault="00771A9F" w:rsidP="00A73D97">
      <w:pPr>
        <w:autoSpaceDE w:val="0"/>
        <w:autoSpaceDN w:val="0"/>
        <w:adjustRightInd w:val="0"/>
        <w:spacing w:after="0" w:line="240" w:lineRule="auto"/>
        <w:ind w:right="-63"/>
        <w:rPr>
          <w:rFonts w:asciiTheme="majorHAnsi" w:hAnsiTheme="majorHAnsi"/>
        </w:rPr>
      </w:pPr>
      <w:r w:rsidRPr="009C4567">
        <w:rPr>
          <w:rFonts w:asciiTheme="majorHAnsi" w:hAnsiTheme="majorHAnsi"/>
        </w:rPr>
        <w:t xml:space="preserve">The most frequently reported adverse reactions in clinical trials with lonapegsomatropin were headache (11.1%), arthralgia (4.6%), secondary hypothyroidism (2.6%), and injection site reactions (1.6%). In general, these reactions tended to be </w:t>
      </w:r>
      <w:proofErr w:type="gramStart"/>
      <w:r w:rsidRPr="009C4567">
        <w:rPr>
          <w:rFonts w:asciiTheme="majorHAnsi" w:hAnsiTheme="majorHAnsi"/>
        </w:rPr>
        <w:t>transient</w:t>
      </w:r>
      <w:proofErr w:type="gramEnd"/>
      <w:r w:rsidRPr="009C4567">
        <w:rPr>
          <w:rFonts w:asciiTheme="majorHAnsi" w:hAnsiTheme="majorHAnsi"/>
        </w:rPr>
        <w:t xml:space="preserve"> and severity was mild to moderate.</w:t>
      </w:r>
    </w:p>
    <w:p w14:paraId="1BE53811" w14:textId="77777777" w:rsidR="00771A9F" w:rsidRDefault="00771A9F" w:rsidP="00A73D97">
      <w:pPr>
        <w:autoSpaceDE w:val="0"/>
        <w:autoSpaceDN w:val="0"/>
        <w:adjustRightInd w:val="0"/>
        <w:spacing w:after="0" w:line="240" w:lineRule="auto"/>
        <w:ind w:right="-63"/>
        <w:rPr>
          <w:rFonts w:asciiTheme="majorHAnsi" w:eastAsiaTheme="majorEastAsia" w:hAnsiTheme="majorHAnsi" w:cstheme="minorHAnsi"/>
          <w:color w:val="000000" w:themeColor="text1"/>
        </w:rPr>
      </w:pPr>
    </w:p>
    <w:p w14:paraId="522B71DD" w14:textId="77777777" w:rsidR="009A6962" w:rsidRPr="009A6962" w:rsidRDefault="009A6962" w:rsidP="00A73D97">
      <w:pPr>
        <w:pStyle w:val="BodyText"/>
        <w:ind w:left="0" w:right="-63"/>
        <w:rPr>
          <w:rFonts w:asciiTheme="majorHAnsi" w:hAnsiTheme="majorHAnsi"/>
          <w:b/>
          <w:bCs/>
          <w:spacing w:val="-2"/>
        </w:rPr>
      </w:pPr>
      <w:r w:rsidRPr="009A6962">
        <w:rPr>
          <w:rFonts w:asciiTheme="majorHAnsi" w:hAnsiTheme="majorHAnsi"/>
          <w:b/>
          <w:bCs/>
        </w:rPr>
        <w:t>Tabulated</w:t>
      </w:r>
      <w:r w:rsidRPr="009A6962">
        <w:rPr>
          <w:rFonts w:asciiTheme="majorHAnsi" w:hAnsiTheme="majorHAnsi"/>
          <w:b/>
          <w:bCs/>
          <w:spacing w:val="-7"/>
        </w:rPr>
        <w:t xml:space="preserve"> </w:t>
      </w:r>
      <w:r w:rsidRPr="009A6962">
        <w:rPr>
          <w:rFonts w:asciiTheme="majorHAnsi" w:hAnsiTheme="majorHAnsi"/>
          <w:b/>
          <w:bCs/>
        </w:rPr>
        <w:t>list</w:t>
      </w:r>
      <w:r w:rsidRPr="009A6962">
        <w:rPr>
          <w:rFonts w:asciiTheme="majorHAnsi" w:hAnsiTheme="majorHAnsi"/>
          <w:b/>
          <w:bCs/>
          <w:spacing w:val="-7"/>
        </w:rPr>
        <w:t xml:space="preserve"> </w:t>
      </w:r>
      <w:r w:rsidRPr="009A6962">
        <w:rPr>
          <w:rFonts w:asciiTheme="majorHAnsi" w:hAnsiTheme="majorHAnsi"/>
          <w:b/>
          <w:bCs/>
        </w:rPr>
        <w:t>of</w:t>
      </w:r>
      <w:r w:rsidRPr="009A6962">
        <w:rPr>
          <w:rFonts w:asciiTheme="majorHAnsi" w:hAnsiTheme="majorHAnsi"/>
          <w:b/>
          <w:bCs/>
          <w:spacing w:val="-7"/>
        </w:rPr>
        <w:t xml:space="preserve"> </w:t>
      </w:r>
      <w:r w:rsidRPr="009A6962">
        <w:rPr>
          <w:rFonts w:asciiTheme="majorHAnsi" w:hAnsiTheme="majorHAnsi"/>
          <w:b/>
          <w:bCs/>
        </w:rPr>
        <w:t>adverse</w:t>
      </w:r>
      <w:r w:rsidRPr="009A6962">
        <w:rPr>
          <w:rFonts w:asciiTheme="majorHAnsi" w:hAnsiTheme="majorHAnsi"/>
          <w:b/>
          <w:bCs/>
          <w:spacing w:val="-8"/>
        </w:rPr>
        <w:t xml:space="preserve"> </w:t>
      </w:r>
      <w:r w:rsidRPr="009A6962">
        <w:rPr>
          <w:rFonts w:asciiTheme="majorHAnsi" w:hAnsiTheme="majorHAnsi"/>
          <w:b/>
          <w:bCs/>
          <w:spacing w:val="-2"/>
        </w:rPr>
        <w:t>reactions</w:t>
      </w:r>
    </w:p>
    <w:p w14:paraId="3722BA84" w14:textId="77777777" w:rsidR="009A6962" w:rsidRPr="009A6962" w:rsidRDefault="009A6962" w:rsidP="00A73D97">
      <w:pPr>
        <w:pStyle w:val="BodyText"/>
        <w:ind w:left="0" w:right="-63"/>
        <w:rPr>
          <w:rFonts w:asciiTheme="majorHAnsi" w:hAnsiTheme="majorHAnsi"/>
        </w:rPr>
      </w:pPr>
    </w:p>
    <w:p w14:paraId="7C320A77" w14:textId="77777777" w:rsidR="009C4567" w:rsidRPr="009C4567" w:rsidRDefault="009C4567" w:rsidP="00A73D97">
      <w:pPr>
        <w:spacing w:line="240" w:lineRule="auto"/>
        <w:ind w:right="-63"/>
        <w:rPr>
          <w:rFonts w:asciiTheme="majorHAnsi" w:hAnsiTheme="majorHAnsi"/>
        </w:rPr>
      </w:pPr>
      <w:r w:rsidRPr="009C4567">
        <w:rPr>
          <w:rFonts w:asciiTheme="majorHAnsi" w:hAnsiTheme="majorHAnsi"/>
        </w:rPr>
        <w:t>Table 3 below shows adverse reactions which occurred during lonapegsomatropin treatment. The adverse reactions are ranked under headings of MedDRA system organ class and frequency using the following terminology: very common (≥1/10), common (≥1/100 to &lt;1/10), uncommon (≥1/1,000 to &lt;1/100), rare (≥1/10,000 to &lt;1/1,000), very rare (&lt;1/10,000), and frequency not known (cannot be estimated from the available data).</w:t>
      </w:r>
    </w:p>
    <w:p w14:paraId="07966851" w14:textId="0E53FB2A" w:rsidR="00043AD5" w:rsidRPr="00043AD5" w:rsidRDefault="00043AD5" w:rsidP="00A73D97">
      <w:pPr>
        <w:pStyle w:val="Caption"/>
        <w:tabs>
          <w:tab w:val="left" w:pos="1134"/>
        </w:tabs>
        <w:spacing w:after="0"/>
        <w:ind w:left="1134" w:right="-63" w:hanging="1134"/>
        <w:rPr>
          <w:rFonts w:asciiTheme="majorHAnsi" w:hAnsiTheme="majorHAnsi"/>
          <w:b/>
          <w:bCs/>
          <w:i w:val="0"/>
          <w:iCs w:val="0"/>
          <w:color w:val="000000" w:themeColor="text1"/>
          <w:sz w:val="22"/>
          <w:szCs w:val="22"/>
          <w:lang w:val="en-GB"/>
        </w:rPr>
      </w:pPr>
      <w:r w:rsidRPr="00043AD5">
        <w:rPr>
          <w:rFonts w:asciiTheme="majorHAnsi" w:hAnsiTheme="majorHAnsi"/>
          <w:b/>
          <w:bCs/>
          <w:i w:val="0"/>
          <w:iCs w:val="0"/>
          <w:noProof/>
          <w:color w:val="000000" w:themeColor="text1"/>
          <w:sz w:val="22"/>
          <w:szCs w:val="22"/>
          <w:lang w:val="en-GB"/>
        </w:rPr>
        <w:t>Table </w:t>
      </w:r>
      <w:r w:rsidRPr="00043AD5">
        <w:rPr>
          <w:rFonts w:asciiTheme="majorHAnsi" w:hAnsiTheme="majorHAnsi"/>
          <w:b/>
          <w:bCs/>
          <w:i w:val="0"/>
          <w:iCs w:val="0"/>
          <w:noProof/>
          <w:color w:val="000000" w:themeColor="text1"/>
          <w:sz w:val="22"/>
          <w:szCs w:val="22"/>
          <w:lang w:val="en-GB"/>
        </w:rPr>
        <w:fldChar w:fldCharType="begin"/>
      </w:r>
      <w:r w:rsidRPr="00043AD5">
        <w:rPr>
          <w:rFonts w:asciiTheme="majorHAnsi" w:hAnsiTheme="majorHAnsi"/>
          <w:b/>
          <w:bCs/>
          <w:i w:val="0"/>
          <w:iCs w:val="0"/>
          <w:noProof/>
          <w:color w:val="000000" w:themeColor="text1"/>
          <w:sz w:val="22"/>
          <w:szCs w:val="22"/>
          <w:lang w:val="en-GB"/>
        </w:rPr>
        <w:instrText xml:space="preserve"> SEQ Table \* ARABIC \* MERGEFORMAT </w:instrText>
      </w:r>
      <w:r w:rsidRPr="00043AD5">
        <w:rPr>
          <w:rFonts w:asciiTheme="majorHAnsi" w:hAnsiTheme="majorHAnsi"/>
          <w:b/>
          <w:bCs/>
          <w:i w:val="0"/>
          <w:iCs w:val="0"/>
          <w:noProof/>
          <w:color w:val="000000" w:themeColor="text1"/>
          <w:sz w:val="22"/>
          <w:szCs w:val="22"/>
          <w:lang w:val="en-GB"/>
        </w:rPr>
        <w:fldChar w:fldCharType="separate"/>
      </w:r>
      <w:r w:rsidR="002C045A">
        <w:rPr>
          <w:rFonts w:asciiTheme="majorHAnsi" w:hAnsiTheme="majorHAnsi"/>
          <w:b/>
          <w:bCs/>
          <w:i w:val="0"/>
          <w:iCs w:val="0"/>
          <w:noProof/>
          <w:color w:val="000000" w:themeColor="text1"/>
          <w:sz w:val="22"/>
          <w:szCs w:val="22"/>
          <w:lang w:val="en-GB"/>
        </w:rPr>
        <w:t>3</w:t>
      </w:r>
      <w:r w:rsidRPr="00043AD5">
        <w:rPr>
          <w:rFonts w:asciiTheme="majorHAnsi" w:hAnsiTheme="majorHAnsi"/>
          <w:b/>
          <w:bCs/>
          <w:i w:val="0"/>
          <w:iCs w:val="0"/>
          <w:noProof/>
          <w:color w:val="000000" w:themeColor="text1"/>
          <w:sz w:val="22"/>
          <w:szCs w:val="22"/>
          <w:lang w:val="en-GB"/>
        </w:rPr>
        <w:fldChar w:fldCharType="end"/>
      </w:r>
      <w:r w:rsidRPr="00043AD5">
        <w:rPr>
          <w:rFonts w:asciiTheme="majorHAnsi" w:hAnsiTheme="majorHAnsi"/>
          <w:b/>
          <w:bCs/>
          <w:i w:val="0"/>
          <w:iCs w:val="0"/>
          <w:noProof/>
          <w:color w:val="000000" w:themeColor="text1"/>
          <w:sz w:val="22"/>
          <w:szCs w:val="22"/>
          <w:lang w:val="en-GB"/>
        </w:rPr>
        <w:tab/>
      </w:r>
      <w:r w:rsidRPr="00043AD5">
        <w:rPr>
          <w:rFonts w:asciiTheme="majorHAnsi" w:hAnsiTheme="majorHAnsi"/>
          <w:b/>
          <w:bCs/>
          <w:i w:val="0"/>
          <w:iCs w:val="0"/>
          <w:color w:val="000000" w:themeColor="text1"/>
          <w:sz w:val="22"/>
          <w:szCs w:val="22"/>
          <w:lang w:val="en-GB"/>
        </w:rPr>
        <w:t>Frequency of adverse reactions in clinical trials</w:t>
      </w:r>
      <w:r w:rsidRPr="00043AD5">
        <w:rPr>
          <w:rFonts w:asciiTheme="majorHAnsi" w:hAnsiTheme="majorHAnsi"/>
          <w:b/>
          <w:bCs/>
          <w:i w:val="0"/>
          <w:iCs w:val="0"/>
          <w:color w:val="000000" w:themeColor="text1"/>
          <w:sz w:val="22"/>
          <w:szCs w:val="22"/>
          <w:lang w:val="en-GB"/>
        </w:rPr>
        <w:fldChar w:fldCharType="begin"/>
      </w:r>
      <w:r w:rsidRPr="00043AD5">
        <w:rPr>
          <w:rFonts w:asciiTheme="majorHAnsi" w:hAnsiTheme="majorHAnsi"/>
          <w:b/>
          <w:bCs/>
          <w:i w:val="0"/>
          <w:iCs w:val="0"/>
          <w:color w:val="000000" w:themeColor="text1"/>
          <w:sz w:val="22"/>
          <w:szCs w:val="22"/>
          <w:lang w:val="en-GB"/>
        </w:rPr>
        <w:instrText xml:space="preserve"> DOCVARIABLE vault_nd_c104b51c-6f7e-43ad-a1eb-7e4098a2044f \* MERGEFORMAT </w:instrText>
      </w:r>
      <w:r w:rsidRPr="00043AD5">
        <w:rPr>
          <w:rFonts w:asciiTheme="majorHAnsi" w:hAnsiTheme="majorHAnsi"/>
          <w:b/>
          <w:bCs/>
          <w:i w:val="0"/>
          <w:iCs w:val="0"/>
          <w:color w:val="000000" w:themeColor="text1"/>
          <w:sz w:val="22"/>
          <w:szCs w:val="22"/>
          <w:lang w:val="en-GB"/>
        </w:rPr>
        <w:fldChar w:fldCharType="separate"/>
      </w:r>
      <w:r w:rsidRPr="00043AD5">
        <w:rPr>
          <w:rFonts w:asciiTheme="majorHAnsi" w:hAnsiTheme="majorHAnsi"/>
          <w:b/>
          <w:bCs/>
          <w:i w:val="0"/>
          <w:iCs w:val="0"/>
          <w:color w:val="000000" w:themeColor="text1"/>
          <w:sz w:val="22"/>
          <w:szCs w:val="22"/>
          <w:lang w:val="en-GB"/>
        </w:rPr>
        <w:t xml:space="preserve"> </w:t>
      </w:r>
      <w:r w:rsidRPr="00043AD5">
        <w:rPr>
          <w:rFonts w:asciiTheme="majorHAnsi" w:hAnsiTheme="majorHAnsi"/>
          <w:b/>
          <w:bCs/>
          <w:i w:val="0"/>
          <w:iCs w:val="0"/>
          <w:color w:val="000000" w:themeColor="text1"/>
          <w:sz w:val="22"/>
          <w:szCs w:val="22"/>
          <w:lang w:val="en-GB"/>
        </w:rPr>
        <w:fldChar w:fldCharType="end"/>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8"/>
        <w:gridCol w:w="2168"/>
        <w:gridCol w:w="2478"/>
        <w:gridCol w:w="2515"/>
      </w:tblGrid>
      <w:tr w:rsidR="00043AD5" w:rsidRPr="00043AD5" w14:paraId="00252B26" w14:textId="77777777" w:rsidTr="00A13598">
        <w:trPr>
          <w:tblHeader/>
        </w:trPr>
        <w:tc>
          <w:tcPr>
            <w:tcW w:w="1390" w:type="pct"/>
          </w:tcPr>
          <w:p w14:paraId="302CA0B3" w14:textId="77777777" w:rsidR="00043AD5" w:rsidRPr="00043AD5" w:rsidRDefault="00043AD5" w:rsidP="00A73D97">
            <w:pPr>
              <w:pStyle w:val="C-TableHeader"/>
              <w:spacing w:before="0" w:after="0"/>
              <w:ind w:right="-63"/>
              <w:jc w:val="center"/>
              <w:rPr>
                <w:rFonts w:asciiTheme="majorHAnsi" w:hAnsiTheme="majorHAnsi"/>
                <w:szCs w:val="22"/>
                <w:lang w:val="en-GB"/>
              </w:rPr>
            </w:pPr>
            <w:r w:rsidRPr="00043AD5">
              <w:rPr>
                <w:rFonts w:asciiTheme="majorHAnsi" w:hAnsiTheme="majorHAnsi"/>
                <w:szCs w:val="22"/>
                <w:lang w:val="en-GB"/>
              </w:rPr>
              <w:lastRenderedPageBreak/>
              <w:t>System organ class</w:t>
            </w:r>
          </w:p>
        </w:tc>
        <w:tc>
          <w:tcPr>
            <w:tcW w:w="1093" w:type="pct"/>
          </w:tcPr>
          <w:p w14:paraId="3B1DD27D" w14:textId="77777777" w:rsidR="00043AD5" w:rsidRPr="00043AD5" w:rsidRDefault="00043AD5" w:rsidP="00A73D97">
            <w:pPr>
              <w:pStyle w:val="C-TableHeader"/>
              <w:spacing w:before="0" w:after="0"/>
              <w:ind w:right="-63"/>
              <w:jc w:val="center"/>
              <w:rPr>
                <w:rFonts w:asciiTheme="majorHAnsi" w:hAnsiTheme="majorHAnsi"/>
                <w:szCs w:val="22"/>
                <w:lang w:val="en-GB"/>
              </w:rPr>
            </w:pPr>
            <w:r w:rsidRPr="00043AD5">
              <w:rPr>
                <w:rFonts w:asciiTheme="majorHAnsi" w:hAnsiTheme="majorHAnsi"/>
                <w:szCs w:val="22"/>
                <w:lang w:val="en-GB"/>
              </w:rPr>
              <w:t>Very common</w:t>
            </w:r>
          </w:p>
        </w:tc>
        <w:tc>
          <w:tcPr>
            <w:tcW w:w="1249" w:type="pct"/>
          </w:tcPr>
          <w:p w14:paraId="0220C8A0" w14:textId="77777777" w:rsidR="00043AD5" w:rsidRPr="00043AD5" w:rsidRDefault="00043AD5" w:rsidP="00A73D97">
            <w:pPr>
              <w:pStyle w:val="C-TableHeader"/>
              <w:spacing w:before="0" w:after="0"/>
              <w:ind w:right="-63"/>
              <w:jc w:val="center"/>
              <w:rPr>
                <w:rFonts w:asciiTheme="majorHAnsi" w:hAnsiTheme="majorHAnsi"/>
                <w:szCs w:val="22"/>
                <w:lang w:val="en-GB"/>
              </w:rPr>
            </w:pPr>
            <w:r w:rsidRPr="00043AD5">
              <w:rPr>
                <w:rFonts w:asciiTheme="majorHAnsi" w:hAnsiTheme="majorHAnsi"/>
                <w:szCs w:val="22"/>
                <w:lang w:val="en-GB"/>
              </w:rPr>
              <w:t>Common</w:t>
            </w:r>
          </w:p>
        </w:tc>
        <w:tc>
          <w:tcPr>
            <w:tcW w:w="1268" w:type="pct"/>
          </w:tcPr>
          <w:p w14:paraId="3EBD52FB" w14:textId="77777777" w:rsidR="00043AD5" w:rsidRPr="00043AD5" w:rsidRDefault="00043AD5" w:rsidP="00A73D97">
            <w:pPr>
              <w:pStyle w:val="C-TableHeader"/>
              <w:spacing w:before="0" w:after="0"/>
              <w:ind w:right="-63"/>
              <w:jc w:val="center"/>
              <w:rPr>
                <w:rFonts w:asciiTheme="majorHAnsi" w:hAnsiTheme="majorHAnsi"/>
                <w:szCs w:val="22"/>
                <w:lang w:val="en-GB"/>
              </w:rPr>
            </w:pPr>
            <w:r w:rsidRPr="00043AD5">
              <w:rPr>
                <w:rFonts w:asciiTheme="majorHAnsi" w:hAnsiTheme="majorHAnsi"/>
                <w:szCs w:val="22"/>
                <w:lang w:val="en-GB"/>
              </w:rPr>
              <w:t>Uncommon</w:t>
            </w:r>
          </w:p>
        </w:tc>
      </w:tr>
      <w:tr w:rsidR="00043AD5" w:rsidRPr="00043AD5" w14:paraId="26BAF02B" w14:textId="77777777" w:rsidTr="00A13598">
        <w:tc>
          <w:tcPr>
            <w:tcW w:w="1390" w:type="pct"/>
          </w:tcPr>
          <w:p w14:paraId="2CF5119F" w14:textId="77777777" w:rsidR="00043AD5" w:rsidRPr="00043AD5" w:rsidRDefault="00043AD5" w:rsidP="00A73D97">
            <w:pPr>
              <w:pStyle w:val="C-TableHeader"/>
              <w:spacing w:before="0" w:after="0"/>
              <w:ind w:right="-63"/>
              <w:jc w:val="center"/>
              <w:rPr>
                <w:rFonts w:asciiTheme="majorHAnsi" w:hAnsiTheme="majorHAnsi"/>
                <w:b w:val="0"/>
                <w:bCs/>
                <w:szCs w:val="22"/>
                <w:lang w:val="en-GB"/>
              </w:rPr>
            </w:pPr>
            <w:r w:rsidRPr="00043AD5">
              <w:rPr>
                <w:rFonts w:asciiTheme="majorHAnsi" w:hAnsiTheme="majorHAnsi"/>
                <w:b w:val="0"/>
                <w:bCs/>
                <w:szCs w:val="22"/>
                <w:lang w:val="en-GB"/>
              </w:rPr>
              <w:t>Immune system disorders</w:t>
            </w:r>
          </w:p>
        </w:tc>
        <w:tc>
          <w:tcPr>
            <w:tcW w:w="1093" w:type="pct"/>
          </w:tcPr>
          <w:p w14:paraId="50B1B8CF" w14:textId="77777777" w:rsidR="00043AD5" w:rsidRPr="00043AD5" w:rsidRDefault="00043AD5" w:rsidP="00A73D97">
            <w:pPr>
              <w:pStyle w:val="C-TableHeader"/>
              <w:spacing w:before="0" w:after="0"/>
              <w:ind w:right="-63"/>
              <w:jc w:val="center"/>
              <w:rPr>
                <w:rFonts w:asciiTheme="majorHAnsi" w:hAnsiTheme="majorHAnsi"/>
                <w:b w:val="0"/>
                <w:bCs/>
                <w:szCs w:val="22"/>
                <w:lang w:val="en-GB"/>
              </w:rPr>
            </w:pPr>
          </w:p>
        </w:tc>
        <w:tc>
          <w:tcPr>
            <w:tcW w:w="1249" w:type="pct"/>
          </w:tcPr>
          <w:p w14:paraId="4D0BC054" w14:textId="77777777" w:rsidR="00043AD5" w:rsidRPr="00043AD5" w:rsidRDefault="00043AD5" w:rsidP="00A73D97">
            <w:pPr>
              <w:pStyle w:val="C-TableHeader"/>
              <w:spacing w:before="0" w:after="0"/>
              <w:ind w:right="-63"/>
              <w:jc w:val="center"/>
              <w:rPr>
                <w:rFonts w:asciiTheme="majorHAnsi" w:hAnsiTheme="majorHAnsi"/>
                <w:b w:val="0"/>
                <w:bCs/>
                <w:szCs w:val="22"/>
                <w:lang w:val="en-GB"/>
              </w:rPr>
            </w:pPr>
          </w:p>
        </w:tc>
        <w:tc>
          <w:tcPr>
            <w:tcW w:w="1268" w:type="pct"/>
          </w:tcPr>
          <w:p w14:paraId="56DE3C44" w14:textId="77777777" w:rsidR="00043AD5" w:rsidRPr="00043AD5" w:rsidRDefault="00043AD5" w:rsidP="00A73D97">
            <w:pPr>
              <w:pStyle w:val="C-TableHeader"/>
              <w:spacing w:before="0" w:after="0"/>
              <w:ind w:right="-63"/>
              <w:jc w:val="center"/>
              <w:rPr>
                <w:rFonts w:asciiTheme="majorHAnsi" w:hAnsiTheme="majorHAnsi"/>
                <w:b w:val="0"/>
                <w:bCs/>
                <w:szCs w:val="22"/>
                <w:lang w:val="en-GB"/>
              </w:rPr>
            </w:pPr>
            <w:r w:rsidRPr="00043AD5">
              <w:rPr>
                <w:rFonts w:asciiTheme="majorHAnsi" w:hAnsiTheme="majorHAnsi"/>
                <w:b w:val="0"/>
                <w:bCs/>
                <w:szCs w:val="22"/>
                <w:lang w:val="en-GB"/>
              </w:rPr>
              <w:t xml:space="preserve">Anaphylactic </w:t>
            </w:r>
            <w:proofErr w:type="spellStart"/>
            <w:r w:rsidRPr="00043AD5">
              <w:rPr>
                <w:rFonts w:asciiTheme="majorHAnsi" w:hAnsiTheme="majorHAnsi"/>
                <w:b w:val="0"/>
                <w:bCs/>
                <w:szCs w:val="22"/>
                <w:lang w:val="en-GB"/>
              </w:rPr>
              <w:t>reaction</w:t>
            </w:r>
            <w:r w:rsidRPr="00043AD5">
              <w:rPr>
                <w:rFonts w:asciiTheme="majorHAnsi" w:hAnsiTheme="majorHAnsi"/>
                <w:b w:val="0"/>
                <w:bCs/>
                <w:szCs w:val="22"/>
                <w:vertAlign w:val="superscript"/>
                <w:lang w:val="en-GB"/>
              </w:rPr>
              <w:t>b</w:t>
            </w:r>
            <w:proofErr w:type="spellEnd"/>
          </w:p>
        </w:tc>
      </w:tr>
      <w:tr w:rsidR="00043AD5" w:rsidRPr="00043AD5" w14:paraId="32407395" w14:textId="77777777" w:rsidTr="00A13598">
        <w:tc>
          <w:tcPr>
            <w:tcW w:w="1390" w:type="pct"/>
          </w:tcPr>
          <w:p w14:paraId="6C9C77F0"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Endocrine disorders</w:t>
            </w:r>
          </w:p>
        </w:tc>
        <w:tc>
          <w:tcPr>
            <w:tcW w:w="1093" w:type="pct"/>
          </w:tcPr>
          <w:p w14:paraId="49B2159E" w14:textId="77777777" w:rsidR="00043AD5" w:rsidRPr="00043AD5" w:rsidRDefault="00043AD5" w:rsidP="00A73D97">
            <w:pPr>
              <w:pStyle w:val="C-TableText"/>
              <w:spacing w:before="0" w:after="0"/>
              <w:ind w:right="-63"/>
              <w:jc w:val="center"/>
              <w:rPr>
                <w:rFonts w:asciiTheme="majorHAnsi" w:hAnsiTheme="majorHAnsi"/>
                <w:szCs w:val="22"/>
                <w:lang w:val="en-GB"/>
              </w:rPr>
            </w:pPr>
          </w:p>
        </w:tc>
        <w:tc>
          <w:tcPr>
            <w:tcW w:w="1249" w:type="pct"/>
          </w:tcPr>
          <w:p w14:paraId="4FF429BC"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Secondary hypothyroidism</w:t>
            </w:r>
          </w:p>
        </w:tc>
        <w:tc>
          <w:tcPr>
            <w:tcW w:w="1268" w:type="pct"/>
          </w:tcPr>
          <w:p w14:paraId="64F1FB3E"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Secondary adrenocortical insufficiency</w:t>
            </w:r>
          </w:p>
        </w:tc>
      </w:tr>
      <w:tr w:rsidR="00043AD5" w:rsidRPr="00043AD5" w14:paraId="706239C3" w14:textId="77777777" w:rsidTr="00A13598">
        <w:tc>
          <w:tcPr>
            <w:tcW w:w="1390" w:type="pct"/>
          </w:tcPr>
          <w:p w14:paraId="6D9EF0D8"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Nervous system disorders</w:t>
            </w:r>
          </w:p>
        </w:tc>
        <w:tc>
          <w:tcPr>
            <w:tcW w:w="1093" w:type="pct"/>
          </w:tcPr>
          <w:p w14:paraId="058A86E2"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Headache</w:t>
            </w:r>
          </w:p>
        </w:tc>
        <w:tc>
          <w:tcPr>
            <w:tcW w:w="1249" w:type="pct"/>
          </w:tcPr>
          <w:p w14:paraId="2E653BAF" w14:textId="77777777" w:rsidR="00043AD5" w:rsidRPr="00043AD5" w:rsidRDefault="00043AD5" w:rsidP="00A73D97">
            <w:pPr>
              <w:pStyle w:val="C-TableText"/>
              <w:spacing w:before="0" w:after="0"/>
              <w:ind w:right="-63"/>
              <w:jc w:val="center"/>
              <w:rPr>
                <w:rFonts w:asciiTheme="majorHAnsi" w:hAnsiTheme="majorHAnsi"/>
                <w:szCs w:val="22"/>
                <w:lang w:val="en-GB"/>
              </w:rPr>
            </w:pPr>
          </w:p>
        </w:tc>
        <w:tc>
          <w:tcPr>
            <w:tcW w:w="1268" w:type="pct"/>
          </w:tcPr>
          <w:p w14:paraId="7CAF6929" w14:textId="77777777" w:rsidR="00043AD5" w:rsidRPr="00043AD5" w:rsidRDefault="00043AD5" w:rsidP="00A73D97">
            <w:pPr>
              <w:pStyle w:val="C-TableText"/>
              <w:spacing w:before="0" w:after="0"/>
              <w:ind w:right="-63"/>
              <w:jc w:val="center"/>
              <w:rPr>
                <w:rFonts w:asciiTheme="majorHAnsi" w:hAnsiTheme="majorHAnsi"/>
                <w:szCs w:val="22"/>
                <w:lang w:val="en-GB"/>
              </w:rPr>
            </w:pPr>
          </w:p>
        </w:tc>
      </w:tr>
      <w:tr w:rsidR="00043AD5" w:rsidRPr="00043AD5" w14:paraId="5C0CA664" w14:textId="77777777" w:rsidTr="00A13598">
        <w:tc>
          <w:tcPr>
            <w:tcW w:w="1390" w:type="pct"/>
          </w:tcPr>
          <w:p w14:paraId="034ECF07"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Musculoskeletal and connective tissue disorders</w:t>
            </w:r>
          </w:p>
        </w:tc>
        <w:tc>
          <w:tcPr>
            <w:tcW w:w="1093" w:type="pct"/>
          </w:tcPr>
          <w:p w14:paraId="0168E34A" w14:textId="77777777" w:rsidR="00043AD5" w:rsidRPr="00043AD5" w:rsidRDefault="00043AD5" w:rsidP="00A73D97">
            <w:pPr>
              <w:pStyle w:val="C-TableText"/>
              <w:spacing w:before="0" w:after="0"/>
              <w:ind w:right="-63"/>
              <w:jc w:val="center"/>
              <w:rPr>
                <w:rFonts w:asciiTheme="majorHAnsi" w:hAnsiTheme="majorHAnsi"/>
                <w:szCs w:val="22"/>
                <w:lang w:val="en-GB"/>
              </w:rPr>
            </w:pPr>
          </w:p>
        </w:tc>
        <w:tc>
          <w:tcPr>
            <w:tcW w:w="1249" w:type="pct"/>
          </w:tcPr>
          <w:p w14:paraId="2FE433A6"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Arthralgia</w:t>
            </w:r>
          </w:p>
        </w:tc>
        <w:tc>
          <w:tcPr>
            <w:tcW w:w="1268" w:type="pct"/>
          </w:tcPr>
          <w:p w14:paraId="609E46C1"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 xml:space="preserve">Scoliosis </w:t>
            </w:r>
          </w:p>
          <w:p w14:paraId="330D56F2"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 xml:space="preserve">Arthritis </w:t>
            </w:r>
          </w:p>
          <w:p w14:paraId="21CD4CEB"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Growing pains</w:t>
            </w:r>
          </w:p>
        </w:tc>
      </w:tr>
      <w:tr w:rsidR="00043AD5" w:rsidRPr="00043AD5" w14:paraId="18A62F83" w14:textId="77777777" w:rsidTr="00A13598">
        <w:tc>
          <w:tcPr>
            <w:tcW w:w="1390" w:type="pct"/>
          </w:tcPr>
          <w:p w14:paraId="6C582E0E"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Reproductive system and breast disorders</w:t>
            </w:r>
          </w:p>
        </w:tc>
        <w:tc>
          <w:tcPr>
            <w:tcW w:w="1093" w:type="pct"/>
          </w:tcPr>
          <w:p w14:paraId="0DEBC63A" w14:textId="77777777" w:rsidR="00043AD5" w:rsidRPr="00043AD5" w:rsidRDefault="00043AD5" w:rsidP="00A73D97">
            <w:pPr>
              <w:pStyle w:val="C-TableText"/>
              <w:spacing w:before="0" w:after="0"/>
              <w:ind w:right="-63"/>
              <w:jc w:val="center"/>
              <w:rPr>
                <w:rFonts w:asciiTheme="majorHAnsi" w:hAnsiTheme="majorHAnsi"/>
                <w:szCs w:val="22"/>
                <w:lang w:val="en-GB"/>
              </w:rPr>
            </w:pPr>
          </w:p>
        </w:tc>
        <w:tc>
          <w:tcPr>
            <w:tcW w:w="1249" w:type="pct"/>
          </w:tcPr>
          <w:p w14:paraId="29204B34" w14:textId="77777777" w:rsidR="00043AD5" w:rsidRPr="00043AD5" w:rsidRDefault="00043AD5" w:rsidP="00A73D97">
            <w:pPr>
              <w:pStyle w:val="C-TableText"/>
              <w:spacing w:before="0" w:after="0"/>
              <w:ind w:right="-63"/>
              <w:jc w:val="center"/>
              <w:rPr>
                <w:rFonts w:asciiTheme="majorHAnsi" w:hAnsiTheme="majorHAnsi"/>
                <w:szCs w:val="22"/>
                <w:lang w:val="en-GB"/>
              </w:rPr>
            </w:pPr>
          </w:p>
        </w:tc>
        <w:tc>
          <w:tcPr>
            <w:tcW w:w="1268" w:type="pct"/>
          </w:tcPr>
          <w:p w14:paraId="56F1E334"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Gynaecomastia</w:t>
            </w:r>
          </w:p>
        </w:tc>
      </w:tr>
      <w:tr w:rsidR="00043AD5" w:rsidRPr="00043AD5" w14:paraId="290FF46E" w14:textId="77777777" w:rsidTr="00A13598">
        <w:tc>
          <w:tcPr>
            <w:tcW w:w="1390" w:type="pct"/>
          </w:tcPr>
          <w:p w14:paraId="3A798477"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General disorders and administration site conditions</w:t>
            </w:r>
          </w:p>
        </w:tc>
        <w:tc>
          <w:tcPr>
            <w:tcW w:w="1093" w:type="pct"/>
          </w:tcPr>
          <w:p w14:paraId="62DB94D5" w14:textId="77777777" w:rsidR="00043AD5" w:rsidRPr="00043AD5" w:rsidRDefault="00043AD5" w:rsidP="00A73D97">
            <w:pPr>
              <w:pStyle w:val="C-TableText"/>
              <w:spacing w:before="0" w:after="0"/>
              <w:ind w:right="-63"/>
              <w:jc w:val="center"/>
              <w:rPr>
                <w:rFonts w:asciiTheme="majorHAnsi" w:hAnsiTheme="majorHAnsi"/>
                <w:szCs w:val="22"/>
                <w:lang w:val="en-GB"/>
              </w:rPr>
            </w:pPr>
          </w:p>
        </w:tc>
        <w:tc>
          <w:tcPr>
            <w:tcW w:w="1249" w:type="pct"/>
          </w:tcPr>
          <w:p w14:paraId="1CE993C9" w14:textId="77777777" w:rsidR="00043AD5" w:rsidRPr="00043AD5" w:rsidRDefault="00043AD5" w:rsidP="00A73D97">
            <w:pPr>
              <w:pStyle w:val="C-TableText"/>
              <w:spacing w:before="0" w:after="0"/>
              <w:ind w:right="-63"/>
              <w:jc w:val="center"/>
              <w:rPr>
                <w:rFonts w:asciiTheme="majorHAnsi" w:hAnsiTheme="majorHAnsi"/>
                <w:szCs w:val="22"/>
                <w:lang w:val="en-GB"/>
              </w:rPr>
            </w:pPr>
            <w:r w:rsidRPr="00043AD5">
              <w:rPr>
                <w:rFonts w:asciiTheme="majorHAnsi" w:hAnsiTheme="majorHAnsi"/>
                <w:szCs w:val="22"/>
                <w:lang w:val="en-GB"/>
              </w:rPr>
              <w:t xml:space="preserve">Injection site </w:t>
            </w:r>
            <w:proofErr w:type="spellStart"/>
            <w:r w:rsidRPr="00043AD5">
              <w:rPr>
                <w:rFonts w:asciiTheme="majorHAnsi" w:hAnsiTheme="majorHAnsi"/>
                <w:szCs w:val="22"/>
                <w:lang w:val="en-GB"/>
              </w:rPr>
              <w:t>reactions</w:t>
            </w:r>
            <w:r w:rsidRPr="00043AD5">
              <w:rPr>
                <w:rFonts w:asciiTheme="majorHAnsi" w:hAnsiTheme="majorHAnsi"/>
                <w:szCs w:val="22"/>
                <w:vertAlign w:val="superscript"/>
                <w:lang w:val="en-GB"/>
              </w:rPr>
              <w:t>a</w:t>
            </w:r>
            <w:proofErr w:type="spellEnd"/>
          </w:p>
        </w:tc>
        <w:tc>
          <w:tcPr>
            <w:tcW w:w="1268" w:type="pct"/>
          </w:tcPr>
          <w:p w14:paraId="47D748C8" w14:textId="77777777" w:rsidR="00043AD5" w:rsidRPr="00043AD5" w:rsidRDefault="00043AD5" w:rsidP="00A73D97">
            <w:pPr>
              <w:pStyle w:val="C-TableText"/>
              <w:spacing w:before="0" w:after="0"/>
              <w:ind w:right="-63"/>
              <w:jc w:val="center"/>
              <w:rPr>
                <w:rFonts w:asciiTheme="majorHAnsi" w:hAnsiTheme="majorHAnsi"/>
                <w:szCs w:val="22"/>
                <w:lang w:val="en-GB"/>
              </w:rPr>
            </w:pPr>
          </w:p>
        </w:tc>
      </w:tr>
    </w:tbl>
    <w:p w14:paraId="6420D648" w14:textId="77777777" w:rsidR="00043AD5" w:rsidRPr="00043AD5" w:rsidRDefault="00043AD5" w:rsidP="00A73D97">
      <w:pPr>
        <w:pStyle w:val="C-Footnote"/>
        <w:ind w:left="142" w:right="-63" w:hanging="142"/>
        <w:rPr>
          <w:rFonts w:asciiTheme="majorHAnsi" w:hAnsiTheme="majorHAnsi" w:cs="Times New Roman"/>
          <w:sz w:val="18"/>
          <w:szCs w:val="18"/>
          <w:lang w:val="en-GB"/>
        </w:rPr>
      </w:pPr>
      <w:proofErr w:type="spellStart"/>
      <w:proofErr w:type="gramStart"/>
      <w:r w:rsidRPr="00043AD5">
        <w:rPr>
          <w:rFonts w:asciiTheme="majorHAnsi" w:hAnsiTheme="majorHAnsi" w:cs="Times New Roman"/>
          <w:sz w:val="18"/>
          <w:szCs w:val="18"/>
          <w:vertAlign w:val="superscript"/>
          <w:lang w:val="en-GB"/>
        </w:rPr>
        <w:t>a</w:t>
      </w:r>
      <w:proofErr w:type="spellEnd"/>
      <w:proofErr w:type="gramEnd"/>
      <w:r w:rsidRPr="00043AD5">
        <w:rPr>
          <w:rFonts w:asciiTheme="majorHAnsi" w:hAnsiTheme="majorHAnsi" w:cs="Times New Roman"/>
          <w:sz w:val="18"/>
          <w:szCs w:val="18"/>
          <w:lang w:val="en-GB"/>
        </w:rPr>
        <w:tab/>
        <w:t>Injection site reactions include hyperaemia, injection site atrophy, injection site pain, injection site urticaria, and localised oedema. The injection site reactions observed with lonapegsomatropin were generally mild and transient.</w:t>
      </w:r>
    </w:p>
    <w:p w14:paraId="5AC97C72" w14:textId="77777777" w:rsidR="00043AD5" w:rsidRPr="00043AD5" w:rsidRDefault="00043AD5" w:rsidP="00A73D97">
      <w:pPr>
        <w:pStyle w:val="C-Footnote"/>
        <w:ind w:left="142" w:right="-63" w:hanging="142"/>
        <w:rPr>
          <w:rFonts w:asciiTheme="majorHAnsi" w:hAnsiTheme="majorHAnsi" w:cs="Times New Roman"/>
          <w:sz w:val="18"/>
          <w:szCs w:val="18"/>
          <w:lang w:val="en-GB"/>
        </w:rPr>
      </w:pPr>
      <w:r w:rsidRPr="00043AD5">
        <w:rPr>
          <w:rFonts w:asciiTheme="majorHAnsi" w:hAnsiTheme="majorHAnsi" w:cs="Times New Roman"/>
          <w:sz w:val="18"/>
          <w:szCs w:val="18"/>
          <w:vertAlign w:val="superscript"/>
          <w:lang w:val="en-GB"/>
        </w:rPr>
        <w:t xml:space="preserve">b </w:t>
      </w:r>
      <w:r w:rsidRPr="00043AD5">
        <w:rPr>
          <w:rFonts w:asciiTheme="majorHAnsi" w:hAnsiTheme="majorHAnsi" w:cs="Times New Roman"/>
          <w:sz w:val="18"/>
          <w:szCs w:val="18"/>
          <w:lang w:val="en-GB"/>
        </w:rPr>
        <w:t>Anaphylactic reactions reported with lonapegsomatropin included angioedema (see section 4.4).</w:t>
      </w:r>
    </w:p>
    <w:p w14:paraId="6648199A" w14:textId="77777777" w:rsidR="00505CFF" w:rsidRDefault="00505CFF" w:rsidP="00A73D97">
      <w:pPr>
        <w:pStyle w:val="Heading3"/>
        <w:spacing w:before="0" w:after="120"/>
        <w:ind w:left="0" w:right="-63"/>
      </w:pPr>
    </w:p>
    <w:p w14:paraId="6F12DDA9" w14:textId="77777777" w:rsidR="00326BFD" w:rsidRPr="002654E4" w:rsidRDefault="00326BFD" w:rsidP="00A73D97">
      <w:pPr>
        <w:spacing w:line="240" w:lineRule="auto"/>
        <w:ind w:right="-63"/>
        <w:rPr>
          <w:rFonts w:asciiTheme="majorHAnsi" w:eastAsia="Times New Roman" w:hAnsiTheme="majorHAnsi"/>
          <w:b/>
          <w:bCs/>
        </w:rPr>
      </w:pPr>
      <w:r w:rsidRPr="002654E4">
        <w:rPr>
          <w:rFonts w:asciiTheme="majorHAnsi" w:eastAsia="Times New Roman" w:hAnsiTheme="majorHAnsi"/>
          <w:b/>
          <w:bCs/>
        </w:rPr>
        <w:t>Description of selected adverse reactions</w:t>
      </w:r>
    </w:p>
    <w:p w14:paraId="2DED303F" w14:textId="3FC15D8D" w:rsidR="00326BFD" w:rsidRPr="002654E4" w:rsidRDefault="00326BFD" w:rsidP="00A73D97">
      <w:pPr>
        <w:spacing w:line="240" w:lineRule="auto"/>
        <w:ind w:right="-63"/>
        <w:rPr>
          <w:rFonts w:asciiTheme="majorHAnsi" w:hAnsiTheme="majorHAnsi"/>
          <w:i/>
          <w:u w:val="single"/>
        </w:rPr>
      </w:pPr>
      <w:r w:rsidRPr="002654E4">
        <w:rPr>
          <w:rFonts w:asciiTheme="majorHAnsi" w:hAnsiTheme="majorHAnsi"/>
          <w:i/>
          <w:u w:val="single"/>
        </w:rPr>
        <w:t>Immunogenicity</w:t>
      </w:r>
    </w:p>
    <w:p w14:paraId="25613B83" w14:textId="389B54C6" w:rsidR="00CB0B61" w:rsidRPr="002654E4" w:rsidRDefault="00326BFD" w:rsidP="00A73D97">
      <w:pPr>
        <w:spacing w:line="240" w:lineRule="auto"/>
        <w:ind w:right="-63"/>
        <w:rPr>
          <w:rFonts w:asciiTheme="majorHAnsi" w:hAnsiTheme="majorHAnsi"/>
        </w:rPr>
      </w:pPr>
      <w:r w:rsidRPr="002654E4">
        <w:rPr>
          <w:rFonts w:asciiTheme="majorHAnsi" w:hAnsiTheme="majorHAnsi"/>
        </w:rPr>
        <w:t xml:space="preserve">Patients may develop antibodies to lonapegsomatropin. The proportion of patients testing positive for detectable binding antibodies at any time during treatment was low (6.3%) and no patients had neutralising antibodies. </w:t>
      </w:r>
      <w:r w:rsidRPr="002654E4">
        <w:rPr>
          <w:rStyle w:val="normaltextrun"/>
          <w:rFonts w:asciiTheme="majorHAnsi" w:hAnsiTheme="majorHAnsi"/>
          <w:color w:val="000000"/>
        </w:rPr>
        <w:t>No apparent correlation of anti</w:t>
      </w:r>
      <w:r w:rsidRPr="002654E4">
        <w:rPr>
          <w:rStyle w:val="normaltextrun"/>
          <w:rFonts w:asciiTheme="majorHAnsi" w:hAnsiTheme="majorHAnsi"/>
          <w:color w:val="000000"/>
        </w:rPr>
        <w:noBreakHyphen/>
        <w:t xml:space="preserve">lonapegsomatropin binding antibodies to </w:t>
      </w:r>
      <w:r w:rsidRPr="002654E4">
        <w:rPr>
          <w:rFonts w:asciiTheme="majorHAnsi" w:hAnsiTheme="majorHAnsi"/>
        </w:rPr>
        <w:t>adverse events or loss of efficacy was observed. In case of an otherwise unexplained lack of response to lonapegsomatropin treatment, testing for antibodies to lonapegsomatropin should be considered (see section 4.4).</w:t>
      </w:r>
    </w:p>
    <w:p w14:paraId="10F69D96" w14:textId="77777777" w:rsidR="002654E4" w:rsidRPr="002654E4" w:rsidRDefault="002654E4" w:rsidP="00A73D97">
      <w:pPr>
        <w:keepNext/>
        <w:keepLines/>
        <w:spacing w:line="240" w:lineRule="auto"/>
        <w:ind w:right="-63"/>
        <w:rPr>
          <w:rFonts w:asciiTheme="majorHAnsi" w:hAnsiTheme="majorHAnsi"/>
          <w:i/>
          <w:u w:val="single"/>
        </w:rPr>
      </w:pPr>
      <w:r w:rsidRPr="002654E4">
        <w:rPr>
          <w:rFonts w:asciiTheme="majorHAnsi" w:hAnsiTheme="majorHAnsi"/>
          <w:i/>
          <w:u w:val="single"/>
        </w:rPr>
        <w:t>Adverse reactions related to growth hormone pharmacological class</w:t>
      </w:r>
    </w:p>
    <w:p w14:paraId="389E7DD5" w14:textId="77777777" w:rsidR="002654E4" w:rsidRPr="002654E4" w:rsidRDefault="002654E4" w:rsidP="00A73D97">
      <w:pPr>
        <w:spacing w:line="240" w:lineRule="auto"/>
        <w:ind w:right="-63"/>
        <w:rPr>
          <w:rFonts w:asciiTheme="majorHAnsi" w:eastAsia="Times New Roman" w:hAnsiTheme="majorHAnsi"/>
        </w:rPr>
      </w:pPr>
      <w:r w:rsidRPr="002654E4">
        <w:rPr>
          <w:rFonts w:asciiTheme="majorHAnsi" w:eastAsia="Times New Roman" w:hAnsiTheme="majorHAnsi"/>
        </w:rPr>
        <w:t>In addition to the above</w:t>
      </w:r>
      <w:r w:rsidRPr="002654E4">
        <w:rPr>
          <w:rFonts w:asciiTheme="majorHAnsi" w:eastAsia="Times New Roman" w:hAnsiTheme="majorHAnsi"/>
        </w:rPr>
        <w:noBreakHyphen/>
        <w:t>mentioned adverse drug reactions, those presented below have been reported with other growth hormone</w:t>
      </w:r>
      <w:r w:rsidRPr="002654E4">
        <w:rPr>
          <w:rFonts w:asciiTheme="majorHAnsi" w:eastAsia="Times New Roman" w:hAnsiTheme="majorHAnsi"/>
        </w:rPr>
        <w:noBreakHyphen/>
        <w:t>containing products. Frequencies of these adverse events cannot be estimated from the available data (unless otherwise indicated).</w:t>
      </w:r>
    </w:p>
    <w:p w14:paraId="5813BA3E" w14:textId="77777777" w:rsidR="002654E4" w:rsidRPr="002654E4" w:rsidRDefault="002654E4" w:rsidP="00A73D97">
      <w:pPr>
        <w:pStyle w:val="ListParagraph"/>
        <w:numPr>
          <w:ilvl w:val="0"/>
          <w:numId w:val="14"/>
        </w:numPr>
        <w:tabs>
          <w:tab w:val="left" w:pos="567"/>
        </w:tabs>
        <w:spacing w:after="0" w:line="240" w:lineRule="auto"/>
        <w:ind w:left="567" w:right="-63" w:hanging="567"/>
        <w:rPr>
          <w:rFonts w:asciiTheme="majorHAnsi" w:eastAsia="Times New Roman" w:hAnsiTheme="majorHAnsi"/>
          <w:color w:val="000000"/>
        </w:rPr>
      </w:pPr>
      <w:r w:rsidRPr="002654E4">
        <w:rPr>
          <w:rFonts w:asciiTheme="majorHAnsi" w:eastAsia="Times New Roman" w:hAnsiTheme="majorHAnsi"/>
          <w:color w:val="000000"/>
        </w:rPr>
        <w:t>Neoplasms benign, malignant and unspecified (including cysts and polyps): leukaemia (see section 4.4).</w:t>
      </w:r>
    </w:p>
    <w:p w14:paraId="07DCAEE0" w14:textId="77777777" w:rsidR="002654E4" w:rsidRPr="002654E4" w:rsidRDefault="002654E4" w:rsidP="00A73D97">
      <w:pPr>
        <w:pStyle w:val="ListParagraph"/>
        <w:numPr>
          <w:ilvl w:val="0"/>
          <w:numId w:val="14"/>
        </w:numPr>
        <w:shd w:val="clear" w:color="auto" w:fill="FFFFFF"/>
        <w:tabs>
          <w:tab w:val="left" w:pos="567"/>
        </w:tabs>
        <w:spacing w:after="0" w:line="240" w:lineRule="auto"/>
        <w:ind w:left="567" w:right="-63" w:hanging="567"/>
        <w:rPr>
          <w:rFonts w:asciiTheme="majorHAnsi" w:eastAsia="Times New Roman" w:hAnsiTheme="majorHAnsi"/>
          <w:i/>
          <w:u w:val="single"/>
        </w:rPr>
      </w:pPr>
      <w:r w:rsidRPr="002654E4">
        <w:rPr>
          <w:rFonts w:asciiTheme="majorHAnsi" w:eastAsia="Times New Roman" w:hAnsiTheme="majorHAnsi"/>
          <w:color w:val="000000"/>
        </w:rPr>
        <w:t>Metabolism and nutrition disorders</w:t>
      </w:r>
      <w:r w:rsidRPr="002654E4">
        <w:rPr>
          <w:rFonts w:asciiTheme="majorHAnsi" w:eastAsia="Times New Roman" w:hAnsiTheme="majorHAnsi"/>
        </w:rPr>
        <w:t>:</w:t>
      </w:r>
      <w:r w:rsidRPr="002654E4">
        <w:rPr>
          <w:rFonts w:asciiTheme="majorHAnsi" w:eastAsia="Times New Roman" w:hAnsiTheme="majorHAnsi"/>
          <w:i/>
          <w:iCs/>
        </w:rPr>
        <w:t xml:space="preserve"> </w:t>
      </w:r>
      <w:r w:rsidRPr="002654E4">
        <w:rPr>
          <w:rFonts w:asciiTheme="majorHAnsi" w:eastAsia="Times New Roman" w:hAnsiTheme="majorHAnsi"/>
          <w:color w:val="000000"/>
        </w:rPr>
        <w:t>diabetes mellitus type 2 (see section 4.4).</w:t>
      </w:r>
    </w:p>
    <w:p w14:paraId="382D6C64" w14:textId="77777777" w:rsidR="002654E4" w:rsidRPr="002654E4" w:rsidRDefault="002654E4" w:rsidP="00A73D97">
      <w:pPr>
        <w:pStyle w:val="ListParagraph"/>
        <w:numPr>
          <w:ilvl w:val="0"/>
          <w:numId w:val="14"/>
        </w:numPr>
        <w:shd w:val="clear" w:color="auto" w:fill="FFFFFF"/>
        <w:tabs>
          <w:tab w:val="left" w:pos="567"/>
        </w:tabs>
        <w:spacing w:after="0" w:line="240" w:lineRule="auto"/>
        <w:ind w:left="567" w:right="-63" w:hanging="567"/>
        <w:rPr>
          <w:rFonts w:asciiTheme="majorHAnsi" w:eastAsia="Times New Roman" w:hAnsiTheme="majorHAnsi"/>
        </w:rPr>
      </w:pPr>
      <w:r w:rsidRPr="002654E4">
        <w:rPr>
          <w:rFonts w:asciiTheme="majorHAnsi" w:eastAsia="Times New Roman" w:hAnsiTheme="majorHAnsi"/>
          <w:color w:val="000000"/>
        </w:rPr>
        <w:t>Nervous system disorders</w:t>
      </w:r>
      <w:r w:rsidRPr="002654E4">
        <w:rPr>
          <w:rFonts w:asciiTheme="majorHAnsi" w:eastAsia="Times New Roman" w:hAnsiTheme="majorHAnsi"/>
        </w:rPr>
        <w:t xml:space="preserve">: </w:t>
      </w:r>
      <w:r w:rsidRPr="002654E4">
        <w:rPr>
          <w:rFonts w:asciiTheme="majorHAnsi" w:eastAsia="Times New Roman" w:hAnsiTheme="majorHAnsi"/>
          <w:color w:val="000000"/>
        </w:rPr>
        <w:t>benign intracranial hypertension (see section 4.4), paraesthesia.</w:t>
      </w:r>
    </w:p>
    <w:p w14:paraId="41A407D4" w14:textId="77777777" w:rsidR="002654E4" w:rsidRPr="002654E4" w:rsidRDefault="002654E4" w:rsidP="00A73D97">
      <w:pPr>
        <w:pStyle w:val="ListParagraph"/>
        <w:numPr>
          <w:ilvl w:val="0"/>
          <w:numId w:val="14"/>
        </w:numPr>
        <w:shd w:val="clear" w:color="auto" w:fill="FFFFFF"/>
        <w:tabs>
          <w:tab w:val="left" w:pos="567"/>
        </w:tabs>
        <w:spacing w:after="0" w:line="240" w:lineRule="auto"/>
        <w:ind w:left="567" w:right="-63" w:hanging="567"/>
        <w:rPr>
          <w:rFonts w:asciiTheme="majorHAnsi" w:eastAsia="Times New Roman" w:hAnsiTheme="majorHAnsi"/>
        </w:rPr>
      </w:pPr>
      <w:r w:rsidRPr="002654E4">
        <w:rPr>
          <w:rFonts w:asciiTheme="majorHAnsi" w:eastAsia="Times New Roman" w:hAnsiTheme="majorHAnsi"/>
          <w:color w:val="000000"/>
        </w:rPr>
        <w:t>Musculoskeletal and connective tissue disorders</w:t>
      </w:r>
      <w:r w:rsidRPr="002654E4">
        <w:rPr>
          <w:rFonts w:asciiTheme="majorHAnsi" w:eastAsia="Times New Roman" w:hAnsiTheme="majorHAnsi"/>
        </w:rPr>
        <w:t xml:space="preserve">: </w:t>
      </w:r>
      <w:r w:rsidRPr="002654E4">
        <w:rPr>
          <w:rFonts w:asciiTheme="majorHAnsi" w:eastAsia="Times New Roman" w:hAnsiTheme="majorHAnsi"/>
          <w:color w:val="000000"/>
        </w:rPr>
        <w:t>myalgia.</w:t>
      </w:r>
    </w:p>
    <w:p w14:paraId="4CCD1F24" w14:textId="77777777" w:rsidR="002654E4" w:rsidRPr="002654E4" w:rsidRDefault="002654E4" w:rsidP="00A73D97">
      <w:pPr>
        <w:pStyle w:val="ListParagraph"/>
        <w:numPr>
          <w:ilvl w:val="0"/>
          <w:numId w:val="14"/>
        </w:numPr>
        <w:shd w:val="clear" w:color="auto" w:fill="FFFFFF"/>
        <w:tabs>
          <w:tab w:val="left" w:pos="567"/>
        </w:tabs>
        <w:spacing w:after="0" w:line="240" w:lineRule="auto"/>
        <w:ind w:left="567" w:right="-63" w:hanging="567"/>
        <w:rPr>
          <w:rFonts w:asciiTheme="majorHAnsi" w:eastAsia="Times New Roman" w:hAnsiTheme="majorHAnsi"/>
        </w:rPr>
      </w:pPr>
      <w:r w:rsidRPr="002654E4">
        <w:rPr>
          <w:rFonts w:asciiTheme="majorHAnsi" w:eastAsia="Times New Roman" w:hAnsiTheme="majorHAnsi"/>
          <w:color w:val="000000"/>
        </w:rPr>
        <w:t>Reproductive system and breast disorders: gynaecomastia (frequency: uncommon).</w:t>
      </w:r>
    </w:p>
    <w:p w14:paraId="74307AB9" w14:textId="77777777" w:rsidR="002654E4" w:rsidRPr="002654E4" w:rsidRDefault="002654E4" w:rsidP="00A73D97">
      <w:pPr>
        <w:pStyle w:val="ListParagraph"/>
        <w:numPr>
          <w:ilvl w:val="0"/>
          <w:numId w:val="14"/>
        </w:numPr>
        <w:shd w:val="clear" w:color="auto" w:fill="FFFFFF"/>
        <w:tabs>
          <w:tab w:val="left" w:pos="567"/>
        </w:tabs>
        <w:spacing w:after="0" w:line="240" w:lineRule="auto"/>
        <w:ind w:left="567" w:right="-63" w:hanging="567"/>
        <w:rPr>
          <w:rFonts w:asciiTheme="majorHAnsi" w:eastAsia="Times New Roman" w:hAnsiTheme="majorHAnsi"/>
        </w:rPr>
      </w:pPr>
      <w:r w:rsidRPr="002654E4">
        <w:rPr>
          <w:rFonts w:asciiTheme="majorHAnsi" w:eastAsia="Times New Roman" w:hAnsiTheme="majorHAnsi"/>
          <w:color w:val="000000"/>
        </w:rPr>
        <w:t>Skin and subcutaneous tissue disorders</w:t>
      </w:r>
      <w:r w:rsidRPr="002654E4">
        <w:rPr>
          <w:rFonts w:asciiTheme="majorHAnsi" w:eastAsia="Times New Roman" w:hAnsiTheme="majorHAnsi"/>
        </w:rPr>
        <w:t xml:space="preserve">: </w:t>
      </w:r>
      <w:r w:rsidRPr="002654E4">
        <w:rPr>
          <w:rFonts w:asciiTheme="majorHAnsi" w:eastAsia="Times New Roman" w:hAnsiTheme="majorHAnsi"/>
          <w:color w:val="000000"/>
        </w:rPr>
        <w:t>skin rash, urticaria and pruritus.</w:t>
      </w:r>
    </w:p>
    <w:p w14:paraId="02E0F276" w14:textId="77777777" w:rsidR="002654E4" w:rsidRPr="002654E4" w:rsidRDefault="002654E4" w:rsidP="00A73D97">
      <w:pPr>
        <w:pStyle w:val="ListParagraph"/>
        <w:numPr>
          <w:ilvl w:val="0"/>
          <w:numId w:val="14"/>
        </w:numPr>
        <w:shd w:val="clear" w:color="auto" w:fill="FFFFFF"/>
        <w:tabs>
          <w:tab w:val="left" w:pos="567"/>
        </w:tabs>
        <w:spacing w:after="0" w:line="240" w:lineRule="auto"/>
        <w:ind w:left="567" w:right="-63" w:hanging="567"/>
        <w:rPr>
          <w:rFonts w:asciiTheme="majorHAnsi" w:eastAsia="Times New Roman" w:hAnsiTheme="majorHAnsi"/>
        </w:rPr>
      </w:pPr>
      <w:r w:rsidRPr="002654E4">
        <w:rPr>
          <w:rFonts w:asciiTheme="majorHAnsi" w:eastAsia="Times New Roman" w:hAnsiTheme="majorHAnsi"/>
          <w:color w:val="000000"/>
        </w:rPr>
        <w:t>General disorders and administration site conditions</w:t>
      </w:r>
      <w:r w:rsidRPr="002654E4">
        <w:rPr>
          <w:rFonts w:asciiTheme="majorHAnsi" w:eastAsia="Times New Roman" w:hAnsiTheme="majorHAnsi"/>
        </w:rPr>
        <w:t xml:space="preserve">: </w:t>
      </w:r>
      <w:r w:rsidRPr="002654E4">
        <w:rPr>
          <w:rFonts w:asciiTheme="majorHAnsi" w:eastAsia="Times New Roman" w:hAnsiTheme="majorHAnsi"/>
          <w:color w:val="000000"/>
        </w:rPr>
        <w:t>peripheral oedema, facial oedema.</w:t>
      </w:r>
    </w:p>
    <w:p w14:paraId="012A0236" w14:textId="77777777" w:rsidR="000439CF" w:rsidRDefault="000439CF" w:rsidP="00A73D97">
      <w:pPr>
        <w:pStyle w:val="Heading3"/>
        <w:spacing w:before="0"/>
        <w:ind w:left="0" w:right="-63"/>
      </w:pPr>
    </w:p>
    <w:p w14:paraId="5FF8BC7D" w14:textId="2561AF1A" w:rsidR="002C4189" w:rsidRPr="005A1833" w:rsidRDefault="00FB7D91" w:rsidP="00A73D97">
      <w:pPr>
        <w:pStyle w:val="Heading3"/>
        <w:spacing w:before="0" w:after="120"/>
        <w:ind w:left="0" w:right="-63"/>
        <w:rPr>
          <w:b w:val="0"/>
        </w:rPr>
      </w:pPr>
      <w:r w:rsidRPr="005A1833">
        <w:t>Reporting suspected adverse effects</w:t>
      </w:r>
      <w:fldSimple w:instr=" DOCVARIABLE vault_nd_fe503015-38f5-4dc1-b761-9c6222dcd6f5 \* MERGEFORMAT">
        <w:r w:rsidR="00F93A39" w:rsidRPr="005A1833">
          <w:t xml:space="preserve"> </w:t>
        </w:r>
      </w:fldSimple>
    </w:p>
    <w:p w14:paraId="6463ECF0" w14:textId="6489FA64" w:rsidR="002C4189" w:rsidRPr="005A1833" w:rsidRDefault="00FB7D91" w:rsidP="00A73D97">
      <w:pPr>
        <w:spacing w:line="240" w:lineRule="auto"/>
        <w:ind w:right="-63"/>
        <w:rPr>
          <w:rFonts w:asciiTheme="majorHAnsi" w:hAnsiTheme="majorHAnsi" w:cstheme="minorHAnsi"/>
        </w:rPr>
      </w:pPr>
      <w:r w:rsidRPr="005A1833">
        <w:rPr>
          <w:rFonts w:asciiTheme="majorHAnsi" w:hAnsiTheme="majorHAnsi" w:cstheme="minorHAnsi"/>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5A1833">
          <w:rPr>
            <w:rStyle w:val="Hyperlink"/>
            <w:rFonts w:asciiTheme="majorHAnsi" w:hAnsiTheme="majorHAnsi" w:cstheme="minorHAnsi"/>
          </w:rPr>
          <w:t>www.tga.gov.au/reporting-problems</w:t>
        </w:r>
      </w:hyperlink>
      <w:r w:rsidR="00E86261" w:rsidRPr="005A1833">
        <w:rPr>
          <w:rStyle w:val="Hyperlink"/>
          <w:rFonts w:asciiTheme="majorHAnsi" w:hAnsiTheme="majorHAnsi" w:cstheme="minorHAnsi"/>
        </w:rPr>
        <w:t xml:space="preserve"> </w:t>
      </w:r>
      <w:r w:rsidR="00E86261" w:rsidRPr="005A1833">
        <w:rPr>
          <w:rStyle w:val="Hyperlink"/>
          <w:rFonts w:asciiTheme="majorHAnsi" w:hAnsiTheme="majorHAnsi" w:cstheme="minorHAnsi"/>
          <w:color w:val="000000" w:themeColor="text1"/>
          <w:u w:val="none"/>
        </w:rPr>
        <w:t xml:space="preserve">and </w:t>
      </w:r>
      <w:r w:rsidR="00E86261" w:rsidRPr="005A1833">
        <w:rPr>
          <w:rStyle w:val="Hyperlink"/>
          <w:rFonts w:asciiTheme="majorHAnsi" w:hAnsiTheme="majorHAnsi" w:cstheme="minorHAnsi"/>
        </w:rPr>
        <w:t>drugsafety-STA@stbiopharma.com</w:t>
      </w:r>
      <w:r w:rsidRPr="005A1833">
        <w:rPr>
          <w:rFonts w:asciiTheme="majorHAnsi" w:hAnsiTheme="majorHAnsi" w:cstheme="minorHAnsi"/>
        </w:rPr>
        <w:t>.</w:t>
      </w:r>
    </w:p>
    <w:p w14:paraId="688591BF" w14:textId="06F6C4BE" w:rsidR="002C4189" w:rsidRPr="004C6325" w:rsidRDefault="00FB7D91" w:rsidP="00A73D97">
      <w:pPr>
        <w:pStyle w:val="Heading2"/>
        <w:spacing w:before="0" w:after="120"/>
        <w:ind w:left="0" w:right="-63" w:firstLine="0"/>
      </w:pPr>
      <w:r w:rsidRPr="004C6325">
        <w:t>Overdose</w:t>
      </w:r>
      <w:fldSimple w:instr=" DOCVARIABLE vault_nd_f107960d-7b9b-4b9f-adb8-15efde3e34da \* MERGEFORMAT">
        <w:r w:rsidR="00F93A39">
          <w:t xml:space="preserve"> </w:t>
        </w:r>
      </w:fldSimple>
    </w:p>
    <w:p w14:paraId="786D33FE" w14:textId="77777777" w:rsidR="0088108F" w:rsidRPr="0088108F" w:rsidRDefault="0088108F" w:rsidP="00A73D97">
      <w:pPr>
        <w:spacing w:line="240" w:lineRule="auto"/>
        <w:ind w:right="-63"/>
        <w:rPr>
          <w:rFonts w:asciiTheme="majorHAnsi" w:hAnsiTheme="majorHAnsi"/>
          <w:b/>
          <w:bCs/>
        </w:rPr>
      </w:pPr>
      <w:r w:rsidRPr="0088108F">
        <w:rPr>
          <w:rFonts w:asciiTheme="majorHAnsi" w:hAnsiTheme="majorHAnsi"/>
          <w:b/>
          <w:bCs/>
        </w:rPr>
        <w:t>Symptoms</w:t>
      </w:r>
    </w:p>
    <w:p w14:paraId="471D1B59" w14:textId="77777777" w:rsidR="0088108F" w:rsidRPr="0088108F" w:rsidRDefault="0088108F" w:rsidP="00A73D97">
      <w:pPr>
        <w:spacing w:line="240" w:lineRule="auto"/>
        <w:ind w:right="-63"/>
        <w:rPr>
          <w:rFonts w:asciiTheme="majorHAnsi" w:hAnsiTheme="majorHAnsi"/>
        </w:rPr>
      </w:pPr>
      <w:r w:rsidRPr="0088108F">
        <w:rPr>
          <w:rFonts w:asciiTheme="majorHAnsi" w:hAnsiTheme="majorHAnsi"/>
        </w:rPr>
        <w:lastRenderedPageBreak/>
        <w:t>Acute overdose could lead initially to hypoglycaemia and subsequently to hyperglycaemia. Long</w:t>
      </w:r>
      <w:r w:rsidRPr="0088108F">
        <w:rPr>
          <w:rFonts w:asciiTheme="majorHAnsi" w:hAnsiTheme="majorHAnsi"/>
        </w:rPr>
        <w:noBreakHyphen/>
        <w:t>term overdose could result in signs and symptoms of gigantism.</w:t>
      </w:r>
    </w:p>
    <w:p w14:paraId="4E4F2EDB" w14:textId="77777777" w:rsidR="0088108F" w:rsidRPr="0088108F" w:rsidRDefault="0088108F" w:rsidP="00A73D97">
      <w:pPr>
        <w:spacing w:line="240" w:lineRule="auto"/>
        <w:ind w:right="-63"/>
        <w:rPr>
          <w:rFonts w:asciiTheme="majorHAnsi" w:hAnsiTheme="majorHAnsi"/>
          <w:b/>
          <w:bCs/>
        </w:rPr>
      </w:pPr>
      <w:r w:rsidRPr="0088108F">
        <w:rPr>
          <w:rFonts w:asciiTheme="majorHAnsi" w:hAnsiTheme="majorHAnsi"/>
          <w:b/>
          <w:bCs/>
        </w:rPr>
        <w:t>Management</w:t>
      </w:r>
    </w:p>
    <w:p w14:paraId="24AF0859" w14:textId="74223E19" w:rsidR="0088108F" w:rsidRPr="0088108F" w:rsidRDefault="0088108F" w:rsidP="00A73D97">
      <w:pPr>
        <w:spacing w:line="240" w:lineRule="auto"/>
        <w:ind w:right="-63"/>
        <w:rPr>
          <w:rFonts w:asciiTheme="majorHAnsi" w:hAnsiTheme="majorHAnsi"/>
        </w:rPr>
      </w:pPr>
      <w:r w:rsidRPr="0088108F">
        <w:rPr>
          <w:rFonts w:asciiTheme="majorHAnsi" w:hAnsiTheme="majorHAnsi"/>
        </w:rPr>
        <w:t>Treatment is symptomatic and supportive. There is no antidote for somatropin overdose.</w:t>
      </w:r>
      <w:r w:rsidR="00EA67D5">
        <w:rPr>
          <w:rFonts w:asciiTheme="majorHAnsi" w:hAnsiTheme="majorHAnsi"/>
        </w:rPr>
        <w:t xml:space="preserve"> </w:t>
      </w:r>
      <w:r w:rsidRPr="0088108F">
        <w:rPr>
          <w:rFonts w:asciiTheme="majorHAnsi" w:hAnsiTheme="majorHAnsi"/>
        </w:rPr>
        <w:t>It is recommended to monitor thyroid function following an overdose.</w:t>
      </w:r>
    </w:p>
    <w:p w14:paraId="7E5B817A" w14:textId="364AD0C8" w:rsidR="002C4189" w:rsidRPr="0088108F" w:rsidRDefault="00FB7D91" w:rsidP="00A73D97">
      <w:pPr>
        <w:spacing w:line="240" w:lineRule="auto"/>
        <w:ind w:right="-63"/>
        <w:rPr>
          <w:rFonts w:asciiTheme="majorHAnsi" w:hAnsiTheme="majorHAnsi" w:cstheme="minorHAnsi"/>
        </w:rPr>
      </w:pPr>
      <w:r w:rsidRPr="0088108F">
        <w:rPr>
          <w:rFonts w:asciiTheme="majorHAnsi" w:hAnsiTheme="majorHAnsi" w:cstheme="minorHAnsi"/>
        </w:rPr>
        <w:t>For information on the management of overdose, contact the Poisons Information Centre on 13 11 26 (Australia).</w:t>
      </w:r>
    </w:p>
    <w:p w14:paraId="17833184" w14:textId="0D4FDD09" w:rsidR="002C4189" w:rsidRPr="00AF52D2" w:rsidRDefault="00FB7D91" w:rsidP="00A73D97">
      <w:pPr>
        <w:pStyle w:val="Heading1"/>
        <w:spacing w:before="0" w:after="120"/>
        <w:ind w:left="0" w:right="-63" w:firstLine="0"/>
        <w:rPr>
          <w:rFonts w:cstheme="minorHAnsi"/>
        </w:rPr>
      </w:pPr>
      <w:r w:rsidRPr="00AF52D2">
        <w:rPr>
          <w:rFonts w:cstheme="minorHAnsi"/>
        </w:rPr>
        <w:t>Pharmacological properties</w:t>
      </w:r>
      <w:r w:rsidR="00F93A39" w:rsidRPr="00AF52D2">
        <w:rPr>
          <w:rFonts w:cstheme="minorHAnsi"/>
        </w:rPr>
        <w:fldChar w:fldCharType="begin"/>
      </w:r>
      <w:r w:rsidR="00F93A39" w:rsidRPr="00AF52D2">
        <w:rPr>
          <w:rFonts w:cstheme="minorHAnsi"/>
        </w:rPr>
        <w:instrText xml:space="preserve"> DOCVARIABLE VAULT_ND_547d273d-0bba-42f7-8746-1fd2976af628 \* MERGEFORMAT </w:instrText>
      </w:r>
      <w:r w:rsidR="00F93A39" w:rsidRPr="00AF52D2">
        <w:rPr>
          <w:rFonts w:cstheme="minorHAnsi"/>
        </w:rPr>
        <w:fldChar w:fldCharType="separate"/>
      </w:r>
      <w:r w:rsidR="00F93A39" w:rsidRPr="00AF52D2">
        <w:rPr>
          <w:rFonts w:cstheme="minorHAnsi"/>
        </w:rPr>
        <w:t xml:space="preserve"> </w:t>
      </w:r>
      <w:r w:rsidR="00F93A39" w:rsidRPr="00AF52D2">
        <w:rPr>
          <w:rFonts w:cstheme="minorHAnsi"/>
        </w:rPr>
        <w:fldChar w:fldCharType="end"/>
      </w:r>
    </w:p>
    <w:p w14:paraId="1F0F42BD" w14:textId="6C882516" w:rsidR="002C4189" w:rsidRPr="004C6325" w:rsidRDefault="00FB7D91" w:rsidP="00A73D97">
      <w:pPr>
        <w:pStyle w:val="Heading2"/>
        <w:spacing w:before="0" w:after="120"/>
        <w:ind w:left="0" w:right="-63" w:firstLine="0"/>
        <w:rPr>
          <w:rFonts w:cstheme="minorHAnsi"/>
        </w:rPr>
      </w:pPr>
      <w:r w:rsidRPr="004C6325">
        <w:rPr>
          <w:rFonts w:cstheme="minorHAnsi"/>
        </w:rPr>
        <w:t>Pharmacodynamic properties</w:t>
      </w:r>
      <w:r w:rsidR="00F93A39">
        <w:rPr>
          <w:rFonts w:cstheme="minorHAnsi"/>
        </w:rPr>
        <w:fldChar w:fldCharType="begin"/>
      </w:r>
      <w:r w:rsidR="00F93A39">
        <w:rPr>
          <w:rFonts w:cstheme="minorHAnsi"/>
        </w:rPr>
        <w:instrText xml:space="preserve"> DOCVARIABLE vault_nd_6f714f46-c931-423c-a9b9-5f1caf86ab20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2D0BB066" w14:textId="77777777" w:rsidR="00374B25" w:rsidRPr="00374B25" w:rsidRDefault="00374B25" w:rsidP="00A73D97">
      <w:pPr>
        <w:spacing w:line="240" w:lineRule="auto"/>
        <w:ind w:right="-63"/>
        <w:rPr>
          <w:rFonts w:asciiTheme="majorHAnsi" w:hAnsiTheme="majorHAnsi"/>
        </w:rPr>
      </w:pPr>
      <w:r w:rsidRPr="00374B25">
        <w:rPr>
          <w:rFonts w:asciiTheme="majorHAnsi" w:hAnsiTheme="majorHAnsi"/>
        </w:rPr>
        <w:t>Pharmacotherapeutic group: Pituitary and hypothalamic hormones and analogues, somatropin and somatropin agonists, ATC Code: H01AC09.</w:t>
      </w:r>
    </w:p>
    <w:p w14:paraId="277FFF77" w14:textId="1D98F03B" w:rsidR="002C4189" w:rsidRPr="004C6325" w:rsidRDefault="00FB7D91" w:rsidP="00A73D97">
      <w:pPr>
        <w:pStyle w:val="Heading3"/>
        <w:spacing w:before="0" w:after="120"/>
        <w:ind w:left="0" w:right="-63"/>
        <w:rPr>
          <w:rFonts w:cstheme="minorHAnsi"/>
        </w:rPr>
      </w:pPr>
      <w:r w:rsidRPr="004C6325">
        <w:rPr>
          <w:rFonts w:cstheme="minorHAnsi"/>
        </w:rPr>
        <w:t>Mechanism of action</w:t>
      </w:r>
      <w:r w:rsidR="00F93A39">
        <w:rPr>
          <w:rFonts w:cstheme="minorHAnsi"/>
        </w:rPr>
        <w:fldChar w:fldCharType="begin"/>
      </w:r>
      <w:r w:rsidR="00F93A39">
        <w:rPr>
          <w:rFonts w:cstheme="minorHAnsi"/>
        </w:rPr>
        <w:instrText xml:space="preserve"> DOCVARIABLE vault_nd_15d4c575-af39-447b-be07-47bb775aa761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446BA464" w14:textId="65A15C7B" w:rsidR="00574599" w:rsidRPr="00574599" w:rsidRDefault="00574599" w:rsidP="00A73D97">
      <w:pPr>
        <w:spacing w:after="0" w:line="240" w:lineRule="auto"/>
        <w:ind w:right="-63"/>
        <w:rPr>
          <w:rFonts w:asciiTheme="majorHAnsi" w:hAnsiTheme="majorHAnsi"/>
        </w:rPr>
      </w:pPr>
      <w:r w:rsidRPr="00574599">
        <w:rPr>
          <w:rFonts w:asciiTheme="majorHAnsi" w:hAnsiTheme="majorHAnsi"/>
        </w:rPr>
        <w:t>Lonapegsomatropin is a long</w:t>
      </w:r>
      <w:r w:rsidRPr="00574599">
        <w:rPr>
          <w:rFonts w:asciiTheme="majorHAnsi" w:hAnsiTheme="majorHAnsi"/>
        </w:rPr>
        <w:noBreakHyphen/>
        <w:t>acting ‘prodrug’ of somatropin</w:t>
      </w:r>
      <w:r w:rsidR="00D509BD">
        <w:rPr>
          <w:rFonts w:asciiTheme="majorHAnsi" w:hAnsiTheme="majorHAnsi"/>
        </w:rPr>
        <w:t xml:space="preserve"> (recombinant human growth hormone)</w:t>
      </w:r>
      <w:r w:rsidRPr="00574599">
        <w:rPr>
          <w:rFonts w:asciiTheme="majorHAnsi" w:hAnsiTheme="majorHAnsi"/>
        </w:rPr>
        <w:t>. Lonapegsomatropin consists of somatropin</w:t>
      </w:r>
      <w:r w:rsidR="00D509BD">
        <w:rPr>
          <w:rFonts w:asciiTheme="majorHAnsi" w:hAnsiTheme="majorHAnsi"/>
        </w:rPr>
        <w:t xml:space="preserve"> (191 amino acids)</w:t>
      </w:r>
      <w:r w:rsidRPr="00574599">
        <w:rPr>
          <w:rFonts w:asciiTheme="majorHAnsi" w:hAnsiTheme="majorHAnsi"/>
        </w:rPr>
        <w:t xml:space="preserve"> transiently conjugated to a </w:t>
      </w:r>
      <w:proofErr w:type="spellStart"/>
      <w:r w:rsidRPr="00574599">
        <w:rPr>
          <w:rFonts w:asciiTheme="majorHAnsi" w:hAnsiTheme="majorHAnsi"/>
        </w:rPr>
        <w:t>methoxypolyethylene</w:t>
      </w:r>
      <w:proofErr w:type="spellEnd"/>
      <w:r w:rsidRPr="00574599">
        <w:rPr>
          <w:rFonts w:asciiTheme="majorHAnsi" w:hAnsiTheme="majorHAnsi"/>
        </w:rPr>
        <w:t xml:space="preserve"> glycol carrier (4 x 10 </w:t>
      </w:r>
      <w:proofErr w:type="spellStart"/>
      <w:r w:rsidRPr="00574599">
        <w:rPr>
          <w:rFonts w:asciiTheme="majorHAnsi" w:hAnsiTheme="majorHAnsi"/>
        </w:rPr>
        <w:t>kDa</w:t>
      </w:r>
      <w:proofErr w:type="spellEnd"/>
      <w:r w:rsidRPr="00574599">
        <w:rPr>
          <w:rFonts w:asciiTheme="majorHAnsi" w:hAnsiTheme="majorHAnsi"/>
        </w:rPr>
        <w:t xml:space="preserve"> </w:t>
      </w:r>
      <w:proofErr w:type="spellStart"/>
      <w:r w:rsidRPr="00574599">
        <w:rPr>
          <w:rFonts w:asciiTheme="majorHAnsi" w:hAnsiTheme="majorHAnsi"/>
        </w:rPr>
        <w:t>mPEG</w:t>
      </w:r>
      <w:proofErr w:type="spellEnd"/>
      <w:r w:rsidRPr="00574599">
        <w:rPr>
          <w:rFonts w:asciiTheme="majorHAnsi" w:hAnsiTheme="majorHAnsi"/>
        </w:rPr>
        <w:t xml:space="preserve">) via a proprietary </w:t>
      </w:r>
      <w:proofErr w:type="spellStart"/>
      <w:r w:rsidRPr="00574599">
        <w:rPr>
          <w:rFonts w:asciiTheme="majorHAnsi" w:hAnsiTheme="majorHAnsi"/>
        </w:rPr>
        <w:t>TransCon</w:t>
      </w:r>
      <w:proofErr w:type="spellEnd"/>
      <w:r w:rsidRPr="00574599">
        <w:rPr>
          <w:rFonts w:asciiTheme="majorHAnsi" w:hAnsiTheme="majorHAnsi"/>
        </w:rPr>
        <w:t xml:space="preserve"> Linker. The carrier has a shielding effect that </w:t>
      </w:r>
      <w:r w:rsidR="00D509BD">
        <w:rPr>
          <w:rFonts w:asciiTheme="majorHAnsi" w:hAnsiTheme="majorHAnsi"/>
        </w:rPr>
        <w:t>minimises</w:t>
      </w:r>
      <w:r w:rsidR="00D509BD" w:rsidRPr="00574599">
        <w:rPr>
          <w:rFonts w:asciiTheme="majorHAnsi" w:hAnsiTheme="majorHAnsi"/>
        </w:rPr>
        <w:t xml:space="preserve"> </w:t>
      </w:r>
      <w:r w:rsidRPr="00574599">
        <w:rPr>
          <w:rFonts w:asciiTheme="majorHAnsi" w:hAnsiTheme="majorHAnsi"/>
        </w:rPr>
        <w:t>renal excretion and receptor</w:t>
      </w:r>
      <w:r w:rsidRPr="00574599">
        <w:rPr>
          <w:rFonts w:asciiTheme="majorHAnsi" w:hAnsiTheme="majorHAnsi"/>
        </w:rPr>
        <w:noBreakHyphen/>
        <w:t xml:space="preserve">mediated clearance of lonapegsomatropin. After subcutaneous administration, lonapegsomatropin releases fully active somatropin via autocleavage of the </w:t>
      </w:r>
      <w:proofErr w:type="spellStart"/>
      <w:r w:rsidRPr="00574599">
        <w:rPr>
          <w:rFonts w:asciiTheme="majorHAnsi" w:hAnsiTheme="majorHAnsi"/>
        </w:rPr>
        <w:t>TransCon</w:t>
      </w:r>
      <w:proofErr w:type="spellEnd"/>
      <w:r w:rsidRPr="00574599">
        <w:rPr>
          <w:rFonts w:asciiTheme="majorHAnsi" w:hAnsiTheme="majorHAnsi"/>
        </w:rPr>
        <w:t xml:space="preserve"> Linker. Somatropin</w:t>
      </w:r>
      <w:r w:rsidR="00D509BD">
        <w:rPr>
          <w:rFonts w:asciiTheme="majorHAnsi" w:hAnsiTheme="majorHAnsi"/>
        </w:rPr>
        <w:t xml:space="preserve"> derived from lonapegsomatropin </w:t>
      </w:r>
      <w:r w:rsidRPr="00574599">
        <w:rPr>
          <w:rFonts w:asciiTheme="majorHAnsi" w:hAnsiTheme="majorHAnsi"/>
        </w:rPr>
        <w:t>has the same mode of action and distribution as daily somatropin, but with a once</w:t>
      </w:r>
      <w:r w:rsidRPr="00574599">
        <w:rPr>
          <w:rFonts w:asciiTheme="majorHAnsi" w:hAnsiTheme="majorHAnsi"/>
        </w:rPr>
        <w:noBreakHyphen/>
        <w:t>weekly subcutaneous injection.</w:t>
      </w:r>
    </w:p>
    <w:p w14:paraId="708E6C90" w14:textId="77777777" w:rsidR="00574599" w:rsidRPr="00574599" w:rsidRDefault="00574599" w:rsidP="00A73D97">
      <w:pPr>
        <w:spacing w:after="0" w:line="240" w:lineRule="auto"/>
        <w:ind w:right="-63"/>
        <w:rPr>
          <w:rFonts w:asciiTheme="majorHAnsi" w:hAnsiTheme="majorHAnsi"/>
        </w:rPr>
      </w:pPr>
    </w:p>
    <w:p w14:paraId="22E7C128" w14:textId="77777777" w:rsidR="00574599" w:rsidRDefault="00574599" w:rsidP="00A73D97">
      <w:pPr>
        <w:spacing w:after="0" w:line="240" w:lineRule="auto"/>
        <w:ind w:right="-63"/>
        <w:rPr>
          <w:rFonts w:asciiTheme="majorHAnsi" w:hAnsiTheme="majorHAnsi"/>
        </w:rPr>
      </w:pPr>
      <w:r w:rsidRPr="00574599">
        <w:rPr>
          <w:rFonts w:asciiTheme="majorHAnsi" w:hAnsiTheme="majorHAnsi"/>
        </w:rPr>
        <w:t xml:space="preserve">Somatropin binds to a dimeric </w:t>
      </w:r>
      <w:proofErr w:type="spellStart"/>
      <w:r w:rsidRPr="00574599">
        <w:rPr>
          <w:rFonts w:asciiTheme="majorHAnsi" w:hAnsiTheme="majorHAnsi"/>
        </w:rPr>
        <w:t>hGH</w:t>
      </w:r>
      <w:proofErr w:type="spellEnd"/>
      <w:r w:rsidRPr="00574599">
        <w:rPr>
          <w:rFonts w:asciiTheme="majorHAnsi" w:hAnsiTheme="majorHAnsi"/>
        </w:rPr>
        <w:t xml:space="preserve"> receptor in the cell membrane of target cells resulting in intracellular signal transduction and a host of pharmacodynamic effects. Somatropin has direct tissue and metabolic effects, and indirect effects mediated by IGF</w:t>
      </w:r>
      <w:r w:rsidRPr="00574599">
        <w:rPr>
          <w:rFonts w:asciiTheme="majorHAnsi" w:hAnsiTheme="majorHAnsi"/>
        </w:rPr>
        <w:noBreakHyphen/>
        <w:t xml:space="preserve">1, including stimulation of chondrocyte differentiation and proliferation, stimulation of hepatic glucose output, protein synthesis and lipolysis. Somatropin stimulates skeletal growth in paediatric patients with GHD </w:t>
      </w:r>
      <w:proofErr w:type="gramStart"/>
      <w:r w:rsidRPr="00574599">
        <w:rPr>
          <w:rFonts w:asciiTheme="majorHAnsi" w:hAnsiTheme="majorHAnsi"/>
        </w:rPr>
        <w:t>as a result of</w:t>
      </w:r>
      <w:proofErr w:type="gramEnd"/>
      <w:r w:rsidRPr="00574599">
        <w:rPr>
          <w:rFonts w:asciiTheme="majorHAnsi" w:hAnsiTheme="majorHAnsi"/>
        </w:rPr>
        <w:t xml:space="preserve"> effects on the growth plates (epiphyses) of bones.</w:t>
      </w:r>
    </w:p>
    <w:p w14:paraId="21C089C2" w14:textId="77777777" w:rsidR="000D5817" w:rsidRDefault="000D5817" w:rsidP="00A73D97">
      <w:pPr>
        <w:spacing w:after="0" w:line="240" w:lineRule="auto"/>
        <w:ind w:right="-63"/>
        <w:rPr>
          <w:rFonts w:asciiTheme="majorHAnsi" w:hAnsiTheme="majorHAnsi"/>
        </w:rPr>
      </w:pPr>
    </w:p>
    <w:p w14:paraId="58BEBA70" w14:textId="492B6C01" w:rsidR="000D5817" w:rsidRPr="008B7AC4" w:rsidRDefault="000D5817" w:rsidP="00A73D97">
      <w:pPr>
        <w:autoSpaceDE w:val="0"/>
        <w:autoSpaceDN w:val="0"/>
        <w:adjustRightInd w:val="0"/>
        <w:ind w:right="-63"/>
        <w:rPr>
          <w:rFonts w:asciiTheme="majorHAnsi" w:hAnsiTheme="majorHAnsi"/>
          <w:b/>
          <w:bCs/>
        </w:rPr>
      </w:pPr>
      <w:r w:rsidRPr="008B7AC4">
        <w:rPr>
          <w:rFonts w:asciiTheme="majorHAnsi" w:hAnsiTheme="majorHAnsi"/>
          <w:b/>
          <w:bCs/>
        </w:rPr>
        <w:t>Pharmacodynamic effects</w:t>
      </w:r>
    </w:p>
    <w:p w14:paraId="28034B4E" w14:textId="77777777" w:rsidR="000D5817" w:rsidRPr="000D5817" w:rsidRDefault="000D5817" w:rsidP="00A73D97">
      <w:pPr>
        <w:pStyle w:val="paragraph0"/>
        <w:ind w:right="-63"/>
        <w:textAlignment w:val="baseline"/>
        <w:rPr>
          <w:rFonts w:asciiTheme="majorHAnsi" w:hAnsiTheme="majorHAnsi"/>
          <w:sz w:val="22"/>
          <w:szCs w:val="22"/>
        </w:rPr>
      </w:pPr>
      <w:r w:rsidRPr="000D5817">
        <w:rPr>
          <w:rFonts w:asciiTheme="majorHAnsi" w:hAnsiTheme="majorHAnsi"/>
          <w:sz w:val="22"/>
          <w:szCs w:val="22"/>
        </w:rPr>
        <w:t>Somatropin released from lonapegsomatropin produces a dose linear IGF</w:t>
      </w:r>
      <w:r w:rsidRPr="000D5817">
        <w:rPr>
          <w:rFonts w:asciiTheme="majorHAnsi" w:hAnsiTheme="majorHAnsi"/>
          <w:sz w:val="22"/>
          <w:szCs w:val="22"/>
        </w:rPr>
        <w:noBreakHyphen/>
        <w:t>1 response, with a change in dose of 0.02 mg somatropin/kg resulting in an approximate change in average weekly IGF</w:t>
      </w:r>
      <w:r w:rsidRPr="000D5817">
        <w:rPr>
          <w:rFonts w:asciiTheme="majorHAnsi" w:hAnsiTheme="majorHAnsi"/>
          <w:sz w:val="22"/>
          <w:szCs w:val="22"/>
        </w:rPr>
        <w:noBreakHyphen/>
        <w:t>1 standard deviation score (SDS) of 0.17.</w:t>
      </w:r>
    </w:p>
    <w:p w14:paraId="216CC967" w14:textId="77777777" w:rsidR="000D5817" w:rsidRPr="000D5817" w:rsidRDefault="000D5817" w:rsidP="00A73D97">
      <w:pPr>
        <w:pStyle w:val="paragraph0"/>
        <w:ind w:right="-63"/>
        <w:textAlignment w:val="baseline"/>
        <w:rPr>
          <w:rFonts w:asciiTheme="majorHAnsi" w:hAnsiTheme="majorHAnsi"/>
          <w:sz w:val="22"/>
          <w:szCs w:val="22"/>
        </w:rPr>
      </w:pPr>
    </w:p>
    <w:p w14:paraId="657734A1" w14:textId="77777777" w:rsidR="000D5817" w:rsidRPr="000D5817" w:rsidRDefault="000D5817" w:rsidP="00A73D97">
      <w:pPr>
        <w:pStyle w:val="paragraph0"/>
        <w:ind w:right="-63"/>
        <w:textAlignment w:val="baseline"/>
        <w:rPr>
          <w:rFonts w:asciiTheme="majorHAnsi" w:hAnsiTheme="majorHAnsi"/>
          <w:sz w:val="22"/>
          <w:szCs w:val="22"/>
        </w:rPr>
      </w:pPr>
      <w:r w:rsidRPr="000D5817">
        <w:rPr>
          <w:rFonts w:asciiTheme="majorHAnsi" w:hAnsiTheme="majorHAnsi"/>
          <w:sz w:val="22"/>
          <w:szCs w:val="22"/>
        </w:rPr>
        <w:t>At steady</w:t>
      </w:r>
      <w:r w:rsidRPr="000D5817">
        <w:rPr>
          <w:rFonts w:asciiTheme="majorHAnsi" w:hAnsiTheme="majorHAnsi"/>
          <w:sz w:val="22"/>
          <w:szCs w:val="22"/>
        </w:rPr>
        <w:noBreakHyphen/>
        <w:t>state, IGF</w:t>
      </w:r>
      <w:r w:rsidRPr="000D5817">
        <w:rPr>
          <w:rFonts w:asciiTheme="majorHAnsi" w:hAnsiTheme="majorHAnsi"/>
          <w:sz w:val="22"/>
          <w:szCs w:val="22"/>
        </w:rPr>
        <w:noBreakHyphen/>
        <w:t>1 SDS levels peaked approximately 2 days post</w:t>
      </w:r>
      <w:r w:rsidRPr="000D5817">
        <w:rPr>
          <w:rFonts w:asciiTheme="majorHAnsi" w:hAnsiTheme="majorHAnsi"/>
          <w:sz w:val="22"/>
          <w:szCs w:val="22"/>
        </w:rPr>
        <w:noBreakHyphen/>
        <w:t>dose, with the average weekly IGF</w:t>
      </w:r>
      <w:r w:rsidRPr="000D5817">
        <w:rPr>
          <w:rFonts w:asciiTheme="majorHAnsi" w:hAnsiTheme="majorHAnsi"/>
          <w:sz w:val="22"/>
          <w:szCs w:val="22"/>
        </w:rPr>
        <w:noBreakHyphen/>
        <w:t>1 SDS coinciding with approximately 4.5 days post</w:t>
      </w:r>
      <w:r w:rsidRPr="000D5817">
        <w:rPr>
          <w:rFonts w:asciiTheme="majorHAnsi" w:hAnsiTheme="majorHAnsi"/>
          <w:sz w:val="22"/>
          <w:szCs w:val="22"/>
        </w:rPr>
        <w:noBreakHyphen/>
        <w:t>dose (Figure 1). IGF</w:t>
      </w:r>
      <w:r w:rsidRPr="000D5817">
        <w:rPr>
          <w:rFonts w:asciiTheme="majorHAnsi" w:hAnsiTheme="majorHAnsi"/>
          <w:sz w:val="22"/>
          <w:szCs w:val="22"/>
        </w:rPr>
        <w:noBreakHyphen/>
        <w:t xml:space="preserve">1 SDS levels were in the normal range for GHD patients for </w:t>
      </w:r>
      <w:proofErr w:type="gramStart"/>
      <w:r w:rsidRPr="000D5817">
        <w:rPr>
          <w:rFonts w:asciiTheme="majorHAnsi" w:hAnsiTheme="majorHAnsi"/>
          <w:sz w:val="22"/>
          <w:szCs w:val="22"/>
        </w:rPr>
        <w:t>the majority of</w:t>
      </w:r>
      <w:proofErr w:type="gramEnd"/>
      <w:r w:rsidRPr="000D5817">
        <w:rPr>
          <w:rFonts w:asciiTheme="majorHAnsi" w:hAnsiTheme="majorHAnsi"/>
          <w:sz w:val="22"/>
          <w:szCs w:val="22"/>
        </w:rPr>
        <w:t xml:space="preserve"> the week, </w:t>
      </w:r>
      <w:proofErr w:type="gramStart"/>
      <w:r w:rsidRPr="000D5817">
        <w:rPr>
          <w:rFonts w:asciiTheme="majorHAnsi" w:hAnsiTheme="majorHAnsi"/>
          <w:sz w:val="22"/>
          <w:szCs w:val="22"/>
        </w:rPr>
        <w:t>similar to</w:t>
      </w:r>
      <w:proofErr w:type="gramEnd"/>
      <w:r w:rsidRPr="000D5817">
        <w:rPr>
          <w:rFonts w:asciiTheme="majorHAnsi" w:hAnsiTheme="majorHAnsi"/>
          <w:sz w:val="22"/>
          <w:szCs w:val="22"/>
        </w:rPr>
        <w:t xml:space="preserve"> daily somatropin.</w:t>
      </w:r>
    </w:p>
    <w:p w14:paraId="292AF7E1" w14:textId="77777777" w:rsidR="000D5817" w:rsidRPr="000D5817" w:rsidRDefault="000D5817" w:rsidP="00A73D97">
      <w:pPr>
        <w:pStyle w:val="paragraph0"/>
        <w:ind w:left="1440" w:right="-63" w:hanging="1440"/>
        <w:textAlignment w:val="baseline"/>
        <w:rPr>
          <w:rFonts w:asciiTheme="majorHAnsi" w:hAnsiTheme="majorHAnsi"/>
          <w:bCs/>
          <w:sz w:val="22"/>
          <w:szCs w:val="22"/>
        </w:rPr>
      </w:pPr>
    </w:p>
    <w:bookmarkStart w:id="7" w:name="_Ref78357847"/>
    <w:p w14:paraId="70744216" w14:textId="40657755" w:rsidR="000D5817" w:rsidRPr="000D5817" w:rsidRDefault="000D5817" w:rsidP="00A73D97">
      <w:pPr>
        <w:pStyle w:val="Caption"/>
        <w:tabs>
          <w:tab w:val="left" w:pos="1134"/>
        </w:tabs>
        <w:spacing w:after="0"/>
        <w:ind w:left="1134" w:right="-63" w:hanging="1134"/>
        <w:rPr>
          <w:rFonts w:asciiTheme="majorHAnsi" w:hAnsiTheme="majorHAnsi"/>
          <w:b/>
          <w:bCs/>
          <w:i w:val="0"/>
          <w:iCs w:val="0"/>
          <w:color w:val="000000" w:themeColor="text1"/>
          <w:sz w:val="22"/>
          <w:szCs w:val="22"/>
          <w:lang w:val="en-GB"/>
        </w:rPr>
      </w:pPr>
      <w:r w:rsidRPr="000D5817">
        <w:rPr>
          <w:rFonts w:asciiTheme="majorHAnsi" w:hAnsiTheme="majorHAnsi"/>
          <w:b/>
          <w:bCs/>
          <w:i w:val="0"/>
          <w:iCs w:val="0"/>
          <w:noProof/>
          <w:color w:val="000000" w:themeColor="text1"/>
          <w:sz w:val="22"/>
          <w:szCs w:val="22"/>
          <w:lang w:val="en-GB"/>
        </w:rPr>
        <mc:AlternateContent>
          <mc:Choice Requires="wpi">
            <w:drawing>
              <wp:anchor distT="0" distB="0" distL="114300" distR="114300" simplePos="0" relativeHeight="251658240" behindDoc="0" locked="0" layoutInCell="1" allowOverlap="1" wp14:anchorId="37182D8B" wp14:editId="35980863">
                <wp:simplePos x="0" y="0"/>
                <wp:positionH relativeFrom="column">
                  <wp:posOffset>-1506855</wp:posOffset>
                </wp:positionH>
                <wp:positionV relativeFrom="paragraph">
                  <wp:posOffset>1315085</wp:posOffset>
                </wp:positionV>
                <wp:extent cx="126365" cy="126365"/>
                <wp:effectExtent l="107950" t="106045" r="99060" b="100965"/>
                <wp:wrapNone/>
                <wp:docPr id="2082319978" name="Ink 208231993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ChangeAspect="1"/>
                        </w14:cNvContentPartPr>
                      </w14:nvContentPartPr>
                      <w14:xfrm>
                        <a:off x="0" y="0"/>
                        <a:ext cx="126365" cy="126365"/>
                      </w14:xfrm>
                    </w14:contentPart>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type id="_x0000_t75" coordsize="21600,21600" filled="f" stroked="f" o:spt="75" o:preferrelative="t" path="m@4@5l@4@11@9@11@9@5xe" w14:anchorId="6614544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082319938" style="position:absolute;margin-left:-1859.9pt;margin-top:-1637.7pt;width:3482.5pt;height:34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">
                <v:imagedata o:title="" r:id="rId20"/>
              </v:shape>
            </w:pict>
          </mc:Fallback>
        </mc:AlternateContent>
      </w:r>
      <w:r w:rsidRPr="000D5817">
        <w:rPr>
          <w:rFonts w:asciiTheme="majorHAnsi" w:hAnsiTheme="majorHAnsi"/>
          <w:b/>
          <w:bCs/>
          <w:i w:val="0"/>
          <w:iCs w:val="0"/>
          <w:noProof/>
          <w:color w:val="000000" w:themeColor="text1"/>
          <w:sz w:val="22"/>
          <w:szCs w:val="22"/>
          <w:lang w:val="en-GB"/>
        </w:rPr>
        <mc:AlternateContent>
          <mc:Choice Requires="wpi">
            <w:drawing>
              <wp:anchor distT="0" distB="0" distL="114300" distR="114300" simplePos="0" relativeHeight="251658241" behindDoc="0" locked="0" layoutInCell="1" allowOverlap="1" wp14:anchorId="24867E1B" wp14:editId="56A097DE">
                <wp:simplePos x="0" y="0"/>
                <wp:positionH relativeFrom="column">
                  <wp:posOffset>-2726055</wp:posOffset>
                </wp:positionH>
                <wp:positionV relativeFrom="paragraph">
                  <wp:posOffset>1814195</wp:posOffset>
                </wp:positionV>
                <wp:extent cx="126365" cy="126365"/>
                <wp:effectExtent l="107950" t="109855" r="99060" b="97155"/>
                <wp:wrapNone/>
                <wp:docPr id="2082319977" name="Ink 208231993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ChangeAspect="1"/>
                        </w14:cNvContentPartPr>
                      </w14:nvContentPartPr>
                      <w14:xfrm>
                        <a:off x="0" y="0"/>
                        <a:ext cx="126365" cy="126365"/>
                      </w14:xfrm>
                    </w14:contentPart>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Ink 2082319939" style="position:absolute;margin-left:-1955.9pt;margin-top:-1598.4pt;width:3482.5pt;height:34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" w14:anchorId="3B647434">
                <v:imagedata o:title="" r:id="rId20"/>
              </v:shape>
            </w:pict>
          </mc:Fallback>
        </mc:AlternateContent>
      </w:r>
      <w:r w:rsidRPr="000D5817">
        <w:rPr>
          <w:rFonts w:asciiTheme="majorHAnsi" w:hAnsiTheme="majorHAnsi"/>
          <w:b/>
          <w:bCs/>
          <w:i w:val="0"/>
          <w:iCs w:val="0"/>
          <w:noProof/>
          <w:color w:val="000000" w:themeColor="text1"/>
          <w:sz w:val="22"/>
          <w:szCs w:val="22"/>
          <w:lang w:val="en-GB"/>
        </w:rPr>
        <mc:AlternateContent>
          <mc:Choice Requires="wpi">
            <w:drawing>
              <wp:anchor distT="0" distB="0" distL="114300" distR="114300" simplePos="0" relativeHeight="251658242" behindDoc="0" locked="0" layoutInCell="1" allowOverlap="1" wp14:anchorId="69EEF31E" wp14:editId="0EF1AD14">
                <wp:simplePos x="0" y="0"/>
                <wp:positionH relativeFrom="column">
                  <wp:posOffset>-1754505</wp:posOffset>
                </wp:positionH>
                <wp:positionV relativeFrom="paragraph">
                  <wp:posOffset>2032635</wp:posOffset>
                </wp:positionV>
                <wp:extent cx="126365" cy="126365"/>
                <wp:effectExtent l="107950" t="109220" r="99060" b="97790"/>
                <wp:wrapNone/>
                <wp:docPr id="2082319976" name="Ink 208231994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2">
                      <w14:nvContentPartPr>
                        <w14:cNvContentPartPr>
                          <a14:cpLocks xmlns:a14="http://schemas.microsoft.com/office/drawing/2010/main" noChangeAspect="1"/>
                        </w14:cNvContentPartPr>
                      </w14:nvContentPartPr>
                      <w14:xfrm>
                        <a:off x="0" y="0"/>
                        <a:ext cx="126365" cy="126365"/>
                      </w14:xfrm>
                    </w14:contentPart>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Ink 2082319941" style="position:absolute;margin-left:-1879.4pt;margin-top:-1581.2pt;width:3482.5pt;height:34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" w14:anchorId="326728B6">
                <v:imagedata o:title="" r:id="rId20"/>
              </v:shape>
            </w:pict>
          </mc:Fallback>
        </mc:AlternateContent>
      </w:r>
      <w:r w:rsidRPr="000D5817">
        <w:rPr>
          <w:rFonts w:asciiTheme="majorHAnsi" w:hAnsiTheme="majorHAnsi"/>
          <w:b/>
          <w:bCs/>
          <w:i w:val="0"/>
          <w:iCs w:val="0"/>
          <w:color w:val="000000" w:themeColor="text1"/>
          <w:sz w:val="22"/>
          <w:szCs w:val="22"/>
          <w:lang w:val="en-GB"/>
        </w:rPr>
        <w:t>Figure </w:t>
      </w:r>
      <w:r w:rsidRPr="000D5817">
        <w:rPr>
          <w:rFonts w:asciiTheme="majorHAnsi" w:hAnsiTheme="majorHAnsi"/>
          <w:b/>
          <w:bCs/>
          <w:i w:val="0"/>
          <w:iCs w:val="0"/>
          <w:color w:val="000000" w:themeColor="text1"/>
          <w:sz w:val="22"/>
          <w:szCs w:val="22"/>
          <w:lang w:val="en-GB"/>
        </w:rPr>
        <w:fldChar w:fldCharType="begin"/>
      </w:r>
      <w:r w:rsidRPr="000D5817">
        <w:rPr>
          <w:rFonts w:asciiTheme="majorHAnsi" w:hAnsiTheme="majorHAnsi"/>
          <w:b/>
          <w:bCs/>
          <w:i w:val="0"/>
          <w:iCs w:val="0"/>
          <w:color w:val="000000" w:themeColor="text1"/>
          <w:sz w:val="22"/>
          <w:szCs w:val="22"/>
          <w:lang w:val="en-GB"/>
        </w:rPr>
        <w:instrText xml:space="preserve"> SEQ Figure \* ARABIC \* MERGEFORMAT </w:instrText>
      </w:r>
      <w:r w:rsidRPr="000D5817">
        <w:rPr>
          <w:rFonts w:asciiTheme="majorHAnsi" w:hAnsiTheme="majorHAnsi"/>
          <w:b/>
          <w:bCs/>
          <w:i w:val="0"/>
          <w:iCs w:val="0"/>
          <w:color w:val="000000" w:themeColor="text1"/>
          <w:sz w:val="22"/>
          <w:szCs w:val="22"/>
          <w:lang w:val="en-GB"/>
        </w:rPr>
        <w:fldChar w:fldCharType="separate"/>
      </w:r>
      <w:r w:rsidR="002C045A">
        <w:rPr>
          <w:rFonts w:asciiTheme="majorHAnsi" w:hAnsiTheme="majorHAnsi"/>
          <w:b/>
          <w:bCs/>
          <w:i w:val="0"/>
          <w:iCs w:val="0"/>
          <w:noProof/>
          <w:color w:val="000000" w:themeColor="text1"/>
          <w:sz w:val="22"/>
          <w:szCs w:val="22"/>
          <w:lang w:val="en-GB"/>
        </w:rPr>
        <w:t>1</w:t>
      </w:r>
      <w:r w:rsidRPr="000D5817">
        <w:rPr>
          <w:rFonts w:asciiTheme="majorHAnsi" w:hAnsiTheme="majorHAnsi"/>
          <w:b/>
          <w:bCs/>
          <w:i w:val="0"/>
          <w:iCs w:val="0"/>
          <w:color w:val="000000" w:themeColor="text1"/>
          <w:sz w:val="22"/>
          <w:szCs w:val="22"/>
          <w:lang w:val="en-GB"/>
        </w:rPr>
        <w:fldChar w:fldCharType="end"/>
      </w:r>
      <w:bookmarkEnd w:id="7"/>
      <w:r w:rsidRPr="000D5817">
        <w:rPr>
          <w:rFonts w:asciiTheme="majorHAnsi" w:hAnsiTheme="majorHAnsi"/>
          <w:b/>
          <w:bCs/>
          <w:i w:val="0"/>
          <w:iCs w:val="0"/>
          <w:color w:val="000000" w:themeColor="text1"/>
          <w:sz w:val="22"/>
          <w:szCs w:val="22"/>
          <w:lang w:val="en-GB"/>
        </w:rPr>
        <w:tab/>
        <w:t>Mean (±SE) IGF</w:t>
      </w:r>
      <w:r w:rsidRPr="000D5817">
        <w:rPr>
          <w:rFonts w:asciiTheme="majorHAnsi" w:hAnsiTheme="majorHAnsi"/>
          <w:b/>
          <w:bCs/>
          <w:i w:val="0"/>
          <w:iCs w:val="0"/>
          <w:color w:val="000000" w:themeColor="text1"/>
          <w:sz w:val="22"/>
          <w:szCs w:val="22"/>
          <w:lang w:val="en-GB"/>
        </w:rPr>
        <w:noBreakHyphen/>
        <w:t>1 SDS at steady</w:t>
      </w:r>
      <w:r w:rsidRPr="000D5817">
        <w:rPr>
          <w:rFonts w:asciiTheme="majorHAnsi" w:hAnsiTheme="majorHAnsi"/>
          <w:b/>
          <w:bCs/>
          <w:i w:val="0"/>
          <w:iCs w:val="0"/>
          <w:color w:val="000000" w:themeColor="text1"/>
          <w:sz w:val="22"/>
          <w:szCs w:val="22"/>
          <w:lang w:val="en-GB"/>
        </w:rPr>
        <w:noBreakHyphen/>
        <w:t>state in children with GHD after administration of once</w:t>
      </w:r>
      <w:r w:rsidRPr="000D5817">
        <w:rPr>
          <w:rFonts w:asciiTheme="majorHAnsi" w:hAnsiTheme="majorHAnsi"/>
          <w:b/>
          <w:bCs/>
          <w:i w:val="0"/>
          <w:iCs w:val="0"/>
          <w:color w:val="000000" w:themeColor="text1"/>
          <w:sz w:val="22"/>
          <w:szCs w:val="22"/>
          <w:lang w:val="en-GB"/>
        </w:rPr>
        <w:noBreakHyphen/>
        <w:t>weekly lonapegsomatropin 0.24 mg somatropin/kg/week</w:t>
      </w:r>
      <w:r w:rsidRPr="000D5817">
        <w:rPr>
          <w:rFonts w:asciiTheme="majorHAnsi" w:hAnsiTheme="majorHAnsi"/>
          <w:b/>
          <w:bCs/>
          <w:i w:val="0"/>
          <w:iCs w:val="0"/>
          <w:color w:val="000000" w:themeColor="text1"/>
          <w:sz w:val="22"/>
          <w:szCs w:val="22"/>
          <w:lang w:val="en-GB"/>
        </w:rPr>
        <w:fldChar w:fldCharType="begin"/>
      </w:r>
      <w:r w:rsidRPr="000D5817">
        <w:rPr>
          <w:rFonts w:asciiTheme="majorHAnsi" w:hAnsiTheme="majorHAnsi"/>
          <w:b/>
          <w:bCs/>
          <w:i w:val="0"/>
          <w:iCs w:val="0"/>
          <w:color w:val="000000" w:themeColor="text1"/>
          <w:sz w:val="22"/>
          <w:szCs w:val="22"/>
          <w:lang w:val="en-GB"/>
        </w:rPr>
        <w:instrText xml:space="preserve"> DOCVARIABLE vault_nd_592489ca-f389-4dfe-b013-8d71d3322426 \* MERGEFORMAT </w:instrText>
      </w:r>
      <w:r w:rsidRPr="000D5817">
        <w:rPr>
          <w:rFonts w:asciiTheme="majorHAnsi" w:hAnsiTheme="majorHAnsi"/>
          <w:b/>
          <w:bCs/>
          <w:i w:val="0"/>
          <w:iCs w:val="0"/>
          <w:color w:val="000000" w:themeColor="text1"/>
          <w:sz w:val="22"/>
          <w:szCs w:val="22"/>
          <w:lang w:val="en-GB"/>
        </w:rPr>
        <w:fldChar w:fldCharType="separate"/>
      </w:r>
      <w:r w:rsidRPr="000D5817">
        <w:rPr>
          <w:rFonts w:asciiTheme="majorHAnsi" w:hAnsiTheme="majorHAnsi"/>
          <w:b/>
          <w:bCs/>
          <w:i w:val="0"/>
          <w:iCs w:val="0"/>
          <w:color w:val="000000" w:themeColor="text1"/>
          <w:sz w:val="22"/>
          <w:szCs w:val="22"/>
          <w:lang w:val="en-GB"/>
        </w:rPr>
        <w:t xml:space="preserve"> </w:t>
      </w:r>
      <w:r w:rsidRPr="000D5817">
        <w:rPr>
          <w:rFonts w:asciiTheme="majorHAnsi" w:hAnsiTheme="majorHAnsi"/>
          <w:b/>
          <w:bCs/>
          <w:i w:val="0"/>
          <w:iCs w:val="0"/>
          <w:color w:val="000000" w:themeColor="text1"/>
          <w:sz w:val="22"/>
          <w:szCs w:val="22"/>
          <w:lang w:val="en-GB"/>
        </w:rPr>
        <w:fldChar w:fldCharType="end"/>
      </w:r>
    </w:p>
    <w:p w14:paraId="0DCEEC0F" w14:textId="77777777" w:rsidR="000D5817" w:rsidRPr="000D5817" w:rsidRDefault="000D5817" w:rsidP="00A73D97">
      <w:pPr>
        <w:spacing w:after="0" w:line="240" w:lineRule="auto"/>
        <w:ind w:right="-63"/>
        <w:rPr>
          <w:rFonts w:asciiTheme="majorHAnsi" w:hAnsiTheme="majorHAnsi"/>
        </w:rPr>
      </w:pPr>
    </w:p>
    <w:p w14:paraId="035F2110" w14:textId="6EE2F008" w:rsidR="00F0606C" w:rsidRDefault="00EC7D73" w:rsidP="00A73D97">
      <w:pPr>
        <w:pStyle w:val="BodyText"/>
        <w:ind w:left="0" w:right="-63"/>
        <w:rPr>
          <w:rFonts w:asciiTheme="majorHAnsi" w:eastAsiaTheme="majorEastAsia" w:hAnsiTheme="majorHAnsi" w:cstheme="minorHAnsi"/>
          <w:b/>
          <w:bCs/>
          <w:lang w:eastAsia="en-US" w:bidi="ar-SA"/>
        </w:rPr>
      </w:pPr>
      <w:r w:rsidRPr="00FF46B0">
        <w:rPr>
          <w:noProof/>
          <w:lang w:val="en-GB"/>
        </w:rPr>
        <w:lastRenderedPageBreak/>
        <w:drawing>
          <wp:inline distT="0" distB="0" distL="0" distR="0" wp14:anchorId="131F47FD" wp14:editId="321969BC">
            <wp:extent cx="5950585" cy="3298825"/>
            <wp:effectExtent l="0" t="0" r="0" b="0"/>
            <wp:docPr id="3" name="Picture 2" descr="A graph of a patient's leve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of a patient's level&#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950585" cy="3298825"/>
                    </a:xfrm>
                    <a:prstGeom prst="rect">
                      <a:avLst/>
                    </a:prstGeom>
                    <a:noFill/>
                    <a:ln>
                      <a:noFill/>
                    </a:ln>
                  </pic:spPr>
                </pic:pic>
              </a:graphicData>
            </a:graphic>
          </wp:inline>
        </w:drawing>
      </w:r>
    </w:p>
    <w:p w14:paraId="03FB1F02" w14:textId="77777777" w:rsidR="00EC7D73" w:rsidRDefault="00EC7D73" w:rsidP="00A73D97">
      <w:pPr>
        <w:pStyle w:val="BodyText"/>
        <w:ind w:left="0" w:right="-63"/>
        <w:rPr>
          <w:rFonts w:asciiTheme="majorHAnsi" w:eastAsiaTheme="majorEastAsia" w:hAnsiTheme="majorHAnsi" w:cstheme="minorHAnsi"/>
          <w:b/>
          <w:bCs/>
          <w:lang w:eastAsia="en-US" w:bidi="ar-SA"/>
        </w:rPr>
      </w:pPr>
    </w:p>
    <w:p w14:paraId="048B4BAD" w14:textId="77777777" w:rsidR="00EC7D73" w:rsidRPr="00EC7D73" w:rsidRDefault="00EC7D73" w:rsidP="00A73D97">
      <w:pPr>
        <w:pStyle w:val="BodyText"/>
        <w:ind w:left="0" w:right="-63"/>
        <w:rPr>
          <w:rFonts w:asciiTheme="majorHAnsi" w:eastAsiaTheme="majorEastAsia" w:hAnsiTheme="majorHAnsi" w:cstheme="minorHAnsi"/>
          <w:b/>
          <w:bCs/>
          <w:lang w:eastAsia="en-US" w:bidi="ar-SA"/>
        </w:rPr>
      </w:pPr>
    </w:p>
    <w:p w14:paraId="021AEDF5" w14:textId="686E73F8" w:rsidR="002C4189" w:rsidRPr="004C6325" w:rsidRDefault="00FB7D91" w:rsidP="00A73D97">
      <w:pPr>
        <w:pStyle w:val="Heading3"/>
        <w:spacing w:before="0" w:after="120"/>
        <w:ind w:left="0" w:right="-63"/>
        <w:rPr>
          <w:rFonts w:cstheme="minorHAnsi"/>
        </w:rPr>
      </w:pPr>
      <w:r w:rsidRPr="004C6325">
        <w:rPr>
          <w:rFonts w:cstheme="minorHAnsi"/>
        </w:rPr>
        <w:t>Clinical trials</w:t>
      </w:r>
      <w:r w:rsidR="00F93A39">
        <w:rPr>
          <w:rFonts w:cstheme="minorHAnsi"/>
        </w:rPr>
        <w:fldChar w:fldCharType="begin"/>
      </w:r>
      <w:r w:rsidR="00F93A39">
        <w:rPr>
          <w:rFonts w:cstheme="minorHAnsi"/>
        </w:rPr>
        <w:instrText xml:space="preserve"> DOCVARIABLE vault_nd_81c1c109-d646-447d-87f4-0a25902627c1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16D22E0C" w14:textId="77777777" w:rsidR="00D42AFE" w:rsidRPr="000260D0" w:rsidRDefault="00D42AFE" w:rsidP="00A73D97">
      <w:pPr>
        <w:pStyle w:val="paragraph0"/>
        <w:ind w:right="-63"/>
        <w:textAlignment w:val="baseline"/>
        <w:rPr>
          <w:rFonts w:asciiTheme="majorHAnsi" w:hAnsiTheme="majorHAnsi"/>
          <w:sz w:val="22"/>
          <w:szCs w:val="22"/>
        </w:rPr>
      </w:pPr>
      <w:r w:rsidRPr="000260D0">
        <w:rPr>
          <w:rFonts w:asciiTheme="majorHAnsi" w:hAnsiTheme="majorHAnsi"/>
          <w:sz w:val="22"/>
          <w:szCs w:val="22"/>
        </w:rPr>
        <w:t>The efficacy and safety of once</w:t>
      </w:r>
      <w:r w:rsidRPr="000260D0">
        <w:rPr>
          <w:rFonts w:asciiTheme="majorHAnsi" w:hAnsiTheme="majorHAnsi"/>
          <w:sz w:val="22"/>
          <w:szCs w:val="22"/>
        </w:rPr>
        <w:noBreakHyphen/>
        <w:t>weekly lonapegsomatropin were evaluated in phase 3 clinical trials that included 306 paediatric patients with GHD.</w:t>
      </w:r>
    </w:p>
    <w:p w14:paraId="183D4D71" w14:textId="77777777" w:rsidR="00D42AFE" w:rsidRPr="000260D0" w:rsidRDefault="00D42AFE" w:rsidP="00A73D97">
      <w:pPr>
        <w:pStyle w:val="paragraph0"/>
        <w:ind w:right="-63"/>
        <w:textAlignment w:val="baseline"/>
        <w:rPr>
          <w:rFonts w:asciiTheme="majorHAnsi" w:hAnsiTheme="majorHAnsi"/>
          <w:sz w:val="22"/>
          <w:szCs w:val="22"/>
        </w:rPr>
      </w:pPr>
    </w:p>
    <w:p w14:paraId="00222309" w14:textId="62E31A9A" w:rsidR="00D274C8" w:rsidRDefault="00D274C8" w:rsidP="00A73D97">
      <w:pPr>
        <w:pStyle w:val="paragraph0"/>
        <w:ind w:right="-63"/>
        <w:textAlignment w:val="baseline"/>
        <w:rPr>
          <w:rFonts w:asciiTheme="majorHAnsi" w:hAnsiTheme="majorHAnsi"/>
          <w:sz w:val="22"/>
          <w:szCs w:val="22"/>
        </w:rPr>
      </w:pPr>
      <w:proofErr w:type="spellStart"/>
      <w:r>
        <w:rPr>
          <w:rFonts w:asciiTheme="majorHAnsi" w:hAnsiTheme="majorHAnsi"/>
          <w:sz w:val="22"/>
          <w:szCs w:val="22"/>
        </w:rPr>
        <w:t>heiGHt</w:t>
      </w:r>
      <w:proofErr w:type="spellEnd"/>
      <w:r>
        <w:rPr>
          <w:rFonts w:asciiTheme="majorHAnsi" w:hAnsiTheme="majorHAnsi"/>
          <w:sz w:val="22"/>
          <w:szCs w:val="22"/>
        </w:rPr>
        <w:t xml:space="preserve"> trial:</w:t>
      </w:r>
    </w:p>
    <w:p w14:paraId="45EDAA23" w14:textId="628AC12F" w:rsidR="00EC7C52" w:rsidRDefault="00D42AFE" w:rsidP="00A73D97">
      <w:pPr>
        <w:pStyle w:val="paragraph0"/>
        <w:ind w:right="-63"/>
        <w:textAlignment w:val="baseline"/>
        <w:rPr>
          <w:rFonts w:asciiTheme="majorHAnsi" w:hAnsiTheme="majorHAnsi"/>
          <w:sz w:val="22"/>
          <w:szCs w:val="22"/>
        </w:rPr>
      </w:pPr>
      <w:r w:rsidRPr="000260D0">
        <w:rPr>
          <w:rFonts w:asciiTheme="majorHAnsi" w:hAnsiTheme="majorHAnsi"/>
          <w:sz w:val="22"/>
          <w:szCs w:val="22"/>
        </w:rPr>
        <w:t>In a 52</w:t>
      </w:r>
      <w:r w:rsidRPr="000260D0">
        <w:rPr>
          <w:rFonts w:asciiTheme="majorHAnsi" w:hAnsiTheme="majorHAnsi"/>
          <w:sz w:val="22"/>
          <w:szCs w:val="22"/>
        </w:rPr>
        <w:noBreakHyphen/>
        <w:t>week multi</w:t>
      </w:r>
      <w:r w:rsidRPr="000260D0">
        <w:rPr>
          <w:rFonts w:asciiTheme="majorHAnsi" w:hAnsiTheme="majorHAnsi"/>
          <w:sz w:val="22"/>
          <w:szCs w:val="22"/>
        </w:rPr>
        <w:noBreakHyphen/>
        <w:t>centre randomised, open</w:t>
      </w:r>
      <w:r w:rsidRPr="000260D0">
        <w:rPr>
          <w:rFonts w:asciiTheme="majorHAnsi" w:hAnsiTheme="majorHAnsi"/>
          <w:sz w:val="22"/>
          <w:szCs w:val="22"/>
        </w:rPr>
        <w:noBreakHyphen/>
        <w:t>label, active</w:t>
      </w:r>
      <w:r w:rsidRPr="000260D0">
        <w:rPr>
          <w:rFonts w:asciiTheme="majorHAnsi" w:hAnsiTheme="majorHAnsi"/>
          <w:sz w:val="22"/>
          <w:szCs w:val="22"/>
        </w:rPr>
        <w:noBreakHyphen/>
        <w:t>controlled, parallel</w:t>
      </w:r>
      <w:r w:rsidRPr="000260D0">
        <w:rPr>
          <w:rFonts w:asciiTheme="majorHAnsi" w:hAnsiTheme="majorHAnsi"/>
          <w:sz w:val="22"/>
          <w:szCs w:val="22"/>
        </w:rPr>
        <w:noBreakHyphen/>
        <w:t>group phase 3 clinical trial, 161 treatment</w:t>
      </w:r>
      <w:r w:rsidRPr="000260D0">
        <w:rPr>
          <w:rFonts w:asciiTheme="majorHAnsi" w:hAnsiTheme="majorHAnsi"/>
          <w:sz w:val="22"/>
          <w:szCs w:val="22"/>
        </w:rPr>
        <w:noBreakHyphen/>
        <w:t>naïve, prepubertal paediatric patients with GHD were randomised to once</w:t>
      </w:r>
      <w:r w:rsidRPr="000260D0">
        <w:rPr>
          <w:rFonts w:asciiTheme="majorHAnsi" w:hAnsiTheme="majorHAnsi"/>
          <w:sz w:val="22"/>
          <w:szCs w:val="22"/>
        </w:rPr>
        <w:noBreakHyphen/>
        <w:t xml:space="preserve">weekly lonapegsomatropin (N=105) or daily somatropin (N=56), both at a total weekly dose of 0.24 mg somatropin/kg. The patients ranged in age from 3.2 to 13.1 years with a mean of 8.5 years. Most (N=132 (82%)) subjects were male. The patients had a mean baseline height SDS of </w:t>
      </w:r>
      <w:r w:rsidRPr="000260D0">
        <w:rPr>
          <w:rFonts w:asciiTheme="majorHAnsi" w:hAnsiTheme="majorHAnsi"/>
          <w:sz w:val="22"/>
          <w:szCs w:val="22"/>
        </w:rPr>
        <w:noBreakHyphen/>
        <w:t xml:space="preserve">2.93. </w:t>
      </w:r>
    </w:p>
    <w:p w14:paraId="3951F175" w14:textId="77777777" w:rsidR="00EC7C52" w:rsidRDefault="00EC7C52" w:rsidP="00A73D97">
      <w:pPr>
        <w:pStyle w:val="paragraph0"/>
        <w:ind w:right="-63"/>
        <w:textAlignment w:val="baseline"/>
        <w:rPr>
          <w:rFonts w:asciiTheme="majorHAnsi" w:hAnsiTheme="majorHAnsi"/>
          <w:sz w:val="22"/>
          <w:szCs w:val="22"/>
        </w:rPr>
      </w:pPr>
    </w:p>
    <w:p w14:paraId="02D09BAE" w14:textId="10E1965C" w:rsidR="00D42AFE" w:rsidRPr="000260D0" w:rsidRDefault="00D42AFE" w:rsidP="00A73D97">
      <w:pPr>
        <w:pStyle w:val="paragraph0"/>
        <w:ind w:right="-63"/>
        <w:textAlignment w:val="baseline"/>
        <w:rPr>
          <w:rFonts w:asciiTheme="majorHAnsi" w:hAnsiTheme="majorHAnsi"/>
          <w:sz w:val="22"/>
          <w:szCs w:val="22"/>
        </w:rPr>
      </w:pPr>
      <w:r w:rsidRPr="000260D0">
        <w:rPr>
          <w:rFonts w:asciiTheme="majorHAnsi" w:hAnsiTheme="majorHAnsi"/>
          <w:sz w:val="22"/>
          <w:szCs w:val="22"/>
        </w:rPr>
        <w:t>The primary efficacy endpoint was annualised height velocity (AHV) at week 52. Treatment with once</w:t>
      </w:r>
      <w:r w:rsidRPr="000260D0">
        <w:rPr>
          <w:rFonts w:asciiTheme="majorHAnsi" w:hAnsiTheme="majorHAnsi"/>
          <w:sz w:val="22"/>
          <w:szCs w:val="22"/>
        </w:rPr>
        <w:noBreakHyphen/>
        <w:t xml:space="preserve">weekly lonapegsomatropin for 52 weeks resulted in a non-inferior AHV compared to </w:t>
      </w:r>
      <w:proofErr w:type="gramStart"/>
      <w:r w:rsidRPr="000260D0">
        <w:rPr>
          <w:rFonts w:asciiTheme="majorHAnsi" w:hAnsiTheme="majorHAnsi"/>
          <w:sz w:val="22"/>
          <w:szCs w:val="22"/>
        </w:rPr>
        <w:t>once-daily</w:t>
      </w:r>
      <w:proofErr w:type="gramEnd"/>
      <w:r w:rsidRPr="000260D0">
        <w:rPr>
          <w:rFonts w:asciiTheme="majorHAnsi" w:hAnsiTheme="majorHAnsi"/>
          <w:sz w:val="22"/>
          <w:szCs w:val="22"/>
        </w:rPr>
        <w:t xml:space="preserve"> somatropin (Table 4). Also, changes in the height standard deviation score (SDS) (change from baseline) tended to be larger for once-weekly lonapegsomatropin compared to once-daily somatropin (Table 4). Changes in AHV and height SDS tended to be larger for lonapegsomatropin compared to those of somatropin from week 26 through the end of the trial at week 52.</w:t>
      </w:r>
      <w:bookmarkStart w:id="8" w:name="_Hlk36675420"/>
    </w:p>
    <w:p w14:paraId="17F11B75" w14:textId="77777777" w:rsidR="00D42AFE" w:rsidRPr="000260D0" w:rsidRDefault="00D42AFE" w:rsidP="00A73D97">
      <w:pPr>
        <w:pStyle w:val="paragraph0"/>
        <w:ind w:right="-63"/>
        <w:textAlignment w:val="baseline"/>
        <w:rPr>
          <w:rFonts w:asciiTheme="majorHAnsi" w:hAnsiTheme="majorHAnsi"/>
          <w:sz w:val="22"/>
          <w:szCs w:val="22"/>
        </w:rPr>
      </w:pPr>
    </w:p>
    <w:p w14:paraId="17B728A8" w14:textId="4A98050F" w:rsidR="00D42AFE" w:rsidRPr="000260D0" w:rsidRDefault="00D42AFE" w:rsidP="00A73D97">
      <w:pPr>
        <w:pStyle w:val="paragraph0"/>
        <w:ind w:right="-63"/>
        <w:textAlignment w:val="baseline"/>
        <w:rPr>
          <w:rFonts w:asciiTheme="majorHAnsi" w:hAnsiTheme="majorHAnsi"/>
          <w:sz w:val="22"/>
          <w:szCs w:val="22"/>
        </w:rPr>
      </w:pPr>
      <w:r w:rsidRPr="000260D0">
        <w:rPr>
          <w:rFonts w:asciiTheme="majorHAnsi" w:hAnsiTheme="majorHAnsi"/>
          <w:sz w:val="22"/>
          <w:szCs w:val="22"/>
        </w:rPr>
        <w:t>The mean (SD) ratio of bone age to chronological age advanced similarly in both arms from baseline to week 52: 0.69 (0.16) to 0.75 (0.15) with once</w:t>
      </w:r>
      <w:r w:rsidRPr="000260D0">
        <w:rPr>
          <w:rFonts w:asciiTheme="majorHAnsi" w:hAnsiTheme="majorHAnsi"/>
          <w:sz w:val="22"/>
          <w:szCs w:val="22"/>
        </w:rPr>
        <w:noBreakHyphen/>
        <w:t>weekly lonapegsomatropin and 0.70 (0.14) to 0.76 (0.14) with daily somatropin.</w:t>
      </w:r>
    </w:p>
    <w:bookmarkEnd w:id="8"/>
    <w:p w14:paraId="2A2C0907" w14:textId="77777777" w:rsidR="002A03B6" w:rsidRPr="000260D0" w:rsidRDefault="002A03B6" w:rsidP="00A73D97">
      <w:pPr>
        <w:pStyle w:val="BodyText"/>
        <w:ind w:left="0" w:right="-63"/>
        <w:rPr>
          <w:rFonts w:asciiTheme="majorHAnsi" w:hAnsiTheme="majorHAnsi"/>
        </w:rPr>
      </w:pPr>
    </w:p>
    <w:p w14:paraId="74C336B9" w14:textId="77777777" w:rsidR="000260D0" w:rsidRPr="000260D0" w:rsidRDefault="000260D0" w:rsidP="00130EFD">
      <w:pPr>
        <w:pStyle w:val="Caption"/>
        <w:pageBreakBefore/>
        <w:tabs>
          <w:tab w:val="left" w:pos="1134"/>
        </w:tabs>
        <w:spacing w:after="0"/>
        <w:ind w:left="1134" w:right="-62" w:hanging="1134"/>
        <w:rPr>
          <w:rFonts w:asciiTheme="majorHAnsi" w:hAnsiTheme="majorHAnsi"/>
          <w:b/>
          <w:bCs/>
          <w:i w:val="0"/>
          <w:iCs w:val="0"/>
          <w:color w:val="000000" w:themeColor="text1"/>
          <w:sz w:val="22"/>
          <w:szCs w:val="22"/>
          <w:lang w:val="en-GB"/>
        </w:rPr>
      </w:pPr>
      <w:r w:rsidRPr="000260D0">
        <w:rPr>
          <w:rFonts w:asciiTheme="majorHAnsi" w:hAnsiTheme="majorHAnsi"/>
          <w:b/>
          <w:bCs/>
          <w:i w:val="0"/>
          <w:iCs w:val="0"/>
          <w:color w:val="000000" w:themeColor="text1"/>
          <w:sz w:val="22"/>
          <w:szCs w:val="22"/>
          <w:lang w:val="en-GB"/>
        </w:rPr>
        <w:lastRenderedPageBreak/>
        <w:t>Table 4</w:t>
      </w:r>
      <w:r w:rsidRPr="000260D0">
        <w:rPr>
          <w:rFonts w:asciiTheme="majorHAnsi" w:hAnsiTheme="majorHAnsi"/>
          <w:b/>
          <w:bCs/>
          <w:i w:val="0"/>
          <w:iCs w:val="0"/>
          <w:color w:val="000000" w:themeColor="text1"/>
          <w:sz w:val="22"/>
          <w:szCs w:val="22"/>
          <w:lang w:val="en-GB"/>
        </w:rPr>
        <w:tab/>
        <w:t>Growth and IGF</w:t>
      </w:r>
      <w:r w:rsidRPr="000260D0">
        <w:rPr>
          <w:rFonts w:asciiTheme="majorHAnsi" w:hAnsiTheme="majorHAnsi"/>
          <w:b/>
          <w:bCs/>
          <w:i w:val="0"/>
          <w:iCs w:val="0"/>
          <w:color w:val="000000" w:themeColor="text1"/>
          <w:sz w:val="22"/>
          <w:szCs w:val="22"/>
          <w:lang w:val="en-GB"/>
        </w:rPr>
        <w:noBreakHyphen/>
        <w:t>1 response at week 52 in paediatric treatment</w:t>
      </w:r>
      <w:r w:rsidRPr="000260D0">
        <w:rPr>
          <w:rFonts w:asciiTheme="majorHAnsi" w:hAnsiTheme="majorHAnsi"/>
          <w:b/>
          <w:bCs/>
          <w:i w:val="0"/>
          <w:iCs w:val="0"/>
          <w:color w:val="000000" w:themeColor="text1"/>
          <w:sz w:val="22"/>
          <w:szCs w:val="22"/>
          <w:lang w:val="en-GB"/>
        </w:rPr>
        <w:noBreakHyphen/>
        <w:t>naïve patients with GHD (Intention</w:t>
      </w:r>
      <w:r w:rsidRPr="000260D0">
        <w:rPr>
          <w:rFonts w:asciiTheme="majorHAnsi" w:hAnsiTheme="majorHAnsi"/>
          <w:b/>
          <w:bCs/>
          <w:i w:val="0"/>
          <w:iCs w:val="0"/>
          <w:color w:val="000000" w:themeColor="text1"/>
          <w:sz w:val="22"/>
          <w:szCs w:val="22"/>
          <w:lang w:val="en-GB"/>
        </w:rPr>
        <w:noBreakHyphen/>
        <w:t>to</w:t>
      </w:r>
      <w:r w:rsidRPr="000260D0">
        <w:rPr>
          <w:rFonts w:asciiTheme="majorHAnsi" w:hAnsiTheme="majorHAnsi"/>
          <w:b/>
          <w:bCs/>
          <w:i w:val="0"/>
          <w:iCs w:val="0"/>
          <w:color w:val="000000" w:themeColor="text1"/>
          <w:sz w:val="22"/>
          <w:szCs w:val="22"/>
          <w:lang w:val="en-GB"/>
        </w:rPr>
        <w:noBreakHyphen/>
        <w:t xml:space="preserve">treat analysis) </w:t>
      </w:r>
    </w:p>
    <w:p w14:paraId="15E12045" w14:textId="77777777" w:rsidR="00D42AFE" w:rsidRPr="000260D0" w:rsidRDefault="00D42AFE" w:rsidP="00A73D97">
      <w:pPr>
        <w:pStyle w:val="BodyText"/>
        <w:ind w:left="0" w:right="-63"/>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493"/>
        <w:gridCol w:w="2493"/>
        <w:gridCol w:w="2293"/>
      </w:tblGrid>
      <w:tr w:rsidR="00094B55" w:rsidRPr="00094B55" w14:paraId="6FA98AE5" w14:textId="77777777" w:rsidTr="00D04679">
        <w:tc>
          <w:tcPr>
            <w:tcW w:w="2394" w:type="dxa"/>
          </w:tcPr>
          <w:p w14:paraId="464C810F" w14:textId="77777777" w:rsidR="00094B55" w:rsidRPr="00094B55" w:rsidRDefault="00094B55" w:rsidP="00A73D97">
            <w:pPr>
              <w:pStyle w:val="Caption"/>
              <w:spacing w:after="0"/>
              <w:ind w:right="-63"/>
              <w:rPr>
                <w:rFonts w:asciiTheme="majorHAnsi" w:hAnsiTheme="majorHAnsi"/>
                <w:sz w:val="22"/>
                <w:szCs w:val="22"/>
                <w:lang w:val="en-GB"/>
              </w:rPr>
            </w:pPr>
          </w:p>
        </w:tc>
        <w:tc>
          <w:tcPr>
            <w:tcW w:w="2196" w:type="dxa"/>
          </w:tcPr>
          <w:p w14:paraId="000002E1" w14:textId="77777777" w:rsidR="00094B55" w:rsidRPr="00094B55" w:rsidRDefault="00094B55" w:rsidP="00A73D97">
            <w:pPr>
              <w:pStyle w:val="C-TableHeader"/>
              <w:spacing w:before="0" w:after="0"/>
              <w:ind w:right="-63"/>
              <w:jc w:val="center"/>
              <w:rPr>
                <w:rFonts w:asciiTheme="majorHAnsi" w:hAnsiTheme="majorHAnsi"/>
                <w:szCs w:val="22"/>
                <w:lang w:val="en-GB"/>
              </w:rPr>
            </w:pPr>
            <w:r w:rsidRPr="00094B55">
              <w:rPr>
                <w:rFonts w:asciiTheme="majorHAnsi" w:hAnsiTheme="majorHAnsi"/>
                <w:szCs w:val="22"/>
                <w:lang w:val="en-GB"/>
              </w:rPr>
              <w:t>Once</w:t>
            </w:r>
            <w:r w:rsidRPr="00094B55">
              <w:rPr>
                <w:rFonts w:asciiTheme="majorHAnsi" w:hAnsiTheme="majorHAnsi"/>
                <w:szCs w:val="22"/>
                <w:lang w:val="en-GB"/>
              </w:rPr>
              <w:noBreakHyphen/>
              <w:t xml:space="preserve">weekly lonapegsomatropin (N=105) </w:t>
            </w:r>
            <w:r w:rsidRPr="00094B55">
              <w:rPr>
                <w:rFonts w:asciiTheme="majorHAnsi" w:hAnsiTheme="majorHAnsi"/>
                <w:szCs w:val="22"/>
                <w:lang w:val="en-GB"/>
              </w:rPr>
              <w:br/>
              <w:t>(0.24 mg somatropin/kg/week)</w:t>
            </w:r>
          </w:p>
        </w:tc>
        <w:tc>
          <w:tcPr>
            <w:tcW w:w="2296" w:type="dxa"/>
          </w:tcPr>
          <w:p w14:paraId="1B7B30D5" w14:textId="77777777" w:rsidR="00094B55" w:rsidRPr="00094B55" w:rsidRDefault="00094B55" w:rsidP="00A73D97">
            <w:pPr>
              <w:pStyle w:val="C-TableHeader"/>
              <w:spacing w:before="0" w:after="0"/>
              <w:ind w:right="-63"/>
              <w:jc w:val="center"/>
              <w:rPr>
                <w:rFonts w:asciiTheme="majorHAnsi" w:hAnsiTheme="majorHAnsi"/>
                <w:szCs w:val="22"/>
                <w:lang w:val="en-GB"/>
              </w:rPr>
            </w:pPr>
            <w:r w:rsidRPr="00094B55">
              <w:rPr>
                <w:rFonts w:asciiTheme="majorHAnsi" w:hAnsiTheme="majorHAnsi"/>
                <w:szCs w:val="22"/>
                <w:lang w:val="en-GB"/>
              </w:rPr>
              <w:t>Daily somatropin (N=56)</w:t>
            </w:r>
            <w:r w:rsidRPr="00094B55">
              <w:rPr>
                <w:rFonts w:asciiTheme="majorHAnsi" w:hAnsiTheme="majorHAnsi"/>
                <w:szCs w:val="22"/>
                <w:lang w:val="en-GB"/>
              </w:rPr>
              <w:br/>
              <w:t>(0.24 mg somatropin/kg/week)</w:t>
            </w:r>
          </w:p>
        </w:tc>
        <w:tc>
          <w:tcPr>
            <w:tcW w:w="2175" w:type="dxa"/>
          </w:tcPr>
          <w:p w14:paraId="600D0C9B" w14:textId="77777777" w:rsidR="00094B55" w:rsidRPr="00094B55" w:rsidRDefault="00094B55" w:rsidP="00A73D97">
            <w:pPr>
              <w:pStyle w:val="C-TableHeader"/>
              <w:spacing w:before="0" w:after="0"/>
              <w:ind w:right="-63"/>
              <w:jc w:val="center"/>
              <w:rPr>
                <w:rFonts w:asciiTheme="majorHAnsi" w:hAnsiTheme="majorHAnsi"/>
                <w:szCs w:val="22"/>
                <w:lang w:val="en-GB"/>
              </w:rPr>
            </w:pPr>
            <w:r w:rsidRPr="00094B55">
              <w:rPr>
                <w:rFonts w:asciiTheme="majorHAnsi" w:hAnsiTheme="majorHAnsi"/>
                <w:szCs w:val="22"/>
                <w:lang w:val="en-GB"/>
              </w:rPr>
              <w:t>Estimate of treatment difference (lonapegsomatropin minus somatropin)</w:t>
            </w:r>
          </w:p>
        </w:tc>
      </w:tr>
      <w:tr w:rsidR="00094B55" w:rsidRPr="00094B55" w14:paraId="2A11924E" w14:textId="77777777" w:rsidTr="00D04679">
        <w:tc>
          <w:tcPr>
            <w:tcW w:w="2394" w:type="dxa"/>
          </w:tcPr>
          <w:p w14:paraId="5642654E" w14:textId="77777777" w:rsidR="00094B55" w:rsidRPr="00094B55" w:rsidRDefault="00094B55" w:rsidP="00A73D97">
            <w:pPr>
              <w:pStyle w:val="C-TableText"/>
              <w:keepNext/>
              <w:spacing w:before="0" w:after="0"/>
              <w:ind w:right="-63"/>
              <w:rPr>
                <w:rFonts w:asciiTheme="majorHAnsi" w:hAnsiTheme="majorHAnsi"/>
                <w:szCs w:val="22"/>
                <w:lang w:val="en-GB"/>
              </w:rPr>
            </w:pPr>
            <w:r w:rsidRPr="00094B55">
              <w:rPr>
                <w:rFonts w:asciiTheme="majorHAnsi" w:hAnsiTheme="majorHAnsi"/>
                <w:szCs w:val="22"/>
                <w:lang w:val="en-GB"/>
              </w:rPr>
              <w:t>AHV (cm/</w:t>
            </w:r>
            <w:proofErr w:type="gramStart"/>
            <w:r w:rsidRPr="00094B55">
              <w:rPr>
                <w:rFonts w:asciiTheme="majorHAnsi" w:hAnsiTheme="majorHAnsi"/>
                <w:szCs w:val="22"/>
                <w:lang w:val="en-GB"/>
              </w:rPr>
              <w:t>year)</w:t>
            </w:r>
            <w:r w:rsidRPr="00094B55">
              <w:rPr>
                <w:rStyle w:val="C-TableCallout"/>
                <w:rFonts w:asciiTheme="majorHAnsi" w:hAnsiTheme="majorHAnsi"/>
                <w:szCs w:val="22"/>
                <w:lang w:val="en-GB"/>
              </w:rPr>
              <w:t>a</w:t>
            </w:r>
            <w:proofErr w:type="gramEnd"/>
            <w:r w:rsidRPr="00094B55">
              <w:rPr>
                <w:rStyle w:val="C-TableCallout"/>
                <w:rFonts w:asciiTheme="majorHAnsi" w:hAnsiTheme="majorHAnsi"/>
                <w:szCs w:val="22"/>
                <w:lang w:val="en-GB"/>
              </w:rPr>
              <w:t>, LS mean (95% CI)</w:t>
            </w:r>
          </w:p>
        </w:tc>
        <w:tc>
          <w:tcPr>
            <w:tcW w:w="2196" w:type="dxa"/>
          </w:tcPr>
          <w:p w14:paraId="4C3553C0"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11.2</w:t>
            </w:r>
          </w:p>
          <w:p w14:paraId="34DAD49A"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(10.7</w:t>
            </w:r>
            <w:r w:rsidRPr="00094B55">
              <w:rPr>
                <w:rFonts w:asciiTheme="majorHAnsi" w:hAnsiTheme="majorHAnsi"/>
                <w:szCs w:val="22"/>
                <w:lang w:val="en-GB"/>
              </w:rPr>
              <w:noBreakHyphen/>
              <w:t>11.6)</w:t>
            </w:r>
          </w:p>
        </w:tc>
        <w:tc>
          <w:tcPr>
            <w:tcW w:w="2296" w:type="dxa"/>
          </w:tcPr>
          <w:p w14:paraId="4A1AE858"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10.3</w:t>
            </w:r>
          </w:p>
          <w:p w14:paraId="05504DFE"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(9.7</w:t>
            </w:r>
            <w:r w:rsidRPr="00094B55">
              <w:rPr>
                <w:rFonts w:asciiTheme="majorHAnsi" w:hAnsiTheme="majorHAnsi"/>
                <w:szCs w:val="22"/>
                <w:lang w:val="en-GB"/>
              </w:rPr>
              <w:noBreakHyphen/>
              <w:t>10.9)</w:t>
            </w:r>
          </w:p>
        </w:tc>
        <w:tc>
          <w:tcPr>
            <w:tcW w:w="2175" w:type="dxa"/>
          </w:tcPr>
          <w:p w14:paraId="74CCAA77" w14:textId="77777777" w:rsidR="00094B55" w:rsidRPr="00094B55" w:rsidRDefault="00094B55" w:rsidP="00A73D97">
            <w:pPr>
              <w:pStyle w:val="C-TableText"/>
              <w:keepNext/>
              <w:spacing w:before="0" w:after="0"/>
              <w:ind w:right="-63"/>
              <w:jc w:val="center"/>
              <w:rPr>
                <w:rStyle w:val="C-TableCallout"/>
                <w:rFonts w:asciiTheme="majorHAnsi" w:hAnsiTheme="majorHAnsi"/>
                <w:szCs w:val="22"/>
                <w:lang w:val="en-GB"/>
              </w:rPr>
            </w:pPr>
            <w:r w:rsidRPr="00094B55">
              <w:rPr>
                <w:rFonts w:asciiTheme="majorHAnsi" w:hAnsiTheme="majorHAnsi"/>
                <w:szCs w:val="22"/>
                <w:lang w:val="en-GB"/>
              </w:rPr>
              <w:t>0.9</w:t>
            </w:r>
            <w:r w:rsidRPr="00094B55">
              <w:rPr>
                <w:rStyle w:val="C-TableCallout"/>
                <w:rFonts w:asciiTheme="majorHAnsi" w:hAnsiTheme="majorHAnsi"/>
                <w:szCs w:val="22"/>
                <w:lang w:val="en-GB"/>
              </w:rPr>
              <w:t>b</w:t>
            </w:r>
          </w:p>
          <w:p w14:paraId="6AB482FA"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(0.2</w:t>
            </w:r>
            <w:r w:rsidRPr="00094B55">
              <w:rPr>
                <w:rFonts w:asciiTheme="majorHAnsi" w:hAnsiTheme="majorHAnsi"/>
                <w:szCs w:val="22"/>
                <w:lang w:val="en-GB"/>
              </w:rPr>
              <w:noBreakHyphen/>
              <w:t>1.5)</w:t>
            </w:r>
          </w:p>
        </w:tc>
      </w:tr>
      <w:tr w:rsidR="00094B55" w:rsidRPr="00094B55" w14:paraId="4DC0913E" w14:textId="77777777" w:rsidTr="00D04679">
        <w:tc>
          <w:tcPr>
            <w:tcW w:w="2394" w:type="dxa"/>
          </w:tcPr>
          <w:p w14:paraId="7F2679DF" w14:textId="77777777" w:rsidR="00094B55" w:rsidRPr="00094B55" w:rsidRDefault="00094B55" w:rsidP="00A73D97">
            <w:pPr>
              <w:pStyle w:val="C-TableText"/>
              <w:keepNext/>
              <w:spacing w:before="0" w:after="0"/>
              <w:ind w:right="-63"/>
              <w:rPr>
                <w:rFonts w:asciiTheme="majorHAnsi" w:hAnsiTheme="majorHAnsi"/>
                <w:szCs w:val="22"/>
                <w:lang w:val="en-GB"/>
              </w:rPr>
            </w:pPr>
            <w:r w:rsidRPr="00094B55">
              <w:rPr>
                <w:rFonts w:asciiTheme="majorHAnsi" w:hAnsiTheme="majorHAnsi"/>
                <w:szCs w:val="22"/>
                <w:lang w:val="en-GB"/>
              </w:rPr>
              <w:t xml:space="preserve">Height SDS, change from </w:t>
            </w:r>
            <w:proofErr w:type="spellStart"/>
            <w:r w:rsidRPr="00094B55">
              <w:rPr>
                <w:rFonts w:asciiTheme="majorHAnsi" w:hAnsiTheme="majorHAnsi"/>
                <w:szCs w:val="22"/>
                <w:lang w:val="en-GB"/>
              </w:rPr>
              <w:t>baseline</w:t>
            </w:r>
            <w:r w:rsidRPr="00094B55">
              <w:rPr>
                <w:rStyle w:val="C-TableCallout"/>
                <w:rFonts w:asciiTheme="majorHAnsi" w:hAnsiTheme="majorHAnsi"/>
                <w:szCs w:val="22"/>
                <w:lang w:val="en-GB"/>
              </w:rPr>
              <w:t>c</w:t>
            </w:r>
            <w:proofErr w:type="spellEnd"/>
            <w:r w:rsidRPr="00094B55">
              <w:rPr>
                <w:rStyle w:val="C-TableCallout"/>
                <w:rFonts w:asciiTheme="majorHAnsi" w:hAnsiTheme="majorHAnsi"/>
                <w:szCs w:val="22"/>
                <w:lang w:val="en-GB"/>
              </w:rPr>
              <w:t>, LS mean (95% CI)</w:t>
            </w:r>
          </w:p>
        </w:tc>
        <w:tc>
          <w:tcPr>
            <w:tcW w:w="2196" w:type="dxa"/>
          </w:tcPr>
          <w:p w14:paraId="021E616B"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1.10</w:t>
            </w:r>
          </w:p>
          <w:p w14:paraId="628BEDA8"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(1.02</w:t>
            </w:r>
            <w:r w:rsidRPr="00094B55">
              <w:rPr>
                <w:rFonts w:asciiTheme="majorHAnsi" w:hAnsiTheme="majorHAnsi"/>
                <w:szCs w:val="22"/>
                <w:lang w:val="en-GB"/>
              </w:rPr>
              <w:noBreakHyphen/>
              <w:t>1.18)</w:t>
            </w:r>
          </w:p>
        </w:tc>
        <w:tc>
          <w:tcPr>
            <w:tcW w:w="2296" w:type="dxa"/>
          </w:tcPr>
          <w:p w14:paraId="2D29312F"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0.96</w:t>
            </w:r>
          </w:p>
          <w:p w14:paraId="205098D1"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(0.85</w:t>
            </w:r>
            <w:r w:rsidRPr="00094B55">
              <w:rPr>
                <w:rFonts w:asciiTheme="majorHAnsi" w:hAnsiTheme="majorHAnsi"/>
                <w:szCs w:val="22"/>
                <w:lang w:val="en-GB"/>
              </w:rPr>
              <w:noBreakHyphen/>
              <w:t>1.06)</w:t>
            </w:r>
          </w:p>
        </w:tc>
        <w:tc>
          <w:tcPr>
            <w:tcW w:w="2175" w:type="dxa"/>
          </w:tcPr>
          <w:p w14:paraId="4F033B01" w14:textId="77777777" w:rsidR="00094B55" w:rsidRPr="00094B55" w:rsidRDefault="00094B55" w:rsidP="00A73D97">
            <w:pPr>
              <w:pStyle w:val="C-TableText"/>
              <w:keepNext/>
              <w:spacing w:before="0" w:after="0"/>
              <w:ind w:right="-63"/>
              <w:jc w:val="center"/>
              <w:rPr>
                <w:rStyle w:val="C-TableCallout"/>
                <w:rFonts w:asciiTheme="majorHAnsi" w:hAnsiTheme="majorHAnsi"/>
                <w:szCs w:val="22"/>
                <w:lang w:val="en-GB"/>
              </w:rPr>
            </w:pPr>
            <w:r w:rsidRPr="00094B55">
              <w:rPr>
                <w:rFonts w:asciiTheme="majorHAnsi" w:hAnsiTheme="majorHAnsi"/>
                <w:szCs w:val="22"/>
                <w:lang w:val="en-GB"/>
              </w:rPr>
              <w:t>0.14</w:t>
            </w:r>
            <w:r w:rsidRPr="00094B55">
              <w:rPr>
                <w:rStyle w:val="C-TableCallout"/>
                <w:rFonts w:asciiTheme="majorHAnsi" w:hAnsiTheme="majorHAnsi"/>
                <w:szCs w:val="22"/>
                <w:lang w:val="en-GB"/>
              </w:rPr>
              <w:t>d</w:t>
            </w:r>
          </w:p>
          <w:p w14:paraId="49FB6E3A"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(0.03</w:t>
            </w:r>
            <w:r w:rsidRPr="00094B55">
              <w:rPr>
                <w:rFonts w:asciiTheme="majorHAnsi" w:hAnsiTheme="majorHAnsi"/>
                <w:szCs w:val="22"/>
                <w:lang w:val="en-GB"/>
              </w:rPr>
              <w:noBreakHyphen/>
              <w:t>0.26)</w:t>
            </w:r>
          </w:p>
        </w:tc>
      </w:tr>
      <w:tr w:rsidR="00094B55" w:rsidRPr="00094B55" w14:paraId="7D8BD457" w14:textId="77777777" w:rsidTr="00D04679">
        <w:trPr>
          <w:trHeight w:val="1124"/>
        </w:trPr>
        <w:tc>
          <w:tcPr>
            <w:tcW w:w="2394" w:type="dxa"/>
          </w:tcPr>
          <w:p w14:paraId="6F90E01F" w14:textId="77777777" w:rsidR="00094B55" w:rsidRPr="00094B55" w:rsidRDefault="00094B55" w:rsidP="00A73D97">
            <w:pPr>
              <w:pStyle w:val="C-TableText"/>
              <w:keepNext/>
              <w:spacing w:before="0" w:after="0"/>
              <w:ind w:right="-63"/>
              <w:rPr>
                <w:rFonts w:asciiTheme="majorHAnsi" w:hAnsiTheme="majorHAnsi"/>
                <w:szCs w:val="22"/>
                <w:lang w:val="en-GB"/>
              </w:rPr>
            </w:pPr>
            <w:r w:rsidRPr="00094B55">
              <w:rPr>
                <w:rFonts w:asciiTheme="majorHAnsi" w:hAnsiTheme="majorHAnsi"/>
                <w:szCs w:val="22"/>
                <w:lang w:val="en-GB"/>
              </w:rPr>
              <w:t>IGF</w:t>
            </w:r>
            <w:r w:rsidRPr="00094B55">
              <w:rPr>
                <w:rFonts w:asciiTheme="majorHAnsi" w:hAnsiTheme="majorHAnsi"/>
                <w:szCs w:val="22"/>
                <w:lang w:val="en-GB"/>
              </w:rPr>
              <w:noBreakHyphen/>
              <w:t xml:space="preserve">1 SDS </w:t>
            </w:r>
            <w:proofErr w:type="spellStart"/>
            <w:r w:rsidRPr="00094B55">
              <w:rPr>
                <w:rFonts w:asciiTheme="majorHAnsi" w:hAnsiTheme="majorHAnsi"/>
                <w:szCs w:val="22"/>
                <w:lang w:val="en-GB"/>
              </w:rPr>
              <w:t>category</w:t>
            </w:r>
            <w:r w:rsidRPr="00094B55">
              <w:rPr>
                <w:rFonts w:asciiTheme="majorHAnsi" w:hAnsiTheme="majorHAnsi"/>
                <w:szCs w:val="22"/>
                <w:vertAlign w:val="superscript"/>
                <w:lang w:val="en-GB"/>
              </w:rPr>
              <w:t>e</w:t>
            </w:r>
            <w:proofErr w:type="spellEnd"/>
            <w:r w:rsidRPr="00094B55">
              <w:rPr>
                <w:rFonts w:asciiTheme="majorHAnsi" w:hAnsiTheme="majorHAnsi"/>
                <w:szCs w:val="22"/>
                <w:lang w:val="en-GB"/>
              </w:rPr>
              <w:t>, %</w:t>
            </w:r>
          </w:p>
          <w:p w14:paraId="23F2F4FB" w14:textId="77777777" w:rsidR="00094B55" w:rsidRPr="00094B55" w:rsidRDefault="00094B55" w:rsidP="00A73D97">
            <w:pPr>
              <w:pStyle w:val="C-TableText"/>
              <w:keepNext/>
              <w:spacing w:before="0" w:after="0"/>
              <w:ind w:right="-63"/>
              <w:rPr>
                <w:rFonts w:asciiTheme="majorHAnsi" w:hAnsiTheme="majorHAnsi"/>
                <w:szCs w:val="22"/>
                <w:lang w:val="en-GB"/>
              </w:rPr>
            </w:pPr>
            <w:r w:rsidRPr="00094B55">
              <w:rPr>
                <w:rFonts w:asciiTheme="majorHAnsi" w:hAnsiTheme="majorHAnsi"/>
                <w:szCs w:val="22"/>
                <w:lang w:val="en-GB"/>
              </w:rPr>
              <w:t xml:space="preserve">   &lt; 0</w:t>
            </w:r>
          </w:p>
          <w:p w14:paraId="3AAD146E" w14:textId="77777777" w:rsidR="00094B55" w:rsidRPr="00094B55" w:rsidRDefault="00094B55" w:rsidP="00A73D97">
            <w:pPr>
              <w:pStyle w:val="C-TableText"/>
              <w:keepNext/>
              <w:spacing w:before="0" w:after="0"/>
              <w:ind w:right="-63"/>
              <w:rPr>
                <w:rFonts w:asciiTheme="majorHAnsi" w:hAnsiTheme="majorHAnsi"/>
                <w:szCs w:val="22"/>
                <w:lang w:val="en-GB"/>
              </w:rPr>
            </w:pPr>
            <w:r w:rsidRPr="00094B55">
              <w:rPr>
                <w:rFonts w:asciiTheme="majorHAnsi" w:hAnsiTheme="majorHAnsi"/>
                <w:szCs w:val="22"/>
                <w:lang w:val="en-GB"/>
              </w:rPr>
              <w:t xml:space="preserve">   0 to +2</w:t>
            </w:r>
          </w:p>
          <w:p w14:paraId="1CF5923C" w14:textId="77777777" w:rsidR="00094B55" w:rsidRPr="00094B55" w:rsidRDefault="00094B55" w:rsidP="00A73D97">
            <w:pPr>
              <w:pStyle w:val="C-TableText"/>
              <w:keepNext/>
              <w:spacing w:before="0" w:after="0"/>
              <w:ind w:right="-63"/>
              <w:rPr>
                <w:rFonts w:asciiTheme="majorHAnsi" w:hAnsiTheme="majorHAnsi"/>
                <w:szCs w:val="22"/>
                <w:lang w:val="en-GB"/>
              </w:rPr>
            </w:pPr>
            <w:r w:rsidRPr="00094B55">
              <w:rPr>
                <w:rFonts w:asciiTheme="majorHAnsi" w:hAnsiTheme="majorHAnsi"/>
                <w:szCs w:val="22"/>
                <w:lang w:val="en-GB"/>
              </w:rPr>
              <w:t xml:space="preserve">   +2 to +3</w:t>
            </w:r>
          </w:p>
          <w:p w14:paraId="13F7CC36" w14:textId="77777777" w:rsidR="00094B55" w:rsidRPr="00094B55" w:rsidRDefault="00094B55" w:rsidP="00A73D97">
            <w:pPr>
              <w:pStyle w:val="C-TableText"/>
              <w:keepNext/>
              <w:spacing w:before="0" w:after="0"/>
              <w:ind w:right="-63"/>
              <w:rPr>
                <w:rFonts w:asciiTheme="majorHAnsi" w:hAnsiTheme="majorHAnsi"/>
                <w:szCs w:val="22"/>
                <w:lang w:val="en-GB"/>
              </w:rPr>
            </w:pPr>
            <w:r w:rsidRPr="00094B55">
              <w:rPr>
                <w:rFonts w:asciiTheme="majorHAnsi" w:hAnsiTheme="majorHAnsi"/>
                <w:szCs w:val="22"/>
                <w:lang w:val="en-GB"/>
              </w:rPr>
              <w:t xml:space="preserve">   &gt;+3</w:t>
            </w:r>
          </w:p>
        </w:tc>
        <w:tc>
          <w:tcPr>
            <w:tcW w:w="2196" w:type="dxa"/>
          </w:tcPr>
          <w:p w14:paraId="2461E0E0" w14:textId="77777777" w:rsidR="00094B55" w:rsidRPr="00094B55" w:rsidRDefault="00094B55" w:rsidP="00A73D97">
            <w:pPr>
              <w:pStyle w:val="C-TableText"/>
              <w:keepNext/>
              <w:spacing w:before="0" w:after="0"/>
              <w:ind w:right="-63"/>
              <w:jc w:val="center"/>
              <w:rPr>
                <w:rFonts w:asciiTheme="majorHAnsi" w:hAnsiTheme="majorHAnsi"/>
                <w:szCs w:val="22"/>
                <w:lang w:val="en-GB"/>
              </w:rPr>
            </w:pPr>
          </w:p>
          <w:p w14:paraId="59FCC020"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23.1%</w:t>
            </w:r>
          </w:p>
          <w:p w14:paraId="506361CB"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69.2%</w:t>
            </w:r>
          </w:p>
          <w:p w14:paraId="0FAB7E3E"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7.7%</w:t>
            </w:r>
          </w:p>
          <w:p w14:paraId="4116CDAA"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0</w:t>
            </w:r>
          </w:p>
        </w:tc>
        <w:tc>
          <w:tcPr>
            <w:tcW w:w="2296" w:type="dxa"/>
          </w:tcPr>
          <w:p w14:paraId="22DCD4FE" w14:textId="77777777" w:rsidR="00094B55" w:rsidRPr="00094B55" w:rsidRDefault="00094B55" w:rsidP="00A73D97">
            <w:pPr>
              <w:pStyle w:val="C-TableText"/>
              <w:keepNext/>
              <w:spacing w:before="0" w:after="0"/>
              <w:ind w:right="-63"/>
              <w:jc w:val="center"/>
              <w:rPr>
                <w:rFonts w:asciiTheme="majorHAnsi" w:hAnsiTheme="majorHAnsi"/>
                <w:szCs w:val="22"/>
                <w:lang w:val="en-GB"/>
              </w:rPr>
            </w:pPr>
          </w:p>
          <w:p w14:paraId="0CE3CCC6"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40.7%</w:t>
            </w:r>
          </w:p>
          <w:p w14:paraId="1A3379C2"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57.4%</w:t>
            </w:r>
          </w:p>
          <w:p w14:paraId="43D2D94C"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1.9%</w:t>
            </w:r>
          </w:p>
          <w:p w14:paraId="0AE71FF0"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0</w:t>
            </w:r>
          </w:p>
        </w:tc>
        <w:tc>
          <w:tcPr>
            <w:tcW w:w="2175" w:type="dxa"/>
          </w:tcPr>
          <w:p w14:paraId="5FC1002B" w14:textId="77777777" w:rsidR="00094B55" w:rsidRPr="00094B55" w:rsidRDefault="00094B55" w:rsidP="00A73D97">
            <w:pPr>
              <w:pStyle w:val="C-TableText"/>
              <w:keepNext/>
              <w:spacing w:before="0" w:after="0"/>
              <w:ind w:right="-63"/>
              <w:jc w:val="center"/>
              <w:rPr>
                <w:rFonts w:asciiTheme="majorHAnsi" w:hAnsiTheme="majorHAnsi"/>
                <w:szCs w:val="22"/>
                <w:lang w:val="en-GB"/>
              </w:rPr>
            </w:pPr>
          </w:p>
          <w:p w14:paraId="0A30647D" w14:textId="77777777" w:rsidR="00094B55" w:rsidRPr="00094B55" w:rsidRDefault="00094B55" w:rsidP="00A73D97">
            <w:pPr>
              <w:pStyle w:val="C-TableText"/>
              <w:keepNext/>
              <w:spacing w:before="0" w:after="0"/>
              <w:ind w:right="-63"/>
              <w:jc w:val="center"/>
              <w:rPr>
                <w:rFonts w:asciiTheme="majorHAnsi" w:hAnsiTheme="majorHAnsi"/>
                <w:szCs w:val="22"/>
                <w:lang w:val="en-GB"/>
              </w:rPr>
            </w:pPr>
            <w:r w:rsidRPr="00094B55">
              <w:rPr>
                <w:rFonts w:asciiTheme="majorHAnsi" w:hAnsiTheme="majorHAnsi"/>
                <w:szCs w:val="22"/>
                <w:lang w:val="en-GB"/>
              </w:rPr>
              <w:t>Not analysed</w:t>
            </w:r>
          </w:p>
        </w:tc>
      </w:tr>
    </w:tbl>
    <w:p w14:paraId="785E1200" w14:textId="77777777" w:rsidR="00094B55" w:rsidRPr="00094B55" w:rsidRDefault="00094B55" w:rsidP="00A73D97">
      <w:pPr>
        <w:pStyle w:val="C-Footnote"/>
        <w:ind w:left="142" w:right="-63" w:hanging="142"/>
        <w:rPr>
          <w:rFonts w:asciiTheme="majorHAnsi" w:hAnsiTheme="majorHAnsi" w:cs="Times New Roman"/>
          <w:sz w:val="18"/>
          <w:szCs w:val="18"/>
          <w:lang w:val="en-GB"/>
        </w:rPr>
      </w:pPr>
      <w:proofErr w:type="gramStart"/>
      <w:r w:rsidRPr="00094B55">
        <w:rPr>
          <w:rFonts w:asciiTheme="majorHAnsi" w:hAnsiTheme="majorHAnsi" w:cs="Times New Roman"/>
          <w:sz w:val="18"/>
          <w:szCs w:val="18"/>
          <w:vertAlign w:val="superscript"/>
          <w:lang w:val="en-GB"/>
        </w:rPr>
        <w:t>a</w:t>
      </w:r>
      <w:proofErr w:type="gramEnd"/>
      <w:r w:rsidRPr="00094B55">
        <w:rPr>
          <w:rFonts w:asciiTheme="majorHAnsi" w:hAnsiTheme="majorHAnsi" w:cs="Times New Roman"/>
          <w:sz w:val="18"/>
          <w:szCs w:val="18"/>
          <w:lang w:val="en-GB"/>
        </w:rPr>
        <w:tab/>
        <w:t xml:space="preserve">AHV: The estimates of LS </w:t>
      </w:r>
      <w:proofErr w:type="gramStart"/>
      <w:r w:rsidRPr="00094B55">
        <w:rPr>
          <w:rFonts w:asciiTheme="majorHAnsi" w:hAnsiTheme="majorHAnsi" w:cs="Times New Roman"/>
          <w:sz w:val="18"/>
          <w:szCs w:val="18"/>
          <w:lang w:val="en-GB"/>
        </w:rPr>
        <w:t>mean</w:t>
      </w:r>
      <w:proofErr w:type="gramEnd"/>
      <w:r w:rsidRPr="00094B55">
        <w:rPr>
          <w:rFonts w:asciiTheme="majorHAnsi" w:hAnsiTheme="majorHAnsi" w:cs="Times New Roman"/>
          <w:sz w:val="18"/>
          <w:szCs w:val="18"/>
          <w:lang w:val="en-GB"/>
        </w:rPr>
        <w:t xml:space="preserve"> and 95% CI are from an ANCOVA model that included baseline age, peak growth hormone levels (log transformed) at stimulation test, baseline height SDS – average SDS of parental height as covariates, and treatment and gender as factors. Missing data are imputed with multiple imputation method.</w:t>
      </w:r>
    </w:p>
    <w:p w14:paraId="4BE588B4" w14:textId="77777777" w:rsidR="00094B55" w:rsidRPr="00094B55" w:rsidRDefault="00094B55" w:rsidP="00A73D97">
      <w:pPr>
        <w:pStyle w:val="C-Footnote"/>
        <w:ind w:left="142" w:right="-63" w:hanging="142"/>
        <w:rPr>
          <w:rFonts w:asciiTheme="majorHAnsi" w:hAnsiTheme="majorHAnsi" w:cs="Times New Roman"/>
          <w:sz w:val="18"/>
          <w:szCs w:val="18"/>
          <w:lang w:val="en-GB"/>
        </w:rPr>
      </w:pPr>
      <w:r w:rsidRPr="00094B55">
        <w:rPr>
          <w:rFonts w:asciiTheme="majorHAnsi" w:hAnsiTheme="majorHAnsi" w:cs="Times New Roman"/>
          <w:sz w:val="18"/>
          <w:szCs w:val="18"/>
          <w:vertAlign w:val="superscript"/>
          <w:lang w:val="en-GB"/>
        </w:rPr>
        <w:t>b</w:t>
      </w:r>
      <w:r w:rsidRPr="00094B55">
        <w:rPr>
          <w:rFonts w:asciiTheme="majorHAnsi" w:hAnsiTheme="majorHAnsi" w:cs="Times New Roman"/>
          <w:sz w:val="18"/>
          <w:szCs w:val="18"/>
          <w:lang w:val="en-GB"/>
        </w:rPr>
        <w:tab/>
        <w:t>p=0.0088 (2</w:t>
      </w:r>
      <w:r w:rsidRPr="00094B55">
        <w:rPr>
          <w:rFonts w:asciiTheme="majorHAnsi" w:hAnsiTheme="majorHAnsi" w:cs="Times New Roman"/>
          <w:sz w:val="18"/>
          <w:szCs w:val="18"/>
          <w:lang w:val="en-GB"/>
        </w:rPr>
        <w:noBreakHyphen/>
        <w:t>sided) for superiority</w:t>
      </w:r>
    </w:p>
    <w:p w14:paraId="3FBA4139" w14:textId="77777777" w:rsidR="00094B55" w:rsidRPr="00094B55" w:rsidRDefault="00094B55" w:rsidP="00A73D97">
      <w:pPr>
        <w:pStyle w:val="C-Footnote"/>
        <w:ind w:left="142" w:right="-63" w:hanging="142"/>
        <w:rPr>
          <w:rFonts w:asciiTheme="majorHAnsi" w:hAnsiTheme="majorHAnsi" w:cs="Times New Roman"/>
          <w:sz w:val="18"/>
          <w:szCs w:val="18"/>
          <w:lang w:val="en-GB"/>
        </w:rPr>
      </w:pPr>
      <w:r w:rsidRPr="00094B55">
        <w:rPr>
          <w:rFonts w:asciiTheme="majorHAnsi" w:hAnsiTheme="majorHAnsi" w:cs="Times New Roman"/>
          <w:sz w:val="18"/>
          <w:szCs w:val="18"/>
          <w:vertAlign w:val="superscript"/>
          <w:lang w:val="en-GB"/>
        </w:rPr>
        <w:t>c</w:t>
      </w:r>
      <w:r w:rsidRPr="00094B55">
        <w:rPr>
          <w:rFonts w:asciiTheme="majorHAnsi" w:hAnsiTheme="majorHAnsi" w:cs="Times New Roman"/>
          <w:sz w:val="18"/>
          <w:szCs w:val="18"/>
          <w:lang w:val="en-GB"/>
        </w:rPr>
        <w:tab/>
        <w:t xml:space="preserve">Height SDS, change from baseline: The estimates of LS </w:t>
      </w:r>
      <w:proofErr w:type="gramStart"/>
      <w:r w:rsidRPr="00094B55">
        <w:rPr>
          <w:rFonts w:asciiTheme="majorHAnsi" w:hAnsiTheme="majorHAnsi" w:cs="Times New Roman"/>
          <w:sz w:val="18"/>
          <w:szCs w:val="18"/>
          <w:lang w:val="en-GB"/>
        </w:rPr>
        <w:t>mean</w:t>
      </w:r>
      <w:proofErr w:type="gramEnd"/>
      <w:r w:rsidRPr="00094B55">
        <w:rPr>
          <w:rFonts w:asciiTheme="majorHAnsi" w:hAnsiTheme="majorHAnsi" w:cs="Times New Roman"/>
          <w:sz w:val="18"/>
          <w:szCs w:val="18"/>
          <w:lang w:val="en-GB"/>
        </w:rPr>
        <w:t xml:space="preserve"> and 95% CI are from an ANCOVA model that included baseline age, peak growth hormone levels (log transformed) at stimulation test and baseline height SDS as covariates, and treatment and gender as factors.</w:t>
      </w:r>
    </w:p>
    <w:p w14:paraId="67650DC2" w14:textId="77777777" w:rsidR="00094B55" w:rsidRPr="00094B55" w:rsidRDefault="00094B55" w:rsidP="00A73D97">
      <w:pPr>
        <w:pStyle w:val="C-Footnote"/>
        <w:ind w:left="142" w:right="-63" w:hanging="142"/>
        <w:rPr>
          <w:rFonts w:asciiTheme="majorHAnsi" w:hAnsiTheme="majorHAnsi" w:cs="Times New Roman"/>
          <w:sz w:val="18"/>
          <w:szCs w:val="18"/>
          <w:lang w:val="en-GB"/>
        </w:rPr>
      </w:pPr>
      <w:r w:rsidRPr="00094B55">
        <w:rPr>
          <w:rFonts w:asciiTheme="majorHAnsi" w:hAnsiTheme="majorHAnsi" w:cs="Times New Roman"/>
          <w:sz w:val="18"/>
          <w:szCs w:val="18"/>
          <w:vertAlign w:val="superscript"/>
          <w:lang w:val="en-GB"/>
        </w:rPr>
        <w:t>d</w:t>
      </w:r>
      <w:r w:rsidRPr="00094B55">
        <w:rPr>
          <w:rFonts w:asciiTheme="majorHAnsi" w:hAnsiTheme="majorHAnsi" w:cs="Times New Roman"/>
          <w:sz w:val="18"/>
          <w:szCs w:val="18"/>
          <w:lang w:val="en-GB"/>
        </w:rPr>
        <w:tab/>
        <w:t>p=0.0149 (2</w:t>
      </w:r>
      <w:r w:rsidRPr="00094B55">
        <w:rPr>
          <w:rFonts w:asciiTheme="majorHAnsi" w:hAnsiTheme="majorHAnsi" w:cs="Times New Roman"/>
          <w:sz w:val="18"/>
          <w:szCs w:val="18"/>
          <w:lang w:val="en-GB"/>
        </w:rPr>
        <w:noBreakHyphen/>
        <w:t>sided)</w:t>
      </w:r>
    </w:p>
    <w:p w14:paraId="2ACDB474" w14:textId="77777777" w:rsidR="00094B55" w:rsidRPr="00094B55" w:rsidRDefault="00094B55" w:rsidP="00A73D97">
      <w:pPr>
        <w:pStyle w:val="C-Footnote"/>
        <w:ind w:left="142" w:right="-63" w:hanging="142"/>
        <w:rPr>
          <w:rFonts w:asciiTheme="majorHAnsi" w:hAnsiTheme="majorHAnsi" w:cs="Times New Roman"/>
          <w:sz w:val="18"/>
          <w:szCs w:val="18"/>
          <w:lang w:val="en-GB"/>
        </w:rPr>
      </w:pPr>
      <w:r w:rsidRPr="00094B55">
        <w:rPr>
          <w:rFonts w:asciiTheme="majorHAnsi" w:hAnsiTheme="majorHAnsi" w:cs="Times New Roman"/>
          <w:sz w:val="18"/>
          <w:szCs w:val="18"/>
          <w:vertAlign w:val="superscript"/>
          <w:lang w:val="en-GB"/>
        </w:rPr>
        <w:t>e</w:t>
      </w:r>
      <w:r w:rsidRPr="00094B55">
        <w:rPr>
          <w:rFonts w:asciiTheme="majorHAnsi" w:hAnsiTheme="majorHAnsi" w:cs="Times New Roman"/>
          <w:sz w:val="18"/>
          <w:szCs w:val="18"/>
          <w:lang w:val="en-GB"/>
        </w:rPr>
        <w:tab/>
        <w:t>Average level at week 52</w:t>
      </w:r>
    </w:p>
    <w:p w14:paraId="1B7D66EF" w14:textId="77777777" w:rsidR="00724406" w:rsidRDefault="00724406" w:rsidP="00A73D97">
      <w:pPr>
        <w:spacing w:line="240" w:lineRule="auto"/>
        <w:ind w:right="-63"/>
        <w:rPr>
          <w:rFonts w:asciiTheme="majorHAnsi" w:hAnsiTheme="majorHAnsi"/>
        </w:rPr>
      </w:pPr>
    </w:p>
    <w:p w14:paraId="2700789A" w14:textId="77777777" w:rsidR="006F0703" w:rsidRPr="005A1833" w:rsidRDefault="006F0703" w:rsidP="006F0703">
      <w:pPr>
        <w:rPr>
          <w:rFonts w:asciiTheme="majorHAnsi" w:hAnsiTheme="majorHAnsi" w:cs="Times New Roman"/>
        </w:rPr>
      </w:pPr>
      <w:proofErr w:type="spellStart"/>
      <w:r w:rsidRPr="005A1833">
        <w:rPr>
          <w:rFonts w:asciiTheme="majorHAnsi" w:hAnsiTheme="majorHAnsi" w:cs="Times New Roman"/>
        </w:rPr>
        <w:t>enliGHten</w:t>
      </w:r>
      <w:proofErr w:type="spellEnd"/>
      <w:r w:rsidRPr="005A1833">
        <w:rPr>
          <w:rFonts w:asciiTheme="majorHAnsi" w:hAnsiTheme="majorHAnsi" w:cs="Times New Roman"/>
        </w:rPr>
        <w:t xml:space="preserve"> trial:</w:t>
      </w:r>
    </w:p>
    <w:p w14:paraId="4854501F" w14:textId="34DFD55B" w:rsidR="006F0703" w:rsidRPr="005A1833" w:rsidRDefault="006F0703" w:rsidP="006F0703">
      <w:pPr>
        <w:rPr>
          <w:rFonts w:asciiTheme="majorHAnsi" w:hAnsiTheme="majorHAnsi" w:cs="Times New Roman"/>
        </w:rPr>
      </w:pPr>
      <w:r w:rsidRPr="005A1833">
        <w:rPr>
          <w:rFonts w:asciiTheme="majorHAnsi" w:hAnsiTheme="majorHAnsi" w:cs="Times New Roman"/>
        </w:rPr>
        <w:t>In an open-label extension trial, patients in the 52-week randomised trial who were previously treated with lonapegsomatropin continued lonapegsomatropin treatment; those who were previously treated with somatropin switched to lonapegsomatropin (Table 4).</w:t>
      </w:r>
    </w:p>
    <w:p w14:paraId="65927DF1" w14:textId="77777777" w:rsidR="006F0703" w:rsidRPr="005A1833" w:rsidRDefault="006F0703" w:rsidP="006F0703">
      <w:pPr>
        <w:rPr>
          <w:rFonts w:asciiTheme="majorHAnsi" w:hAnsiTheme="majorHAnsi" w:cs="Times New Roman"/>
          <w:lang w:val="en-US"/>
        </w:rPr>
      </w:pPr>
      <w:r w:rsidRPr="005A1833">
        <w:rPr>
          <w:rFonts w:asciiTheme="majorHAnsi" w:hAnsiTheme="majorHAnsi" w:cs="Times New Roman"/>
          <w:lang w:val="en-US"/>
        </w:rPr>
        <w:t>Patients who continued treatment with lonapegsomatropin had LS mean 1.61 (95% CI 1.49 to 1.72) increase in height SDS after 104 weeks of total treatment (N=101) and LS mean 2.56 (95% CI 2.36 to 2.77) increase in height SDS after 260 weeks of total treatment (N=72).</w:t>
      </w:r>
    </w:p>
    <w:p w14:paraId="6AF66153" w14:textId="31A56352" w:rsidR="006F0703" w:rsidRPr="005A1833" w:rsidRDefault="006F0703" w:rsidP="006F0703">
      <w:pPr>
        <w:rPr>
          <w:rFonts w:asciiTheme="majorHAnsi" w:hAnsiTheme="majorHAnsi" w:cs="Times New Roman"/>
          <w:lang w:val="en-US"/>
        </w:rPr>
      </w:pPr>
      <w:r w:rsidRPr="005A1833">
        <w:rPr>
          <w:rFonts w:asciiTheme="majorHAnsi" w:hAnsiTheme="majorHAnsi" w:cs="Times New Roman"/>
          <w:lang w:val="en-US"/>
        </w:rPr>
        <w:t>Patients who switched from somatropin to lonapegsomatropin had LS mean 1.49 (95% CI 1.34 to 1.63) increase in height SDS after 104 weeks of total treatment (N=54) and LS mean 2.61 (95% CI 2.34 to 2.89) increase in height SDS after 260 weeks of total treatment (N=33) (Table 5).</w:t>
      </w:r>
    </w:p>
    <w:p w14:paraId="090098AE" w14:textId="77777777" w:rsidR="006F0703" w:rsidRPr="005A1833" w:rsidDel="007F30A6" w:rsidRDefault="006F0703" w:rsidP="006F0703">
      <w:pPr>
        <w:pStyle w:val="Caption"/>
        <w:keepLines/>
        <w:tabs>
          <w:tab w:val="left" w:pos="1134"/>
        </w:tabs>
        <w:spacing w:after="0"/>
        <w:ind w:left="1134" w:hanging="1134"/>
        <w:rPr>
          <w:rFonts w:ascii="Times New Roman" w:hAnsi="Times New Roman" w:cs="Times New Roman"/>
          <w:b/>
          <w:i w:val="0"/>
          <w:iCs w:val="0"/>
          <w:color w:val="000000" w:themeColor="text1"/>
          <w:sz w:val="24"/>
          <w:szCs w:val="24"/>
        </w:rPr>
      </w:pPr>
      <w:r w:rsidRPr="005A1833">
        <w:rPr>
          <w:rFonts w:ascii="Times New Roman" w:hAnsi="Times New Roman" w:cs="Times New Roman"/>
          <w:b/>
          <w:bCs/>
          <w:i w:val="0"/>
          <w:iCs w:val="0"/>
          <w:color w:val="000000" w:themeColor="text1"/>
          <w:sz w:val="24"/>
          <w:szCs w:val="24"/>
          <w:lang w:val="en-GB"/>
        </w:rPr>
        <w:t>Table 5</w:t>
      </w:r>
      <w:r w:rsidRPr="005A1833">
        <w:rPr>
          <w:rFonts w:ascii="Times New Roman" w:hAnsi="Times New Roman" w:cs="Times New Roman"/>
          <w:i w:val="0"/>
          <w:iCs w:val="0"/>
          <w:color w:val="000000" w:themeColor="text1"/>
          <w:sz w:val="24"/>
          <w:szCs w:val="24"/>
          <w:lang w:val="en-GB"/>
        </w:rPr>
        <w:tab/>
      </w:r>
      <w:r w:rsidRPr="005A1833">
        <w:rPr>
          <w:rFonts w:ascii="Times New Roman" w:hAnsi="Times New Roman" w:cs="Times New Roman"/>
          <w:b/>
          <w:bCs/>
          <w:i w:val="0"/>
          <w:iCs w:val="0"/>
          <w:color w:val="000000" w:themeColor="text1"/>
          <w:sz w:val="24"/>
          <w:szCs w:val="24"/>
          <w:lang w:val="en-GB"/>
        </w:rPr>
        <w:t xml:space="preserve">Growth response after 104 and 260 weeks of growth hormone treatment </w:t>
      </w:r>
      <w:r w:rsidRPr="005A1833" w:rsidDel="007F30A6">
        <w:rPr>
          <w:rFonts w:ascii="Times New Roman" w:hAnsi="Times New Roman" w:cs="Times New Roman"/>
          <w:b/>
          <w:bCs/>
          <w:i w:val="0"/>
          <w:iCs w:val="0"/>
          <w:color w:val="000000" w:themeColor="text1"/>
          <w:sz w:val="24"/>
          <w:szCs w:val="24"/>
          <w:lang w:val="en-GB"/>
        </w:rPr>
        <w:t xml:space="preserve">in </w:t>
      </w:r>
      <w:r w:rsidRPr="005A1833">
        <w:rPr>
          <w:rFonts w:ascii="Times New Roman" w:hAnsi="Times New Roman" w:cs="Times New Roman"/>
          <w:b/>
          <w:bCs/>
          <w:i w:val="0"/>
          <w:iCs w:val="0"/>
          <w:color w:val="000000" w:themeColor="text1"/>
          <w:sz w:val="24"/>
          <w:szCs w:val="24"/>
          <w:lang w:val="en-GB"/>
        </w:rPr>
        <w:t>paediatric</w:t>
      </w:r>
      <w:r w:rsidRPr="005A1833" w:rsidDel="007F30A6">
        <w:rPr>
          <w:rFonts w:ascii="Times New Roman" w:hAnsi="Times New Roman" w:cs="Times New Roman"/>
          <w:b/>
          <w:bCs/>
          <w:i w:val="0"/>
          <w:iCs w:val="0"/>
          <w:color w:val="000000" w:themeColor="text1"/>
          <w:sz w:val="24"/>
          <w:szCs w:val="24"/>
          <w:lang w:val="en-GB"/>
        </w:rPr>
        <w:t xml:space="preserve"> treatment-naïve patients with GHD</w:t>
      </w:r>
    </w:p>
    <w:tbl>
      <w:tblPr>
        <w:tblStyle w:val="TableGrid"/>
        <w:tblW w:w="9535" w:type="dxa"/>
        <w:tblLook w:val="04A0" w:firstRow="1" w:lastRow="0" w:firstColumn="1" w:lastColumn="0" w:noHBand="0" w:noVBand="1"/>
      </w:tblPr>
      <w:tblGrid>
        <w:gridCol w:w="4277"/>
        <w:gridCol w:w="2493"/>
        <w:gridCol w:w="2765"/>
      </w:tblGrid>
      <w:tr w:rsidR="006F0703" w:rsidRPr="005A1833" w:rsidDel="007F30A6" w14:paraId="440BFE7C" w14:textId="77777777" w:rsidTr="00FE38C6">
        <w:tc>
          <w:tcPr>
            <w:tcW w:w="4315" w:type="dxa"/>
            <w:vAlign w:val="center"/>
          </w:tcPr>
          <w:p w14:paraId="76EDF17F" w14:textId="77777777" w:rsidR="006F0703" w:rsidRPr="005A1833" w:rsidDel="007F30A6" w:rsidRDefault="006F0703" w:rsidP="00FE38C6">
            <w:pPr>
              <w:keepNext/>
              <w:keepLines/>
              <w:rPr>
                <w:rFonts w:asciiTheme="majorHAnsi" w:hAnsiTheme="majorHAnsi"/>
                <w:b/>
                <w:sz w:val="22"/>
                <w:szCs w:val="22"/>
              </w:rPr>
            </w:pPr>
            <w:proofErr w:type="spellStart"/>
            <w:r w:rsidRPr="005A1833">
              <w:rPr>
                <w:rFonts w:asciiTheme="majorHAnsi" w:hAnsiTheme="majorHAnsi"/>
                <w:b/>
                <w:bCs/>
                <w:sz w:val="22"/>
                <w:szCs w:val="22"/>
              </w:rPr>
              <w:t>Randomised</w:t>
            </w:r>
            <w:proofErr w:type="spellEnd"/>
            <w:r w:rsidRPr="005A1833">
              <w:rPr>
                <w:rFonts w:asciiTheme="majorHAnsi" w:hAnsiTheme="majorHAnsi"/>
                <w:b/>
                <w:bCs/>
                <w:sz w:val="22"/>
                <w:szCs w:val="22"/>
              </w:rPr>
              <w:t xml:space="preserve"> trial treatment through week 52</w:t>
            </w:r>
          </w:p>
        </w:tc>
        <w:tc>
          <w:tcPr>
            <w:tcW w:w="2451" w:type="dxa"/>
            <w:vAlign w:val="center"/>
          </w:tcPr>
          <w:p w14:paraId="21568E5F" w14:textId="77777777" w:rsidR="006F0703" w:rsidRPr="005A1833" w:rsidDel="007F30A6" w:rsidRDefault="006F0703" w:rsidP="00FE38C6">
            <w:pPr>
              <w:keepNext/>
              <w:keepLines/>
              <w:jc w:val="center"/>
              <w:rPr>
                <w:rFonts w:asciiTheme="majorHAnsi" w:hAnsiTheme="majorHAnsi"/>
                <w:b/>
                <w:sz w:val="22"/>
                <w:szCs w:val="22"/>
              </w:rPr>
            </w:pPr>
            <w:proofErr w:type="gramStart"/>
            <w:r w:rsidRPr="005A1833" w:rsidDel="007F30A6">
              <w:rPr>
                <w:rFonts w:asciiTheme="majorHAnsi" w:hAnsiTheme="majorHAnsi"/>
                <w:b/>
                <w:sz w:val="22"/>
                <w:szCs w:val="22"/>
              </w:rPr>
              <w:t>Once</w:t>
            </w:r>
            <w:r w:rsidRPr="005A1833">
              <w:rPr>
                <w:rFonts w:asciiTheme="majorHAnsi" w:hAnsiTheme="majorHAnsi"/>
                <w:b/>
                <w:bCs/>
                <w:sz w:val="22"/>
                <w:szCs w:val="22"/>
              </w:rPr>
              <w:t>-</w:t>
            </w:r>
            <w:r w:rsidRPr="005A1833" w:rsidDel="007F30A6">
              <w:rPr>
                <w:rFonts w:asciiTheme="majorHAnsi" w:hAnsiTheme="majorHAnsi"/>
                <w:b/>
                <w:sz w:val="22"/>
                <w:szCs w:val="22"/>
              </w:rPr>
              <w:t>weekly</w:t>
            </w:r>
            <w:proofErr w:type="gramEnd"/>
            <w:r w:rsidRPr="005A1833" w:rsidDel="007F30A6">
              <w:rPr>
                <w:rFonts w:asciiTheme="majorHAnsi" w:hAnsiTheme="majorHAnsi"/>
                <w:b/>
                <w:sz w:val="22"/>
                <w:szCs w:val="22"/>
              </w:rPr>
              <w:t xml:space="preserve"> lonapegsomatropin</w:t>
            </w:r>
          </w:p>
          <w:p w14:paraId="10A0A84F" w14:textId="77777777" w:rsidR="006F0703" w:rsidRPr="005A1833" w:rsidDel="007F30A6" w:rsidRDefault="006F0703" w:rsidP="00FE38C6">
            <w:pPr>
              <w:keepNext/>
              <w:keepLines/>
              <w:jc w:val="center"/>
              <w:rPr>
                <w:rFonts w:asciiTheme="majorHAnsi" w:hAnsiTheme="majorHAnsi"/>
                <w:b/>
                <w:sz w:val="22"/>
                <w:szCs w:val="22"/>
              </w:rPr>
            </w:pPr>
            <w:r w:rsidRPr="005A1833" w:rsidDel="007F30A6">
              <w:rPr>
                <w:rFonts w:asciiTheme="majorHAnsi" w:hAnsiTheme="majorHAnsi"/>
                <w:b/>
                <w:sz w:val="22"/>
                <w:szCs w:val="22"/>
              </w:rPr>
              <w:t>(0.24</w:t>
            </w:r>
            <w:r w:rsidRPr="005A1833">
              <w:rPr>
                <w:rFonts w:asciiTheme="majorHAnsi" w:hAnsiTheme="majorHAnsi"/>
                <w:b/>
                <w:sz w:val="22"/>
                <w:szCs w:val="22"/>
              </w:rPr>
              <w:t> </w:t>
            </w:r>
            <w:r w:rsidRPr="005A1833" w:rsidDel="007F30A6">
              <w:rPr>
                <w:rFonts w:asciiTheme="majorHAnsi" w:hAnsiTheme="majorHAnsi"/>
                <w:b/>
                <w:sz w:val="22"/>
                <w:szCs w:val="22"/>
              </w:rPr>
              <w:t>mg somatropin/kg/week)</w:t>
            </w:r>
          </w:p>
        </w:tc>
        <w:tc>
          <w:tcPr>
            <w:tcW w:w="2769" w:type="dxa"/>
            <w:vAlign w:val="center"/>
          </w:tcPr>
          <w:p w14:paraId="7E659159" w14:textId="77777777" w:rsidR="006F0703" w:rsidRPr="005A1833" w:rsidDel="007F30A6" w:rsidRDefault="006F0703" w:rsidP="00FE38C6">
            <w:pPr>
              <w:keepNext/>
              <w:keepLines/>
              <w:jc w:val="center"/>
              <w:rPr>
                <w:rFonts w:asciiTheme="majorHAnsi" w:hAnsiTheme="majorHAnsi"/>
                <w:b/>
                <w:sz w:val="22"/>
                <w:szCs w:val="22"/>
              </w:rPr>
            </w:pPr>
            <w:r w:rsidRPr="005A1833" w:rsidDel="007F30A6">
              <w:rPr>
                <w:rFonts w:asciiTheme="majorHAnsi" w:hAnsiTheme="majorHAnsi"/>
                <w:b/>
                <w:sz w:val="22"/>
                <w:szCs w:val="22"/>
              </w:rPr>
              <w:t>Daily somatropin</w:t>
            </w:r>
          </w:p>
          <w:p w14:paraId="1985FB72" w14:textId="77777777" w:rsidR="006F0703" w:rsidRPr="005A1833" w:rsidDel="007F30A6" w:rsidRDefault="006F0703" w:rsidP="00FE38C6">
            <w:pPr>
              <w:keepNext/>
              <w:keepLines/>
              <w:jc w:val="center"/>
              <w:rPr>
                <w:rFonts w:asciiTheme="majorHAnsi" w:hAnsiTheme="majorHAnsi"/>
                <w:b/>
                <w:sz w:val="22"/>
                <w:szCs w:val="22"/>
              </w:rPr>
            </w:pPr>
            <w:r w:rsidRPr="005A1833" w:rsidDel="007F30A6">
              <w:rPr>
                <w:rFonts w:asciiTheme="majorHAnsi" w:hAnsiTheme="majorHAnsi"/>
                <w:b/>
                <w:sz w:val="22"/>
                <w:szCs w:val="22"/>
              </w:rPr>
              <w:t>(0.24</w:t>
            </w:r>
            <w:r w:rsidRPr="005A1833">
              <w:rPr>
                <w:rFonts w:asciiTheme="majorHAnsi" w:hAnsiTheme="majorHAnsi"/>
                <w:b/>
                <w:sz w:val="22"/>
                <w:szCs w:val="22"/>
              </w:rPr>
              <w:t> </w:t>
            </w:r>
            <w:r w:rsidRPr="005A1833" w:rsidDel="007F30A6">
              <w:rPr>
                <w:rFonts w:asciiTheme="majorHAnsi" w:hAnsiTheme="majorHAnsi"/>
                <w:b/>
                <w:sz w:val="22"/>
                <w:szCs w:val="22"/>
              </w:rPr>
              <w:t>mg somatropin/kg/week)</w:t>
            </w:r>
          </w:p>
        </w:tc>
      </w:tr>
      <w:tr w:rsidR="006F0703" w:rsidRPr="005A1833" w14:paraId="14A07450" w14:textId="77777777" w:rsidTr="00FE38C6">
        <w:tc>
          <w:tcPr>
            <w:tcW w:w="4315" w:type="dxa"/>
            <w:vAlign w:val="center"/>
          </w:tcPr>
          <w:p w14:paraId="1B2EAC1F" w14:textId="77777777" w:rsidR="006F0703" w:rsidRPr="005A1833" w:rsidRDefault="006F0703" w:rsidP="00FE38C6">
            <w:pPr>
              <w:rPr>
                <w:rFonts w:asciiTheme="majorHAnsi" w:hAnsiTheme="majorHAnsi"/>
                <w:b/>
                <w:bCs/>
                <w:sz w:val="22"/>
                <w:szCs w:val="22"/>
              </w:rPr>
            </w:pPr>
            <w:r w:rsidRPr="005A1833">
              <w:rPr>
                <w:rFonts w:asciiTheme="majorHAnsi" w:hAnsiTheme="majorHAnsi"/>
                <w:b/>
                <w:bCs/>
                <w:sz w:val="22"/>
                <w:szCs w:val="22"/>
              </w:rPr>
              <w:t>Open-label extension trial treatment</w:t>
            </w:r>
          </w:p>
        </w:tc>
        <w:tc>
          <w:tcPr>
            <w:tcW w:w="5220" w:type="dxa"/>
            <w:gridSpan w:val="2"/>
            <w:vAlign w:val="center"/>
          </w:tcPr>
          <w:p w14:paraId="688DE944" w14:textId="77777777" w:rsidR="006F0703" w:rsidRPr="005A1833" w:rsidRDefault="006F0703" w:rsidP="00FE38C6">
            <w:pPr>
              <w:jc w:val="center"/>
              <w:rPr>
                <w:rFonts w:asciiTheme="majorHAnsi" w:hAnsiTheme="majorHAnsi"/>
                <w:b/>
                <w:bCs/>
                <w:sz w:val="22"/>
                <w:szCs w:val="22"/>
              </w:rPr>
            </w:pPr>
            <w:proofErr w:type="gramStart"/>
            <w:r w:rsidRPr="005A1833">
              <w:rPr>
                <w:rFonts w:asciiTheme="majorHAnsi" w:hAnsiTheme="majorHAnsi"/>
                <w:b/>
                <w:bCs/>
                <w:sz w:val="22"/>
                <w:szCs w:val="22"/>
              </w:rPr>
              <w:t>Once-weekly</w:t>
            </w:r>
            <w:proofErr w:type="gramEnd"/>
            <w:r w:rsidRPr="005A1833">
              <w:rPr>
                <w:rFonts w:asciiTheme="majorHAnsi" w:hAnsiTheme="majorHAnsi"/>
                <w:b/>
                <w:bCs/>
                <w:sz w:val="22"/>
                <w:szCs w:val="22"/>
              </w:rPr>
              <w:t xml:space="preserve"> lonapegsomatropin</w:t>
            </w:r>
          </w:p>
          <w:p w14:paraId="273AC4E6" w14:textId="77777777" w:rsidR="006F0703" w:rsidRPr="005A1833" w:rsidRDefault="006F0703" w:rsidP="00FE38C6">
            <w:pPr>
              <w:jc w:val="center"/>
              <w:rPr>
                <w:rFonts w:asciiTheme="majorHAnsi" w:hAnsiTheme="majorHAnsi"/>
                <w:sz w:val="22"/>
                <w:szCs w:val="22"/>
              </w:rPr>
            </w:pPr>
            <w:r w:rsidRPr="005A1833">
              <w:rPr>
                <w:rFonts w:asciiTheme="majorHAnsi" w:hAnsiTheme="majorHAnsi"/>
                <w:b/>
                <w:bCs/>
                <w:sz w:val="22"/>
                <w:szCs w:val="22"/>
              </w:rPr>
              <w:t>(0.24 mg somatropin/kg/week)</w:t>
            </w:r>
          </w:p>
        </w:tc>
      </w:tr>
      <w:tr w:rsidR="006F0703" w:rsidRPr="005A1833" w:rsidDel="007F30A6" w14:paraId="7CED0905" w14:textId="77777777" w:rsidTr="00FE38C6">
        <w:tc>
          <w:tcPr>
            <w:tcW w:w="4315" w:type="dxa"/>
            <w:vAlign w:val="center"/>
          </w:tcPr>
          <w:p w14:paraId="6A9AE2D9" w14:textId="77777777" w:rsidR="006F0703" w:rsidRPr="005A1833" w:rsidDel="007F30A6" w:rsidRDefault="006F0703" w:rsidP="00FE38C6">
            <w:pPr>
              <w:rPr>
                <w:rFonts w:asciiTheme="majorHAnsi" w:hAnsiTheme="majorHAnsi"/>
                <w:b/>
                <w:sz w:val="22"/>
                <w:szCs w:val="22"/>
              </w:rPr>
            </w:pPr>
            <w:r w:rsidRPr="005A1833" w:rsidDel="007F30A6">
              <w:rPr>
                <w:rFonts w:asciiTheme="majorHAnsi" w:hAnsiTheme="majorHAnsi"/>
                <w:b/>
                <w:sz w:val="22"/>
                <w:szCs w:val="22"/>
              </w:rPr>
              <w:t>Week</w:t>
            </w:r>
            <w:r w:rsidRPr="005A1833">
              <w:rPr>
                <w:rFonts w:asciiTheme="majorHAnsi" w:hAnsiTheme="majorHAnsi"/>
                <w:b/>
                <w:sz w:val="22"/>
                <w:szCs w:val="22"/>
              </w:rPr>
              <w:t> 104</w:t>
            </w:r>
            <w:r w:rsidRPr="005A1833">
              <w:rPr>
                <w:rFonts w:asciiTheme="majorHAnsi" w:hAnsiTheme="majorHAnsi"/>
                <w:b/>
                <w:sz w:val="22"/>
                <w:szCs w:val="22"/>
                <w:vertAlign w:val="superscript"/>
              </w:rPr>
              <w:t>a</w:t>
            </w:r>
          </w:p>
        </w:tc>
        <w:tc>
          <w:tcPr>
            <w:tcW w:w="2451" w:type="dxa"/>
            <w:vAlign w:val="center"/>
          </w:tcPr>
          <w:p w14:paraId="52FD8B1A" w14:textId="77777777" w:rsidR="006F0703" w:rsidRPr="005A1833" w:rsidDel="007F30A6" w:rsidRDefault="006F0703" w:rsidP="00FE38C6">
            <w:pPr>
              <w:jc w:val="center"/>
              <w:rPr>
                <w:rFonts w:asciiTheme="majorHAnsi" w:hAnsiTheme="majorHAnsi"/>
                <w:sz w:val="22"/>
                <w:szCs w:val="22"/>
              </w:rPr>
            </w:pPr>
            <w:r w:rsidRPr="005A1833">
              <w:rPr>
                <w:rFonts w:asciiTheme="majorHAnsi" w:hAnsiTheme="majorHAnsi"/>
                <w:sz w:val="22"/>
                <w:szCs w:val="22"/>
              </w:rPr>
              <w:t>N=</w:t>
            </w:r>
            <w:r w:rsidRPr="005A1833" w:rsidDel="007F30A6">
              <w:rPr>
                <w:rFonts w:asciiTheme="majorHAnsi" w:hAnsiTheme="majorHAnsi"/>
                <w:sz w:val="22"/>
                <w:szCs w:val="22"/>
              </w:rPr>
              <w:t>101</w:t>
            </w:r>
          </w:p>
        </w:tc>
        <w:tc>
          <w:tcPr>
            <w:tcW w:w="2769" w:type="dxa"/>
            <w:vAlign w:val="center"/>
          </w:tcPr>
          <w:p w14:paraId="63CE5057" w14:textId="77777777" w:rsidR="006F0703" w:rsidRPr="005A1833" w:rsidDel="007F30A6" w:rsidRDefault="006F0703" w:rsidP="00FE38C6">
            <w:pPr>
              <w:jc w:val="center"/>
              <w:rPr>
                <w:rFonts w:asciiTheme="majorHAnsi" w:hAnsiTheme="majorHAnsi"/>
                <w:sz w:val="22"/>
                <w:szCs w:val="22"/>
              </w:rPr>
            </w:pPr>
            <w:r w:rsidRPr="005A1833">
              <w:rPr>
                <w:rFonts w:asciiTheme="majorHAnsi" w:hAnsiTheme="majorHAnsi"/>
                <w:sz w:val="22"/>
                <w:szCs w:val="22"/>
              </w:rPr>
              <w:t>N=</w:t>
            </w:r>
            <w:r w:rsidRPr="005A1833" w:rsidDel="007F30A6">
              <w:rPr>
                <w:rFonts w:asciiTheme="majorHAnsi" w:hAnsiTheme="majorHAnsi"/>
                <w:sz w:val="22"/>
                <w:szCs w:val="22"/>
              </w:rPr>
              <w:t>54</w:t>
            </w:r>
          </w:p>
        </w:tc>
      </w:tr>
      <w:tr w:rsidR="006F0703" w:rsidRPr="005A1833" w:rsidDel="007F30A6" w14:paraId="2522DD9D" w14:textId="77777777" w:rsidTr="00FE38C6">
        <w:tc>
          <w:tcPr>
            <w:tcW w:w="4315" w:type="dxa"/>
            <w:vAlign w:val="center"/>
          </w:tcPr>
          <w:p w14:paraId="2C8008D7" w14:textId="77777777" w:rsidR="006F0703" w:rsidRPr="005A1833" w:rsidRDefault="006F0703" w:rsidP="00FE38C6">
            <w:pPr>
              <w:ind w:left="720"/>
              <w:rPr>
                <w:rFonts w:asciiTheme="majorHAnsi" w:hAnsiTheme="majorHAnsi"/>
                <w:sz w:val="22"/>
                <w:szCs w:val="22"/>
              </w:rPr>
            </w:pPr>
            <w:r w:rsidRPr="005A1833">
              <w:rPr>
                <w:rFonts w:asciiTheme="majorHAnsi" w:hAnsiTheme="majorHAnsi"/>
                <w:sz w:val="22"/>
                <w:szCs w:val="22"/>
              </w:rPr>
              <w:t>Height SDS change from baseline</w:t>
            </w:r>
          </w:p>
          <w:p w14:paraId="46DFFBE4" w14:textId="77777777" w:rsidR="006F0703" w:rsidRPr="005A1833" w:rsidDel="007F30A6" w:rsidRDefault="006F0703" w:rsidP="00FE38C6">
            <w:pPr>
              <w:ind w:left="720"/>
              <w:rPr>
                <w:rFonts w:asciiTheme="majorHAnsi" w:hAnsiTheme="majorHAnsi"/>
                <w:sz w:val="22"/>
                <w:szCs w:val="22"/>
              </w:rPr>
            </w:pPr>
            <w:r w:rsidRPr="005A1833">
              <w:rPr>
                <w:rStyle w:val="C-TableCallout"/>
                <w:rFonts w:asciiTheme="majorHAnsi" w:hAnsiTheme="majorHAnsi"/>
                <w:szCs w:val="22"/>
                <w:vertAlign w:val="baseline"/>
              </w:rPr>
              <w:lastRenderedPageBreak/>
              <w:t xml:space="preserve">LS mean (95% </w:t>
            </w:r>
            <w:proofErr w:type="gramStart"/>
            <w:r w:rsidRPr="005A1833">
              <w:rPr>
                <w:rStyle w:val="C-TableCallout"/>
                <w:rFonts w:asciiTheme="majorHAnsi" w:hAnsiTheme="majorHAnsi"/>
                <w:szCs w:val="22"/>
                <w:vertAlign w:val="baseline"/>
              </w:rPr>
              <w:t>CI)</w:t>
            </w:r>
            <w:r w:rsidRPr="005A1833">
              <w:rPr>
                <w:rStyle w:val="C-TableCallout"/>
                <w:rFonts w:asciiTheme="majorHAnsi" w:hAnsiTheme="majorHAnsi"/>
                <w:szCs w:val="22"/>
              </w:rPr>
              <w:t>b</w:t>
            </w:r>
            <w:proofErr w:type="gramEnd"/>
          </w:p>
        </w:tc>
        <w:tc>
          <w:tcPr>
            <w:tcW w:w="2451" w:type="dxa"/>
            <w:vAlign w:val="center"/>
          </w:tcPr>
          <w:p w14:paraId="19CF473A" w14:textId="77777777" w:rsidR="006F0703" w:rsidRPr="005A1833" w:rsidDel="007F30A6" w:rsidRDefault="006F0703" w:rsidP="00FE38C6">
            <w:pPr>
              <w:jc w:val="center"/>
              <w:rPr>
                <w:rFonts w:asciiTheme="majorHAnsi" w:hAnsiTheme="majorHAnsi"/>
                <w:sz w:val="22"/>
                <w:szCs w:val="22"/>
              </w:rPr>
            </w:pPr>
            <w:r w:rsidRPr="005A1833" w:rsidDel="007F30A6">
              <w:rPr>
                <w:rFonts w:asciiTheme="majorHAnsi" w:hAnsiTheme="majorHAnsi"/>
                <w:sz w:val="22"/>
                <w:szCs w:val="22"/>
              </w:rPr>
              <w:lastRenderedPageBreak/>
              <w:t>1.61</w:t>
            </w:r>
          </w:p>
          <w:p w14:paraId="3FEC370A" w14:textId="77777777" w:rsidR="006F0703" w:rsidRPr="005A1833" w:rsidDel="007F30A6" w:rsidRDefault="006F0703" w:rsidP="00FE38C6">
            <w:pPr>
              <w:jc w:val="center"/>
              <w:rPr>
                <w:rFonts w:asciiTheme="majorHAnsi" w:hAnsiTheme="majorHAnsi"/>
                <w:sz w:val="22"/>
                <w:szCs w:val="22"/>
              </w:rPr>
            </w:pPr>
            <w:r w:rsidRPr="005A1833" w:rsidDel="007F30A6">
              <w:rPr>
                <w:rFonts w:asciiTheme="majorHAnsi" w:hAnsiTheme="majorHAnsi"/>
                <w:sz w:val="22"/>
                <w:szCs w:val="22"/>
              </w:rPr>
              <w:lastRenderedPageBreak/>
              <w:t>(1.49-1.72)</w:t>
            </w:r>
          </w:p>
        </w:tc>
        <w:tc>
          <w:tcPr>
            <w:tcW w:w="2769" w:type="dxa"/>
            <w:vAlign w:val="center"/>
          </w:tcPr>
          <w:p w14:paraId="64085299" w14:textId="77777777" w:rsidR="006F0703" w:rsidRPr="005A1833" w:rsidDel="007F30A6" w:rsidRDefault="006F0703" w:rsidP="00FE38C6">
            <w:pPr>
              <w:jc w:val="center"/>
              <w:rPr>
                <w:rFonts w:asciiTheme="majorHAnsi" w:hAnsiTheme="majorHAnsi"/>
                <w:sz w:val="22"/>
                <w:szCs w:val="22"/>
              </w:rPr>
            </w:pPr>
            <w:r w:rsidRPr="005A1833" w:rsidDel="007F30A6">
              <w:rPr>
                <w:rFonts w:asciiTheme="majorHAnsi" w:hAnsiTheme="majorHAnsi"/>
                <w:sz w:val="22"/>
                <w:szCs w:val="22"/>
              </w:rPr>
              <w:lastRenderedPageBreak/>
              <w:t>1.49</w:t>
            </w:r>
          </w:p>
          <w:p w14:paraId="2E559ADD" w14:textId="77777777" w:rsidR="006F0703" w:rsidRPr="005A1833" w:rsidDel="007F30A6" w:rsidRDefault="006F0703" w:rsidP="00FE38C6">
            <w:pPr>
              <w:jc w:val="center"/>
              <w:rPr>
                <w:rFonts w:asciiTheme="majorHAnsi" w:hAnsiTheme="majorHAnsi"/>
                <w:sz w:val="22"/>
                <w:szCs w:val="22"/>
              </w:rPr>
            </w:pPr>
            <w:r w:rsidRPr="005A1833" w:rsidDel="007F30A6">
              <w:rPr>
                <w:rFonts w:asciiTheme="majorHAnsi" w:hAnsiTheme="majorHAnsi"/>
                <w:sz w:val="22"/>
                <w:szCs w:val="22"/>
              </w:rPr>
              <w:lastRenderedPageBreak/>
              <w:t>(1.34-1.63)</w:t>
            </w:r>
          </w:p>
        </w:tc>
      </w:tr>
      <w:tr w:rsidR="006F0703" w:rsidRPr="005A1833" w:rsidDel="007F30A6" w14:paraId="7F1BD432" w14:textId="77777777" w:rsidTr="00FE38C6">
        <w:tc>
          <w:tcPr>
            <w:tcW w:w="4315" w:type="dxa"/>
            <w:vAlign w:val="center"/>
          </w:tcPr>
          <w:p w14:paraId="459C94E5" w14:textId="77777777" w:rsidR="006F0703" w:rsidRPr="005A1833" w:rsidDel="007F30A6" w:rsidRDefault="006F0703" w:rsidP="00FE38C6">
            <w:pPr>
              <w:keepNext/>
              <w:keepLines/>
              <w:rPr>
                <w:rFonts w:asciiTheme="majorHAnsi" w:hAnsiTheme="majorHAnsi"/>
                <w:b/>
                <w:sz w:val="22"/>
                <w:szCs w:val="22"/>
              </w:rPr>
            </w:pPr>
            <w:r w:rsidRPr="005A1833" w:rsidDel="007F30A6">
              <w:rPr>
                <w:rFonts w:asciiTheme="majorHAnsi" w:hAnsiTheme="majorHAnsi"/>
                <w:b/>
                <w:sz w:val="22"/>
                <w:szCs w:val="22"/>
              </w:rPr>
              <w:lastRenderedPageBreak/>
              <w:t>Week</w:t>
            </w:r>
            <w:r w:rsidRPr="005A1833">
              <w:rPr>
                <w:rFonts w:asciiTheme="majorHAnsi" w:hAnsiTheme="majorHAnsi"/>
                <w:b/>
                <w:sz w:val="22"/>
                <w:szCs w:val="22"/>
              </w:rPr>
              <w:t> </w:t>
            </w:r>
            <w:r w:rsidRPr="005A1833" w:rsidDel="00434424">
              <w:rPr>
                <w:rFonts w:asciiTheme="majorHAnsi" w:hAnsiTheme="majorHAnsi"/>
                <w:b/>
                <w:sz w:val="22"/>
                <w:szCs w:val="22"/>
              </w:rPr>
              <w:t>2</w:t>
            </w:r>
            <w:r w:rsidRPr="005A1833">
              <w:rPr>
                <w:rFonts w:asciiTheme="majorHAnsi" w:hAnsiTheme="majorHAnsi"/>
                <w:b/>
                <w:bCs/>
                <w:sz w:val="22"/>
                <w:szCs w:val="22"/>
              </w:rPr>
              <w:t>60</w:t>
            </w:r>
            <w:r w:rsidRPr="005A1833">
              <w:rPr>
                <w:rFonts w:asciiTheme="majorHAnsi" w:hAnsiTheme="majorHAnsi"/>
                <w:b/>
                <w:bCs/>
                <w:sz w:val="22"/>
                <w:szCs w:val="22"/>
                <w:vertAlign w:val="superscript"/>
              </w:rPr>
              <w:t>a</w:t>
            </w:r>
          </w:p>
        </w:tc>
        <w:tc>
          <w:tcPr>
            <w:tcW w:w="2451" w:type="dxa"/>
            <w:vAlign w:val="center"/>
          </w:tcPr>
          <w:p w14:paraId="2308EC43" w14:textId="77777777" w:rsidR="006F0703" w:rsidRPr="005A1833" w:rsidDel="007F30A6" w:rsidRDefault="006F0703" w:rsidP="00FE38C6">
            <w:pPr>
              <w:keepNext/>
              <w:keepLines/>
              <w:jc w:val="center"/>
              <w:rPr>
                <w:rFonts w:asciiTheme="majorHAnsi" w:hAnsiTheme="majorHAnsi"/>
                <w:sz w:val="22"/>
                <w:szCs w:val="22"/>
              </w:rPr>
            </w:pPr>
            <w:r w:rsidRPr="005A1833">
              <w:rPr>
                <w:rFonts w:asciiTheme="majorHAnsi" w:hAnsiTheme="majorHAnsi"/>
                <w:sz w:val="22"/>
                <w:szCs w:val="22"/>
              </w:rPr>
              <w:t>N=72</w:t>
            </w:r>
          </w:p>
        </w:tc>
        <w:tc>
          <w:tcPr>
            <w:tcW w:w="2769" w:type="dxa"/>
            <w:vAlign w:val="center"/>
          </w:tcPr>
          <w:p w14:paraId="285C7C5D" w14:textId="77777777" w:rsidR="006F0703" w:rsidRPr="005A1833" w:rsidDel="007F30A6" w:rsidRDefault="006F0703" w:rsidP="00FE38C6">
            <w:pPr>
              <w:keepNext/>
              <w:keepLines/>
              <w:jc w:val="center"/>
              <w:rPr>
                <w:rFonts w:asciiTheme="majorHAnsi" w:hAnsiTheme="majorHAnsi"/>
                <w:sz w:val="22"/>
                <w:szCs w:val="22"/>
              </w:rPr>
            </w:pPr>
            <w:r w:rsidRPr="005A1833">
              <w:rPr>
                <w:rFonts w:asciiTheme="majorHAnsi" w:hAnsiTheme="majorHAnsi"/>
                <w:sz w:val="22"/>
                <w:szCs w:val="22"/>
              </w:rPr>
              <w:t>N=33</w:t>
            </w:r>
          </w:p>
        </w:tc>
      </w:tr>
      <w:tr w:rsidR="006F0703" w:rsidRPr="005A1833" w:rsidDel="007F30A6" w14:paraId="42D27D55" w14:textId="77777777" w:rsidTr="00FE38C6">
        <w:tc>
          <w:tcPr>
            <w:tcW w:w="4315" w:type="dxa"/>
            <w:vAlign w:val="center"/>
          </w:tcPr>
          <w:p w14:paraId="69A88F40" w14:textId="77777777" w:rsidR="006F0703" w:rsidRPr="005A1833" w:rsidRDefault="006F0703" w:rsidP="00FE38C6">
            <w:pPr>
              <w:ind w:left="720"/>
              <w:rPr>
                <w:rFonts w:asciiTheme="majorHAnsi" w:hAnsiTheme="majorHAnsi"/>
                <w:sz w:val="22"/>
                <w:szCs w:val="22"/>
              </w:rPr>
            </w:pPr>
            <w:r w:rsidRPr="005A1833">
              <w:rPr>
                <w:rFonts w:asciiTheme="majorHAnsi" w:hAnsiTheme="majorHAnsi"/>
                <w:sz w:val="22"/>
                <w:szCs w:val="22"/>
              </w:rPr>
              <w:t>Height SDS change from baseline</w:t>
            </w:r>
          </w:p>
          <w:p w14:paraId="028C8BA8" w14:textId="77777777" w:rsidR="006F0703" w:rsidRPr="005A1833" w:rsidDel="007F30A6" w:rsidRDefault="006F0703" w:rsidP="00FE38C6">
            <w:pPr>
              <w:ind w:left="720"/>
              <w:rPr>
                <w:rFonts w:asciiTheme="majorHAnsi" w:hAnsiTheme="majorHAnsi"/>
                <w:sz w:val="22"/>
                <w:szCs w:val="22"/>
              </w:rPr>
            </w:pPr>
            <w:r w:rsidRPr="005A1833">
              <w:rPr>
                <w:rStyle w:val="C-TableCallout"/>
                <w:rFonts w:asciiTheme="majorHAnsi" w:hAnsiTheme="majorHAnsi"/>
                <w:szCs w:val="22"/>
                <w:vertAlign w:val="baseline"/>
              </w:rPr>
              <w:t>LS mean (95% </w:t>
            </w:r>
            <w:proofErr w:type="gramStart"/>
            <w:r w:rsidRPr="005A1833">
              <w:rPr>
                <w:rStyle w:val="C-TableCallout"/>
                <w:rFonts w:asciiTheme="majorHAnsi" w:hAnsiTheme="majorHAnsi"/>
                <w:szCs w:val="22"/>
                <w:vertAlign w:val="baseline"/>
              </w:rPr>
              <w:t>CI)</w:t>
            </w:r>
            <w:r w:rsidRPr="005A1833">
              <w:rPr>
                <w:rStyle w:val="C-TableCallout"/>
                <w:rFonts w:asciiTheme="majorHAnsi" w:hAnsiTheme="majorHAnsi"/>
                <w:szCs w:val="22"/>
              </w:rPr>
              <w:t>b</w:t>
            </w:r>
            <w:proofErr w:type="gramEnd"/>
          </w:p>
        </w:tc>
        <w:tc>
          <w:tcPr>
            <w:tcW w:w="2451" w:type="dxa"/>
            <w:vAlign w:val="center"/>
          </w:tcPr>
          <w:p w14:paraId="64D653BE" w14:textId="77777777" w:rsidR="006F0703" w:rsidRPr="005A1833" w:rsidDel="007F30A6" w:rsidRDefault="006F0703" w:rsidP="00FE38C6">
            <w:pPr>
              <w:jc w:val="center"/>
              <w:rPr>
                <w:rFonts w:asciiTheme="majorHAnsi" w:hAnsiTheme="majorHAnsi"/>
                <w:sz w:val="22"/>
                <w:szCs w:val="22"/>
              </w:rPr>
            </w:pPr>
            <w:r w:rsidRPr="005A1833" w:rsidDel="007F30A6">
              <w:rPr>
                <w:rFonts w:asciiTheme="majorHAnsi" w:hAnsiTheme="majorHAnsi"/>
                <w:sz w:val="22"/>
                <w:szCs w:val="22"/>
              </w:rPr>
              <w:t>2.</w:t>
            </w:r>
            <w:r w:rsidRPr="005A1833">
              <w:rPr>
                <w:rFonts w:asciiTheme="majorHAnsi" w:hAnsiTheme="majorHAnsi"/>
                <w:sz w:val="22"/>
                <w:szCs w:val="22"/>
              </w:rPr>
              <w:t>56</w:t>
            </w:r>
          </w:p>
          <w:p w14:paraId="0D578435" w14:textId="77777777" w:rsidR="006F0703" w:rsidRPr="005A1833" w:rsidDel="007F30A6" w:rsidRDefault="006F0703" w:rsidP="00FE38C6">
            <w:pPr>
              <w:jc w:val="center"/>
              <w:rPr>
                <w:rFonts w:asciiTheme="majorHAnsi" w:hAnsiTheme="majorHAnsi"/>
                <w:sz w:val="22"/>
                <w:szCs w:val="22"/>
              </w:rPr>
            </w:pPr>
            <w:r w:rsidRPr="005A1833" w:rsidDel="007F30A6">
              <w:rPr>
                <w:rFonts w:asciiTheme="majorHAnsi" w:hAnsiTheme="majorHAnsi"/>
                <w:sz w:val="22"/>
                <w:szCs w:val="22"/>
              </w:rPr>
              <w:t>(2.</w:t>
            </w:r>
            <w:r w:rsidRPr="005A1833">
              <w:rPr>
                <w:rFonts w:asciiTheme="majorHAnsi" w:hAnsiTheme="majorHAnsi"/>
                <w:sz w:val="22"/>
                <w:szCs w:val="22"/>
              </w:rPr>
              <w:t>36</w:t>
            </w:r>
            <w:r w:rsidRPr="005A1833" w:rsidDel="007F30A6">
              <w:rPr>
                <w:rFonts w:asciiTheme="majorHAnsi" w:hAnsiTheme="majorHAnsi"/>
                <w:sz w:val="22"/>
                <w:szCs w:val="22"/>
              </w:rPr>
              <w:t>-2.</w:t>
            </w:r>
            <w:r w:rsidRPr="005A1833">
              <w:rPr>
                <w:rFonts w:asciiTheme="majorHAnsi" w:hAnsiTheme="majorHAnsi"/>
                <w:sz w:val="22"/>
                <w:szCs w:val="22"/>
              </w:rPr>
              <w:t>77</w:t>
            </w:r>
            <w:r w:rsidRPr="005A1833" w:rsidDel="007F30A6">
              <w:rPr>
                <w:rFonts w:asciiTheme="majorHAnsi" w:hAnsiTheme="majorHAnsi"/>
                <w:sz w:val="22"/>
                <w:szCs w:val="22"/>
              </w:rPr>
              <w:t>)</w:t>
            </w:r>
          </w:p>
        </w:tc>
        <w:tc>
          <w:tcPr>
            <w:tcW w:w="2769" w:type="dxa"/>
            <w:vAlign w:val="center"/>
          </w:tcPr>
          <w:p w14:paraId="7177AA1C" w14:textId="77777777" w:rsidR="006F0703" w:rsidRPr="005A1833" w:rsidDel="007F30A6" w:rsidRDefault="006F0703" w:rsidP="00FE38C6">
            <w:pPr>
              <w:jc w:val="center"/>
              <w:rPr>
                <w:rFonts w:asciiTheme="majorHAnsi" w:hAnsiTheme="majorHAnsi"/>
                <w:sz w:val="22"/>
                <w:szCs w:val="22"/>
              </w:rPr>
            </w:pPr>
            <w:r w:rsidRPr="005A1833" w:rsidDel="007F30A6">
              <w:rPr>
                <w:rFonts w:asciiTheme="majorHAnsi" w:hAnsiTheme="majorHAnsi"/>
                <w:sz w:val="22"/>
                <w:szCs w:val="22"/>
              </w:rPr>
              <w:t>2.</w:t>
            </w:r>
            <w:r w:rsidRPr="005A1833">
              <w:rPr>
                <w:rFonts w:asciiTheme="majorHAnsi" w:hAnsiTheme="majorHAnsi"/>
                <w:sz w:val="22"/>
                <w:szCs w:val="22"/>
              </w:rPr>
              <w:t>61</w:t>
            </w:r>
          </w:p>
          <w:p w14:paraId="16C5F19B" w14:textId="77777777" w:rsidR="006F0703" w:rsidRPr="005A1833" w:rsidDel="007F30A6" w:rsidRDefault="006F0703" w:rsidP="00FE38C6">
            <w:pPr>
              <w:jc w:val="center"/>
              <w:rPr>
                <w:rFonts w:asciiTheme="majorHAnsi" w:hAnsiTheme="majorHAnsi"/>
                <w:sz w:val="22"/>
                <w:szCs w:val="22"/>
              </w:rPr>
            </w:pPr>
            <w:r w:rsidRPr="005A1833" w:rsidDel="007F30A6">
              <w:rPr>
                <w:rFonts w:asciiTheme="majorHAnsi" w:hAnsiTheme="majorHAnsi"/>
                <w:sz w:val="22"/>
                <w:szCs w:val="22"/>
              </w:rPr>
              <w:t>(2.</w:t>
            </w:r>
            <w:r w:rsidRPr="005A1833">
              <w:rPr>
                <w:rFonts w:asciiTheme="majorHAnsi" w:hAnsiTheme="majorHAnsi"/>
                <w:sz w:val="22"/>
                <w:szCs w:val="22"/>
              </w:rPr>
              <w:t>34</w:t>
            </w:r>
            <w:r w:rsidRPr="005A1833" w:rsidDel="007F30A6">
              <w:rPr>
                <w:rFonts w:asciiTheme="majorHAnsi" w:hAnsiTheme="majorHAnsi"/>
                <w:sz w:val="22"/>
                <w:szCs w:val="22"/>
              </w:rPr>
              <w:t>-2.</w:t>
            </w:r>
            <w:r w:rsidRPr="005A1833">
              <w:rPr>
                <w:rFonts w:asciiTheme="majorHAnsi" w:hAnsiTheme="majorHAnsi"/>
                <w:sz w:val="22"/>
                <w:szCs w:val="22"/>
              </w:rPr>
              <w:t>89</w:t>
            </w:r>
            <w:r w:rsidRPr="005A1833" w:rsidDel="007F30A6">
              <w:rPr>
                <w:rFonts w:asciiTheme="majorHAnsi" w:hAnsiTheme="majorHAnsi"/>
                <w:sz w:val="22"/>
                <w:szCs w:val="22"/>
              </w:rPr>
              <w:t>)</w:t>
            </w:r>
          </w:p>
        </w:tc>
      </w:tr>
    </w:tbl>
    <w:p w14:paraId="201EFE4C" w14:textId="77777777" w:rsidR="006F0703" w:rsidRPr="005A1833" w:rsidRDefault="006F0703" w:rsidP="006F0703">
      <w:pPr>
        <w:numPr>
          <w:ilvl w:val="12"/>
          <w:numId w:val="0"/>
        </w:numPr>
        <w:ind w:right="-2"/>
        <w:rPr>
          <w:rFonts w:asciiTheme="majorHAnsi" w:hAnsiTheme="majorHAnsi" w:cs="Times New Roman"/>
          <w:sz w:val="20"/>
          <w:szCs w:val="20"/>
          <w:lang w:val="en-US"/>
        </w:rPr>
      </w:pPr>
      <w:r w:rsidRPr="005A1833">
        <w:rPr>
          <w:rFonts w:asciiTheme="majorHAnsi" w:hAnsiTheme="majorHAnsi" w:cs="Times New Roman"/>
          <w:sz w:val="20"/>
          <w:szCs w:val="20"/>
          <w:vertAlign w:val="superscript"/>
          <w:lang w:val="en-US"/>
        </w:rPr>
        <w:t>a</w:t>
      </w:r>
      <w:r w:rsidRPr="005A1833">
        <w:rPr>
          <w:rFonts w:asciiTheme="majorHAnsi" w:hAnsiTheme="majorHAnsi" w:cs="Times New Roman"/>
          <w:sz w:val="20"/>
          <w:szCs w:val="20"/>
          <w:lang w:val="en-US"/>
        </w:rPr>
        <w:t xml:space="preserve"> N is the number of subjects with non-missing baseline and specific post-baseline results. Week 104 includes 52 weeks treatment in the </w:t>
      </w:r>
      <w:proofErr w:type="spellStart"/>
      <w:r w:rsidRPr="005A1833">
        <w:rPr>
          <w:rFonts w:asciiTheme="majorHAnsi" w:hAnsiTheme="majorHAnsi" w:cs="Times New Roman"/>
          <w:sz w:val="20"/>
          <w:szCs w:val="20"/>
          <w:lang w:val="en-US"/>
        </w:rPr>
        <w:t>randomised</w:t>
      </w:r>
      <w:proofErr w:type="spellEnd"/>
      <w:r w:rsidRPr="005A1833">
        <w:rPr>
          <w:rFonts w:asciiTheme="majorHAnsi" w:hAnsiTheme="majorHAnsi" w:cs="Times New Roman"/>
          <w:sz w:val="20"/>
          <w:szCs w:val="20"/>
          <w:lang w:val="en-US"/>
        </w:rPr>
        <w:t xml:space="preserve"> trial plus 52 weeks in the extension trial. Week 260 includes 52 weeks treatment in the </w:t>
      </w:r>
      <w:proofErr w:type="spellStart"/>
      <w:r w:rsidRPr="005A1833">
        <w:rPr>
          <w:rFonts w:asciiTheme="majorHAnsi" w:hAnsiTheme="majorHAnsi" w:cs="Times New Roman"/>
          <w:sz w:val="20"/>
          <w:szCs w:val="20"/>
          <w:lang w:val="en-US"/>
        </w:rPr>
        <w:t>randomised</w:t>
      </w:r>
      <w:proofErr w:type="spellEnd"/>
      <w:r w:rsidRPr="005A1833">
        <w:rPr>
          <w:rFonts w:asciiTheme="majorHAnsi" w:hAnsiTheme="majorHAnsi" w:cs="Times New Roman"/>
          <w:sz w:val="20"/>
          <w:szCs w:val="20"/>
          <w:lang w:val="en-US"/>
        </w:rPr>
        <w:t xml:space="preserve"> trial plus 208 weeks in the extension trial.</w:t>
      </w:r>
    </w:p>
    <w:p w14:paraId="600E69F9" w14:textId="77777777" w:rsidR="006F0703" w:rsidRPr="005A1833" w:rsidDel="004B7BD0" w:rsidRDefault="006F0703" w:rsidP="006F0703">
      <w:pPr>
        <w:numPr>
          <w:ilvl w:val="12"/>
          <w:numId w:val="0"/>
        </w:numPr>
        <w:ind w:right="-2"/>
        <w:rPr>
          <w:rFonts w:asciiTheme="majorHAnsi" w:hAnsiTheme="majorHAnsi" w:cs="Times New Roman"/>
          <w:sz w:val="20"/>
          <w:szCs w:val="20"/>
          <w:lang w:val="en-US"/>
        </w:rPr>
      </w:pPr>
      <w:r w:rsidRPr="005A1833">
        <w:rPr>
          <w:rFonts w:asciiTheme="majorHAnsi" w:hAnsiTheme="majorHAnsi" w:cs="Times New Roman"/>
          <w:sz w:val="20"/>
          <w:szCs w:val="20"/>
          <w:vertAlign w:val="superscript"/>
          <w:lang w:val="en-US"/>
        </w:rPr>
        <w:t>b</w:t>
      </w:r>
      <w:r w:rsidRPr="005A1833">
        <w:rPr>
          <w:rFonts w:asciiTheme="majorHAnsi" w:hAnsiTheme="majorHAnsi" w:cs="Times New Roman"/>
          <w:sz w:val="20"/>
          <w:szCs w:val="20"/>
          <w:lang w:val="en-US"/>
        </w:rPr>
        <w:t xml:space="preserve"> </w:t>
      </w:r>
      <w:proofErr w:type="gramStart"/>
      <w:r w:rsidRPr="005A1833">
        <w:rPr>
          <w:rFonts w:asciiTheme="majorHAnsi" w:hAnsiTheme="majorHAnsi" w:cs="Times New Roman"/>
          <w:sz w:val="20"/>
          <w:szCs w:val="20"/>
          <w:lang w:val="en-US"/>
        </w:rPr>
        <w:t>The</w:t>
      </w:r>
      <w:proofErr w:type="gramEnd"/>
      <w:r w:rsidRPr="005A1833">
        <w:rPr>
          <w:rFonts w:asciiTheme="majorHAnsi" w:hAnsiTheme="majorHAnsi" w:cs="Times New Roman"/>
          <w:sz w:val="20"/>
          <w:szCs w:val="20"/>
          <w:lang w:val="en-US"/>
        </w:rPr>
        <w:t xml:space="preserve"> height SDS change from baseline at each visit is modelled using ANCOVA, adjusting for </w:t>
      </w:r>
      <w:proofErr w:type="spellStart"/>
      <w:r w:rsidRPr="005A1833">
        <w:rPr>
          <w:rFonts w:asciiTheme="majorHAnsi" w:hAnsiTheme="majorHAnsi" w:cs="Times New Roman"/>
          <w:sz w:val="20"/>
          <w:szCs w:val="20"/>
          <w:lang w:val="en-US"/>
        </w:rPr>
        <w:t>randomised</w:t>
      </w:r>
      <w:proofErr w:type="spellEnd"/>
      <w:r w:rsidRPr="005A1833">
        <w:rPr>
          <w:rFonts w:asciiTheme="majorHAnsi" w:hAnsiTheme="majorHAnsi" w:cs="Times New Roman"/>
          <w:sz w:val="20"/>
          <w:szCs w:val="20"/>
          <w:lang w:val="en-US"/>
        </w:rPr>
        <w:t xml:space="preserve"> trial treatment group, baseline age, peak GH levels (log transformed) at diagnosis, and baseline height SDS as covariates and gender as a factor. Baseline measurement is before the start of growth hormone treatment in the </w:t>
      </w:r>
      <w:proofErr w:type="spellStart"/>
      <w:r w:rsidRPr="005A1833">
        <w:rPr>
          <w:rFonts w:asciiTheme="majorHAnsi" w:hAnsiTheme="majorHAnsi" w:cs="Times New Roman"/>
          <w:sz w:val="20"/>
          <w:szCs w:val="20"/>
          <w:lang w:val="en-US"/>
        </w:rPr>
        <w:t>randomised</w:t>
      </w:r>
      <w:proofErr w:type="spellEnd"/>
      <w:r w:rsidRPr="005A1833">
        <w:rPr>
          <w:rFonts w:asciiTheme="majorHAnsi" w:hAnsiTheme="majorHAnsi" w:cs="Times New Roman"/>
          <w:sz w:val="20"/>
          <w:szCs w:val="20"/>
          <w:lang w:val="en-US"/>
        </w:rPr>
        <w:t xml:space="preserve"> trial.</w:t>
      </w:r>
    </w:p>
    <w:p w14:paraId="39A84771" w14:textId="77777777" w:rsidR="001F5975" w:rsidRPr="00724406" w:rsidRDefault="001F5975" w:rsidP="00A73D97">
      <w:pPr>
        <w:spacing w:line="240" w:lineRule="auto"/>
        <w:ind w:right="-63"/>
        <w:rPr>
          <w:rFonts w:asciiTheme="majorHAnsi" w:hAnsiTheme="majorHAnsi"/>
          <w:i/>
          <w:iCs/>
          <w:u w:val="single"/>
        </w:rPr>
      </w:pPr>
      <w:r w:rsidRPr="00724406">
        <w:rPr>
          <w:rFonts w:asciiTheme="majorHAnsi" w:hAnsiTheme="majorHAnsi"/>
          <w:i/>
          <w:iCs/>
          <w:u w:val="single"/>
        </w:rPr>
        <w:t>Supportive evidence</w:t>
      </w:r>
    </w:p>
    <w:p w14:paraId="5C66560C" w14:textId="2C13B248" w:rsidR="001F5975" w:rsidRPr="005A1833" w:rsidRDefault="001F5975" w:rsidP="00A73D97">
      <w:pPr>
        <w:spacing w:line="240" w:lineRule="auto"/>
        <w:ind w:right="-63"/>
        <w:rPr>
          <w:rFonts w:asciiTheme="majorHAnsi" w:hAnsiTheme="majorHAnsi"/>
        </w:rPr>
      </w:pPr>
      <w:r w:rsidRPr="005A1833">
        <w:rPr>
          <w:rFonts w:asciiTheme="majorHAnsi" w:hAnsiTheme="majorHAnsi"/>
        </w:rPr>
        <w:t xml:space="preserve">Evidence from </w:t>
      </w:r>
      <w:r w:rsidR="00D274C8" w:rsidRPr="005A1833">
        <w:rPr>
          <w:rFonts w:asciiTheme="majorHAnsi" w:hAnsiTheme="majorHAnsi"/>
        </w:rPr>
        <w:t xml:space="preserve">an </w:t>
      </w:r>
      <w:r w:rsidRPr="005A1833">
        <w:rPr>
          <w:rFonts w:asciiTheme="majorHAnsi" w:hAnsiTheme="majorHAnsi"/>
        </w:rPr>
        <w:t xml:space="preserve">additional clinical trial </w:t>
      </w:r>
      <w:r w:rsidR="00D274C8" w:rsidRPr="005A1833">
        <w:rPr>
          <w:rFonts w:asciiTheme="majorHAnsi" w:hAnsiTheme="majorHAnsi"/>
        </w:rPr>
        <w:t>with</w:t>
      </w:r>
      <w:r w:rsidRPr="005A1833">
        <w:rPr>
          <w:rFonts w:asciiTheme="majorHAnsi" w:hAnsiTheme="majorHAnsi"/>
        </w:rPr>
        <w:t xml:space="preserve"> lonapegsomatropin support</w:t>
      </w:r>
      <w:r w:rsidR="00D274C8" w:rsidRPr="005A1833">
        <w:rPr>
          <w:rFonts w:asciiTheme="majorHAnsi" w:hAnsiTheme="majorHAnsi"/>
        </w:rPr>
        <w:t>s</w:t>
      </w:r>
      <w:r w:rsidRPr="005A1833">
        <w:rPr>
          <w:rFonts w:asciiTheme="majorHAnsi" w:hAnsiTheme="majorHAnsi"/>
        </w:rPr>
        <w:t xml:space="preserve"> the long</w:t>
      </w:r>
      <w:r w:rsidRPr="005A1833">
        <w:rPr>
          <w:rFonts w:asciiTheme="majorHAnsi" w:hAnsiTheme="majorHAnsi"/>
        </w:rPr>
        <w:noBreakHyphen/>
        <w:t>term clinical efficacy of lonapegsomatropin treatment.</w:t>
      </w:r>
    </w:p>
    <w:p w14:paraId="7D1D655A" w14:textId="0E8FC872" w:rsidR="00B17335" w:rsidRPr="005A1833" w:rsidRDefault="00B17335" w:rsidP="00B17335">
      <w:pPr>
        <w:rPr>
          <w:rFonts w:asciiTheme="majorHAnsi" w:hAnsiTheme="majorHAnsi" w:cs="Times New Roman"/>
        </w:rPr>
      </w:pPr>
      <w:proofErr w:type="spellStart"/>
      <w:r w:rsidRPr="005A1833">
        <w:rPr>
          <w:rFonts w:asciiTheme="majorHAnsi" w:hAnsiTheme="majorHAnsi" w:cs="Times New Roman"/>
        </w:rPr>
        <w:t>fliGHt</w:t>
      </w:r>
      <w:proofErr w:type="spellEnd"/>
      <w:r w:rsidRPr="005A1833">
        <w:rPr>
          <w:rFonts w:asciiTheme="majorHAnsi" w:hAnsiTheme="majorHAnsi" w:cs="Times New Roman"/>
        </w:rPr>
        <w:t xml:space="preserve"> trial:</w:t>
      </w:r>
    </w:p>
    <w:p w14:paraId="6493D424" w14:textId="0AAB35CC" w:rsidR="001F5975" w:rsidRPr="00724406" w:rsidRDefault="001F5975" w:rsidP="00A73D97">
      <w:pPr>
        <w:spacing w:line="240" w:lineRule="auto"/>
        <w:ind w:right="-63"/>
        <w:rPr>
          <w:rFonts w:asciiTheme="majorHAnsi" w:hAnsiTheme="majorHAnsi"/>
        </w:rPr>
      </w:pPr>
      <w:r w:rsidRPr="005A1833">
        <w:rPr>
          <w:rFonts w:asciiTheme="majorHAnsi" w:hAnsiTheme="majorHAnsi"/>
        </w:rPr>
        <w:t>In a 26</w:t>
      </w:r>
      <w:r w:rsidRPr="005A1833">
        <w:rPr>
          <w:rFonts w:asciiTheme="majorHAnsi" w:hAnsiTheme="majorHAnsi"/>
        </w:rPr>
        <w:noBreakHyphen/>
        <w:t>week single</w:t>
      </w:r>
      <w:r w:rsidRPr="005A1833">
        <w:rPr>
          <w:rFonts w:asciiTheme="majorHAnsi" w:hAnsiTheme="majorHAnsi"/>
        </w:rPr>
        <w:noBreakHyphen/>
        <w:t>arm open</w:t>
      </w:r>
      <w:r w:rsidRPr="005A1833">
        <w:rPr>
          <w:rFonts w:asciiTheme="majorHAnsi" w:hAnsiTheme="majorHAnsi"/>
        </w:rPr>
        <w:noBreakHyphen/>
        <w:t>label clinical trial evaluating lonapegsomatropin 0.24 mg somatropin/kg/week in 146 paediatric GHD patients aged 1 to 17 years old, of whom 143 had received prior daily somatropin treatment for mean (SD) 1.1 (0.7) years, the mean (SD) annuali</w:t>
      </w:r>
      <w:r w:rsidR="00D274C8" w:rsidRPr="005A1833">
        <w:rPr>
          <w:rFonts w:asciiTheme="majorHAnsi" w:hAnsiTheme="majorHAnsi"/>
        </w:rPr>
        <w:t>s</w:t>
      </w:r>
      <w:r w:rsidRPr="005A1833">
        <w:rPr>
          <w:rFonts w:asciiTheme="majorHAnsi" w:hAnsiTheme="majorHAnsi"/>
        </w:rPr>
        <w:t>ed height velocity was 9 (2.7) cm/year and the mean (SD) change from trial baseline in height SDS was 0.28 (0.25). Patient and caregiver preference were evaluated at week 13. 84% of patients and 90% of caregivers preferred once</w:t>
      </w:r>
      <w:r w:rsidRPr="005A1833">
        <w:rPr>
          <w:rFonts w:asciiTheme="majorHAnsi" w:hAnsiTheme="majorHAnsi"/>
        </w:rPr>
        <w:noBreakHyphen/>
        <w:t xml:space="preserve">weekly lonapegsomatropin over their prior daily somatropin. </w:t>
      </w:r>
    </w:p>
    <w:p w14:paraId="254515B0" w14:textId="653B8B14" w:rsidR="00724406" w:rsidRPr="00724406" w:rsidRDefault="00724406" w:rsidP="00A73D97">
      <w:pPr>
        <w:pStyle w:val="Caption"/>
        <w:tabs>
          <w:tab w:val="left" w:pos="1134"/>
        </w:tabs>
        <w:spacing w:after="0"/>
        <w:ind w:left="1134" w:right="-63" w:hanging="1134"/>
        <w:rPr>
          <w:rFonts w:asciiTheme="majorHAnsi" w:hAnsiTheme="majorHAnsi"/>
          <w:b/>
          <w:bCs/>
          <w:i w:val="0"/>
          <w:iCs w:val="0"/>
          <w:color w:val="000000" w:themeColor="text1"/>
          <w:sz w:val="22"/>
          <w:szCs w:val="22"/>
          <w:lang w:val="en-GB"/>
        </w:rPr>
      </w:pPr>
      <w:r w:rsidRPr="00724406">
        <w:rPr>
          <w:rFonts w:asciiTheme="majorHAnsi" w:hAnsiTheme="majorHAnsi"/>
          <w:b/>
          <w:bCs/>
          <w:i w:val="0"/>
          <w:iCs w:val="0"/>
          <w:color w:val="000000" w:themeColor="text1"/>
          <w:sz w:val="22"/>
          <w:szCs w:val="22"/>
          <w:lang w:val="en-GB"/>
        </w:rPr>
        <w:t>Table </w:t>
      </w:r>
      <w:r w:rsidR="00B17335">
        <w:rPr>
          <w:rFonts w:asciiTheme="majorHAnsi" w:hAnsiTheme="majorHAnsi"/>
          <w:b/>
          <w:bCs/>
          <w:i w:val="0"/>
          <w:iCs w:val="0"/>
          <w:color w:val="000000" w:themeColor="text1"/>
          <w:sz w:val="22"/>
          <w:szCs w:val="22"/>
          <w:lang w:val="en-GB"/>
        </w:rPr>
        <w:t>6</w:t>
      </w:r>
      <w:r w:rsidRPr="00724406">
        <w:rPr>
          <w:rFonts w:asciiTheme="majorHAnsi" w:hAnsiTheme="majorHAnsi"/>
          <w:b/>
          <w:bCs/>
          <w:i w:val="0"/>
          <w:iCs w:val="0"/>
          <w:color w:val="000000" w:themeColor="text1"/>
          <w:sz w:val="22"/>
          <w:szCs w:val="22"/>
          <w:lang w:val="en-GB"/>
        </w:rPr>
        <w:tab/>
        <w:t>Average IGF</w:t>
      </w:r>
      <w:r w:rsidRPr="00724406">
        <w:rPr>
          <w:rFonts w:asciiTheme="majorHAnsi" w:hAnsiTheme="majorHAnsi"/>
          <w:b/>
          <w:bCs/>
          <w:i w:val="0"/>
          <w:iCs w:val="0"/>
          <w:color w:val="000000" w:themeColor="text1"/>
          <w:sz w:val="22"/>
          <w:szCs w:val="22"/>
          <w:lang w:val="en-GB"/>
        </w:rPr>
        <w:noBreakHyphen/>
        <w:t>1 SDS levels at baseline and week 26 in paediatric treatment</w:t>
      </w:r>
      <w:r w:rsidRPr="00724406">
        <w:rPr>
          <w:rFonts w:asciiTheme="majorHAnsi" w:hAnsiTheme="majorHAnsi"/>
          <w:b/>
          <w:bCs/>
          <w:i w:val="0"/>
          <w:iCs w:val="0"/>
          <w:color w:val="000000" w:themeColor="text1"/>
          <w:sz w:val="22"/>
          <w:szCs w:val="22"/>
          <w:lang w:val="en-GB"/>
        </w:rPr>
        <w:noBreakHyphen/>
        <w:t>experienced patients with GHD (intention</w:t>
      </w:r>
      <w:r w:rsidRPr="00724406">
        <w:rPr>
          <w:rFonts w:asciiTheme="majorHAnsi" w:hAnsiTheme="majorHAnsi"/>
          <w:b/>
          <w:bCs/>
          <w:i w:val="0"/>
          <w:iCs w:val="0"/>
          <w:color w:val="000000" w:themeColor="text1"/>
          <w:sz w:val="22"/>
          <w:szCs w:val="22"/>
          <w:lang w:val="en-GB"/>
        </w:rPr>
        <w:noBreakHyphen/>
        <w:t>to</w:t>
      </w:r>
      <w:r w:rsidRPr="00724406">
        <w:rPr>
          <w:rFonts w:asciiTheme="majorHAnsi" w:hAnsiTheme="majorHAnsi"/>
          <w:b/>
          <w:bCs/>
          <w:i w:val="0"/>
          <w:iCs w:val="0"/>
          <w:color w:val="000000" w:themeColor="text1"/>
          <w:sz w:val="22"/>
          <w:szCs w:val="22"/>
          <w:lang w:val="en-GB"/>
        </w:rPr>
        <w:noBreakHyphen/>
        <w:t>treat analysis)</w:t>
      </w:r>
    </w:p>
    <w:tbl>
      <w:tblPr>
        <w:tblW w:w="0" w:type="auto"/>
        <w:tblInd w:w="108" w:type="dxa"/>
        <w:tblLook w:val="00A0" w:firstRow="1" w:lastRow="0" w:firstColumn="1" w:lastColumn="0" w:noHBand="0" w:noVBand="0"/>
      </w:tblPr>
      <w:tblGrid>
        <w:gridCol w:w="2988"/>
        <w:gridCol w:w="3095"/>
        <w:gridCol w:w="3096"/>
      </w:tblGrid>
      <w:tr w:rsidR="00724406" w:rsidRPr="00724406" w14:paraId="16B0EB32" w14:textId="77777777" w:rsidTr="00D04679">
        <w:tc>
          <w:tcPr>
            <w:tcW w:w="2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65DD860" w14:textId="77777777" w:rsidR="00724406" w:rsidRPr="00724406" w:rsidRDefault="00724406" w:rsidP="00A73D97">
            <w:pPr>
              <w:pStyle w:val="C-TableHeader"/>
              <w:spacing w:before="0" w:after="0"/>
              <w:ind w:right="-63"/>
              <w:jc w:val="center"/>
              <w:rPr>
                <w:rFonts w:asciiTheme="majorHAnsi" w:hAnsiTheme="majorHAnsi"/>
                <w:szCs w:val="22"/>
                <w:lang w:val="en-GB" w:eastAsia="ja-JP"/>
              </w:rPr>
            </w:pPr>
            <w:r w:rsidRPr="00724406">
              <w:rPr>
                <w:rFonts w:asciiTheme="majorHAnsi" w:hAnsiTheme="majorHAnsi"/>
                <w:szCs w:val="22"/>
                <w:lang w:val="en-GB"/>
              </w:rPr>
              <w:t>Average IGF</w:t>
            </w:r>
            <w:r w:rsidRPr="00724406">
              <w:rPr>
                <w:rFonts w:asciiTheme="majorHAnsi" w:hAnsiTheme="majorHAnsi"/>
                <w:szCs w:val="22"/>
                <w:lang w:val="en-GB"/>
              </w:rPr>
              <w:noBreakHyphen/>
              <w:t>1 SDS category</w:t>
            </w:r>
          </w:p>
        </w:tc>
        <w:tc>
          <w:tcPr>
            <w:tcW w:w="3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42DA1B" w14:textId="77777777" w:rsidR="00724406" w:rsidRPr="00724406" w:rsidRDefault="00724406" w:rsidP="00A73D97">
            <w:pPr>
              <w:pStyle w:val="C-TableHeader"/>
              <w:spacing w:before="0" w:after="0"/>
              <w:ind w:right="-63"/>
              <w:jc w:val="center"/>
              <w:rPr>
                <w:rFonts w:asciiTheme="majorHAnsi" w:hAnsiTheme="majorHAnsi"/>
                <w:b w:val="0"/>
                <w:bCs/>
                <w:szCs w:val="22"/>
                <w:lang w:val="en-GB"/>
              </w:rPr>
            </w:pPr>
            <w:r w:rsidRPr="00724406">
              <w:rPr>
                <w:rFonts w:asciiTheme="majorHAnsi" w:hAnsiTheme="majorHAnsi"/>
                <w:szCs w:val="22"/>
                <w:lang w:val="en-GB"/>
              </w:rPr>
              <w:t>Baseline</w:t>
            </w:r>
            <w:r w:rsidRPr="00724406">
              <w:rPr>
                <w:rFonts w:asciiTheme="majorHAnsi" w:hAnsiTheme="majorHAnsi"/>
                <w:b w:val="0"/>
                <w:bCs/>
                <w:szCs w:val="22"/>
                <w:lang w:val="en-GB"/>
              </w:rPr>
              <w:t xml:space="preserve"> </w:t>
            </w:r>
          </w:p>
          <w:p w14:paraId="54B6019E" w14:textId="77777777" w:rsidR="00724406" w:rsidRPr="00724406" w:rsidRDefault="00724406" w:rsidP="00A73D97">
            <w:pPr>
              <w:pStyle w:val="C-TableHeader"/>
              <w:spacing w:before="0" w:after="0"/>
              <w:ind w:right="-63"/>
              <w:jc w:val="center"/>
              <w:rPr>
                <w:rFonts w:asciiTheme="majorHAnsi" w:hAnsiTheme="majorHAnsi"/>
                <w:szCs w:val="22"/>
                <w:lang w:val="en-GB"/>
              </w:rPr>
            </w:pPr>
            <w:r w:rsidRPr="00724406">
              <w:rPr>
                <w:rFonts w:asciiTheme="majorHAnsi" w:hAnsiTheme="majorHAnsi"/>
                <w:szCs w:val="22"/>
                <w:lang w:val="en-GB"/>
              </w:rPr>
              <w:t>(N=143)</w:t>
            </w:r>
          </w:p>
          <w:p w14:paraId="6568F2FF" w14:textId="77777777" w:rsidR="00724406" w:rsidRPr="00724406" w:rsidRDefault="00724406" w:rsidP="00A73D97">
            <w:pPr>
              <w:pStyle w:val="C-TableHeader"/>
              <w:spacing w:before="0" w:after="0"/>
              <w:ind w:right="-63"/>
              <w:jc w:val="center"/>
              <w:rPr>
                <w:rFonts w:asciiTheme="majorHAnsi" w:hAnsiTheme="majorHAnsi"/>
                <w:szCs w:val="22"/>
                <w:lang w:val="en-GB"/>
              </w:rPr>
            </w:pPr>
            <w:r w:rsidRPr="00724406">
              <w:rPr>
                <w:rFonts w:asciiTheme="majorHAnsi" w:hAnsiTheme="majorHAnsi"/>
                <w:szCs w:val="22"/>
                <w:lang w:val="en-GB"/>
              </w:rPr>
              <w:t>n (%)</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3F105C" w14:textId="77777777" w:rsidR="00724406" w:rsidRPr="00724406" w:rsidRDefault="00724406" w:rsidP="00A73D97">
            <w:pPr>
              <w:pStyle w:val="C-TableHeader"/>
              <w:spacing w:before="0" w:after="0"/>
              <w:ind w:right="-63"/>
              <w:jc w:val="center"/>
              <w:rPr>
                <w:rFonts w:asciiTheme="majorHAnsi" w:hAnsiTheme="majorHAnsi"/>
                <w:szCs w:val="22"/>
                <w:lang w:val="en-GB"/>
              </w:rPr>
            </w:pPr>
            <w:r w:rsidRPr="00724406">
              <w:rPr>
                <w:rFonts w:asciiTheme="majorHAnsi" w:hAnsiTheme="majorHAnsi"/>
                <w:szCs w:val="22"/>
                <w:lang w:val="en-GB"/>
              </w:rPr>
              <w:t>Week 26 </w:t>
            </w:r>
          </w:p>
          <w:p w14:paraId="3C63463B" w14:textId="77777777" w:rsidR="00724406" w:rsidRPr="00724406" w:rsidRDefault="00724406" w:rsidP="00A73D97">
            <w:pPr>
              <w:pStyle w:val="C-TableHeader"/>
              <w:spacing w:before="0" w:after="0"/>
              <w:ind w:right="-63"/>
              <w:jc w:val="center"/>
              <w:rPr>
                <w:rFonts w:asciiTheme="majorHAnsi" w:hAnsiTheme="majorHAnsi"/>
                <w:szCs w:val="22"/>
                <w:lang w:val="en-GB"/>
              </w:rPr>
            </w:pPr>
            <w:r w:rsidRPr="00724406">
              <w:rPr>
                <w:rFonts w:asciiTheme="majorHAnsi" w:hAnsiTheme="majorHAnsi"/>
                <w:szCs w:val="22"/>
                <w:lang w:val="en-GB"/>
              </w:rPr>
              <w:t>(N=139)</w:t>
            </w:r>
          </w:p>
          <w:p w14:paraId="478A10BD" w14:textId="77777777" w:rsidR="00724406" w:rsidRPr="00724406" w:rsidRDefault="00724406" w:rsidP="00A73D97">
            <w:pPr>
              <w:pStyle w:val="C-TableHeader"/>
              <w:spacing w:before="0" w:after="0"/>
              <w:ind w:right="-63"/>
              <w:jc w:val="center"/>
              <w:rPr>
                <w:rFonts w:asciiTheme="majorHAnsi" w:hAnsiTheme="majorHAnsi"/>
                <w:szCs w:val="22"/>
                <w:lang w:val="en-GB"/>
              </w:rPr>
            </w:pPr>
            <w:r w:rsidRPr="00724406">
              <w:rPr>
                <w:rFonts w:asciiTheme="majorHAnsi" w:hAnsiTheme="majorHAnsi"/>
                <w:szCs w:val="22"/>
                <w:lang w:val="en-GB"/>
              </w:rPr>
              <w:t>n (%)</w:t>
            </w:r>
          </w:p>
        </w:tc>
      </w:tr>
      <w:tr w:rsidR="00724406" w:rsidRPr="00724406" w14:paraId="31479CF6" w14:textId="77777777" w:rsidTr="00D04679">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3B8A0C" w14:textId="77777777" w:rsidR="00724406" w:rsidRPr="00724406" w:rsidRDefault="00724406" w:rsidP="00A73D97">
            <w:pPr>
              <w:pStyle w:val="C-TableText"/>
              <w:spacing w:before="0" w:after="0"/>
              <w:ind w:right="-63"/>
              <w:jc w:val="center"/>
              <w:rPr>
                <w:rFonts w:asciiTheme="majorHAnsi" w:hAnsiTheme="majorHAnsi"/>
                <w:szCs w:val="22"/>
                <w:lang w:val="en-GB"/>
              </w:rPr>
            </w:pPr>
            <w:r w:rsidRPr="00724406">
              <w:rPr>
                <w:rFonts w:asciiTheme="majorHAnsi" w:hAnsiTheme="majorHAnsi"/>
                <w:szCs w:val="22"/>
                <w:lang w:val="en-GB"/>
              </w:rPr>
              <w:t>&lt; 0</w:t>
            </w:r>
          </w:p>
        </w:tc>
        <w:tc>
          <w:tcPr>
            <w:tcW w:w="3095" w:type="dxa"/>
            <w:tcBorders>
              <w:top w:val="nil"/>
              <w:left w:val="nil"/>
              <w:bottom w:val="single" w:sz="8" w:space="0" w:color="auto"/>
              <w:right w:val="single" w:sz="8" w:space="0" w:color="auto"/>
            </w:tcBorders>
            <w:tcMar>
              <w:top w:w="0" w:type="dxa"/>
              <w:left w:w="108" w:type="dxa"/>
              <w:bottom w:w="0" w:type="dxa"/>
              <w:right w:w="108" w:type="dxa"/>
            </w:tcMar>
          </w:tcPr>
          <w:p w14:paraId="332BC0A2" w14:textId="77777777" w:rsidR="00724406" w:rsidRPr="00724406" w:rsidRDefault="00724406" w:rsidP="00A73D97">
            <w:pPr>
              <w:pStyle w:val="C-TableText"/>
              <w:spacing w:before="0" w:after="0"/>
              <w:ind w:right="-63"/>
              <w:jc w:val="center"/>
              <w:rPr>
                <w:rFonts w:asciiTheme="majorHAnsi" w:hAnsiTheme="majorHAnsi"/>
                <w:szCs w:val="22"/>
                <w:lang w:val="en-GB"/>
              </w:rPr>
            </w:pPr>
            <w:r w:rsidRPr="00724406">
              <w:rPr>
                <w:rFonts w:asciiTheme="majorHAnsi" w:hAnsiTheme="majorHAnsi"/>
                <w:szCs w:val="22"/>
                <w:lang w:val="en-GB"/>
              </w:rPr>
              <w:t>37 (25.9)</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14:paraId="3089CB43" w14:textId="77777777" w:rsidR="00724406" w:rsidRPr="00724406" w:rsidRDefault="00724406" w:rsidP="00A73D97">
            <w:pPr>
              <w:pStyle w:val="C-TableText"/>
              <w:spacing w:before="0" w:after="0"/>
              <w:ind w:right="-63"/>
              <w:jc w:val="center"/>
              <w:rPr>
                <w:rFonts w:asciiTheme="majorHAnsi" w:hAnsiTheme="majorHAnsi"/>
                <w:szCs w:val="22"/>
                <w:lang w:val="en-GB"/>
              </w:rPr>
            </w:pPr>
            <w:r w:rsidRPr="00724406">
              <w:rPr>
                <w:rFonts w:asciiTheme="majorHAnsi" w:hAnsiTheme="majorHAnsi"/>
                <w:szCs w:val="22"/>
                <w:lang w:val="en-GB"/>
              </w:rPr>
              <w:t>13 (9.4)</w:t>
            </w:r>
          </w:p>
        </w:tc>
      </w:tr>
      <w:tr w:rsidR="00724406" w:rsidRPr="00724406" w14:paraId="551235A0" w14:textId="77777777" w:rsidTr="00D04679">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D581E" w14:textId="77777777" w:rsidR="00724406" w:rsidRPr="00724406" w:rsidRDefault="00724406" w:rsidP="00A73D97">
            <w:pPr>
              <w:pStyle w:val="C-TableText"/>
              <w:spacing w:before="0" w:after="0"/>
              <w:ind w:right="-63"/>
              <w:jc w:val="center"/>
              <w:rPr>
                <w:rFonts w:asciiTheme="majorHAnsi" w:hAnsiTheme="majorHAnsi"/>
                <w:szCs w:val="22"/>
                <w:lang w:val="en-GB"/>
              </w:rPr>
            </w:pPr>
            <w:r w:rsidRPr="00724406">
              <w:rPr>
                <w:rFonts w:asciiTheme="majorHAnsi" w:hAnsiTheme="majorHAnsi"/>
                <w:szCs w:val="22"/>
                <w:lang w:val="en-GB"/>
              </w:rPr>
              <w:t>0 to +2</w:t>
            </w:r>
          </w:p>
        </w:tc>
        <w:tc>
          <w:tcPr>
            <w:tcW w:w="3095" w:type="dxa"/>
            <w:tcBorders>
              <w:top w:val="nil"/>
              <w:left w:val="nil"/>
              <w:bottom w:val="single" w:sz="8" w:space="0" w:color="auto"/>
              <w:right w:val="single" w:sz="8" w:space="0" w:color="auto"/>
            </w:tcBorders>
            <w:tcMar>
              <w:top w:w="0" w:type="dxa"/>
              <w:left w:w="108" w:type="dxa"/>
              <w:bottom w:w="0" w:type="dxa"/>
              <w:right w:w="108" w:type="dxa"/>
            </w:tcMar>
          </w:tcPr>
          <w:p w14:paraId="4F0A4D11" w14:textId="77777777" w:rsidR="00724406" w:rsidRPr="00724406" w:rsidRDefault="00724406" w:rsidP="00A73D97">
            <w:pPr>
              <w:pStyle w:val="C-TableText"/>
              <w:spacing w:before="0" w:after="0"/>
              <w:ind w:right="-63"/>
              <w:jc w:val="center"/>
              <w:rPr>
                <w:rFonts w:asciiTheme="majorHAnsi" w:hAnsiTheme="majorHAnsi"/>
                <w:szCs w:val="22"/>
                <w:lang w:val="en-GB"/>
              </w:rPr>
            </w:pPr>
            <w:r w:rsidRPr="00724406">
              <w:rPr>
                <w:rFonts w:asciiTheme="majorHAnsi" w:hAnsiTheme="majorHAnsi"/>
                <w:szCs w:val="22"/>
                <w:lang w:val="en-GB"/>
              </w:rPr>
              <w:t>74 (51.7)</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14:paraId="593B5AAB" w14:textId="77777777" w:rsidR="00724406" w:rsidRPr="00724406" w:rsidRDefault="00724406" w:rsidP="00A73D97">
            <w:pPr>
              <w:pStyle w:val="C-TableText"/>
              <w:spacing w:before="0" w:after="0"/>
              <w:ind w:right="-63"/>
              <w:jc w:val="center"/>
              <w:rPr>
                <w:rFonts w:asciiTheme="majorHAnsi" w:hAnsiTheme="majorHAnsi"/>
                <w:szCs w:val="22"/>
                <w:lang w:val="en-GB"/>
              </w:rPr>
            </w:pPr>
            <w:r w:rsidRPr="00724406">
              <w:rPr>
                <w:rFonts w:asciiTheme="majorHAnsi" w:hAnsiTheme="majorHAnsi"/>
                <w:szCs w:val="22"/>
                <w:lang w:val="en-GB"/>
              </w:rPr>
              <w:t>71 (51.1)</w:t>
            </w:r>
          </w:p>
        </w:tc>
      </w:tr>
      <w:tr w:rsidR="00724406" w:rsidRPr="00724406" w14:paraId="44A6B322" w14:textId="77777777" w:rsidTr="00D04679">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A01D5B" w14:textId="77777777" w:rsidR="00724406" w:rsidRPr="00724406" w:rsidRDefault="00724406" w:rsidP="00A73D97">
            <w:pPr>
              <w:pStyle w:val="C-TableText"/>
              <w:spacing w:before="0" w:after="0"/>
              <w:ind w:right="-63"/>
              <w:jc w:val="center"/>
              <w:rPr>
                <w:rFonts w:asciiTheme="majorHAnsi" w:hAnsiTheme="majorHAnsi"/>
                <w:szCs w:val="22"/>
                <w:lang w:val="en-GB"/>
              </w:rPr>
            </w:pPr>
            <w:r w:rsidRPr="00724406">
              <w:rPr>
                <w:rFonts w:asciiTheme="majorHAnsi" w:hAnsiTheme="majorHAnsi"/>
                <w:szCs w:val="22"/>
                <w:lang w:val="en-GB"/>
              </w:rPr>
              <w:t>+2 to +3</w:t>
            </w:r>
          </w:p>
        </w:tc>
        <w:tc>
          <w:tcPr>
            <w:tcW w:w="3095" w:type="dxa"/>
            <w:tcBorders>
              <w:top w:val="nil"/>
              <w:left w:val="nil"/>
              <w:bottom w:val="single" w:sz="8" w:space="0" w:color="auto"/>
              <w:right w:val="single" w:sz="8" w:space="0" w:color="auto"/>
            </w:tcBorders>
            <w:tcMar>
              <w:top w:w="0" w:type="dxa"/>
              <w:left w:w="108" w:type="dxa"/>
              <w:bottom w:w="0" w:type="dxa"/>
              <w:right w:w="108" w:type="dxa"/>
            </w:tcMar>
          </w:tcPr>
          <w:p w14:paraId="37930AEB" w14:textId="77777777" w:rsidR="00724406" w:rsidRPr="00724406" w:rsidRDefault="00724406" w:rsidP="00A73D97">
            <w:pPr>
              <w:pStyle w:val="C-TableText"/>
              <w:spacing w:before="0" w:after="0"/>
              <w:ind w:right="-63"/>
              <w:jc w:val="center"/>
              <w:rPr>
                <w:rFonts w:asciiTheme="majorHAnsi" w:hAnsiTheme="majorHAnsi"/>
                <w:szCs w:val="22"/>
                <w:lang w:val="en-GB"/>
              </w:rPr>
            </w:pPr>
            <w:r w:rsidRPr="00724406">
              <w:rPr>
                <w:rFonts w:asciiTheme="majorHAnsi" w:hAnsiTheme="majorHAnsi"/>
                <w:szCs w:val="22"/>
                <w:lang w:val="en-GB"/>
              </w:rPr>
              <w:t>27 (18.9)</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14:paraId="1F16B190" w14:textId="77777777" w:rsidR="00724406" w:rsidRPr="00724406" w:rsidRDefault="00724406" w:rsidP="00A73D97">
            <w:pPr>
              <w:pStyle w:val="C-TableText"/>
              <w:spacing w:before="0" w:after="0"/>
              <w:ind w:right="-63"/>
              <w:jc w:val="center"/>
              <w:rPr>
                <w:rFonts w:asciiTheme="majorHAnsi" w:hAnsiTheme="majorHAnsi"/>
                <w:szCs w:val="22"/>
                <w:lang w:val="en-GB"/>
              </w:rPr>
            </w:pPr>
            <w:r w:rsidRPr="00724406">
              <w:rPr>
                <w:rFonts w:asciiTheme="majorHAnsi" w:hAnsiTheme="majorHAnsi"/>
                <w:szCs w:val="22"/>
                <w:lang w:val="en-GB"/>
              </w:rPr>
              <w:t>33 (23.7)</w:t>
            </w:r>
          </w:p>
        </w:tc>
      </w:tr>
      <w:tr w:rsidR="00724406" w:rsidRPr="00724406" w14:paraId="1CE5C60F" w14:textId="77777777" w:rsidTr="00D04679">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3306AD" w14:textId="77777777" w:rsidR="00724406" w:rsidRPr="00724406" w:rsidRDefault="00724406" w:rsidP="00A73D97">
            <w:pPr>
              <w:pStyle w:val="C-TableText"/>
              <w:spacing w:before="0" w:after="0"/>
              <w:ind w:right="-63"/>
              <w:jc w:val="center"/>
              <w:rPr>
                <w:rFonts w:asciiTheme="majorHAnsi" w:hAnsiTheme="majorHAnsi"/>
                <w:szCs w:val="22"/>
                <w:lang w:val="en-GB"/>
              </w:rPr>
            </w:pPr>
            <w:r w:rsidRPr="00724406">
              <w:rPr>
                <w:rFonts w:asciiTheme="majorHAnsi" w:hAnsiTheme="majorHAnsi"/>
                <w:szCs w:val="22"/>
                <w:lang w:val="en-GB"/>
              </w:rPr>
              <w:t>&gt; +3</w:t>
            </w:r>
          </w:p>
        </w:tc>
        <w:tc>
          <w:tcPr>
            <w:tcW w:w="3095" w:type="dxa"/>
            <w:tcBorders>
              <w:top w:val="nil"/>
              <w:left w:val="nil"/>
              <w:bottom w:val="single" w:sz="8" w:space="0" w:color="auto"/>
              <w:right w:val="single" w:sz="8" w:space="0" w:color="auto"/>
            </w:tcBorders>
            <w:tcMar>
              <w:top w:w="0" w:type="dxa"/>
              <w:left w:w="108" w:type="dxa"/>
              <w:bottom w:w="0" w:type="dxa"/>
              <w:right w:w="108" w:type="dxa"/>
            </w:tcMar>
          </w:tcPr>
          <w:p w14:paraId="22940732" w14:textId="77777777" w:rsidR="00724406" w:rsidRPr="00724406" w:rsidRDefault="00724406" w:rsidP="00A73D97">
            <w:pPr>
              <w:pStyle w:val="C-TableText"/>
              <w:spacing w:before="0" w:after="0"/>
              <w:ind w:right="-63"/>
              <w:jc w:val="center"/>
              <w:rPr>
                <w:rFonts w:asciiTheme="majorHAnsi" w:hAnsiTheme="majorHAnsi"/>
                <w:szCs w:val="22"/>
                <w:lang w:val="en-GB"/>
              </w:rPr>
            </w:pPr>
            <w:r w:rsidRPr="00724406">
              <w:rPr>
                <w:rFonts w:asciiTheme="majorHAnsi" w:hAnsiTheme="majorHAnsi"/>
                <w:szCs w:val="22"/>
                <w:lang w:val="en-GB"/>
              </w:rPr>
              <w:t>5 (3.5)</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14:paraId="23E4D5AB" w14:textId="77777777" w:rsidR="00724406" w:rsidRPr="00724406" w:rsidRDefault="00724406" w:rsidP="00A73D97">
            <w:pPr>
              <w:pStyle w:val="C-TableText"/>
              <w:spacing w:before="0" w:after="0"/>
              <w:ind w:right="-63"/>
              <w:jc w:val="center"/>
              <w:rPr>
                <w:rFonts w:asciiTheme="majorHAnsi" w:hAnsiTheme="majorHAnsi"/>
                <w:szCs w:val="22"/>
                <w:lang w:val="en-GB"/>
              </w:rPr>
            </w:pPr>
            <w:r w:rsidRPr="00724406">
              <w:rPr>
                <w:rFonts w:asciiTheme="majorHAnsi" w:hAnsiTheme="majorHAnsi"/>
                <w:szCs w:val="22"/>
                <w:lang w:val="en-GB"/>
              </w:rPr>
              <w:t>22 (15.8)</w:t>
            </w:r>
          </w:p>
        </w:tc>
      </w:tr>
    </w:tbl>
    <w:p w14:paraId="511FB940" w14:textId="77777777" w:rsidR="009F6C54" w:rsidRPr="003316D1" w:rsidRDefault="009F6C54" w:rsidP="00A73D97">
      <w:pPr>
        <w:pStyle w:val="BodyText"/>
        <w:ind w:left="0" w:right="-63"/>
        <w:rPr>
          <w:rFonts w:asciiTheme="majorHAnsi" w:hAnsiTheme="majorHAnsi"/>
        </w:rPr>
      </w:pPr>
    </w:p>
    <w:p w14:paraId="5667E0F5" w14:textId="2130629C" w:rsidR="002C4189" w:rsidRPr="004C6325" w:rsidRDefault="00FB7D91" w:rsidP="00A73D97">
      <w:pPr>
        <w:pStyle w:val="Heading2"/>
        <w:keepNext/>
        <w:spacing w:before="0" w:after="120"/>
        <w:ind w:left="0" w:right="-63" w:firstLine="0"/>
        <w:rPr>
          <w:rFonts w:cstheme="minorHAnsi"/>
        </w:rPr>
      </w:pPr>
      <w:r w:rsidRPr="004C6325">
        <w:rPr>
          <w:rFonts w:cstheme="minorHAnsi"/>
        </w:rPr>
        <w:t>Pharmacokinetic properties</w:t>
      </w:r>
      <w:r w:rsidR="00F93A39">
        <w:rPr>
          <w:rFonts w:cstheme="minorHAnsi"/>
        </w:rPr>
        <w:fldChar w:fldCharType="begin"/>
      </w:r>
      <w:r w:rsidR="00F93A39">
        <w:rPr>
          <w:rFonts w:cstheme="minorHAnsi"/>
        </w:rPr>
        <w:instrText xml:space="preserve"> DOCVARIABLE vault_nd_f59acc92-daa1-4d48-b69a-06274840f33e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14610E33" w14:textId="7BF4D4A0" w:rsidR="00B17335" w:rsidRDefault="00B47E54" w:rsidP="00056193">
      <w:pPr>
        <w:spacing w:line="240" w:lineRule="auto"/>
        <w:ind w:right="-63"/>
        <w:rPr>
          <w:rFonts w:asciiTheme="majorHAnsi" w:hAnsiTheme="majorHAnsi"/>
          <w:b/>
        </w:rPr>
      </w:pPr>
      <w:r w:rsidRPr="00B47E54">
        <w:rPr>
          <w:rFonts w:asciiTheme="majorHAnsi" w:hAnsiTheme="majorHAnsi"/>
        </w:rPr>
        <w:t>The pharmacokinetics following administration of lonapegsomatropin was assessed after single dose in a total of 73 healthy adults in 2 trials. In addition, PK in paediatrics with GHD was evaluated based on intense sampling at week 13 in 11 subjects and sparse sampling in 109 subjects across 2 trials. Demographic details are provided in Table 6 for the subjects included in the pharmacokinetic evaluation of lonapegsomatropin.</w:t>
      </w:r>
    </w:p>
    <w:p w14:paraId="4743241F" w14:textId="77777777" w:rsidR="00B17335" w:rsidRDefault="00B17335" w:rsidP="00A73D97">
      <w:pPr>
        <w:spacing w:line="240" w:lineRule="auto"/>
        <w:ind w:left="993" w:right="-63" w:hanging="993"/>
        <w:rPr>
          <w:rFonts w:asciiTheme="majorHAnsi" w:hAnsiTheme="majorHAnsi"/>
          <w:b/>
        </w:rPr>
      </w:pPr>
    </w:p>
    <w:p w14:paraId="46AEA633" w14:textId="77777777" w:rsidR="00130EFD" w:rsidRDefault="00130EFD" w:rsidP="00A73D97">
      <w:pPr>
        <w:spacing w:line="240" w:lineRule="auto"/>
        <w:ind w:left="993" w:right="-63" w:hanging="993"/>
        <w:rPr>
          <w:rFonts w:asciiTheme="majorHAnsi" w:hAnsiTheme="majorHAnsi"/>
          <w:b/>
        </w:rPr>
      </w:pPr>
    </w:p>
    <w:p w14:paraId="4778D21A" w14:textId="77777777" w:rsidR="00130EFD" w:rsidRDefault="00130EFD" w:rsidP="00A73D97">
      <w:pPr>
        <w:spacing w:line="240" w:lineRule="auto"/>
        <w:ind w:left="993" w:right="-63" w:hanging="993"/>
        <w:rPr>
          <w:rFonts w:asciiTheme="majorHAnsi" w:hAnsiTheme="majorHAnsi"/>
          <w:b/>
        </w:rPr>
      </w:pPr>
    </w:p>
    <w:p w14:paraId="6CFD9536" w14:textId="77777777" w:rsidR="00130EFD" w:rsidRDefault="00130EFD" w:rsidP="00A73D97">
      <w:pPr>
        <w:spacing w:line="240" w:lineRule="auto"/>
        <w:ind w:left="993" w:right="-63" w:hanging="993"/>
        <w:rPr>
          <w:rFonts w:asciiTheme="majorHAnsi" w:hAnsiTheme="majorHAnsi"/>
          <w:b/>
        </w:rPr>
      </w:pPr>
    </w:p>
    <w:p w14:paraId="08AE09C1" w14:textId="77777777" w:rsidR="00130EFD" w:rsidRDefault="00130EFD" w:rsidP="00A73D97">
      <w:pPr>
        <w:spacing w:line="240" w:lineRule="auto"/>
        <w:ind w:left="993" w:right="-63" w:hanging="993"/>
        <w:rPr>
          <w:rFonts w:asciiTheme="majorHAnsi" w:hAnsiTheme="majorHAnsi"/>
          <w:b/>
        </w:rPr>
      </w:pPr>
    </w:p>
    <w:p w14:paraId="122A5AB6" w14:textId="57523AFE" w:rsidR="00B47E54" w:rsidRPr="00B47E54" w:rsidRDefault="00B47E54" w:rsidP="00A73D97">
      <w:pPr>
        <w:spacing w:line="240" w:lineRule="auto"/>
        <w:ind w:left="993" w:right="-63" w:hanging="993"/>
        <w:rPr>
          <w:rFonts w:asciiTheme="majorHAnsi" w:hAnsiTheme="majorHAnsi"/>
          <w:b/>
        </w:rPr>
      </w:pPr>
      <w:r w:rsidRPr="00B47E54">
        <w:rPr>
          <w:rFonts w:asciiTheme="majorHAnsi" w:hAnsiTheme="majorHAnsi"/>
          <w:b/>
        </w:rPr>
        <w:lastRenderedPageBreak/>
        <w:t xml:space="preserve">Table </w:t>
      </w:r>
      <w:r w:rsidR="00B17335">
        <w:rPr>
          <w:rFonts w:asciiTheme="majorHAnsi" w:hAnsiTheme="majorHAnsi"/>
          <w:b/>
        </w:rPr>
        <w:t>7</w:t>
      </w:r>
      <w:r w:rsidRPr="00B47E54">
        <w:rPr>
          <w:rFonts w:asciiTheme="majorHAnsi" w:hAnsiTheme="majorHAnsi"/>
          <w:b/>
        </w:rPr>
        <w:tab/>
        <w:t>Demography of subjects in pharmacokinetic evaluation of lonapegsomatropin</w:t>
      </w:r>
    </w:p>
    <w:tbl>
      <w:tblPr>
        <w:tblW w:w="5000" w:type="pct"/>
        <w:jc w:val="center"/>
        <w:tblLook w:val="04A0" w:firstRow="1" w:lastRow="0" w:firstColumn="1" w:lastColumn="0" w:noHBand="0" w:noVBand="1"/>
      </w:tblPr>
      <w:tblGrid>
        <w:gridCol w:w="4278"/>
        <w:gridCol w:w="1670"/>
        <w:gridCol w:w="3912"/>
      </w:tblGrid>
      <w:tr w:rsidR="00B47E54" w:rsidRPr="00B47E54" w14:paraId="53B3E88E" w14:textId="77777777" w:rsidTr="00D04679">
        <w:trPr>
          <w:cantSplit/>
          <w:tblHeader/>
          <w:jc w:val="center"/>
        </w:trPr>
        <w:tc>
          <w:tcPr>
            <w:tcW w:w="2169" w:type="pct"/>
            <w:tcBorders>
              <w:top w:val="single" w:sz="4" w:space="0" w:color="auto"/>
              <w:bottom w:val="single" w:sz="4" w:space="0" w:color="auto"/>
            </w:tcBorders>
            <w:shd w:val="clear" w:color="auto" w:fill="FFFFFF"/>
            <w:tcMar>
              <w:top w:w="0" w:type="dxa"/>
              <w:left w:w="10" w:type="dxa"/>
              <w:bottom w:w="0" w:type="dxa"/>
              <w:right w:w="10" w:type="dxa"/>
            </w:tcMar>
            <w:vAlign w:val="bottom"/>
            <w:hideMark/>
          </w:tcPr>
          <w:p w14:paraId="7DE6C464" w14:textId="77777777" w:rsidR="00B47E54" w:rsidRPr="00B47E54" w:rsidRDefault="00B47E54" w:rsidP="00A73D97">
            <w:pPr>
              <w:keepNext/>
              <w:spacing w:after="0" w:line="240" w:lineRule="auto"/>
              <w:ind w:right="-63"/>
              <w:rPr>
                <w:rFonts w:asciiTheme="majorHAnsi" w:hAnsiTheme="majorHAnsi"/>
                <w:b/>
                <w:color w:val="000000"/>
              </w:rPr>
            </w:pPr>
            <w:r w:rsidRPr="00B47E54">
              <w:rPr>
                <w:rFonts w:asciiTheme="majorHAnsi" w:hAnsiTheme="majorHAnsi"/>
                <w:b/>
                <w:color w:val="000000"/>
              </w:rPr>
              <w:t>Category</w:t>
            </w:r>
          </w:p>
        </w:tc>
        <w:tc>
          <w:tcPr>
            <w:tcW w:w="847" w:type="pct"/>
            <w:tcBorders>
              <w:top w:val="single" w:sz="4" w:space="0" w:color="auto"/>
              <w:bottom w:val="single" w:sz="4" w:space="0" w:color="auto"/>
            </w:tcBorders>
            <w:shd w:val="clear" w:color="auto" w:fill="FFFFFF"/>
            <w:tcMar>
              <w:top w:w="0" w:type="dxa"/>
              <w:left w:w="10" w:type="dxa"/>
              <w:bottom w:w="0" w:type="dxa"/>
              <w:right w:w="10" w:type="dxa"/>
            </w:tcMar>
            <w:vAlign w:val="bottom"/>
            <w:hideMark/>
          </w:tcPr>
          <w:p w14:paraId="19092D16" w14:textId="77777777" w:rsidR="00B47E54" w:rsidRPr="00B47E54" w:rsidRDefault="00B47E54" w:rsidP="00A73D97">
            <w:pPr>
              <w:keepNext/>
              <w:spacing w:after="0" w:line="240" w:lineRule="auto"/>
              <w:ind w:right="-63"/>
              <w:jc w:val="center"/>
              <w:rPr>
                <w:rFonts w:asciiTheme="majorHAnsi" w:hAnsiTheme="majorHAnsi"/>
                <w:b/>
                <w:color w:val="000000"/>
              </w:rPr>
            </w:pPr>
            <w:r w:rsidRPr="00B47E54">
              <w:rPr>
                <w:rFonts w:asciiTheme="majorHAnsi" w:hAnsiTheme="majorHAnsi"/>
                <w:b/>
                <w:color w:val="000000"/>
              </w:rPr>
              <w:t>Healthy adults</w:t>
            </w:r>
          </w:p>
        </w:tc>
        <w:tc>
          <w:tcPr>
            <w:tcW w:w="1984" w:type="pct"/>
            <w:tcBorders>
              <w:top w:val="single" w:sz="4" w:space="0" w:color="auto"/>
              <w:bottom w:val="single" w:sz="4" w:space="0" w:color="auto"/>
            </w:tcBorders>
            <w:shd w:val="clear" w:color="auto" w:fill="FFFFFF"/>
          </w:tcPr>
          <w:p w14:paraId="1013691B" w14:textId="77777777" w:rsidR="00B47E54" w:rsidRPr="00B47E54" w:rsidRDefault="00B47E54" w:rsidP="00A73D97">
            <w:pPr>
              <w:keepNext/>
              <w:spacing w:after="0" w:line="240" w:lineRule="auto"/>
              <w:ind w:right="-63"/>
              <w:jc w:val="center"/>
              <w:rPr>
                <w:rFonts w:asciiTheme="majorHAnsi" w:hAnsiTheme="majorHAnsi"/>
                <w:b/>
                <w:color w:val="000000"/>
              </w:rPr>
            </w:pPr>
            <w:r w:rsidRPr="00B47E54">
              <w:rPr>
                <w:rFonts w:asciiTheme="majorHAnsi" w:hAnsiTheme="majorHAnsi"/>
                <w:b/>
                <w:color w:val="000000"/>
              </w:rPr>
              <w:t>Children with GHD</w:t>
            </w:r>
          </w:p>
        </w:tc>
      </w:tr>
      <w:tr w:rsidR="00B47E54" w:rsidRPr="00B47E54" w14:paraId="567B0154" w14:textId="77777777" w:rsidTr="00D04679">
        <w:trPr>
          <w:cantSplit/>
          <w:tblHeader/>
          <w:jc w:val="center"/>
        </w:trPr>
        <w:tc>
          <w:tcPr>
            <w:tcW w:w="2169" w:type="pct"/>
            <w:tcBorders>
              <w:top w:val="single" w:sz="4" w:space="0" w:color="auto"/>
            </w:tcBorders>
            <w:shd w:val="clear" w:color="auto" w:fill="FFFFFF"/>
            <w:tcMar>
              <w:top w:w="0" w:type="dxa"/>
              <w:left w:w="10" w:type="dxa"/>
              <w:bottom w:w="0" w:type="dxa"/>
              <w:right w:w="10" w:type="dxa"/>
            </w:tcMar>
            <w:vAlign w:val="bottom"/>
          </w:tcPr>
          <w:p w14:paraId="37ED6ED2" w14:textId="77777777" w:rsidR="00B47E54" w:rsidRPr="00B47E54" w:rsidRDefault="00B47E54" w:rsidP="00A73D97">
            <w:pPr>
              <w:keepNext/>
              <w:spacing w:after="0" w:line="240" w:lineRule="auto"/>
              <w:ind w:right="-63"/>
              <w:rPr>
                <w:rFonts w:asciiTheme="majorHAnsi" w:hAnsiTheme="majorHAnsi"/>
                <w:bCs/>
                <w:color w:val="000000"/>
              </w:rPr>
            </w:pPr>
            <w:r w:rsidRPr="00B47E54">
              <w:rPr>
                <w:rFonts w:asciiTheme="majorHAnsi" w:hAnsiTheme="majorHAnsi"/>
                <w:bCs/>
                <w:color w:val="000000"/>
              </w:rPr>
              <w:t>N</w:t>
            </w:r>
          </w:p>
        </w:tc>
        <w:tc>
          <w:tcPr>
            <w:tcW w:w="847" w:type="pct"/>
            <w:tcBorders>
              <w:top w:val="single" w:sz="4" w:space="0" w:color="auto"/>
            </w:tcBorders>
            <w:shd w:val="clear" w:color="auto" w:fill="FFFFFF"/>
            <w:tcMar>
              <w:top w:w="0" w:type="dxa"/>
              <w:left w:w="10" w:type="dxa"/>
              <w:bottom w:w="0" w:type="dxa"/>
              <w:right w:w="10" w:type="dxa"/>
            </w:tcMar>
            <w:vAlign w:val="bottom"/>
          </w:tcPr>
          <w:p w14:paraId="2AC142F6" w14:textId="77777777" w:rsidR="00B47E54" w:rsidRPr="00B47E54" w:rsidRDefault="00B47E54" w:rsidP="00A73D97">
            <w:pPr>
              <w:keepNext/>
              <w:spacing w:after="0" w:line="240" w:lineRule="auto"/>
              <w:ind w:right="-63"/>
              <w:jc w:val="center"/>
              <w:rPr>
                <w:rFonts w:asciiTheme="majorHAnsi" w:hAnsiTheme="majorHAnsi"/>
                <w:bCs/>
                <w:color w:val="000000"/>
              </w:rPr>
            </w:pPr>
            <w:r w:rsidRPr="00B47E54">
              <w:rPr>
                <w:rFonts w:asciiTheme="majorHAnsi" w:hAnsiTheme="majorHAnsi"/>
                <w:bCs/>
                <w:color w:val="000000"/>
              </w:rPr>
              <w:t>73</w:t>
            </w:r>
          </w:p>
        </w:tc>
        <w:tc>
          <w:tcPr>
            <w:tcW w:w="1984" w:type="pct"/>
            <w:tcBorders>
              <w:top w:val="single" w:sz="4" w:space="0" w:color="auto"/>
            </w:tcBorders>
            <w:shd w:val="clear" w:color="auto" w:fill="FFFFFF"/>
          </w:tcPr>
          <w:p w14:paraId="53329495" w14:textId="77777777" w:rsidR="00B47E54" w:rsidRPr="00B47E54" w:rsidRDefault="00B47E54" w:rsidP="00A73D97">
            <w:pPr>
              <w:keepNext/>
              <w:spacing w:after="0" w:line="240" w:lineRule="auto"/>
              <w:ind w:right="-63"/>
              <w:jc w:val="center"/>
              <w:rPr>
                <w:rFonts w:asciiTheme="majorHAnsi" w:hAnsiTheme="majorHAnsi"/>
                <w:bCs/>
                <w:color w:val="000000"/>
              </w:rPr>
            </w:pPr>
            <w:r w:rsidRPr="00B47E54">
              <w:rPr>
                <w:rFonts w:asciiTheme="majorHAnsi" w:hAnsiTheme="majorHAnsi"/>
                <w:bCs/>
                <w:color w:val="000000"/>
              </w:rPr>
              <w:t xml:space="preserve">109 </w:t>
            </w:r>
          </w:p>
        </w:tc>
      </w:tr>
      <w:tr w:rsidR="00B47E54" w:rsidRPr="00B47E54" w14:paraId="7BDB18CF" w14:textId="77777777" w:rsidTr="00D04679">
        <w:trPr>
          <w:cantSplit/>
          <w:tblHeader/>
          <w:jc w:val="center"/>
        </w:trPr>
        <w:tc>
          <w:tcPr>
            <w:tcW w:w="2169" w:type="pct"/>
            <w:tcBorders>
              <w:bottom w:val="single" w:sz="4" w:space="0" w:color="auto"/>
            </w:tcBorders>
            <w:shd w:val="clear" w:color="auto" w:fill="FFFFFF"/>
            <w:tcMar>
              <w:top w:w="0" w:type="dxa"/>
              <w:left w:w="10" w:type="dxa"/>
              <w:bottom w:w="0" w:type="dxa"/>
              <w:right w:w="10" w:type="dxa"/>
            </w:tcMar>
            <w:vAlign w:val="bottom"/>
          </w:tcPr>
          <w:p w14:paraId="47EECE41" w14:textId="77777777" w:rsidR="00B47E54" w:rsidRPr="00B47E54" w:rsidRDefault="00B47E54" w:rsidP="00A73D97">
            <w:pPr>
              <w:keepNext/>
              <w:spacing w:after="0" w:line="240" w:lineRule="auto"/>
              <w:ind w:right="-63"/>
              <w:rPr>
                <w:rFonts w:asciiTheme="majorHAnsi" w:hAnsiTheme="majorHAnsi"/>
                <w:bCs/>
                <w:color w:val="000000"/>
              </w:rPr>
            </w:pPr>
            <w:r w:rsidRPr="00B47E54">
              <w:rPr>
                <w:rFonts w:asciiTheme="majorHAnsi" w:hAnsiTheme="majorHAnsi"/>
                <w:bCs/>
                <w:color w:val="000000"/>
              </w:rPr>
              <w:t>Male / Female</w:t>
            </w:r>
          </w:p>
        </w:tc>
        <w:tc>
          <w:tcPr>
            <w:tcW w:w="847" w:type="pct"/>
            <w:tcBorders>
              <w:bottom w:val="single" w:sz="4" w:space="0" w:color="auto"/>
            </w:tcBorders>
            <w:shd w:val="clear" w:color="auto" w:fill="FFFFFF"/>
            <w:tcMar>
              <w:top w:w="0" w:type="dxa"/>
              <w:left w:w="10" w:type="dxa"/>
              <w:bottom w:w="0" w:type="dxa"/>
              <w:right w:w="10" w:type="dxa"/>
            </w:tcMar>
            <w:vAlign w:val="bottom"/>
          </w:tcPr>
          <w:p w14:paraId="2F6B6C2E" w14:textId="77777777" w:rsidR="00B47E54" w:rsidRPr="00B47E54" w:rsidRDefault="00B47E54" w:rsidP="00A73D97">
            <w:pPr>
              <w:keepNext/>
              <w:spacing w:after="0" w:line="240" w:lineRule="auto"/>
              <w:ind w:right="-63"/>
              <w:jc w:val="center"/>
              <w:rPr>
                <w:rFonts w:asciiTheme="majorHAnsi" w:hAnsiTheme="majorHAnsi"/>
                <w:bCs/>
                <w:color w:val="000000"/>
              </w:rPr>
            </w:pPr>
            <w:r w:rsidRPr="00B47E54">
              <w:rPr>
                <w:rFonts w:asciiTheme="majorHAnsi" w:hAnsiTheme="majorHAnsi"/>
                <w:bCs/>
                <w:color w:val="000000"/>
              </w:rPr>
              <w:t>55 / 19</w:t>
            </w:r>
          </w:p>
        </w:tc>
        <w:tc>
          <w:tcPr>
            <w:tcW w:w="1984" w:type="pct"/>
            <w:tcBorders>
              <w:bottom w:val="single" w:sz="4" w:space="0" w:color="auto"/>
            </w:tcBorders>
            <w:shd w:val="clear" w:color="auto" w:fill="FFFFFF"/>
          </w:tcPr>
          <w:p w14:paraId="4721EF03" w14:textId="77777777" w:rsidR="00B47E54" w:rsidRPr="00B47E54" w:rsidRDefault="00B47E54" w:rsidP="00A73D97">
            <w:pPr>
              <w:keepNext/>
              <w:spacing w:after="0" w:line="240" w:lineRule="auto"/>
              <w:ind w:right="-63"/>
              <w:jc w:val="center"/>
              <w:rPr>
                <w:rFonts w:asciiTheme="majorHAnsi" w:hAnsiTheme="majorHAnsi"/>
                <w:bCs/>
                <w:color w:val="000000"/>
              </w:rPr>
            </w:pPr>
            <w:r w:rsidRPr="00B47E54">
              <w:rPr>
                <w:rFonts w:asciiTheme="majorHAnsi" w:hAnsiTheme="majorHAnsi"/>
                <w:bCs/>
                <w:color w:val="000000"/>
              </w:rPr>
              <w:t>87 / 22</w:t>
            </w:r>
          </w:p>
        </w:tc>
      </w:tr>
      <w:tr w:rsidR="00B47E54" w:rsidRPr="00B47E54" w14:paraId="25689FD7" w14:textId="77777777" w:rsidTr="00D04679">
        <w:trPr>
          <w:cantSplit/>
          <w:jc w:val="center"/>
        </w:trPr>
        <w:tc>
          <w:tcPr>
            <w:tcW w:w="2169" w:type="pct"/>
            <w:tcBorders>
              <w:top w:val="single" w:sz="4" w:space="0" w:color="auto"/>
            </w:tcBorders>
            <w:shd w:val="clear" w:color="auto" w:fill="FFFFFF"/>
            <w:tcMar>
              <w:top w:w="0" w:type="dxa"/>
              <w:left w:w="10" w:type="dxa"/>
              <w:bottom w:w="0" w:type="dxa"/>
              <w:right w:w="10" w:type="dxa"/>
            </w:tcMar>
            <w:hideMark/>
          </w:tcPr>
          <w:p w14:paraId="1F53AB6C" w14:textId="77777777" w:rsidR="00B47E54" w:rsidRPr="00B47E54" w:rsidRDefault="00B47E54" w:rsidP="00A73D97">
            <w:pPr>
              <w:keepNext/>
              <w:spacing w:after="0" w:line="240" w:lineRule="auto"/>
              <w:ind w:right="-63"/>
              <w:rPr>
                <w:rFonts w:asciiTheme="majorHAnsi" w:hAnsiTheme="majorHAnsi"/>
                <w:color w:val="000000"/>
              </w:rPr>
            </w:pPr>
            <w:r w:rsidRPr="00B47E54">
              <w:rPr>
                <w:rFonts w:asciiTheme="majorHAnsi" w:hAnsiTheme="majorHAnsi"/>
                <w:color w:val="000000"/>
              </w:rPr>
              <w:t>American Indian or Alaska Native</w:t>
            </w:r>
          </w:p>
        </w:tc>
        <w:tc>
          <w:tcPr>
            <w:tcW w:w="847" w:type="pct"/>
            <w:tcBorders>
              <w:top w:val="single" w:sz="4" w:space="0" w:color="auto"/>
            </w:tcBorders>
            <w:shd w:val="clear" w:color="auto" w:fill="FFFFFF"/>
            <w:tcMar>
              <w:top w:w="0" w:type="dxa"/>
              <w:left w:w="10" w:type="dxa"/>
              <w:bottom w:w="0" w:type="dxa"/>
              <w:right w:w="10" w:type="dxa"/>
            </w:tcMar>
            <w:hideMark/>
          </w:tcPr>
          <w:p w14:paraId="67E40933"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0</w:t>
            </w:r>
          </w:p>
        </w:tc>
        <w:tc>
          <w:tcPr>
            <w:tcW w:w="1984" w:type="pct"/>
            <w:tcBorders>
              <w:top w:val="single" w:sz="4" w:space="0" w:color="auto"/>
            </w:tcBorders>
            <w:shd w:val="clear" w:color="auto" w:fill="FFFFFF"/>
          </w:tcPr>
          <w:p w14:paraId="3241E7DC"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0</w:t>
            </w:r>
          </w:p>
        </w:tc>
      </w:tr>
      <w:tr w:rsidR="00B47E54" w:rsidRPr="00B47E54" w14:paraId="12242278" w14:textId="77777777" w:rsidTr="00D04679">
        <w:trPr>
          <w:cantSplit/>
          <w:jc w:val="center"/>
        </w:trPr>
        <w:tc>
          <w:tcPr>
            <w:tcW w:w="2169" w:type="pct"/>
            <w:shd w:val="clear" w:color="auto" w:fill="FFFFFF"/>
            <w:tcMar>
              <w:top w:w="0" w:type="dxa"/>
              <w:left w:w="10" w:type="dxa"/>
              <w:bottom w:w="0" w:type="dxa"/>
              <w:right w:w="10" w:type="dxa"/>
            </w:tcMar>
            <w:hideMark/>
          </w:tcPr>
          <w:p w14:paraId="39C8C86F" w14:textId="77777777" w:rsidR="00B47E54" w:rsidRPr="00B47E54" w:rsidRDefault="00B47E54" w:rsidP="00A73D97">
            <w:pPr>
              <w:keepNext/>
              <w:spacing w:after="0" w:line="240" w:lineRule="auto"/>
              <w:ind w:right="-63"/>
              <w:rPr>
                <w:rFonts w:asciiTheme="majorHAnsi" w:hAnsiTheme="majorHAnsi"/>
                <w:color w:val="000000"/>
              </w:rPr>
            </w:pPr>
            <w:r w:rsidRPr="00B47E54">
              <w:rPr>
                <w:rFonts w:asciiTheme="majorHAnsi" w:hAnsiTheme="majorHAnsi"/>
                <w:color w:val="000000"/>
              </w:rPr>
              <w:t>Asian</w:t>
            </w:r>
          </w:p>
        </w:tc>
        <w:tc>
          <w:tcPr>
            <w:tcW w:w="847" w:type="pct"/>
            <w:shd w:val="clear" w:color="auto" w:fill="FFFFFF"/>
            <w:tcMar>
              <w:top w:w="0" w:type="dxa"/>
              <w:left w:w="10" w:type="dxa"/>
              <w:bottom w:w="0" w:type="dxa"/>
              <w:right w:w="10" w:type="dxa"/>
            </w:tcMar>
          </w:tcPr>
          <w:p w14:paraId="66BE0F2E"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10</w:t>
            </w:r>
          </w:p>
        </w:tc>
        <w:tc>
          <w:tcPr>
            <w:tcW w:w="1984" w:type="pct"/>
            <w:shd w:val="clear" w:color="auto" w:fill="FFFFFF"/>
          </w:tcPr>
          <w:p w14:paraId="24595525"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1</w:t>
            </w:r>
          </w:p>
        </w:tc>
      </w:tr>
      <w:tr w:rsidR="00B47E54" w:rsidRPr="00B47E54" w14:paraId="54E68519" w14:textId="77777777" w:rsidTr="00D04679">
        <w:trPr>
          <w:cantSplit/>
          <w:jc w:val="center"/>
        </w:trPr>
        <w:tc>
          <w:tcPr>
            <w:tcW w:w="2169" w:type="pct"/>
            <w:shd w:val="clear" w:color="auto" w:fill="FFFFFF"/>
            <w:tcMar>
              <w:top w:w="0" w:type="dxa"/>
              <w:left w:w="10" w:type="dxa"/>
              <w:bottom w:w="0" w:type="dxa"/>
              <w:right w:w="10" w:type="dxa"/>
            </w:tcMar>
            <w:hideMark/>
          </w:tcPr>
          <w:p w14:paraId="0F4B07A6" w14:textId="77777777" w:rsidR="00B47E54" w:rsidRPr="00B47E54" w:rsidRDefault="00B47E54" w:rsidP="00A73D97">
            <w:pPr>
              <w:keepNext/>
              <w:spacing w:after="0" w:line="240" w:lineRule="auto"/>
              <w:ind w:right="-63"/>
              <w:rPr>
                <w:rFonts w:asciiTheme="majorHAnsi" w:hAnsiTheme="majorHAnsi"/>
                <w:color w:val="000000"/>
              </w:rPr>
            </w:pPr>
            <w:r w:rsidRPr="00B47E54">
              <w:rPr>
                <w:rFonts w:asciiTheme="majorHAnsi" w:hAnsiTheme="majorHAnsi"/>
                <w:color w:val="000000"/>
              </w:rPr>
              <w:t>Black or African American</w:t>
            </w:r>
          </w:p>
        </w:tc>
        <w:tc>
          <w:tcPr>
            <w:tcW w:w="847" w:type="pct"/>
            <w:shd w:val="clear" w:color="auto" w:fill="FFFFFF"/>
            <w:tcMar>
              <w:top w:w="0" w:type="dxa"/>
              <w:left w:w="10" w:type="dxa"/>
              <w:bottom w:w="0" w:type="dxa"/>
              <w:right w:w="10" w:type="dxa"/>
            </w:tcMar>
          </w:tcPr>
          <w:p w14:paraId="4C712BAB"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13</w:t>
            </w:r>
          </w:p>
        </w:tc>
        <w:tc>
          <w:tcPr>
            <w:tcW w:w="1984" w:type="pct"/>
            <w:shd w:val="clear" w:color="auto" w:fill="FFFFFF"/>
          </w:tcPr>
          <w:p w14:paraId="2CA51A16"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2</w:t>
            </w:r>
          </w:p>
        </w:tc>
      </w:tr>
      <w:tr w:rsidR="00B47E54" w:rsidRPr="00B47E54" w14:paraId="1BBAA459" w14:textId="77777777" w:rsidTr="00D04679">
        <w:trPr>
          <w:cantSplit/>
          <w:jc w:val="center"/>
        </w:trPr>
        <w:tc>
          <w:tcPr>
            <w:tcW w:w="2169" w:type="pct"/>
            <w:shd w:val="clear" w:color="auto" w:fill="FFFFFF"/>
            <w:tcMar>
              <w:top w:w="0" w:type="dxa"/>
              <w:left w:w="10" w:type="dxa"/>
              <w:bottom w:w="0" w:type="dxa"/>
              <w:right w:w="10" w:type="dxa"/>
            </w:tcMar>
            <w:hideMark/>
          </w:tcPr>
          <w:p w14:paraId="2A8CF862" w14:textId="77777777" w:rsidR="00B47E54" w:rsidRPr="00B47E54" w:rsidRDefault="00B47E54" w:rsidP="00A73D97">
            <w:pPr>
              <w:keepNext/>
              <w:spacing w:after="0" w:line="240" w:lineRule="auto"/>
              <w:ind w:right="-63"/>
              <w:rPr>
                <w:rFonts w:asciiTheme="majorHAnsi" w:hAnsiTheme="majorHAnsi"/>
                <w:color w:val="000000"/>
              </w:rPr>
            </w:pPr>
            <w:r w:rsidRPr="00B47E54">
              <w:rPr>
                <w:rFonts w:asciiTheme="majorHAnsi" w:hAnsiTheme="majorHAnsi"/>
                <w:color w:val="000000"/>
              </w:rPr>
              <w:t>Native Hawaiian or Other Pacific Islander</w:t>
            </w:r>
          </w:p>
        </w:tc>
        <w:tc>
          <w:tcPr>
            <w:tcW w:w="847" w:type="pct"/>
            <w:shd w:val="clear" w:color="auto" w:fill="FFFFFF"/>
            <w:tcMar>
              <w:top w:w="0" w:type="dxa"/>
              <w:left w:w="10" w:type="dxa"/>
              <w:bottom w:w="0" w:type="dxa"/>
              <w:right w:w="10" w:type="dxa"/>
            </w:tcMar>
          </w:tcPr>
          <w:p w14:paraId="7D219B71"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0</w:t>
            </w:r>
          </w:p>
        </w:tc>
        <w:tc>
          <w:tcPr>
            <w:tcW w:w="1984" w:type="pct"/>
            <w:shd w:val="clear" w:color="auto" w:fill="FFFFFF"/>
          </w:tcPr>
          <w:p w14:paraId="0D554812"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0</w:t>
            </w:r>
          </w:p>
        </w:tc>
      </w:tr>
      <w:tr w:rsidR="00B47E54" w:rsidRPr="00B47E54" w14:paraId="2C808FED" w14:textId="77777777" w:rsidTr="00D04679">
        <w:trPr>
          <w:cantSplit/>
          <w:jc w:val="center"/>
        </w:trPr>
        <w:tc>
          <w:tcPr>
            <w:tcW w:w="2169" w:type="pct"/>
            <w:shd w:val="clear" w:color="auto" w:fill="FFFFFF"/>
            <w:tcMar>
              <w:top w:w="0" w:type="dxa"/>
              <w:left w:w="10" w:type="dxa"/>
              <w:bottom w:w="0" w:type="dxa"/>
              <w:right w:w="10" w:type="dxa"/>
            </w:tcMar>
            <w:hideMark/>
          </w:tcPr>
          <w:p w14:paraId="623F9A96" w14:textId="77777777" w:rsidR="00B47E54" w:rsidRPr="00B47E54" w:rsidRDefault="00B47E54" w:rsidP="00A73D97">
            <w:pPr>
              <w:keepNext/>
              <w:spacing w:after="0" w:line="240" w:lineRule="auto"/>
              <w:ind w:right="-63"/>
              <w:rPr>
                <w:rFonts w:asciiTheme="majorHAnsi" w:hAnsiTheme="majorHAnsi"/>
                <w:color w:val="000000"/>
              </w:rPr>
            </w:pPr>
            <w:r w:rsidRPr="00B47E54">
              <w:rPr>
                <w:rFonts w:asciiTheme="majorHAnsi" w:hAnsiTheme="majorHAnsi"/>
                <w:color w:val="000000"/>
              </w:rPr>
              <w:t>White</w:t>
            </w:r>
          </w:p>
        </w:tc>
        <w:tc>
          <w:tcPr>
            <w:tcW w:w="847" w:type="pct"/>
            <w:shd w:val="clear" w:color="auto" w:fill="FFFFFF"/>
            <w:tcMar>
              <w:top w:w="0" w:type="dxa"/>
              <w:left w:w="10" w:type="dxa"/>
              <w:bottom w:w="0" w:type="dxa"/>
              <w:right w:w="10" w:type="dxa"/>
            </w:tcMar>
          </w:tcPr>
          <w:p w14:paraId="3D1A456F"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49</w:t>
            </w:r>
          </w:p>
        </w:tc>
        <w:tc>
          <w:tcPr>
            <w:tcW w:w="1984" w:type="pct"/>
            <w:shd w:val="clear" w:color="auto" w:fill="FFFFFF"/>
          </w:tcPr>
          <w:p w14:paraId="33E67E1B"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 xml:space="preserve">104 </w:t>
            </w:r>
            <w:r w:rsidRPr="00B47E54">
              <w:rPr>
                <w:rFonts w:asciiTheme="majorHAnsi" w:hAnsiTheme="majorHAnsi"/>
                <w:bCs/>
                <w:color w:val="000000"/>
              </w:rPr>
              <w:t>(11 with intense PK sampling)</w:t>
            </w:r>
          </w:p>
        </w:tc>
      </w:tr>
      <w:tr w:rsidR="00B47E54" w:rsidRPr="00B47E54" w14:paraId="7DB8F4B0" w14:textId="77777777" w:rsidTr="00D04679">
        <w:trPr>
          <w:cantSplit/>
          <w:jc w:val="center"/>
        </w:trPr>
        <w:tc>
          <w:tcPr>
            <w:tcW w:w="2169" w:type="pct"/>
            <w:tcBorders>
              <w:bottom w:val="single" w:sz="4" w:space="0" w:color="auto"/>
            </w:tcBorders>
            <w:shd w:val="clear" w:color="auto" w:fill="FFFFFF"/>
            <w:tcMar>
              <w:top w:w="0" w:type="dxa"/>
              <w:left w:w="10" w:type="dxa"/>
              <w:bottom w:w="0" w:type="dxa"/>
              <w:right w:w="10" w:type="dxa"/>
            </w:tcMar>
            <w:hideMark/>
          </w:tcPr>
          <w:p w14:paraId="5B1E40D3" w14:textId="77777777" w:rsidR="00B47E54" w:rsidRPr="00B47E54" w:rsidRDefault="00B47E54" w:rsidP="00A73D97">
            <w:pPr>
              <w:keepNext/>
              <w:spacing w:after="0" w:line="240" w:lineRule="auto"/>
              <w:ind w:right="-63"/>
              <w:rPr>
                <w:rFonts w:asciiTheme="majorHAnsi" w:hAnsiTheme="majorHAnsi"/>
                <w:color w:val="000000"/>
              </w:rPr>
            </w:pPr>
            <w:r w:rsidRPr="00B47E54">
              <w:rPr>
                <w:rFonts w:asciiTheme="majorHAnsi" w:hAnsiTheme="majorHAnsi"/>
                <w:color w:val="000000"/>
              </w:rPr>
              <w:t>Other/Multiple</w:t>
            </w:r>
          </w:p>
        </w:tc>
        <w:tc>
          <w:tcPr>
            <w:tcW w:w="847" w:type="pct"/>
            <w:tcBorders>
              <w:bottom w:val="single" w:sz="4" w:space="0" w:color="auto"/>
            </w:tcBorders>
            <w:shd w:val="clear" w:color="auto" w:fill="FFFFFF"/>
            <w:tcMar>
              <w:top w:w="0" w:type="dxa"/>
              <w:left w:w="10" w:type="dxa"/>
              <w:bottom w:w="0" w:type="dxa"/>
              <w:right w:w="10" w:type="dxa"/>
            </w:tcMar>
          </w:tcPr>
          <w:p w14:paraId="32A9D4AA"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1</w:t>
            </w:r>
          </w:p>
        </w:tc>
        <w:tc>
          <w:tcPr>
            <w:tcW w:w="1984" w:type="pct"/>
            <w:tcBorders>
              <w:bottom w:val="single" w:sz="4" w:space="0" w:color="auto"/>
            </w:tcBorders>
            <w:shd w:val="clear" w:color="auto" w:fill="FFFFFF"/>
          </w:tcPr>
          <w:p w14:paraId="38505AD2"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2</w:t>
            </w:r>
          </w:p>
        </w:tc>
      </w:tr>
      <w:tr w:rsidR="00B47E54" w:rsidRPr="00B47E54" w14:paraId="0C3CA6A1" w14:textId="77777777" w:rsidTr="00D04679">
        <w:trPr>
          <w:cantSplit/>
          <w:jc w:val="center"/>
        </w:trPr>
        <w:tc>
          <w:tcPr>
            <w:tcW w:w="2169" w:type="pct"/>
            <w:tcBorders>
              <w:top w:val="single" w:sz="4" w:space="0" w:color="auto"/>
            </w:tcBorders>
            <w:shd w:val="clear" w:color="auto" w:fill="FFFFFF"/>
            <w:tcMar>
              <w:top w:w="0" w:type="dxa"/>
              <w:left w:w="10" w:type="dxa"/>
              <w:bottom w:w="0" w:type="dxa"/>
              <w:right w:w="10" w:type="dxa"/>
            </w:tcMar>
          </w:tcPr>
          <w:p w14:paraId="3B90124D" w14:textId="77777777" w:rsidR="00B47E54" w:rsidRPr="00B47E54" w:rsidRDefault="00B47E54" w:rsidP="00A73D97">
            <w:pPr>
              <w:keepNext/>
              <w:spacing w:after="0" w:line="240" w:lineRule="auto"/>
              <w:ind w:right="-63"/>
              <w:rPr>
                <w:rFonts w:asciiTheme="majorHAnsi" w:hAnsiTheme="majorHAnsi"/>
                <w:color w:val="000000"/>
              </w:rPr>
            </w:pPr>
            <w:r w:rsidRPr="00B47E54">
              <w:rPr>
                <w:rFonts w:asciiTheme="majorHAnsi" w:hAnsiTheme="majorHAnsi"/>
                <w:color w:val="000000"/>
              </w:rPr>
              <w:t>Hispanic or Latino</w:t>
            </w:r>
          </w:p>
        </w:tc>
        <w:tc>
          <w:tcPr>
            <w:tcW w:w="847" w:type="pct"/>
            <w:tcBorders>
              <w:top w:val="single" w:sz="4" w:space="0" w:color="auto"/>
            </w:tcBorders>
            <w:shd w:val="clear" w:color="auto" w:fill="FFFFFF"/>
            <w:tcMar>
              <w:top w:w="0" w:type="dxa"/>
              <w:left w:w="10" w:type="dxa"/>
              <w:bottom w:w="0" w:type="dxa"/>
              <w:right w:w="10" w:type="dxa"/>
            </w:tcMar>
          </w:tcPr>
          <w:p w14:paraId="211AF24F"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23</w:t>
            </w:r>
          </w:p>
        </w:tc>
        <w:tc>
          <w:tcPr>
            <w:tcW w:w="1984" w:type="pct"/>
            <w:tcBorders>
              <w:top w:val="single" w:sz="4" w:space="0" w:color="auto"/>
            </w:tcBorders>
            <w:shd w:val="clear" w:color="auto" w:fill="FFFFFF"/>
          </w:tcPr>
          <w:p w14:paraId="21CE8E7A"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5</w:t>
            </w:r>
          </w:p>
        </w:tc>
      </w:tr>
      <w:tr w:rsidR="00B47E54" w:rsidRPr="00B47E54" w14:paraId="6E9A4AD3" w14:textId="77777777" w:rsidTr="00D04679">
        <w:trPr>
          <w:cantSplit/>
          <w:jc w:val="center"/>
        </w:trPr>
        <w:tc>
          <w:tcPr>
            <w:tcW w:w="2169" w:type="pct"/>
            <w:tcBorders>
              <w:bottom w:val="single" w:sz="4" w:space="0" w:color="auto"/>
            </w:tcBorders>
            <w:shd w:val="clear" w:color="auto" w:fill="FFFFFF"/>
            <w:tcMar>
              <w:top w:w="0" w:type="dxa"/>
              <w:left w:w="10" w:type="dxa"/>
              <w:bottom w:w="0" w:type="dxa"/>
              <w:right w:w="10" w:type="dxa"/>
            </w:tcMar>
          </w:tcPr>
          <w:p w14:paraId="0DD12CD5" w14:textId="77777777" w:rsidR="00B47E54" w:rsidRPr="00B47E54" w:rsidRDefault="00B47E54" w:rsidP="00A73D97">
            <w:pPr>
              <w:keepNext/>
              <w:spacing w:after="0" w:line="240" w:lineRule="auto"/>
              <w:ind w:right="-63"/>
              <w:rPr>
                <w:rFonts w:asciiTheme="majorHAnsi" w:hAnsiTheme="majorHAnsi"/>
                <w:color w:val="000000"/>
              </w:rPr>
            </w:pPr>
            <w:r w:rsidRPr="00B47E54">
              <w:rPr>
                <w:rFonts w:asciiTheme="majorHAnsi" w:hAnsiTheme="majorHAnsi"/>
                <w:color w:val="000000"/>
              </w:rPr>
              <w:t>Not Hispanic or Latino</w:t>
            </w:r>
          </w:p>
        </w:tc>
        <w:tc>
          <w:tcPr>
            <w:tcW w:w="847" w:type="pct"/>
            <w:tcBorders>
              <w:bottom w:val="single" w:sz="4" w:space="0" w:color="auto"/>
            </w:tcBorders>
            <w:shd w:val="clear" w:color="auto" w:fill="FFFFFF"/>
            <w:tcMar>
              <w:top w:w="0" w:type="dxa"/>
              <w:left w:w="10" w:type="dxa"/>
              <w:bottom w:w="0" w:type="dxa"/>
              <w:right w:w="10" w:type="dxa"/>
            </w:tcMar>
          </w:tcPr>
          <w:p w14:paraId="2CB19FA7"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50</w:t>
            </w:r>
          </w:p>
        </w:tc>
        <w:tc>
          <w:tcPr>
            <w:tcW w:w="1984" w:type="pct"/>
            <w:tcBorders>
              <w:bottom w:val="single" w:sz="4" w:space="0" w:color="auto"/>
            </w:tcBorders>
            <w:shd w:val="clear" w:color="auto" w:fill="FFFFFF"/>
          </w:tcPr>
          <w:p w14:paraId="35468CF4" w14:textId="77777777" w:rsidR="00B47E54" w:rsidRPr="00B47E54" w:rsidRDefault="00B47E54" w:rsidP="00A73D97">
            <w:pPr>
              <w:keepNext/>
              <w:spacing w:after="0" w:line="240" w:lineRule="auto"/>
              <w:ind w:right="-63"/>
              <w:jc w:val="center"/>
              <w:rPr>
                <w:rFonts w:asciiTheme="majorHAnsi" w:hAnsiTheme="majorHAnsi"/>
                <w:color w:val="000000"/>
              </w:rPr>
            </w:pPr>
            <w:r w:rsidRPr="00B47E54">
              <w:rPr>
                <w:rFonts w:asciiTheme="majorHAnsi" w:hAnsiTheme="majorHAnsi"/>
                <w:color w:val="000000"/>
              </w:rPr>
              <w:t>104</w:t>
            </w:r>
          </w:p>
        </w:tc>
      </w:tr>
    </w:tbl>
    <w:p w14:paraId="79845293" w14:textId="77777777" w:rsidR="00D83BB8" w:rsidRPr="00B47E54" w:rsidRDefault="00D83BB8" w:rsidP="00A73D97">
      <w:pPr>
        <w:pStyle w:val="Heading3"/>
        <w:spacing w:before="0" w:after="120" w:line="240" w:lineRule="auto"/>
        <w:ind w:left="0" w:right="-63"/>
        <w:rPr>
          <w:rFonts w:cstheme="minorHAnsi"/>
        </w:rPr>
      </w:pPr>
    </w:p>
    <w:p w14:paraId="6A2E0B97" w14:textId="65A2CBB4" w:rsidR="002C4189" w:rsidRPr="004C6325" w:rsidRDefault="00FB7D91" w:rsidP="00A73D97">
      <w:pPr>
        <w:pStyle w:val="Heading3"/>
        <w:spacing w:before="0" w:after="120"/>
        <w:ind w:left="0" w:right="-63"/>
        <w:rPr>
          <w:rFonts w:cstheme="minorHAnsi"/>
        </w:rPr>
      </w:pPr>
      <w:r w:rsidRPr="004C6325">
        <w:rPr>
          <w:rFonts w:cstheme="minorHAnsi"/>
        </w:rPr>
        <w:t>Absorption</w:t>
      </w:r>
      <w:r w:rsidR="00F93A39">
        <w:rPr>
          <w:rFonts w:cstheme="minorHAnsi"/>
        </w:rPr>
        <w:fldChar w:fldCharType="begin"/>
      </w:r>
      <w:r w:rsidR="00F93A39">
        <w:rPr>
          <w:rFonts w:cstheme="minorHAnsi"/>
        </w:rPr>
        <w:instrText xml:space="preserve"> DOCVARIABLE vault_nd_b7364292-0925-4e93-b002-e3d824029cb3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31373A77" w14:textId="77777777" w:rsidR="00855445" w:rsidRPr="00855445" w:rsidRDefault="00855445" w:rsidP="00A73D97">
      <w:pPr>
        <w:pStyle w:val="paragraph0"/>
        <w:ind w:right="-63"/>
        <w:textAlignment w:val="baseline"/>
        <w:rPr>
          <w:rFonts w:asciiTheme="majorHAnsi" w:hAnsiTheme="majorHAnsi"/>
          <w:color w:val="000000"/>
          <w:sz w:val="22"/>
          <w:szCs w:val="22"/>
        </w:rPr>
      </w:pPr>
      <w:r w:rsidRPr="00855445">
        <w:rPr>
          <w:rStyle w:val="normaltextrun1"/>
          <w:rFonts w:asciiTheme="majorHAnsi" w:hAnsiTheme="majorHAnsi"/>
          <w:sz w:val="22"/>
          <w:szCs w:val="22"/>
        </w:rPr>
        <w:t>Following subcutaneous dose administration, lonapegsomatropin</w:t>
      </w:r>
      <w:r w:rsidRPr="00855445">
        <w:rPr>
          <w:rStyle w:val="normaltextrun1"/>
          <w:rFonts w:asciiTheme="majorHAnsi" w:hAnsiTheme="majorHAnsi"/>
          <w:color w:val="000000"/>
          <w:sz w:val="22"/>
          <w:szCs w:val="22"/>
        </w:rPr>
        <w:t xml:space="preserve"> releases somatropin in a controlled manner that follows first</w:t>
      </w:r>
      <w:r w:rsidRPr="00855445">
        <w:rPr>
          <w:rStyle w:val="normaltextrun1"/>
          <w:rFonts w:asciiTheme="majorHAnsi" w:hAnsiTheme="majorHAnsi"/>
          <w:color w:val="000000"/>
          <w:sz w:val="22"/>
          <w:szCs w:val="22"/>
        </w:rPr>
        <w:noBreakHyphen/>
        <w:t>order kinetics.</w:t>
      </w:r>
      <w:r w:rsidRPr="00855445">
        <w:rPr>
          <w:rStyle w:val="eop"/>
          <w:rFonts w:asciiTheme="majorHAnsi" w:hAnsiTheme="majorHAnsi"/>
          <w:color w:val="000000"/>
          <w:sz w:val="22"/>
          <w:szCs w:val="22"/>
        </w:rPr>
        <w:t> </w:t>
      </w:r>
    </w:p>
    <w:p w14:paraId="2ECAAAE4" w14:textId="77777777" w:rsidR="00855445" w:rsidRPr="00855445" w:rsidRDefault="00855445" w:rsidP="00A73D97">
      <w:pPr>
        <w:pStyle w:val="paragraph0"/>
        <w:ind w:right="-63"/>
        <w:textAlignment w:val="baseline"/>
        <w:rPr>
          <w:rFonts w:asciiTheme="majorHAnsi" w:hAnsiTheme="majorHAnsi"/>
          <w:color w:val="000000"/>
          <w:sz w:val="22"/>
          <w:szCs w:val="22"/>
        </w:rPr>
      </w:pPr>
    </w:p>
    <w:p w14:paraId="300AC77E" w14:textId="77777777" w:rsidR="00855445" w:rsidRPr="00855445" w:rsidRDefault="00855445" w:rsidP="00A73D97">
      <w:pPr>
        <w:pStyle w:val="paragraph0"/>
        <w:ind w:right="-63"/>
        <w:textAlignment w:val="baseline"/>
        <w:rPr>
          <w:rStyle w:val="eop"/>
          <w:rFonts w:asciiTheme="majorHAnsi" w:hAnsiTheme="majorHAnsi"/>
          <w:color w:val="000000"/>
          <w:sz w:val="22"/>
          <w:szCs w:val="22"/>
        </w:rPr>
      </w:pPr>
      <w:r w:rsidRPr="00855445">
        <w:rPr>
          <w:rStyle w:val="normaltextrun1"/>
          <w:rFonts w:asciiTheme="majorHAnsi" w:hAnsiTheme="majorHAnsi"/>
          <w:sz w:val="22"/>
          <w:szCs w:val="22"/>
        </w:rPr>
        <w:t>In paediatric GHD patients, following subcutaneous dose administration of lonapegsomatropin 0.24 mg somatropin/kg/week, the observed mean (</w:t>
      </w:r>
      <w:r w:rsidRPr="00855445">
        <w:rPr>
          <w:rFonts w:asciiTheme="majorHAnsi" w:hAnsiTheme="majorHAnsi"/>
          <w:sz w:val="22"/>
          <w:szCs w:val="22"/>
        </w:rPr>
        <w:t>CV%</w:t>
      </w:r>
      <w:r w:rsidRPr="00855445">
        <w:rPr>
          <w:rStyle w:val="normaltextrun1"/>
          <w:rFonts w:asciiTheme="majorHAnsi" w:hAnsiTheme="majorHAnsi"/>
          <w:sz w:val="22"/>
          <w:szCs w:val="22"/>
        </w:rPr>
        <w:t>) steady state peak serum concentration (</w:t>
      </w:r>
      <w:proofErr w:type="spellStart"/>
      <w:r w:rsidRPr="00855445">
        <w:rPr>
          <w:rStyle w:val="normaltextrun1"/>
          <w:rFonts w:asciiTheme="majorHAnsi" w:hAnsiTheme="majorHAnsi"/>
          <w:sz w:val="22"/>
          <w:szCs w:val="22"/>
        </w:rPr>
        <w:t>C</w:t>
      </w:r>
      <w:r w:rsidRPr="00855445">
        <w:rPr>
          <w:rStyle w:val="normaltextrun1"/>
          <w:rFonts w:asciiTheme="majorHAnsi" w:hAnsiTheme="majorHAnsi"/>
          <w:sz w:val="22"/>
          <w:szCs w:val="22"/>
          <w:vertAlign w:val="subscript"/>
        </w:rPr>
        <w:t>max</w:t>
      </w:r>
      <w:proofErr w:type="spellEnd"/>
      <w:r w:rsidRPr="00855445">
        <w:rPr>
          <w:rStyle w:val="normaltextrun1"/>
          <w:rFonts w:asciiTheme="majorHAnsi" w:hAnsiTheme="majorHAnsi"/>
          <w:sz w:val="22"/>
          <w:szCs w:val="22"/>
        </w:rPr>
        <w:t>) of lonapegsomatropin was </w:t>
      </w:r>
      <w:r w:rsidRPr="00855445">
        <w:rPr>
          <w:rFonts w:asciiTheme="majorHAnsi" w:hAnsiTheme="majorHAnsi"/>
          <w:sz w:val="22"/>
          <w:szCs w:val="22"/>
        </w:rPr>
        <w:t>1230 (86.3) </w:t>
      </w:r>
      <w:r w:rsidRPr="00855445">
        <w:rPr>
          <w:rStyle w:val="normaltextrun1"/>
          <w:rFonts w:asciiTheme="majorHAnsi" w:hAnsiTheme="majorHAnsi"/>
          <w:sz w:val="22"/>
          <w:szCs w:val="22"/>
        </w:rPr>
        <w:t xml:space="preserve">ng somatropin/mL at median </w:t>
      </w:r>
      <w:proofErr w:type="spellStart"/>
      <w:r w:rsidRPr="00855445">
        <w:rPr>
          <w:rStyle w:val="normaltextrun1"/>
          <w:rFonts w:asciiTheme="majorHAnsi" w:hAnsiTheme="majorHAnsi"/>
          <w:sz w:val="22"/>
          <w:szCs w:val="22"/>
        </w:rPr>
        <w:t>T</w:t>
      </w:r>
      <w:r w:rsidRPr="00855445">
        <w:rPr>
          <w:rStyle w:val="normaltextrun1"/>
          <w:rFonts w:asciiTheme="majorHAnsi" w:hAnsiTheme="majorHAnsi"/>
          <w:sz w:val="22"/>
          <w:szCs w:val="22"/>
          <w:vertAlign w:val="subscript"/>
        </w:rPr>
        <w:t>max</w:t>
      </w:r>
      <w:proofErr w:type="spellEnd"/>
      <w:r w:rsidRPr="00855445">
        <w:rPr>
          <w:rStyle w:val="normaltextrun1"/>
          <w:rFonts w:asciiTheme="majorHAnsi" w:hAnsiTheme="majorHAnsi"/>
          <w:sz w:val="22"/>
          <w:szCs w:val="22"/>
        </w:rPr>
        <w:t xml:space="preserve"> of 25 hours, and for released somatropin </w:t>
      </w:r>
      <w:proofErr w:type="spellStart"/>
      <w:r w:rsidRPr="00855445">
        <w:rPr>
          <w:rStyle w:val="normaltextrun1"/>
          <w:rFonts w:asciiTheme="majorHAnsi" w:hAnsiTheme="majorHAnsi"/>
          <w:sz w:val="22"/>
          <w:szCs w:val="22"/>
        </w:rPr>
        <w:t>C</w:t>
      </w:r>
      <w:r w:rsidRPr="00855445">
        <w:rPr>
          <w:rStyle w:val="normaltextrun1"/>
          <w:rFonts w:asciiTheme="majorHAnsi" w:hAnsiTheme="majorHAnsi"/>
          <w:sz w:val="22"/>
          <w:szCs w:val="22"/>
          <w:vertAlign w:val="subscript"/>
        </w:rPr>
        <w:t>max</w:t>
      </w:r>
      <w:proofErr w:type="spellEnd"/>
      <w:r w:rsidRPr="00855445">
        <w:rPr>
          <w:rStyle w:val="normaltextrun1"/>
          <w:rFonts w:asciiTheme="majorHAnsi" w:hAnsiTheme="majorHAnsi"/>
          <w:sz w:val="22"/>
          <w:szCs w:val="22"/>
        </w:rPr>
        <w:t xml:space="preserve"> was </w:t>
      </w:r>
      <w:r w:rsidRPr="00855445">
        <w:rPr>
          <w:rFonts w:asciiTheme="majorHAnsi" w:hAnsiTheme="majorHAnsi"/>
          <w:sz w:val="22"/>
          <w:szCs w:val="22"/>
        </w:rPr>
        <w:t>15.2 (83.4) </w:t>
      </w:r>
      <w:r w:rsidRPr="00855445">
        <w:rPr>
          <w:rStyle w:val="normaltextrun1"/>
          <w:rFonts w:asciiTheme="majorHAnsi" w:hAnsiTheme="majorHAnsi"/>
          <w:sz w:val="22"/>
          <w:szCs w:val="22"/>
        </w:rPr>
        <w:t xml:space="preserve">ng/mL with a median time to reach </w:t>
      </w:r>
      <w:proofErr w:type="spellStart"/>
      <w:r w:rsidRPr="00855445">
        <w:rPr>
          <w:rStyle w:val="normaltextrun1"/>
          <w:rFonts w:asciiTheme="majorHAnsi" w:hAnsiTheme="majorHAnsi"/>
          <w:sz w:val="22"/>
          <w:szCs w:val="22"/>
        </w:rPr>
        <w:t>C</w:t>
      </w:r>
      <w:r w:rsidRPr="00855445">
        <w:rPr>
          <w:rStyle w:val="normaltextrun1"/>
          <w:rFonts w:asciiTheme="majorHAnsi" w:hAnsiTheme="majorHAnsi"/>
          <w:sz w:val="22"/>
          <w:szCs w:val="22"/>
          <w:vertAlign w:val="subscript"/>
        </w:rPr>
        <w:t>max</w:t>
      </w:r>
      <w:proofErr w:type="spellEnd"/>
      <w:r w:rsidRPr="00855445">
        <w:rPr>
          <w:rStyle w:val="normaltextrun1"/>
          <w:rFonts w:asciiTheme="majorHAnsi" w:hAnsiTheme="majorHAnsi"/>
          <w:sz w:val="22"/>
          <w:szCs w:val="22"/>
        </w:rPr>
        <w:t xml:space="preserve"> of 12 hours. </w:t>
      </w:r>
      <w:r w:rsidRPr="00855445">
        <w:rPr>
          <w:rFonts w:asciiTheme="majorHAnsi" w:hAnsiTheme="majorHAnsi"/>
          <w:sz w:val="22"/>
          <w:szCs w:val="22"/>
        </w:rPr>
        <w:t>The mean (CV%) somatropin exposure over the one</w:t>
      </w:r>
      <w:r w:rsidRPr="00855445">
        <w:rPr>
          <w:rFonts w:asciiTheme="majorHAnsi" w:hAnsiTheme="majorHAnsi"/>
          <w:sz w:val="22"/>
          <w:szCs w:val="22"/>
        </w:rPr>
        <w:noBreakHyphen/>
        <w:t>week dose interval (area under the curve) was 500 (83.8) h*ng/</w:t>
      </w:r>
      <w:proofErr w:type="spellStart"/>
      <w:r w:rsidRPr="00855445">
        <w:rPr>
          <w:rFonts w:asciiTheme="majorHAnsi" w:hAnsiTheme="majorHAnsi"/>
          <w:sz w:val="22"/>
          <w:szCs w:val="22"/>
        </w:rPr>
        <w:t>mL.</w:t>
      </w:r>
      <w:proofErr w:type="spellEnd"/>
      <w:r w:rsidRPr="00855445">
        <w:rPr>
          <w:rFonts w:asciiTheme="majorHAnsi" w:hAnsiTheme="majorHAnsi"/>
          <w:sz w:val="22"/>
          <w:szCs w:val="22"/>
        </w:rPr>
        <w:t xml:space="preserve"> </w:t>
      </w:r>
      <w:r w:rsidRPr="00855445">
        <w:rPr>
          <w:rStyle w:val="normaltextrun1"/>
          <w:rFonts w:asciiTheme="majorHAnsi" w:hAnsiTheme="majorHAnsi"/>
          <w:sz w:val="22"/>
          <w:szCs w:val="22"/>
        </w:rPr>
        <w:t>Accumulation of lonapegsomatropin or somatropin following repeat dose administration was not observed.</w:t>
      </w:r>
    </w:p>
    <w:p w14:paraId="2893FE5F" w14:textId="77777777" w:rsidR="00855445" w:rsidRPr="00855445" w:rsidRDefault="00855445" w:rsidP="00A73D97">
      <w:pPr>
        <w:pStyle w:val="paragraph0"/>
        <w:ind w:right="-63"/>
        <w:textAlignment w:val="baseline"/>
        <w:rPr>
          <w:rStyle w:val="eop"/>
          <w:rFonts w:asciiTheme="majorHAnsi" w:hAnsiTheme="majorHAnsi"/>
          <w:color w:val="000000"/>
          <w:sz w:val="22"/>
          <w:szCs w:val="22"/>
        </w:rPr>
      </w:pPr>
    </w:p>
    <w:p w14:paraId="509254EF" w14:textId="77777777" w:rsidR="00855445" w:rsidRPr="00855445" w:rsidRDefault="00855445" w:rsidP="00A73D97">
      <w:pPr>
        <w:pStyle w:val="paragraph0"/>
        <w:ind w:right="-63"/>
        <w:textAlignment w:val="baseline"/>
        <w:rPr>
          <w:rStyle w:val="eop"/>
          <w:rFonts w:asciiTheme="majorHAnsi" w:hAnsiTheme="majorHAnsi"/>
          <w:color w:val="000000"/>
          <w:sz w:val="22"/>
          <w:szCs w:val="22"/>
        </w:rPr>
      </w:pPr>
      <w:r w:rsidRPr="00855445">
        <w:rPr>
          <w:rStyle w:val="eop"/>
          <w:rFonts w:asciiTheme="majorHAnsi" w:hAnsiTheme="majorHAnsi"/>
          <w:color w:val="000000"/>
          <w:sz w:val="22"/>
          <w:szCs w:val="22"/>
        </w:rPr>
        <w:t xml:space="preserve">In paediatric GHD patients, injections were rotated between the abdomen, buttock, and thigh. No apparent association of administration site with somatropin exposure was observed. </w:t>
      </w:r>
    </w:p>
    <w:p w14:paraId="18D1272C" w14:textId="77777777" w:rsidR="00855445" w:rsidRPr="00855445" w:rsidRDefault="00855445" w:rsidP="00A73D97">
      <w:pPr>
        <w:pStyle w:val="paragraph0"/>
        <w:ind w:right="-63"/>
        <w:textAlignment w:val="baseline"/>
        <w:rPr>
          <w:rStyle w:val="eop"/>
          <w:rFonts w:asciiTheme="majorHAnsi" w:hAnsiTheme="majorHAnsi"/>
          <w:color w:val="000000"/>
          <w:sz w:val="22"/>
          <w:szCs w:val="22"/>
        </w:rPr>
      </w:pPr>
    </w:p>
    <w:p w14:paraId="2AD88E5D" w14:textId="77777777" w:rsidR="00855445" w:rsidRPr="00855445" w:rsidRDefault="00855445" w:rsidP="00A73D97">
      <w:pPr>
        <w:pStyle w:val="paragraph0"/>
        <w:ind w:right="-63"/>
        <w:textAlignment w:val="baseline"/>
        <w:rPr>
          <w:rStyle w:val="eop"/>
          <w:rFonts w:asciiTheme="majorHAnsi" w:hAnsiTheme="majorHAnsi"/>
          <w:color w:val="000000"/>
          <w:sz w:val="22"/>
          <w:szCs w:val="22"/>
        </w:rPr>
      </w:pPr>
      <w:r w:rsidRPr="00855445">
        <w:rPr>
          <w:rStyle w:val="eop"/>
          <w:rFonts w:asciiTheme="majorHAnsi" w:hAnsiTheme="majorHAnsi"/>
          <w:color w:val="000000"/>
          <w:sz w:val="22"/>
          <w:szCs w:val="22"/>
        </w:rPr>
        <w:t>The absolute bioavailability of lonapegsomatropin following subcutaneous dose administration has not been investigated.</w:t>
      </w:r>
    </w:p>
    <w:p w14:paraId="650A44D5" w14:textId="77777777" w:rsidR="00855445" w:rsidRPr="00855445" w:rsidRDefault="00855445" w:rsidP="00A73D97">
      <w:pPr>
        <w:pStyle w:val="paragraph0"/>
        <w:ind w:right="-63"/>
        <w:textAlignment w:val="baseline"/>
        <w:rPr>
          <w:rStyle w:val="eop"/>
          <w:rFonts w:asciiTheme="majorHAnsi" w:hAnsiTheme="majorHAnsi"/>
          <w:color w:val="000000"/>
          <w:sz w:val="22"/>
          <w:szCs w:val="22"/>
        </w:rPr>
      </w:pPr>
    </w:p>
    <w:p w14:paraId="500FC96F" w14:textId="3B59DB6B" w:rsidR="002C4189" w:rsidRPr="004C6325" w:rsidRDefault="00FB7D91" w:rsidP="00A73D97">
      <w:pPr>
        <w:pStyle w:val="Heading3"/>
        <w:spacing w:before="0" w:after="120"/>
        <w:ind w:left="0" w:right="-63"/>
        <w:rPr>
          <w:rFonts w:cstheme="minorHAnsi"/>
        </w:rPr>
      </w:pPr>
      <w:r w:rsidRPr="004C6325">
        <w:rPr>
          <w:rFonts w:cstheme="minorHAnsi"/>
        </w:rPr>
        <w:t>Distribution</w:t>
      </w:r>
      <w:r w:rsidR="00F93A39">
        <w:rPr>
          <w:rFonts w:cstheme="minorHAnsi"/>
        </w:rPr>
        <w:fldChar w:fldCharType="begin"/>
      </w:r>
      <w:r w:rsidR="00F93A39">
        <w:rPr>
          <w:rFonts w:cstheme="minorHAnsi"/>
        </w:rPr>
        <w:instrText xml:space="preserve"> DOCVARIABLE vault_nd_edd11149-b1a0-4c72-86f5-bd6d237325d4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5CB75066" w14:textId="77777777" w:rsidR="00C5637C" w:rsidRPr="00FF46B0" w:rsidRDefault="00C5637C" w:rsidP="00A73D97">
      <w:pPr>
        <w:pStyle w:val="CommentText"/>
        <w:ind w:right="-63"/>
        <w:rPr>
          <w:rStyle w:val="normaltextrun1"/>
          <w:sz w:val="22"/>
          <w:szCs w:val="22"/>
        </w:rPr>
      </w:pPr>
      <w:r w:rsidRPr="00FF46B0">
        <w:rPr>
          <w:rStyle w:val="normaltextrun1"/>
          <w:sz w:val="22"/>
          <w:szCs w:val="22"/>
        </w:rPr>
        <w:t>In paediatric GHD patients, the mean (CV%) steady state apparent volume of distribution of lonapegsomatropin after subcutaneous administration of 0.24 mg somatropin/kg/week was 0.13 (109) L/kg. Somatropin released from lonapegsomatropin is expected to have a similar volume of distribution as endogenous growth hormone.</w:t>
      </w:r>
    </w:p>
    <w:p w14:paraId="51092DC6" w14:textId="282C66FD" w:rsidR="002C4189" w:rsidRPr="004C6325" w:rsidRDefault="00FB7D91" w:rsidP="00A73D97">
      <w:pPr>
        <w:pStyle w:val="Heading3"/>
        <w:spacing w:before="0" w:after="120"/>
        <w:ind w:left="0" w:right="-63"/>
        <w:rPr>
          <w:rFonts w:cstheme="minorHAnsi"/>
        </w:rPr>
      </w:pPr>
      <w:r w:rsidRPr="004C6325">
        <w:rPr>
          <w:rFonts w:cstheme="minorHAnsi"/>
        </w:rPr>
        <w:t>Metabolism</w:t>
      </w:r>
      <w:r w:rsidR="00F93A39">
        <w:rPr>
          <w:rFonts w:cstheme="minorHAnsi"/>
        </w:rPr>
        <w:fldChar w:fldCharType="begin"/>
      </w:r>
      <w:r w:rsidR="00F93A39">
        <w:rPr>
          <w:rFonts w:cstheme="minorHAnsi"/>
        </w:rPr>
        <w:instrText xml:space="preserve"> DOCVARIABLE vault_nd_4190d91e-930b-4311-a171-336fa4c7940f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2E4679A8" w14:textId="77777777" w:rsidR="008C7C28" w:rsidRPr="00C03B39" w:rsidRDefault="008C7C28" w:rsidP="00A73D97">
      <w:pPr>
        <w:pStyle w:val="paragraph0"/>
        <w:ind w:right="-63"/>
        <w:textAlignment w:val="baseline"/>
        <w:rPr>
          <w:rStyle w:val="normaltextrun1"/>
          <w:rFonts w:asciiTheme="majorHAnsi" w:hAnsiTheme="majorHAnsi"/>
          <w:sz w:val="22"/>
          <w:szCs w:val="22"/>
        </w:rPr>
      </w:pPr>
      <w:r w:rsidRPr="00C03B39">
        <w:rPr>
          <w:rStyle w:val="normaltextrun1"/>
          <w:rFonts w:asciiTheme="majorHAnsi" w:hAnsiTheme="majorHAnsi"/>
          <w:sz w:val="22"/>
          <w:szCs w:val="22"/>
        </w:rPr>
        <w:t>The metabolic fate of somatropin involves protein catabolism in both the liver and kidneys.</w:t>
      </w:r>
    </w:p>
    <w:p w14:paraId="682DDA92" w14:textId="6B7623C0" w:rsidR="002C4189" w:rsidRPr="008C7C28" w:rsidRDefault="00FB7D91" w:rsidP="00A73D97">
      <w:pPr>
        <w:pStyle w:val="paragraph0"/>
        <w:ind w:right="-63"/>
        <w:textAlignment w:val="baseline"/>
        <w:rPr>
          <w:color w:val="000000"/>
          <w:sz w:val="22"/>
          <w:szCs w:val="22"/>
        </w:rPr>
      </w:pPr>
      <w:r w:rsidRPr="003B4282">
        <w:rPr>
          <w:rFonts w:asciiTheme="majorHAnsi" w:hAnsiTheme="majorHAnsi" w:cstheme="minorHAnsi"/>
        </w:rPr>
        <w:t xml:space="preserve"> </w:t>
      </w:r>
    </w:p>
    <w:p w14:paraId="4227047B" w14:textId="099D4B41" w:rsidR="002C4189" w:rsidRPr="006D5A55" w:rsidRDefault="00FB7D91" w:rsidP="00A73D97">
      <w:pPr>
        <w:pStyle w:val="Heading3"/>
        <w:spacing w:before="0" w:after="120"/>
        <w:ind w:left="0" w:right="-63"/>
        <w:rPr>
          <w:rFonts w:cstheme="minorHAnsi"/>
        </w:rPr>
      </w:pPr>
      <w:r w:rsidRPr="006D5A55">
        <w:rPr>
          <w:rFonts w:cstheme="minorHAnsi"/>
        </w:rPr>
        <w:lastRenderedPageBreak/>
        <w:t>Excretion</w:t>
      </w:r>
      <w:r w:rsidR="00F93A39">
        <w:rPr>
          <w:rFonts w:cstheme="minorHAnsi"/>
        </w:rPr>
        <w:fldChar w:fldCharType="begin"/>
      </w:r>
      <w:r w:rsidR="00F93A39">
        <w:rPr>
          <w:rFonts w:cstheme="minorHAnsi"/>
        </w:rPr>
        <w:instrText xml:space="preserve"> DOCVARIABLE vault_nd_f5861707-9400-4746-a900-05403c19d608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60A51B7C" w14:textId="77777777" w:rsidR="00C03B39" w:rsidRPr="00C03B39" w:rsidRDefault="00C03B39" w:rsidP="00A73D97">
      <w:pPr>
        <w:keepNext/>
        <w:keepLines/>
        <w:spacing w:line="240" w:lineRule="auto"/>
        <w:ind w:right="-63"/>
        <w:rPr>
          <w:rFonts w:asciiTheme="majorHAnsi" w:hAnsiTheme="majorHAnsi"/>
        </w:rPr>
      </w:pPr>
      <w:r w:rsidRPr="00C03B39">
        <w:rPr>
          <w:rStyle w:val="normaltextrun1"/>
          <w:rFonts w:asciiTheme="majorHAnsi" w:hAnsiTheme="majorHAnsi"/>
        </w:rPr>
        <w:t>In paediatric GHD patients, the mean (</w:t>
      </w:r>
      <w:r w:rsidRPr="00C03B39">
        <w:rPr>
          <w:rFonts w:asciiTheme="majorHAnsi" w:hAnsiTheme="majorHAnsi"/>
        </w:rPr>
        <w:t>CV%</w:t>
      </w:r>
      <w:r w:rsidRPr="00C03B39">
        <w:rPr>
          <w:rStyle w:val="normaltextrun1"/>
          <w:rFonts w:asciiTheme="majorHAnsi" w:hAnsiTheme="majorHAnsi"/>
        </w:rPr>
        <w:t>) steady state apparent clearance of lonapegsomatropin after subcutaneous administration of 0.24 mg somatropin/kg/week was </w:t>
      </w:r>
      <w:r w:rsidRPr="00C03B39">
        <w:rPr>
          <w:rFonts w:asciiTheme="majorHAnsi" w:hAnsiTheme="majorHAnsi"/>
        </w:rPr>
        <w:t>3.2 (67) </w:t>
      </w:r>
      <w:r w:rsidRPr="00C03B39">
        <w:rPr>
          <w:rStyle w:val="normaltextrun1"/>
          <w:rFonts w:asciiTheme="majorHAnsi" w:hAnsiTheme="majorHAnsi"/>
        </w:rPr>
        <w:t>mL/h/kg with a mean (±SD) observed half</w:t>
      </w:r>
      <w:r w:rsidRPr="00C03B39">
        <w:rPr>
          <w:rStyle w:val="normaltextrun1"/>
          <w:rFonts w:asciiTheme="majorHAnsi" w:hAnsiTheme="majorHAnsi"/>
        </w:rPr>
        <w:noBreakHyphen/>
        <w:t xml:space="preserve">life of 30.7 (± 12.7) hours. </w:t>
      </w:r>
      <w:r w:rsidRPr="00C03B39">
        <w:rPr>
          <w:rFonts w:asciiTheme="majorHAnsi" w:hAnsiTheme="majorHAnsi"/>
        </w:rPr>
        <w:t>The apparent half</w:t>
      </w:r>
      <w:r w:rsidRPr="00C03B39">
        <w:rPr>
          <w:rFonts w:asciiTheme="majorHAnsi" w:hAnsiTheme="majorHAnsi"/>
        </w:rPr>
        <w:noBreakHyphen/>
        <w:t>life of somatropin released from lonapegsomatropin was approximately 25 hours.</w:t>
      </w:r>
    </w:p>
    <w:p w14:paraId="17F33AA0" w14:textId="25495515" w:rsidR="002C4189" w:rsidRPr="004C6325" w:rsidRDefault="00FB7D91" w:rsidP="00A73D97">
      <w:pPr>
        <w:pStyle w:val="Heading3"/>
        <w:spacing w:before="0" w:after="120"/>
        <w:ind w:left="0" w:right="-63"/>
      </w:pPr>
      <w:bookmarkStart w:id="9" w:name="_Hlk26177172"/>
      <w:r w:rsidRPr="004C6325">
        <w:rPr>
          <w:rFonts w:cstheme="minorHAnsi"/>
        </w:rPr>
        <w:t>Pharmacokinetics in special patient populations</w:t>
      </w:r>
      <w:bookmarkStart w:id="10" w:name="_Hlk25588425"/>
      <w:r w:rsidR="00F93A39">
        <w:rPr>
          <w:rFonts w:cstheme="minorHAnsi"/>
        </w:rPr>
        <w:fldChar w:fldCharType="begin"/>
      </w:r>
      <w:r w:rsidR="00F93A39">
        <w:rPr>
          <w:rFonts w:cstheme="minorHAnsi"/>
        </w:rPr>
        <w:instrText xml:space="preserve"> DOCVARIABLE vault_nd_60c351e0-f617-4e19-ac36-fc6e3aa9490b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bookmarkEnd w:id="9"/>
    <w:bookmarkEnd w:id="10"/>
    <w:p w14:paraId="6956ADEE" w14:textId="77777777" w:rsidR="00C260F8" w:rsidRPr="00C260F8" w:rsidRDefault="00C260F8" w:rsidP="00A73D97">
      <w:pPr>
        <w:pStyle w:val="paragraph0"/>
        <w:ind w:right="-63"/>
        <w:textAlignment w:val="baseline"/>
        <w:rPr>
          <w:rStyle w:val="normaltextrun1"/>
          <w:rFonts w:asciiTheme="majorHAnsi" w:hAnsiTheme="majorHAnsi"/>
          <w:sz w:val="22"/>
          <w:szCs w:val="22"/>
        </w:rPr>
      </w:pPr>
      <w:r w:rsidRPr="00C260F8">
        <w:rPr>
          <w:rStyle w:val="normaltextrun1"/>
          <w:rFonts w:asciiTheme="majorHAnsi" w:hAnsiTheme="majorHAnsi"/>
          <w:sz w:val="22"/>
          <w:szCs w:val="22"/>
        </w:rPr>
        <w:t>No sex</w:t>
      </w:r>
      <w:r w:rsidRPr="00C260F8">
        <w:rPr>
          <w:rStyle w:val="normaltextrun1"/>
          <w:rFonts w:asciiTheme="majorHAnsi" w:hAnsiTheme="majorHAnsi"/>
          <w:sz w:val="22"/>
          <w:szCs w:val="22"/>
        </w:rPr>
        <w:noBreakHyphen/>
        <w:t>specific pharmacokinetic studies have been done with lonapegsomatropin. The available literature indicates that the pharmacokinetics of somatropin is similar in males and females.</w:t>
      </w:r>
    </w:p>
    <w:p w14:paraId="3D5B683D" w14:textId="77777777" w:rsidR="00C260F8" w:rsidRPr="00C260F8" w:rsidRDefault="00C260F8" w:rsidP="00A73D97">
      <w:pPr>
        <w:pStyle w:val="paragraph0"/>
        <w:ind w:right="-63"/>
        <w:textAlignment w:val="baseline"/>
        <w:rPr>
          <w:rStyle w:val="normaltextrun1"/>
          <w:rFonts w:asciiTheme="majorHAnsi" w:hAnsiTheme="majorHAnsi"/>
          <w:sz w:val="22"/>
          <w:szCs w:val="22"/>
        </w:rPr>
      </w:pPr>
    </w:p>
    <w:p w14:paraId="76BAD1C3" w14:textId="77777777" w:rsidR="00C260F8" w:rsidRPr="00C260F8" w:rsidRDefault="00C260F8" w:rsidP="00A73D97">
      <w:pPr>
        <w:pStyle w:val="paragraph0"/>
        <w:ind w:right="-63"/>
        <w:textAlignment w:val="baseline"/>
        <w:rPr>
          <w:rStyle w:val="normaltextrun1"/>
          <w:rFonts w:asciiTheme="majorHAnsi" w:hAnsiTheme="majorHAnsi"/>
          <w:i/>
          <w:iCs/>
          <w:sz w:val="22"/>
          <w:szCs w:val="22"/>
        </w:rPr>
      </w:pPr>
      <w:r w:rsidRPr="00C260F8">
        <w:rPr>
          <w:rStyle w:val="normaltextrun1"/>
          <w:rFonts w:asciiTheme="majorHAnsi" w:hAnsiTheme="majorHAnsi"/>
          <w:sz w:val="22"/>
          <w:szCs w:val="22"/>
        </w:rPr>
        <w:t>Based on a population pharmacokinetic analysis, age, sex, race/ethnicity, and body weight do not have a clinically meaningful effect on the pharmacokinetics</w:t>
      </w:r>
      <w:r w:rsidRPr="00C260F8">
        <w:rPr>
          <w:rStyle w:val="normaltextrun1"/>
          <w:rFonts w:asciiTheme="majorHAnsi" w:hAnsiTheme="majorHAnsi"/>
          <w:i/>
          <w:iCs/>
          <w:sz w:val="22"/>
          <w:szCs w:val="22"/>
        </w:rPr>
        <w:t>.</w:t>
      </w:r>
    </w:p>
    <w:p w14:paraId="780E0B5D" w14:textId="77777777" w:rsidR="00C260F8" w:rsidRPr="00C260F8" w:rsidRDefault="00C260F8" w:rsidP="00A73D97">
      <w:pPr>
        <w:pStyle w:val="paragraph0"/>
        <w:ind w:right="-63"/>
        <w:textAlignment w:val="baseline"/>
        <w:rPr>
          <w:rStyle w:val="normaltextrun1"/>
          <w:rFonts w:asciiTheme="majorHAnsi" w:hAnsiTheme="majorHAnsi"/>
          <w:sz w:val="22"/>
          <w:szCs w:val="22"/>
        </w:rPr>
      </w:pPr>
    </w:p>
    <w:p w14:paraId="4DD6F3C8" w14:textId="77777777" w:rsidR="00C260F8" w:rsidRPr="00C260F8" w:rsidRDefault="00C260F8" w:rsidP="00A73D97">
      <w:pPr>
        <w:pStyle w:val="paragraph0"/>
        <w:keepNext/>
        <w:keepLines/>
        <w:ind w:right="-63"/>
        <w:textAlignment w:val="baseline"/>
        <w:rPr>
          <w:rStyle w:val="normaltextrun1"/>
          <w:rFonts w:asciiTheme="majorHAnsi" w:hAnsiTheme="majorHAnsi"/>
          <w:sz w:val="22"/>
          <w:szCs w:val="22"/>
        </w:rPr>
      </w:pPr>
      <w:r w:rsidRPr="00C260F8">
        <w:rPr>
          <w:rStyle w:val="normaltextrun1"/>
          <w:rFonts w:asciiTheme="majorHAnsi" w:hAnsiTheme="majorHAnsi"/>
          <w:sz w:val="22"/>
          <w:szCs w:val="22"/>
        </w:rPr>
        <w:t xml:space="preserve">No studies in patients with renal or hepatic impairments have been conducted with lonapegsomatropin (see section 4.2). A reduction in somatropin clearance following administration of daily somatropin has been noted in patients with severe liver and kidney dysfunction. The clinical significance of this decrease is unknown. The pharmacokinetics of the </w:t>
      </w:r>
      <w:proofErr w:type="spellStart"/>
      <w:r w:rsidRPr="00C260F8">
        <w:rPr>
          <w:rStyle w:val="normaltextrun1"/>
          <w:rFonts w:asciiTheme="majorHAnsi" w:hAnsiTheme="majorHAnsi"/>
          <w:sz w:val="22"/>
          <w:szCs w:val="22"/>
        </w:rPr>
        <w:t>mPEG</w:t>
      </w:r>
      <w:proofErr w:type="spellEnd"/>
      <w:r w:rsidRPr="00C260F8">
        <w:rPr>
          <w:rStyle w:val="normaltextrun1"/>
          <w:rFonts w:asciiTheme="majorHAnsi" w:hAnsiTheme="majorHAnsi"/>
          <w:sz w:val="22"/>
          <w:szCs w:val="22"/>
        </w:rPr>
        <w:t xml:space="preserve"> carrier of lonapegsomatropin is expected to be dependent on renal function but has not been assessed in patients with renal impairment.</w:t>
      </w:r>
    </w:p>
    <w:p w14:paraId="4A532961" w14:textId="77777777" w:rsidR="00C260F8" w:rsidRPr="00C260F8" w:rsidRDefault="00C260F8" w:rsidP="00A73D97">
      <w:pPr>
        <w:pStyle w:val="paragraph0"/>
        <w:ind w:right="-63"/>
        <w:textAlignment w:val="baseline"/>
        <w:rPr>
          <w:rStyle w:val="normaltextrun1"/>
          <w:rFonts w:asciiTheme="majorHAnsi" w:hAnsiTheme="majorHAnsi"/>
          <w:sz w:val="22"/>
          <w:szCs w:val="22"/>
        </w:rPr>
      </w:pPr>
    </w:p>
    <w:p w14:paraId="15102F3E" w14:textId="7BC2D175" w:rsidR="003343AC" w:rsidRDefault="00C260F8" w:rsidP="00A73D97">
      <w:pPr>
        <w:spacing w:line="240" w:lineRule="auto"/>
        <w:ind w:right="-63"/>
        <w:rPr>
          <w:rFonts w:asciiTheme="majorHAnsi" w:hAnsiTheme="majorHAnsi"/>
        </w:rPr>
      </w:pPr>
      <w:r w:rsidRPr="00C260F8">
        <w:rPr>
          <w:rStyle w:val="normaltextrun1"/>
          <w:rFonts w:asciiTheme="majorHAnsi" w:hAnsiTheme="majorHAnsi"/>
        </w:rPr>
        <w:t>Lonapegsomatropin has not been studied in patients below 6 months of age (see section 4.2).</w:t>
      </w:r>
    </w:p>
    <w:p w14:paraId="166895CA" w14:textId="59EDAE3A" w:rsidR="00E017F1" w:rsidRPr="00C2094B" w:rsidRDefault="00E017F1" w:rsidP="00A73D97">
      <w:pPr>
        <w:pStyle w:val="Heading2"/>
        <w:spacing w:before="0" w:after="120"/>
        <w:ind w:left="0" w:right="-63" w:firstLine="0"/>
        <w:rPr>
          <w:rFonts w:cstheme="minorHAnsi"/>
        </w:rPr>
      </w:pPr>
      <w:r w:rsidRPr="00C2094B">
        <w:rPr>
          <w:rFonts w:cstheme="minorHAnsi"/>
        </w:rPr>
        <w:t>Preclinical safety data</w:t>
      </w:r>
      <w:r w:rsidR="00F93A39" w:rsidRPr="00C2094B">
        <w:rPr>
          <w:rFonts w:cstheme="minorHAnsi"/>
        </w:rPr>
        <w:fldChar w:fldCharType="begin"/>
      </w:r>
      <w:r w:rsidR="00F93A39" w:rsidRPr="00C2094B">
        <w:rPr>
          <w:rFonts w:cstheme="minorHAnsi"/>
        </w:rPr>
        <w:instrText xml:space="preserve"> DOCVARIABLE vault_nd_5a3026b2-0e7a-46a1-9970-530714995b23 \* MERGEFORMAT </w:instrText>
      </w:r>
      <w:r w:rsidR="00F93A39" w:rsidRPr="00C2094B">
        <w:rPr>
          <w:rFonts w:cstheme="minorHAnsi"/>
        </w:rPr>
        <w:fldChar w:fldCharType="separate"/>
      </w:r>
      <w:r w:rsidR="00F93A39" w:rsidRPr="00C2094B">
        <w:rPr>
          <w:rFonts w:cstheme="minorHAnsi"/>
        </w:rPr>
        <w:t xml:space="preserve"> </w:t>
      </w:r>
      <w:r w:rsidR="00F93A39" w:rsidRPr="00C2094B">
        <w:rPr>
          <w:rFonts w:cstheme="minorHAnsi"/>
        </w:rPr>
        <w:fldChar w:fldCharType="end"/>
      </w:r>
    </w:p>
    <w:p w14:paraId="525EEE1D" w14:textId="5E2C61E7" w:rsidR="00E017F1" w:rsidRPr="00166F39" w:rsidRDefault="00E017F1" w:rsidP="00A73D97">
      <w:pPr>
        <w:pStyle w:val="Heading3"/>
        <w:spacing w:before="0" w:after="120"/>
        <w:ind w:left="0" w:right="-63"/>
        <w:rPr>
          <w:rFonts w:cstheme="minorHAnsi"/>
        </w:rPr>
      </w:pPr>
      <w:r w:rsidRPr="00786CE7">
        <w:rPr>
          <w:rFonts w:cstheme="minorHAnsi"/>
        </w:rPr>
        <w:t>Genotoxicity</w:t>
      </w:r>
      <w:r w:rsidR="00F93A39" w:rsidRPr="00786CE7">
        <w:rPr>
          <w:rFonts w:cstheme="minorHAnsi"/>
        </w:rPr>
        <w:fldChar w:fldCharType="begin"/>
      </w:r>
      <w:r w:rsidR="00F93A39" w:rsidRPr="00786CE7">
        <w:rPr>
          <w:rFonts w:cstheme="minorHAnsi"/>
        </w:rPr>
        <w:instrText xml:space="preserve"> DOCVARIABLE vault_nd_36389833-e481-4711-92b0-5b5864d7017c \* MERGEFORMAT </w:instrText>
      </w:r>
      <w:r w:rsidR="00F93A39" w:rsidRPr="00786CE7">
        <w:rPr>
          <w:rFonts w:cstheme="minorHAnsi"/>
        </w:rPr>
        <w:fldChar w:fldCharType="separate"/>
      </w:r>
      <w:r w:rsidR="00F93A39" w:rsidRPr="00786CE7">
        <w:rPr>
          <w:rFonts w:cstheme="minorHAnsi"/>
        </w:rPr>
        <w:t xml:space="preserve"> </w:t>
      </w:r>
      <w:r w:rsidR="00F93A39" w:rsidRPr="00786CE7">
        <w:rPr>
          <w:rFonts w:cstheme="minorHAnsi"/>
        </w:rPr>
        <w:fldChar w:fldCharType="end"/>
      </w:r>
    </w:p>
    <w:p w14:paraId="3218B8CD" w14:textId="51BE3455" w:rsidR="00D84F57" w:rsidRPr="00786CE7" w:rsidRDefault="00D84F57" w:rsidP="00D84F57">
      <w:pPr>
        <w:rPr>
          <w:rFonts w:asciiTheme="majorHAnsi" w:hAnsiTheme="majorHAnsi"/>
        </w:rPr>
      </w:pPr>
      <w:r w:rsidRPr="00786CE7">
        <w:rPr>
          <w:rFonts w:asciiTheme="majorHAnsi" w:hAnsiTheme="majorHAnsi"/>
        </w:rPr>
        <w:t>Lonapegsomatropin</w:t>
      </w:r>
      <w:r w:rsidR="00383606">
        <w:rPr>
          <w:rFonts w:asciiTheme="majorHAnsi" w:hAnsiTheme="majorHAnsi"/>
        </w:rPr>
        <w:t xml:space="preserve"> </w:t>
      </w:r>
      <w:r w:rsidRPr="00786CE7">
        <w:rPr>
          <w:rFonts w:asciiTheme="majorHAnsi" w:hAnsiTheme="majorHAnsi"/>
        </w:rPr>
        <w:t>was not mutagenic in the Ames test,</w:t>
      </w:r>
      <w:r w:rsidR="00D509BD">
        <w:rPr>
          <w:rFonts w:asciiTheme="majorHAnsi" w:hAnsiTheme="majorHAnsi"/>
        </w:rPr>
        <w:t xml:space="preserve"> and not clastogenic</w:t>
      </w:r>
      <w:r w:rsidRPr="00786CE7">
        <w:rPr>
          <w:rFonts w:asciiTheme="majorHAnsi" w:hAnsiTheme="majorHAnsi"/>
        </w:rPr>
        <w:t xml:space="preserve"> in the human chromosomal aberration assay or in the rat bone marrow micronucleus test</w:t>
      </w:r>
      <w:r w:rsidR="00253573" w:rsidRPr="00786CE7">
        <w:rPr>
          <w:rFonts w:asciiTheme="majorHAnsi" w:hAnsiTheme="majorHAnsi"/>
        </w:rPr>
        <w:t>.</w:t>
      </w:r>
    </w:p>
    <w:p w14:paraId="51530490" w14:textId="291A4C07" w:rsidR="00E017F1" w:rsidRPr="00166F39" w:rsidRDefault="00E017F1" w:rsidP="00A73D97">
      <w:pPr>
        <w:pStyle w:val="Heading3"/>
        <w:spacing w:before="0" w:after="120"/>
        <w:ind w:left="0" w:right="-63"/>
        <w:rPr>
          <w:rFonts w:cstheme="minorHAnsi"/>
        </w:rPr>
      </w:pPr>
      <w:r w:rsidRPr="00166F39">
        <w:rPr>
          <w:rFonts w:cstheme="minorHAnsi"/>
        </w:rPr>
        <w:t>Carcinogenicity</w:t>
      </w:r>
      <w:r w:rsidR="00F93A39" w:rsidRPr="00166F39">
        <w:rPr>
          <w:rFonts w:cstheme="minorHAnsi"/>
        </w:rPr>
        <w:fldChar w:fldCharType="begin"/>
      </w:r>
      <w:r w:rsidR="00F93A39" w:rsidRPr="00166F39">
        <w:rPr>
          <w:rFonts w:cstheme="minorHAnsi"/>
        </w:rPr>
        <w:instrText xml:space="preserve"> DOCVARIABLE vault_nd_cfdc6eff-8d8d-422c-9a30-10d9256fc0fe \* MERGEFORMAT </w:instrText>
      </w:r>
      <w:r w:rsidR="00F93A39" w:rsidRPr="00166F39">
        <w:rPr>
          <w:rFonts w:cstheme="minorHAnsi"/>
        </w:rPr>
        <w:fldChar w:fldCharType="separate"/>
      </w:r>
      <w:r w:rsidR="00F93A39" w:rsidRPr="00166F39">
        <w:rPr>
          <w:rFonts w:cstheme="minorHAnsi"/>
        </w:rPr>
        <w:t xml:space="preserve"> </w:t>
      </w:r>
      <w:r w:rsidR="00F93A39" w:rsidRPr="00166F39">
        <w:rPr>
          <w:rFonts w:cstheme="minorHAnsi"/>
        </w:rPr>
        <w:fldChar w:fldCharType="end"/>
      </w:r>
    </w:p>
    <w:p w14:paraId="78E2FB06" w14:textId="57684EDA" w:rsidR="00E017F1" w:rsidRPr="00A72730" w:rsidRDefault="00E017F1" w:rsidP="00A73D97">
      <w:pPr>
        <w:spacing w:line="240" w:lineRule="auto"/>
        <w:ind w:right="-63"/>
        <w:rPr>
          <w:rFonts w:asciiTheme="majorHAnsi" w:hAnsiTheme="majorHAnsi" w:cstheme="minorHAnsi"/>
          <w:color w:val="000000" w:themeColor="text1"/>
        </w:rPr>
      </w:pPr>
      <w:r w:rsidRPr="00786CE7">
        <w:rPr>
          <w:rFonts w:asciiTheme="majorHAnsi" w:hAnsiTheme="majorHAnsi"/>
        </w:rPr>
        <w:t xml:space="preserve">No carcinogenicity study has been conducted with </w:t>
      </w:r>
      <w:r w:rsidR="00082C1A" w:rsidRPr="00786CE7">
        <w:rPr>
          <w:rFonts w:asciiTheme="majorHAnsi" w:hAnsiTheme="majorHAnsi"/>
          <w:spacing w:val="-2"/>
        </w:rPr>
        <w:t>lonap</w:t>
      </w:r>
      <w:r w:rsidR="00496A93" w:rsidRPr="00786CE7">
        <w:rPr>
          <w:rFonts w:asciiTheme="majorHAnsi" w:hAnsiTheme="majorHAnsi"/>
          <w:spacing w:val="-2"/>
        </w:rPr>
        <w:t>egsomatropin</w:t>
      </w:r>
      <w:r w:rsidRPr="00786CE7">
        <w:rPr>
          <w:rFonts w:asciiTheme="majorHAnsi" w:hAnsiTheme="majorHAnsi"/>
          <w:spacing w:val="-2"/>
        </w:rPr>
        <w:t>.</w:t>
      </w:r>
    </w:p>
    <w:p w14:paraId="62EF6E55" w14:textId="77777777" w:rsidR="00E017F1" w:rsidRPr="00FC4E52" w:rsidRDefault="00E017F1" w:rsidP="00A73D97">
      <w:pPr>
        <w:pStyle w:val="BodyText"/>
        <w:ind w:left="0" w:right="-63"/>
        <w:rPr>
          <w:rFonts w:asciiTheme="majorHAnsi" w:hAnsiTheme="majorHAnsi"/>
        </w:rPr>
      </w:pPr>
    </w:p>
    <w:p w14:paraId="440CBA6F" w14:textId="6620F50D" w:rsidR="00E017F1" w:rsidRPr="00AF52D2" w:rsidRDefault="00E017F1" w:rsidP="00A73D97">
      <w:pPr>
        <w:pStyle w:val="Heading1"/>
        <w:spacing w:before="0" w:after="120"/>
        <w:ind w:left="0" w:right="-63" w:firstLine="0"/>
        <w:rPr>
          <w:rFonts w:cstheme="minorHAnsi"/>
        </w:rPr>
      </w:pPr>
      <w:r w:rsidRPr="00AF52D2">
        <w:rPr>
          <w:rFonts w:cstheme="minorHAnsi"/>
        </w:rPr>
        <w:t>Pharmaceutical particulars</w:t>
      </w:r>
      <w:r w:rsidR="00F93A39" w:rsidRPr="00AF52D2">
        <w:rPr>
          <w:rFonts w:cstheme="minorHAnsi"/>
        </w:rPr>
        <w:fldChar w:fldCharType="begin"/>
      </w:r>
      <w:r w:rsidR="00F93A39" w:rsidRPr="00AF52D2">
        <w:rPr>
          <w:rFonts w:cstheme="minorHAnsi"/>
        </w:rPr>
        <w:instrText xml:space="preserve"> DOCVARIABLE VAULT_ND_c2ed141d-36f8-48a1-b237-06f720e4198f \* MERGEFORMAT </w:instrText>
      </w:r>
      <w:r w:rsidR="00F93A39" w:rsidRPr="00AF52D2">
        <w:rPr>
          <w:rFonts w:cstheme="minorHAnsi"/>
        </w:rPr>
        <w:fldChar w:fldCharType="separate"/>
      </w:r>
      <w:r w:rsidR="00F93A39" w:rsidRPr="00AF52D2">
        <w:rPr>
          <w:rFonts w:cstheme="minorHAnsi"/>
        </w:rPr>
        <w:t xml:space="preserve"> </w:t>
      </w:r>
      <w:r w:rsidR="00F93A39" w:rsidRPr="00AF52D2">
        <w:rPr>
          <w:rFonts w:cstheme="minorHAnsi"/>
        </w:rPr>
        <w:fldChar w:fldCharType="end"/>
      </w:r>
    </w:p>
    <w:p w14:paraId="37591CED" w14:textId="6DDFA4D3" w:rsidR="00E017F1" w:rsidRDefault="00E017F1" w:rsidP="00A73D97">
      <w:pPr>
        <w:pStyle w:val="Heading2"/>
        <w:spacing w:before="0" w:after="120"/>
        <w:ind w:left="0" w:right="-63" w:firstLine="0"/>
        <w:rPr>
          <w:rFonts w:cstheme="minorHAnsi"/>
        </w:rPr>
      </w:pPr>
      <w:r w:rsidRPr="004C6325">
        <w:rPr>
          <w:rFonts w:cstheme="minorHAnsi"/>
        </w:rPr>
        <w:t>List of excipients</w:t>
      </w:r>
      <w:r w:rsidR="00F93A39">
        <w:rPr>
          <w:rFonts w:cstheme="minorHAnsi"/>
        </w:rPr>
        <w:fldChar w:fldCharType="begin"/>
      </w:r>
      <w:r w:rsidR="00F93A39">
        <w:rPr>
          <w:rFonts w:cstheme="minorHAnsi"/>
        </w:rPr>
        <w:instrText xml:space="preserve"> DOCVARIABLE vault_nd_40bd05e0-60de-4b92-bbc4-4f51a41114a9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36B3A8E0" w14:textId="77777777" w:rsidR="00BC3237" w:rsidRPr="00BC3237" w:rsidRDefault="00BC3237" w:rsidP="00A73D97">
      <w:pPr>
        <w:spacing w:after="0" w:line="240" w:lineRule="auto"/>
        <w:ind w:left="567" w:right="-63" w:hanging="567"/>
        <w:rPr>
          <w:rFonts w:asciiTheme="majorHAnsi" w:hAnsiTheme="majorHAnsi"/>
          <w:u w:val="single"/>
        </w:rPr>
      </w:pPr>
      <w:r w:rsidRPr="00BC3237">
        <w:rPr>
          <w:rFonts w:asciiTheme="majorHAnsi" w:hAnsiTheme="majorHAnsi"/>
          <w:u w:val="single"/>
        </w:rPr>
        <w:t>Powder</w:t>
      </w:r>
    </w:p>
    <w:p w14:paraId="33751953" w14:textId="77777777" w:rsidR="00441D77" w:rsidRDefault="00441D77" w:rsidP="00A73D97">
      <w:pPr>
        <w:spacing w:after="0" w:line="240" w:lineRule="auto"/>
        <w:ind w:left="567" w:right="-63" w:hanging="567"/>
        <w:rPr>
          <w:rFonts w:asciiTheme="majorHAnsi" w:hAnsiTheme="majorHAnsi"/>
        </w:rPr>
      </w:pPr>
    </w:p>
    <w:p w14:paraId="492AC1D9" w14:textId="332527D0" w:rsidR="00BC3237" w:rsidRPr="00BC3237" w:rsidRDefault="00BC3237" w:rsidP="00A73D97">
      <w:pPr>
        <w:spacing w:after="0" w:line="240" w:lineRule="auto"/>
        <w:ind w:left="567" w:right="-63" w:hanging="567"/>
        <w:rPr>
          <w:rFonts w:asciiTheme="majorHAnsi" w:hAnsiTheme="majorHAnsi"/>
        </w:rPr>
      </w:pPr>
      <w:r w:rsidRPr="00BC3237">
        <w:rPr>
          <w:rFonts w:asciiTheme="majorHAnsi" w:hAnsiTheme="majorHAnsi"/>
        </w:rPr>
        <w:t>Succinic acid</w:t>
      </w:r>
    </w:p>
    <w:p w14:paraId="085B7694" w14:textId="77777777" w:rsidR="00BC3237" w:rsidRPr="00BC3237" w:rsidRDefault="00BC3237" w:rsidP="00A73D97">
      <w:pPr>
        <w:spacing w:after="0" w:line="240" w:lineRule="auto"/>
        <w:ind w:left="567" w:right="-63" w:hanging="567"/>
        <w:rPr>
          <w:rFonts w:asciiTheme="majorHAnsi" w:hAnsiTheme="majorHAnsi"/>
        </w:rPr>
      </w:pPr>
      <w:r w:rsidRPr="00BC3237">
        <w:rPr>
          <w:rFonts w:asciiTheme="majorHAnsi" w:hAnsiTheme="majorHAnsi"/>
        </w:rPr>
        <w:t>Trehalose dihydrate</w:t>
      </w:r>
    </w:p>
    <w:p w14:paraId="37E0CFF4" w14:textId="77777777" w:rsidR="00BC3237" w:rsidRPr="00BC3237" w:rsidRDefault="00BC3237" w:rsidP="00A73D97">
      <w:pPr>
        <w:spacing w:after="0" w:line="240" w:lineRule="auto"/>
        <w:ind w:left="567" w:right="-63" w:hanging="567"/>
        <w:rPr>
          <w:rFonts w:asciiTheme="majorHAnsi" w:hAnsiTheme="majorHAnsi"/>
        </w:rPr>
      </w:pPr>
      <w:r w:rsidRPr="00BC3237">
        <w:rPr>
          <w:rFonts w:asciiTheme="majorHAnsi" w:hAnsiTheme="majorHAnsi"/>
        </w:rPr>
        <w:t>Trometamol</w:t>
      </w:r>
    </w:p>
    <w:p w14:paraId="73A3B05C" w14:textId="77777777" w:rsidR="00BC3237" w:rsidRDefault="00BC3237" w:rsidP="00A73D97">
      <w:pPr>
        <w:spacing w:after="0" w:line="240" w:lineRule="auto"/>
        <w:ind w:left="567" w:right="-63" w:hanging="567"/>
        <w:rPr>
          <w:rFonts w:asciiTheme="majorHAnsi" w:hAnsiTheme="majorHAnsi"/>
          <w:u w:val="single"/>
        </w:rPr>
      </w:pPr>
    </w:p>
    <w:p w14:paraId="1713B82D" w14:textId="6AE1CDDE" w:rsidR="00BC3237" w:rsidRPr="00BC3237" w:rsidRDefault="00BC3237" w:rsidP="00A73D97">
      <w:pPr>
        <w:spacing w:after="0" w:line="240" w:lineRule="auto"/>
        <w:ind w:left="567" w:right="-63" w:hanging="567"/>
        <w:rPr>
          <w:rFonts w:asciiTheme="majorHAnsi" w:hAnsiTheme="majorHAnsi"/>
          <w:u w:val="single"/>
        </w:rPr>
      </w:pPr>
      <w:r w:rsidRPr="00BC3237">
        <w:rPr>
          <w:rFonts w:asciiTheme="majorHAnsi" w:hAnsiTheme="majorHAnsi"/>
          <w:u w:val="single"/>
        </w:rPr>
        <w:t>Solvent</w:t>
      </w:r>
    </w:p>
    <w:p w14:paraId="77D14A87" w14:textId="77777777" w:rsidR="00441D77" w:rsidRDefault="00441D77" w:rsidP="00A73D97">
      <w:pPr>
        <w:spacing w:after="0" w:line="240" w:lineRule="auto"/>
        <w:ind w:left="567" w:right="-63" w:hanging="567"/>
        <w:rPr>
          <w:rFonts w:asciiTheme="majorHAnsi" w:hAnsiTheme="majorHAnsi"/>
        </w:rPr>
      </w:pPr>
    </w:p>
    <w:p w14:paraId="489DFD9A" w14:textId="22CEEFC6" w:rsidR="00BC3237" w:rsidRPr="00BC3237" w:rsidRDefault="00BC3237" w:rsidP="00A73D97">
      <w:pPr>
        <w:spacing w:after="0" w:line="240" w:lineRule="auto"/>
        <w:ind w:left="567" w:right="-63" w:hanging="567"/>
        <w:rPr>
          <w:rFonts w:asciiTheme="majorHAnsi" w:hAnsiTheme="majorHAnsi"/>
        </w:rPr>
      </w:pPr>
      <w:r w:rsidRPr="00BC3237">
        <w:rPr>
          <w:rFonts w:asciiTheme="majorHAnsi" w:hAnsiTheme="majorHAnsi"/>
        </w:rPr>
        <w:t>Water for injections</w:t>
      </w:r>
    </w:p>
    <w:p w14:paraId="3756F6BD" w14:textId="77777777" w:rsidR="001D2B98" w:rsidRPr="001D2B98" w:rsidRDefault="001D2B98" w:rsidP="00A73D97">
      <w:pPr>
        <w:spacing w:after="0" w:line="240" w:lineRule="auto"/>
        <w:ind w:right="-63"/>
        <w:rPr>
          <w:rFonts w:asciiTheme="majorHAnsi" w:hAnsiTheme="majorHAnsi"/>
        </w:rPr>
      </w:pPr>
    </w:p>
    <w:p w14:paraId="71AD5EB4" w14:textId="13CE7963" w:rsidR="00E017F1" w:rsidRPr="004C6325" w:rsidRDefault="00E017F1" w:rsidP="00A73D97">
      <w:pPr>
        <w:pStyle w:val="Heading2"/>
        <w:keepNext/>
        <w:keepLines/>
        <w:spacing w:before="0" w:after="120"/>
        <w:ind w:left="0" w:right="-63" w:firstLine="0"/>
        <w:rPr>
          <w:rFonts w:cstheme="minorHAnsi"/>
        </w:rPr>
      </w:pPr>
      <w:r w:rsidRPr="004C6325">
        <w:rPr>
          <w:rFonts w:cstheme="minorHAnsi"/>
        </w:rPr>
        <w:t>Incompatibilities</w:t>
      </w:r>
      <w:r w:rsidR="00F93A39">
        <w:rPr>
          <w:rFonts w:cstheme="minorHAnsi"/>
        </w:rPr>
        <w:fldChar w:fldCharType="begin"/>
      </w:r>
      <w:r w:rsidR="00F93A39">
        <w:rPr>
          <w:rFonts w:cstheme="minorHAnsi"/>
        </w:rPr>
        <w:instrText xml:space="preserve"> DOCVARIABLE vault_nd_d3013968-ede2-4e36-a9b9-17022228b04d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23170A04" w14:textId="77777777" w:rsidR="00E017F1" w:rsidRPr="00BC0849" w:rsidRDefault="00E017F1" w:rsidP="00A73D97">
      <w:pPr>
        <w:spacing w:line="240" w:lineRule="auto"/>
        <w:ind w:right="-63"/>
        <w:rPr>
          <w:rFonts w:asciiTheme="majorHAnsi" w:hAnsiTheme="majorHAnsi" w:cstheme="minorHAnsi"/>
        </w:rPr>
      </w:pPr>
      <w:r w:rsidRPr="00BC0849">
        <w:rPr>
          <w:rFonts w:asciiTheme="majorHAnsi" w:hAnsiTheme="majorHAnsi"/>
        </w:rPr>
        <w:t>In</w:t>
      </w:r>
      <w:r w:rsidRPr="00BC0849">
        <w:rPr>
          <w:rFonts w:asciiTheme="majorHAnsi" w:hAnsiTheme="majorHAnsi"/>
          <w:spacing w:val="-2"/>
        </w:rPr>
        <w:t xml:space="preserve"> </w:t>
      </w:r>
      <w:r w:rsidRPr="00BC0849">
        <w:rPr>
          <w:rFonts w:asciiTheme="majorHAnsi" w:hAnsiTheme="majorHAnsi"/>
        </w:rPr>
        <w:t>the</w:t>
      </w:r>
      <w:r w:rsidRPr="00BC0849">
        <w:rPr>
          <w:rFonts w:asciiTheme="majorHAnsi" w:hAnsiTheme="majorHAnsi"/>
          <w:spacing w:val="-3"/>
        </w:rPr>
        <w:t xml:space="preserve"> </w:t>
      </w:r>
      <w:r w:rsidRPr="00BC0849">
        <w:rPr>
          <w:rFonts w:asciiTheme="majorHAnsi" w:hAnsiTheme="majorHAnsi"/>
        </w:rPr>
        <w:t>absence</w:t>
      </w:r>
      <w:r w:rsidRPr="00BC0849">
        <w:rPr>
          <w:rFonts w:asciiTheme="majorHAnsi" w:hAnsiTheme="majorHAnsi"/>
          <w:spacing w:val="-3"/>
        </w:rPr>
        <w:t xml:space="preserve"> </w:t>
      </w:r>
      <w:r w:rsidRPr="00BC0849">
        <w:rPr>
          <w:rFonts w:asciiTheme="majorHAnsi" w:hAnsiTheme="majorHAnsi"/>
        </w:rPr>
        <w:t>of</w:t>
      </w:r>
      <w:r w:rsidRPr="00BC0849">
        <w:rPr>
          <w:rFonts w:asciiTheme="majorHAnsi" w:hAnsiTheme="majorHAnsi"/>
          <w:spacing w:val="-2"/>
        </w:rPr>
        <w:t xml:space="preserve"> </w:t>
      </w:r>
      <w:r w:rsidRPr="00BC0849">
        <w:rPr>
          <w:rFonts w:asciiTheme="majorHAnsi" w:hAnsiTheme="majorHAnsi"/>
        </w:rPr>
        <w:t>compatibility</w:t>
      </w:r>
      <w:r w:rsidRPr="00BC0849">
        <w:rPr>
          <w:rFonts w:asciiTheme="majorHAnsi" w:hAnsiTheme="majorHAnsi"/>
          <w:spacing w:val="-2"/>
        </w:rPr>
        <w:t xml:space="preserve"> </w:t>
      </w:r>
      <w:r w:rsidRPr="00BC0849">
        <w:rPr>
          <w:rFonts w:asciiTheme="majorHAnsi" w:hAnsiTheme="majorHAnsi"/>
        </w:rPr>
        <w:t>studies,</w:t>
      </w:r>
      <w:r w:rsidRPr="00BC0849">
        <w:rPr>
          <w:rFonts w:asciiTheme="majorHAnsi" w:hAnsiTheme="majorHAnsi"/>
          <w:spacing w:val="-2"/>
        </w:rPr>
        <w:t xml:space="preserve"> </w:t>
      </w:r>
      <w:r w:rsidRPr="00BC0849">
        <w:rPr>
          <w:rFonts w:asciiTheme="majorHAnsi" w:hAnsiTheme="majorHAnsi"/>
        </w:rPr>
        <w:t>this</w:t>
      </w:r>
      <w:r w:rsidRPr="00BC0849">
        <w:rPr>
          <w:rFonts w:asciiTheme="majorHAnsi" w:hAnsiTheme="majorHAnsi"/>
          <w:spacing w:val="-3"/>
        </w:rPr>
        <w:t xml:space="preserve"> </w:t>
      </w:r>
      <w:r w:rsidRPr="00BC0849">
        <w:rPr>
          <w:rFonts w:asciiTheme="majorHAnsi" w:hAnsiTheme="majorHAnsi"/>
        </w:rPr>
        <w:t>medicinal</w:t>
      </w:r>
      <w:r w:rsidRPr="00BC0849">
        <w:rPr>
          <w:rFonts w:asciiTheme="majorHAnsi" w:hAnsiTheme="majorHAnsi"/>
          <w:spacing w:val="-1"/>
        </w:rPr>
        <w:t xml:space="preserve"> </w:t>
      </w:r>
      <w:r w:rsidRPr="00BC0849">
        <w:rPr>
          <w:rFonts w:asciiTheme="majorHAnsi" w:hAnsiTheme="majorHAnsi"/>
        </w:rPr>
        <w:t>product</w:t>
      </w:r>
      <w:r w:rsidRPr="00BC0849">
        <w:rPr>
          <w:rFonts w:asciiTheme="majorHAnsi" w:hAnsiTheme="majorHAnsi"/>
          <w:spacing w:val="-2"/>
        </w:rPr>
        <w:t xml:space="preserve"> </w:t>
      </w:r>
      <w:r w:rsidRPr="00BC0849">
        <w:rPr>
          <w:rFonts w:asciiTheme="majorHAnsi" w:hAnsiTheme="majorHAnsi"/>
        </w:rPr>
        <w:t>must</w:t>
      </w:r>
      <w:r w:rsidRPr="00BC0849">
        <w:rPr>
          <w:rFonts w:asciiTheme="majorHAnsi" w:hAnsiTheme="majorHAnsi"/>
          <w:spacing w:val="-3"/>
        </w:rPr>
        <w:t xml:space="preserve"> </w:t>
      </w:r>
      <w:r w:rsidRPr="00BC0849">
        <w:rPr>
          <w:rFonts w:asciiTheme="majorHAnsi" w:hAnsiTheme="majorHAnsi"/>
        </w:rPr>
        <w:t>not</w:t>
      </w:r>
      <w:r w:rsidRPr="00BC0849">
        <w:rPr>
          <w:rFonts w:asciiTheme="majorHAnsi" w:hAnsiTheme="majorHAnsi"/>
          <w:spacing w:val="-2"/>
        </w:rPr>
        <w:t xml:space="preserve"> </w:t>
      </w:r>
      <w:r w:rsidRPr="00BC0849">
        <w:rPr>
          <w:rFonts w:asciiTheme="majorHAnsi" w:hAnsiTheme="majorHAnsi"/>
        </w:rPr>
        <w:t>be</w:t>
      </w:r>
      <w:r w:rsidRPr="00BC0849">
        <w:rPr>
          <w:rFonts w:asciiTheme="majorHAnsi" w:hAnsiTheme="majorHAnsi"/>
          <w:spacing w:val="-3"/>
        </w:rPr>
        <w:t xml:space="preserve"> </w:t>
      </w:r>
      <w:r w:rsidRPr="00BC0849">
        <w:rPr>
          <w:rFonts w:asciiTheme="majorHAnsi" w:hAnsiTheme="majorHAnsi"/>
        </w:rPr>
        <w:t>mixed</w:t>
      </w:r>
      <w:r w:rsidRPr="00BC0849">
        <w:rPr>
          <w:rFonts w:asciiTheme="majorHAnsi" w:hAnsiTheme="majorHAnsi"/>
          <w:spacing w:val="-3"/>
        </w:rPr>
        <w:t xml:space="preserve"> </w:t>
      </w:r>
      <w:r w:rsidRPr="00BC0849">
        <w:rPr>
          <w:rFonts w:asciiTheme="majorHAnsi" w:hAnsiTheme="majorHAnsi"/>
        </w:rPr>
        <w:t>with</w:t>
      </w:r>
      <w:r w:rsidRPr="00BC0849">
        <w:rPr>
          <w:rFonts w:asciiTheme="majorHAnsi" w:hAnsiTheme="majorHAnsi"/>
          <w:spacing w:val="-2"/>
        </w:rPr>
        <w:t xml:space="preserve"> </w:t>
      </w:r>
      <w:r w:rsidRPr="00BC0849">
        <w:rPr>
          <w:rFonts w:asciiTheme="majorHAnsi" w:hAnsiTheme="majorHAnsi"/>
        </w:rPr>
        <w:t>other</w:t>
      </w:r>
      <w:r w:rsidRPr="00BC0849">
        <w:rPr>
          <w:rFonts w:asciiTheme="majorHAnsi" w:hAnsiTheme="majorHAnsi"/>
          <w:spacing w:val="-2"/>
        </w:rPr>
        <w:t xml:space="preserve"> </w:t>
      </w:r>
      <w:r w:rsidRPr="00BC0849">
        <w:rPr>
          <w:rFonts w:asciiTheme="majorHAnsi" w:hAnsiTheme="majorHAnsi"/>
        </w:rPr>
        <w:t xml:space="preserve">medicinal </w:t>
      </w:r>
      <w:r w:rsidRPr="00BC0849">
        <w:rPr>
          <w:rFonts w:asciiTheme="majorHAnsi" w:hAnsiTheme="majorHAnsi"/>
          <w:spacing w:val="-2"/>
        </w:rPr>
        <w:t>products.</w:t>
      </w:r>
    </w:p>
    <w:p w14:paraId="45E80136" w14:textId="28903F12" w:rsidR="00E017F1" w:rsidRPr="004C6325" w:rsidRDefault="00E017F1" w:rsidP="00A73D97">
      <w:pPr>
        <w:pStyle w:val="Heading2"/>
        <w:keepNext/>
        <w:spacing w:before="0" w:after="120"/>
        <w:ind w:left="0" w:right="-63" w:firstLine="0"/>
        <w:rPr>
          <w:rFonts w:cstheme="minorHAnsi"/>
        </w:rPr>
      </w:pPr>
      <w:r w:rsidRPr="004C6325">
        <w:rPr>
          <w:rFonts w:cstheme="minorHAnsi"/>
        </w:rPr>
        <w:lastRenderedPageBreak/>
        <w:t>Shelf life</w:t>
      </w:r>
      <w:r w:rsidR="00F93A39">
        <w:rPr>
          <w:rFonts w:cstheme="minorHAnsi"/>
        </w:rPr>
        <w:fldChar w:fldCharType="begin"/>
      </w:r>
      <w:r w:rsidR="00F93A39">
        <w:rPr>
          <w:rFonts w:cstheme="minorHAnsi"/>
        </w:rPr>
        <w:instrText xml:space="preserve"> DOCVARIABLE vault_nd_a5b64a0d-edff-41b0-80ed-20dc196af1bd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70835293" w14:textId="77777777" w:rsidR="00E017F1" w:rsidRPr="004C6325" w:rsidRDefault="00E017F1" w:rsidP="00A73D97">
      <w:pPr>
        <w:spacing w:line="240" w:lineRule="auto"/>
        <w:ind w:right="-63"/>
        <w:rPr>
          <w:rFonts w:asciiTheme="majorHAnsi" w:hAnsiTheme="majorHAnsi" w:cstheme="minorHAnsi"/>
        </w:rPr>
      </w:pPr>
      <w:r w:rsidRPr="004C6325">
        <w:rPr>
          <w:rFonts w:asciiTheme="majorHAnsi" w:hAnsiTheme="majorHAnsi" w:cstheme="minorHAnsi"/>
        </w:rPr>
        <w:t xml:space="preserve">In Australia, information on the shelf life can be found on the public summary of the Australian Register of Therapeutic Goods (ARTG). The expiry date can be found on the packaging. </w:t>
      </w:r>
    </w:p>
    <w:p w14:paraId="71027B4E" w14:textId="50234C37" w:rsidR="00E017F1" w:rsidRPr="004C6325" w:rsidRDefault="00E017F1" w:rsidP="00A73D97">
      <w:pPr>
        <w:pStyle w:val="Heading2"/>
        <w:keepNext/>
        <w:keepLines/>
        <w:spacing w:before="0" w:after="120"/>
        <w:ind w:left="0" w:right="-63" w:firstLine="0"/>
        <w:rPr>
          <w:rFonts w:cstheme="minorHAnsi"/>
        </w:rPr>
      </w:pPr>
      <w:r w:rsidRPr="004C6325">
        <w:rPr>
          <w:rFonts w:cstheme="minorHAnsi"/>
        </w:rPr>
        <w:t>Special precautions for storage</w:t>
      </w:r>
      <w:r w:rsidR="00F93A39">
        <w:rPr>
          <w:rFonts w:cstheme="minorHAnsi"/>
        </w:rPr>
        <w:fldChar w:fldCharType="begin"/>
      </w:r>
      <w:r w:rsidR="00F93A39">
        <w:rPr>
          <w:rFonts w:cstheme="minorHAnsi"/>
        </w:rPr>
        <w:instrText xml:space="preserve"> DOCVARIABLE vault_nd_27c32fb9-19f2-4e7e-ab47-f800eb411ae4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0A07F48F" w14:textId="77777777" w:rsidR="001F7478" w:rsidRPr="009A2653" w:rsidRDefault="001F7478" w:rsidP="00A73D97">
      <w:pPr>
        <w:spacing w:line="240" w:lineRule="auto"/>
        <w:ind w:right="-63"/>
        <w:rPr>
          <w:rFonts w:asciiTheme="majorHAnsi" w:hAnsiTheme="majorHAnsi"/>
          <w:u w:val="single"/>
        </w:rPr>
      </w:pPr>
      <w:r w:rsidRPr="009A2653">
        <w:rPr>
          <w:rFonts w:asciiTheme="majorHAnsi" w:hAnsiTheme="majorHAnsi"/>
          <w:u w:val="single"/>
        </w:rPr>
        <w:t>Unopened</w:t>
      </w:r>
    </w:p>
    <w:p w14:paraId="07414744" w14:textId="6E40DF7E" w:rsidR="00E017F1" w:rsidRPr="00AC2279" w:rsidRDefault="00E017F1" w:rsidP="00A73D97">
      <w:pPr>
        <w:pStyle w:val="BodyText"/>
        <w:spacing w:before="253"/>
        <w:ind w:left="0" w:right="-63"/>
        <w:rPr>
          <w:rFonts w:asciiTheme="majorHAnsi" w:hAnsiTheme="majorHAnsi"/>
        </w:rPr>
      </w:pPr>
      <w:r w:rsidRPr="00AC2279">
        <w:rPr>
          <w:rFonts w:asciiTheme="majorHAnsi" w:hAnsiTheme="majorHAnsi"/>
        </w:rPr>
        <w:t>Store</w:t>
      </w:r>
      <w:r w:rsidRPr="00AC2279">
        <w:rPr>
          <w:rFonts w:asciiTheme="majorHAnsi" w:hAnsiTheme="majorHAnsi"/>
          <w:spacing w:val="-6"/>
        </w:rPr>
        <w:t xml:space="preserve"> </w:t>
      </w:r>
      <w:r w:rsidR="00C21BBE" w:rsidRPr="00AC2279">
        <w:rPr>
          <w:rFonts w:asciiTheme="majorHAnsi" w:hAnsiTheme="majorHAnsi"/>
        </w:rPr>
        <w:t xml:space="preserve">at </w:t>
      </w:r>
      <w:r w:rsidRPr="00AC2279">
        <w:rPr>
          <w:rFonts w:asciiTheme="majorHAnsi" w:hAnsiTheme="majorHAnsi"/>
        </w:rPr>
        <w:t>2</w:t>
      </w:r>
      <w:r w:rsidRPr="00AC2279">
        <w:rPr>
          <w:rFonts w:asciiTheme="majorHAnsi" w:hAnsiTheme="majorHAnsi"/>
          <w:spacing w:val="-5"/>
        </w:rPr>
        <w:t xml:space="preserve"> </w:t>
      </w:r>
      <w:r w:rsidR="008825D9" w:rsidRPr="00AC2279">
        <w:rPr>
          <w:rFonts w:asciiTheme="majorHAnsi" w:hAnsiTheme="majorHAnsi"/>
        </w:rPr>
        <w:t>to</w:t>
      </w:r>
      <w:r w:rsidRPr="00AC2279">
        <w:rPr>
          <w:rFonts w:asciiTheme="majorHAnsi" w:hAnsiTheme="majorHAnsi"/>
          <w:spacing w:val="-5"/>
        </w:rPr>
        <w:t xml:space="preserve"> </w:t>
      </w:r>
      <w:r w:rsidRPr="00AC2279">
        <w:rPr>
          <w:rFonts w:asciiTheme="majorHAnsi" w:hAnsiTheme="majorHAnsi"/>
        </w:rPr>
        <w:t>8</w:t>
      </w:r>
      <w:r w:rsidR="00F82F6A">
        <w:rPr>
          <w:rFonts w:asciiTheme="majorHAnsi" w:hAnsiTheme="majorHAnsi"/>
        </w:rPr>
        <w:t xml:space="preserve"> </w:t>
      </w:r>
      <w:r w:rsidRPr="00AC2279">
        <w:rPr>
          <w:rFonts w:asciiTheme="majorHAnsi" w:hAnsiTheme="majorHAnsi"/>
        </w:rPr>
        <w:t>°C.</w:t>
      </w:r>
      <w:r w:rsidR="0094684A">
        <w:rPr>
          <w:rFonts w:asciiTheme="majorHAnsi" w:hAnsiTheme="majorHAnsi"/>
        </w:rPr>
        <w:t xml:space="preserve"> </w:t>
      </w:r>
      <w:r w:rsidRPr="00AC2279">
        <w:rPr>
          <w:rFonts w:asciiTheme="majorHAnsi" w:hAnsiTheme="majorHAnsi"/>
        </w:rPr>
        <w:t xml:space="preserve"> Do not freeze.</w:t>
      </w:r>
    </w:p>
    <w:p w14:paraId="1048809B" w14:textId="532520EB" w:rsidR="009A2653" w:rsidRPr="00AC2279" w:rsidRDefault="001F7478" w:rsidP="00A73D97">
      <w:pPr>
        <w:ind w:right="-63"/>
        <w:rPr>
          <w:rFonts w:asciiTheme="majorHAnsi" w:hAnsiTheme="majorHAnsi"/>
        </w:rPr>
      </w:pPr>
      <w:r w:rsidRPr="00AC2279">
        <w:rPr>
          <w:rFonts w:asciiTheme="majorHAnsi" w:hAnsiTheme="majorHAnsi"/>
        </w:rPr>
        <w:t xml:space="preserve">Store in the original package </w:t>
      </w:r>
      <w:proofErr w:type="gramStart"/>
      <w:r w:rsidRPr="00AC2279">
        <w:rPr>
          <w:rFonts w:asciiTheme="majorHAnsi" w:hAnsiTheme="majorHAnsi"/>
        </w:rPr>
        <w:t>in order to</w:t>
      </w:r>
      <w:proofErr w:type="gramEnd"/>
      <w:r w:rsidRPr="00AC2279">
        <w:rPr>
          <w:rFonts w:asciiTheme="majorHAnsi" w:hAnsiTheme="majorHAnsi"/>
        </w:rPr>
        <w:t xml:space="preserve"> protect from light.</w:t>
      </w:r>
    </w:p>
    <w:p w14:paraId="487A86A9" w14:textId="06D926EB" w:rsidR="009A2653" w:rsidRPr="00AC2279" w:rsidRDefault="009A2653" w:rsidP="00A73D97">
      <w:pPr>
        <w:spacing w:line="240" w:lineRule="auto"/>
        <w:ind w:right="-63"/>
        <w:rPr>
          <w:rFonts w:asciiTheme="majorHAnsi" w:hAnsiTheme="majorHAnsi"/>
        </w:rPr>
      </w:pPr>
      <w:r w:rsidRPr="00AC2279">
        <w:rPr>
          <w:rFonts w:asciiTheme="majorHAnsi" w:hAnsiTheme="majorHAnsi"/>
        </w:rPr>
        <w:t>Alternatively, Skytrofa may be stored at temperatures ≤30</w:t>
      </w:r>
      <w:r w:rsidR="00F82F6A">
        <w:rPr>
          <w:rFonts w:asciiTheme="majorHAnsi" w:hAnsiTheme="majorHAnsi"/>
        </w:rPr>
        <w:t xml:space="preserve"> </w:t>
      </w:r>
      <w:r w:rsidRPr="00AC2279">
        <w:rPr>
          <w:rFonts w:asciiTheme="majorHAnsi" w:hAnsiTheme="majorHAnsi"/>
        </w:rPr>
        <w:t>°C for up to 6 months. Within the 6 months, the medicinal product can be returned to refrigeration (2</w:t>
      </w:r>
      <w:r w:rsidR="00D57CBF">
        <w:rPr>
          <w:rFonts w:asciiTheme="majorHAnsi" w:hAnsiTheme="majorHAnsi"/>
        </w:rPr>
        <w:t> </w:t>
      </w:r>
      <w:r w:rsidR="00F82F6A">
        <w:rPr>
          <w:rFonts w:asciiTheme="majorHAnsi" w:hAnsiTheme="majorHAnsi"/>
        </w:rPr>
        <w:t>to</w:t>
      </w:r>
      <w:r w:rsidRPr="00AC2279">
        <w:rPr>
          <w:rFonts w:asciiTheme="majorHAnsi" w:hAnsiTheme="majorHAnsi"/>
        </w:rPr>
        <w:t> 8</w:t>
      </w:r>
      <w:r w:rsidR="00F82F6A">
        <w:rPr>
          <w:rFonts w:asciiTheme="majorHAnsi" w:hAnsiTheme="majorHAnsi"/>
        </w:rPr>
        <w:t xml:space="preserve"> </w:t>
      </w:r>
      <w:r w:rsidRPr="00AC2279">
        <w:rPr>
          <w:rFonts w:asciiTheme="majorHAnsi" w:hAnsiTheme="majorHAnsi"/>
        </w:rPr>
        <w:t>°C).</w:t>
      </w:r>
    </w:p>
    <w:p w14:paraId="528E3637" w14:textId="77777777" w:rsidR="00506E0C" w:rsidRDefault="009A2653" w:rsidP="00A73D97">
      <w:pPr>
        <w:spacing w:line="240" w:lineRule="auto"/>
        <w:ind w:right="-63"/>
        <w:rPr>
          <w:rFonts w:asciiTheme="majorHAnsi" w:hAnsiTheme="majorHAnsi"/>
        </w:rPr>
      </w:pPr>
      <w:r w:rsidRPr="00AC2279">
        <w:rPr>
          <w:rFonts w:asciiTheme="majorHAnsi" w:hAnsiTheme="majorHAnsi"/>
        </w:rPr>
        <w:t xml:space="preserve">Record the date on the carton when the medicinal product was first removed from the refrigerator. </w:t>
      </w:r>
    </w:p>
    <w:p w14:paraId="38E74A70" w14:textId="1945B589" w:rsidR="00506E0C" w:rsidRPr="00D61343" w:rsidRDefault="00506E0C" w:rsidP="00A73D97">
      <w:pPr>
        <w:spacing w:line="240" w:lineRule="auto"/>
        <w:ind w:right="-63"/>
        <w:rPr>
          <w:rFonts w:asciiTheme="majorHAnsi" w:hAnsiTheme="majorHAnsi"/>
        </w:rPr>
      </w:pPr>
      <w:r w:rsidRPr="00D61343">
        <w:rPr>
          <w:rFonts w:asciiTheme="majorHAnsi" w:hAnsiTheme="majorHAnsi"/>
        </w:rPr>
        <w:t>Product</w:t>
      </w:r>
      <w:r w:rsidRPr="00D61343">
        <w:rPr>
          <w:rFonts w:asciiTheme="majorHAnsi" w:hAnsiTheme="majorHAnsi"/>
          <w:spacing w:val="-1"/>
        </w:rPr>
        <w:t xml:space="preserve"> </w:t>
      </w:r>
      <w:r w:rsidRPr="00D61343">
        <w:rPr>
          <w:rFonts w:asciiTheme="majorHAnsi" w:hAnsiTheme="majorHAnsi"/>
        </w:rPr>
        <w:t>is</w:t>
      </w:r>
      <w:r w:rsidRPr="00D61343">
        <w:rPr>
          <w:rFonts w:asciiTheme="majorHAnsi" w:hAnsiTheme="majorHAnsi"/>
          <w:spacing w:val="-5"/>
        </w:rPr>
        <w:t xml:space="preserve"> </w:t>
      </w:r>
      <w:r w:rsidRPr="00D61343">
        <w:rPr>
          <w:rFonts w:asciiTheme="majorHAnsi" w:hAnsiTheme="majorHAnsi"/>
        </w:rPr>
        <w:t>for</w:t>
      </w:r>
      <w:r w:rsidRPr="00D61343">
        <w:rPr>
          <w:rFonts w:asciiTheme="majorHAnsi" w:hAnsiTheme="majorHAnsi"/>
          <w:spacing w:val="-6"/>
        </w:rPr>
        <w:t xml:space="preserve"> </w:t>
      </w:r>
      <w:r w:rsidRPr="00D61343">
        <w:rPr>
          <w:rFonts w:asciiTheme="majorHAnsi" w:hAnsiTheme="majorHAnsi"/>
        </w:rPr>
        <w:t>single</w:t>
      </w:r>
      <w:r w:rsidRPr="00D61343">
        <w:rPr>
          <w:rFonts w:asciiTheme="majorHAnsi" w:hAnsiTheme="majorHAnsi"/>
          <w:spacing w:val="-3"/>
        </w:rPr>
        <w:t xml:space="preserve"> </w:t>
      </w:r>
      <w:r w:rsidRPr="00D61343">
        <w:rPr>
          <w:rFonts w:asciiTheme="majorHAnsi" w:hAnsiTheme="majorHAnsi"/>
        </w:rPr>
        <w:t>use</w:t>
      </w:r>
      <w:r w:rsidRPr="00D61343">
        <w:rPr>
          <w:rFonts w:asciiTheme="majorHAnsi" w:hAnsiTheme="majorHAnsi"/>
          <w:spacing w:val="-3"/>
        </w:rPr>
        <w:t xml:space="preserve"> </w:t>
      </w:r>
      <w:r w:rsidRPr="00D61343">
        <w:rPr>
          <w:rFonts w:asciiTheme="majorHAnsi" w:hAnsiTheme="majorHAnsi"/>
        </w:rPr>
        <w:t>in</w:t>
      </w:r>
      <w:r w:rsidRPr="00D61343">
        <w:rPr>
          <w:rFonts w:asciiTheme="majorHAnsi" w:hAnsiTheme="majorHAnsi"/>
          <w:spacing w:val="-2"/>
        </w:rPr>
        <w:t xml:space="preserve"> </w:t>
      </w:r>
      <w:r w:rsidRPr="00D61343">
        <w:rPr>
          <w:rFonts w:asciiTheme="majorHAnsi" w:hAnsiTheme="majorHAnsi"/>
        </w:rPr>
        <w:t>one</w:t>
      </w:r>
      <w:r w:rsidRPr="00D61343">
        <w:rPr>
          <w:rFonts w:asciiTheme="majorHAnsi" w:hAnsiTheme="majorHAnsi"/>
          <w:spacing w:val="-3"/>
        </w:rPr>
        <w:t xml:space="preserve"> </w:t>
      </w:r>
      <w:r w:rsidRPr="00D61343">
        <w:rPr>
          <w:rFonts w:asciiTheme="majorHAnsi" w:hAnsiTheme="majorHAnsi"/>
        </w:rPr>
        <w:t>patient</w:t>
      </w:r>
      <w:r w:rsidRPr="00D61343">
        <w:rPr>
          <w:rFonts w:asciiTheme="majorHAnsi" w:hAnsiTheme="majorHAnsi"/>
          <w:spacing w:val="-6"/>
        </w:rPr>
        <w:t xml:space="preserve"> </w:t>
      </w:r>
      <w:r w:rsidRPr="00D61343">
        <w:rPr>
          <w:rFonts w:asciiTheme="majorHAnsi" w:hAnsiTheme="majorHAnsi"/>
        </w:rPr>
        <w:t>only.</w:t>
      </w:r>
      <w:r w:rsidRPr="00D61343">
        <w:rPr>
          <w:rFonts w:asciiTheme="majorHAnsi" w:hAnsiTheme="majorHAnsi"/>
          <w:spacing w:val="-1"/>
        </w:rPr>
        <w:t xml:space="preserve"> </w:t>
      </w:r>
      <w:r w:rsidRPr="00D61343">
        <w:rPr>
          <w:rFonts w:asciiTheme="majorHAnsi" w:hAnsiTheme="majorHAnsi"/>
        </w:rPr>
        <w:t>Discard</w:t>
      </w:r>
      <w:r w:rsidRPr="00D61343">
        <w:rPr>
          <w:rFonts w:asciiTheme="majorHAnsi" w:hAnsiTheme="majorHAnsi"/>
          <w:spacing w:val="-5"/>
        </w:rPr>
        <w:t xml:space="preserve"> </w:t>
      </w:r>
      <w:r w:rsidRPr="00D61343">
        <w:rPr>
          <w:rFonts w:asciiTheme="majorHAnsi" w:hAnsiTheme="majorHAnsi"/>
        </w:rPr>
        <w:t>any</w:t>
      </w:r>
      <w:r w:rsidRPr="00D61343">
        <w:rPr>
          <w:rFonts w:asciiTheme="majorHAnsi" w:hAnsiTheme="majorHAnsi"/>
          <w:spacing w:val="-5"/>
        </w:rPr>
        <w:t xml:space="preserve"> </w:t>
      </w:r>
      <w:r w:rsidRPr="00D61343">
        <w:rPr>
          <w:rFonts w:asciiTheme="majorHAnsi" w:hAnsiTheme="majorHAnsi"/>
        </w:rPr>
        <w:t xml:space="preserve">residue. </w:t>
      </w:r>
    </w:p>
    <w:p w14:paraId="7A4A7863" w14:textId="4D25A993" w:rsidR="009A2653" w:rsidRPr="00AC2279" w:rsidRDefault="009A2653" w:rsidP="00A73D97">
      <w:pPr>
        <w:spacing w:line="240" w:lineRule="auto"/>
        <w:ind w:right="-63"/>
        <w:rPr>
          <w:rFonts w:asciiTheme="majorHAnsi" w:hAnsiTheme="majorHAnsi"/>
        </w:rPr>
      </w:pPr>
      <w:r w:rsidRPr="00AC2279">
        <w:rPr>
          <w:rFonts w:asciiTheme="majorHAnsi" w:hAnsiTheme="majorHAnsi"/>
        </w:rPr>
        <w:t>Discard the medicinal product when 6 months have passed.</w:t>
      </w:r>
    </w:p>
    <w:p w14:paraId="1CAB1D4E" w14:textId="77777777" w:rsidR="009A2653" w:rsidRPr="00AC2279" w:rsidRDefault="009A2653" w:rsidP="00A73D97">
      <w:pPr>
        <w:spacing w:line="240" w:lineRule="auto"/>
        <w:ind w:right="-63"/>
        <w:rPr>
          <w:rFonts w:asciiTheme="majorHAnsi" w:hAnsiTheme="majorHAnsi"/>
          <w:u w:val="single"/>
        </w:rPr>
      </w:pPr>
      <w:bookmarkStart w:id="11" w:name="_Hlk45115325"/>
      <w:r w:rsidRPr="00AC2279">
        <w:rPr>
          <w:rFonts w:asciiTheme="majorHAnsi" w:hAnsiTheme="majorHAnsi"/>
          <w:u w:val="single"/>
        </w:rPr>
        <w:t>After reconstitution</w:t>
      </w:r>
    </w:p>
    <w:p w14:paraId="0D514428" w14:textId="53B6AFC8" w:rsidR="009A2653" w:rsidRPr="00AC2279" w:rsidRDefault="009A2653" w:rsidP="00A73D97">
      <w:pPr>
        <w:spacing w:line="240" w:lineRule="auto"/>
        <w:ind w:right="-63"/>
        <w:rPr>
          <w:rFonts w:asciiTheme="majorHAnsi" w:hAnsiTheme="majorHAnsi"/>
        </w:rPr>
      </w:pPr>
      <w:r w:rsidRPr="00AC2279">
        <w:rPr>
          <w:rFonts w:asciiTheme="majorHAnsi" w:hAnsiTheme="majorHAnsi"/>
        </w:rPr>
        <w:t>Chemical and physical in</w:t>
      </w:r>
      <w:r w:rsidRPr="00AC2279">
        <w:rPr>
          <w:rFonts w:asciiTheme="majorHAnsi" w:hAnsiTheme="majorHAnsi"/>
        </w:rPr>
        <w:noBreakHyphen/>
        <w:t>use stability has been demonstrated for reconstituted product stored for 4 hours at temperatures ≤30</w:t>
      </w:r>
      <w:r w:rsidR="00F82F6A">
        <w:rPr>
          <w:rFonts w:asciiTheme="majorHAnsi" w:hAnsiTheme="majorHAnsi"/>
        </w:rPr>
        <w:t xml:space="preserve"> </w:t>
      </w:r>
      <w:r w:rsidRPr="00AC2279">
        <w:rPr>
          <w:rFonts w:asciiTheme="majorHAnsi" w:hAnsiTheme="majorHAnsi"/>
        </w:rPr>
        <w:t>°C.</w:t>
      </w:r>
    </w:p>
    <w:p w14:paraId="6A094C95" w14:textId="507CDAB9" w:rsidR="009A2653" w:rsidRDefault="009A2653" w:rsidP="2317A030">
      <w:pPr>
        <w:spacing w:line="240" w:lineRule="auto"/>
        <w:ind w:right="-63"/>
        <w:rPr>
          <w:rFonts w:asciiTheme="majorHAnsi" w:hAnsiTheme="majorHAnsi"/>
        </w:rPr>
      </w:pPr>
      <w:r w:rsidRPr="2317A030">
        <w:rPr>
          <w:rFonts w:asciiTheme="majorHAnsi" w:hAnsiTheme="majorHAnsi"/>
        </w:rPr>
        <w:t xml:space="preserve">From a microbiological point of view, the product should be used immediately after reconstitution. </w:t>
      </w:r>
      <w:r w:rsidRPr="00D61343">
        <w:rPr>
          <w:rFonts w:asciiTheme="majorHAnsi" w:hAnsiTheme="majorHAnsi"/>
        </w:rPr>
        <w:t>If not used immediately, in</w:t>
      </w:r>
      <w:r w:rsidR="00D61343">
        <w:rPr>
          <w:rFonts w:asciiTheme="majorHAnsi" w:hAnsiTheme="majorHAnsi"/>
        </w:rPr>
        <w:t xml:space="preserve"> </w:t>
      </w:r>
      <w:r w:rsidRPr="00D61343">
        <w:rPr>
          <w:rFonts w:asciiTheme="majorHAnsi" w:hAnsiTheme="majorHAnsi"/>
        </w:rPr>
        <w:t>use storage times and conditions prior to use should not exceed 4 hours at temperatures ≤30</w:t>
      </w:r>
      <w:r w:rsidR="00F82F6A" w:rsidRPr="00D61343">
        <w:rPr>
          <w:rFonts w:asciiTheme="majorHAnsi" w:hAnsiTheme="majorHAnsi"/>
        </w:rPr>
        <w:t xml:space="preserve"> </w:t>
      </w:r>
      <w:r w:rsidRPr="00D61343">
        <w:rPr>
          <w:rFonts w:asciiTheme="majorHAnsi" w:hAnsiTheme="majorHAnsi"/>
        </w:rPr>
        <w:t>°C.</w:t>
      </w:r>
      <w:bookmarkEnd w:id="11"/>
    </w:p>
    <w:p w14:paraId="3F80FEB2" w14:textId="77777777" w:rsidR="00383606" w:rsidRPr="00AC2279" w:rsidRDefault="00383606" w:rsidP="00A73D97">
      <w:pPr>
        <w:spacing w:line="240" w:lineRule="auto"/>
        <w:ind w:right="-63"/>
        <w:rPr>
          <w:rFonts w:asciiTheme="majorHAnsi" w:hAnsiTheme="majorHAnsi"/>
        </w:rPr>
      </w:pPr>
    </w:p>
    <w:p w14:paraId="28A4DCA0" w14:textId="79611BBE" w:rsidR="002C4189" w:rsidRDefault="00FB7D91" w:rsidP="00A73D97">
      <w:pPr>
        <w:pStyle w:val="Heading2"/>
        <w:spacing w:before="0" w:after="120"/>
        <w:ind w:left="0" w:right="-63" w:firstLine="0"/>
        <w:rPr>
          <w:rFonts w:cstheme="minorHAnsi"/>
        </w:rPr>
      </w:pPr>
      <w:r w:rsidRPr="004C6325">
        <w:rPr>
          <w:rFonts w:cstheme="minorHAnsi"/>
        </w:rPr>
        <w:t>Nature and contents of container</w:t>
      </w:r>
      <w:r w:rsidR="00F93A39">
        <w:rPr>
          <w:rFonts w:cstheme="minorHAnsi"/>
        </w:rPr>
        <w:fldChar w:fldCharType="begin"/>
      </w:r>
      <w:r w:rsidR="00F93A39">
        <w:rPr>
          <w:rFonts w:cstheme="minorHAnsi"/>
        </w:rPr>
        <w:instrText xml:space="preserve"> DOCVARIABLE vault_nd_b4ab47fb-0ae6-42da-b01b-e4e6bdac27e6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1B17E0F3" w14:textId="77777777" w:rsidR="008C4CC8" w:rsidRPr="007C789D" w:rsidRDefault="008C4CC8" w:rsidP="00A73D97">
      <w:pPr>
        <w:ind w:right="-63"/>
        <w:rPr>
          <w:rFonts w:asciiTheme="majorHAnsi" w:hAnsiTheme="majorHAnsi"/>
        </w:rPr>
      </w:pPr>
      <w:r w:rsidRPr="007C789D">
        <w:rPr>
          <w:rFonts w:asciiTheme="majorHAnsi" w:hAnsiTheme="majorHAnsi"/>
        </w:rPr>
        <w:t>Glass cartridge (Type I glass) with two chambers separated by a rubber stopper (</w:t>
      </w:r>
      <w:proofErr w:type="spellStart"/>
      <w:r w:rsidRPr="007C789D">
        <w:rPr>
          <w:rFonts w:asciiTheme="majorHAnsi" w:hAnsiTheme="majorHAnsi"/>
        </w:rPr>
        <w:t>bromobutyl</w:t>
      </w:r>
      <w:proofErr w:type="spellEnd"/>
      <w:r w:rsidRPr="007C789D">
        <w:rPr>
          <w:rFonts w:asciiTheme="majorHAnsi" w:hAnsiTheme="majorHAnsi"/>
        </w:rPr>
        <w:t>). The cartridge is closed by a rubber stopper (</w:t>
      </w:r>
      <w:proofErr w:type="spellStart"/>
      <w:r w:rsidRPr="007C789D">
        <w:rPr>
          <w:rFonts w:asciiTheme="majorHAnsi" w:hAnsiTheme="majorHAnsi"/>
        </w:rPr>
        <w:t>bromobutyl</w:t>
      </w:r>
      <w:proofErr w:type="spellEnd"/>
      <w:r w:rsidRPr="007C789D">
        <w:rPr>
          <w:rFonts w:asciiTheme="majorHAnsi" w:hAnsiTheme="majorHAnsi"/>
        </w:rPr>
        <w:t>) in one end and by a rubber closure disc (</w:t>
      </w:r>
      <w:proofErr w:type="spellStart"/>
      <w:r w:rsidRPr="007C789D">
        <w:rPr>
          <w:rFonts w:asciiTheme="majorHAnsi" w:hAnsiTheme="majorHAnsi"/>
        </w:rPr>
        <w:t>bromobutyl</w:t>
      </w:r>
      <w:proofErr w:type="spellEnd"/>
      <w:r w:rsidRPr="007C789D">
        <w:rPr>
          <w:rFonts w:asciiTheme="majorHAnsi" w:hAnsiTheme="majorHAnsi"/>
        </w:rPr>
        <w:t>) in the other end. The cartridge is mounted in a plastic needle adaptor.</w:t>
      </w:r>
    </w:p>
    <w:p w14:paraId="4C8525C0" w14:textId="77777777" w:rsidR="008C4CC8" w:rsidRDefault="008C4CC8" w:rsidP="00A73D97">
      <w:pPr>
        <w:ind w:right="-63"/>
        <w:rPr>
          <w:rFonts w:asciiTheme="majorHAnsi" w:hAnsiTheme="majorHAnsi"/>
        </w:rPr>
      </w:pPr>
      <w:r w:rsidRPr="007C789D">
        <w:rPr>
          <w:rFonts w:asciiTheme="majorHAnsi" w:hAnsiTheme="majorHAnsi"/>
        </w:rPr>
        <w:t>Each pack contains 4 single</w:t>
      </w:r>
      <w:r w:rsidRPr="007C789D">
        <w:rPr>
          <w:rFonts w:asciiTheme="majorHAnsi" w:hAnsiTheme="majorHAnsi"/>
        </w:rPr>
        <w:noBreakHyphen/>
        <w:t>use dual</w:t>
      </w:r>
      <w:r w:rsidRPr="007C789D">
        <w:rPr>
          <w:rFonts w:asciiTheme="majorHAnsi" w:hAnsiTheme="majorHAnsi"/>
        </w:rPr>
        <w:noBreakHyphen/>
        <w:t>chamber cartridges packed in individual blisters and 6 disposable injection needles 0.25 mm x 4 mm (31G x 5/32”). Each dual</w:t>
      </w:r>
      <w:r w:rsidRPr="007C789D">
        <w:rPr>
          <w:rFonts w:asciiTheme="majorHAnsi" w:hAnsiTheme="majorHAnsi"/>
        </w:rPr>
        <w:noBreakHyphen/>
        <w:t>chamber cartridge has a specific label with assigned two</w:t>
      </w:r>
      <w:r w:rsidRPr="007C789D">
        <w:rPr>
          <w:rFonts w:asciiTheme="majorHAnsi" w:hAnsiTheme="majorHAnsi"/>
        </w:rPr>
        <w:noBreakHyphen/>
        <w:t>colour coding ribbons that is only used by the Auto</w:t>
      </w:r>
      <w:r w:rsidRPr="007C789D">
        <w:rPr>
          <w:rFonts w:asciiTheme="majorHAnsi" w:hAnsiTheme="majorHAnsi"/>
        </w:rPr>
        <w:noBreakHyphen/>
        <w:t>Injector to select the correct reconstitution settings. Strength colours are indicated on the carton and blister foil and should be used to differentiate the individual strengths.</w:t>
      </w:r>
    </w:p>
    <w:p w14:paraId="78A79A48" w14:textId="77777777" w:rsidR="001B6144" w:rsidRPr="0056409E" w:rsidRDefault="001B6144" w:rsidP="00A73D97">
      <w:pPr>
        <w:widowControl w:val="0"/>
        <w:spacing w:line="240" w:lineRule="auto"/>
        <w:ind w:right="-63"/>
        <w:rPr>
          <w:rFonts w:asciiTheme="majorHAnsi" w:hAnsiTheme="majorHAnsi"/>
          <w:b/>
          <w:bCs/>
        </w:rPr>
      </w:pPr>
      <w:r w:rsidRPr="0056409E">
        <w:rPr>
          <w:rFonts w:asciiTheme="majorHAnsi" w:hAnsiTheme="majorHAnsi"/>
          <w:b/>
          <w:bCs/>
        </w:rPr>
        <w:t>Skytrofa 3 mg powder and solvent for solution for injection in cartridge</w:t>
      </w:r>
    </w:p>
    <w:p w14:paraId="5A6F16DF" w14:textId="77777777" w:rsidR="001B6144" w:rsidRPr="0056409E" w:rsidRDefault="001B6144" w:rsidP="00A73D97">
      <w:pPr>
        <w:widowControl w:val="0"/>
        <w:spacing w:line="240" w:lineRule="auto"/>
        <w:ind w:right="-63"/>
        <w:rPr>
          <w:rFonts w:asciiTheme="majorHAnsi" w:hAnsiTheme="majorHAnsi"/>
        </w:rPr>
      </w:pPr>
      <w:r w:rsidRPr="0056409E">
        <w:rPr>
          <w:rFonts w:asciiTheme="majorHAnsi" w:hAnsiTheme="majorHAnsi"/>
        </w:rPr>
        <w:t>Each dual</w:t>
      </w:r>
      <w:r w:rsidRPr="0056409E">
        <w:rPr>
          <w:rFonts w:asciiTheme="majorHAnsi" w:hAnsiTheme="majorHAnsi"/>
        </w:rPr>
        <w:noBreakHyphen/>
        <w:t>chamber cartridge contains 3 mg of somatropin as powder in the first chamber and 0.279 mL of solvent in the second chamber. The cartridge two</w:t>
      </w:r>
      <w:r w:rsidRPr="0056409E">
        <w:rPr>
          <w:rFonts w:asciiTheme="majorHAnsi" w:hAnsiTheme="majorHAnsi"/>
        </w:rPr>
        <w:noBreakHyphen/>
        <w:t>colour label (bottom/top) is yellow/green. The strength colour on the carton and blister is light apricot.</w:t>
      </w:r>
    </w:p>
    <w:p w14:paraId="4B30ACD6" w14:textId="77777777" w:rsidR="001B6144" w:rsidRPr="0056409E" w:rsidRDefault="001B6144" w:rsidP="00A73D97">
      <w:pPr>
        <w:widowControl w:val="0"/>
        <w:spacing w:line="240" w:lineRule="auto"/>
        <w:ind w:right="-63"/>
        <w:rPr>
          <w:rFonts w:asciiTheme="majorHAnsi" w:hAnsiTheme="majorHAnsi"/>
          <w:b/>
          <w:bCs/>
        </w:rPr>
      </w:pPr>
      <w:r w:rsidRPr="0056409E">
        <w:rPr>
          <w:rFonts w:asciiTheme="majorHAnsi" w:hAnsiTheme="majorHAnsi"/>
          <w:b/>
          <w:bCs/>
        </w:rPr>
        <w:t>Skytrofa 3.6 mg powder and solvent for solution for injection in cartridge</w:t>
      </w:r>
    </w:p>
    <w:p w14:paraId="71FC8BA0" w14:textId="77777777" w:rsidR="001B6144" w:rsidRPr="0056409E" w:rsidRDefault="001B6144" w:rsidP="00A73D97">
      <w:pPr>
        <w:widowControl w:val="0"/>
        <w:spacing w:line="240" w:lineRule="auto"/>
        <w:ind w:right="-63"/>
        <w:rPr>
          <w:rFonts w:asciiTheme="majorHAnsi" w:hAnsiTheme="majorHAnsi"/>
        </w:rPr>
      </w:pPr>
      <w:r w:rsidRPr="0056409E">
        <w:rPr>
          <w:rFonts w:asciiTheme="majorHAnsi" w:hAnsiTheme="majorHAnsi"/>
        </w:rPr>
        <w:t>Each dual</w:t>
      </w:r>
      <w:r w:rsidRPr="0056409E">
        <w:rPr>
          <w:rFonts w:asciiTheme="majorHAnsi" w:hAnsiTheme="majorHAnsi"/>
        </w:rPr>
        <w:noBreakHyphen/>
        <w:t>chamber cartridge contains 3.6 mg of somatropin as powder in the first chamber and 0.329 mL of solvent in the second chamber. The cartridge two</w:t>
      </w:r>
      <w:r w:rsidRPr="0056409E">
        <w:rPr>
          <w:rFonts w:asciiTheme="majorHAnsi" w:hAnsiTheme="majorHAnsi"/>
        </w:rPr>
        <w:noBreakHyphen/>
        <w:t>colour label (bottom/top) is yellow/cyan. The strength colour on the carton and blister is cyan.</w:t>
      </w:r>
    </w:p>
    <w:p w14:paraId="19C631B3" w14:textId="77777777" w:rsidR="001B6144" w:rsidRPr="0056409E" w:rsidRDefault="001B6144" w:rsidP="00A73D97">
      <w:pPr>
        <w:keepNext/>
        <w:keepLines/>
        <w:widowControl w:val="0"/>
        <w:spacing w:line="240" w:lineRule="auto"/>
        <w:ind w:right="-63"/>
        <w:rPr>
          <w:rFonts w:asciiTheme="majorHAnsi" w:hAnsiTheme="majorHAnsi"/>
          <w:b/>
          <w:bCs/>
        </w:rPr>
      </w:pPr>
      <w:r w:rsidRPr="0056409E">
        <w:rPr>
          <w:rFonts w:asciiTheme="majorHAnsi" w:hAnsiTheme="majorHAnsi"/>
          <w:b/>
          <w:bCs/>
        </w:rPr>
        <w:lastRenderedPageBreak/>
        <w:t>Skytrofa 4.3 mg powder and solvent for solution for injection in cartridge</w:t>
      </w:r>
    </w:p>
    <w:p w14:paraId="74FB2F98" w14:textId="77777777" w:rsidR="001B6144" w:rsidRPr="0056409E" w:rsidRDefault="001B6144" w:rsidP="00A73D97">
      <w:pPr>
        <w:widowControl w:val="0"/>
        <w:spacing w:line="240" w:lineRule="auto"/>
        <w:ind w:right="-63"/>
        <w:rPr>
          <w:rFonts w:asciiTheme="majorHAnsi" w:hAnsiTheme="majorHAnsi"/>
        </w:rPr>
      </w:pPr>
      <w:r w:rsidRPr="0056409E">
        <w:rPr>
          <w:rFonts w:asciiTheme="majorHAnsi" w:hAnsiTheme="majorHAnsi"/>
        </w:rPr>
        <w:t>Each dual</w:t>
      </w:r>
      <w:r w:rsidRPr="0056409E">
        <w:rPr>
          <w:rFonts w:asciiTheme="majorHAnsi" w:hAnsiTheme="majorHAnsi"/>
        </w:rPr>
        <w:noBreakHyphen/>
        <w:t>chamber cartridge contains 4.3 mg of somatropin as powder in the first chamber and 0.388 mL of solvent in the second chamber. The cartridge two</w:t>
      </w:r>
      <w:r w:rsidRPr="0056409E">
        <w:rPr>
          <w:rFonts w:asciiTheme="majorHAnsi" w:hAnsiTheme="majorHAnsi"/>
        </w:rPr>
        <w:noBreakHyphen/>
        <w:t>colour label (bottom/top) is yellow/pink. The strength colour on the carton and blister is dark grey.</w:t>
      </w:r>
    </w:p>
    <w:p w14:paraId="1FDC7213" w14:textId="77777777" w:rsidR="001B6144" w:rsidRPr="0056409E" w:rsidRDefault="001B6144" w:rsidP="00A73D97">
      <w:pPr>
        <w:widowControl w:val="0"/>
        <w:spacing w:line="240" w:lineRule="auto"/>
        <w:ind w:right="-63"/>
        <w:rPr>
          <w:rFonts w:asciiTheme="majorHAnsi" w:hAnsiTheme="majorHAnsi"/>
          <w:b/>
          <w:bCs/>
        </w:rPr>
      </w:pPr>
      <w:r w:rsidRPr="0056409E">
        <w:rPr>
          <w:rFonts w:asciiTheme="majorHAnsi" w:hAnsiTheme="majorHAnsi"/>
          <w:b/>
          <w:bCs/>
        </w:rPr>
        <w:t>Skytrofa 5.2 mg powder and solvent for solution for injection in cartridge</w:t>
      </w:r>
    </w:p>
    <w:p w14:paraId="15D35ED9" w14:textId="77777777" w:rsidR="001B6144" w:rsidRPr="0056409E" w:rsidRDefault="001B6144" w:rsidP="00A73D97">
      <w:pPr>
        <w:widowControl w:val="0"/>
        <w:spacing w:line="240" w:lineRule="auto"/>
        <w:ind w:right="-63"/>
        <w:rPr>
          <w:rFonts w:asciiTheme="majorHAnsi" w:hAnsiTheme="majorHAnsi"/>
        </w:rPr>
      </w:pPr>
      <w:r w:rsidRPr="0056409E">
        <w:rPr>
          <w:rFonts w:asciiTheme="majorHAnsi" w:hAnsiTheme="majorHAnsi"/>
        </w:rPr>
        <w:t>Each dual</w:t>
      </w:r>
      <w:r w:rsidRPr="0056409E">
        <w:rPr>
          <w:rFonts w:asciiTheme="majorHAnsi" w:hAnsiTheme="majorHAnsi"/>
        </w:rPr>
        <w:noBreakHyphen/>
        <w:t>chamber cartridge contains 5.2 mg of somatropin as powder in the first chamber and 0.464 mL of solvent in the second chamber. The cartridge two</w:t>
      </w:r>
      <w:r w:rsidRPr="0056409E">
        <w:rPr>
          <w:rFonts w:asciiTheme="majorHAnsi" w:hAnsiTheme="majorHAnsi"/>
        </w:rPr>
        <w:noBreakHyphen/>
        <w:t>colour label (bottom/top) is green/pink. The strength colour on the carton and blister is yellow.</w:t>
      </w:r>
    </w:p>
    <w:p w14:paraId="00C97E8A" w14:textId="77777777" w:rsidR="001B6144" w:rsidRPr="0056409E" w:rsidRDefault="001B6144" w:rsidP="00A73D97">
      <w:pPr>
        <w:widowControl w:val="0"/>
        <w:spacing w:line="240" w:lineRule="auto"/>
        <w:ind w:right="-63"/>
        <w:rPr>
          <w:rFonts w:asciiTheme="majorHAnsi" w:hAnsiTheme="majorHAnsi"/>
          <w:b/>
          <w:bCs/>
        </w:rPr>
      </w:pPr>
      <w:r w:rsidRPr="0056409E">
        <w:rPr>
          <w:rFonts w:asciiTheme="majorHAnsi" w:hAnsiTheme="majorHAnsi"/>
          <w:b/>
          <w:bCs/>
        </w:rPr>
        <w:t>Skytrofa 6.3 mg powder and solvent for solution for injection in cartridge</w:t>
      </w:r>
    </w:p>
    <w:p w14:paraId="4F48A1CC" w14:textId="77777777" w:rsidR="001B6144" w:rsidRPr="0056409E" w:rsidRDefault="001B6144" w:rsidP="00A73D97">
      <w:pPr>
        <w:widowControl w:val="0"/>
        <w:spacing w:line="240" w:lineRule="auto"/>
        <w:ind w:right="-63"/>
        <w:rPr>
          <w:rFonts w:asciiTheme="majorHAnsi" w:hAnsiTheme="majorHAnsi"/>
        </w:rPr>
      </w:pPr>
      <w:r w:rsidRPr="0056409E">
        <w:rPr>
          <w:rFonts w:asciiTheme="majorHAnsi" w:hAnsiTheme="majorHAnsi"/>
        </w:rPr>
        <w:t>Each dual</w:t>
      </w:r>
      <w:r w:rsidRPr="0056409E">
        <w:rPr>
          <w:rFonts w:asciiTheme="majorHAnsi" w:hAnsiTheme="majorHAnsi"/>
        </w:rPr>
        <w:noBreakHyphen/>
        <w:t>chamber cartridge contains 6.3 mg of somatropin as powder in the first chamber and 0.285 mL of solvent in the second chamber. The cartridge two</w:t>
      </w:r>
      <w:r w:rsidRPr="0056409E">
        <w:rPr>
          <w:rFonts w:asciiTheme="majorHAnsi" w:hAnsiTheme="majorHAnsi"/>
        </w:rPr>
        <w:noBreakHyphen/>
        <w:t>colour label (bottom/top) is cyan/yellow. The strength colour on the carton and blister is orange.</w:t>
      </w:r>
    </w:p>
    <w:p w14:paraId="6C12690C" w14:textId="77777777" w:rsidR="001B6144" w:rsidRPr="0056409E" w:rsidRDefault="001B6144" w:rsidP="00A73D97">
      <w:pPr>
        <w:widowControl w:val="0"/>
        <w:spacing w:line="240" w:lineRule="auto"/>
        <w:ind w:right="-63"/>
        <w:rPr>
          <w:rFonts w:asciiTheme="majorHAnsi" w:hAnsiTheme="majorHAnsi"/>
          <w:b/>
          <w:bCs/>
        </w:rPr>
      </w:pPr>
      <w:r w:rsidRPr="0056409E">
        <w:rPr>
          <w:rFonts w:asciiTheme="majorHAnsi" w:hAnsiTheme="majorHAnsi"/>
          <w:b/>
          <w:bCs/>
        </w:rPr>
        <w:t>Skytrofa 7.6 mg powder and solvent for solution for injection in cartridge</w:t>
      </w:r>
    </w:p>
    <w:p w14:paraId="68B8CA98" w14:textId="77777777" w:rsidR="001B6144" w:rsidRPr="0056409E" w:rsidRDefault="001B6144" w:rsidP="00A73D97">
      <w:pPr>
        <w:widowControl w:val="0"/>
        <w:spacing w:line="240" w:lineRule="auto"/>
        <w:ind w:right="-63"/>
        <w:rPr>
          <w:rFonts w:asciiTheme="majorHAnsi" w:hAnsiTheme="majorHAnsi"/>
        </w:rPr>
      </w:pPr>
      <w:r w:rsidRPr="0056409E">
        <w:rPr>
          <w:rFonts w:asciiTheme="majorHAnsi" w:hAnsiTheme="majorHAnsi"/>
        </w:rPr>
        <w:t>Each dual</w:t>
      </w:r>
      <w:r w:rsidRPr="0056409E">
        <w:rPr>
          <w:rFonts w:asciiTheme="majorHAnsi" w:hAnsiTheme="majorHAnsi"/>
        </w:rPr>
        <w:noBreakHyphen/>
        <w:t>chamber cartridge contains 7.6 mg of somatropin as powder in the first chamber and 0.338 mL of solvent in the second chamber. The cartridge two</w:t>
      </w:r>
      <w:r w:rsidRPr="0056409E">
        <w:rPr>
          <w:rFonts w:asciiTheme="majorHAnsi" w:hAnsiTheme="majorHAnsi"/>
        </w:rPr>
        <w:noBreakHyphen/>
        <w:t>colour label (bottom/top) is cyan/pink. The strength colour on the carton and blister is dark purple.</w:t>
      </w:r>
    </w:p>
    <w:p w14:paraId="2143D867" w14:textId="77777777" w:rsidR="001B6144" w:rsidRPr="0056409E" w:rsidRDefault="001B6144" w:rsidP="00A73D97">
      <w:pPr>
        <w:widowControl w:val="0"/>
        <w:spacing w:line="240" w:lineRule="auto"/>
        <w:ind w:right="-63"/>
        <w:rPr>
          <w:rFonts w:asciiTheme="majorHAnsi" w:hAnsiTheme="majorHAnsi"/>
          <w:b/>
          <w:bCs/>
        </w:rPr>
      </w:pPr>
      <w:r w:rsidRPr="0056409E">
        <w:rPr>
          <w:rFonts w:asciiTheme="majorHAnsi" w:hAnsiTheme="majorHAnsi"/>
          <w:b/>
          <w:bCs/>
        </w:rPr>
        <w:t>Skytrofa 9.1 mg powder and solvent for solution for injection in cartridge</w:t>
      </w:r>
    </w:p>
    <w:p w14:paraId="1C2C4C0B" w14:textId="00329DB8" w:rsidR="00744481" w:rsidRPr="0056409E" w:rsidRDefault="001B6144" w:rsidP="00A73D97">
      <w:pPr>
        <w:spacing w:line="240" w:lineRule="auto"/>
        <w:ind w:right="-63"/>
        <w:rPr>
          <w:rFonts w:asciiTheme="majorHAnsi" w:hAnsiTheme="majorHAnsi"/>
        </w:rPr>
      </w:pPr>
      <w:r w:rsidRPr="0056409E">
        <w:rPr>
          <w:rFonts w:asciiTheme="majorHAnsi" w:hAnsiTheme="majorHAnsi"/>
        </w:rPr>
        <w:t>Each dual</w:t>
      </w:r>
      <w:r w:rsidRPr="0056409E">
        <w:rPr>
          <w:rFonts w:asciiTheme="majorHAnsi" w:hAnsiTheme="majorHAnsi"/>
        </w:rPr>
        <w:noBreakHyphen/>
        <w:t>chamber cartridge contains 9.1 mg of somatropin as powder in the first chamber and 0.4 mL of solvent in the second chamber. The cartridge two</w:t>
      </w:r>
      <w:r w:rsidRPr="0056409E">
        <w:rPr>
          <w:rFonts w:asciiTheme="majorHAnsi" w:hAnsiTheme="majorHAnsi"/>
        </w:rPr>
        <w:noBreakHyphen/>
        <w:t>colour label (bottom/top) is pink/yellow. The strength colour on the carton and blister is golden brown.</w:t>
      </w:r>
    </w:p>
    <w:p w14:paraId="72C74EAD" w14:textId="77777777" w:rsidR="00230C20" w:rsidRPr="0056409E" w:rsidRDefault="00230C20" w:rsidP="00A73D97">
      <w:pPr>
        <w:keepNext/>
        <w:keepLines/>
        <w:widowControl w:val="0"/>
        <w:spacing w:line="240" w:lineRule="auto"/>
        <w:ind w:right="-63"/>
        <w:rPr>
          <w:rFonts w:asciiTheme="majorHAnsi" w:hAnsiTheme="majorHAnsi"/>
          <w:b/>
          <w:bCs/>
        </w:rPr>
      </w:pPr>
      <w:r w:rsidRPr="0056409E">
        <w:rPr>
          <w:rFonts w:asciiTheme="majorHAnsi" w:hAnsiTheme="majorHAnsi"/>
          <w:b/>
          <w:bCs/>
        </w:rPr>
        <w:t>Skytrofa 11 mg powder and solvent for solution for injection in cartridge</w:t>
      </w:r>
    </w:p>
    <w:p w14:paraId="2FE6EFC6" w14:textId="77777777" w:rsidR="00230C20" w:rsidRPr="0056409E" w:rsidRDefault="00230C20" w:rsidP="00A73D97">
      <w:pPr>
        <w:keepNext/>
        <w:keepLines/>
        <w:widowControl w:val="0"/>
        <w:spacing w:line="240" w:lineRule="auto"/>
        <w:ind w:right="-63"/>
        <w:rPr>
          <w:rFonts w:asciiTheme="majorHAnsi" w:hAnsiTheme="majorHAnsi"/>
        </w:rPr>
      </w:pPr>
      <w:r w:rsidRPr="0056409E">
        <w:rPr>
          <w:rFonts w:asciiTheme="majorHAnsi" w:hAnsiTheme="majorHAnsi"/>
        </w:rPr>
        <w:t>Each dual</w:t>
      </w:r>
      <w:r w:rsidRPr="0056409E">
        <w:rPr>
          <w:rFonts w:asciiTheme="majorHAnsi" w:hAnsiTheme="majorHAnsi"/>
        </w:rPr>
        <w:noBreakHyphen/>
        <w:t>chamber cartridge contains 11 mg of somatropin as powder in the first chamber and 0.479 mL of solvent in the second chamber. The cartridge two</w:t>
      </w:r>
      <w:r w:rsidRPr="0056409E">
        <w:rPr>
          <w:rFonts w:asciiTheme="majorHAnsi" w:hAnsiTheme="majorHAnsi"/>
        </w:rPr>
        <w:noBreakHyphen/>
        <w:t>colour label (bottom/top) is pink/green. The strength colour on the carton and blister is dark blue.</w:t>
      </w:r>
    </w:p>
    <w:p w14:paraId="3236D0BC" w14:textId="77777777" w:rsidR="00230C20" w:rsidRPr="0056409E" w:rsidRDefault="00230C20" w:rsidP="00A73D97">
      <w:pPr>
        <w:widowControl w:val="0"/>
        <w:spacing w:line="240" w:lineRule="auto"/>
        <w:ind w:right="-63"/>
        <w:rPr>
          <w:rFonts w:asciiTheme="majorHAnsi" w:hAnsiTheme="majorHAnsi"/>
          <w:b/>
          <w:bCs/>
        </w:rPr>
      </w:pPr>
      <w:r w:rsidRPr="0056409E">
        <w:rPr>
          <w:rFonts w:asciiTheme="majorHAnsi" w:hAnsiTheme="majorHAnsi"/>
          <w:b/>
          <w:bCs/>
        </w:rPr>
        <w:t>Skytrofa 13.3 mg powder and solvent for solution for injection in cartridge</w:t>
      </w:r>
    </w:p>
    <w:p w14:paraId="235FBAEF" w14:textId="77777777" w:rsidR="00230C20" w:rsidRPr="0056409E" w:rsidRDefault="00230C20" w:rsidP="00A73D97">
      <w:pPr>
        <w:widowControl w:val="0"/>
        <w:spacing w:line="240" w:lineRule="auto"/>
        <w:ind w:right="-63"/>
        <w:rPr>
          <w:rFonts w:asciiTheme="majorHAnsi" w:hAnsiTheme="majorHAnsi"/>
        </w:rPr>
      </w:pPr>
      <w:r w:rsidRPr="0056409E">
        <w:rPr>
          <w:rFonts w:asciiTheme="majorHAnsi" w:hAnsiTheme="majorHAnsi"/>
        </w:rPr>
        <w:t>Each dual</w:t>
      </w:r>
      <w:r w:rsidRPr="0056409E">
        <w:rPr>
          <w:rFonts w:asciiTheme="majorHAnsi" w:hAnsiTheme="majorHAnsi"/>
        </w:rPr>
        <w:noBreakHyphen/>
        <w:t>chamber cartridge contains 13.3 mg of somatropin as powder in the first chamber and 0.574 mL of solvent in the second chamber. The cartridge two</w:t>
      </w:r>
      <w:r w:rsidRPr="0056409E">
        <w:rPr>
          <w:rFonts w:asciiTheme="majorHAnsi" w:hAnsiTheme="majorHAnsi"/>
        </w:rPr>
        <w:noBreakHyphen/>
        <w:t>colour label (bottom/top) is pink/cyan. The strength colour on the carton and blister is dark red.</w:t>
      </w:r>
    </w:p>
    <w:p w14:paraId="31290AC5" w14:textId="61453634" w:rsidR="002C4189" w:rsidRPr="004C6325" w:rsidRDefault="00FB7D91" w:rsidP="00A73D97">
      <w:pPr>
        <w:pStyle w:val="Heading2"/>
        <w:spacing w:before="0" w:after="120"/>
        <w:ind w:left="0" w:right="-63" w:firstLine="0"/>
        <w:rPr>
          <w:rFonts w:cstheme="minorHAnsi"/>
        </w:rPr>
      </w:pPr>
      <w:r w:rsidRPr="004C6325">
        <w:rPr>
          <w:rFonts w:cstheme="minorHAnsi"/>
        </w:rPr>
        <w:t>Special precautions for disposal</w:t>
      </w:r>
      <w:r w:rsidR="00CF126D">
        <w:rPr>
          <w:rFonts w:cstheme="minorHAnsi"/>
        </w:rPr>
        <w:t xml:space="preserve"> and other handling</w:t>
      </w:r>
      <w:r w:rsidR="00F93A39">
        <w:rPr>
          <w:rFonts w:cstheme="minorHAnsi"/>
        </w:rPr>
        <w:fldChar w:fldCharType="begin"/>
      </w:r>
      <w:r w:rsidR="00F93A39">
        <w:rPr>
          <w:rFonts w:cstheme="minorHAnsi"/>
        </w:rPr>
        <w:instrText xml:space="preserve"> DOCVARIABLE vault_nd_f40fb902-d82e-41f4-980c-3e72f00ab2c0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0E8EE456" w14:textId="77777777" w:rsidR="002C4189" w:rsidRPr="004862AC" w:rsidRDefault="00FB7D91" w:rsidP="00A73D97">
      <w:pPr>
        <w:spacing w:line="240" w:lineRule="auto"/>
        <w:ind w:right="-63"/>
        <w:rPr>
          <w:rFonts w:asciiTheme="majorHAnsi" w:hAnsiTheme="majorHAnsi" w:cstheme="minorHAnsi"/>
        </w:rPr>
      </w:pPr>
      <w:r w:rsidRPr="004862AC">
        <w:rPr>
          <w:rFonts w:asciiTheme="majorHAnsi" w:hAnsiTheme="majorHAnsi" w:cstheme="minorHAnsi"/>
        </w:rPr>
        <w:t xml:space="preserve">In Australia, any unused medicine or waste material should be disposed of by taking to your local pharmacy. </w:t>
      </w:r>
    </w:p>
    <w:p w14:paraId="719BE866" w14:textId="77777777" w:rsidR="004862AC" w:rsidRPr="00162324" w:rsidRDefault="004862AC" w:rsidP="00A73D97">
      <w:pPr>
        <w:spacing w:line="240" w:lineRule="auto"/>
        <w:ind w:right="-63"/>
        <w:rPr>
          <w:rFonts w:asciiTheme="majorHAnsi" w:hAnsiTheme="majorHAnsi"/>
          <w:b/>
          <w:bCs/>
        </w:rPr>
      </w:pPr>
      <w:bookmarkStart w:id="12" w:name="_Hlk65162149"/>
      <w:r w:rsidRPr="00162324">
        <w:rPr>
          <w:rFonts w:asciiTheme="majorHAnsi" w:hAnsiTheme="majorHAnsi"/>
          <w:b/>
          <w:bCs/>
        </w:rPr>
        <w:t>Handling</w:t>
      </w:r>
    </w:p>
    <w:p w14:paraId="0C5A68EF" w14:textId="77777777" w:rsidR="004862AC" w:rsidRPr="004862AC" w:rsidRDefault="004862AC" w:rsidP="00A73D97">
      <w:pPr>
        <w:spacing w:line="240" w:lineRule="auto"/>
        <w:ind w:right="-63"/>
        <w:rPr>
          <w:rFonts w:asciiTheme="majorHAnsi" w:hAnsiTheme="majorHAnsi"/>
        </w:rPr>
      </w:pPr>
      <w:r w:rsidRPr="004862AC">
        <w:rPr>
          <w:rFonts w:asciiTheme="majorHAnsi" w:hAnsiTheme="majorHAnsi"/>
        </w:rPr>
        <w:t>If refrigerated, keep at room temperature for 15 minutes before use.</w:t>
      </w:r>
    </w:p>
    <w:p w14:paraId="3AF4020C" w14:textId="77777777" w:rsidR="004862AC" w:rsidRPr="004862AC" w:rsidRDefault="004862AC" w:rsidP="00A73D97">
      <w:pPr>
        <w:widowControl w:val="0"/>
        <w:spacing w:line="240" w:lineRule="auto"/>
        <w:ind w:right="-63"/>
        <w:rPr>
          <w:rFonts w:asciiTheme="majorHAnsi" w:hAnsiTheme="majorHAnsi"/>
        </w:rPr>
      </w:pPr>
      <w:r w:rsidRPr="004862AC">
        <w:rPr>
          <w:rFonts w:asciiTheme="majorHAnsi" w:hAnsiTheme="majorHAnsi"/>
        </w:rPr>
        <w:t>Each Skytrofa dual</w:t>
      </w:r>
      <w:r w:rsidRPr="004862AC">
        <w:rPr>
          <w:rFonts w:asciiTheme="majorHAnsi" w:hAnsiTheme="majorHAnsi"/>
        </w:rPr>
        <w:noBreakHyphen/>
        <w:t>chamber cartridge containing the powder and solvent for solution for injection is for single</w:t>
      </w:r>
      <w:r w:rsidRPr="004862AC">
        <w:rPr>
          <w:rFonts w:asciiTheme="majorHAnsi" w:hAnsiTheme="majorHAnsi"/>
        </w:rPr>
        <w:noBreakHyphen/>
        <w:t xml:space="preserve">use only and must only be used with the supplied injection needles and the </w:t>
      </w:r>
      <w:r w:rsidRPr="004862AC">
        <w:rPr>
          <w:rFonts w:asciiTheme="majorHAnsi" w:hAnsiTheme="majorHAnsi"/>
          <w:noProof/>
        </w:rPr>
        <w:t>Skytrofa</w:t>
      </w:r>
      <w:r w:rsidRPr="004862AC">
        <w:rPr>
          <w:rFonts w:asciiTheme="majorHAnsi" w:hAnsiTheme="majorHAnsi"/>
        </w:rPr>
        <w:t xml:space="preserve"> Auto</w:t>
      </w:r>
      <w:r w:rsidRPr="004862AC">
        <w:rPr>
          <w:rFonts w:asciiTheme="majorHAnsi" w:hAnsiTheme="majorHAnsi"/>
        </w:rPr>
        <w:noBreakHyphen/>
        <w:t xml:space="preserve">Injector. The </w:t>
      </w:r>
      <w:r w:rsidRPr="004862AC">
        <w:rPr>
          <w:rFonts w:asciiTheme="majorHAnsi" w:hAnsiTheme="majorHAnsi"/>
          <w:noProof/>
        </w:rPr>
        <w:t>Skytrofa</w:t>
      </w:r>
      <w:r w:rsidRPr="004862AC">
        <w:rPr>
          <w:rFonts w:asciiTheme="majorHAnsi" w:hAnsiTheme="majorHAnsi"/>
        </w:rPr>
        <w:t xml:space="preserve"> Auto</w:t>
      </w:r>
      <w:r w:rsidRPr="004862AC">
        <w:rPr>
          <w:rFonts w:asciiTheme="majorHAnsi" w:hAnsiTheme="majorHAnsi"/>
        </w:rPr>
        <w:noBreakHyphen/>
        <w:t xml:space="preserve">Injector is not included in this pack. The powder for solution for injection must be reconstituted with the enclosed solvent by a </w:t>
      </w:r>
      <w:r w:rsidRPr="004862AC">
        <w:rPr>
          <w:rFonts w:asciiTheme="majorHAnsi" w:hAnsiTheme="majorHAnsi"/>
          <w:noProof/>
        </w:rPr>
        <w:t>Skytrofa</w:t>
      </w:r>
      <w:r w:rsidRPr="004862AC">
        <w:rPr>
          <w:rFonts w:asciiTheme="majorHAnsi" w:hAnsiTheme="majorHAnsi"/>
        </w:rPr>
        <w:t xml:space="preserve"> Auto</w:t>
      </w:r>
      <w:r w:rsidRPr="004862AC">
        <w:rPr>
          <w:rFonts w:asciiTheme="majorHAnsi" w:hAnsiTheme="majorHAnsi"/>
        </w:rPr>
        <w:noBreakHyphen/>
        <w:t>Injector after attaching the needle to the dual</w:t>
      </w:r>
      <w:r w:rsidRPr="004862AC">
        <w:rPr>
          <w:rFonts w:asciiTheme="majorHAnsi" w:hAnsiTheme="majorHAnsi"/>
        </w:rPr>
        <w:noBreakHyphen/>
        <w:t>chamber cartridge.</w:t>
      </w:r>
    </w:p>
    <w:p w14:paraId="096232F8" w14:textId="77777777" w:rsidR="004862AC" w:rsidRPr="004862AC" w:rsidRDefault="004862AC" w:rsidP="00A73D97">
      <w:pPr>
        <w:widowControl w:val="0"/>
        <w:spacing w:line="240" w:lineRule="auto"/>
        <w:ind w:right="-63"/>
        <w:rPr>
          <w:rFonts w:asciiTheme="majorHAnsi" w:hAnsiTheme="majorHAnsi"/>
        </w:rPr>
      </w:pPr>
      <w:r w:rsidRPr="004862AC">
        <w:rPr>
          <w:rFonts w:asciiTheme="majorHAnsi" w:hAnsiTheme="majorHAnsi"/>
        </w:rPr>
        <w:lastRenderedPageBreak/>
        <w:t>The reconstituted solution should be colourless and clear to opalescent and free or practically free of visible particles. The solution may occasionally contain air bubbles. If the solution contains particles, it must not be injected.</w:t>
      </w:r>
    </w:p>
    <w:p w14:paraId="0FCEC9AB" w14:textId="77777777" w:rsidR="004862AC" w:rsidRPr="00251507" w:rsidRDefault="004862AC" w:rsidP="00D77FED">
      <w:pPr>
        <w:rPr>
          <w:rFonts w:asciiTheme="majorHAnsi" w:hAnsiTheme="majorHAnsi"/>
        </w:rPr>
      </w:pPr>
      <w:r w:rsidRPr="00251507">
        <w:rPr>
          <w:rFonts w:asciiTheme="majorHAnsi" w:hAnsiTheme="majorHAnsi"/>
        </w:rPr>
        <w:t xml:space="preserve">Following reconstitution, Skytrofa is administered subcutaneously (automatically dosed) by the </w:t>
      </w:r>
      <w:r w:rsidRPr="00D77FED">
        <w:rPr>
          <w:rFonts w:asciiTheme="majorHAnsi" w:hAnsiTheme="majorHAnsi"/>
        </w:rPr>
        <w:t>Skytrofa</w:t>
      </w:r>
      <w:r w:rsidRPr="00251507">
        <w:rPr>
          <w:rFonts w:asciiTheme="majorHAnsi" w:hAnsiTheme="majorHAnsi"/>
        </w:rPr>
        <w:t xml:space="preserve"> Auto</w:t>
      </w:r>
      <w:r w:rsidRPr="00251507">
        <w:rPr>
          <w:rFonts w:asciiTheme="majorHAnsi" w:hAnsiTheme="majorHAnsi"/>
        </w:rPr>
        <w:noBreakHyphen/>
        <w:t>Injector.</w:t>
      </w:r>
      <w:bookmarkEnd w:id="12"/>
    </w:p>
    <w:p w14:paraId="351400E2" w14:textId="77777777" w:rsidR="004862AC" w:rsidRPr="004862AC" w:rsidRDefault="004862AC" w:rsidP="00A73D97">
      <w:pPr>
        <w:widowControl w:val="0"/>
        <w:spacing w:line="240" w:lineRule="auto"/>
        <w:ind w:right="-63"/>
        <w:rPr>
          <w:rFonts w:asciiTheme="majorHAnsi" w:hAnsiTheme="majorHAnsi"/>
        </w:rPr>
      </w:pPr>
      <w:r w:rsidRPr="004862AC">
        <w:rPr>
          <w:rFonts w:asciiTheme="majorHAnsi" w:hAnsiTheme="majorHAnsi"/>
        </w:rPr>
        <w:t>Skytrofa is dosed as a full single</w:t>
      </w:r>
      <w:r w:rsidRPr="004862AC">
        <w:rPr>
          <w:rFonts w:asciiTheme="majorHAnsi" w:hAnsiTheme="majorHAnsi"/>
        </w:rPr>
        <w:noBreakHyphen/>
        <w:t>dose (total use).</w:t>
      </w:r>
    </w:p>
    <w:p w14:paraId="579AB1AA" w14:textId="0FD1273F" w:rsidR="004862AC" w:rsidRPr="004862AC" w:rsidRDefault="004862AC" w:rsidP="00A73D97">
      <w:pPr>
        <w:widowControl w:val="0"/>
        <w:spacing w:line="240" w:lineRule="auto"/>
        <w:ind w:right="-63"/>
        <w:rPr>
          <w:rFonts w:asciiTheme="majorHAnsi" w:hAnsiTheme="majorHAnsi"/>
        </w:rPr>
      </w:pPr>
      <w:r w:rsidRPr="004862AC">
        <w:rPr>
          <w:rFonts w:asciiTheme="majorHAnsi" w:hAnsiTheme="majorHAnsi"/>
        </w:rPr>
        <w:t xml:space="preserve">Read the instructions for use for preparing Skytrofa provided </w:t>
      </w:r>
      <w:r w:rsidR="00112FEB">
        <w:rPr>
          <w:rFonts w:asciiTheme="majorHAnsi" w:hAnsiTheme="majorHAnsi"/>
        </w:rPr>
        <w:t xml:space="preserve">in the medicine </w:t>
      </w:r>
      <w:proofErr w:type="gramStart"/>
      <w:r w:rsidR="00112FEB">
        <w:rPr>
          <w:rFonts w:asciiTheme="majorHAnsi" w:hAnsiTheme="majorHAnsi"/>
        </w:rPr>
        <w:t xml:space="preserve">carton </w:t>
      </w:r>
      <w:r w:rsidRPr="004862AC">
        <w:rPr>
          <w:rFonts w:asciiTheme="majorHAnsi" w:hAnsiTheme="majorHAnsi"/>
        </w:rPr>
        <w:t xml:space="preserve"> and</w:t>
      </w:r>
      <w:proofErr w:type="gramEnd"/>
      <w:r w:rsidRPr="004862AC">
        <w:rPr>
          <w:rFonts w:asciiTheme="majorHAnsi" w:hAnsiTheme="majorHAnsi"/>
        </w:rPr>
        <w:t xml:space="preserve"> the instructions for use provided with the </w:t>
      </w:r>
      <w:r w:rsidRPr="00454484">
        <w:rPr>
          <w:rFonts w:asciiTheme="majorHAnsi" w:hAnsiTheme="majorHAnsi"/>
          <w:noProof/>
        </w:rPr>
        <w:t>Skytrofa</w:t>
      </w:r>
      <w:r w:rsidRPr="00454484">
        <w:rPr>
          <w:rFonts w:asciiTheme="majorHAnsi" w:hAnsiTheme="majorHAnsi"/>
        </w:rPr>
        <w:t xml:space="preserve"> Auto</w:t>
      </w:r>
      <w:r w:rsidRPr="00454484">
        <w:rPr>
          <w:rFonts w:asciiTheme="majorHAnsi" w:hAnsiTheme="majorHAnsi"/>
        </w:rPr>
        <w:noBreakHyphen/>
        <w:t>Injector before</w:t>
      </w:r>
      <w:r w:rsidRPr="004862AC">
        <w:rPr>
          <w:rFonts w:asciiTheme="majorHAnsi" w:hAnsiTheme="majorHAnsi"/>
        </w:rPr>
        <w:t xml:space="preserve"> use.</w:t>
      </w:r>
    </w:p>
    <w:p w14:paraId="13A97598" w14:textId="77777777" w:rsidR="00162324" w:rsidRPr="00090AD4" w:rsidRDefault="00162324" w:rsidP="00A73D97">
      <w:pPr>
        <w:ind w:right="-63"/>
        <w:rPr>
          <w:rFonts w:asciiTheme="majorHAnsi" w:hAnsiTheme="majorHAnsi"/>
          <w:b/>
          <w:bCs/>
        </w:rPr>
      </w:pPr>
      <w:r w:rsidRPr="00090AD4">
        <w:rPr>
          <w:rFonts w:asciiTheme="majorHAnsi" w:hAnsiTheme="majorHAnsi"/>
          <w:b/>
          <w:bCs/>
        </w:rPr>
        <w:t>Disposal</w:t>
      </w:r>
    </w:p>
    <w:p w14:paraId="0F1404F3" w14:textId="20D6B2DE" w:rsidR="002850B7" w:rsidRPr="002850B7" w:rsidRDefault="008774B0" w:rsidP="00A73D97">
      <w:pPr>
        <w:spacing w:line="240" w:lineRule="auto"/>
        <w:ind w:right="-63"/>
        <w:rPr>
          <w:rFonts w:asciiTheme="majorHAnsi" w:hAnsiTheme="majorHAnsi"/>
        </w:rPr>
      </w:pPr>
      <w:r w:rsidRPr="00D77FED">
        <w:rPr>
          <w:rFonts w:asciiTheme="majorHAnsi" w:hAnsiTheme="majorHAnsi"/>
        </w:rPr>
        <w:t>The patient should be advised to discard the cartridge and injection needle after each injection.</w:t>
      </w:r>
    </w:p>
    <w:p w14:paraId="1ADA76A2" w14:textId="399375F3" w:rsidR="002C4189" w:rsidRPr="004C6325" w:rsidRDefault="00FB7D91" w:rsidP="00A73D97">
      <w:pPr>
        <w:pStyle w:val="Heading2"/>
        <w:keepNext/>
        <w:keepLines/>
        <w:spacing w:before="0" w:after="120"/>
        <w:ind w:left="0" w:right="-63" w:firstLine="0"/>
        <w:rPr>
          <w:rFonts w:cstheme="minorHAnsi"/>
        </w:rPr>
      </w:pPr>
      <w:r w:rsidRPr="004C6325">
        <w:rPr>
          <w:rFonts w:cstheme="minorHAnsi"/>
        </w:rPr>
        <w:t>Physicochemical properties</w:t>
      </w:r>
      <w:r w:rsidR="00F93A39">
        <w:rPr>
          <w:rFonts w:cstheme="minorHAnsi"/>
        </w:rPr>
        <w:fldChar w:fldCharType="begin"/>
      </w:r>
      <w:r w:rsidR="00F93A39">
        <w:rPr>
          <w:rFonts w:cstheme="minorHAnsi"/>
        </w:rPr>
        <w:instrText xml:space="preserve"> DOCVARIABLE vault_nd_c466c05a-6f3a-4e82-91e2-391d4862fcb7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4A05F1F4" w14:textId="44B46221" w:rsidR="002C4189" w:rsidRPr="00AA2CC1" w:rsidRDefault="00FB7D91" w:rsidP="00A73D97">
      <w:pPr>
        <w:pStyle w:val="Heading3"/>
        <w:spacing w:before="0" w:after="120"/>
        <w:ind w:left="0" w:right="-63"/>
        <w:rPr>
          <w:rFonts w:cstheme="minorHAnsi"/>
        </w:rPr>
      </w:pPr>
      <w:r w:rsidRPr="00D77FED">
        <w:rPr>
          <w:rFonts w:cstheme="minorHAnsi"/>
        </w:rPr>
        <w:t>Chemical structure</w:t>
      </w:r>
      <w:r w:rsidR="00F93A39">
        <w:rPr>
          <w:rFonts w:cstheme="minorHAnsi"/>
        </w:rPr>
        <w:fldChar w:fldCharType="begin"/>
      </w:r>
      <w:r w:rsidR="00F93A39">
        <w:rPr>
          <w:rFonts w:cstheme="minorHAnsi"/>
        </w:rPr>
        <w:instrText xml:space="preserve"> DOCVARIABLE vault_nd_789b7ac0-26be-47ae-b13a-c50d6a250897 \* MERGEFORMAT </w:instrText>
      </w:r>
      <w:r w:rsidR="00F93A39">
        <w:rPr>
          <w:rFonts w:cstheme="minorHAnsi"/>
        </w:rPr>
        <w:fldChar w:fldCharType="separate"/>
      </w:r>
      <w:r w:rsidR="00F93A39">
        <w:rPr>
          <w:rFonts w:cstheme="minorHAnsi"/>
        </w:rPr>
        <w:t xml:space="preserve"> </w:t>
      </w:r>
      <w:r w:rsidR="00F93A39">
        <w:rPr>
          <w:rFonts w:cstheme="minorHAnsi"/>
        </w:rPr>
        <w:fldChar w:fldCharType="end"/>
      </w:r>
    </w:p>
    <w:p w14:paraId="318BA74D" w14:textId="47FD5799" w:rsidR="00AA2CC1" w:rsidRDefault="002C34E7" w:rsidP="00A73D97">
      <w:pPr>
        <w:keepNext/>
        <w:keepLines/>
        <w:ind w:right="-63"/>
        <w:rPr>
          <w:rFonts w:asciiTheme="majorHAnsi" w:hAnsiTheme="majorHAnsi" w:cstheme="minorHAnsi"/>
          <w:highlight w:val="yellow"/>
        </w:rPr>
      </w:pPr>
      <w:r>
        <w:rPr>
          <w:rFonts w:asciiTheme="majorHAnsi" w:hAnsiTheme="majorHAnsi" w:cstheme="minorHAnsi"/>
          <w:noProof/>
        </w:rPr>
        <w:drawing>
          <wp:inline distT="0" distB="0" distL="0" distR="0" wp14:anchorId="5D1662CB" wp14:editId="0C7E2591">
            <wp:extent cx="6261100" cy="2277110"/>
            <wp:effectExtent l="0" t="0" r="0" b="0"/>
            <wp:docPr id="972580650" name="Picture 1" descr="A diagram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80650" name="Picture 1" descr="A diagram of a molecul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261100" cy="2277110"/>
                    </a:xfrm>
                    <a:prstGeom prst="rect">
                      <a:avLst/>
                    </a:prstGeom>
                  </pic:spPr>
                </pic:pic>
              </a:graphicData>
            </a:graphic>
          </wp:inline>
        </w:drawing>
      </w:r>
    </w:p>
    <w:p w14:paraId="21DEE170" w14:textId="2C24E610" w:rsidR="002C4189" w:rsidRPr="004C6325" w:rsidRDefault="002C4189" w:rsidP="00A73D97">
      <w:pPr>
        <w:keepNext/>
        <w:keepLines/>
        <w:ind w:right="-63"/>
        <w:rPr>
          <w:rFonts w:asciiTheme="majorHAnsi" w:hAnsiTheme="majorHAnsi" w:cstheme="minorHAnsi"/>
        </w:rPr>
      </w:pPr>
    </w:p>
    <w:p w14:paraId="58836F79" w14:textId="3EB2CFE5" w:rsidR="002C4189" w:rsidRPr="00D77FED" w:rsidRDefault="00FB7D91" w:rsidP="00A73D97">
      <w:pPr>
        <w:keepNext/>
        <w:keepLines/>
        <w:ind w:right="-63"/>
        <w:rPr>
          <w:rFonts w:asciiTheme="majorHAnsi" w:hAnsiTheme="majorHAnsi" w:cs="Arial"/>
          <w:color w:val="202124"/>
          <w:shd w:val="clear" w:color="auto" w:fill="FFFFFF"/>
        </w:rPr>
      </w:pPr>
      <w:r w:rsidRPr="00D77FED">
        <w:rPr>
          <w:rFonts w:asciiTheme="majorHAnsi" w:hAnsiTheme="majorHAnsi" w:cstheme="minorHAnsi"/>
        </w:rPr>
        <w:t>Molecular Formula:</w:t>
      </w:r>
      <w:r w:rsidR="00DB408B" w:rsidRPr="00D77FED">
        <w:rPr>
          <w:rFonts w:asciiTheme="majorHAnsi" w:hAnsiTheme="majorHAnsi" w:cstheme="minorHAnsi"/>
        </w:rPr>
        <w:t xml:space="preserve"> </w:t>
      </w:r>
      <w:r w:rsidR="00FA3908" w:rsidRPr="00D77FED">
        <w:rPr>
          <w:rFonts w:asciiTheme="majorHAnsi" w:hAnsiTheme="majorHAnsi" w:cs="Arial"/>
          <w:color w:val="202124"/>
          <w:shd w:val="clear" w:color="auto" w:fill="FFFFFF"/>
        </w:rPr>
        <w:t>C</w:t>
      </w:r>
      <w:r w:rsidR="00FA3908" w:rsidRPr="00D77FED">
        <w:rPr>
          <w:rFonts w:asciiTheme="majorHAnsi" w:hAnsiTheme="majorHAnsi" w:cs="Arial"/>
          <w:color w:val="202124"/>
          <w:shd w:val="clear" w:color="auto" w:fill="FFFFFF"/>
          <w:vertAlign w:val="subscript"/>
        </w:rPr>
        <w:t>1051</w:t>
      </w:r>
      <w:r w:rsidR="00FA3908" w:rsidRPr="00D77FED">
        <w:rPr>
          <w:rFonts w:asciiTheme="majorHAnsi" w:hAnsiTheme="majorHAnsi" w:cs="Arial"/>
          <w:color w:val="202124"/>
          <w:shd w:val="clear" w:color="auto" w:fill="FFFFFF"/>
        </w:rPr>
        <w:t>H</w:t>
      </w:r>
      <w:r w:rsidR="00FA3908" w:rsidRPr="00D77FED">
        <w:rPr>
          <w:rFonts w:asciiTheme="majorHAnsi" w:hAnsiTheme="majorHAnsi" w:cs="Arial"/>
          <w:color w:val="202124"/>
          <w:shd w:val="clear" w:color="auto" w:fill="FFFFFF"/>
          <w:vertAlign w:val="subscript"/>
        </w:rPr>
        <w:t>162</w:t>
      </w:r>
      <w:r w:rsidR="00200CDE" w:rsidRPr="00D77FED">
        <w:rPr>
          <w:rFonts w:asciiTheme="majorHAnsi" w:hAnsiTheme="majorHAnsi" w:cs="Arial"/>
          <w:color w:val="202124"/>
          <w:shd w:val="clear" w:color="auto" w:fill="FFFFFF"/>
          <w:vertAlign w:val="subscript"/>
        </w:rPr>
        <w:t>8</w:t>
      </w:r>
      <w:r w:rsidR="00FA3908" w:rsidRPr="00D77FED">
        <w:rPr>
          <w:rFonts w:asciiTheme="majorHAnsi" w:hAnsiTheme="majorHAnsi" w:cs="Arial"/>
          <w:color w:val="202124"/>
          <w:shd w:val="clear" w:color="auto" w:fill="FFFFFF"/>
        </w:rPr>
        <w:t>N</w:t>
      </w:r>
      <w:r w:rsidR="00FA3908" w:rsidRPr="00D77FED">
        <w:rPr>
          <w:rFonts w:asciiTheme="majorHAnsi" w:hAnsiTheme="majorHAnsi" w:cs="Arial"/>
          <w:color w:val="202124"/>
          <w:shd w:val="clear" w:color="auto" w:fill="FFFFFF"/>
          <w:vertAlign w:val="subscript"/>
        </w:rPr>
        <w:t>269</w:t>
      </w:r>
      <w:r w:rsidR="00FA3908" w:rsidRPr="00D77FED">
        <w:rPr>
          <w:rFonts w:asciiTheme="majorHAnsi" w:hAnsiTheme="majorHAnsi" w:cs="Arial"/>
          <w:color w:val="202124"/>
          <w:shd w:val="clear" w:color="auto" w:fill="FFFFFF"/>
        </w:rPr>
        <w:t>O</w:t>
      </w:r>
      <w:r w:rsidR="00FA3908" w:rsidRPr="00D77FED">
        <w:rPr>
          <w:rFonts w:asciiTheme="majorHAnsi" w:hAnsiTheme="majorHAnsi" w:cs="Arial"/>
          <w:color w:val="202124"/>
          <w:shd w:val="clear" w:color="auto" w:fill="FFFFFF"/>
          <w:vertAlign w:val="subscript"/>
        </w:rPr>
        <w:t>317</w:t>
      </w:r>
      <w:r w:rsidR="00FA3908" w:rsidRPr="00D77FED">
        <w:rPr>
          <w:rFonts w:asciiTheme="majorHAnsi" w:hAnsiTheme="majorHAnsi" w:cs="Arial"/>
          <w:color w:val="202124"/>
          <w:shd w:val="clear" w:color="auto" w:fill="FFFFFF"/>
        </w:rPr>
        <w:t>S</w:t>
      </w:r>
      <w:r w:rsidR="00FA3908" w:rsidRPr="00D77FED">
        <w:rPr>
          <w:rFonts w:asciiTheme="majorHAnsi" w:hAnsiTheme="majorHAnsi" w:cs="Arial"/>
          <w:color w:val="202124"/>
          <w:shd w:val="clear" w:color="auto" w:fill="FFFFFF"/>
          <w:vertAlign w:val="subscript"/>
        </w:rPr>
        <w:t>9</w:t>
      </w:r>
      <w:r w:rsidR="00E72B91" w:rsidRPr="00D77FED">
        <w:rPr>
          <w:rFonts w:asciiTheme="majorHAnsi" w:hAnsiTheme="majorHAnsi" w:cs="Arial"/>
          <w:color w:val="202124"/>
          <w:shd w:val="clear" w:color="auto" w:fill="FFFFFF"/>
          <w:vertAlign w:val="subscript"/>
        </w:rPr>
        <w:t xml:space="preserve"> </w:t>
      </w:r>
      <w:r w:rsidR="00413437" w:rsidRPr="00D77FED">
        <w:rPr>
          <w:rFonts w:asciiTheme="majorHAnsi" w:hAnsiTheme="majorHAnsi" w:cs="Arial"/>
          <w:color w:val="202124"/>
          <w:shd w:val="clear" w:color="auto" w:fill="FFFFFF"/>
        </w:rPr>
        <w:t>+</w:t>
      </w:r>
      <w:r w:rsidR="00E7527B" w:rsidRPr="00D77FED">
        <w:rPr>
          <w:rFonts w:asciiTheme="majorHAnsi" w:hAnsiTheme="majorHAnsi" w:cs="Arial"/>
          <w:color w:val="202124"/>
          <w:shd w:val="clear" w:color="auto" w:fill="FFFFFF"/>
        </w:rPr>
        <w:t>4</w:t>
      </w:r>
      <w:r w:rsidR="0086483E" w:rsidRPr="00D77FED">
        <w:rPr>
          <w:rFonts w:asciiTheme="majorHAnsi" w:hAnsiTheme="majorHAnsi" w:cstheme="minorHAnsi"/>
          <w:lang w:val="pt-BR"/>
        </w:rPr>
        <w:t xml:space="preserve"> x </w:t>
      </w:r>
      <w:r w:rsidR="00FA3908" w:rsidRPr="00D77FED">
        <w:rPr>
          <w:rFonts w:asciiTheme="majorHAnsi" w:hAnsiTheme="majorHAnsi" w:cs="Arial"/>
          <w:color w:val="202124"/>
          <w:shd w:val="clear" w:color="auto" w:fill="FFFFFF"/>
        </w:rPr>
        <w:t>[C</w:t>
      </w:r>
      <w:r w:rsidR="00FA3908" w:rsidRPr="00D77FED">
        <w:rPr>
          <w:rFonts w:asciiTheme="majorHAnsi" w:hAnsiTheme="majorHAnsi" w:cs="Arial"/>
          <w:color w:val="202124"/>
          <w:shd w:val="clear" w:color="auto" w:fill="FFFFFF"/>
          <w:vertAlign w:val="subscript"/>
        </w:rPr>
        <w:t>2</w:t>
      </w:r>
      <w:r w:rsidR="00FA3908" w:rsidRPr="00D77FED">
        <w:rPr>
          <w:rFonts w:asciiTheme="majorHAnsi" w:hAnsiTheme="majorHAnsi" w:cs="Arial"/>
          <w:color w:val="202124"/>
          <w:shd w:val="clear" w:color="auto" w:fill="FFFFFF"/>
        </w:rPr>
        <w:t>H</w:t>
      </w:r>
      <w:r w:rsidR="00FA3908" w:rsidRPr="00D77FED">
        <w:rPr>
          <w:rFonts w:asciiTheme="majorHAnsi" w:hAnsiTheme="majorHAnsi" w:cs="Arial"/>
          <w:color w:val="202124"/>
          <w:shd w:val="clear" w:color="auto" w:fill="FFFFFF"/>
          <w:vertAlign w:val="subscript"/>
        </w:rPr>
        <w:t>4</w:t>
      </w:r>
      <w:proofErr w:type="gramStart"/>
      <w:r w:rsidR="00FA3908" w:rsidRPr="00D77FED">
        <w:rPr>
          <w:rFonts w:asciiTheme="majorHAnsi" w:hAnsiTheme="majorHAnsi" w:cs="Arial"/>
          <w:color w:val="202124"/>
          <w:shd w:val="clear" w:color="auto" w:fill="FFFFFF"/>
        </w:rPr>
        <w:t>O]</w:t>
      </w:r>
      <w:r w:rsidR="00FA3908" w:rsidRPr="00D77FED">
        <w:rPr>
          <w:rFonts w:asciiTheme="majorHAnsi" w:hAnsiTheme="majorHAnsi" w:cs="Arial"/>
          <w:color w:val="202124"/>
          <w:shd w:val="clear" w:color="auto" w:fill="FFFFFF"/>
          <w:vertAlign w:val="subscript"/>
        </w:rPr>
        <w:t>n</w:t>
      </w:r>
      <w:proofErr w:type="gramEnd"/>
      <w:r w:rsidR="00AE5D57" w:rsidRPr="00D77FED">
        <w:rPr>
          <w:rFonts w:asciiTheme="majorHAnsi" w:hAnsiTheme="majorHAnsi" w:cs="Arial"/>
          <w:color w:val="202124"/>
          <w:shd w:val="clear" w:color="auto" w:fill="FFFFFF"/>
        </w:rPr>
        <w:t xml:space="preserve"> </w:t>
      </w:r>
      <w:r w:rsidR="00AE5D57" w:rsidRPr="001E7262">
        <w:rPr>
          <w:rFonts w:asciiTheme="majorHAnsi" w:hAnsiTheme="majorHAnsi" w:cstheme="minorHAnsi"/>
          <w:lang w:val="pt-BR"/>
        </w:rPr>
        <w:t>where n is approximately 230</w:t>
      </w:r>
    </w:p>
    <w:p w14:paraId="45584CD9" w14:textId="50480ADF" w:rsidR="002C4189" w:rsidRPr="001E7262" w:rsidRDefault="00FB7D91" w:rsidP="00A73D97">
      <w:pPr>
        <w:keepNext/>
        <w:keepLines/>
        <w:ind w:right="-63"/>
        <w:rPr>
          <w:rFonts w:asciiTheme="majorHAnsi" w:hAnsiTheme="majorHAnsi" w:cstheme="minorHAnsi"/>
        </w:rPr>
      </w:pPr>
      <w:r w:rsidRPr="00D77FED">
        <w:rPr>
          <w:rFonts w:asciiTheme="majorHAnsi" w:hAnsiTheme="majorHAnsi" w:cstheme="minorHAnsi"/>
        </w:rPr>
        <w:t>Molecular Weight:</w:t>
      </w:r>
      <w:r w:rsidR="0092040D" w:rsidRPr="00D77FED">
        <w:rPr>
          <w:rFonts w:asciiTheme="majorHAnsi" w:hAnsiTheme="majorHAnsi" w:cstheme="minorHAnsi"/>
        </w:rPr>
        <w:t xml:space="preserve">  </w:t>
      </w:r>
      <w:r w:rsidR="004A1C33" w:rsidRPr="00D77FED">
        <w:rPr>
          <w:rFonts w:asciiTheme="majorHAnsi" w:hAnsiTheme="majorHAnsi" w:cstheme="minorHAnsi"/>
        </w:rPr>
        <w:t>The average molecular weight is approximately</w:t>
      </w:r>
      <w:r w:rsidR="008F134C" w:rsidRPr="00D77FED">
        <w:rPr>
          <w:rFonts w:asciiTheme="majorHAnsi" w:hAnsiTheme="majorHAnsi" w:cstheme="minorHAnsi"/>
        </w:rPr>
        <w:t xml:space="preserve"> </w:t>
      </w:r>
      <w:r w:rsidR="005635C9" w:rsidRPr="00D77FED">
        <w:rPr>
          <w:rFonts w:asciiTheme="majorHAnsi" w:hAnsiTheme="majorHAnsi" w:cstheme="minorHAnsi"/>
        </w:rPr>
        <w:t xml:space="preserve">63 </w:t>
      </w:r>
      <w:proofErr w:type="spellStart"/>
      <w:r w:rsidR="0092040D" w:rsidRPr="00D77FED">
        <w:rPr>
          <w:rFonts w:asciiTheme="majorHAnsi" w:hAnsiTheme="majorHAnsi" w:cstheme="minorHAnsi"/>
        </w:rPr>
        <w:t>kDa</w:t>
      </w:r>
      <w:proofErr w:type="spellEnd"/>
      <w:r w:rsidRPr="001E7262">
        <w:rPr>
          <w:rFonts w:asciiTheme="majorHAnsi" w:hAnsiTheme="majorHAnsi" w:cstheme="minorHAnsi"/>
        </w:rPr>
        <w:tab/>
      </w:r>
    </w:p>
    <w:p w14:paraId="39E0932D" w14:textId="0B6F1979" w:rsidR="00717424" w:rsidRDefault="00FB7D91" w:rsidP="009168B0">
      <w:pPr>
        <w:pStyle w:val="Heading3"/>
        <w:spacing w:before="0" w:after="120"/>
        <w:ind w:left="0" w:right="-63"/>
        <w:rPr>
          <w:rFonts w:cs="Arial"/>
          <w:b w:val="0"/>
          <w:bCs w:val="0"/>
          <w:color w:val="000000" w:themeColor="text1"/>
          <w:shd w:val="clear" w:color="auto" w:fill="FFFFFF"/>
        </w:rPr>
      </w:pPr>
      <w:r w:rsidRPr="00D77FED">
        <w:rPr>
          <w:b w:val="0"/>
          <w:bCs w:val="0"/>
        </w:rPr>
        <w:t>CAS number</w:t>
      </w:r>
      <w:r w:rsidR="00F93A39" w:rsidRPr="00D77FED">
        <w:rPr>
          <w:b w:val="0"/>
          <w:bCs w:val="0"/>
        </w:rPr>
        <w:fldChar w:fldCharType="begin"/>
      </w:r>
      <w:r w:rsidR="00F93A39" w:rsidRPr="00D77FED">
        <w:rPr>
          <w:b w:val="0"/>
          <w:bCs w:val="0"/>
        </w:rPr>
        <w:instrText xml:space="preserve"> DOCVARIABLE vault_nd_7c02dea3-3c9e-4833-a06a-19e9f3f28844 \* MERGEFORMAT </w:instrText>
      </w:r>
      <w:r w:rsidR="00F93A39" w:rsidRPr="00D77FED">
        <w:rPr>
          <w:b w:val="0"/>
          <w:bCs w:val="0"/>
        </w:rPr>
        <w:fldChar w:fldCharType="separate"/>
      </w:r>
      <w:r w:rsidR="00F93A39" w:rsidRPr="00D77FED">
        <w:rPr>
          <w:b w:val="0"/>
          <w:bCs w:val="0"/>
        </w:rPr>
        <w:t xml:space="preserve"> </w:t>
      </w:r>
      <w:r w:rsidR="00F93A39" w:rsidRPr="00D77FED">
        <w:rPr>
          <w:b w:val="0"/>
          <w:bCs w:val="0"/>
        </w:rPr>
        <w:fldChar w:fldCharType="end"/>
      </w:r>
      <w:r w:rsidR="0013111B" w:rsidRPr="007448F9" w:rsidDel="0013111B">
        <w:rPr>
          <w:rStyle w:val="CommentReference"/>
          <w:rFonts w:ascii="Cambria" w:eastAsiaTheme="minorHAnsi" w:hAnsi="Cambria" w:cstheme="minorBidi"/>
          <w:b w:val="0"/>
          <w:bCs w:val="0"/>
        </w:rPr>
        <w:t xml:space="preserve"> </w:t>
      </w:r>
      <w:r w:rsidR="00717424" w:rsidRPr="00D77FED">
        <w:rPr>
          <w:rFonts w:cs="Arial"/>
          <w:b w:val="0"/>
          <w:bCs w:val="0"/>
          <w:color w:val="000000" w:themeColor="text1"/>
          <w:shd w:val="clear" w:color="auto" w:fill="FFFFFF"/>
        </w:rPr>
        <w:t>1934255-39-6</w:t>
      </w:r>
    </w:p>
    <w:p w14:paraId="618CB2FF" w14:textId="77777777" w:rsidR="007448F9" w:rsidRPr="00D77FED" w:rsidRDefault="007448F9" w:rsidP="00D77FED"/>
    <w:p w14:paraId="0D6445E4" w14:textId="51A01608" w:rsidR="002C4189" w:rsidRPr="00AF52D2" w:rsidRDefault="00FB7D91" w:rsidP="00A73D97">
      <w:pPr>
        <w:pStyle w:val="Heading1"/>
        <w:spacing w:before="0" w:after="120"/>
        <w:ind w:left="0" w:right="-63" w:firstLine="0"/>
      </w:pPr>
      <w:r w:rsidRPr="00AF52D2">
        <w:t>MEDICINE SCHEDULE (POISONS STANDARD)</w:t>
      </w:r>
      <w:fldSimple w:instr=" DOCVARIABLE VAULT_ND_a3bbb1d2-6f04-40d0-872c-169e2d4edcf3 \* MERGEFORMAT">
        <w:r w:rsidR="00F93A39" w:rsidRPr="00AF52D2">
          <w:t xml:space="preserve"> </w:t>
        </w:r>
      </w:fldSimple>
    </w:p>
    <w:p w14:paraId="5ADA0050" w14:textId="186C472A" w:rsidR="002C4189" w:rsidRPr="004C6325" w:rsidRDefault="00FB7D91" w:rsidP="00A73D97">
      <w:pPr>
        <w:ind w:right="-63"/>
        <w:rPr>
          <w:rFonts w:asciiTheme="majorHAnsi" w:hAnsiTheme="majorHAnsi" w:cstheme="minorHAnsi"/>
        </w:rPr>
      </w:pPr>
      <w:r w:rsidRPr="004C6325">
        <w:rPr>
          <w:rFonts w:asciiTheme="majorHAnsi" w:hAnsiTheme="majorHAnsi" w:cstheme="minorHAnsi"/>
        </w:rPr>
        <w:t xml:space="preserve">S4 </w:t>
      </w:r>
      <w:r w:rsidR="008B2692">
        <w:rPr>
          <w:rFonts w:asciiTheme="majorHAnsi" w:hAnsiTheme="majorHAnsi" w:cstheme="minorHAnsi"/>
        </w:rPr>
        <w:t>-</w:t>
      </w:r>
      <w:r w:rsidRPr="004C6325">
        <w:rPr>
          <w:rFonts w:asciiTheme="majorHAnsi" w:hAnsiTheme="majorHAnsi" w:cstheme="minorHAnsi"/>
        </w:rPr>
        <w:t xml:space="preserve"> Prescription Only Medicine</w:t>
      </w:r>
    </w:p>
    <w:p w14:paraId="784AD7A6" w14:textId="7E4885FB" w:rsidR="002C4189" w:rsidRPr="00AF52D2" w:rsidRDefault="00FB7D91" w:rsidP="00A73D97">
      <w:pPr>
        <w:pStyle w:val="Heading1"/>
        <w:numPr>
          <w:ilvl w:val="0"/>
          <w:numId w:val="2"/>
        </w:numPr>
        <w:spacing w:before="0" w:after="120"/>
        <w:ind w:left="0" w:right="-63" w:firstLine="0"/>
        <w:rPr>
          <w:rFonts w:cstheme="minorHAnsi"/>
        </w:rPr>
      </w:pPr>
      <w:r w:rsidRPr="00AF52D2">
        <w:rPr>
          <w:rFonts w:cstheme="minorHAnsi"/>
        </w:rPr>
        <w:t>Sponsor</w:t>
      </w:r>
      <w:r w:rsidR="00F93A39" w:rsidRPr="00AF52D2">
        <w:rPr>
          <w:rFonts w:cstheme="minorHAnsi"/>
        </w:rPr>
        <w:fldChar w:fldCharType="begin"/>
      </w:r>
      <w:r w:rsidR="00F93A39" w:rsidRPr="00AF52D2">
        <w:rPr>
          <w:rFonts w:cstheme="minorHAnsi"/>
        </w:rPr>
        <w:instrText xml:space="preserve"> DOCVARIABLE VAULT_ND_1982040a-abc6-4ee4-87fc-c4f4517a4edc \* MERGEFORMAT </w:instrText>
      </w:r>
      <w:r w:rsidR="00F93A39" w:rsidRPr="00AF52D2">
        <w:rPr>
          <w:rFonts w:cstheme="minorHAnsi"/>
        </w:rPr>
        <w:fldChar w:fldCharType="separate"/>
      </w:r>
      <w:r w:rsidR="00F93A39" w:rsidRPr="00AF52D2">
        <w:rPr>
          <w:rFonts w:cstheme="minorHAnsi"/>
        </w:rPr>
        <w:t xml:space="preserve"> </w:t>
      </w:r>
      <w:r w:rsidR="00F93A39" w:rsidRPr="00AF52D2">
        <w:rPr>
          <w:rFonts w:cstheme="minorHAnsi"/>
        </w:rPr>
        <w:fldChar w:fldCharType="end"/>
      </w:r>
    </w:p>
    <w:p w14:paraId="2C8D1BFB" w14:textId="19F9EA30" w:rsidR="002C4189" w:rsidRDefault="00156BB1" w:rsidP="00A73D97">
      <w:pPr>
        <w:spacing w:after="0"/>
        <w:ind w:right="-63"/>
        <w:rPr>
          <w:rFonts w:asciiTheme="majorHAnsi" w:hAnsiTheme="majorHAnsi" w:cstheme="minorHAnsi"/>
        </w:rPr>
      </w:pPr>
      <w:r>
        <w:rPr>
          <w:rFonts w:asciiTheme="majorHAnsi" w:hAnsiTheme="majorHAnsi" w:cstheme="minorHAnsi"/>
        </w:rPr>
        <w:t xml:space="preserve">Specialised Therapeutics </w:t>
      </w:r>
      <w:r w:rsidR="008B2692">
        <w:rPr>
          <w:rFonts w:asciiTheme="majorHAnsi" w:hAnsiTheme="majorHAnsi" w:cstheme="minorHAnsi"/>
        </w:rPr>
        <w:t>Pharma</w:t>
      </w:r>
      <w:r>
        <w:rPr>
          <w:rFonts w:asciiTheme="majorHAnsi" w:hAnsiTheme="majorHAnsi" w:cstheme="minorHAnsi"/>
        </w:rPr>
        <w:t xml:space="preserve"> Pty Ltd</w:t>
      </w:r>
    </w:p>
    <w:p w14:paraId="1A73D63C" w14:textId="104CA5EE" w:rsidR="00156BB1" w:rsidRDefault="008E2DE6" w:rsidP="00A73D97">
      <w:pPr>
        <w:spacing w:after="0"/>
        <w:ind w:right="-63"/>
        <w:rPr>
          <w:rFonts w:asciiTheme="majorHAnsi" w:hAnsiTheme="majorHAnsi" w:cstheme="minorHAnsi"/>
        </w:rPr>
      </w:pPr>
      <w:r>
        <w:rPr>
          <w:rFonts w:asciiTheme="majorHAnsi" w:hAnsiTheme="majorHAnsi" w:cstheme="minorHAnsi"/>
        </w:rPr>
        <w:t xml:space="preserve">Level 2, </w:t>
      </w:r>
      <w:r w:rsidR="00662E0D">
        <w:rPr>
          <w:rFonts w:asciiTheme="majorHAnsi" w:hAnsiTheme="majorHAnsi" w:cstheme="minorHAnsi"/>
        </w:rPr>
        <w:t xml:space="preserve">17 </w:t>
      </w:r>
      <w:r>
        <w:rPr>
          <w:rFonts w:asciiTheme="majorHAnsi" w:hAnsiTheme="majorHAnsi" w:cstheme="minorHAnsi"/>
        </w:rPr>
        <w:t>Cotham Road</w:t>
      </w:r>
    </w:p>
    <w:p w14:paraId="2464E826" w14:textId="043E772C" w:rsidR="008E2DE6" w:rsidRDefault="008E2DE6" w:rsidP="00A73D97">
      <w:pPr>
        <w:spacing w:after="0"/>
        <w:ind w:right="-63"/>
        <w:rPr>
          <w:rFonts w:asciiTheme="majorHAnsi" w:hAnsiTheme="majorHAnsi" w:cstheme="minorHAnsi"/>
        </w:rPr>
      </w:pPr>
      <w:r>
        <w:rPr>
          <w:rFonts w:asciiTheme="majorHAnsi" w:hAnsiTheme="majorHAnsi" w:cstheme="minorHAnsi"/>
        </w:rPr>
        <w:t>Kew</w:t>
      </w:r>
    </w:p>
    <w:p w14:paraId="6B6E8662" w14:textId="680F25C4" w:rsidR="008E2DE6" w:rsidRPr="004C6325" w:rsidRDefault="008E2DE6" w:rsidP="00A73D97">
      <w:pPr>
        <w:spacing w:after="0"/>
        <w:ind w:right="-63"/>
        <w:rPr>
          <w:rFonts w:asciiTheme="majorHAnsi" w:hAnsiTheme="majorHAnsi" w:cstheme="minorHAnsi"/>
        </w:rPr>
      </w:pPr>
      <w:r>
        <w:rPr>
          <w:rFonts w:asciiTheme="majorHAnsi" w:hAnsiTheme="majorHAnsi" w:cstheme="minorHAnsi"/>
        </w:rPr>
        <w:t>Victoria 3101</w:t>
      </w:r>
    </w:p>
    <w:p w14:paraId="3C7729ED" w14:textId="77777777" w:rsidR="002C4189" w:rsidRPr="004C6325" w:rsidRDefault="00FB7D91" w:rsidP="00A73D97">
      <w:pPr>
        <w:spacing w:after="0"/>
        <w:ind w:right="-63"/>
        <w:rPr>
          <w:rFonts w:asciiTheme="majorHAnsi" w:hAnsiTheme="majorHAnsi" w:cstheme="minorHAnsi"/>
        </w:rPr>
      </w:pPr>
      <w:r w:rsidRPr="004C6325">
        <w:rPr>
          <w:rFonts w:asciiTheme="majorHAnsi" w:hAnsiTheme="majorHAnsi" w:cstheme="minorHAnsi"/>
        </w:rPr>
        <w:lastRenderedPageBreak/>
        <w:t>Australia</w:t>
      </w:r>
    </w:p>
    <w:p w14:paraId="42903659" w14:textId="77777777" w:rsidR="002C4189" w:rsidRPr="004C6325" w:rsidRDefault="002C4189" w:rsidP="00A73D97">
      <w:pPr>
        <w:spacing w:after="0"/>
        <w:ind w:right="-63"/>
        <w:rPr>
          <w:rFonts w:asciiTheme="majorHAnsi" w:hAnsiTheme="majorHAnsi" w:cstheme="minorHAnsi"/>
        </w:rPr>
      </w:pPr>
    </w:p>
    <w:p w14:paraId="3181D896" w14:textId="22581CA5" w:rsidR="002C4189" w:rsidRPr="004C6325" w:rsidRDefault="00FB7D91" w:rsidP="00A73D97">
      <w:pPr>
        <w:spacing w:after="0"/>
        <w:ind w:right="-63"/>
        <w:rPr>
          <w:rFonts w:asciiTheme="majorHAnsi" w:hAnsiTheme="majorHAnsi" w:cstheme="minorHAnsi"/>
        </w:rPr>
      </w:pPr>
      <w:r w:rsidRPr="004C6325">
        <w:rPr>
          <w:rFonts w:asciiTheme="majorHAnsi" w:hAnsiTheme="majorHAnsi" w:cstheme="minorHAnsi"/>
        </w:rPr>
        <w:t xml:space="preserve">Phone: </w:t>
      </w:r>
      <w:r w:rsidR="00A64B08">
        <w:rPr>
          <w:rFonts w:asciiTheme="majorHAnsi" w:hAnsiTheme="majorHAnsi" w:cstheme="minorHAnsi"/>
        </w:rPr>
        <w:t>+</w:t>
      </w:r>
      <w:r w:rsidR="008E2DE6">
        <w:rPr>
          <w:rFonts w:asciiTheme="majorHAnsi" w:hAnsiTheme="majorHAnsi" w:cstheme="minorHAnsi"/>
        </w:rPr>
        <w:t>61 3 9859 1493</w:t>
      </w:r>
    </w:p>
    <w:p w14:paraId="5D5ECDAE" w14:textId="6D3513C3" w:rsidR="002C4189" w:rsidRPr="004C6325" w:rsidRDefault="008E2DE6" w:rsidP="00A73D97">
      <w:pPr>
        <w:spacing w:after="0"/>
        <w:ind w:right="-63"/>
        <w:rPr>
          <w:rFonts w:asciiTheme="majorHAnsi" w:hAnsiTheme="majorHAnsi" w:cstheme="minorHAnsi"/>
        </w:rPr>
      </w:pPr>
      <w:r>
        <w:rPr>
          <w:rFonts w:asciiTheme="majorHAnsi" w:hAnsiTheme="majorHAnsi" w:cstheme="minorHAnsi"/>
        </w:rPr>
        <w:t xml:space="preserve">Website: </w:t>
      </w:r>
      <w:r w:rsidR="00A64B08">
        <w:rPr>
          <w:rFonts w:asciiTheme="majorHAnsi" w:hAnsiTheme="majorHAnsi" w:cstheme="minorHAnsi"/>
        </w:rPr>
        <w:t xml:space="preserve"> www.stbiopharma.com</w:t>
      </w:r>
    </w:p>
    <w:p w14:paraId="1905683A" w14:textId="77777777" w:rsidR="002C4189" w:rsidRPr="004C6325" w:rsidRDefault="002C4189" w:rsidP="00A73D97">
      <w:pPr>
        <w:spacing w:after="0"/>
        <w:ind w:right="-63"/>
        <w:rPr>
          <w:rFonts w:asciiTheme="majorHAnsi" w:hAnsiTheme="majorHAnsi" w:cstheme="minorHAnsi"/>
        </w:rPr>
      </w:pPr>
    </w:p>
    <w:p w14:paraId="7F7C2EA4" w14:textId="5DD2F8E5" w:rsidR="002C4189" w:rsidRPr="00AF52D2" w:rsidRDefault="00FB7D91" w:rsidP="00A73D97">
      <w:pPr>
        <w:pStyle w:val="Heading1"/>
        <w:spacing w:before="0" w:after="120"/>
        <w:ind w:left="0" w:right="-63" w:firstLine="0"/>
        <w:rPr>
          <w:rFonts w:cstheme="minorHAnsi"/>
        </w:rPr>
      </w:pPr>
      <w:r w:rsidRPr="00AF52D2">
        <w:rPr>
          <w:rFonts w:cstheme="minorHAnsi"/>
        </w:rPr>
        <w:t>Date of first approval</w:t>
      </w:r>
      <w:r w:rsidR="00F93A39" w:rsidRPr="00AF52D2">
        <w:rPr>
          <w:rFonts w:cstheme="minorHAnsi"/>
        </w:rPr>
        <w:fldChar w:fldCharType="begin"/>
      </w:r>
      <w:r w:rsidR="00F93A39" w:rsidRPr="00AF52D2">
        <w:rPr>
          <w:rFonts w:cstheme="minorHAnsi"/>
        </w:rPr>
        <w:instrText xml:space="preserve"> DOCVARIABLE VAULT_ND_241206ea-77e0-4739-bb00-7104364e428c \* MERGEFORMAT </w:instrText>
      </w:r>
      <w:r w:rsidR="00F93A39" w:rsidRPr="00AF52D2">
        <w:rPr>
          <w:rFonts w:cstheme="minorHAnsi"/>
        </w:rPr>
        <w:fldChar w:fldCharType="separate"/>
      </w:r>
      <w:r w:rsidR="00F93A39" w:rsidRPr="00AF52D2">
        <w:rPr>
          <w:rFonts w:cstheme="minorHAnsi"/>
        </w:rPr>
        <w:t xml:space="preserve"> </w:t>
      </w:r>
      <w:r w:rsidR="00F93A39" w:rsidRPr="00AF52D2">
        <w:rPr>
          <w:rFonts w:cstheme="minorHAnsi"/>
        </w:rPr>
        <w:fldChar w:fldCharType="end"/>
      </w:r>
    </w:p>
    <w:p w14:paraId="5A1644E9" w14:textId="6DA33258" w:rsidR="002C4189" w:rsidRPr="004C6325" w:rsidRDefault="008B2692" w:rsidP="00A73D97">
      <w:pPr>
        <w:ind w:right="-63"/>
        <w:rPr>
          <w:rFonts w:asciiTheme="majorHAnsi" w:hAnsiTheme="majorHAnsi" w:cstheme="minorHAnsi"/>
        </w:rPr>
      </w:pPr>
      <w:r>
        <w:rPr>
          <w:rFonts w:asciiTheme="majorHAnsi" w:hAnsiTheme="majorHAnsi" w:cstheme="minorHAnsi"/>
        </w:rPr>
        <w:t>DD/Month/YYYY</w:t>
      </w:r>
    </w:p>
    <w:p w14:paraId="074F538A" w14:textId="24B76D4C" w:rsidR="009C081A" w:rsidRPr="00AF52D2" w:rsidRDefault="00FB7D91" w:rsidP="00A73D97">
      <w:pPr>
        <w:pStyle w:val="Heading1"/>
        <w:spacing w:before="0" w:after="120"/>
        <w:ind w:left="0" w:right="-63" w:firstLine="0"/>
        <w:rPr>
          <w:rFonts w:cstheme="minorHAnsi"/>
        </w:rPr>
      </w:pPr>
      <w:r w:rsidRPr="00AF52D2">
        <w:rPr>
          <w:rFonts w:cstheme="minorHAnsi"/>
        </w:rPr>
        <w:t>Date of revision</w:t>
      </w:r>
      <w:bookmarkEnd w:id="0"/>
      <w:bookmarkEnd w:id="1"/>
      <w:r w:rsidR="00F93A39" w:rsidRPr="00AF52D2">
        <w:rPr>
          <w:rFonts w:cstheme="minorHAnsi"/>
        </w:rPr>
        <w:fldChar w:fldCharType="begin"/>
      </w:r>
      <w:r w:rsidR="00F93A39" w:rsidRPr="00AF52D2">
        <w:rPr>
          <w:rFonts w:cstheme="minorHAnsi"/>
        </w:rPr>
        <w:instrText xml:space="preserve"> DOCVARIABLE VAULT_ND_5d1a554e-1274-49a8-888d-22711ba27ceb \* MERGEFORMAT </w:instrText>
      </w:r>
      <w:r w:rsidR="00F93A39" w:rsidRPr="00AF52D2">
        <w:rPr>
          <w:rFonts w:cstheme="minorHAnsi"/>
        </w:rPr>
        <w:fldChar w:fldCharType="separate"/>
      </w:r>
      <w:r w:rsidR="00F93A39" w:rsidRPr="00AF52D2">
        <w:rPr>
          <w:rFonts w:cstheme="minorHAnsi"/>
        </w:rPr>
        <w:t xml:space="preserve"> </w:t>
      </w:r>
      <w:r w:rsidR="00F93A39" w:rsidRPr="00AF52D2">
        <w:rPr>
          <w:rFonts w:cstheme="minorHAnsi"/>
        </w:rPr>
        <w:fldChar w:fldCharType="end"/>
      </w:r>
    </w:p>
    <w:p w14:paraId="0B1132BA" w14:textId="77777777" w:rsidR="00FD2801" w:rsidRPr="00FD2801" w:rsidRDefault="00FD2801" w:rsidP="00A73D97">
      <w:pPr>
        <w:ind w:right="-63"/>
      </w:pPr>
    </w:p>
    <w:p w14:paraId="2CBB018B" w14:textId="77777777" w:rsidR="00FD2801" w:rsidRDefault="00FD2801" w:rsidP="00A73D97">
      <w:pPr>
        <w:pStyle w:val="Heading2"/>
        <w:numPr>
          <w:ilvl w:val="0"/>
          <w:numId w:val="0"/>
        </w:numPr>
        <w:spacing w:before="0" w:after="120"/>
        <w:ind w:right="-63"/>
        <w:rPr>
          <w:rFonts w:cstheme="minorHAnsi"/>
          <w:color w:val="000000" w:themeColor="text1"/>
          <w:lang w:val="en-US"/>
        </w:rPr>
      </w:pPr>
    </w:p>
    <w:p w14:paraId="63C91344" w14:textId="77777777" w:rsidR="00FD2801" w:rsidRDefault="00FD2801" w:rsidP="00A73D97">
      <w:pPr>
        <w:pStyle w:val="Heading2"/>
        <w:numPr>
          <w:ilvl w:val="0"/>
          <w:numId w:val="0"/>
        </w:numPr>
        <w:spacing w:before="0" w:after="120"/>
        <w:ind w:right="-63"/>
        <w:rPr>
          <w:rFonts w:cstheme="minorHAnsi"/>
          <w:color w:val="000000" w:themeColor="text1"/>
          <w:lang w:val="en-US"/>
        </w:rPr>
      </w:pPr>
    </w:p>
    <w:p w14:paraId="113640D4" w14:textId="79997CA2" w:rsidR="00447205" w:rsidRPr="00447205" w:rsidRDefault="00447205" w:rsidP="00A73D97">
      <w:pPr>
        <w:pStyle w:val="Heading2"/>
        <w:numPr>
          <w:ilvl w:val="0"/>
          <w:numId w:val="0"/>
        </w:numPr>
        <w:spacing w:before="0" w:after="120"/>
        <w:ind w:right="-63"/>
        <w:rPr>
          <w:rFonts w:cstheme="minorHAnsi"/>
          <w:color w:val="000000" w:themeColor="text1"/>
          <w:lang w:val="en-US"/>
        </w:rPr>
      </w:pPr>
      <w:r w:rsidRPr="00447205">
        <w:rPr>
          <w:rFonts w:cstheme="minorHAnsi"/>
          <w:color w:val="000000" w:themeColor="text1"/>
          <w:lang w:val="en-US"/>
        </w:rPr>
        <w:t>Summary table of changes</w:t>
      </w:r>
      <w:r w:rsidR="00F93A39">
        <w:rPr>
          <w:rFonts w:cstheme="minorHAnsi"/>
          <w:color w:val="000000" w:themeColor="text1"/>
          <w:lang w:val="en-US"/>
        </w:rPr>
        <w:fldChar w:fldCharType="begin"/>
      </w:r>
      <w:r w:rsidR="00F93A39">
        <w:rPr>
          <w:rFonts w:cstheme="minorHAnsi"/>
          <w:color w:val="000000" w:themeColor="text1"/>
          <w:lang w:val="en-US"/>
        </w:rPr>
        <w:instrText xml:space="preserve"> DOCVARIABLE vault_nd_3f8c05f5-2fa1-4aee-a686-ab5e654ff659 \* MERGEFORMAT </w:instrText>
      </w:r>
      <w:r w:rsidR="00F93A39">
        <w:rPr>
          <w:rFonts w:cstheme="minorHAnsi"/>
          <w:color w:val="000000" w:themeColor="text1"/>
          <w:lang w:val="en-US"/>
        </w:rPr>
        <w:fldChar w:fldCharType="separate"/>
      </w:r>
      <w:r w:rsidR="00F93A39">
        <w:rPr>
          <w:rFonts w:cstheme="minorHAnsi"/>
          <w:color w:val="000000" w:themeColor="text1"/>
          <w:lang w:val="en-US"/>
        </w:rPr>
        <w:t xml:space="preserve"> </w:t>
      </w:r>
      <w:r w:rsidR="00F93A39">
        <w:rPr>
          <w:rFonts w:cstheme="minorHAnsi"/>
          <w:color w:val="000000" w:themeColor="text1"/>
          <w:lang w:val="en-US"/>
        </w:rPr>
        <w:fldChar w:fldCharType="end"/>
      </w:r>
    </w:p>
    <w:tbl>
      <w:tblPr>
        <w:tblStyle w:val="LightGrid"/>
        <w:tblW w:w="0" w:type="auto"/>
        <w:tblCellMar>
          <w:top w:w="57" w:type="dxa"/>
          <w:bottom w:w="57" w:type="dxa"/>
        </w:tblCellMar>
        <w:tblLook w:val="06A0" w:firstRow="1" w:lastRow="0" w:firstColumn="1" w:lastColumn="0" w:noHBand="1" w:noVBand="1"/>
      </w:tblPr>
      <w:tblGrid>
        <w:gridCol w:w="1372"/>
        <w:gridCol w:w="7634"/>
      </w:tblGrid>
      <w:tr w:rsidR="00447205" w:rsidRPr="00447205" w14:paraId="34A39549" w14:textId="77777777" w:rsidTr="007634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shd w:val="clear" w:color="auto" w:fill="F2F2F2" w:themeFill="background1" w:themeFillShade="F2"/>
            <w:vAlign w:val="center"/>
          </w:tcPr>
          <w:p w14:paraId="6961D184" w14:textId="77777777" w:rsidR="00447205" w:rsidRPr="00447205" w:rsidRDefault="00447205" w:rsidP="00A73D97">
            <w:pPr>
              <w:ind w:right="-63"/>
              <w:rPr>
                <w:rFonts w:cstheme="minorHAnsi"/>
                <w:color w:val="000000" w:themeColor="text1"/>
                <w:sz w:val="20"/>
                <w:lang w:val="en-US"/>
              </w:rPr>
            </w:pPr>
            <w:r w:rsidRPr="00447205">
              <w:rPr>
                <w:rFonts w:cstheme="minorHAnsi"/>
                <w:color w:val="000000" w:themeColor="text1"/>
                <w:sz w:val="20"/>
                <w:lang w:val="en-US"/>
              </w:rPr>
              <w:t>Section Changed</w:t>
            </w:r>
          </w:p>
        </w:tc>
        <w:tc>
          <w:tcPr>
            <w:tcW w:w="7634" w:type="dxa"/>
            <w:shd w:val="clear" w:color="auto" w:fill="F2F2F2" w:themeFill="background1" w:themeFillShade="F2"/>
            <w:vAlign w:val="center"/>
          </w:tcPr>
          <w:p w14:paraId="68AFA040" w14:textId="77777777" w:rsidR="00447205" w:rsidRPr="00447205" w:rsidRDefault="00447205" w:rsidP="00A73D97">
            <w:pPr>
              <w:ind w:right="-63"/>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lang w:val="en-US"/>
              </w:rPr>
            </w:pPr>
            <w:r w:rsidRPr="00447205">
              <w:rPr>
                <w:rFonts w:cstheme="minorHAnsi"/>
                <w:color w:val="000000" w:themeColor="text1"/>
                <w:sz w:val="20"/>
                <w:lang w:val="en-US"/>
              </w:rPr>
              <w:t>Summary of new information</w:t>
            </w:r>
          </w:p>
        </w:tc>
      </w:tr>
      <w:tr w:rsidR="00447205" w:rsidRPr="00447205" w14:paraId="095F9469" w14:textId="77777777" w:rsidTr="0076341F">
        <w:tc>
          <w:tcPr>
            <w:cnfStyle w:val="001000000000" w:firstRow="0" w:lastRow="0" w:firstColumn="1" w:lastColumn="0" w:oddVBand="0" w:evenVBand="0" w:oddHBand="0" w:evenHBand="0" w:firstRowFirstColumn="0" w:firstRowLastColumn="0" w:lastRowFirstColumn="0" w:lastRowLastColumn="0"/>
            <w:tcW w:w="1372" w:type="dxa"/>
            <w:vAlign w:val="center"/>
          </w:tcPr>
          <w:p w14:paraId="02A2E9CA" w14:textId="13954351" w:rsidR="00447205" w:rsidRPr="00447205" w:rsidRDefault="00447205" w:rsidP="00A73D97">
            <w:pPr>
              <w:ind w:right="-63"/>
              <w:rPr>
                <w:rFonts w:cstheme="minorHAnsi"/>
                <w:b w:val="0"/>
                <w:color w:val="000000" w:themeColor="text1"/>
                <w:lang w:val="en-US"/>
              </w:rPr>
            </w:pPr>
          </w:p>
        </w:tc>
        <w:tc>
          <w:tcPr>
            <w:tcW w:w="7634" w:type="dxa"/>
          </w:tcPr>
          <w:p w14:paraId="3EEF9CCF" w14:textId="3316FA83" w:rsidR="00447205" w:rsidRPr="009C081A" w:rsidRDefault="00447205" w:rsidP="00A73D97">
            <w:pPr>
              <w:ind w:right="-63"/>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lang w:val="en-US"/>
              </w:rPr>
            </w:pPr>
          </w:p>
        </w:tc>
      </w:tr>
      <w:tr w:rsidR="00052919" w:rsidRPr="00447205" w14:paraId="0779A5CC" w14:textId="77777777" w:rsidTr="0076341F">
        <w:tc>
          <w:tcPr>
            <w:cnfStyle w:val="001000000000" w:firstRow="0" w:lastRow="0" w:firstColumn="1" w:lastColumn="0" w:oddVBand="0" w:evenVBand="0" w:oddHBand="0" w:evenHBand="0" w:firstRowFirstColumn="0" w:firstRowLastColumn="0" w:lastRowFirstColumn="0" w:lastRowLastColumn="0"/>
            <w:tcW w:w="1372" w:type="dxa"/>
            <w:vAlign w:val="center"/>
          </w:tcPr>
          <w:p w14:paraId="0AC28434" w14:textId="3428B701" w:rsidR="00052919" w:rsidRPr="00B34D18" w:rsidDel="00052919" w:rsidRDefault="00052919" w:rsidP="00A73D97">
            <w:pPr>
              <w:ind w:right="-63"/>
              <w:rPr>
                <w:rFonts w:cstheme="minorHAnsi"/>
                <w:b w:val="0"/>
                <w:bCs w:val="0"/>
                <w:color w:val="000000" w:themeColor="text1"/>
                <w:lang w:val="en-US"/>
              </w:rPr>
            </w:pPr>
          </w:p>
        </w:tc>
        <w:tc>
          <w:tcPr>
            <w:tcW w:w="7634" w:type="dxa"/>
          </w:tcPr>
          <w:p w14:paraId="63567955" w14:textId="60443817" w:rsidR="0046645A" w:rsidRPr="009C081A" w:rsidRDefault="0046645A" w:rsidP="00A73D97">
            <w:pPr>
              <w:ind w:right="-63"/>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lang w:val="en-US"/>
              </w:rPr>
            </w:pPr>
          </w:p>
        </w:tc>
      </w:tr>
    </w:tbl>
    <w:p w14:paraId="7A388A07" w14:textId="77777777" w:rsidR="00447205" w:rsidRPr="00447205" w:rsidRDefault="00447205" w:rsidP="00A73D97">
      <w:pPr>
        <w:spacing w:after="120"/>
        <w:ind w:right="-63"/>
        <w:rPr>
          <w:rFonts w:asciiTheme="majorHAnsi" w:hAnsiTheme="majorHAnsi" w:cstheme="minorHAnsi"/>
          <w:color w:val="000000" w:themeColor="text1"/>
          <w:lang w:val="en-US"/>
        </w:rPr>
      </w:pPr>
    </w:p>
    <w:p w14:paraId="0D75D986" w14:textId="77777777" w:rsidR="00535FCB" w:rsidRPr="00535FCB" w:rsidRDefault="00535FCB" w:rsidP="00056193">
      <w:pPr>
        <w:rPr>
          <w:rFonts w:asciiTheme="majorHAnsi" w:hAnsiTheme="majorHAnsi"/>
        </w:rPr>
      </w:pPr>
    </w:p>
    <w:sectPr w:rsidR="00535FCB" w:rsidRPr="00535FCB" w:rsidSect="00BD4E18">
      <w:headerReference w:type="default" r:id="rId25"/>
      <w:footerReference w:type="default" r:id="rId26"/>
      <w:pgSz w:w="11901" w:h="16817"/>
      <w:pgMar w:top="1134" w:right="907" w:bottom="907" w:left="1134" w:header="0"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D62F" w14:textId="77777777" w:rsidR="009446B1" w:rsidRDefault="009446B1">
      <w:pPr>
        <w:spacing w:after="0" w:line="240" w:lineRule="auto"/>
      </w:pPr>
      <w:r>
        <w:separator/>
      </w:r>
    </w:p>
  </w:endnote>
  <w:endnote w:type="continuationSeparator" w:id="0">
    <w:p w14:paraId="72C74155" w14:textId="77777777" w:rsidR="009446B1" w:rsidRDefault="009446B1">
      <w:pPr>
        <w:spacing w:after="0" w:line="240" w:lineRule="auto"/>
      </w:pPr>
      <w:r>
        <w:continuationSeparator/>
      </w:r>
    </w:p>
  </w:endnote>
  <w:endnote w:type="continuationNotice" w:id="1">
    <w:p w14:paraId="7D11F2F1" w14:textId="77777777" w:rsidR="009446B1" w:rsidRDefault="00944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390B" w14:textId="77777777" w:rsidR="00D66994" w:rsidRDefault="00D66994">
    <w:pPr>
      <w:spacing w:after="65" w:line="259" w:lineRule="auto"/>
      <w:ind w:left="-29"/>
    </w:pPr>
    <w:r>
      <w:rPr>
        <w:noProof/>
      </w:rPr>
      <mc:AlternateContent>
        <mc:Choice Requires="wpg">
          <w:drawing>
            <wp:inline distT="0" distB="0" distL="0" distR="0" wp14:anchorId="732352B8" wp14:editId="5F2412D9">
              <wp:extent cx="6589776" cy="9144"/>
              <wp:effectExtent l="0" t="0" r="0" b="0"/>
              <wp:docPr id="10379" name="Group 10379"/>
              <wp:cNvGraphicFramePr/>
              <a:graphic xmlns:a="http://schemas.openxmlformats.org/drawingml/2006/main">
                <a:graphicData uri="http://schemas.microsoft.com/office/word/2010/wordprocessingGroup">
                  <wpg:wgp>
                    <wpg:cNvGrpSpPr/>
                    <wpg:grpSpPr>
                      <a:xfrm>
                        <a:off x="0" y="0"/>
                        <a:ext cx="6589776" cy="9144"/>
                        <a:chOff x="0" y="0"/>
                        <a:chExt cx="6589776" cy="9144"/>
                      </a:xfrm>
                    </wpg:grpSpPr>
                    <wps:wsp>
                      <wps:cNvPr id="10380" name="Shape 10744"/>
                      <wps:cNvSpPr/>
                      <wps:spPr>
                        <a:xfrm>
                          <a:off x="0" y="0"/>
                          <a:ext cx="6589776" cy="9144"/>
                        </a:xfrm>
                        <a:custGeom>
                          <a:avLst/>
                          <a:gdLst/>
                          <a:ahLst/>
                          <a:cxnLst/>
                          <a:rect l="0" t="0" r="0" b="0"/>
                          <a:pathLst>
                            <a:path w="6589776" h="9144">
                              <a:moveTo>
                                <a:pt x="0" y="0"/>
                              </a:moveTo>
                              <a:lnTo>
                                <a:pt x="6589776" y="0"/>
                              </a:lnTo>
                              <a:lnTo>
                                <a:pt x="6589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2084D843" id="Group 10379" o:spid="_x0000_s1026" style="width:518.9pt;height:.7pt;mso-position-horizontal-relative:char;mso-position-vertical-relative:line" coordsize="658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">
              <v:shape id="Shape 10744" o:spid="_x0000_s1027" style="position:absolute;width:65897;height:91;visibility:visible;mso-wrap-style:square;v-text-anchor:top" coordsize="6589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" path="m,l6589776,r,9144l,9144,,e" fillcolor="black" stroked="f" strokeweight="0">
                <v:stroke miterlimit="83231f" joinstyle="miter"/>
                <v:path arrowok="t" textboxrect="0,0,6589776,9144"/>
              </v:shape>
              <w10:anchorlock/>
            </v:group>
          </w:pict>
        </mc:Fallback>
      </mc:AlternateContent>
    </w:r>
  </w:p>
  <w:p w14:paraId="7156CF7F" w14:textId="07AB1CC5" w:rsidR="0045178B" w:rsidRPr="004B051D" w:rsidRDefault="00225BDB" w:rsidP="0002353F">
    <w:pPr>
      <w:tabs>
        <w:tab w:val="left" w:pos="3945"/>
        <w:tab w:val="left" w:pos="4410"/>
        <w:tab w:val="right" w:pos="10206"/>
      </w:tabs>
      <w:spacing w:after="160" w:line="259" w:lineRule="auto"/>
      <w:rPr>
        <w:rFonts w:asciiTheme="majorHAnsi" w:hAnsiTheme="majorHAnsi"/>
        <w:sz w:val="18"/>
        <w:szCs w:val="18"/>
        <w:lang w:val="fr-FR"/>
      </w:rPr>
    </w:pPr>
    <w:r>
      <w:rPr>
        <w:rFonts w:asciiTheme="majorHAnsi" w:hAnsiTheme="majorHAnsi"/>
        <w:sz w:val="18"/>
        <w:szCs w:val="18"/>
        <w:lang w:val="fr-FR"/>
      </w:rPr>
      <w:t>202503</w:t>
    </w:r>
    <w:r w:rsidR="00F54C80">
      <w:rPr>
        <w:rFonts w:asciiTheme="majorHAnsi" w:hAnsiTheme="majorHAnsi"/>
        <w:sz w:val="18"/>
        <w:szCs w:val="18"/>
        <w:lang w:val="fr-FR"/>
      </w:rPr>
      <w:t>502</w:t>
    </w:r>
    <w:r w:rsidR="00D66994" w:rsidRPr="004B051D">
      <w:rPr>
        <w:rFonts w:asciiTheme="majorHAnsi" w:hAnsiTheme="majorHAnsi"/>
        <w:sz w:val="18"/>
        <w:szCs w:val="18"/>
        <w:lang w:val="fr-FR"/>
      </w:rPr>
      <w:t>_</w:t>
    </w:r>
    <w:r w:rsidR="00535FCB" w:rsidRPr="004B051D">
      <w:rPr>
        <w:rFonts w:asciiTheme="majorHAnsi" w:hAnsiTheme="majorHAnsi"/>
        <w:sz w:val="18"/>
        <w:szCs w:val="18"/>
        <w:lang w:val="fr-FR"/>
      </w:rPr>
      <w:t>SKY</w:t>
    </w:r>
    <w:r w:rsidR="00D66994" w:rsidRPr="004B051D">
      <w:rPr>
        <w:rFonts w:asciiTheme="majorHAnsi" w:hAnsiTheme="majorHAnsi"/>
        <w:sz w:val="18"/>
        <w:szCs w:val="18"/>
        <w:lang w:val="fr-FR"/>
      </w:rPr>
      <w:t>_</w:t>
    </w:r>
    <w:r w:rsidR="00E72CE6">
      <w:rPr>
        <w:rFonts w:asciiTheme="majorHAnsi" w:hAnsiTheme="majorHAnsi"/>
        <w:sz w:val="18"/>
        <w:szCs w:val="18"/>
        <w:lang w:val="fr-FR"/>
      </w:rPr>
      <w:t>AU_</w:t>
    </w:r>
    <w:r w:rsidR="00D66994" w:rsidRPr="004B051D">
      <w:rPr>
        <w:rFonts w:asciiTheme="majorHAnsi" w:hAnsiTheme="majorHAnsi"/>
        <w:sz w:val="18"/>
        <w:szCs w:val="18"/>
        <w:lang w:val="fr-FR"/>
      </w:rPr>
      <w:t>PI_Cat1</w:t>
    </w:r>
    <w:r w:rsidR="00804E84">
      <w:rPr>
        <w:rFonts w:asciiTheme="majorHAnsi" w:hAnsiTheme="majorHAnsi"/>
        <w:sz w:val="18"/>
        <w:szCs w:val="18"/>
        <w:lang w:val="fr-FR"/>
      </w:rPr>
      <w:t xml:space="preserve"> (MS</w:t>
    </w:r>
    <w:r w:rsidR="00F54C80">
      <w:rPr>
        <w:rFonts w:asciiTheme="majorHAnsi" w:hAnsiTheme="majorHAnsi"/>
        <w:sz w:val="18"/>
        <w:szCs w:val="18"/>
        <w:lang w:val="fr-FR"/>
      </w:rPr>
      <w:t>6</w:t>
    </w:r>
    <w:r w:rsidR="00804E84">
      <w:rPr>
        <w:rFonts w:asciiTheme="majorHAnsi" w:hAnsiTheme="majorHAnsi"/>
        <w:sz w:val="18"/>
        <w:szCs w:val="18"/>
        <w:lang w:val="fr-FR"/>
      </w:rPr>
      <w:t>)</w:t>
    </w:r>
    <w:r w:rsidR="00F54C80">
      <w:rPr>
        <w:rFonts w:asciiTheme="majorHAnsi" w:hAnsiTheme="majorHAnsi"/>
        <w:sz w:val="18"/>
        <w:szCs w:val="18"/>
        <w:lang w:val="fr-FR"/>
      </w:rPr>
      <w:t xml:space="preserve"> post </w:t>
    </w:r>
    <w:proofErr w:type="spellStart"/>
    <w:r w:rsidR="00F54C80">
      <w:rPr>
        <w:rFonts w:asciiTheme="majorHAnsi" w:hAnsiTheme="majorHAnsi"/>
        <w:sz w:val="18"/>
        <w:szCs w:val="18"/>
        <w:lang w:val="fr-FR"/>
      </w:rPr>
      <w:t>ACM</w:t>
    </w:r>
    <w:r w:rsidR="00D66994" w:rsidRPr="004B051D">
      <w:rPr>
        <w:rFonts w:asciiTheme="majorHAnsi" w:hAnsiTheme="majorHAnsi"/>
        <w:sz w:val="18"/>
        <w:szCs w:val="18"/>
        <w:lang w:val="fr-FR"/>
      </w:rPr>
      <w:t>_</w:t>
    </w:r>
    <w:r w:rsidR="001A5492" w:rsidRPr="004B051D">
      <w:rPr>
        <w:rFonts w:asciiTheme="majorHAnsi" w:hAnsiTheme="majorHAnsi"/>
        <w:sz w:val="18"/>
        <w:szCs w:val="18"/>
        <w:lang w:val="fr-FR"/>
      </w:rPr>
      <w:t>draft</w:t>
    </w:r>
    <w:r>
      <w:rPr>
        <w:rFonts w:asciiTheme="majorHAnsi" w:hAnsiTheme="majorHAnsi"/>
        <w:sz w:val="18"/>
        <w:szCs w:val="18"/>
        <w:lang w:val="fr-FR"/>
      </w:rPr>
      <w:t>_annotated</w:t>
    </w:r>
    <w:proofErr w:type="spellEnd"/>
    <w:r w:rsidR="00D66994" w:rsidRPr="004B051D">
      <w:rPr>
        <w:sz w:val="18"/>
        <w:szCs w:val="18"/>
        <w:lang w:val="fr-FR"/>
      </w:rPr>
      <w:tab/>
    </w:r>
    <w:r w:rsidR="00D66994" w:rsidRPr="004B051D">
      <w:rPr>
        <w:sz w:val="18"/>
        <w:szCs w:val="18"/>
        <w:lang w:val="fr-FR"/>
      </w:rPr>
      <w:tab/>
    </w:r>
    <w:r w:rsidR="00D66994" w:rsidRPr="004B051D">
      <w:rPr>
        <w:sz w:val="18"/>
        <w:szCs w:val="18"/>
        <w:lang w:val="fr-FR"/>
      </w:rPr>
      <w:tab/>
    </w:r>
    <w:r w:rsidR="00D66994" w:rsidRPr="004B051D">
      <w:rPr>
        <w:rFonts w:asciiTheme="majorHAnsi" w:hAnsiTheme="majorHAnsi" w:cs="Times New Roman"/>
        <w:sz w:val="18"/>
        <w:szCs w:val="18"/>
        <w:lang w:val="fr-FR"/>
      </w:rPr>
      <w:t xml:space="preserve">Page </w:t>
    </w:r>
    <w:r w:rsidR="00D66994" w:rsidRPr="00FD112C">
      <w:rPr>
        <w:rFonts w:asciiTheme="majorHAnsi" w:hAnsiTheme="majorHAnsi" w:cs="Times New Roman"/>
        <w:sz w:val="18"/>
        <w:szCs w:val="18"/>
        <w:lang w:val="en-US"/>
      </w:rPr>
      <w:fldChar w:fldCharType="begin"/>
    </w:r>
    <w:r w:rsidR="00D66994" w:rsidRPr="004B051D">
      <w:rPr>
        <w:rFonts w:asciiTheme="majorHAnsi" w:hAnsiTheme="majorHAnsi" w:cs="Times New Roman"/>
        <w:sz w:val="18"/>
        <w:szCs w:val="18"/>
        <w:lang w:val="fr-FR"/>
      </w:rPr>
      <w:instrText xml:space="preserve"> PAGE </w:instrText>
    </w:r>
    <w:r w:rsidR="00D66994" w:rsidRPr="00FD112C">
      <w:rPr>
        <w:rFonts w:asciiTheme="majorHAnsi" w:hAnsiTheme="majorHAnsi" w:cs="Times New Roman"/>
        <w:sz w:val="18"/>
        <w:szCs w:val="18"/>
        <w:lang w:val="en-US"/>
      </w:rPr>
      <w:fldChar w:fldCharType="separate"/>
    </w:r>
    <w:r w:rsidR="00D66994" w:rsidRPr="004B051D">
      <w:rPr>
        <w:rFonts w:asciiTheme="majorHAnsi" w:hAnsiTheme="majorHAnsi" w:cs="Times New Roman"/>
        <w:sz w:val="18"/>
        <w:szCs w:val="18"/>
        <w:lang w:val="fr-FR"/>
      </w:rPr>
      <w:t>5</w:t>
    </w:r>
    <w:r w:rsidR="00D66994" w:rsidRPr="00FD112C">
      <w:rPr>
        <w:rFonts w:asciiTheme="majorHAnsi" w:hAnsiTheme="majorHAnsi" w:cs="Times New Roman"/>
        <w:sz w:val="18"/>
        <w:szCs w:val="18"/>
        <w:lang w:val="en-US"/>
      </w:rPr>
      <w:fldChar w:fldCharType="end"/>
    </w:r>
    <w:r w:rsidR="00D66994" w:rsidRPr="004B051D">
      <w:rPr>
        <w:rFonts w:asciiTheme="majorHAnsi" w:hAnsiTheme="majorHAnsi" w:cs="Times New Roman"/>
        <w:sz w:val="18"/>
        <w:szCs w:val="18"/>
        <w:lang w:val="fr-FR"/>
      </w:rPr>
      <w:t xml:space="preserve"> of </w:t>
    </w:r>
    <w:r w:rsidR="00D66994" w:rsidRPr="00FD112C">
      <w:rPr>
        <w:rFonts w:asciiTheme="majorHAnsi" w:hAnsiTheme="majorHAnsi" w:cs="Times New Roman"/>
        <w:sz w:val="18"/>
        <w:szCs w:val="18"/>
        <w:lang w:val="en-US"/>
      </w:rPr>
      <w:fldChar w:fldCharType="begin"/>
    </w:r>
    <w:r w:rsidR="00D66994" w:rsidRPr="004B051D">
      <w:rPr>
        <w:rFonts w:asciiTheme="majorHAnsi" w:hAnsiTheme="majorHAnsi" w:cs="Times New Roman"/>
        <w:sz w:val="18"/>
        <w:szCs w:val="18"/>
        <w:lang w:val="fr-FR"/>
      </w:rPr>
      <w:instrText xml:space="preserve"> NUMPAGES </w:instrText>
    </w:r>
    <w:r w:rsidR="00D66994" w:rsidRPr="00FD112C">
      <w:rPr>
        <w:rFonts w:asciiTheme="majorHAnsi" w:hAnsiTheme="majorHAnsi" w:cs="Times New Roman"/>
        <w:sz w:val="18"/>
        <w:szCs w:val="18"/>
        <w:lang w:val="en-US"/>
      </w:rPr>
      <w:fldChar w:fldCharType="separate"/>
    </w:r>
    <w:r w:rsidR="00D66994" w:rsidRPr="004B051D">
      <w:rPr>
        <w:rFonts w:asciiTheme="majorHAnsi" w:hAnsiTheme="majorHAnsi" w:cs="Times New Roman"/>
        <w:sz w:val="18"/>
        <w:szCs w:val="18"/>
        <w:lang w:val="fr-FR"/>
      </w:rPr>
      <w:t>17</w:t>
    </w:r>
    <w:r w:rsidR="00D66994" w:rsidRPr="00FD112C">
      <w:rPr>
        <w:rFonts w:asciiTheme="majorHAnsi" w:hAnsiTheme="majorHAnsi" w:cs="Times New Roman"/>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9B05" w14:textId="77777777" w:rsidR="009446B1" w:rsidRDefault="009446B1">
      <w:pPr>
        <w:spacing w:after="0" w:line="240" w:lineRule="auto"/>
      </w:pPr>
      <w:r>
        <w:separator/>
      </w:r>
    </w:p>
  </w:footnote>
  <w:footnote w:type="continuationSeparator" w:id="0">
    <w:p w14:paraId="0C82A1DD" w14:textId="77777777" w:rsidR="009446B1" w:rsidRDefault="009446B1">
      <w:pPr>
        <w:spacing w:after="0" w:line="240" w:lineRule="auto"/>
      </w:pPr>
      <w:r>
        <w:continuationSeparator/>
      </w:r>
    </w:p>
  </w:footnote>
  <w:footnote w:type="continuationNotice" w:id="1">
    <w:p w14:paraId="2D673C4D" w14:textId="77777777" w:rsidR="009446B1" w:rsidRDefault="009446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15EB729C" w14:paraId="2F572848" w14:textId="77777777" w:rsidTr="00D77FED">
      <w:trPr>
        <w:trHeight w:val="300"/>
      </w:trPr>
      <w:tc>
        <w:tcPr>
          <w:tcW w:w="3285" w:type="dxa"/>
        </w:tcPr>
        <w:p w14:paraId="28FC51C0" w14:textId="04C22807" w:rsidR="15EB729C" w:rsidRDefault="15EB729C" w:rsidP="00D77FED">
          <w:pPr>
            <w:pStyle w:val="Header"/>
            <w:ind w:left="-115"/>
          </w:pPr>
        </w:p>
      </w:tc>
      <w:tc>
        <w:tcPr>
          <w:tcW w:w="3285" w:type="dxa"/>
        </w:tcPr>
        <w:p w14:paraId="6306AF41" w14:textId="3B29223E" w:rsidR="15EB729C" w:rsidRDefault="15EB729C" w:rsidP="00D77FED">
          <w:pPr>
            <w:pStyle w:val="Header"/>
            <w:jc w:val="center"/>
          </w:pPr>
        </w:p>
      </w:tc>
      <w:tc>
        <w:tcPr>
          <w:tcW w:w="3285" w:type="dxa"/>
        </w:tcPr>
        <w:p w14:paraId="7BF02E70" w14:textId="742BAFEE" w:rsidR="15EB729C" w:rsidRDefault="15EB729C" w:rsidP="00D77FED">
          <w:pPr>
            <w:pStyle w:val="Header"/>
            <w:ind w:right="-115"/>
            <w:jc w:val="right"/>
          </w:pPr>
        </w:p>
      </w:tc>
    </w:tr>
  </w:tbl>
  <w:tbl>
    <w:tblPr>
      <w:tblStyle w:val="TableGrid"/>
      <w:tblW w:w="0" w:type="auto"/>
      <w:tblInd w:w="-113" w:type="dxa"/>
      <w:shd w:val="clear" w:color="auto" w:fill="E4F2E0"/>
      <w:tblLook w:val="04A0" w:firstRow="1" w:lastRow="0" w:firstColumn="1" w:lastColumn="0" w:noHBand="0" w:noVBand="1"/>
    </w:tblPr>
    <w:tblGrid>
      <w:gridCol w:w="9180"/>
    </w:tblGrid>
    <w:tr w:rsidR="00130EFD" w:rsidRPr="000B2145" w14:paraId="7E77CA1F" w14:textId="77777777" w:rsidTr="00130EFD">
      <w:trPr>
        <w:trHeight w:val="1012"/>
      </w:trPr>
      <w:tc>
        <w:tcPr>
          <w:tcW w:w="9180" w:type="dxa"/>
          <w:shd w:val="clear" w:color="auto" w:fill="E4F2E0"/>
        </w:tcPr>
        <w:p w14:paraId="4DC7A0FC" w14:textId="77777777" w:rsidR="00130EFD" w:rsidRPr="000E4791" w:rsidRDefault="00130EFD" w:rsidP="00130EFD">
          <w:pPr>
            <w:pStyle w:val="Footer"/>
            <w:rPr>
              <w:b/>
              <w:sz w:val="18"/>
              <w:szCs w:val="18"/>
            </w:rPr>
          </w:pPr>
          <w:bookmarkStart w:id="13" w:name="_Hlk109054010"/>
          <w:r w:rsidRPr="00130EFD">
            <w:rPr>
              <w:b/>
              <w:bCs/>
              <w:sz w:val="17"/>
              <w:szCs w:val="17"/>
            </w:rPr>
            <w:t xml:space="preserve">AusPAR - Skytrofa - lonapegsomatropin- </w:t>
          </w:r>
          <w:bookmarkStart w:id="14" w:name="_Hlk207028918"/>
          <w:r w:rsidRPr="00130EFD">
            <w:rPr>
              <w:b/>
              <w:bCs/>
              <w:sz w:val="17"/>
              <w:szCs w:val="17"/>
            </w:rPr>
            <w:t xml:space="preserve">PM-2024-01550-1-5 </w:t>
          </w:r>
          <w:bookmarkEnd w:id="14"/>
          <w:r w:rsidRPr="00130EFD">
            <w:rPr>
              <w:b/>
              <w:bCs/>
              <w:sz w:val="17"/>
              <w:szCs w:val="17"/>
            </w:rPr>
            <w:t xml:space="preserve">- </w:t>
          </w:r>
          <w:proofErr w:type="spellStart"/>
          <w:r w:rsidRPr="00130EFD">
            <w:rPr>
              <w:b/>
              <w:bCs/>
              <w:sz w:val="17"/>
              <w:szCs w:val="17"/>
            </w:rPr>
            <w:t>Specialised</w:t>
          </w:r>
          <w:proofErr w:type="spellEnd"/>
          <w:r w:rsidRPr="00130EFD">
            <w:rPr>
              <w:b/>
              <w:bCs/>
              <w:sz w:val="17"/>
              <w:szCs w:val="17"/>
            </w:rPr>
            <w:t xml:space="preserve"> Therapeutics Pharma Pty Ltd – Type A Date of </w:t>
          </w:r>
          <w:proofErr w:type="spellStart"/>
          <w:r w:rsidRPr="00130EFD">
            <w:rPr>
              <w:b/>
              <w:bCs/>
              <w:sz w:val="17"/>
              <w:szCs w:val="17"/>
            </w:rPr>
            <w:t>Finalisation</w:t>
          </w:r>
          <w:proofErr w:type="spellEnd"/>
          <w:r w:rsidRPr="00130EFD">
            <w:rPr>
              <w:b/>
              <w:bCs/>
              <w:sz w:val="17"/>
              <w:szCs w:val="17"/>
            </w:rPr>
            <w:t>: 21 August 2025.</w:t>
          </w:r>
          <w:r>
            <w:rPr>
              <w:b/>
              <w:bCs/>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130EFD">
              <w:rPr>
                <w:rStyle w:val="Hyperlink"/>
                <w:sz w:val="17"/>
                <w:szCs w:val="17"/>
              </w:rPr>
              <w:t>https://www.tga.gov.au/products/australian-register-therapeutic-goods-artg/product-information-pi</w:t>
            </w:r>
          </w:hyperlink>
          <w:r w:rsidRPr="000E4791">
            <w:rPr>
              <w:b/>
              <w:sz w:val="18"/>
              <w:szCs w:val="18"/>
              <w:u w:val="single"/>
            </w:rPr>
            <w:t>&gt;</w:t>
          </w:r>
        </w:p>
      </w:tc>
    </w:tr>
    <w:bookmarkEnd w:id="13"/>
  </w:tbl>
  <w:p w14:paraId="547D1647" w14:textId="7533A604" w:rsidR="15EB729C" w:rsidRPr="00130EFD" w:rsidRDefault="15EB729C" w:rsidP="00D77FE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F98"/>
    <w:multiLevelType w:val="hybridMultilevel"/>
    <w:tmpl w:val="64208BE0"/>
    <w:lvl w:ilvl="0" w:tplc="8DD21CDA">
      <w:numFmt w:val="bullet"/>
      <w:lvlText w:val="-"/>
      <w:lvlJc w:val="left"/>
      <w:pPr>
        <w:ind w:left="238"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382685F0">
      <w:numFmt w:val="bullet"/>
      <w:lvlText w:val="•"/>
      <w:lvlJc w:val="left"/>
      <w:pPr>
        <w:ind w:left="1202" w:hanging="568"/>
      </w:pPr>
      <w:rPr>
        <w:rFonts w:hint="default"/>
        <w:lang w:val="en-US" w:eastAsia="en-US" w:bidi="ar-SA"/>
      </w:rPr>
    </w:lvl>
    <w:lvl w:ilvl="2" w:tplc="BDD07322">
      <w:numFmt w:val="bullet"/>
      <w:lvlText w:val="•"/>
      <w:lvlJc w:val="left"/>
      <w:pPr>
        <w:ind w:left="2165" w:hanging="568"/>
      </w:pPr>
      <w:rPr>
        <w:rFonts w:hint="default"/>
        <w:lang w:val="en-US" w:eastAsia="en-US" w:bidi="ar-SA"/>
      </w:rPr>
    </w:lvl>
    <w:lvl w:ilvl="3" w:tplc="54583214">
      <w:numFmt w:val="bullet"/>
      <w:lvlText w:val="•"/>
      <w:lvlJc w:val="left"/>
      <w:pPr>
        <w:ind w:left="3128" w:hanging="568"/>
      </w:pPr>
      <w:rPr>
        <w:rFonts w:hint="default"/>
        <w:lang w:val="en-US" w:eastAsia="en-US" w:bidi="ar-SA"/>
      </w:rPr>
    </w:lvl>
    <w:lvl w:ilvl="4" w:tplc="B43001B2">
      <w:numFmt w:val="bullet"/>
      <w:lvlText w:val="•"/>
      <w:lvlJc w:val="left"/>
      <w:pPr>
        <w:ind w:left="4091" w:hanging="568"/>
      </w:pPr>
      <w:rPr>
        <w:rFonts w:hint="default"/>
        <w:lang w:val="en-US" w:eastAsia="en-US" w:bidi="ar-SA"/>
      </w:rPr>
    </w:lvl>
    <w:lvl w:ilvl="5" w:tplc="5D90C0E6">
      <w:numFmt w:val="bullet"/>
      <w:lvlText w:val="•"/>
      <w:lvlJc w:val="left"/>
      <w:pPr>
        <w:ind w:left="5053" w:hanging="568"/>
      </w:pPr>
      <w:rPr>
        <w:rFonts w:hint="default"/>
        <w:lang w:val="en-US" w:eastAsia="en-US" w:bidi="ar-SA"/>
      </w:rPr>
    </w:lvl>
    <w:lvl w:ilvl="6" w:tplc="E2241858">
      <w:numFmt w:val="bullet"/>
      <w:lvlText w:val="•"/>
      <w:lvlJc w:val="left"/>
      <w:pPr>
        <w:ind w:left="6016" w:hanging="568"/>
      </w:pPr>
      <w:rPr>
        <w:rFonts w:hint="default"/>
        <w:lang w:val="en-US" w:eastAsia="en-US" w:bidi="ar-SA"/>
      </w:rPr>
    </w:lvl>
    <w:lvl w:ilvl="7" w:tplc="560A1D96">
      <w:numFmt w:val="bullet"/>
      <w:lvlText w:val="•"/>
      <w:lvlJc w:val="left"/>
      <w:pPr>
        <w:ind w:left="6979" w:hanging="568"/>
      </w:pPr>
      <w:rPr>
        <w:rFonts w:hint="default"/>
        <w:lang w:val="en-US" w:eastAsia="en-US" w:bidi="ar-SA"/>
      </w:rPr>
    </w:lvl>
    <w:lvl w:ilvl="8" w:tplc="57945794">
      <w:numFmt w:val="bullet"/>
      <w:lvlText w:val="•"/>
      <w:lvlJc w:val="left"/>
      <w:pPr>
        <w:ind w:left="7942" w:hanging="568"/>
      </w:pPr>
      <w:rPr>
        <w:rFonts w:hint="default"/>
        <w:lang w:val="en-US" w:eastAsia="en-US" w:bidi="ar-SA"/>
      </w:rPr>
    </w:lvl>
  </w:abstractNum>
  <w:abstractNum w:abstractNumId="1" w15:restartNumberingAfterBreak="0">
    <w:nsid w:val="0F556575"/>
    <w:multiLevelType w:val="multilevel"/>
    <w:tmpl w:val="C7C6A6B6"/>
    <w:lvl w:ilvl="0">
      <w:start w:val="1"/>
      <w:numFmt w:val="decimal"/>
      <w:lvlText w:val="%1."/>
      <w:lvlJc w:val="left"/>
      <w:pPr>
        <w:ind w:left="806" w:hanging="568"/>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05" w:hanging="568"/>
      </w:pPr>
      <w:rPr>
        <w:rFonts w:ascii="Times New Roman" w:eastAsia="Times New Roman" w:hAnsi="Times New Roman" w:cs="Times New Roman" w:hint="default"/>
        <w:b/>
        <w:bCs/>
        <w:i w:val="0"/>
        <w:iCs w:val="0"/>
        <w:spacing w:val="0"/>
        <w:w w:val="99"/>
        <w:sz w:val="22"/>
        <w:szCs w:val="22"/>
        <w:lang w:val="en-US" w:eastAsia="en-US" w:bidi="ar-SA"/>
      </w:rPr>
    </w:lvl>
    <w:lvl w:ilvl="2">
      <w:numFmt w:val="bullet"/>
      <w:lvlText w:val="•"/>
      <w:lvlJc w:val="left"/>
      <w:pPr>
        <w:ind w:left="597" w:hanging="360"/>
      </w:pPr>
      <w:rPr>
        <w:rFonts w:hint="default"/>
        <w:lang w:val="en-US" w:eastAsia="en-US" w:bidi="ar-SA"/>
      </w:rPr>
    </w:lvl>
    <w:lvl w:ilvl="3">
      <w:numFmt w:val="bullet"/>
      <w:lvlText w:val="o"/>
      <w:lvlJc w:val="left"/>
      <w:pPr>
        <w:ind w:left="1372" w:hanging="568"/>
      </w:pPr>
      <w:rPr>
        <w:rFonts w:ascii="Courier New" w:eastAsia="Courier New" w:hAnsi="Courier New" w:cs="Courier New" w:hint="default"/>
        <w:b w:val="0"/>
        <w:bCs w:val="0"/>
        <w:i w:val="0"/>
        <w:iCs w:val="0"/>
        <w:spacing w:val="0"/>
        <w:w w:val="99"/>
        <w:sz w:val="22"/>
        <w:szCs w:val="22"/>
        <w:lang w:val="en-US" w:eastAsia="en-US" w:bidi="ar-SA"/>
      </w:rPr>
    </w:lvl>
    <w:lvl w:ilvl="4">
      <w:numFmt w:val="bullet"/>
      <w:lvlText w:val="•"/>
      <w:lvlJc w:val="left"/>
      <w:pPr>
        <w:ind w:left="4209" w:hanging="568"/>
      </w:pPr>
      <w:rPr>
        <w:rFonts w:hint="default"/>
        <w:lang w:val="en-US" w:eastAsia="en-US" w:bidi="ar-SA"/>
      </w:rPr>
    </w:lvl>
    <w:lvl w:ilvl="5">
      <w:numFmt w:val="bullet"/>
      <w:lvlText w:val="•"/>
      <w:lvlJc w:val="left"/>
      <w:pPr>
        <w:ind w:left="5152" w:hanging="568"/>
      </w:pPr>
      <w:rPr>
        <w:rFonts w:hint="default"/>
        <w:lang w:val="en-US" w:eastAsia="en-US" w:bidi="ar-SA"/>
      </w:rPr>
    </w:lvl>
    <w:lvl w:ilvl="6">
      <w:numFmt w:val="bullet"/>
      <w:lvlText w:val="•"/>
      <w:lvlJc w:val="left"/>
      <w:pPr>
        <w:ind w:left="6095" w:hanging="568"/>
      </w:pPr>
      <w:rPr>
        <w:rFonts w:hint="default"/>
        <w:lang w:val="en-US" w:eastAsia="en-US" w:bidi="ar-SA"/>
      </w:rPr>
    </w:lvl>
    <w:lvl w:ilvl="7">
      <w:numFmt w:val="bullet"/>
      <w:lvlText w:val="•"/>
      <w:lvlJc w:val="left"/>
      <w:pPr>
        <w:ind w:left="7038" w:hanging="568"/>
      </w:pPr>
      <w:rPr>
        <w:rFonts w:hint="default"/>
        <w:lang w:val="en-US" w:eastAsia="en-US" w:bidi="ar-SA"/>
      </w:rPr>
    </w:lvl>
    <w:lvl w:ilvl="8">
      <w:numFmt w:val="bullet"/>
      <w:lvlText w:val="•"/>
      <w:lvlJc w:val="left"/>
      <w:pPr>
        <w:ind w:left="7981" w:hanging="568"/>
      </w:pPr>
      <w:rPr>
        <w:rFonts w:hint="default"/>
        <w:lang w:val="en-US" w:eastAsia="en-US" w:bidi="ar-SA"/>
      </w:rPr>
    </w:lvl>
  </w:abstractNum>
  <w:abstractNum w:abstractNumId="2" w15:restartNumberingAfterBreak="0">
    <w:nsid w:val="168065C3"/>
    <w:multiLevelType w:val="hybridMultilevel"/>
    <w:tmpl w:val="91AC0644"/>
    <w:lvl w:ilvl="0" w:tplc="C9C4F582">
      <w:numFmt w:val="bullet"/>
      <w:lvlText w:val="-"/>
      <w:lvlJc w:val="left"/>
      <w:pPr>
        <w:ind w:left="806"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45264FA2">
      <w:numFmt w:val="bullet"/>
      <w:lvlText w:val="•"/>
      <w:lvlJc w:val="left"/>
      <w:pPr>
        <w:ind w:left="1706" w:hanging="568"/>
      </w:pPr>
      <w:rPr>
        <w:rFonts w:hint="default"/>
        <w:lang w:val="en-US" w:eastAsia="en-US" w:bidi="ar-SA"/>
      </w:rPr>
    </w:lvl>
    <w:lvl w:ilvl="2" w:tplc="92508060">
      <w:numFmt w:val="bullet"/>
      <w:lvlText w:val="•"/>
      <w:lvlJc w:val="left"/>
      <w:pPr>
        <w:ind w:left="2613" w:hanging="568"/>
      </w:pPr>
      <w:rPr>
        <w:rFonts w:hint="default"/>
        <w:lang w:val="en-US" w:eastAsia="en-US" w:bidi="ar-SA"/>
      </w:rPr>
    </w:lvl>
    <w:lvl w:ilvl="3" w:tplc="74A205B4">
      <w:numFmt w:val="bullet"/>
      <w:lvlText w:val="•"/>
      <w:lvlJc w:val="left"/>
      <w:pPr>
        <w:ind w:left="3520" w:hanging="568"/>
      </w:pPr>
      <w:rPr>
        <w:rFonts w:hint="default"/>
        <w:lang w:val="en-US" w:eastAsia="en-US" w:bidi="ar-SA"/>
      </w:rPr>
    </w:lvl>
    <w:lvl w:ilvl="4" w:tplc="07BC01AE">
      <w:numFmt w:val="bullet"/>
      <w:lvlText w:val="•"/>
      <w:lvlJc w:val="left"/>
      <w:pPr>
        <w:ind w:left="4427" w:hanging="568"/>
      </w:pPr>
      <w:rPr>
        <w:rFonts w:hint="default"/>
        <w:lang w:val="en-US" w:eastAsia="en-US" w:bidi="ar-SA"/>
      </w:rPr>
    </w:lvl>
    <w:lvl w:ilvl="5" w:tplc="A8EA98C6">
      <w:numFmt w:val="bullet"/>
      <w:lvlText w:val="•"/>
      <w:lvlJc w:val="left"/>
      <w:pPr>
        <w:ind w:left="5333" w:hanging="568"/>
      </w:pPr>
      <w:rPr>
        <w:rFonts w:hint="default"/>
        <w:lang w:val="en-US" w:eastAsia="en-US" w:bidi="ar-SA"/>
      </w:rPr>
    </w:lvl>
    <w:lvl w:ilvl="6" w:tplc="7B6C7204">
      <w:numFmt w:val="bullet"/>
      <w:lvlText w:val="•"/>
      <w:lvlJc w:val="left"/>
      <w:pPr>
        <w:ind w:left="6240" w:hanging="568"/>
      </w:pPr>
      <w:rPr>
        <w:rFonts w:hint="default"/>
        <w:lang w:val="en-US" w:eastAsia="en-US" w:bidi="ar-SA"/>
      </w:rPr>
    </w:lvl>
    <w:lvl w:ilvl="7" w:tplc="69566E88">
      <w:numFmt w:val="bullet"/>
      <w:lvlText w:val="•"/>
      <w:lvlJc w:val="left"/>
      <w:pPr>
        <w:ind w:left="7147" w:hanging="568"/>
      </w:pPr>
      <w:rPr>
        <w:rFonts w:hint="default"/>
        <w:lang w:val="en-US" w:eastAsia="en-US" w:bidi="ar-SA"/>
      </w:rPr>
    </w:lvl>
    <w:lvl w:ilvl="8" w:tplc="B14AEFCE">
      <w:numFmt w:val="bullet"/>
      <w:lvlText w:val="•"/>
      <w:lvlJc w:val="left"/>
      <w:pPr>
        <w:ind w:left="8054" w:hanging="568"/>
      </w:pPr>
      <w:rPr>
        <w:rFonts w:hint="default"/>
        <w:lang w:val="en-US" w:eastAsia="en-US" w:bidi="ar-SA"/>
      </w:rPr>
    </w:lvl>
  </w:abstractNum>
  <w:abstractNum w:abstractNumId="3" w15:restartNumberingAfterBreak="0">
    <w:nsid w:val="334D6042"/>
    <w:multiLevelType w:val="multilevel"/>
    <w:tmpl w:val="2EF00E90"/>
    <w:lvl w:ilvl="0">
      <w:start w:val="1"/>
      <w:numFmt w:val="decimal"/>
      <w:lvlText w:val="%1."/>
      <w:lvlJc w:val="left"/>
      <w:pPr>
        <w:ind w:left="806" w:hanging="568"/>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05" w:hanging="568"/>
      </w:pPr>
      <w:rPr>
        <w:rFonts w:ascii="Times New Roman" w:eastAsia="Times New Roman" w:hAnsi="Times New Roman" w:cs="Times New Roman" w:hint="default"/>
        <w:b/>
        <w:bCs/>
        <w:i w:val="0"/>
        <w:iCs w:val="0"/>
        <w:spacing w:val="0"/>
        <w:w w:val="99"/>
        <w:sz w:val="22"/>
        <w:szCs w:val="22"/>
        <w:lang w:val="en-US" w:eastAsia="en-US" w:bidi="ar-SA"/>
      </w:rPr>
    </w:lvl>
    <w:lvl w:ilvl="2">
      <w:numFmt w:val="bullet"/>
      <w:lvlText w:val="•"/>
      <w:lvlJc w:val="left"/>
      <w:pPr>
        <w:ind w:left="805" w:hanging="568"/>
      </w:pPr>
      <w:rPr>
        <w:rFonts w:ascii="Arial" w:eastAsia="Arial" w:hAnsi="Arial" w:cs="Arial" w:hint="default"/>
        <w:b w:val="0"/>
        <w:bCs w:val="0"/>
        <w:i w:val="0"/>
        <w:iCs w:val="0"/>
        <w:spacing w:val="0"/>
        <w:w w:val="131"/>
        <w:sz w:val="22"/>
        <w:szCs w:val="22"/>
        <w:lang w:val="en-US" w:eastAsia="en-US" w:bidi="ar-SA"/>
      </w:rPr>
    </w:lvl>
    <w:lvl w:ilvl="3">
      <w:numFmt w:val="bullet"/>
      <w:lvlText w:val="o"/>
      <w:lvlJc w:val="left"/>
      <w:pPr>
        <w:ind w:left="1372" w:hanging="568"/>
      </w:pPr>
      <w:rPr>
        <w:rFonts w:ascii="Courier New" w:eastAsia="Courier New" w:hAnsi="Courier New" w:cs="Courier New" w:hint="default"/>
        <w:b w:val="0"/>
        <w:bCs w:val="0"/>
        <w:i w:val="0"/>
        <w:iCs w:val="0"/>
        <w:spacing w:val="0"/>
        <w:w w:val="99"/>
        <w:sz w:val="22"/>
        <w:szCs w:val="22"/>
        <w:lang w:val="en-US" w:eastAsia="en-US" w:bidi="ar-SA"/>
      </w:rPr>
    </w:lvl>
    <w:lvl w:ilvl="4">
      <w:numFmt w:val="bullet"/>
      <w:lvlText w:val="•"/>
      <w:lvlJc w:val="left"/>
      <w:pPr>
        <w:ind w:left="4209" w:hanging="568"/>
      </w:pPr>
      <w:rPr>
        <w:rFonts w:hint="default"/>
        <w:lang w:val="en-US" w:eastAsia="en-US" w:bidi="ar-SA"/>
      </w:rPr>
    </w:lvl>
    <w:lvl w:ilvl="5">
      <w:numFmt w:val="bullet"/>
      <w:lvlText w:val="•"/>
      <w:lvlJc w:val="left"/>
      <w:pPr>
        <w:ind w:left="5152" w:hanging="568"/>
      </w:pPr>
      <w:rPr>
        <w:rFonts w:hint="default"/>
        <w:lang w:val="en-US" w:eastAsia="en-US" w:bidi="ar-SA"/>
      </w:rPr>
    </w:lvl>
    <w:lvl w:ilvl="6">
      <w:numFmt w:val="bullet"/>
      <w:lvlText w:val="•"/>
      <w:lvlJc w:val="left"/>
      <w:pPr>
        <w:ind w:left="6095" w:hanging="568"/>
      </w:pPr>
      <w:rPr>
        <w:rFonts w:hint="default"/>
        <w:lang w:val="en-US" w:eastAsia="en-US" w:bidi="ar-SA"/>
      </w:rPr>
    </w:lvl>
    <w:lvl w:ilvl="7">
      <w:numFmt w:val="bullet"/>
      <w:lvlText w:val="•"/>
      <w:lvlJc w:val="left"/>
      <w:pPr>
        <w:ind w:left="7038" w:hanging="568"/>
      </w:pPr>
      <w:rPr>
        <w:rFonts w:hint="default"/>
        <w:lang w:val="en-US" w:eastAsia="en-US" w:bidi="ar-SA"/>
      </w:rPr>
    </w:lvl>
    <w:lvl w:ilvl="8">
      <w:numFmt w:val="bullet"/>
      <w:lvlText w:val="•"/>
      <w:lvlJc w:val="left"/>
      <w:pPr>
        <w:ind w:left="7981" w:hanging="568"/>
      </w:pPr>
      <w:rPr>
        <w:rFonts w:hint="default"/>
        <w:lang w:val="en-US" w:eastAsia="en-US" w:bidi="ar-SA"/>
      </w:rPr>
    </w:lvl>
  </w:abstractNum>
  <w:abstractNum w:abstractNumId="4" w15:restartNumberingAfterBreak="0">
    <w:nsid w:val="3A296E8B"/>
    <w:multiLevelType w:val="hybridMultilevel"/>
    <w:tmpl w:val="88CA5536"/>
    <w:lvl w:ilvl="0" w:tplc="03ECDBC8">
      <w:start w:val="1"/>
      <w:numFmt w:val="bullet"/>
      <w:lvlText w:val=""/>
      <w:lvlJc w:val="left"/>
      <w:pPr>
        <w:ind w:left="720" w:hanging="360"/>
      </w:pPr>
      <w:rPr>
        <w:rFonts w:ascii="Symbol" w:hAnsi="Symbol" w:hint="default"/>
      </w:rPr>
    </w:lvl>
    <w:lvl w:ilvl="1" w:tplc="4A24BDF0" w:tentative="1">
      <w:start w:val="1"/>
      <w:numFmt w:val="bullet"/>
      <w:lvlText w:val="o"/>
      <w:lvlJc w:val="left"/>
      <w:pPr>
        <w:ind w:left="1440" w:hanging="360"/>
      </w:pPr>
      <w:rPr>
        <w:rFonts w:ascii="Courier New" w:hAnsi="Courier New" w:hint="default"/>
      </w:rPr>
    </w:lvl>
    <w:lvl w:ilvl="2" w:tplc="33385AC2" w:tentative="1">
      <w:start w:val="1"/>
      <w:numFmt w:val="bullet"/>
      <w:lvlText w:val=""/>
      <w:lvlJc w:val="left"/>
      <w:pPr>
        <w:ind w:left="2160" w:hanging="360"/>
      </w:pPr>
      <w:rPr>
        <w:rFonts w:ascii="Wingdings" w:hAnsi="Wingdings" w:hint="default"/>
      </w:rPr>
    </w:lvl>
    <w:lvl w:ilvl="3" w:tplc="5942D534" w:tentative="1">
      <w:start w:val="1"/>
      <w:numFmt w:val="bullet"/>
      <w:lvlText w:val=""/>
      <w:lvlJc w:val="left"/>
      <w:pPr>
        <w:ind w:left="2880" w:hanging="360"/>
      </w:pPr>
      <w:rPr>
        <w:rFonts w:ascii="Symbol" w:hAnsi="Symbol" w:hint="default"/>
      </w:rPr>
    </w:lvl>
    <w:lvl w:ilvl="4" w:tplc="C9CC456A" w:tentative="1">
      <w:start w:val="1"/>
      <w:numFmt w:val="bullet"/>
      <w:lvlText w:val="o"/>
      <w:lvlJc w:val="left"/>
      <w:pPr>
        <w:ind w:left="3600" w:hanging="360"/>
      </w:pPr>
      <w:rPr>
        <w:rFonts w:ascii="Courier New" w:hAnsi="Courier New" w:hint="default"/>
      </w:rPr>
    </w:lvl>
    <w:lvl w:ilvl="5" w:tplc="61ECF1FA" w:tentative="1">
      <w:start w:val="1"/>
      <w:numFmt w:val="bullet"/>
      <w:lvlText w:val=""/>
      <w:lvlJc w:val="left"/>
      <w:pPr>
        <w:ind w:left="4320" w:hanging="360"/>
      </w:pPr>
      <w:rPr>
        <w:rFonts w:ascii="Wingdings" w:hAnsi="Wingdings" w:hint="default"/>
      </w:rPr>
    </w:lvl>
    <w:lvl w:ilvl="6" w:tplc="C18EDEEC" w:tentative="1">
      <w:start w:val="1"/>
      <w:numFmt w:val="bullet"/>
      <w:lvlText w:val=""/>
      <w:lvlJc w:val="left"/>
      <w:pPr>
        <w:ind w:left="5040" w:hanging="360"/>
      </w:pPr>
      <w:rPr>
        <w:rFonts w:ascii="Symbol" w:hAnsi="Symbol" w:hint="default"/>
      </w:rPr>
    </w:lvl>
    <w:lvl w:ilvl="7" w:tplc="BC269A92" w:tentative="1">
      <w:start w:val="1"/>
      <w:numFmt w:val="bullet"/>
      <w:lvlText w:val="o"/>
      <w:lvlJc w:val="left"/>
      <w:pPr>
        <w:ind w:left="5760" w:hanging="360"/>
      </w:pPr>
      <w:rPr>
        <w:rFonts w:ascii="Courier New" w:hAnsi="Courier New" w:hint="default"/>
      </w:rPr>
    </w:lvl>
    <w:lvl w:ilvl="8" w:tplc="48961C30" w:tentative="1">
      <w:start w:val="1"/>
      <w:numFmt w:val="bullet"/>
      <w:lvlText w:val=""/>
      <w:lvlJc w:val="left"/>
      <w:pPr>
        <w:ind w:left="6480" w:hanging="360"/>
      </w:pPr>
      <w:rPr>
        <w:rFonts w:ascii="Wingdings" w:hAnsi="Wingdings" w:hint="default"/>
      </w:rPr>
    </w:lvl>
  </w:abstractNum>
  <w:abstractNum w:abstractNumId="5" w15:restartNumberingAfterBreak="0">
    <w:nsid w:val="3A8B2B59"/>
    <w:multiLevelType w:val="multilevel"/>
    <w:tmpl w:val="49F23B2E"/>
    <w:lvl w:ilvl="0">
      <w:start w:val="1"/>
      <w:numFmt w:val="decimal"/>
      <w:lvlText w:val="%1."/>
      <w:lvlJc w:val="left"/>
      <w:pPr>
        <w:ind w:left="806" w:hanging="568"/>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05" w:hanging="568"/>
      </w:pPr>
      <w:rPr>
        <w:rFonts w:ascii="Times New Roman" w:eastAsia="Times New Roman" w:hAnsi="Times New Roman" w:cs="Times New Roman" w:hint="default"/>
        <w:b/>
        <w:bCs/>
        <w:i w:val="0"/>
        <w:iCs w:val="0"/>
        <w:spacing w:val="0"/>
        <w:w w:val="99"/>
        <w:sz w:val="22"/>
        <w:szCs w:val="22"/>
        <w:lang w:val="en-US" w:eastAsia="en-US" w:bidi="ar-SA"/>
      </w:rPr>
    </w:lvl>
    <w:lvl w:ilvl="2">
      <w:numFmt w:val="bullet"/>
      <w:lvlText w:val="•"/>
      <w:lvlJc w:val="left"/>
      <w:pPr>
        <w:ind w:left="805" w:hanging="568"/>
      </w:pPr>
      <w:rPr>
        <w:rFonts w:ascii="Arial" w:eastAsia="Arial" w:hAnsi="Arial" w:cs="Arial" w:hint="default"/>
        <w:b w:val="0"/>
        <w:bCs w:val="0"/>
        <w:i w:val="0"/>
        <w:iCs w:val="0"/>
        <w:spacing w:val="0"/>
        <w:w w:val="131"/>
        <w:sz w:val="22"/>
        <w:szCs w:val="22"/>
        <w:lang w:val="en-US" w:eastAsia="en-US" w:bidi="ar-SA"/>
      </w:rPr>
    </w:lvl>
    <w:lvl w:ilvl="3">
      <w:numFmt w:val="bullet"/>
      <w:lvlText w:val="•"/>
      <w:lvlJc w:val="left"/>
      <w:pPr>
        <w:ind w:left="1164" w:hanging="360"/>
      </w:pPr>
      <w:rPr>
        <w:rFonts w:hint="default"/>
        <w:lang w:val="en-US" w:eastAsia="en-US" w:bidi="ar-SA"/>
      </w:rPr>
    </w:lvl>
    <w:lvl w:ilvl="4">
      <w:numFmt w:val="bullet"/>
      <w:lvlText w:val="•"/>
      <w:lvlJc w:val="left"/>
      <w:pPr>
        <w:ind w:left="4209" w:hanging="568"/>
      </w:pPr>
      <w:rPr>
        <w:rFonts w:hint="default"/>
        <w:lang w:val="en-US" w:eastAsia="en-US" w:bidi="ar-SA"/>
      </w:rPr>
    </w:lvl>
    <w:lvl w:ilvl="5">
      <w:numFmt w:val="bullet"/>
      <w:lvlText w:val="•"/>
      <w:lvlJc w:val="left"/>
      <w:pPr>
        <w:ind w:left="5152" w:hanging="568"/>
      </w:pPr>
      <w:rPr>
        <w:rFonts w:hint="default"/>
        <w:lang w:val="en-US" w:eastAsia="en-US" w:bidi="ar-SA"/>
      </w:rPr>
    </w:lvl>
    <w:lvl w:ilvl="6">
      <w:numFmt w:val="bullet"/>
      <w:lvlText w:val="•"/>
      <w:lvlJc w:val="left"/>
      <w:pPr>
        <w:ind w:left="6095" w:hanging="568"/>
      </w:pPr>
      <w:rPr>
        <w:rFonts w:hint="default"/>
        <w:lang w:val="en-US" w:eastAsia="en-US" w:bidi="ar-SA"/>
      </w:rPr>
    </w:lvl>
    <w:lvl w:ilvl="7">
      <w:numFmt w:val="bullet"/>
      <w:lvlText w:val="•"/>
      <w:lvlJc w:val="left"/>
      <w:pPr>
        <w:ind w:left="7038" w:hanging="568"/>
      </w:pPr>
      <w:rPr>
        <w:rFonts w:hint="default"/>
        <w:lang w:val="en-US" w:eastAsia="en-US" w:bidi="ar-SA"/>
      </w:rPr>
    </w:lvl>
    <w:lvl w:ilvl="8">
      <w:numFmt w:val="bullet"/>
      <w:lvlText w:val="•"/>
      <w:lvlJc w:val="left"/>
      <w:pPr>
        <w:ind w:left="7981" w:hanging="568"/>
      </w:pPr>
      <w:rPr>
        <w:rFonts w:hint="default"/>
        <w:lang w:val="en-US" w:eastAsia="en-US" w:bidi="ar-SA"/>
      </w:rPr>
    </w:lvl>
  </w:abstractNum>
  <w:abstractNum w:abstractNumId="6" w15:restartNumberingAfterBreak="0">
    <w:nsid w:val="55590E25"/>
    <w:multiLevelType w:val="multilevel"/>
    <w:tmpl w:val="8FB6AE4C"/>
    <w:lvl w:ilvl="0">
      <w:numFmt w:val="bullet"/>
      <w:lvlText w:val="•"/>
      <w:lvlJc w:val="left"/>
      <w:pPr>
        <w:ind w:left="598" w:hanging="360"/>
      </w:pPr>
      <w:rPr>
        <w:rFonts w:hint="default"/>
        <w:b/>
        <w:bCs/>
        <w:i w:val="0"/>
        <w:iCs w:val="0"/>
        <w:spacing w:val="0"/>
        <w:w w:val="99"/>
        <w:sz w:val="22"/>
        <w:szCs w:val="22"/>
        <w:lang w:val="en-US" w:eastAsia="en-US" w:bidi="ar-SA"/>
      </w:rPr>
    </w:lvl>
    <w:lvl w:ilvl="1">
      <w:start w:val="1"/>
      <w:numFmt w:val="decimal"/>
      <w:lvlText w:val="%1.%2"/>
      <w:lvlJc w:val="left"/>
      <w:pPr>
        <w:ind w:left="805" w:hanging="568"/>
      </w:pPr>
      <w:rPr>
        <w:rFonts w:ascii="Times New Roman" w:eastAsia="Times New Roman" w:hAnsi="Times New Roman" w:cs="Times New Roman" w:hint="default"/>
        <w:b/>
        <w:bCs/>
        <w:i w:val="0"/>
        <w:iCs w:val="0"/>
        <w:spacing w:val="0"/>
        <w:w w:val="99"/>
        <w:sz w:val="22"/>
        <w:szCs w:val="22"/>
        <w:lang w:val="en-US" w:eastAsia="en-US" w:bidi="ar-SA"/>
      </w:rPr>
    </w:lvl>
    <w:lvl w:ilvl="2">
      <w:numFmt w:val="bullet"/>
      <w:lvlText w:val="•"/>
      <w:lvlJc w:val="left"/>
      <w:pPr>
        <w:ind w:left="805" w:hanging="568"/>
      </w:pPr>
      <w:rPr>
        <w:rFonts w:ascii="Arial" w:eastAsia="Arial" w:hAnsi="Arial" w:cs="Arial" w:hint="default"/>
        <w:b w:val="0"/>
        <w:bCs w:val="0"/>
        <w:i w:val="0"/>
        <w:iCs w:val="0"/>
        <w:spacing w:val="0"/>
        <w:w w:val="131"/>
        <w:sz w:val="22"/>
        <w:szCs w:val="22"/>
        <w:lang w:val="en-US" w:eastAsia="en-US" w:bidi="ar-SA"/>
      </w:rPr>
    </w:lvl>
    <w:lvl w:ilvl="3">
      <w:numFmt w:val="bullet"/>
      <w:lvlText w:val="•"/>
      <w:lvlJc w:val="left"/>
      <w:pPr>
        <w:ind w:left="1164" w:hanging="360"/>
      </w:pPr>
      <w:rPr>
        <w:rFonts w:hint="default"/>
        <w:lang w:val="en-US" w:eastAsia="en-US" w:bidi="ar-SA"/>
      </w:rPr>
    </w:lvl>
    <w:lvl w:ilvl="4">
      <w:numFmt w:val="bullet"/>
      <w:lvlText w:val="•"/>
      <w:lvlJc w:val="left"/>
      <w:pPr>
        <w:ind w:left="4209" w:hanging="568"/>
      </w:pPr>
      <w:rPr>
        <w:rFonts w:hint="default"/>
        <w:lang w:val="en-US" w:eastAsia="en-US" w:bidi="ar-SA"/>
      </w:rPr>
    </w:lvl>
    <w:lvl w:ilvl="5">
      <w:numFmt w:val="bullet"/>
      <w:lvlText w:val="•"/>
      <w:lvlJc w:val="left"/>
      <w:pPr>
        <w:ind w:left="5152" w:hanging="568"/>
      </w:pPr>
      <w:rPr>
        <w:rFonts w:hint="default"/>
        <w:lang w:val="en-US" w:eastAsia="en-US" w:bidi="ar-SA"/>
      </w:rPr>
    </w:lvl>
    <w:lvl w:ilvl="6">
      <w:numFmt w:val="bullet"/>
      <w:lvlText w:val="•"/>
      <w:lvlJc w:val="left"/>
      <w:pPr>
        <w:ind w:left="6095" w:hanging="568"/>
      </w:pPr>
      <w:rPr>
        <w:rFonts w:hint="default"/>
        <w:lang w:val="en-US" w:eastAsia="en-US" w:bidi="ar-SA"/>
      </w:rPr>
    </w:lvl>
    <w:lvl w:ilvl="7">
      <w:numFmt w:val="bullet"/>
      <w:lvlText w:val="•"/>
      <w:lvlJc w:val="left"/>
      <w:pPr>
        <w:ind w:left="7038" w:hanging="568"/>
      </w:pPr>
      <w:rPr>
        <w:rFonts w:hint="default"/>
        <w:lang w:val="en-US" w:eastAsia="en-US" w:bidi="ar-SA"/>
      </w:rPr>
    </w:lvl>
    <w:lvl w:ilvl="8">
      <w:numFmt w:val="bullet"/>
      <w:lvlText w:val="•"/>
      <w:lvlJc w:val="left"/>
      <w:pPr>
        <w:ind w:left="7981" w:hanging="568"/>
      </w:pPr>
      <w:rPr>
        <w:rFonts w:hint="default"/>
        <w:lang w:val="en-US" w:eastAsia="en-US" w:bidi="ar-SA"/>
      </w:rPr>
    </w:lvl>
  </w:abstractNum>
  <w:abstractNum w:abstractNumId="7" w15:restartNumberingAfterBreak="0">
    <w:nsid w:val="56111B05"/>
    <w:multiLevelType w:val="hybridMultilevel"/>
    <w:tmpl w:val="7E78421C"/>
    <w:lvl w:ilvl="0" w:tplc="4184D314">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335F9"/>
    <w:multiLevelType w:val="multilevel"/>
    <w:tmpl w:val="1B7009B8"/>
    <w:lvl w:ilvl="0">
      <w:start w:val="1"/>
      <w:numFmt w:val="decimal"/>
      <w:lvlText w:val="%1."/>
      <w:lvlJc w:val="left"/>
      <w:pPr>
        <w:ind w:left="806" w:hanging="568"/>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05" w:hanging="568"/>
      </w:pPr>
      <w:rPr>
        <w:rFonts w:ascii="Times New Roman" w:eastAsia="Times New Roman" w:hAnsi="Times New Roman" w:cs="Times New Roman" w:hint="default"/>
        <w:b/>
        <w:bCs/>
        <w:i w:val="0"/>
        <w:iCs w:val="0"/>
        <w:spacing w:val="0"/>
        <w:w w:val="99"/>
        <w:sz w:val="22"/>
        <w:szCs w:val="22"/>
        <w:lang w:val="en-US" w:eastAsia="en-US" w:bidi="ar-SA"/>
      </w:rPr>
    </w:lvl>
    <w:lvl w:ilvl="2">
      <w:numFmt w:val="bullet"/>
      <w:lvlText w:val="•"/>
      <w:lvlJc w:val="left"/>
      <w:pPr>
        <w:ind w:left="597" w:hanging="360"/>
      </w:pPr>
      <w:rPr>
        <w:rFonts w:hint="default"/>
        <w:lang w:val="en-US" w:eastAsia="en-US" w:bidi="ar-SA"/>
      </w:rPr>
    </w:lvl>
    <w:lvl w:ilvl="3">
      <w:numFmt w:val="bullet"/>
      <w:lvlText w:val="o"/>
      <w:lvlJc w:val="left"/>
      <w:pPr>
        <w:ind w:left="1372" w:hanging="568"/>
      </w:pPr>
      <w:rPr>
        <w:rFonts w:ascii="Courier New" w:eastAsia="Courier New" w:hAnsi="Courier New" w:cs="Courier New" w:hint="default"/>
        <w:b w:val="0"/>
        <w:bCs w:val="0"/>
        <w:i w:val="0"/>
        <w:iCs w:val="0"/>
        <w:spacing w:val="0"/>
        <w:w w:val="99"/>
        <w:sz w:val="22"/>
        <w:szCs w:val="22"/>
        <w:lang w:val="en-US" w:eastAsia="en-US" w:bidi="ar-SA"/>
      </w:rPr>
    </w:lvl>
    <w:lvl w:ilvl="4">
      <w:numFmt w:val="bullet"/>
      <w:lvlText w:val="•"/>
      <w:lvlJc w:val="left"/>
      <w:pPr>
        <w:ind w:left="4209" w:hanging="568"/>
      </w:pPr>
      <w:rPr>
        <w:rFonts w:hint="default"/>
        <w:lang w:val="en-US" w:eastAsia="en-US" w:bidi="ar-SA"/>
      </w:rPr>
    </w:lvl>
    <w:lvl w:ilvl="5">
      <w:numFmt w:val="bullet"/>
      <w:lvlText w:val="•"/>
      <w:lvlJc w:val="left"/>
      <w:pPr>
        <w:ind w:left="5152" w:hanging="568"/>
      </w:pPr>
      <w:rPr>
        <w:rFonts w:hint="default"/>
        <w:lang w:val="en-US" w:eastAsia="en-US" w:bidi="ar-SA"/>
      </w:rPr>
    </w:lvl>
    <w:lvl w:ilvl="6">
      <w:numFmt w:val="bullet"/>
      <w:lvlText w:val="•"/>
      <w:lvlJc w:val="left"/>
      <w:pPr>
        <w:ind w:left="6095" w:hanging="568"/>
      </w:pPr>
      <w:rPr>
        <w:rFonts w:hint="default"/>
        <w:lang w:val="en-US" w:eastAsia="en-US" w:bidi="ar-SA"/>
      </w:rPr>
    </w:lvl>
    <w:lvl w:ilvl="7">
      <w:numFmt w:val="bullet"/>
      <w:lvlText w:val="•"/>
      <w:lvlJc w:val="left"/>
      <w:pPr>
        <w:ind w:left="7038" w:hanging="568"/>
      </w:pPr>
      <w:rPr>
        <w:rFonts w:hint="default"/>
        <w:lang w:val="en-US" w:eastAsia="en-US" w:bidi="ar-SA"/>
      </w:rPr>
    </w:lvl>
    <w:lvl w:ilvl="8">
      <w:numFmt w:val="bullet"/>
      <w:lvlText w:val="•"/>
      <w:lvlJc w:val="left"/>
      <w:pPr>
        <w:ind w:left="7981" w:hanging="568"/>
      </w:pPr>
      <w:rPr>
        <w:rFonts w:hint="default"/>
        <w:lang w:val="en-US" w:eastAsia="en-US" w:bidi="ar-SA"/>
      </w:rPr>
    </w:lvl>
  </w:abstractNum>
  <w:abstractNum w:abstractNumId="9" w15:restartNumberingAfterBreak="0">
    <w:nsid w:val="6DCA3C18"/>
    <w:multiLevelType w:val="hybridMultilevel"/>
    <w:tmpl w:val="00F88FC8"/>
    <w:lvl w:ilvl="0" w:tplc="D2802E76">
      <w:start w:val="1"/>
      <w:numFmt w:val="bullet"/>
      <w:lvlText w:val=""/>
      <w:lvlJc w:val="left"/>
      <w:pPr>
        <w:ind w:left="720" w:hanging="360"/>
      </w:pPr>
      <w:rPr>
        <w:rFonts w:ascii="Symbol" w:hAnsi="Symbol" w:hint="default"/>
      </w:rPr>
    </w:lvl>
    <w:lvl w:ilvl="1" w:tplc="C6F6601E">
      <w:start w:val="1"/>
      <w:numFmt w:val="bullet"/>
      <w:lvlText w:val=""/>
      <w:lvlJc w:val="left"/>
      <w:pPr>
        <w:ind w:left="1440" w:hanging="360"/>
      </w:pPr>
      <w:rPr>
        <w:rFonts w:ascii="Symbol" w:hAnsi="Symbol" w:hint="default"/>
      </w:rPr>
    </w:lvl>
    <w:lvl w:ilvl="2" w:tplc="F71EBA98">
      <w:start w:val="1"/>
      <w:numFmt w:val="bullet"/>
      <w:lvlText w:val=""/>
      <w:lvlJc w:val="left"/>
      <w:pPr>
        <w:ind w:left="2160" w:hanging="360"/>
      </w:pPr>
      <w:rPr>
        <w:rFonts w:ascii="Wingdings" w:hAnsi="Wingdings" w:hint="default"/>
      </w:rPr>
    </w:lvl>
    <w:lvl w:ilvl="3" w:tplc="CB82CCD4">
      <w:start w:val="1"/>
      <w:numFmt w:val="bullet"/>
      <w:lvlText w:val=""/>
      <w:lvlJc w:val="left"/>
      <w:pPr>
        <w:ind w:left="2880" w:hanging="360"/>
      </w:pPr>
      <w:rPr>
        <w:rFonts w:ascii="Symbol" w:hAnsi="Symbol" w:hint="default"/>
      </w:rPr>
    </w:lvl>
    <w:lvl w:ilvl="4" w:tplc="9A9CC1F2" w:tentative="1">
      <w:start w:val="1"/>
      <w:numFmt w:val="bullet"/>
      <w:lvlText w:val="o"/>
      <w:lvlJc w:val="left"/>
      <w:pPr>
        <w:ind w:left="3600" w:hanging="360"/>
      </w:pPr>
      <w:rPr>
        <w:rFonts w:ascii="Courier New" w:hAnsi="Courier New" w:hint="default"/>
      </w:rPr>
    </w:lvl>
    <w:lvl w:ilvl="5" w:tplc="EB5CD21C" w:tentative="1">
      <w:start w:val="1"/>
      <w:numFmt w:val="bullet"/>
      <w:lvlText w:val=""/>
      <w:lvlJc w:val="left"/>
      <w:pPr>
        <w:ind w:left="4320" w:hanging="360"/>
      </w:pPr>
      <w:rPr>
        <w:rFonts w:ascii="Wingdings" w:hAnsi="Wingdings" w:hint="default"/>
      </w:rPr>
    </w:lvl>
    <w:lvl w:ilvl="6" w:tplc="F8A2F902" w:tentative="1">
      <w:start w:val="1"/>
      <w:numFmt w:val="bullet"/>
      <w:lvlText w:val=""/>
      <w:lvlJc w:val="left"/>
      <w:pPr>
        <w:ind w:left="5040" w:hanging="360"/>
      </w:pPr>
      <w:rPr>
        <w:rFonts w:ascii="Symbol" w:hAnsi="Symbol" w:hint="default"/>
      </w:rPr>
    </w:lvl>
    <w:lvl w:ilvl="7" w:tplc="6E9852CE" w:tentative="1">
      <w:start w:val="1"/>
      <w:numFmt w:val="bullet"/>
      <w:lvlText w:val="o"/>
      <w:lvlJc w:val="left"/>
      <w:pPr>
        <w:ind w:left="5760" w:hanging="360"/>
      </w:pPr>
      <w:rPr>
        <w:rFonts w:ascii="Courier New" w:hAnsi="Courier New" w:hint="default"/>
      </w:rPr>
    </w:lvl>
    <w:lvl w:ilvl="8" w:tplc="22C8ACF4" w:tentative="1">
      <w:start w:val="1"/>
      <w:numFmt w:val="bullet"/>
      <w:lvlText w:val=""/>
      <w:lvlJc w:val="left"/>
      <w:pPr>
        <w:ind w:left="6480" w:hanging="360"/>
      </w:pPr>
      <w:rPr>
        <w:rFonts w:ascii="Wingdings" w:hAnsi="Wingdings" w:hint="default"/>
      </w:rPr>
    </w:lvl>
  </w:abstractNum>
  <w:abstractNum w:abstractNumId="10"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0E37E4C"/>
    <w:multiLevelType w:val="hybridMultilevel"/>
    <w:tmpl w:val="E0E8BFBE"/>
    <w:lvl w:ilvl="0" w:tplc="841A6E5C">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93C49AD"/>
    <w:multiLevelType w:val="hybridMultilevel"/>
    <w:tmpl w:val="81B6C702"/>
    <w:lvl w:ilvl="0" w:tplc="4184D314">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271213">
    <w:abstractNumId w:val="10"/>
  </w:num>
  <w:num w:numId="2" w16cid:durableId="1273636420">
    <w:abstractNumId w:val="10"/>
    <w:lvlOverride w:ilvl="0">
      <w:startOverride w:val="8"/>
    </w:lvlOverride>
  </w:num>
  <w:num w:numId="3" w16cid:durableId="104424858">
    <w:abstractNumId w:val="11"/>
  </w:num>
  <w:num w:numId="4" w16cid:durableId="702827342">
    <w:abstractNumId w:val="3"/>
  </w:num>
  <w:num w:numId="5" w16cid:durableId="304354117">
    <w:abstractNumId w:val="1"/>
  </w:num>
  <w:num w:numId="6" w16cid:durableId="1440758062">
    <w:abstractNumId w:val="8"/>
  </w:num>
  <w:num w:numId="7" w16cid:durableId="2082368056">
    <w:abstractNumId w:val="5"/>
  </w:num>
  <w:num w:numId="8" w16cid:durableId="1191185789">
    <w:abstractNumId w:val="2"/>
  </w:num>
  <w:num w:numId="9" w16cid:durableId="1970743451">
    <w:abstractNumId w:val="0"/>
  </w:num>
  <w:num w:numId="10" w16cid:durableId="1726951580">
    <w:abstractNumId w:val="6"/>
  </w:num>
  <w:num w:numId="11" w16cid:durableId="20325315">
    <w:abstractNumId w:val="7"/>
  </w:num>
  <w:num w:numId="12" w16cid:durableId="971134686">
    <w:abstractNumId w:val="12"/>
  </w:num>
  <w:num w:numId="13" w16cid:durableId="1790666687">
    <w:abstractNumId w:val="9"/>
  </w:num>
  <w:num w:numId="14" w16cid:durableId="16910303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9018928-90c8-4d92-8f2b-33023ac38a4c" w:val=" "/>
    <w:docVar w:name="vault_nd_0d582298-1c42-42e2-8b52-308ce4740eb3" w:val=" "/>
    <w:docVar w:name="vault_nd_15d1bc65-91cb-49fb-8a99-0a47340bb93d" w:val=" "/>
    <w:docVar w:name="vault_nd_15d4c575-af39-447b-be07-47bb775aa761" w:val=" "/>
    <w:docVar w:name="VAULT_ND_1982040a-abc6-4ee4-87fc-c4f4517a4edc" w:val=" "/>
    <w:docVar w:name="VAULT_ND_2046cd24-67d4-4f2c-9270-9b36b95a0cbb" w:val=" "/>
    <w:docVar w:name="vault_nd_204f8535-5b00-4998-9b23-c829ae6ae1d8" w:val=" "/>
    <w:docVar w:name="VAULT_ND_241206ea-77e0-4739-bb00-7104364e428c" w:val=" "/>
    <w:docVar w:name="vault_nd_27c32fb9-19f2-4e7e-ab47-f800eb411ae4" w:val=" "/>
    <w:docVar w:name="VAULT_ND_288e9fd5-11bb-42d2-9108-c9466347a57a" w:val=" "/>
    <w:docVar w:name="vault_nd_36389833-e481-4711-92b0-5b5864d7017c" w:val=" "/>
    <w:docVar w:name="vault_nd_3be4a454-f998-4cd2-b2ca-fa4c02114c96" w:val=" "/>
    <w:docVar w:name="vault_nd_3f8c05f5-2fa1-4aee-a686-ab5e654ff659" w:val=" "/>
    <w:docVar w:name="vault_nd_40bd05e0-60de-4b92-bbc4-4f51a41114a9" w:val=" "/>
    <w:docVar w:name="vault_nd_4190d91e-930b-4311-a171-336fa4c7940f" w:val=" "/>
    <w:docVar w:name="vault_nd_44ad97e9-3fd8-41ce-ad84-a504c76c96e2" w:val=" "/>
    <w:docVar w:name="vault_nd_479d27e7-9613-4f80-8643-ff9ce8300bcf" w:val=" "/>
    <w:docVar w:name="vault_nd_48c6beda-d46b-438b-9dfa-75a4b6e67f96" w:val=" "/>
    <w:docVar w:name="vault_nd_52608d15-135a-4242-a27c-80e0d014ddad" w:val=" "/>
    <w:docVar w:name="VAULT_ND_547d273d-0bba-42f7-8746-1fd2976af628" w:val=" "/>
    <w:docVar w:name="vault_nd_592489ca-f389-4dfe-b013-8d71d3322426" w:val=" "/>
    <w:docVar w:name="vault_nd_5a3026b2-0e7a-46a1-9970-530714995b23" w:val=" "/>
    <w:docVar w:name="VAULT_ND_5d1a554e-1274-49a8-888d-22711ba27ceb" w:val=" "/>
    <w:docVar w:name="vault_nd_60997615-9b75-41b1-a376-5e12fb8d7a1e" w:val=" "/>
    <w:docVar w:name="vault_nd_60c351e0-f617-4e19-ac36-fc6e3aa9490b" w:val=" "/>
    <w:docVar w:name="VAULT_ND_6794a6b6-fbe7-4736-a2cf-1f83168af378" w:val=" "/>
    <w:docVar w:name="vault_nd_6a98de7b-729d-43a7-9df0-d1076e1b289f" w:val=" "/>
    <w:docVar w:name="vault_nd_6f714f46-c931-423c-a9b9-5f1caf86ab20" w:val=" "/>
    <w:docVar w:name="vault_nd_789b7ac0-26be-47ae-b13a-c50d6a250897" w:val=" "/>
    <w:docVar w:name="vault_nd_7c02dea3-3c9e-4833-a06a-19e9f3f28844" w:val=" "/>
    <w:docVar w:name="vault_nd_7e03bf89-b8b9-4264-af70-ab0854622d14" w:val=" "/>
    <w:docVar w:name="vault_nd_81c1c109-d646-447d-87f4-0a25902627c1" w:val=" "/>
    <w:docVar w:name="VAULT_ND_8206a998-8378-46de-a668-3d97d818049b" w:val=" "/>
    <w:docVar w:name="VAULT_ND_8e41f407-93d3-46bc-b7fb-33a3efcce7a9" w:val=" "/>
    <w:docVar w:name="vault_nd_92d6a904-eabd-492d-b0f8-a1874396d2a6" w:val=" "/>
    <w:docVar w:name="VAULT_ND_a11b571e-c91e-4149-9119-883a5d0c5656" w:val=" "/>
    <w:docVar w:name="vault_nd_a22416a2-1776-407e-8efe-f5e3bfe72e90" w:val=" "/>
    <w:docVar w:name="VAULT_ND_a3bbb1d2-6f04-40d0-872c-169e2d4edcf3" w:val=" "/>
    <w:docVar w:name="vault_nd_a5b64a0d-edff-41b0-80ed-20dc196af1bd" w:val=" "/>
    <w:docVar w:name="vault_nd_a69b7c3f-ec36-4e5c-8db3-626c5e1bae62" w:val=" "/>
    <w:docVar w:name="vault_nd_a92265e0-887d-4b85-a689-41d6cc3946b1" w:val=" "/>
    <w:docVar w:name="vault_nd_adc98f5e-c408-437b-ae3e-11d0c6f764c4" w:val=" "/>
    <w:docVar w:name="vault_nd_b4ab47fb-0ae6-42da-b01b-e4e6bdac27e6" w:val=" "/>
    <w:docVar w:name="vault_nd_b7364292-0925-4e93-b002-e3d824029cb3" w:val=" "/>
    <w:docVar w:name="vault_nd_c104b51c-6f7e-43ad-a1eb-7e4098a2044f" w:val=" "/>
    <w:docVar w:name="VAULT_ND_c2ed141d-36f8-48a1-b237-06f720e4198f" w:val=" "/>
    <w:docVar w:name="vault_nd_c466c05a-6f3a-4e82-91e2-391d4862fcb7" w:val=" "/>
    <w:docVar w:name="vault_nd_c5ad85d5-f1c0-45d7-bd36-83598c109bea" w:val=" "/>
    <w:docVar w:name="vault_nd_c75a5962-648b-41c0-a847-c9aefa472813" w:val=" "/>
    <w:docVar w:name="vault_nd_cfdc6eff-8d8d-422c-9a30-10d9256fc0fe" w:val=" "/>
    <w:docVar w:name="vault_nd_d3013968-ede2-4e36-a9b9-17022228b04d" w:val=" "/>
    <w:docVar w:name="vault_nd_edd11149-b1a0-4c72-86f5-bd6d237325d4" w:val=" "/>
    <w:docVar w:name="vault_nd_f107960d-7b9b-4b9f-adb8-15efde3e34da" w:val=" "/>
    <w:docVar w:name="vault_nd_f40fb902-d82e-41f4-980c-3e72f00ab2c0" w:val=" "/>
    <w:docVar w:name="vault_nd_f5861707-9400-4746-a900-05403c19d608" w:val=" "/>
    <w:docVar w:name="vault_nd_f59acc92-daa1-4d48-b69a-06274840f33e" w:val=" "/>
    <w:docVar w:name="vault_nd_fc573b07-4b17-4e7c-830a-0c3b47bc4c3c" w:val=" "/>
    <w:docVar w:name="vault_nd_fe503015-38f5-4dc1-b761-9c6222dcd6f5" w:val=" "/>
  </w:docVars>
  <w:rsids>
    <w:rsidRoot w:val="001556C9"/>
    <w:rsid w:val="00000534"/>
    <w:rsid w:val="00000E0B"/>
    <w:rsid w:val="0000216A"/>
    <w:rsid w:val="00005E82"/>
    <w:rsid w:val="00005E85"/>
    <w:rsid w:val="000072BB"/>
    <w:rsid w:val="0001070B"/>
    <w:rsid w:val="00010E3C"/>
    <w:rsid w:val="00013969"/>
    <w:rsid w:val="000170C2"/>
    <w:rsid w:val="00021C75"/>
    <w:rsid w:val="000227D2"/>
    <w:rsid w:val="000229EA"/>
    <w:rsid w:val="0002353F"/>
    <w:rsid w:val="00025238"/>
    <w:rsid w:val="00026089"/>
    <w:rsid w:val="000260D0"/>
    <w:rsid w:val="0003092E"/>
    <w:rsid w:val="00031415"/>
    <w:rsid w:val="000315CB"/>
    <w:rsid w:val="00032246"/>
    <w:rsid w:val="00032310"/>
    <w:rsid w:val="00032610"/>
    <w:rsid w:val="00033E1B"/>
    <w:rsid w:val="00034400"/>
    <w:rsid w:val="00037259"/>
    <w:rsid w:val="0004330D"/>
    <w:rsid w:val="000439CF"/>
    <w:rsid w:val="00043AD5"/>
    <w:rsid w:val="00044068"/>
    <w:rsid w:val="00045A3B"/>
    <w:rsid w:val="00046D41"/>
    <w:rsid w:val="00050060"/>
    <w:rsid w:val="00052919"/>
    <w:rsid w:val="0005295E"/>
    <w:rsid w:val="000535BF"/>
    <w:rsid w:val="0005385D"/>
    <w:rsid w:val="00054587"/>
    <w:rsid w:val="00054A57"/>
    <w:rsid w:val="00055201"/>
    <w:rsid w:val="00056193"/>
    <w:rsid w:val="00060A82"/>
    <w:rsid w:val="00061B1D"/>
    <w:rsid w:val="00061F64"/>
    <w:rsid w:val="00062444"/>
    <w:rsid w:val="00063135"/>
    <w:rsid w:val="000634FE"/>
    <w:rsid w:val="000639AA"/>
    <w:rsid w:val="000642FC"/>
    <w:rsid w:val="000646F9"/>
    <w:rsid w:val="00065D73"/>
    <w:rsid w:val="00066DDC"/>
    <w:rsid w:val="000670DF"/>
    <w:rsid w:val="0007122E"/>
    <w:rsid w:val="00073163"/>
    <w:rsid w:val="00075197"/>
    <w:rsid w:val="000767D8"/>
    <w:rsid w:val="00077447"/>
    <w:rsid w:val="00077F69"/>
    <w:rsid w:val="00077FAF"/>
    <w:rsid w:val="000815AA"/>
    <w:rsid w:val="00082471"/>
    <w:rsid w:val="00082C1A"/>
    <w:rsid w:val="00085659"/>
    <w:rsid w:val="00086F2D"/>
    <w:rsid w:val="00090AD4"/>
    <w:rsid w:val="000916F9"/>
    <w:rsid w:val="00091927"/>
    <w:rsid w:val="00093F8D"/>
    <w:rsid w:val="00094B55"/>
    <w:rsid w:val="00094F2D"/>
    <w:rsid w:val="00095315"/>
    <w:rsid w:val="000A0067"/>
    <w:rsid w:val="000A12EC"/>
    <w:rsid w:val="000A146F"/>
    <w:rsid w:val="000A3DEB"/>
    <w:rsid w:val="000A484F"/>
    <w:rsid w:val="000A61DA"/>
    <w:rsid w:val="000A6598"/>
    <w:rsid w:val="000A6AE3"/>
    <w:rsid w:val="000A706A"/>
    <w:rsid w:val="000A7AB2"/>
    <w:rsid w:val="000B2499"/>
    <w:rsid w:val="000B2B0C"/>
    <w:rsid w:val="000B361F"/>
    <w:rsid w:val="000B63BF"/>
    <w:rsid w:val="000B74D1"/>
    <w:rsid w:val="000C12A1"/>
    <w:rsid w:val="000C15E6"/>
    <w:rsid w:val="000C1A75"/>
    <w:rsid w:val="000C303C"/>
    <w:rsid w:val="000C3B2B"/>
    <w:rsid w:val="000C3EE2"/>
    <w:rsid w:val="000C4EB2"/>
    <w:rsid w:val="000C52B7"/>
    <w:rsid w:val="000C542A"/>
    <w:rsid w:val="000D04F3"/>
    <w:rsid w:val="000D0D1F"/>
    <w:rsid w:val="000D3BEC"/>
    <w:rsid w:val="000D4374"/>
    <w:rsid w:val="000D4516"/>
    <w:rsid w:val="000D513B"/>
    <w:rsid w:val="000D5817"/>
    <w:rsid w:val="000E03DF"/>
    <w:rsid w:val="000E5711"/>
    <w:rsid w:val="000F1978"/>
    <w:rsid w:val="000F61A1"/>
    <w:rsid w:val="000F6E96"/>
    <w:rsid w:val="00101BA4"/>
    <w:rsid w:val="00102A83"/>
    <w:rsid w:val="0010591C"/>
    <w:rsid w:val="00105DD7"/>
    <w:rsid w:val="001060CE"/>
    <w:rsid w:val="0010636E"/>
    <w:rsid w:val="001068C2"/>
    <w:rsid w:val="00106E4F"/>
    <w:rsid w:val="00111D0B"/>
    <w:rsid w:val="00112C17"/>
    <w:rsid w:val="00112FEB"/>
    <w:rsid w:val="00113AB3"/>
    <w:rsid w:val="00114796"/>
    <w:rsid w:val="00114D22"/>
    <w:rsid w:val="0011750A"/>
    <w:rsid w:val="00117B15"/>
    <w:rsid w:val="00117E01"/>
    <w:rsid w:val="001219FE"/>
    <w:rsid w:val="00121B04"/>
    <w:rsid w:val="00121E3E"/>
    <w:rsid w:val="00122FAC"/>
    <w:rsid w:val="0012301E"/>
    <w:rsid w:val="00123A97"/>
    <w:rsid w:val="001248E3"/>
    <w:rsid w:val="0012749C"/>
    <w:rsid w:val="00130EFD"/>
    <w:rsid w:val="0013111B"/>
    <w:rsid w:val="00131433"/>
    <w:rsid w:val="00132A20"/>
    <w:rsid w:val="00137A7F"/>
    <w:rsid w:val="00142B5A"/>
    <w:rsid w:val="00147A5D"/>
    <w:rsid w:val="0015001B"/>
    <w:rsid w:val="00150CCA"/>
    <w:rsid w:val="00150D39"/>
    <w:rsid w:val="00151EB5"/>
    <w:rsid w:val="0015292C"/>
    <w:rsid w:val="00152E37"/>
    <w:rsid w:val="001556C9"/>
    <w:rsid w:val="001563F8"/>
    <w:rsid w:val="001567B6"/>
    <w:rsid w:val="001567C5"/>
    <w:rsid w:val="00156BB1"/>
    <w:rsid w:val="00157FDC"/>
    <w:rsid w:val="00161977"/>
    <w:rsid w:val="00161EDF"/>
    <w:rsid w:val="00161FB9"/>
    <w:rsid w:val="00162324"/>
    <w:rsid w:val="00163015"/>
    <w:rsid w:val="00163EE6"/>
    <w:rsid w:val="001642EF"/>
    <w:rsid w:val="001646C1"/>
    <w:rsid w:val="001650EE"/>
    <w:rsid w:val="0016524D"/>
    <w:rsid w:val="0016548E"/>
    <w:rsid w:val="00166F39"/>
    <w:rsid w:val="00167E16"/>
    <w:rsid w:val="0017090E"/>
    <w:rsid w:val="00171AA1"/>
    <w:rsid w:val="001721A7"/>
    <w:rsid w:val="00174AF0"/>
    <w:rsid w:val="00182542"/>
    <w:rsid w:val="0018295F"/>
    <w:rsid w:val="00183E33"/>
    <w:rsid w:val="00185A7E"/>
    <w:rsid w:val="00185ED4"/>
    <w:rsid w:val="0018628F"/>
    <w:rsid w:val="001865D6"/>
    <w:rsid w:val="00187CFD"/>
    <w:rsid w:val="00190A6E"/>
    <w:rsid w:val="00195486"/>
    <w:rsid w:val="00196B8E"/>
    <w:rsid w:val="00196C14"/>
    <w:rsid w:val="0019707C"/>
    <w:rsid w:val="001A0027"/>
    <w:rsid w:val="001A08CA"/>
    <w:rsid w:val="001A2DE3"/>
    <w:rsid w:val="001A3992"/>
    <w:rsid w:val="001A5492"/>
    <w:rsid w:val="001A67FA"/>
    <w:rsid w:val="001B067D"/>
    <w:rsid w:val="001B2051"/>
    <w:rsid w:val="001B4873"/>
    <w:rsid w:val="001B5391"/>
    <w:rsid w:val="001B6144"/>
    <w:rsid w:val="001B76BD"/>
    <w:rsid w:val="001B7CF0"/>
    <w:rsid w:val="001D04E5"/>
    <w:rsid w:val="001D0D43"/>
    <w:rsid w:val="001D1340"/>
    <w:rsid w:val="001D1483"/>
    <w:rsid w:val="001D1934"/>
    <w:rsid w:val="001D2B98"/>
    <w:rsid w:val="001D4EDB"/>
    <w:rsid w:val="001D4EDC"/>
    <w:rsid w:val="001D5131"/>
    <w:rsid w:val="001D5C3A"/>
    <w:rsid w:val="001D5DC4"/>
    <w:rsid w:val="001D65FD"/>
    <w:rsid w:val="001D680D"/>
    <w:rsid w:val="001D71F6"/>
    <w:rsid w:val="001E17F2"/>
    <w:rsid w:val="001E1DD4"/>
    <w:rsid w:val="001E28AF"/>
    <w:rsid w:val="001E352E"/>
    <w:rsid w:val="001E3C30"/>
    <w:rsid w:val="001E7262"/>
    <w:rsid w:val="001E7B69"/>
    <w:rsid w:val="001E7DD1"/>
    <w:rsid w:val="001F0AF6"/>
    <w:rsid w:val="001F1C49"/>
    <w:rsid w:val="001F3EEA"/>
    <w:rsid w:val="001F5975"/>
    <w:rsid w:val="001F7478"/>
    <w:rsid w:val="001F75CA"/>
    <w:rsid w:val="001F7E47"/>
    <w:rsid w:val="00200565"/>
    <w:rsid w:val="00200CDE"/>
    <w:rsid w:val="002023E4"/>
    <w:rsid w:val="00210A36"/>
    <w:rsid w:val="00213574"/>
    <w:rsid w:val="002176C6"/>
    <w:rsid w:val="002200A2"/>
    <w:rsid w:val="00220A20"/>
    <w:rsid w:val="00222A52"/>
    <w:rsid w:val="0022323C"/>
    <w:rsid w:val="00223DC8"/>
    <w:rsid w:val="00225BDB"/>
    <w:rsid w:val="0022640F"/>
    <w:rsid w:val="00227637"/>
    <w:rsid w:val="00230861"/>
    <w:rsid w:val="00230C20"/>
    <w:rsid w:val="00231315"/>
    <w:rsid w:val="002316AA"/>
    <w:rsid w:val="00233671"/>
    <w:rsid w:val="002342B5"/>
    <w:rsid w:val="00235EA4"/>
    <w:rsid w:val="0023609F"/>
    <w:rsid w:val="002362E7"/>
    <w:rsid w:val="00243CBD"/>
    <w:rsid w:val="002441E7"/>
    <w:rsid w:val="00244DCA"/>
    <w:rsid w:val="00246091"/>
    <w:rsid w:val="00247606"/>
    <w:rsid w:val="0024765E"/>
    <w:rsid w:val="00251507"/>
    <w:rsid w:val="002528D8"/>
    <w:rsid w:val="00253573"/>
    <w:rsid w:val="00253C32"/>
    <w:rsid w:val="00253CFC"/>
    <w:rsid w:val="002561DA"/>
    <w:rsid w:val="002565E6"/>
    <w:rsid w:val="00260D09"/>
    <w:rsid w:val="00263CF1"/>
    <w:rsid w:val="0026494C"/>
    <w:rsid w:val="002654E4"/>
    <w:rsid w:val="00265961"/>
    <w:rsid w:val="00266E03"/>
    <w:rsid w:val="00267BFB"/>
    <w:rsid w:val="002716FE"/>
    <w:rsid w:val="00271BB2"/>
    <w:rsid w:val="00271CFC"/>
    <w:rsid w:val="00273591"/>
    <w:rsid w:val="00273768"/>
    <w:rsid w:val="0027382C"/>
    <w:rsid w:val="002743D0"/>
    <w:rsid w:val="00275ABA"/>
    <w:rsid w:val="00276291"/>
    <w:rsid w:val="00280556"/>
    <w:rsid w:val="002806D7"/>
    <w:rsid w:val="0028138A"/>
    <w:rsid w:val="002818DD"/>
    <w:rsid w:val="00282208"/>
    <w:rsid w:val="002833FC"/>
    <w:rsid w:val="0028344F"/>
    <w:rsid w:val="0028354B"/>
    <w:rsid w:val="002850B7"/>
    <w:rsid w:val="00286D14"/>
    <w:rsid w:val="0029042E"/>
    <w:rsid w:val="00290FB0"/>
    <w:rsid w:val="00291A8A"/>
    <w:rsid w:val="00291E55"/>
    <w:rsid w:val="002923A3"/>
    <w:rsid w:val="002928BB"/>
    <w:rsid w:val="002935B1"/>
    <w:rsid w:val="002954F8"/>
    <w:rsid w:val="00296C44"/>
    <w:rsid w:val="0029739C"/>
    <w:rsid w:val="00297B98"/>
    <w:rsid w:val="00297FAD"/>
    <w:rsid w:val="002A03B6"/>
    <w:rsid w:val="002A1D95"/>
    <w:rsid w:val="002A20C9"/>
    <w:rsid w:val="002A2421"/>
    <w:rsid w:val="002A6966"/>
    <w:rsid w:val="002A6B80"/>
    <w:rsid w:val="002A6C1A"/>
    <w:rsid w:val="002A6ED6"/>
    <w:rsid w:val="002B00BB"/>
    <w:rsid w:val="002B0592"/>
    <w:rsid w:val="002B2150"/>
    <w:rsid w:val="002B2567"/>
    <w:rsid w:val="002B3CB8"/>
    <w:rsid w:val="002B424E"/>
    <w:rsid w:val="002B5C46"/>
    <w:rsid w:val="002B6E59"/>
    <w:rsid w:val="002C044B"/>
    <w:rsid w:val="002C045A"/>
    <w:rsid w:val="002C18CC"/>
    <w:rsid w:val="002C34E7"/>
    <w:rsid w:val="002C407A"/>
    <w:rsid w:val="002C4189"/>
    <w:rsid w:val="002C61CD"/>
    <w:rsid w:val="002C6746"/>
    <w:rsid w:val="002C6FEC"/>
    <w:rsid w:val="002D0DDE"/>
    <w:rsid w:val="002D170A"/>
    <w:rsid w:val="002D1D97"/>
    <w:rsid w:val="002D20CA"/>
    <w:rsid w:val="002D2D58"/>
    <w:rsid w:val="002D35E4"/>
    <w:rsid w:val="002D7949"/>
    <w:rsid w:val="002E1371"/>
    <w:rsid w:val="002E277D"/>
    <w:rsid w:val="002E2802"/>
    <w:rsid w:val="002E385D"/>
    <w:rsid w:val="002E4DDA"/>
    <w:rsid w:val="002E78F3"/>
    <w:rsid w:val="002F0C3D"/>
    <w:rsid w:val="002F3D4E"/>
    <w:rsid w:val="002F5F58"/>
    <w:rsid w:val="002F7C56"/>
    <w:rsid w:val="003012FE"/>
    <w:rsid w:val="00304011"/>
    <w:rsid w:val="003043F3"/>
    <w:rsid w:val="00306395"/>
    <w:rsid w:val="003072A8"/>
    <w:rsid w:val="003101E0"/>
    <w:rsid w:val="00310AD0"/>
    <w:rsid w:val="00311BDB"/>
    <w:rsid w:val="003126EB"/>
    <w:rsid w:val="0031309B"/>
    <w:rsid w:val="00314254"/>
    <w:rsid w:val="003155B7"/>
    <w:rsid w:val="003155D5"/>
    <w:rsid w:val="00316002"/>
    <w:rsid w:val="0031657D"/>
    <w:rsid w:val="00320370"/>
    <w:rsid w:val="00320578"/>
    <w:rsid w:val="003205BA"/>
    <w:rsid w:val="0032083B"/>
    <w:rsid w:val="00321CA2"/>
    <w:rsid w:val="00321EB4"/>
    <w:rsid w:val="0032330E"/>
    <w:rsid w:val="0032450E"/>
    <w:rsid w:val="003247DB"/>
    <w:rsid w:val="0032589B"/>
    <w:rsid w:val="00326BCA"/>
    <w:rsid w:val="00326BFD"/>
    <w:rsid w:val="003311E9"/>
    <w:rsid w:val="003316D1"/>
    <w:rsid w:val="00332434"/>
    <w:rsid w:val="00333F21"/>
    <w:rsid w:val="003343AC"/>
    <w:rsid w:val="00335804"/>
    <w:rsid w:val="003361A2"/>
    <w:rsid w:val="00336493"/>
    <w:rsid w:val="003425C9"/>
    <w:rsid w:val="0034268B"/>
    <w:rsid w:val="00342A24"/>
    <w:rsid w:val="00342FD2"/>
    <w:rsid w:val="0034429E"/>
    <w:rsid w:val="003442B2"/>
    <w:rsid w:val="00352094"/>
    <w:rsid w:val="00352573"/>
    <w:rsid w:val="003529EE"/>
    <w:rsid w:val="003537EF"/>
    <w:rsid w:val="003539D1"/>
    <w:rsid w:val="00355C6E"/>
    <w:rsid w:val="00355E37"/>
    <w:rsid w:val="00356BB1"/>
    <w:rsid w:val="00357A45"/>
    <w:rsid w:val="00357E5C"/>
    <w:rsid w:val="00363C27"/>
    <w:rsid w:val="00366895"/>
    <w:rsid w:val="00367662"/>
    <w:rsid w:val="00370E5A"/>
    <w:rsid w:val="00371131"/>
    <w:rsid w:val="0037166F"/>
    <w:rsid w:val="003726E9"/>
    <w:rsid w:val="0037475B"/>
    <w:rsid w:val="00374B25"/>
    <w:rsid w:val="0037500B"/>
    <w:rsid w:val="00375C72"/>
    <w:rsid w:val="00376023"/>
    <w:rsid w:val="00376A39"/>
    <w:rsid w:val="0037784F"/>
    <w:rsid w:val="00381909"/>
    <w:rsid w:val="00381D91"/>
    <w:rsid w:val="00382560"/>
    <w:rsid w:val="003834B2"/>
    <w:rsid w:val="00383606"/>
    <w:rsid w:val="0038407C"/>
    <w:rsid w:val="003843A4"/>
    <w:rsid w:val="00385E9D"/>
    <w:rsid w:val="00387CD5"/>
    <w:rsid w:val="00391C67"/>
    <w:rsid w:val="003929B0"/>
    <w:rsid w:val="003930A0"/>
    <w:rsid w:val="00393E17"/>
    <w:rsid w:val="003975B9"/>
    <w:rsid w:val="003A1817"/>
    <w:rsid w:val="003A27CB"/>
    <w:rsid w:val="003A3153"/>
    <w:rsid w:val="003A3319"/>
    <w:rsid w:val="003A46CE"/>
    <w:rsid w:val="003A47A1"/>
    <w:rsid w:val="003A7C7F"/>
    <w:rsid w:val="003B078F"/>
    <w:rsid w:val="003B0C29"/>
    <w:rsid w:val="003B1B30"/>
    <w:rsid w:val="003B4282"/>
    <w:rsid w:val="003B63C5"/>
    <w:rsid w:val="003B64CF"/>
    <w:rsid w:val="003B6990"/>
    <w:rsid w:val="003C0DF6"/>
    <w:rsid w:val="003C1199"/>
    <w:rsid w:val="003C1C12"/>
    <w:rsid w:val="003C1D89"/>
    <w:rsid w:val="003C262A"/>
    <w:rsid w:val="003C27E6"/>
    <w:rsid w:val="003C307B"/>
    <w:rsid w:val="003D0383"/>
    <w:rsid w:val="003D2EDB"/>
    <w:rsid w:val="003D419E"/>
    <w:rsid w:val="003D4CE3"/>
    <w:rsid w:val="003D50D3"/>
    <w:rsid w:val="003D6366"/>
    <w:rsid w:val="003E27EF"/>
    <w:rsid w:val="003E3D16"/>
    <w:rsid w:val="003E4703"/>
    <w:rsid w:val="003E6411"/>
    <w:rsid w:val="003F5D72"/>
    <w:rsid w:val="003F6650"/>
    <w:rsid w:val="003F689B"/>
    <w:rsid w:val="00400A9B"/>
    <w:rsid w:val="00401079"/>
    <w:rsid w:val="00402F31"/>
    <w:rsid w:val="004032BD"/>
    <w:rsid w:val="00404BCB"/>
    <w:rsid w:val="0040739A"/>
    <w:rsid w:val="00407CB9"/>
    <w:rsid w:val="0041119B"/>
    <w:rsid w:val="00412747"/>
    <w:rsid w:val="0041309D"/>
    <w:rsid w:val="00413437"/>
    <w:rsid w:val="00413C80"/>
    <w:rsid w:val="00413F5A"/>
    <w:rsid w:val="00414220"/>
    <w:rsid w:val="00414B07"/>
    <w:rsid w:val="00414B91"/>
    <w:rsid w:val="004152B0"/>
    <w:rsid w:val="004161CE"/>
    <w:rsid w:val="004173D4"/>
    <w:rsid w:val="004174E2"/>
    <w:rsid w:val="00420692"/>
    <w:rsid w:val="00430398"/>
    <w:rsid w:val="00430CB2"/>
    <w:rsid w:val="00431ACD"/>
    <w:rsid w:val="00433B09"/>
    <w:rsid w:val="00434658"/>
    <w:rsid w:val="00440269"/>
    <w:rsid w:val="0044029A"/>
    <w:rsid w:val="0044141F"/>
    <w:rsid w:val="00441AF4"/>
    <w:rsid w:val="00441D77"/>
    <w:rsid w:val="00444B33"/>
    <w:rsid w:val="0044710F"/>
    <w:rsid w:val="00447205"/>
    <w:rsid w:val="00447CCD"/>
    <w:rsid w:val="00450455"/>
    <w:rsid w:val="004504FE"/>
    <w:rsid w:val="0045178B"/>
    <w:rsid w:val="0045219C"/>
    <w:rsid w:val="00452FC4"/>
    <w:rsid w:val="00454484"/>
    <w:rsid w:val="0045518F"/>
    <w:rsid w:val="004570FF"/>
    <w:rsid w:val="00460056"/>
    <w:rsid w:val="0046024D"/>
    <w:rsid w:val="0046189E"/>
    <w:rsid w:val="004618DD"/>
    <w:rsid w:val="00461A60"/>
    <w:rsid w:val="00461BA7"/>
    <w:rsid w:val="004624E3"/>
    <w:rsid w:val="00463326"/>
    <w:rsid w:val="0046431B"/>
    <w:rsid w:val="0046563D"/>
    <w:rsid w:val="0046645A"/>
    <w:rsid w:val="00466E86"/>
    <w:rsid w:val="00470894"/>
    <w:rsid w:val="00473659"/>
    <w:rsid w:val="004761D8"/>
    <w:rsid w:val="00480F14"/>
    <w:rsid w:val="00481C3C"/>
    <w:rsid w:val="0048314C"/>
    <w:rsid w:val="00484F75"/>
    <w:rsid w:val="004862AC"/>
    <w:rsid w:val="00492509"/>
    <w:rsid w:val="00496A93"/>
    <w:rsid w:val="00496E4A"/>
    <w:rsid w:val="00497C85"/>
    <w:rsid w:val="004A1B3E"/>
    <w:rsid w:val="004A1C33"/>
    <w:rsid w:val="004A3458"/>
    <w:rsid w:val="004A53A5"/>
    <w:rsid w:val="004A5F1F"/>
    <w:rsid w:val="004A68F0"/>
    <w:rsid w:val="004A7249"/>
    <w:rsid w:val="004A79B6"/>
    <w:rsid w:val="004B009B"/>
    <w:rsid w:val="004B051D"/>
    <w:rsid w:val="004B1AAD"/>
    <w:rsid w:val="004B2694"/>
    <w:rsid w:val="004B3C01"/>
    <w:rsid w:val="004B4205"/>
    <w:rsid w:val="004B73F6"/>
    <w:rsid w:val="004B7D32"/>
    <w:rsid w:val="004C0274"/>
    <w:rsid w:val="004C029F"/>
    <w:rsid w:val="004C09E6"/>
    <w:rsid w:val="004C29B0"/>
    <w:rsid w:val="004C4015"/>
    <w:rsid w:val="004C40EB"/>
    <w:rsid w:val="004C6325"/>
    <w:rsid w:val="004C6656"/>
    <w:rsid w:val="004C7358"/>
    <w:rsid w:val="004D0771"/>
    <w:rsid w:val="004D16C1"/>
    <w:rsid w:val="004D5B09"/>
    <w:rsid w:val="004D6831"/>
    <w:rsid w:val="004E0102"/>
    <w:rsid w:val="004E2441"/>
    <w:rsid w:val="004E3986"/>
    <w:rsid w:val="004E4837"/>
    <w:rsid w:val="004E5977"/>
    <w:rsid w:val="004E5B6F"/>
    <w:rsid w:val="004E6B22"/>
    <w:rsid w:val="004E72A4"/>
    <w:rsid w:val="004E7D12"/>
    <w:rsid w:val="004F4E94"/>
    <w:rsid w:val="004F529F"/>
    <w:rsid w:val="004F540E"/>
    <w:rsid w:val="004F6DBD"/>
    <w:rsid w:val="004F7F92"/>
    <w:rsid w:val="00501AC9"/>
    <w:rsid w:val="00502555"/>
    <w:rsid w:val="00502B89"/>
    <w:rsid w:val="005036BA"/>
    <w:rsid w:val="00504C8C"/>
    <w:rsid w:val="00505CFF"/>
    <w:rsid w:val="00506015"/>
    <w:rsid w:val="00506E0C"/>
    <w:rsid w:val="0050739E"/>
    <w:rsid w:val="005075C6"/>
    <w:rsid w:val="005106C9"/>
    <w:rsid w:val="00510855"/>
    <w:rsid w:val="00512049"/>
    <w:rsid w:val="00512BA0"/>
    <w:rsid w:val="00514028"/>
    <w:rsid w:val="00514935"/>
    <w:rsid w:val="00515141"/>
    <w:rsid w:val="00520084"/>
    <w:rsid w:val="00520B12"/>
    <w:rsid w:val="00521136"/>
    <w:rsid w:val="005213F1"/>
    <w:rsid w:val="005230D0"/>
    <w:rsid w:val="00524BD8"/>
    <w:rsid w:val="0052500F"/>
    <w:rsid w:val="00526208"/>
    <w:rsid w:val="00526858"/>
    <w:rsid w:val="005278A1"/>
    <w:rsid w:val="00527BED"/>
    <w:rsid w:val="00531DEE"/>
    <w:rsid w:val="00535FCB"/>
    <w:rsid w:val="00541706"/>
    <w:rsid w:val="00542BF3"/>
    <w:rsid w:val="00544C93"/>
    <w:rsid w:val="00545784"/>
    <w:rsid w:val="0054664A"/>
    <w:rsid w:val="0055236F"/>
    <w:rsid w:val="0055345D"/>
    <w:rsid w:val="00553E19"/>
    <w:rsid w:val="00553F82"/>
    <w:rsid w:val="005548AB"/>
    <w:rsid w:val="00554E03"/>
    <w:rsid w:val="0055658A"/>
    <w:rsid w:val="005606D3"/>
    <w:rsid w:val="0056070C"/>
    <w:rsid w:val="00561F41"/>
    <w:rsid w:val="00562337"/>
    <w:rsid w:val="005629E9"/>
    <w:rsid w:val="005635C9"/>
    <w:rsid w:val="00563F28"/>
    <w:rsid w:val="0056409E"/>
    <w:rsid w:val="00565442"/>
    <w:rsid w:val="00566294"/>
    <w:rsid w:val="005670F9"/>
    <w:rsid w:val="005671A0"/>
    <w:rsid w:val="005724E2"/>
    <w:rsid w:val="00572A61"/>
    <w:rsid w:val="00574599"/>
    <w:rsid w:val="00575528"/>
    <w:rsid w:val="00575B19"/>
    <w:rsid w:val="005767D8"/>
    <w:rsid w:val="00580812"/>
    <w:rsid w:val="005812A9"/>
    <w:rsid w:val="0058134A"/>
    <w:rsid w:val="00582B52"/>
    <w:rsid w:val="00583B8E"/>
    <w:rsid w:val="005840A7"/>
    <w:rsid w:val="005840EB"/>
    <w:rsid w:val="005876E3"/>
    <w:rsid w:val="00590242"/>
    <w:rsid w:val="00590419"/>
    <w:rsid w:val="005906B7"/>
    <w:rsid w:val="0059356B"/>
    <w:rsid w:val="00595FAF"/>
    <w:rsid w:val="0059704E"/>
    <w:rsid w:val="005A03A4"/>
    <w:rsid w:val="005A065E"/>
    <w:rsid w:val="005A0AD5"/>
    <w:rsid w:val="005A1833"/>
    <w:rsid w:val="005A41A3"/>
    <w:rsid w:val="005A4881"/>
    <w:rsid w:val="005A5CA8"/>
    <w:rsid w:val="005A5EA1"/>
    <w:rsid w:val="005A6203"/>
    <w:rsid w:val="005A75B2"/>
    <w:rsid w:val="005A7820"/>
    <w:rsid w:val="005B244A"/>
    <w:rsid w:val="005B4FA9"/>
    <w:rsid w:val="005B5F35"/>
    <w:rsid w:val="005B7140"/>
    <w:rsid w:val="005C0A0D"/>
    <w:rsid w:val="005C2376"/>
    <w:rsid w:val="005C2660"/>
    <w:rsid w:val="005C28C7"/>
    <w:rsid w:val="005C3657"/>
    <w:rsid w:val="005C6A84"/>
    <w:rsid w:val="005C7141"/>
    <w:rsid w:val="005D05AF"/>
    <w:rsid w:val="005D1B58"/>
    <w:rsid w:val="005D35A5"/>
    <w:rsid w:val="005D3FDC"/>
    <w:rsid w:val="005D5C69"/>
    <w:rsid w:val="005D65CD"/>
    <w:rsid w:val="005D678F"/>
    <w:rsid w:val="005D73EF"/>
    <w:rsid w:val="005E011C"/>
    <w:rsid w:val="005E014D"/>
    <w:rsid w:val="005E0F6E"/>
    <w:rsid w:val="005E26A3"/>
    <w:rsid w:val="005E27AF"/>
    <w:rsid w:val="005E4376"/>
    <w:rsid w:val="005E50B0"/>
    <w:rsid w:val="005E5D00"/>
    <w:rsid w:val="005E65AB"/>
    <w:rsid w:val="005E6D96"/>
    <w:rsid w:val="005F0729"/>
    <w:rsid w:val="005F11CE"/>
    <w:rsid w:val="005F24D6"/>
    <w:rsid w:val="005F2AE9"/>
    <w:rsid w:val="005F39EB"/>
    <w:rsid w:val="005F3F84"/>
    <w:rsid w:val="005F4E0C"/>
    <w:rsid w:val="005F51E3"/>
    <w:rsid w:val="005F539F"/>
    <w:rsid w:val="005F6145"/>
    <w:rsid w:val="005F71A8"/>
    <w:rsid w:val="006000E0"/>
    <w:rsid w:val="00604814"/>
    <w:rsid w:val="00612978"/>
    <w:rsid w:val="0061371A"/>
    <w:rsid w:val="00617807"/>
    <w:rsid w:val="006202A7"/>
    <w:rsid w:val="0062115B"/>
    <w:rsid w:val="006229EC"/>
    <w:rsid w:val="00623953"/>
    <w:rsid w:val="00623C77"/>
    <w:rsid w:val="00623D16"/>
    <w:rsid w:val="00624142"/>
    <w:rsid w:val="006250DA"/>
    <w:rsid w:val="0062668A"/>
    <w:rsid w:val="00627B66"/>
    <w:rsid w:val="0063100D"/>
    <w:rsid w:val="00631BEA"/>
    <w:rsid w:val="00632F7B"/>
    <w:rsid w:val="006345FA"/>
    <w:rsid w:val="00634D1F"/>
    <w:rsid w:val="006356B4"/>
    <w:rsid w:val="00636516"/>
    <w:rsid w:val="00637001"/>
    <w:rsid w:val="0064043E"/>
    <w:rsid w:val="006409D7"/>
    <w:rsid w:val="00641E0C"/>
    <w:rsid w:val="00641E68"/>
    <w:rsid w:val="00641FEA"/>
    <w:rsid w:val="00642CCF"/>
    <w:rsid w:val="0064313E"/>
    <w:rsid w:val="006465D8"/>
    <w:rsid w:val="006476D3"/>
    <w:rsid w:val="00650BDB"/>
    <w:rsid w:val="00651D5E"/>
    <w:rsid w:val="00651F28"/>
    <w:rsid w:val="006543F2"/>
    <w:rsid w:val="0065480A"/>
    <w:rsid w:val="00655889"/>
    <w:rsid w:val="006561B1"/>
    <w:rsid w:val="00657A1F"/>
    <w:rsid w:val="00657FAE"/>
    <w:rsid w:val="00662E0D"/>
    <w:rsid w:val="0066308F"/>
    <w:rsid w:val="0066632F"/>
    <w:rsid w:val="00667342"/>
    <w:rsid w:val="00671BA0"/>
    <w:rsid w:val="00672BA3"/>
    <w:rsid w:val="00674A9D"/>
    <w:rsid w:val="00674D42"/>
    <w:rsid w:val="00675151"/>
    <w:rsid w:val="006752A9"/>
    <w:rsid w:val="00675499"/>
    <w:rsid w:val="00677840"/>
    <w:rsid w:val="00680B2B"/>
    <w:rsid w:val="00681259"/>
    <w:rsid w:val="00682ECD"/>
    <w:rsid w:val="006834C8"/>
    <w:rsid w:val="00683B0C"/>
    <w:rsid w:val="006856FB"/>
    <w:rsid w:val="00686559"/>
    <w:rsid w:val="006876E2"/>
    <w:rsid w:val="006902D0"/>
    <w:rsid w:val="0069184F"/>
    <w:rsid w:val="00693812"/>
    <w:rsid w:val="006975A6"/>
    <w:rsid w:val="006A00D5"/>
    <w:rsid w:val="006A204B"/>
    <w:rsid w:val="006A2156"/>
    <w:rsid w:val="006A32C5"/>
    <w:rsid w:val="006A4E07"/>
    <w:rsid w:val="006A561D"/>
    <w:rsid w:val="006B1417"/>
    <w:rsid w:val="006B2111"/>
    <w:rsid w:val="006B2276"/>
    <w:rsid w:val="006B2493"/>
    <w:rsid w:val="006B5C90"/>
    <w:rsid w:val="006B772F"/>
    <w:rsid w:val="006C09B4"/>
    <w:rsid w:val="006C1E53"/>
    <w:rsid w:val="006C39D4"/>
    <w:rsid w:val="006C3D8C"/>
    <w:rsid w:val="006C4E9B"/>
    <w:rsid w:val="006D28D3"/>
    <w:rsid w:val="006D3A59"/>
    <w:rsid w:val="006D3CEF"/>
    <w:rsid w:val="006D4409"/>
    <w:rsid w:val="006D4F14"/>
    <w:rsid w:val="006D56D4"/>
    <w:rsid w:val="006D58FD"/>
    <w:rsid w:val="006D5A55"/>
    <w:rsid w:val="006D60F8"/>
    <w:rsid w:val="006D71B3"/>
    <w:rsid w:val="006D7297"/>
    <w:rsid w:val="006E0794"/>
    <w:rsid w:val="006E09C8"/>
    <w:rsid w:val="006E1E10"/>
    <w:rsid w:val="006E1F8F"/>
    <w:rsid w:val="006E20A5"/>
    <w:rsid w:val="006E329E"/>
    <w:rsid w:val="006E3419"/>
    <w:rsid w:val="006E48EF"/>
    <w:rsid w:val="006E5221"/>
    <w:rsid w:val="006E5D35"/>
    <w:rsid w:val="006E7314"/>
    <w:rsid w:val="006E7808"/>
    <w:rsid w:val="006F0703"/>
    <w:rsid w:val="006F2387"/>
    <w:rsid w:val="006F4CCC"/>
    <w:rsid w:val="006F587A"/>
    <w:rsid w:val="006F6BE7"/>
    <w:rsid w:val="006F7E6A"/>
    <w:rsid w:val="00700D7A"/>
    <w:rsid w:val="00701ED6"/>
    <w:rsid w:val="00703425"/>
    <w:rsid w:val="007041A6"/>
    <w:rsid w:val="00704FBF"/>
    <w:rsid w:val="00705FE9"/>
    <w:rsid w:val="007074E5"/>
    <w:rsid w:val="007101F6"/>
    <w:rsid w:val="00711929"/>
    <w:rsid w:val="007128CF"/>
    <w:rsid w:val="00712BC2"/>
    <w:rsid w:val="0071445A"/>
    <w:rsid w:val="00715596"/>
    <w:rsid w:val="007165B8"/>
    <w:rsid w:val="00716773"/>
    <w:rsid w:val="00717424"/>
    <w:rsid w:val="00717851"/>
    <w:rsid w:val="007209A0"/>
    <w:rsid w:val="007219C3"/>
    <w:rsid w:val="00722998"/>
    <w:rsid w:val="0072315A"/>
    <w:rsid w:val="00723313"/>
    <w:rsid w:val="00724406"/>
    <w:rsid w:val="007244FE"/>
    <w:rsid w:val="00725384"/>
    <w:rsid w:val="00726995"/>
    <w:rsid w:val="00726D93"/>
    <w:rsid w:val="0073130E"/>
    <w:rsid w:val="007317EC"/>
    <w:rsid w:val="00731F92"/>
    <w:rsid w:val="00733D84"/>
    <w:rsid w:val="00734C52"/>
    <w:rsid w:val="00734F64"/>
    <w:rsid w:val="00734F85"/>
    <w:rsid w:val="00735623"/>
    <w:rsid w:val="00735CD8"/>
    <w:rsid w:val="007369A3"/>
    <w:rsid w:val="00737591"/>
    <w:rsid w:val="00741ADB"/>
    <w:rsid w:val="00741C21"/>
    <w:rsid w:val="00742B67"/>
    <w:rsid w:val="00743530"/>
    <w:rsid w:val="007435DD"/>
    <w:rsid w:val="00743FD7"/>
    <w:rsid w:val="00744481"/>
    <w:rsid w:val="007448F9"/>
    <w:rsid w:val="00745EDA"/>
    <w:rsid w:val="00746F12"/>
    <w:rsid w:val="007508CC"/>
    <w:rsid w:val="0075149F"/>
    <w:rsid w:val="00752682"/>
    <w:rsid w:val="00754D54"/>
    <w:rsid w:val="00755548"/>
    <w:rsid w:val="00760763"/>
    <w:rsid w:val="00762692"/>
    <w:rsid w:val="0076341F"/>
    <w:rsid w:val="00763DE2"/>
    <w:rsid w:val="0076479C"/>
    <w:rsid w:val="00766EB5"/>
    <w:rsid w:val="00770977"/>
    <w:rsid w:val="00771A9F"/>
    <w:rsid w:val="00771F57"/>
    <w:rsid w:val="00772E9B"/>
    <w:rsid w:val="00773D86"/>
    <w:rsid w:val="00774057"/>
    <w:rsid w:val="00774679"/>
    <w:rsid w:val="007756A3"/>
    <w:rsid w:val="00775CC3"/>
    <w:rsid w:val="00781BF9"/>
    <w:rsid w:val="00782354"/>
    <w:rsid w:val="007824B6"/>
    <w:rsid w:val="00786CE7"/>
    <w:rsid w:val="007872ED"/>
    <w:rsid w:val="007923B8"/>
    <w:rsid w:val="00792A36"/>
    <w:rsid w:val="0079309F"/>
    <w:rsid w:val="0079412C"/>
    <w:rsid w:val="0079452A"/>
    <w:rsid w:val="00794FB4"/>
    <w:rsid w:val="0079522E"/>
    <w:rsid w:val="00795605"/>
    <w:rsid w:val="00795790"/>
    <w:rsid w:val="00796869"/>
    <w:rsid w:val="007968A2"/>
    <w:rsid w:val="007A0EA4"/>
    <w:rsid w:val="007A5D0F"/>
    <w:rsid w:val="007B02C0"/>
    <w:rsid w:val="007B3064"/>
    <w:rsid w:val="007B36AD"/>
    <w:rsid w:val="007B4D2F"/>
    <w:rsid w:val="007B513D"/>
    <w:rsid w:val="007B526F"/>
    <w:rsid w:val="007B6C0C"/>
    <w:rsid w:val="007B7AD5"/>
    <w:rsid w:val="007C0CF1"/>
    <w:rsid w:val="007C1800"/>
    <w:rsid w:val="007C20C5"/>
    <w:rsid w:val="007C351D"/>
    <w:rsid w:val="007C3A9B"/>
    <w:rsid w:val="007C5512"/>
    <w:rsid w:val="007C789D"/>
    <w:rsid w:val="007C7B76"/>
    <w:rsid w:val="007D1136"/>
    <w:rsid w:val="007D1288"/>
    <w:rsid w:val="007D1408"/>
    <w:rsid w:val="007D1E7D"/>
    <w:rsid w:val="007D31BE"/>
    <w:rsid w:val="007D4036"/>
    <w:rsid w:val="007D4CE0"/>
    <w:rsid w:val="007D4F0B"/>
    <w:rsid w:val="007D5132"/>
    <w:rsid w:val="007D70A9"/>
    <w:rsid w:val="007D73A9"/>
    <w:rsid w:val="007D7FAF"/>
    <w:rsid w:val="007E0A1F"/>
    <w:rsid w:val="007E108A"/>
    <w:rsid w:val="007E693C"/>
    <w:rsid w:val="007E71CE"/>
    <w:rsid w:val="007E742A"/>
    <w:rsid w:val="007E76B6"/>
    <w:rsid w:val="007F1189"/>
    <w:rsid w:val="007F13FF"/>
    <w:rsid w:val="007F5989"/>
    <w:rsid w:val="008003FB"/>
    <w:rsid w:val="008007C4"/>
    <w:rsid w:val="00801691"/>
    <w:rsid w:val="008022C8"/>
    <w:rsid w:val="00802C94"/>
    <w:rsid w:val="00804149"/>
    <w:rsid w:val="0080464C"/>
    <w:rsid w:val="00804735"/>
    <w:rsid w:val="00804E84"/>
    <w:rsid w:val="00806D51"/>
    <w:rsid w:val="00810DAB"/>
    <w:rsid w:val="00813FF7"/>
    <w:rsid w:val="008140E3"/>
    <w:rsid w:val="00815E3C"/>
    <w:rsid w:val="008170D8"/>
    <w:rsid w:val="0081743B"/>
    <w:rsid w:val="00817E84"/>
    <w:rsid w:val="008207D5"/>
    <w:rsid w:val="00821B0C"/>
    <w:rsid w:val="00823BBC"/>
    <w:rsid w:val="008244E3"/>
    <w:rsid w:val="0082497E"/>
    <w:rsid w:val="00826FCA"/>
    <w:rsid w:val="0083179A"/>
    <w:rsid w:val="0083223E"/>
    <w:rsid w:val="00832B3F"/>
    <w:rsid w:val="008334C3"/>
    <w:rsid w:val="0083452F"/>
    <w:rsid w:val="0083481D"/>
    <w:rsid w:val="00842CDF"/>
    <w:rsid w:val="008447C1"/>
    <w:rsid w:val="00844903"/>
    <w:rsid w:val="0084525A"/>
    <w:rsid w:val="00845733"/>
    <w:rsid w:val="00847300"/>
    <w:rsid w:val="00847702"/>
    <w:rsid w:val="0085062D"/>
    <w:rsid w:val="00851D11"/>
    <w:rsid w:val="00852E30"/>
    <w:rsid w:val="0085333C"/>
    <w:rsid w:val="00853A26"/>
    <w:rsid w:val="00854FA1"/>
    <w:rsid w:val="00855445"/>
    <w:rsid w:val="00856E20"/>
    <w:rsid w:val="0085707E"/>
    <w:rsid w:val="008572BB"/>
    <w:rsid w:val="008611E0"/>
    <w:rsid w:val="00862732"/>
    <w:rsid w:val="008630A0"/>
    <w:rsid w:val="0086332D"/>
    <w:rsid w:val="0086483E"/>
    <w:rsid w:val="00864A8D"/>
    <w:rsid w:val="00865029"/>
    <w:rsid w:val="00866225"/>
    <w:rsid w:val="00866C7E"/>
    <w:rsid w:val="0086715D"/>
    <w:rsid w:val="00867526"/>
    <w:rsid w:val="00867984"/>
    <w:rsid w:val="00870DED"/>
    <w:rsid w:val="00871A96"/>
    <w:rsid w:val="00871BE5"/>
    <w:rsid w:val="00871DAA"/>
    <w:rsid w:val="008726F7"/>
    <w:rsid w:val="00872FB4"/>
    <w:rsid w:val="0087446D"/>
    <w:rsid w:val="00875835"/>
    <w:rsid w:val="00875AAF"/>
    <w:rsid w:val="00876C25"/>
    <w:rsid w:val="00876E7B"/>
    <w:rsid w:val="008774B0"/>
    <w:rsid w:val="0088108F"/>
    <w:rsid w:val="00881968"/>
    <w:rsid w:val="008825D9"/>
    <w:rsid w:val="0088298F"/>
    <w:rsid w:val="00884041"/>
    <w:rsid w:val="0089122C"/>
    <w:rsid w:val="00892462"/>
    <w:rsid w:val="00892D73"/>
    <w:rsid w:val="00892F8C"/>
    <w:rsid w:val="008934F6"/>
    <w:rsid w:val="008946C0"/>
    <w:rsid w:val="00896745"/>
    <w:rsid w:val="008A0058"/>
    <w:rsid w:val="008A18D7"/>
    <w:rsid w:val="008A3558"/>
    <w:rsid w:val="008A36B0"/>
    <w:rsid w:val="008A6AAE"/>
    <w:rsid w:val="008A763D"/>
    <w:rsid w:val="008A763E"/>
    <w:rsid w:val="008B0020"/>
    <w:rsid w:val="008B1017"/>
    <w:rsid w:val="008B2692"/>
    <w:rsid w:val="008B381E"/>
    <w:rsid w:val="008B4552"/>
    <w:rsid w:val="008B4556"/>
    <w:rsid w:val="008B49E5"/>
    <w:rsid w:val="008B4BF6"/>
    <w:rsid w:val="008B5185"/>
    <w:rsid w:val="008B683B"/>
    <w:rsid w:val="008B71A0"/>
    <w:rsid w:val="008B7501"/>
    <w:rsid w:val="008B759D"/>
    <w:rsid w:val="008B7AC4"/>
    <w:rsid w:val="008C0552"/>
    <w:rsid w:val="008C14E7"/>
    <w:rsid w:val="008C17B3"/>
    <w:rsid w:val="008C2403"/>
    <w:rsid w:val="008C4CC8"/>
    <w:rsid w:val="008C6334"/>
    <w:rsid w:val="008C7C28"/>
    <w:rsid w:val="008D2057"/>
    <w:rsid w:val="008D22D5"/>
    <w:rsid w:val="008D2406"/>
    <w:rsid w:val="008D429A"/>
    <w:rsid w:val="008D47F8"/>
    <w:rsid w:val="008E0371"/>
    <w:rsid w:val="008E1133"/>
    <w:rsid w:val="008E2321"/>
    <w:rsid w:val="008E2496"/>
    <w:rsid w:val="008E2DE6"/>
    <w:rsid w:val="008E5C47"/>
    <w:rsid w:val="008F06B2"/>
    <w:rsid w:val="008F134C"/>
    <w:rsid w:val="008F38D9"/>
    <w:rsid w:val="008F3B9C"/>
    <w:rsid w:val="008F59A4"/>
    <w:rsid w:val="008F5F6F"/>
    <w:rsid w:val="008F74BA"/>
    <w:rsid w:val="00900A07"/>
    <w:rsid w:val="00903E55"/>
    <w:rsid w:val="009043ED"/>
    <w:rsid w:val="009049CA"/>
    <w:rsid w:val="009052A9"/>
    <w:rsid w:val="00907F47"/>
    <w:rsid w:val="009119F1"/>
    <w:rsid w:val="00911DB5"/>
    <w:rsid w:val="00912A26"/>
    <w:rsid w:val="00912A44"/>
    <w:rsid w:val="0091312C"/>
    <w:rsid w:val="009155C6"/>
    <w:rsid w:val="009168B0"/>
    <w:rsid w:val="00916BF0"/>
    <w:rsid w:val="0092040D"/>
    <w:rsid w:val="0092116D"/>
    <w:rsid w:val="00922038"/>
    <w:rsid w:val="00922B65"/>
    <w:rsid w:val="009235FE"/>
    <w:rsid w:val="00925542"/>
    <w:rsid w:val="00926873"/>
    <w:rsid w:val="00930619"/>
    <w:rsid w:val="00931F3D"/>
    <w:rsid w:val="0093608A"/>
    <w:rsid w:val="009400DA"/>
    <w:rsid w:val="009446B1"/>
    <w:rsid w:val="0094684A"/>
    <w:rsid w:val="009510F6"/>
    <w:rsid w:val="00951395"/>
    <w:rsid w:val="00952844"/>
    <w:rsid w:val="00954A6F"/>
    <w:rsid w:val="00956A10"/>
    <w:rsid w:val="009579E3"/>
    <w:rsid w:val="00960CD5"/>
    <w:rsid w:val="00961343"/>
    <w:rsid w:val="00961CA4"/>
    <w:rsid w:val="00963974"/>
    <w:rsid w:val="0096513E"/>
    <w:rsid w:val="00966446"/>
    <w:rsid w:val="00966C66"/>
    <w:rsid w:val="0097029F"/>
    <w:rsid w:val="0097072C"/>
    <w:rsid w:val="009710A7"/>
    <w:rsid w:val="00971B03"/>
    <w:rsid w:val="009720DB"/>
    <w:rsid w:val="009736C4"/>
    <w:rsid w:val="00975058"/>
    <w:rsid w:val="00975EA6"/>
    <w:rsid w:val="009764D4"/>
    <w:rsid w:val="00977A02"/>
    <w:rsid w:val="00981A2A"/>
    <w:rsid w:val="00983832"/>
    <w:rsid w:val="00983AF2"/>
    <w:rsid w:val="00985438"/>
    <w:rsid w:val="009865DD"/>
    <w:rsid w:val="00986AF9"/>
    <w:rsid w:val="00987880"/>
    <w:rsid w:val="00987BAF"/>
    <w:rsid w:val="00987E78"/>
    <w:rsid w:val="00990C79"/>
    <w:rsid w:val="00993192"/>
    <w:rsid w:val="00994934"/>
    <w:rsid w:val="009953CA"/>
    <w:rsid w:val="00995A37"/>
    <w:rsid w:val="00997710"/>
    <w:rsid w:val="009A0482"/>
    <w:rsid w:val="009A15F6"/>
    <w:rsid w:val="009A1E0E"/>
    <w:rsid w:val="009A2653"/>
    <w:rsid w:val="009A3655"/>
    <w:rsid w:val="009A6040"/>
    <w:rsid w:val="009A6962"/>
    <w:rsid w:val="009A7810"/>
    <w:rsid w:val="009A7F37"/>
    <w:rsid w:val="009B1CF6"/>
    <w:rsid w:val="009B3068"/>
    <w:rsid w:val="009B3304"/>
    <w:rsid w:val="009B3FE6"/>
    <w:rsid w:val="009B65B7"/>
    <w:rsid w:val="009B67F6"/>
    <w:rsid w:val="009C081A"/>
    <w:rsid w:val="009C4567"/>
    <w:rsid w:val="009C48E9"/>
    <w:rsid w:val="009C643B"/>
    <w:rsid w:val="009C6C3F"/>
    <w:rsid w:val="009D0BAA"/>
    <w:rsid w:val="009D10AB"/>
    <w:rsid w:val="009D2610"/>
    <w:rsid w:val="009D44A9"/>
    <w:rsid w:val="009D4BC0"/>
    <w:rsid w:val="009D4D74"/>
    <w:rsid w:val="009D58BD"/>
    <w:rsid w:val="009D752B"/>
    <w:rsid w:val="009D7BF7"/>
    <w:rsid w:val="009E0589"/>
    <w:rsid w:val="009E1C8E"/>
    <w:rsid w:val="009E4C0F"/>
    <w:rsid w:val="009E5836"/>
    <w:rsid w:val="009E5AA7"/>
    <w:rsid w:val="009E5BF7"/>
    <w:rsid w:val="009E6033"/>
    <w:rsid w:val="009E60C1"/>
    <w:rsid w:val="009E743B"/>
    <w:rsid w:val="009E7F53"/>
    <w:rsid w:val="009F076F"/>
    <w:rsid w:val="009F1A8A"/>
    <w:rsid w:val="009F20C4"/>
    <w:rsid w:val="009F30FB"/>
    <w:rsid w:val="009F393A"/>
    <w:rsid w:val="009F572D"/>
    <w:rsid w:val="009F5EFE"/>
    <w:rsid w:val="009F67C0"/>
    <w:rsid w:val="009F6A6C"/>
    <w:rsid w:val="009F6C54"/>
    <w:rsid w:val="009F79FF"/>
    <w:rsid w:val="00A00BC6"/>
    <w:rsid w:val="00A010DC"/>
    <w:rsid w:val="00A01F28"/>
    <w:rsid w:val="00A026BC"/>
    <w:rsid w:val="00A0282A"/>
    <w:rsid w:val="00A03547"/>
    <w:rsid w:val="00A1056B"/>
    <w:rsid w:val="00A1184A"/>
    <w:rsid w:val="00A119F5"/>
    <w:rsid w:val="00A1214E"/>
    <w:rsid w:val="00A12266"/>
    <w:rsid w:val="00A13598"/>
    <w:rsid w:val="00A13A67"/>
    <w:rsid w:val="00A20119"/>
    <w:rsid w:val="00A20DB8"/>
    <w:rsid w:val="00A229A4"/>
    <w:rsid w:val="00A23AC1"/>
    <w:rsid w:val="00A24E73"/>
    <w:rsid w:val="00A24E81"/>
    <w:rsid w:val="00A26142"/>
    <w:rsid w:val="00A27B67"/>
    <w:rsid w:val="00A30D49"/>
    <w:rsid w:val="00A344B9"/>
    <w:rsid w:val="00A3457A"/>
    <w:rsid w:val="00A34BC3"/>
    <w:rsid w:val="00A34EC8"/>
    <w:rsid w:val="00A35240"/>
    <w:rsid w:val="00A36763"/>
    <w:rsid w:val="00A36E82"/>
    <w:rsid w:val="00A41165"/>
    <w:rsid w:val="00A4321A"/>
    <w:rsid w:val="00A43DA1"/>
    <w:rsid w:val="00A4408A"/>
    <w:rsid w:val="00A46769"/>
    <w:rsid w:val="00A472D7"/>
    <w:rsid w:val="00A4750C"/>
    <w:rsid w:val="00A477E0"/>
    <w:rsid w:val="00A4791D"/>
    <w:rsid w:val="00A51D4D"/>
    <w:rsid w:val="00A537FC"/>
    <w:rsid w:val="00A53DA3"/>
    <w:rsid w:val="00A543F2"/>
    <w:rsid w:val="00A547FB"/>
    <w:rsid w:val="00A5550A"/>
    <w:rsid w:val="00A627B1"/>
    <w:rsid w:val="00A64B08"/>
    <w:rsid w:val="00A64CA6"/>
    <w:rsid w:val="00A67746"/>
    <w:rsid w:val="00A7055F"/>
    <w:rsid w:val="00A710DF"/>
    <w:rsid w:val="00A711F2"/>
    <w:rsid w:val="00A716FE"/>
    <w:rsid w:val="00A71833"/>
    <w:rsid w:val="00A719FC"/>
    <w:rsid w:val="00A72161"/>
    <w:rsid w:val="00A72730"/>
    <w:rsid w:val="00A73D97"/>
    <w:rsid w:val="00A7532E"/>
    <w:rsid w:val="00A75338"/>
    <w:rsid w:val="00A83262"/>
    <w:rsid w:val="00A8583F"/>
    <w:rsid w:val="00A865FA"/>
    <w:rsid w:val="00A86707"/>
    <w:rsid w:val="00A9028C"/>
    <w:rsid w:val="00A94C59"/>
    <w:rsid w:val="00A954DB"/>
    <w:rsid w:val="00A9651D"/>
    <w:rsid w:val="00A974DD"/>
    <w:rsid w:val="00AA01BC"/>
    <w:rsid w:val="00AA2CC1"/>
    <w:rsid w:val="00AA33D3"/>
    <w:rsid w:val="00AA45E8"/>
    <w:rsid w:val="00AA6596"/>
    <w:rsid w:val="00AB1F10"/>
    <w:rsid w:val="00AB27D3"/>
    <w:rsid w:val="00AB3425"/>
    <w:rsid w:val="00AB36D9"/>
    <w:rsid w:val="00AB5822"/>
    <w:rsid w:val="00AB6CB6"/>
    <w:rsid w:val="00AB6E06"/>
    <w:rsid w:val="00AB76A8"/>
    <w:rsid w:val="00AC0B60"/>
    <w:rsid w:val="00AC2042"/>
    <w:rsid w:val="00AC2279"/>
    <w:rsid w:val="00AC3191"/>
    <w:rsid w:val="00AC4C5B"/>
    <w:rsid w:val="00AC5CE7"/>
    <w:rsid w:val="00AC649A"/>
    <w:rsid w:val="00AC6F1D"/>
    <w:rsid w:val="00AD0BD4"/>
    <w:rsid w:val="00AD2B99"/>
    <w:rsid w:val="00AD37C9"/>
    <w:rsid w:val="00AD38F3"/>
    <w:rsid w:val="00AD49AA"/>
    <w:rsid w:val="00AE090A"/>
    <w:rsid w:val="00AE1E64"/>
    <w:rsid w:val="00AE2455"/>
    <w:rsid w:val="00AE3062"/>
    <w:rsid w:val="00AE348B"/>
    <w:rsid w:val="00AE49DA"/>
    <w:rsid w:val="00AE5866"/>
    <w:rsid w:val="00AE5D57"/>
    <w:rsid w:val="00AE6F78"/>
    <w:rsid w:val="00AE7DB9"/>
    <w:rsid w:val="00AE7EA2"/>
    <w:rsid w:val="00AF25A8"/>
    <w:rsid w:val="00AF38FB"/>
    <w:rsid w:val="00AF4419"/>
    <w:rsid w:val="00AF52D2"/>
    <w:rsid w:val="00AF544D"/>
    <w:rsid w:val="00AF5C90"/>
    <w:rsid w:val="00AF60AA"/>
    <w:rsid w:val="00AF6387"/>
    <w:rsid w:val="00AF64EA"/>
    <w:rsid w:val="00AF6A24"/>
    <w:rsid w:val="00AF6C9A"/>
    <w:rsid w:val="00B01B2C"/>
    <w:rsid w:val="00B0258D"/>
    <w:rsid w:val="00B0323F"/>
    <w:rsid w:val="00B03D6D"/>
    <w:rsid w:val="00B049BA"/>
    <w:rsid w:val="00B04AE2"/>
    <w:rsid w:val="00B05695"/>
    <w:rsid w:val="00B05F8F"/>
    <w:rsid w:val="00B10FCD"/>
    <w:rsid w:val="00B127AB"/>
    <w:rsid w:val="00B14044"/>
    <w:rsid w:val="00B14A7B"/>
    <w:rsid w:val="00B15F50"/>
    <w:rsid w:val="00B16B71"/>
    <w:rsid w:val="00B16BC1"/>
    <w:rsid w:val="00B17335"/>
    <w:rsid w:val="00B20CD3"/>
    <w:rsid w:val="00B20F7E"/>
    <w:rsid w:val="00B2203B"/>
    <w:rsid w:val="00B2210D"/>
    <w:rsid w:val="00B2216A"/>
    <w:rsid w:val="00B229E2"/>
    <w:rsid w:val="00B23F68"/>
    <w:rsid w:val="00B2403B"/>
    <w:rsid w:val="00B24C60"/>
    <w:rsid w:val="00B25EA3"/>
    <w:rsid w:val="00B26140"/>
    <w:rsid w:val="00B26FCA"/>
    <w:rsid w:val="00B27597"/>
    <w:rsid w:val="00B300B2"/>
    <w:rsid w:val="00B326BF"/>
    <w:rsid w:val="00B34CF8"/>
    <w:rsid w:val="00B34D18"/>
    <w:rsid w:val="00B3660C"/>
    <w:rsid w:val="00B36AF5"/>
    <w:rsid w:val="00B37E4B"/>
    <w:rsid w:val="00B40125"/>
    <w:rsid w:val="00B4049B"/>
    <w:rsid w:val="00B41595"/>
    <w:rsid w:val="00B41950"/>
    <w:rsid w:val="00B4305A"/>
    <w:rsid w:val="00B44287"/>
    <w:rsid w:val="00B4572C"/>
    <w:rsid w:val="00B45858"/>
    <w:rsid w:val="00B45DC9"/>
    <w:rsid w:val="00B46BED"/>
    <w:rsid w:val="00B47BC9"/>
    <w:rsid w:val="00B47E54"/>
    <w:rsid w:val="00B47EA8"/>
    <w:rsid w:val="00B579FD"/>
    <w:rsid w:val="00B57B6B"/>
    <w:rsid w:val="00B62A16"/>
    <w:rsid w:val="00B6359E"/>
    <w:rsid w:val="00B64C0C"/>
    <w:rsid w:val="00B652E5"/>
    <w:rsid w:val="00B75711"/>
    <w:rsid w:val="00B7658B"/>
    <w:rsid w:val="00B767FE"/>
    <w:rsid w:val="00B77F62"/>
    <w:rsid w:val="00B80F5C"/>
    <w:rsid w:val="00B818C9"/>
    <w:rsid w:val="00B82899"/>
    <w:rsid w:val="00B85923"/>
    <w:rsid w:val="00B85ED5"/>
    <w:rsid w:val="00B905E5"/>
    <w:rsid w:val="00B92F28"/>
    <w:rsid w:val="00B93C4D"/>
    <w:rsid w:val="00B9406A"/>
    <w:rsid w:val="00B94D47"/>
    <w:rsid w:val="00B96FF7"/>
    <w:rsid w:val="00BA0DD2"/>
    <w:rsid w:val="00BA22DE"/>
    <w:rsid w:val="00BA2619"/>
    <w:rsid w:val="00BA287C"/>
    <w:rsid w:val="00BA2C7C"/>
    <w:rsid w:val="00BA3624"/>
    <w:rsid w:val="00BA37F6"/>
    <w:rsid w:val="00BA3839"/>
    <w:rsid w:val="00BA57DC"/>
    <w:rsid w:val="00BA59F5"/>
    <w:rsid w:val="00BB0292"/>
    <w:rsid w:val="00BB0345"/>
    <w:rsid w:val="00BB0C48"/>
    <w:rsid w:val="00BB1510"/>
    <w:rsid w:val="00BB220A"/>
    <w:rsid w:val="00BB2253"/>
    <w:rsid w:val="00BB28EC"/>
    <w:rsid w:val="00BB53D6"/>
    <w:rsid w:val="00BB6A69"/>
    <w:rsid w:val="00BC0849"/>
    <w:rsid w:val="00BC0B45"/>
    <w:rsid w:val="00BC18C5"/>
    <w:rsid w:val="00BC18D7"/>
    <w:rsid w:val="00BC1C14"/>
    <w:rsid w:val="00BC2166"/>
    <w:rsid w:val="00BC21A9"/>
    <w:rsid w:val="00BC2387"/>
    <w:rsid w:val="00BC3237"/>
    <w:rsid w:val="00BC4796"/>
    <w:rsid w:val="00BC4C25"/>
    <w:rsid w:val="00BC58E7"/>
    <w:rsid w:val="00BC6AC6"/>
    <w:rsid w:val="00BD02E3"/>
    <w:rsid w:val="00BD034E"/>
    <w:rsid w:val="00BD0A77"/>
    <w:rsid w:val="00BD0D47"/>
    <w:rsid w:val="00BD0F5A"/>
    <w:rsid w:val="00BD359C"/>
    <w:rsid w:val="00BD3B19"/>
    <w:rsid w:val="00BD4E18"/>
    <w:rsid w:val="00BD6357"/>
    <w:rsid w:val="00BE1F41"/>
    <w:rsid w:val="00BE2A05"/>
    <w:rsid w:val="00BE35CE"/>
    <w:rsid w:val="00BE45B0"/>
    <w:rsid w:val="00BE6E2F"/>
    <w:rsid w:val="00BE7CF4"/>
    <w:rsid w:val="00BF0B22"/>
    <w:rsid w:val="00BF2ED3"/>
    <w:rsid w:val="00BF3161"/>
    <w:rsid w:val="00BF3A77"/>
    <w:rsid w:val="00BF3A8C"/>
    <w:rsid w:val="00BF7CA7"/>
    <w:rsid w:val="00C0274E"/>
    <w:rsid w:val="00C02924"/>
    <w:rsid w:val="00C02FA6"/>
    <w:rsid w:val="00C03B39"/>
    <w:rsid w:val="00C046E5"/>
    <w:rsid w:val="00C054A7"/>
    <w:rsid w:val="00C06274"/>
    <w:rsid w:val="00C10F06"/>
    <w:rsid w:val="00C11ACF"/>
    <w:rsid w:val="00C20183"/>
    <w:rsid w:val="00C2094B"/>
    <w:rsid w:val="00C21BBE"/>
    <w:rsid w:val="00C23D1F"/>
    <w:rsid w:val="00C24C75"/>
    <w:rsid w:val="00C260F8"/>
    <w:rsid w:val="00C26C9E"/>
    <w:rsid w:val="00C27728"/>
    <w:rsid w:val="00C27993"/>
    <w:rsid w:val="00C27A5E"/>
    <w:rsid w:val="00C361B5"/>
    <w:rsid w:val="00C379F1"/>
    <w:rsid w:val="00C41E7D"/>
    <w:rsid w:val="00C42426"/>
    <w:rsid w:val="00C454EF"/>
    <w:rsid w:val="00C46DA6"/>
    <w:rsid w:val="00C47F77"/>
    <w:rsid w:val="00C52426"/>
    <w:rsid w:val="00C52F87"/>
    <w:rsid w:val="00C5519C"/>
    <w:rsid w:val="00C558EB"/>
    <w:rsid w:val="00C5637C"/>
    <w:rsid w:val="00C567FF"/>
    <w:rsid w:val="00C56E4A"/>
    <w:rsid w:val="00C60632"/>
    <w:rsid w:val="00C61150"/>
    <w:rsid w:val="00C63791"/>
    <w:rsid w:val="00C66A05"/>
    <w:rsid w:val="00C67B9C"/>
    <w:rsid w:val="00C712AC"/>
    <w:rsid w:val="00C715F6"/>
    <w:rsid w:val="00C71E1E"/>
    <w:rsid w:val="00C7310C"/>
    <w:rsid w:val="00C740E8"/>
    <w:rsid w:val="00C7474D"/>
    <w:rsid w:val="00C749B7"/>
    <w:rsid w:val="00C77AC8"/>
    <w:rsid w:val="00C8101D"/>
    <w:rsid w:val="00C83172"/>
    <w:rsid w:val="00C85692"/>
    <w:rsid w:val="00C85DCE"/>
    <w:rsid w:val="00C85DF2"/>
    <w:rsid w:val="00C91283"/>
    <w:rsid w:val="00C92AF3"/>
    <w:rsid w:val="00C937F2"/>
    <w:rsid w:val="00C938B6"/>
    <w:rsid w:val="00C93EA8"/>
    <w:rsid w:val="00C94145"/>
    <w:rsid w:val="00C94B3E"/>
    <w:rsid w:val="00C979C1"/>
    <w:rsid w:val="00CA3ADE"/>
    <w:rsid w:val="00CA3EB6"/>
    <w:rsid w:val="00CA4044"/>
    <w:rsid w:val="00CA596C"/>
    <w:rsid w:val="00CA6CCF"/>
    <w:rsid w:val="00CB09AA"/>
    <w:rsid w:val="00CB0B61"/>
    <w:rsid w:val="00CB12EF"/>
    <w:rsid w:val="00CB2B1B"/>
    <w:rsid w:val="00CB4646"/>
    <w:rsid w:val="00CB5710"/>
    <w:rsid w:val="00CB6805"/>
    <w:rsid w:val="00CB76D7"/>
    <w:rsid w:val="00CB7D5F"/>
    <w:rsid w:val="00CC01D6"/>
    <w:rsid w:val="00CC0B8A"/>
    <w:rsid w:val="00CC2D09"/>
    <w:rsid w:val="00CC44C1"/>
    <w:rsid w:val="00CC44F4"/>
    <w:rsid w:val="00CC480D"/>
    <w:rsid w:val="00CC546B"/>
    <w:rsid w:val="00CC5F65"/>
    <w:rsid w:val="00CC75C8"/>
    <w:rsid w:val="00CC76C5"/>
    <w:rsid w:val="00CC799A"/>
    <w:rsid w:val="00CC7AE6"/>
    <w:rsid w:val="00CD1361"/>
    <w:rsid w:val="00CD24E6"/>
    <w:rsid w:val="00CD4CBA"/>
    <w:rsid w:val="00CD7209"/>
    <w:rsid w:val="00CD7239"/>
    <w:rsid w:val="00CE3CD4"/>
    <w:rsid w:val="00CE514F"/>
    <w:rsid w:val="00CE53E8"/>
    <w:rsid w:val="00CF050A"/>
    <w:rsid w:val="00CF126D"/>
    <w:rsid w:val="00CF2DC1"/>
    <w:rsid w:val="00CF5D25"/>
    <w:rsid w:val="00D00007"/>
    <w:rsid w:val="00D00DD7"/>
    <w:rsid w:val="00D01599"/>
    <w:rsid w:val="00D02FD3"/>
    <w:rsid w:val="00D03907"/>
    <w:rsid w:val="00D03B2C"/>
    <w:rsid w:val="00D04679"/>
    <w:rsid w:val="00D0481F"/>
    <w:rsid w:val="00D04D15"/>
    <w:rsid w:val="00D052C3"/>
    <w:rsid w:val="00D05823"/>
    <w:rsid w:val="00D059A0"/>
    <w:rsid w:val="00D0666E"/>
    <w:rsid w:val="00D10D00"/>
    <w:rsid w:val="00D11140"/>
    <w:rsid w:val="00D131FE"/>
    <w:rsid w:val="00D1576A"/>
    <w:rsid w:val="00D16419"/>
    <w:rsid w:val="00D17333"/>
    <w:rsid w:val="00D2155A"/>
    <w:rsid w:val="00D21B92"/>
    <w:rsid w:val="00D21EA5"/>
    <w:rsid w:val="00D22419"/>
    <w:rsid w:val="00D23767"/>
    <w:rsid w:val="00D25509"/>
    <w:rsid w:val="00D274C8"/>
    <w:rsid w:val="00D31240"/>
    <w:rsid w:val="00D316B3"/>
    <w:rsid w:val="00D420B9"/>
    <w:rsid w:val="00D42AFE"/>
    <w:rsid w:val="00D42B91"/>
    <w:rsid w:val="00D43871"/>
    <w:rsid w:val="00D44BA0"/>
    <w:rsid w:val="00D4728B"/>
    <w:rsid w:val="00D472CF"/>
    <w:rsid w:val="00D509BD"/>
    <w:rsid w:val="00D517A6"/>
    <w:rsid w:val="00D542AD"/>
    <w:rsid w:val="00D5548B"/>
    <w:rsid w:val="00D55D91"/>
    <w:rsid w:val="00D55E45"/>
    <w:rsid w:val="00D577A2"/>
    <w:rsid w:val="00D57CBF"/>
    <w:rsid w:val="00D60119"/>
    <w:rsid w:val="00D60CB6"/>
    <w:rsid w:val="00D61343"/>
    <w:rsid w:val="00D62263"/>
    <w:rsid w:val="00D62787"/>
    <w:rsid w:val="00D63161"/>
    <w:rsid w:val="00D654A8"/>
    <w:rsid w:val="00D659B9"/>
    <w:rsid w:val="00D65A1C"/>
    <w:rsid w:val="00D66994"/>
    <w:rsid w:val="00D67B87"/>
    <w:rsid w:val="00D67CC3"/>
    <w:rsid w:val="00D705DE"/>
    <w:rsid w:val="00D7249B"/>
    <w:rsid w:val="00D7354E"/>
    <w:rsid w:val="00D7493C"/>
    <w:rsid w:val="00D77FED"/>
    <w:rsid w:val="00D80278"/>
    <w:rsid w:val="00D81B36"/>
    <w:rsid w:val="00D81DF6"/>
    <w:rsid w:val="00D83BB8"/>
    <w:rsid w:val="00D84AB8"/>
    <w:rsid w:val="00D84F57"/>
    <w:rsid w:val="00D85A86"/>
    <w:rsid w:val="00D85DC2"/>
    <w:rsid w:val="00D916BC"/>
    <w:rsid w:val="00D9446F"/>
    <w:rsid w:val="00D951CD"/>
    <w:rsid w:val="00D95B8D"/>
    <w:rsid w:val="00D97AE9"/>
    <w:rsid w:val="00DA193E"/>
    <w:rsid w:val="00DA23F6"/>
    <w:rsid w:val="00DA2750"/>
    <w:rsid w:val="00DA2B23"/>
    <w:rsid w:val="00DA66F0"/>
    <w:rsid w:val="00DA79FD"/>
    <w:rsid w:val="00DB1A36"/>
    <w:rsid w:val="00DB2598"/>
    <w:rsid w:val="00DB25EE"/>
    <w:rsid w:val="00DB408B"/>
    <w:rsid w:val="00DB42F0"/>
    <w:rsid w:val="00DB43FB"/>
    <w:rsid w:val="00DB6654"/>
    <w:rsid w:val="00DB69F2"/>
    <w:rsid w:val="00DC03E2"/>
    <w:rsid w:val="00DC131B"/>
    <w:rsid w:val="00DC1C3A"/>
    <w:rsid w:val="00DC54C1"/>
    <w:rsid w:val="00DC58E7"/>
    <w:rsid w:val="00DC65C5"/>
    <w:rsid w:val="00DC7536"/>
    <w:rsid w:val="00DD5F0E"/>
    <w:rsid w:val="00DD728A"/>
    <w:rsid w:val="00DE186B"/>
    <w:rsid w:val="00DE383D"/>
    <w:rsid w:val="00DE393A"/>
    <w:rsid w:val="00DE3B30"/>
    <w:rsid w:val="00DE3E4A"/>
    <w:rsid w:val="00DE40C7"/>
    <w:rsid w:val="00DE48C5"/>
    <w:rsid w:val="00DE6822"/>
    <w:rsid w:val="00DE785A"/>
    <w:rsid w:val="00DF0833"/>
    <w:rsid w:val="00DF5AF9"/>
    <w:rsid w:val="00DF5E99"/>
    <w:rsid w:val="00DF70C4"/>
    <w:rsid w:val="00E000D7"/>
    <w:rsid w:val="00E008B5"/>
    <w:rsid w:val="00E014A0"/>
    <w:rsid w:val="00E017F1"/>
    <w:rsid w:val="00E02509"/>
    <w:rsid w:val="00E02B06"/>
    <w:rsid w:val="00E02B47"/>
    <w:rsid w:val="00E03628"/>
    <w:rsid w:val="00E0373C"/>
    <w:rsid w:val="00E043E3"/>
    <w:rsid w:val="00E0529C"/>
    <w:rsid w:val="00E05C5B"/>
    <w:rsid w:val="00E0636C"/>
    <w:rsid w:val="00E06778"/>
    <w:rsid w:val="00E06BAF"/>
    <w:rsid w:val="00E07CF1"/>
    <w:rsid w:val="00E11EA7"/>
    <w:rsid w:val="00E1235B"/>
    <w:rsid w:val="00E13F4B"/>
    <w:rsid w:val="00E147A5"/>
    <w:rsid w:val="00E14CBA"/>
    <w:rsid w:val="00E15415"/>
    <w:rsid w:val="00E1684D"/>
    <w:rsid w:val="00E1768C"/>
    <w:rsid w:val="00E208E5"/>
    <w:rsid w:val="00E23202"/>
    <w:rsid w:val="00E239A8"/>
    <w:rsid w:val="00E24C2D"/>
    <w:rsid w:val="00E24EBF"/>
    <w:rsid w:val="00E253C4"/>
    <w:rsid w:val="00E25EAB"/>
    <w:rsid w:val="00E274CF"/>
    <w:rsid w:val="00E304AA"/>
    <w:rsid w:val="00E32619"/>
    <w:rsid w:val="00E34095"/>
    <w:rsid w:val="00E355DE"/>
    <w:rsid w:val="00E40EF7"/>
    <w:rsid w:val="00E4300C"/>
    <w:rsid w:val="00E433F0"/>
    <w:rsid w:val="00E439D4"/>
    <w:rsid w:val="00E43CF6"/>
    <w:rsid w:val="00E47193"/>
    <w:rsid w:val="00E479E9"/>
    <w:rsid w:val="00E47D4E"/>
    <w:rsid w:val="00E516C1"/>
    <w:rsid w:val="00E52082"/>
    <w:rsid w:val="00E52C33"/>
    <w:rsid w:val="00E5399B"/>
    <w:rsid w:val="00E548A1"/>
    <w:rsid w:val="00E5540C"/>
    <w:rsid w:val="00E569CF"/>
    <w:rsid w:val="00E601D9"/>
    <w:rsid w:val="00E60CB3"/>
    <w:rsid w:val="00E63E15"/>
    <w:rsid w:val="00E6528F"/>
    <w:rsid w:val="00E656E6"/>
    <w:rsid w:val="00E663BB"/>
    <w:rsid w:val="00E667BC"/>
    <w:rsid w:val="00E66B72"/>
    <w:rsid w:val="00E67443"/>
    <w:rsid w:val="00E6784E"/>
    <w:rsid w:val="00E67B75"/>
    <w:rsid w:val="00E70BD1"/>
    <w:rsid w:val="00E71826"/>
    <w:rsid w:val="00E71E77"/>
    <w:rsid w:val="00E72B91"/>
    <w:rsid w:val="00E72C9F"/>
    <w:rsid w:val="00E72CE6"/>
    <w:rsid w:val="00E739D3"/>
    <w:rsid w:val="00E745C3"/>
    <w:rsid w:val="00E74A56"/>
    <w:rsid w:val="00E74B6B"/>
    <w:rsid w:val="00E74FAF"/>
    <w:rsid w:val="00E75079"/>
    <w:rsid w:val="00E7527B"/>
    <w:rsid w:val="00E75FE0"/>
    <w:rsid w:val="00E80D1E"/>
    <w:rsid w:val="00E80D70"/>
    <w:rsid w:val="00E813B1"/>
    <w:rsid w:val="00E8169B"/>
    <w:rsid w:val="00E81CA5"/>
    <w:rsid w:val="00E820A6"/>
    <w:rsid w:val="00E834D1"/>
    <w:rsid w:val="00E83956"/>
    <w:rsid w:val="00E86261"/>
    <w:rsid w:val="00E87B71"/>
    <w:rsid w:val="00E90171"/>
    <w:rsid w:val="00E91885"/>
    <w:rsid w:val="00E94C26"/>
    <w:rsid w:val="00EA1BCB"/>
    <w:rsid w:val="00EA2730"/>
    <w:rsid w:val="00EA2EE9"/>
    <w:rsid w:val="00EA55E3"/>
    <w:rsid w:val="00EA62E2"/>
    <w:rsid w:val="00EA67D5"/>
    <w:rsid w:val="00EA6D9B"/>
    <w:rsid w:val="00EA7C61"/>
    <w:rsid w:val="00EB2F91"/>
    <w:rsid w:val="00EB512D"/>
    <w:rsid w:val="00EB68B1"/>
    <w:rsid w:val="00EB7108"/>
    <w:rsid w:val="00EC131A"/>
    <w:rsid w:val="00EC178F"/>
    <w:rsid w:val="00EC1D45"/>
    <w:rsid w:val="00EC2D35"/>
    <w:rsid w:val="00EC3A92"/>
    <w:rsid w:val="00EC5078"/>
    <w:rsid w:val="00EC5535"/>
    <w:rsid w:val="00EC6C0D"/>
    <w:rsid w:val="00EC793C"/>
    <w:rsid w:val="00EC7C52"/>
    <w:rsid w:val="00EC7D73"/>
    <w:rsid w:val="00ED0151"/>
    <w:rsid w:val="00ED0937"/>
    <w:rsid w:val="00ED3263"/>
    <w:rsid w:val="00ED3CCE"/>
    <w:rsid w:val="00ED4656"/>
    <w:rsid w:val="00ED4D5A"/>
    <w:rsid w:val="00ED4DA0"/>
    <w:rsid w:val="00ED5C39"/>
    <w:rsid w:val="00ED5E95"/>
    <w:rsid w:val="00ED62B0"/>
    <w:rsid w:val="00ED65B8"/>
    <w:rsid w:val="00ED6B68"/>
    <w:rsid w:val="00EE05B3"/>
    <w:rsid w:val="00EE09BE"/>
    <w:rsid w:val="00EE1927"/>
    <w:rsid w:val="00EE1EF6"/>
    <w:rsid w:val="00EE251C"/>
    <w:rsid w:val="00EE3CAA"/>
    <w:rsid w:val="00EE63B2"/>
    <w:rsid w:val="00EF01E7"/>
    <w:rsid w:val="00EF4B2C"/>
    <w:rsid w:val="00EF73CB"/>
    <w:rsid w:val="00EF74C0"/>
    <w:rsid w:val="00F01F8C"/>
    <w:rsid w:val="00F0567C"/>
    <w:rsid w:val="00F058CB"/>
    <w:rsid w:val="00F0606C"/>
    <w:rsid w:val="00F06272"/>
    <w:rsid w:val="00F118BA"/>
    <w:rsid w:val="00F1249B"/>
    <w:rsid w:val="00F12690"/>
    <w:rsid w:val="00F12748"/>
    <w:rsid w:val="00F16B09"/>
    <w:rsid w:val="00F16B27"/>
    <w:rsid w:val="00F17377"/>
    <w:rsid w:val="00F17774"/>
    <w:rsid w:val="00F21FEE"/>
    <w:rsid w:val="00F237C4"/>
    <w:rsid w:val="00F24751"/>
    <w:rsid w:val="00F24D4F"/>
    <w:rsid w:val="00F30F6F"/>
    <w:rsid w:val="00F31540"/>
    <w:rsid w:val="00F32ED8"/>
    <w:rsid w:val="00F32F8A"/>
    <w:rsid w:val="00F3300A"/>
    <w:rsid w:val="00F3381C"/>
    <w:rsid w:val="00F33AD8"/>
    <w:rsid w:val="00F33CDA"/>
    <w:rsid w:val="00F36486"/>
    <w:rsid w:val="00F36D67"/>
    <w:rsid w:val="00F36F55"/>
    <w:rsid w:val="00F40B44"/>
    <w:rsid w:val="00F4100D"/>
    <w:rsid w:val="00F435D4"/>
    <w:rsid w:val="00F43DB8"/>
    <w:rsid w:val="00F45886"/>
    <w:rsid w:val="00F476E4"/>
    <w:rsid w:val="00F5063D"/>
    <w:rsid w:val="00F5088B"/>
    <w:rsid w:val="00F50E04"/>
    <w:rsid w:val="00F517F9"/>
    <w:rsid w:val="00F54C80"/>
    <w:rsid w:val="00F553D8"/>
    <w:rsid w:val="00F55FB4"/>
    <w:rsid w:val="00F578D8"/>
    <w:rsid w:val="00F57911"/>
    <w:rsid w:val="00F60876"/>
    <w:rsid w:val="00F6150F"/>
    <w:rsid w:val="00F61ABF"/>
    <w:rsid w:val="00F62D7D"/>
    <w:rsid w:val="00F64FCE"/>
    <w:rsid w:val="00F656EA"/>
    <w:rsid w:val="00F65D94"/>
    <w:rsid w:val="00F65FDA"/>
    <w:rsid w:val="00F673DB"/>
    <w:rsid w:val="00F67C0C"/>
    <w:rsid w:val="00F722F1"/>
    <w:rsid w:val="00F72CEB"/>
    <w:rsid w:val="00F72D95"/>
    <w:rsid w:val="00F7460C"/>
    <w:rsid w:val="00F75362"/>
    <w:rsid w:val="00F754A1"/>
    <w:rsid w:val="00F75674"/>
    <w:rsid w:val="00F7601C"/>
    <w:rsid w:val="00F76A72"/>
    <w:rsid w:val="00F77862"/>
    <w:rsid w:val="00F77B43"/>
    <w:rsid w:val="00F81A47"/>
    <w:rsid w:val="00F81BCB"/>
    <w:rsid w:val="00F82F6A"/>
    <w:rsid w:val="00F8326B"/>
    <w:rsid w:val="00F83BFD"/>
    <w:rsid w:val="00F84099"/>
    <w:rsid w:val="00F85A4E"/>
    <w:rsid w:val="00F8659F"/>
    <w:rsid w:val="00F86B57"/>
    <w:rsid w:val="00F86DCC"/>
    <w:rsid w:val="00F87256"/>
    <w:rsid w:val="00F90308"/>
    <w:rsid w:val="00F90A16"/>
    <w:rsid w:val="00F90C21"/>
    <w:rsid w:val="00F91C1E"/>
    <w:rsid w:val="00F92162"/>
    <w:rsid w:val="00F92617"/>
    <w:rsid w:val="00F9269F"/>
    <w:rsid w:val="00F92F09"/>
    <w:rsid w:val="00F93A39"/>
    <w:rsid w:val="00F96391"/>
    <w:rsid w:val="00F96748"/>
    <w:rsid w:val="00F97132"/>
    <w:rsid w:val="00F97793"/>
    <w:rsid w:val="00FA2EA3"/>
    <w:rsid w:val="00FA2FDC"/>
    <w:rsid w:val="00FA371E"/>
    <w:rsid w:val="00FA3908"/>
    <w:rsid w:val="00FA5690"/>
    <w:rsid w:val="00FA6F83"/>
    <w:rsid w:val="00FB1299"/>
    <w:rsid w:val="00FB26C3"/>
    <w:rsid w:val="00FB2F4F"/>
    <w:rsid w:val="00FB32F5"/>
    <w:rsid w:val="00FB46CA"/>
    <w:rsid w:val="00FB4F3D"/>
    <w:rsid w:val="00FB7D91"/>
    <w:rsid w:val="00FC0802"/>
    <w:rsid w:val="00FC1477"/>
    <w:rsid w:val="00FC2388"/>
    <w:rsid w:val="00FC2BD9"/>
    <w:rsid w:val="00FC3DE2"/>
    <w:rsid w:val="00FC4E52"/>
    <w:rsid w:val="00FC5851"/>
    <w:rsid w:val="00FC75F7"/>
    <w:rsid w:val="00FD041C"/>
    <w:rsid w:val="00FD0B2A"/>
    <w:rsid w:val="00FD112C"/>
    <w:rsid w:val="00FD162B"/>
    <w:rsid w:val="00FD2801"/>
    <w:rsid w:val="00FD340D"/>
    <w:rsid w:val="00FD59E6"/>
    <w:rsid w:val="00FD5D9F"/>
    <w:rsid w:val="00FD64F0"/>
    <w:rsid w:val="00FD6AF6"/>
    <w:rsid w:val="00FD78CE"/>
    <w:rsid w:val="00FE0BC6"/>
    <w:rsid w:val="00FE0E62"/>
    <w:rsid w:val="00FE32B4"/>
    <w:rsid w:val="00FE32FA"/>
    <w:rsid w:val="00FE3651"/>
    <w:rsid w:val="00FE38C6"/>
    <w:rsid w:val="00FE67B6"/>
    <w:rsid w:val="00FE702E"/>
    <w:rsid w:val="00FF1F9E"/>
    <w:rsid w:val="00FF5207"/>
    <w:rsid w:val="00FF71E7"/>
    <w:rsid w:val="00FF7918"/>
    <w:rsid w:val="00FF7DA1"/>
    <w:rsid w:val="15EB729C"/>
    <w:rsid w:val="2317A030"/>
    <w:rsid w:val="33658BB9"/>
    <w:rsid w:val="44C71D21"/>
    <w:rsid w:val="57DDD7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8FE164"/>
  <w15:docId w15:val="{DA68BCC4-C4B8-472E-9D2F-AF7ED79C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526"/>
  </w:style>
  <w:style w:type="paragraph" w:styleId="Heading1">
    <w:name w:val="heading 1"/>
    <w:basedOn w:val="Normal"/>
    <w:next w:val="Normal"/>
    <w:link w:val="Heading1Char"/>
    <w:uiPriority w:val="9"/>
    <w:qFormat/>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Pr>
      <w:rFonts w:asciiTheme="majorHAnsi" w:hAnsiTheme="majorHAnsi"/>
      <w:b/>
      <w:smallCaps/>
      <w:sz w:val="24"/>
    </w:rPr>
  </w:style>
  <w:style w:type="character" w:customStyle="1" w:styleId="Heading3Char">
    <w:name w:val="Heading 3 Char"/>
    <w:basedOn w:val="DefaultParagraphFont"/>
    <w:link w:val="Heading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rPr>
      <w:rFonts w:ascii="Cambria" w:hAnsi="Cambria"/>
    </w:rPr>
  </w:style>
  <w:style w:type="character" w:styleId="CommentReference">
    <w:name w:val="annotation reference"/>
    <w:basedOn w:val="DefaultParagraphFont"/>
    <w:uiPriority w:val="99"/>
    <w:unhideWhenUsed/>
    <w:rPr>
      <w:sz w:val="16"/>
      <w:szCs w:val="16"/>
    </w:rPr>
  </w:style>
  <w:style w:type="paragraph" w:styleId="CommentText">
    <w:name w:val="annotation text"/>
    <w:aliases w:val="Annotationtext,- H19,Char,Char Char Ch,Comment Text Char Char,Comment Text Char Char Char Char,Comment Text Char Char1,Comment Text Char Char1 Char,Comment Text Char1 Char,Comment Text Char1 Char Char,Comment Text Char2 Char,Kommentarer"/>
    <w:basedOn w:val="Normal"/>
    <w:link w:val="CommentTextChar"/>
    <w:uiPriority w:val="99"/>
    <w:unhideWhenUsed/>
    <w:qFormat/>
    <w:pPr>
      <w:spacing w:line="240" w:lineRule="auto"/>
    </w:pPr>
    <w:rPr>
      <w:rFonts w:ascii="Cambria" w:hAnsi="Cambria"/>
      <w:sz w:val="20"/>
      <w:szCs w:val="20"/>
    </w:rPr>
  </w:style>
  <w:style w:type="character" w:customStyle="1" w:styleId="CommentTextChar">
    <w:name w:val="Comment Text Char"/>
    <w:aliases w:val="Annotationtext Char,- H19 Char,Char Char,Char Char Ch Char,Comment Text Char Char Char,Comment Text Char Char Char Char Char,Comment Text Char Char1 Char1,Comment Text Char Char1 Char Char,Comment Text Char1 Char Char1,Kommentarer Char"/>
    <w:basedOn w:val="DefaultParagraphFont"/>
    <w:link w:val="CommentText"/>
    <w:uiPriority w:val="99"/>
    <w:qFormat/>
    <w:rPr>
      <w:rFonts w:ascii="Cambria" w:hAnsi="Cambria"/>
      <w:sz w:val="20"/>
      <w:szCs w:val="20"/>
    </w:rPr>
  </w:style>
  <w:style w:type="paragraph" w:styleId="FootnoteText">
    <w:name w:val="footnote text"/>
    <w:basedOn w:val="Normal"/>
    <w:link w:val="FootnoteTextChar"/>
    <w:uiPriority w:val="99"/>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Pr>
      <w:rFonts w:ascii="Calibri" w:eastAsia="Calibri" w:hAnsi="Calibri" w:cs="Times New Roman"/>
      <w:sz w:val="20"/>
    </w:rPr>
  </w:style>
  <w:style w:type="character" w:styleId="FootnoteReference">
    <w:name w:val="footnote reference"/>
    <w:basedOn w:val="DefaultParagraphFont"/>
    <w:uiPriority w:val="99"/>
    <w:unhideWhenUsed/>
    <w:rPr>
      <w:vertAlign w:val="superscript"/>
    </w:rPr>
  </w:style>
  <w:style w:type="paragraph" w:styleId="ListBullet">
    <w:name w:val="List Bullet"/>
    <w:basedOn w:val="Normal"/>
    <w:uiPriority w:val="99"/>
    <w:unhideWhenUsed/>
    <w:pPr>
      <w:ind w:left="425" w:hanging="425"/>
      <w:contextualSpacing/>
    </w:pPr>
    <w:rPr>
      <w:rFonts w:ascii="Cambria" w:hAnsi="Cambria"/>
    </w:rPr>
  </w:style>
  <w:style w:type="character" w:styleId="Hyperlink">
    <w:name w:val="Hyperlink"/>
    <w:basedOn w:val="DefaultParagraphFont"/>
    <w:uiPriority w:val="99"/>
    <w:unhideWhenUsed/>
    <w:rPr>
      <w:color w:val="0000FF" w:themeColor="hyperlink"/>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Pr>
      <w:rFonts w:ascii="Cambria" w:hAnsi="Cambr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rFonts w:asciiTheme="minorHAnsi" w:hAnsiTheme="minorHAnsi"/>
      <w:b/>
      <w:bCs/>
    </w:rPr>
  </w:style>
  <w:style w:type="character" w:customStyle="1" w:styleId="CommentSubjectChar">
    <w:name w:val="Comment Subject Char"/>
    <w:basedOn w:val="CommentTextChar"/>
    <w:link w:val="CommentSubject"/>
    <w:uiPriority w:val="99"/>
    <w:semiHidden/>
    <w:rPr>
      <w:rFonts w:ascii="Cambria" w:hAnsi="Cambria"/>
      <w:b/>
      <w:bCs/>
      <w:sz w:val="20"/>
      <w:szCs w:val="20"/>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C-BodyText">
    <w:name w:val="C-Body Text"/>
    <w:link w:val="C-BodyTextChar"/>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Pr>
      <w:rFonts w:ascii="Times New Roman" w:eastAsia="Times New Roman" w:hAnsi="Times New Roman" w:cs="Times New Roman"/>
      <w:sz w:val="24"/>
      <w:szCs w:val="20"/>
      <w:lang w:val="en-US"/>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link w:val="ParagraphChar"/>
    <w:qFormat/>
    <w:pPr>
      <w:spacing w:after="240" w:line="240" w:lineRule="auto"/>
    </w:pPr>
    <w:rPr>
      <w:rFonts w:ascii="Times New Roman" w:eastAsia="Times New Roman" w:hAnsi="Times New Roman" w:cs="Times New Roman"/>
      <w:sz w:val="24"/>
      <w:szCs w:val="24"/>
      <w:lang w:val="en-US"/>
    </w:rPr>
  </w:style>
  <w:style w:type="character" w:customStyle="1" w:styleId="ParagraphChar">
    <w:name w:val="Paragraph Char"/>
    <w:basedOn w:val="DefaultParagraphFont"/>
    <w:link w:val="Paragraph"/>
    <w:locked/>
    <w:rPr>
      <w:rFonts w:ascii="Times New Roman" w:eastAsia="Times New Roman" w:hAnsi="Times New Roman" w:cs="Times New Roman"/>
      <w:sz w:val="24"/>
      <w:szCs w:val="24"/>
      <w:lang w:val="en-US"/>
    </w:rPr>
  </w:style>
  <w:style w:type="table" w:customStyle="1" w:styleId="TableGrid0">
    <w:name w:val="TableGrid"/>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Bulletlist">
    <w:name w:val="Bullet list"/>
    <w:basedOn w:val="Normal"/>
    <w:link w:val="BulletlistChar"/>
    <w:qFormat/>
    <w:pPr>
      <w:numPr>
        <w:numId w:val="3"/>
      </w:numPr>
      <w:spacing w:after="54" w:line="247" w:lineRule="auto"/>
    </w:pPr>
    <w:rPr>
      <w:rFonts w:ascii="Calibri" w:eastAsia="Calibri" w:hAnsi="Calibri" w:cs="Calibri"/>
      <w:color w:val="000000"/>
      <w:sz w:val="20"/>
      <w:lang w:eastAsia="en-AU"/>
    </w:rPr>
  </w:style>
  <w:style w:type="character" w:customStyle="1" w:styleId="BulletlistChar">
    <w:name w:val="Bullet list Char"/>
    <w:basedOn w:val="DefaultParagraphFont"/>
    <w:link w:val="Bulletlist"/>
    <w:rPr>
      <w:rFonts w:ascii="Calibri" w:eastAsia="Calibri" w:hAnsi="Calibri" w:cs="Calibri"/>
      <w:color w:val="000000"/>
      <w:sz w:val="20"/>
      <w:lang w:eastAsia="en-AU"/>
    </w:rPr>
  </w:style>
  <w:style w:type="table" w:customStyle="1" w:styleId="TableGrid1">
    <w:name w:val="TableGrid1"/>
    <w:pPr>
      <w:spacing w:after="0" w:line="240" w:lineRule="auto"/>
    </w:pPr>
    <w:rPr>
      <w:rFonts w:eastAsia="Times New Roman"/>
      <w:lang w:eastAsia="en-AU"/>
    </w:rPr>
    <w:tblPr>
      <w:tblCellMar>
        <w:top w:w="0" w:type="dxa"/>
        <w:left w:w="0" w:type="dxa"/>
        <w:bottom w:w="0" w:type="dxa"/>
        <w:right w:w="0" w:type="dxa"/>
      </w:tblCellMar>
    </w:tblPr>
  </w:style>
  <w:style w:type="paragraph" w:styleId="Caption">
    <w:name w:val="caption"/>
    <w:aliases w:val="12,Caption 12pt,Caption 12pt+,Caption-FUSA,Designation,Lengende,Légende,Table-title,figure"/>
    <w:basedOn w:val="Normal"/>
    <w:next w:val="Normal"/>
    <w:link w:val="CaptionChar"/>
    <w:uiPriority w:val="99"/>
    <w:unhideWhenUsed/>
    <w:qFormat/>
    <w:rsid w:val="00BF3161"/>
    <w:pPr>
      <w:spacing w:line="240" w:lineRule="auto"/>
    </w:pPr>
    <w:rPr>
      <w:i/>
      <w:iCs/>
      <w:color w:val="1F497D" w:themeColor="text2"/>
      <w:sz w:val="18"/>
      <w:szCs w:val="18"/>
    </w:rPr>
  </w:style>
  <w:style w:type="table" w:customStyle="1" w:styleId="TableGrid10">
    <w:name w:val="Table Grid1"/>
    <w:basedOn w:val="TableNormal"/>
    <w:next w:val="TableGrid"/>
    <w:rsid w:val="00D059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A706A"/>
    <w:pPr>
      <w:widowControl w:val="0"/>
      <w:autoSpaceDE w:val="0"/>
      <w:autoSpaceDN w:val="0"/>
      <w:spacing w:after="0" w:line="240" w:lineRule="auto"/>
      <w:ind w:left="223"/>
    </w:pPr>
    <w:rPr>
      <w:rFonts w:ascii="Cambria" w:eastAsia="Cambria" w:hAnsi="Cambria" w:cs="Cambria"/>
      <w:lang w:eastAsia="en-AU" w:bidi="en-AU"/>
    </w:rPr>
  </w:style>
  <w:style w:type="character" w:customStyle="1" w:styleId="BodyTextChar">
    <w:name w:val="Body Text Char"/>
    <w:basedOn w:val="DefaultParagraphFont"/>
    <w:link w:val="BodyText"/>
    <w:uiPriority w:val="1"/>
    <w:rsid w:val="000A706A"/>
    <w:rPr>
      <w:rFonts w:ascii="Cambria" w:eastAsia="Cambria" w:hAnsi="Cambria" w:cs="Cambria"/>
      <w:lang w:eastAsia="en-AU" w:bidi="en-AU"/>
    </w:rPr>
  </w:style>
  <w:style w:type="paragraph" w:customStyle="1" w:styleId="Default">
    <w:name w:val="Default"/>
    <w:rsid w:val="00D4728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DeltaViewDeletion">
    <w:name w:val="DeltaView Deletion"/>
    <w:uiPriority w:val="99"/>
    <w:rsid w:val="0083481D"/>
    <w:rPr>
      <w:strike/>
      <w:color w:val="FF0000"/>
    </w:rPr>
  </w:style>
  <w:style w:type="character" w:styleId="Strong">
    <w:name w:val="Strong"/>
    <w:basedOn w:val="DefaultParagraphFont"/>
    <w:uiPriority w:val="22"/>
    <w:qFormat/>
    <w:rsid w:val="00683B0C"/>
    <w:rPr>
      <w:b/>
      <w:bCs/>
    </w:rPr>
  </w:style>
  <w:style w:type="paragraph" w:customStyle="1" w:styleId="TableParagraph">
    <w:name w:val="Table Paragraph"/>
    <w:basedOn w:val="Normal"/>
    <w:uiPriority w:val="1"/>
    <w:qFormat/>
    <w:rsid w:val="00EC131A"/>
    <w:pPr>
      <w:widowControl w:val="0"/>
      <w:autoSpaceDE w:val="0"/>
      <w:autoSpaceDN w:val="0"/>
      <w:spacing w:after="0" w:line="240" w:lineRule="auto"/>
      <w:ind w:left="107"/>
    </w:pPr>
    <w:rPr>
      <w:rFonts w:ascii="Times New Roman" w:eastAsia="Times New Roman" w:hAnsi="Times New Roman" w:cs="Times New Roman"/>
      <w:lang w:val="en-US"/>
    </w:rPr>
  </w:style>
  <w:style w:type="paragraph" w:customStyle="1" w:styleId="C-TableHeader">
    <w:name w:val="C-Table Header"/>
    <w:next w:val="C-TableText"/>
    <w:uiPriority w:val="99"/>
    <w:rsid w:val="00520B12"/>
    <w:pPr>
      <w:keepNext/>
      <w:spacing w:before="60" w:after="60" w:line="240" w:lineRule="auto"/>
    </w:pPr>
    <w:rPr>
      <w:rFonts w:ascii="Times New Roman" w:eastAsia="SimSun" w:hAnsi="Times New Roman" w:cs="Times New Roman"/>
      <w:b/>
      <w:szCs w:val="20"/>
      <w:lang w:val="en-US"/>
    </w:rPr>
  </w:style>
  <w:style w:type="paragraph" w:customStyle="1" w:styleId="C-TableText">
    <w:name w:val="C-Table Text"/>
    <w:link w:val="C-TableTextChar"/>
    <w:rsid w:val="00520B12"/>
    <w:pPr>
      <w:spacing w:before="60" w:after="60" w:line="240" w:lineRule="auto"/>
    </w:pPr>
    <w:rPr>
      <w:rFonts w:ascii="Times New Roman" w:eastAsia="SimSun" w:hAnsi="Times New Roman" w:cs="Times New Roman"/>
      <w:szCs w:val="20"/>
      <w:lang w:val="en-US"/>
    </w:rPr>
  </w:style>
  <w:style w:type="character" w:customStyle="1" w:styleId="CaptionChar">
    <w:name w:val="Caption Char"/>
    <w:aliases w:val="12 Char,Caption 12pt Char,Caption 12pt+ Char,Caption-FUSA Char,Designation Char,Lengende Char,Légende Char,Table-title Char,figure Char"/>
    <w:link w:val="Caption"/>
    <w:uiPriority w:val="99"/>
    <w:locked/>
    <w:rsid w:val="00520B12"/>
    <w:rPr>
      <w:i/>
      <w:iCs/>
      <w:color w:val="1F497D" w:themeColor="text2"/>
      <w:sz w:val="18"/>
      <w:szCs w:val="18"/>
    </w:rPr>
  </w:style>
  <w:style w:type="character" w:customStyle="1" w:styleId="C-TableTextChar">
    <w:name w:val="C-Table Text Char"/>
    <w:link w:val="C-TableText"/>
    <w:locked/>
    <w:rsid w:val="00520B12"/>
    <w:rPr>
      <w:rFonts w:ascii="Times New Roman" w:eastAsia="SimSun" w:hAnsi="Times New Roman" w:cs="Times New Roman"/>
      <w:szCs w:val="20"/>
      <w:lang w:val="en-US"/>
    </w:rPr>
  </w:style>
  <w:style w:type="paragraph" w:customStyle="1" w:styleId="C-Footnote">
    <w:name w:val="C-Footnote"/>
    <w:basedOn w:val="Normal"/>
    <w:uiPriority w:val="99"/>
    <w:rsid w:val="00043AD5"/>
    <w:pPr>
      <w:tabs>
        <w:tab w:val="left" w:pos="144"/>
      </w:tabs>
      <w:spacing w:after="0" w:line="240" w:lineRule="auto"/>
    </w:pPr>
    <w:rPr>
      <w:rFonts w:ascii="Times New Roman" w:eastAsia="SimSun" w:hAnsi="Times New Roman" w:cs="Arial"/>
      <w:sz w:val="20"/>
      <w:szCs w:val="20"/>
      <w:lang w:val="en-US"/>
    </w:rPr>
  </w:style>
  <w:style w:type="character" w:customStyle="1" w:styleId="normaltextrun">
    <w:name w:val="normaltextrun"/>
    <w:rsid w:val="00326BFD"/>
    <w:rPr>
      <w:rFonts w:cs="Times New Roman"/>
    </w:rPr>
  </w:style>
  <w:style w:type="paragraph" w:customStyle="1" w:styleId="paragraph0">
    <w:name w:val="paragraph"/>
    <w:basedOn w:val="Normal"/>
    <w:uiPriority w:val="99"/>
    <w:rsid w:val="000D5817"/>
    <w:pPr>
      <w:spacing w:after="0" w:line="240" w:lineRule="auto"/>
    </w:pPr>
    <w:rPr>
      <w:rFonts w:ascii="Times New Roman" w:eastAsia="SimSun" w:hAnsi="Times New Roman" w:cs="Times New Roman"/>
      <w:sz w:val="24"/>
      <w:szCs w:val="24"/>
      <w:lang w:val="en-GB"/>
    </w:rPr>
  </w:style>
  <w:style w:type="character" w:customStyle="1" w:styleId="C-TableCallout">
    <w:name w:val="C-Table Callout"/>
    <w:uiPriority w:val="99"/>
    <w:rsid w:val="00094B55"/>
    <w:rPr>
      <w:rFonts w:ascii="Times New Roman" w:hAnsi="Times New Roman"/>
      <w:color w:val="auto"/>
      <w:spacing w:val="0"/>
      <w:w w:val="100"/>
      <w:sz w:val="22"/>
      <w:u w:val="none"/>
      <w:effect w:val="none"/>
      <w:vertAlign w:val="superscript"/>
    </w:rPr>
  </w:style>
  <w:style w:type="character" w:customStyle="1" w:styleId="normaltextrun1">
    <w:name w:val="normaltextrun1"/>
    <w:uiPriority w:val="99"/>
    <w:rsid w:val="00855445"/>
    <w:rPr>
      <w:rFonts w:cs="Times New Roman"/>
    </w:rPr>
  </w:style>
  <w:style w:type="character" w:customStyle="1" w:styleId="eop">
    <w:name w:val="eop"/>
    <w:uiPriority w:val="99"/>
    <w:rsid w:val="00855445"/>
    <w:rPr>
      <w:rFonts w:cs="Times New Roman"/>
    </w:rPr>
  </w:style>
  <w:style w:type="paragraph" w:styleId="Title">
    <w:name w:val="Title"/>
    <w:basedOn w:val="Normal"/>
    <w:next w:val="Normal"/>
    <w:link w:val="TitleChar"/>
    <w:uiPriority w:val="10"/>
    <w:qFormat/>
    <w:rsid w:val="00F93A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A3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30">
      <w:bodyDiv w:val="1"/>
      <w:marLeft w:val="0"/>
      <w:marRight w:val="0"/>
      <w:marTop w:val="0"/>
      <w:marBottom w:val="0"/>
      <w:divBdr>
        <w:top w:val="none" w:sz="0" w:space="0" w:color="auto"/>
        <w:left w:val="none" w:sz="0" w:space="0" w:color="auto"/>
        <w:bottom w:val="none" w:sz="0" w:space="0" w:color="auto"/>
        <w:right w:val="none" w:sz="0" w:space="0" w:color="auto"/>
      </w:divBdr>
    </w:div>
    <w:div w:id="467818486">
      <w:bodyDiv w:val="1"/>
      <w:marLeft w:val="0"/>
      <w:marRight w:val="0"/>
      <w:marTop w:val="0"/>
      <w:marBottom w:val="0"/>
      <w:divBdr>
        <w:top w:val="none" w:sz="0" w:space="0" w:color="auto"/>
        <w:left w:val="none" w:sz="0" w:space="0" w:color="auto"/>
        <w:bottom w:val="none" w:sz="0" w:space="0" w:color="auto"/>
        <w:right w:val="none" w:sz="0" w:space="0" w:color="auto"/>
      </w:divBdr>
    </w:div>
    <w:div w:id="853807042">
      <w:bodyDiv w:val="1"/>
      <w:marLeft w:val="0"/>
      <w:marRight w:val="0"/>
      <w:marTop w:val="0"/>
      <w:marBottom w:val="0"/>
      <w:divBdr>
        <w:top w:val="none" w:sz="0" w:space="0" w:color="auto"/>
        <w:left w:val="none" w:sz="0" w:space="0" w:color="auto"/>
        <w:bottom w:val="none" w:sz="0" w:space="0" w:color="auto"/>
        <w:right w:val="none" w:sz="0" w:space="0" w:color="auto"/>
      </w:divBdr>
    </w:div>
    <w:div w:id="1208954851">
      <w:bodyDiv w:val="1"/>
      <w:marLeft w:val="0"/>
      <w:marRight w:val="0"/>
      <w:marTop w:val="0"/>
      <w:marBottom w:val="0"/>
      <w:divBdr>
        <w:top w:val="none" w:sz="0" w:space="0" w:color="auto"/>
        <w:left w:val="none" w:sz="0" w:space="0" w:color="auto"/>
        <w:bottom w:val="none" w:sz="0" w:space="0" w:color="auto"/>
        <w:right w:val="none" w:sz="0" w:space="0" w:color="auto"/>
      </w:divBdr>
    </w:div>
    <w:div w:id="1235512973">
      <w:bodyDiv w:val="1"/>
      <w:marLeft w:val="0"/>
      <w:marRight w:val="0"/>
      <w:marTop w:val="0"/>
      <w:marBottom w:val="0"/>
      <w:divBdr>
        <w:top w:val="none" w:sz="0" w:space="0" w:color="auto"/>
        <w:left w:val="none" w:sz="0" w:space="0" w:color="auto"/>
        <w:bottom w:val="none" w:sz="0" w:space="0" w:color="auto"/>
        <w:right w:val="none" w:sz="0" w:space="0" w:color="auto"/>
      </w:divBdr>
      <w:divsChild>
        <w:div w:id="292103292">
          <w:marLeft w:val="0"/>
          <w:marRight w:val="0"/>
          <w:marTop w:val="0"/>
          <w:marBottom w:val="0"/>
          <w:divBdr>
            <w:top w:val="none" w:sz="0" w:space="0" w:color="auto"/>
            <w:left w:val="none" w:sz="0" w:space="0" w:color="auto"/>
            <w:bottom w:val="none" w:sz="0" w:space="0" w:color="auto"/>
            <w:right w:val="none" w:sz="0" w:space="0" w:color="auto"/>
          </w:divBdr>
        </w:div>
      </w:divsChild>
    </w:div>
    <w:div w:id="1395160226">
      <w:bodyDiv w:val="1"/>
      <w:marLeft w:val="0"/>
      <w:marRight w:val="0"/>
      <w:marTop w:val="0"/>
      <w:marBottom w:val="0"/>
      <w:divBdr>
        <w:top w:val="none" w:sz="0" w:space="0" w:color="auto"/>
        <w:left w:val="none" w:sz="0" w:space="0" w:color="auto"/>
        <w:bottom w:val="none" w:sz="0" w:space="0" w:color="auto"/>
        <w:right w:val="none" w:sz="0" w:space="0" w:color="auto"/>
      </w:divBdr>
      <w:divsChild>
        <w:div w:id="711617359">
          <w:marLeft w:val="240"/>
          <w:marRight w:val="0"/>
          <w:marTop w:val="0"/>
          <w:marBottom w:val="0"/>
          <w:divBdr>
            <w:top w:val="none" w:sz="0" w:space="0" w:color="auto"/>
            <w:left w:val="none" w:sz="0" w:space="0" w:color="auto"/>
            <w:bottom w:val="none" w:sz="0" w:space="0" w:color="auto"/>
            <w:right w:val="none" w:sz="0" w:space="0" w:color="auto"/>
          </w:divBdr>
        </w:div>
      </w:divsChild>
    </w:div>
    <w:div w:id="1717272004">
      <w:bodyDiv w:val="1"/>
      <w:marLeft w:val="0"/>
      <w:marRight w:val="0"/>
      <w:marTop w:val="0"/>
      <w:marBottom w:val="0"/>
      <w:divBdr>
        <w:top w:val="none" w:sz="0" w:space="0" w:color="auto"/>
        <w:left w:val="none" w:sz="0" w:space="0" w:color="auto"/>
        <w:bottom w:val="none" w:sz="0" w:space="0" w:color="auto"/>
        <w:right w:val="none" w:sz="0" w:space="0" w:color="auto"/>
      </w:divBdr>
    </w:div>
    <w:div w:id="1795176898">
      <w:bodyDiv w:val="1"/>
      <w:marLeft w:val="0"/>
      <w:marRight w:val="0"/>
      <w:marTop w:val="0"/>
      <w:marBottom w:val="0"/>
      <w:divBdr>
        <w:top w:val="none" w:sz="0" w:space="0" w:color="auto"/>
        <w:left w:val="none" w:sz="0" w:space="0" w:color="auto"/>
        <w:bottom w:val="none" w:sz="0" w:space="0" w:color="auto"/>
        <w:right w:val="none" w:sz="0" w:space="0" w:color="auto"/>
      </w:divBdr>
      <w:divsChild>
        <w:div w:id="1568026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ink/ink2.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25" Type="http://schemas.openxmlformats.org/officeDocument/2006/relationships/header" Target="header1.xml"/><Relationship Id="rId2" Type="http://schemas.openxmlformats.org/officeDocument/2006/relationships/customXml" Target="../customXml/item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image" Target="media/image3.png"/><Relationship Id="rId5" Type="http://schemas.openxmlformats.org/officeDocument/2006/relationships/numbering" Target="numbering.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ustomXml" Target="ink/ink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ggins\Box\'Sophie%20Higgins\DCC-2618\NDA\Label\pi-template-new-format%20(1).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8T17:00:59.945"/>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8T17:00:59.946"/>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8T17:00:59.947"/>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001450f-e94b-4430-ad84-0175b80ea97f">
      <UserInfo>
        <DisplayName>Cristina Høy Fischer</DisplayName>
        <AccountId>62</AccountId>
        <AccountType/>
      </UserInfo>
      <UserInfo>
        <DisplayName>Marianne Kronborg Bracken</DisplayName>
        <AccountId>241</AccountId>
        <AccountType/>
      </UserInfo>
      <UserInfo>
        <DisplayName>Kristin Laura Abel</DisplayName>
        <AccountId>32</AccountId>
        <AccountType/>
      </UserInfo>
    </SharedWithUsers>
    <TaxCatchAll xmlns="d001450f-e94b-4430-ad84-0175b80ea97f" xsi:nil="true"/>
    <lcf76f155ced4ddcb4097134ff3c332f xmlns="461e9282-00d7-4740-85f5-07480f796b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5F4B7DDFD56849B8EFCB3D010FE568" ma:contentTypeVersion="13" ma:contentTypeDescription="Create a new document." ma:contentTypeScope="" ma:versionID="72348bdd04458212b8ea8880affefb41">
  <xsd:schema xmlns:xsd="http://www.w3.org/2001/XMLSchema" xmlns:xs="http://www.w3.org/2001/XMLSchema" xmlns:p="http://schemas.microsoft.com/office/2006/metadata/properties" xmlns:ns2="461e9282-00d7-4740-85f5-07480f796b5f" xmlns:ns3="d001450f-e94b-4430-ad84-0175b80ea97f" targetNamespace="http://schemas.microsoft.com/office/2006/metadata/properties" ma:root="true" ma:fieldsID="a7fd390cb9b00026504ab8b6d1be056a" ns2:_="" ns3:_="">
    <xsd:import namespace="461e9282-00d7-4740-85f5-07480f796b5f"/>
    <xsd:import namespace="d001450f-e94b-4430-ad84-0175b80ea9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e9282-00d7-4740-85f5-07480f796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c63e6b-a16b-48fa-9a17-4974493060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1450f-e94b-4430-ad84-0175b80ea9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0ae000-f3c0-4d49-b164-c558703ed0f1}" ma:internalName="TaxCatchAll" ma:showField="CatchAllData" ma:web="d001450f-e94b-4430-ad84-0175b80ea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6478D-D5EB-544B-8932-3A001AD7540B}">
  <ds:schemaRefs>
    <ds:schemaRef ds:uri="http://schemas.openxmlformats.org/officeDocument/2006/bibliography"/>
  </ds:schemaRefs>
</ds:datastoreItem>
</file>

<file path=customXml/itemProps2.xml><?xml version="1.0" encoding="utf-8"?>
<ds:datastoreItem xmlns:ds="http://schemas.openxmlformats.org/officeDocument/2006/customXml" ds:itemID="{3CF61F14-50C5-4C38-9AF0-9A12B4D91F08}">
  <ds:schemaRefs>
    <ds:schemaRef ds:uri="http://schemas.microsoft.com/sharepoint/v3/contenttype/forms"/>
  </ds:schemaRefs>
</ds:datastoreItem>
</file>

<file path=customXml/itemProps3.xml><?xml version="1.0" encoding="utf-8"?>
<ds:datastoreItem xmlns:ds="http://schemas.openxmlformats.org/officeDocument/2006/customXml" ds:itemID="{C2AB7FF3-4011-48CA-A74D-1BB3248FB2CC}">
  <ds:schemaRefs>
    <ds:schemaRef ds:uri="http://schemas.microsoft.com/office/2006/metadata/properties"/>
    <ds:schemaRef ds:uri="http://schemas.microsoft.com/office/infopath/2007/PartnerControls"/>
    <ds:schemaRef ds:uri="d001450f-e94b-4430-ad84-0175b80ea97f"/>
    <ds:schemaRef ds:uri="461e9282-00d7-4740-85f5-07480f796b5f"/>
  </ds:schemaRefs>
</ds:datastoreItem>
</file>

<file path=customXml/itemProps4.xml><?xml version="1.0" encoding="utf-8"?>
<ds:datastoreItem xmlns:ds="http://schemas.openxmlformats.org/officeDocument/2006/customXml" ds:itemID="{1CAAF7B5-4C8F-40B9-B716-60028F7B0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e9282-00d7-4740-85f5-07480f796b5f"/>
    <ds:schemaRef ds:uri="d001450f-e94b-4430-ad84-0175b80ea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pi-template-new-format (1).dotx</Template>
  <TotalTime>7</TotalTime>
  <Pages>21</Pages>
  <Words>6734</Words>
  <Characters>44281</Characters>
  <Application>Microsoft Office Word</Application>
  <DocSecurity>0</DocSecurity>
  <Lines>942</Lines>
  <Paragraphs>495</Paragraphs>
  <ScaleCrop>false</ScaleCrop>
  <HeadingPairs>
    <vt:vector size="2" baseType="variant">
      <vt:variant>
        <vt:lpstr>Title</vt:lpstr>
      </vt:variant>
      <vt:variant>
        <vt:i4>1</vt:i4>
      </vt:variant>
    </vt:vector>
  </HeadingPairs>
  <TitlesOfParts>
    <vt:vector size="1" baseType="lpstr">
      <vt:lpstr/>
    </vt:vector>
  </TitlesOfParts>
  <Company>Specialised Therapeutics Pharma Pty Ltd</Company>
  <LinksUpToDate>false</LinksUpToDate>
  <CharactersWithSpaces>50520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Skytrofa</dc:title>
  <dc:subject>prescription medicines</dc:subject>
  <dc:creator>Specialised Therapeutics Pharma Pty Ltd</dc:creator>
  <cp:keywords/>
  <cp:lastModifiedBy>LACK, Janet</cp:lastModifiedBy>
  <cp:revision>3</cp:revision>
  <cp:lastPrinted>2024-12-18T06:30:00Z</cp:lastPrinted>
  <dcterms:created xsi:type="dcterms:W3CDTF">2025-08-25T05:42:00Z</dcterms:created>
  <dcterms:modified xsi:type="dcterms:W3CDTF">2025-08-25T05:49:00Z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0x0101007A5F4B7DDFD56849B8EFCB3D010FE568</vt:lpwstr>
  </property>
  <property fmtid="{D5CDD505-2E9C-101B-9397-08002B2CF9AE}" pid="3" name="MediaServiceImageTags">
    <vt:lpwstr/>
  </property>
</Properties>
</file>