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74A05533" w:rsidR="00F02AEC" w:rsidRPr="00215D48" w:rsidRDefault="00346EC2" w:rsidP="007452E8">
            <w:pPr>
              <w:pStyle w:val="Title"/>
            </w:pPr>
            <w:r w:rsidRPr="00346EC2">
              <w:t xml:space="preserve">Australian Public Assessment Report for </w:t>
            </w:r>
            <w:r w:rsidR="0039066D">
              <w:t>R</w:t>
            </w:r>
            <w:r w:rsidR="00802E03">
              <w:t>ystiggo</w:t>
            </w:r>
          </w:p>
        </w:tc>
      </w:tr>
      <w:tr w:rsidR="00F02AEC" w:rsidRPr="00215D48" w14:paraId="318A40A3" w14:textId="77777777" w:rsidTr="00346EC2">
        <w:trPr>
          <w:trHeight w:val="995"/>
        </w:trPr>
        <w:tc>
          <w:tcPr>
            <w:tcW w:w="8720" w:type="dxa"/>
          </w:tcPr>
          <w:p w14:paraId="1AA7C701" w14:textId="4FA04BBB" w:rsidR="00F02AEC" w:rsidRPr="00215D48" w:rsidRDefault="00346EC2" w:rsidP="007452E8">
            <w:pPr>
              <w:pStyle w:val="Subtitle"/>
              <w:ind w:left="0"/>
            </w:pPr>
            <w:r w:rsidRPr="00346EC2">
              <w:t xml:space="preserve">Active ingredient: </w:t>
            </w:r>
            <w:r w:rsidR="00262326">
              <w:t>rozanolixizumab</w:t>
            </w:r>
          </w:p>
        </w:tc>
      </w:tr>
      <w:tr w:rsidR="00346EC2" w:rsidRPr="00215D48" w14:paraId="362CCAE4" w14:textId="77777777" w:rsidTr="007452E8">
        <w:trPr>
          <w:trHeight w:val="1916"/>
        </w:trPr>
        <w:tc>
          <w:tcPr>
            <w:tcW w:w="8720" w:type="dxa"/>
          </w:tcPr>
          <w:p w14:paraId="709C45C0" w14:textId="1073FC8F" w:rsidR="00346EC2" w:rsidRPr="00215D48" w:rsidRDefault="00346EC2" w:rsidP="00E83A80">
            <w:pPr>
              <w:pStyle w:val="Subtitle"/>
              <w:ind w:left="0"/>
            </w:pPr>
            <w:r w:rsidRPr="00B806A6">
              <w:t xml:space="preserve">Sponsor: </w:t>
            </w:r>
            <w:r w:rsidR="00B03C5F" w:rsidRPr="00B806A6">
              <w:t>UCB Australia Pty Ltd T/A UCB Pharma Division of UCB Australia</w:t>
            </w:r>
          </w:p>
        </w:tc>
      </w:tr>
      <w:tr w:rsidR="00F02AEC" w:rsidRPr="00215D48" w14:paraId="37F2AA1F" w14:textId="77777777" w:rsidTr="007452E8">
        <w:tc>
          <w:tcPr>
            <w:tcW w:w="8720" w:type="dxa"/>
          </w:tcPr>
          <w:p w14:paraId="1FDE8DCD" w14:textId="629058EE" w:rsidR="00F02AEC" w:rsidRPr="00215D48" w:rsidRDefault="00F01EC4" w:rsidP="007452E8">
            <w:pPr>
              <w:pStyle w:val="Date"/>
            </w:pPr>
            <w:r>
              <w:t>July</w:t>
            </w:r>
            <w:r w:rsidR="0039066D">
              <w:t xml:space="preserve">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608F9E7F" w:rsidR="00175CD8" w:rsidRPr="00346EC2" w:rsidRDefault="00F02AEC" w:rsidP="00346EC2">
      <w:pPr>
        <w:pStyle w:val="LegalCopy"/>
        <w:rPr>
          <w:rFonts w:cs="Arial"/>
        </w:rPr>
      </w:pPr>
      <w:r w:rsidRPr="00456794">
        <w:rPr>
          <w:rFonts w:cs="Arial"/>
        </w:rPr>
        <w:t>© Commonwealth of Australia 202</w:t>
      </w:r>
      <w:r w:rsidR="00456794" w:rsidRPr="00456794">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55528F">
          <w:pPr>
            <w:pStyle w:val="NonTOCheading2"/>
          </w:pPr>
          <w:r w:rsidRPr="00215D48">
            <w:t>Contents</w:t>
          </w:r>
        </w:p>
        <w:p w14:paraId="39E94D61" w14:textId="120F16F7" w:rsidR="00827A5A"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04161803" w:history="1">
            <w:r w:rsidR="00827A5A" w:rsidRPr="00F074BB">
              <w:rPr>
                <w:rStyle w:val="Hyperlink"/>
                <w:noProof/>
              </w:rPr>
              <w:t>List of abbreviations</w:t>
            </w:r>
            <w:r w:rsidR="00827A5A">
              <w:rPr>
                <w:noProof/>
                <w:webHidden/>
              </w:rPr>
              <w:tab/>
            </w:r>
            <w:r w:rsidR="00827A5A">
              <w:rPr>
                <w:noProof/>
                <w:webHidden/>
              </w:rPr>
              <w:fldChar w:fldCharType="begin"/>
            </w:r>
            <w:r w:rsidR="00827A5A">
              <w:rPr>
                <w:noProof/>
                <w:webHidden/>
              </w:rPr>
              <w:instrText xml:space="preserve"> PAGEREF _Toc204161803 \h </w:instrText>
            </w:r>
            <w:r w:rsidR="00827A5A">
              <w:rPr>
                <w:noProof/>
                <w:webHidden/>
              </w:rPr>
            </w:r>
            <w:r w:rsidR="00827A5A">
              <w:rPr>
                <w:noProof/>
                <w:webHidden/>
              </w:rPr>
              <w:fldChar w:fldCharType="separate"/>
            </w:r>
            <w:r w:rsidR="00CA7747">
              <w:rPr>
                <w:noProof/>
                <w:webHidden/>
              </w:rPr>
              <w:t>4</w:t>
            </w:r>
            <w:r w:rsidR="00827A5A">
              <w:rPr>
                <w:noProof/>
                <w:webHidden/>
              </w:rPr>
              <w:fldChar w:fldCharType="end"/>
            </w:r>
          </w:hyperlink>
        </w:p>
        <w:p w14:paraId="464A6465" w14:textId="1A6FAC64" w:rsidR="00827A5A" w:rsidRDefault="00827A5A">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161804" w:history="1">
            <w:r w:rsidRPr="00F074BB">
              <w:rPr>
                <w:rStyle w:val="Hyperlink"/>
                <w:noProof/>
              </w:rPr>
              <w:t>Product submission</w:t>
            </w:r>
            <w:r>
              <w:rPr>
                <w:noProof/>
                <w:webHidden/>
              </w:rPr>
              <w:tab/>
            </w:r>
            <w:r>
              <w:rPr>
                <w:noProof/>
                <w:webHidden/>
              </w:rPr>
              <w:fldChar w:fldCharType="begin"/>
            </w:r>
            <w:r>
              <w:rPr>
                <w:noProof/>
                <w:webHidden/>
              </w:rPr>
              <w:instrText xml:space="preserve"> PAGEREF _Toc204161804 \h </w:instrText>
            </w:r>
            <w:r>
              <w:rPr>
                <w:noProof/>
                <w:webHidden/>
              </w:rPr>
            </w:r>
            <w:r>
              <w:rPr>
                <w:noProof/>
                <w:webHidden/>
              </w:rPr>
              <w:fldChar w:fldCharType="separate"/>
            </w:r>
            <w:r w:rsidR="00CA7747">
              <w:rPr>
                <w:noProof/>
                <w:webHidden/>
              </w:rPr>
              <w:t>6</w:t>
            </w:r>
            <w:r>
              <w:rPr>
                <w:noProof/>
                <w:webHidden/>
              </w:rPr>
              <w:fldChar w:fldCharType="end"/>
            </w:r>
          </w:hyperlink>
        </w:p>
        <w:p w14:paraId="2EFA4E95" w14:textId="1A62328B" w:rsidR="00827A5A" w:rsidRDefault="00827A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61805" w:history="1">
            <w:r w:rsidRPr="00F074BB">
              <w:rPr>
                <w:rStyle w:val="Hyperlink"/>
                <w:noProof/>
                <w:lang w:eastAsia="en-AU"/>
              </w:rPr>
              <w:t>Submission details</w:t>
            </w:r>
            <w:r>
              <w:rPr>
                <w:noProof/>
                <w:webHidden/>
              </w:rPr>
              <w:tab/>
            </w:r>
            <w:r>
              <w:rPr>
                <w:noProof/>
                <w:webHidden/>
              </w:rPr>
              <w:fldChar w:fldCharType="begin"/>
            </w:r>
            <w:r>
              <w:rPr>
                <w:noProof/>
                <w:webHidden/>
              </w:rPr>
              <w:instrText xml:space="preserve"> PAGEREF _Toc204161805 \h </w:instrText>
            </w:r>
            <w:r>
              <w:rPr>
                <w:noProof/>
                <w:webHidden/>
              </w:rPr>
            </w:r>
            <w:r>
              <w:rPr>
                <w:noProof/>
                <w:webHidden/>
              </w:rPr>
              <w:fldChar w:fldCharType="separate"/>
            </w:r>
            <w:r w:rsidR="00CA7747">
              <w:rPr>
                <w:noProof/>
                <w:webHidden/>
              </w:rPr>
              <w:t>6</w:t>
            </w:r>
            <w:r>
              <w:rPr>
                <w:noProof/>
                <w:webHidden/>
              </w:rPr>
              <w:fldChar w:fldCharType="end"/>
            </w:r>
          </w:hyperlink>
        </w:p>
        <w:p w14:paraId="53A58671" w14:textId="7400340A" w:rsidR="00827A5A" w:rsidRDefault="00827A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61806" w:history="1">
            <w:r w:rsidRPr="00F074BB">
              <w:rPr>
                <w:rStyle w:val="Hyperlink"/>
                <w:noProof/>
              </w:rPr>
              <w:t>Product background</w:t>
            </w:r>
            <w:r>
              <w:rPr>
                <w:noProof/>
                <w:webHidden/>
              </w:rPr>
              <w:tab/>
            </w:r>
            <w:r>
              <w:rPr>
                <w:noProof/>
                <w:webHidden/>
              </w:rPr>
              <w:fldChar w:fldCharType="begin"/>
            </w:r>
            <w:r>
              <w:rPr>
                <w:noProof/>
                <w:webHidden/>
              </w:rPr>
              <w:instrText xml:space="preserve"> PAGEREF _Toc204161806 \h </w:instrText>
            </w:r>
            <w:r>
              <w:rPr>
                <w:noProof/>
                <w:webHidden/>
              </w:rPr>
            </w:r>
            <w:r>
              <w:rPr>
                <w:noProof/>
                <w:webHidden/>
              </w:rPr>
              <w:fldChar w:fldCharType="separate"/>
            </w:r>
            <w:r w:rsidR="00CA7747">
              <w:rPr>
                <w:noProof/>
                <w:webHidden/>
              </w:rPr>
              <w:t>7</w:t>
            </w:r>
            <w:r>
              <w:rPr>
                <w:noProof/>
                <w:webHidden/>
              </w:rPr>
              <w:fldChar w:fldCharType="end"/>
            </w:r>
          </w:hyperlink>
        </w:p>
        <w:p w14:paraId="10236E80" w14:textId="1D3F55D6"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07" w:history="1">
            <w:r w:rsidRPr="00F074BB">
              <w:rPr>
                <w:rStyle w:val="Hyperlink"/>
                <w:noProof/>
              </w:rPr>
              <w:t>Myasthenia gravis (MG)</w:t>
            </w:r>
            <w:r>
              <w:rPr>
                <w:noProof/>
                <w:webHidden/>
              </w:rPr>
              <w:tab/>
            </w:r>
            <w:r>
              <w:rPr>
                <w:noProof/>
                <w:webHidden/>
              </w:rPr>
              <w:fldChar w:fldCharType="begin"/>
            </w:r>
            <w:r>
              <w:rPr>
                <w:noProof/>
                <w:webHidden/>
              </w:rPr>
              <w:instrText xml:space="preserve"> PAGEREF _Toc204161807 \h </w:instrText>
            </w:r>
            <w:r>
              <w:rPr>
                <w:noProof/>
                <w:webHidden/>
              </w:rPr>
            </w:r>
            <w:r>
              <w:rPr>
                <w:noProof/>
                <w:webHidden/>
              </w:rPr>
              <w:fldChar w:fldCharType="separate"/>
            </w:r>
            <w:r w:rsidR="00CA7747">
              <w:rPr>
                <w:noProof/>
                <w:webHidden/>
              </w:rPr>
              <w:t>7</w:t>
            </w:r>
            <w:r>
              <w:rPr>
                <w:noProof/>
                <w:webHidden/>
              </w:rPr>
              <w:fldChar w:fldCharType="end"/>
            </w:r>
          </w:hyperlink>
        </w:p>
        <w:p w14:paraId="3A52E8FC" w14:textId="44CF0FF8"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08" w:history="1">
            <w:r w:rsidRPr="00F074BB">
              <w:rPr>
                <w:rStyle w:val="Hyperlink"/>
                <w:noProof/>
              </w:rPr>
              <w:t>Current treatment options</w:t>
            </w:r>
            <w:r>
              <w:rPr>
                <w:noProof/>
                <w:webHidden/>
              </w:rPr>
              <w:tab/>
            </w:r>
            <w:r>
              <w:rPr>
                <w:noProof/>
                <w:webHidden/>
              </w:rPr>
              <w:fldChar w:fldCharType="begin"/>
            </w:r>
            <w:r>
              <w:rPr>
                <w:noProof/>
                <w:webHidden/>
              </w:rPr>
              <w:instrText xml:space="preserve"> PAGEREF _Toc204161808 \h </w:instrText>
            </w:r>
            <w:r>
              <w:rPr>
                <w:noProof/>
                <w:webHidden/>
              </w:rPr>
            </w:r>
            <w:r>
              <w:rPr>
                <w:noProof/>
                <w:webHidden/>
              </w:rPr>
              <w:fldChar w:fldCharType="separate"/>
            </w:r>
            <w:r w:rsidR="00CA7747">
              <w:rPr>
                <w:noProof/>
                <w:webHidden/>
              </w:rPr>
              <w:t>7</w:t>
            </w:r>
            <w:r>
              <w:rPr>
                <w:noProof/>
                <w:webHidden/>
              </w:rPr>
              <w:fldChar w:fldCharType="end"/>
            </w:r>
          </w:hyperlink>
        </w:p>
        <w:p w14:paraId="19C0E623" w14:textId="0064CA20"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09" w:history="1">
            <w:r w:rsidRPr="00F074BB">
              <w:rPr>
                <w:rStyle w:val="Hyperlink"/>
                <w:noProof/>
              </w:rPr>
              <w:t>Clinical rationale</w:t>
            </w:r>
            <w:r>
              <w:rPr>
                <w:noProof/>
                <w:webHidden/>
              </w:rPr>
              <w:tab/>
            </w:r>
            <w:r>
              <w:rPr>
                <w:noProof/>
                <w:webHidden/>
              </w:rPr>
              <w:fldChar w:fldCharType="begin"/>
            </w:r>
            <w:r>
              <w:rPr>
                <w:noProof/>
                <w:webHidden/>
              </w:rPr>
              <w:instrText xml:space="preserve"> PAGEREF _Toc204161809 \h </w:instrText>
            </w:r>
            <w:r>
              <w:rPr>
                <w:noProof/>
                <w:webHidden/>
              </w:rPr>
            </w:r>
            <w:r>
              <w:rPr>
                <w:noProof/>
                <w:webHidden/>
              </w:rPr>
              <w:fldChar w:fldCharType="separate"/>
            </w:r>
            <w:r w:rsidR="00CA7747">
              <w:rPr>
                <w:noProof/>
                <w:webHidden/>
              </w:rPr>
              <w:t>8</w:t>
            </w:r>
            <w:r>
              <w:rPr>
                <w:noProof/>
                <w:webHidden/>
              </w:rPr>
              <w:fldChar w:fldCharType="end"/>
            </w:r>
          </w:hyperlink>
        </w:p>
        <w:p w14:paraId="18499759" w14:textId="79DD7958" w:rsidR="00827A5A" w:rsidRDefault="00827A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61810" w:history="1">
            <w:r w:rsidRPr="00F074BB">
              <w:rPr>
                <w:rStyle w:val="Hyperlink"/>
                <w:noProof/>
              </w:rPr>
              <w:t>Regulatory status</w:t>
            </w:r>
            <w:r>
              <w:rPr>
                <w:noProof/>
                <w:webHidden/>
              </w:rPr>
              <w:tab/>
            </w:r>
            <w:r>
              <w:rPr>
                <w:noProof/>
                <w:webHidden/>
              </w:rPr>
              <w:fldChar w:fldCharType="begin"/>
            </w:r>
            <w:r>
              <w:rPr>
                <w:noProof/>
                <w:webHidden/>
              </w:rPr>
              <w:instrText xml:space="preserve"> PAGEREF _Toc204161810 \h </w:instrText>
            </w:r>
            <w:r>
              <w:rPr>
                <w:noProof/>
                <w:webHidden/>
              </w:rPr>
            </w:r>
            <w:r>
              <w:rPr>
                <w:noProof/>
                <w:webHidden/>
              </w:rPr>
              <w:fldChar w:fldCharType="separate"/>
            </w:r>
            <w:r w:rsidR="00CA7747">
              <w:rPr>
                <w:noProof/>
                <w:webHidden/>
              </w:rPr>
              <w:t>8</w:t>
            </w:r>
            <w:r>
              <w:rPr>
                <w:noProof/>
                <w:webHidden/>
              </w:rPr>
              <w:fldChar w:fldCharType="end"/>
            </w:r>
          </w:hyperlink>
        </w:p>
        <w:p w14:paraId="5A3FE182" w14:textId="4FAAB240"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11" w:history="1">
            <w:r w:rsidRPr="00F074BB">
              <w:rPr>
                <w:rStyle w:val="Hyperlink"/>
                <w:noProof/>
              </w:rPr>
              <w:t>Australian regulatory status</w:t>
            </w:r>
            <w:r>
              <w:rPr>
                <w:noProof/>
                <w:webHidden/>
              </w:rPr>
              <w:tab/>
            </w:r>
            <w:r>
              <w:rPr>
                <w:noProof/>
                <w:webHidden/>
              </w:rPr>
              <w:fldChar w:fldCharType="begin"/>
            </w:r>
            <w:r>
              <w:rPr>
                <w:noProof/>
                <w:webHidden/>
              </w:rPr>
              <w:instrText xml:space="preserve"> PAGEREF _Toc204161811 \h </w:instrText>
            </w:r>
            <w:r>
              <w:rPr>
                <w:noProof/>
                <w:webHidden/>
              </w:rPr>
            </w:r>
            <w:r>
              <w:rPr>
                <w:noProof/>
                <w:webHidden/>
              </w:rPr>
              <w:fldChar w:fldCharType="separate"/>
            </w:r>
            <w:r w:rsidR="00CA7747">
              <w:rPr>
                <w:noProof/>
                <w:webHidden/>
              </w:rPr>
              <w:t>8</w:t>
            </w:r>
            <w:r>
              <w:rPr>
                <w:noProof/>
                <w:webHidden/>
              </w:rPr>
              <w:fldChar w:fldCharType="end"/>
            </w:r>
          </w:hyperlink>
        </w:p>
        <w:p w14:paraId="5FBB308F" w14:textId="2775B2A4"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12" w:history="1">
            <w:r w:rsidRPr="00F074BB">
              <w:rPr>
                <w:rStyle w:val="Hyperlink"/>
                <w:noProof/>
              </w:rPr>
              <w:t>International regulatory status</w:t>
            </w:r>
            <w:r>
              <w:rPr>
                <w:noProof/>
                <w:webHidden/>
              </w:rPr>
              <w:tab/>
            </w:r>
            <w:r>
              <w:rPr>
                <w:noProof/>
                <w:webHidden/>
              </w:rPr>
              <w:fldChar w:fldCharType="begin"/>
            </w:r>
            <w:r>
              <w:rPr>
                <w:noProof/>
                <w:webHidden/>
              </w:rPr>
              <w:instrText xml:space="preserve"> PAGEREF _Toc204161812 \h </w:instrText>
            </w:r>
            <w:r>
              <w:rPr>
                <w:noProof/>
                <w:webHidden/>
              </w:rPr>
            </w:r>
            <w:r>
              <w:rPr>
                <w:noProof/>
                <w:webHidden/>
              </w:rPr>
              <w:fldChar w:fldCharType="separate"/>
            </w:r>
            <w:r w:rsidR="00CA7747">
              <w:rPr>
                <w:noProof/>
                <w:webHidden/>
              </w:rPr>
              <w:t>8</w:t>
            </w:r>
            <w:r>
              <w:rPr>
                <w:noProof/>
                <w:webHidden/>
              </w:rPr>
              <w:fldChar w:fldCharType="end"/>
            </w:r>
          </w:hyperlink>
        </w:p>
        <w:p w14:paraId="2B42D337" w14:textId="31CAABA9" w:rsidR="00827A5A" w:rsidRDefault="00827A5A">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161813" w:history="1">
            <w:r w:rsidRPr="00F074BB">
              <w:rPr>
                <w:rStyle w:val="Hyperlink"/>
                <w:noProof/>
              </w:rPr>
              <w:t>Registration timeline</w:t>
            </w:r>
            <w:r>
              <w:rPr>
                <w:noProof/>
                <w:webHidden/>
              </w:rPr>
              <w:tab/>
            </w:r>
            <w:r>
              <w:rPr>
                <w:noProof/>
                <w:webHidden/>
              </w:rPr>
              <w:fldChar w:fldCharType="begin"/>
            </w:r>
            <w:r>
              <w:rPr>
                <w:noProof/>
                <w:webHidden/>
              </w:rPr>
              <w:instrText xml:space="preserve"> PAGEREF _Toc204161813 \h </w:instrText>
            </w:r>
            <w:r>
              <w:rPr>
                <w:noProof/>
                <w:webHidden/>
              </w:rPr>
            </w:r>
            <w:r>
              <w:rPr>
                <w:noProof/>
                <w:webHidden/>
              </w:rPr>
              <w:fldChar w:fldCharType="separate"/>
            </w:r>
            <w:r w:rsidR="00CA7747">
              <w:rPr>
                <w:noProof/>
                <w:webHidden/>
              </w:rPr>
              <w:t>9</w:t>
            </w:r>
            <w:r>
              <w:rPr>
                <w:noProof/>
                <w:webHidden/>
              </w:rPr>
              <w:fldChar w:fldCharType="end"/>
            </w:r>
          </w:hyperlink>
        </w:p>
        <w:p w14:paraId="3DADA2B9" w14:textId="6C4FB604" w:rsidR="00827A5A" w:rsidRDefault="00827A5A">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161814" w:history="1">
            <w:r w:rsidRPr="00F074BB">
              <w:rPr>
                <w:rStyle w:val="Hyperlink"/>
                <w:noProof/>
              </w:rPr>
              <w:t>Assessment overview</w:t>
            </w:r>
            <w:r>
              <w:rPr>
                <w:noProof/>
                <w:webHidden/>
              </w:rPr>
              <w:tab/>
            </w:r>
            <w:r>
              <w:rPr>
                <w:noProof/>
                <w:webHidden/>
              </w:rPr>
              <w:fldChar w:fldCharType="begin"/>
            </w:r>
            <w:r>
              <w:rPr>
                <w:noProof/>
                <w:webHidden/>
              </w:rPr>
              <w:instrText xml:space="preserve"> PAGEREF _Toc204161814 \h </w:instrText>
            </w:r>
            <w:r>
              <w:rPr>
                <w:noProof/>
                <w:webHidden/>
              </w:rPr>
            </w:r>
            <w:r>
              <w:rPr>
                <w:noProof/>
                <w:webHidden/>
              </w:rPr>
              <w:fldChar w:fldCharType="separate"/>
            </w:r>
            <w:r w:rsidR="00CA7747">
              <w:rPr>
                <w:noProof/>
                <w:webHidden/>
              </w:rPr>
              <w:t>10</w:t>
            </w:r>
            <w:r>
              <w:rPr>
                <w:noProof/>
                <w:webHidden/>
              </w:rPr>
              <w:fldChar w:fldCharType="end"/>
            </w:r>
          </w:hyperlink>
        </w:p>
        <w:p w14:paraId="49486075" w14:textId="1DE68610" w:rsidR="00827A5A" w:rsidRDefault="00827A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61815" w:history="1">
            <w:r w:rsidRPr="00F074BB">
              <w:rPr>
                <w:rStyle w:val="Hyperlink"/>
                <w:noProof/>
              </w:rPr>
              <w:t>Quality evaluation summary</w:t>
            </w:r>
            <w:r>
              <w:rPr>
                <w:noProof/>
                <w:webHidden/>
              </w:rPr>
              <w:tab/>
            </w:r>
            <w:r>
              <w:rPr>
                <w:noProof/>
                <w:webHidden/>
              </w:rPr>
              <w:fldChar w:fldCharType="begin"/>
            </w:r>
            <w:r>
              <w:rPr>
                <w:noProof/>
                <w:webHidden/>
              </w:rPr>
              <w:instrText xml:space="preserve"> PAGEREF _Toc204161815 \h </w:instrText>
            </w:r>
            <w:r>
              <w:rPr>
                <w:noProof/>
                <w:webHidden/>
              </w:rPr>
            </w:r>
            <w:r>
              <w:rPr>
                <w:noProof/>
                <w:webHidden/>
              </w:rPr>
              <w:fldChar w:fldCharType="separate"/>
            </w:r>
            <w:r w:rsidR="00CA7747">
              <w:rPr>
                <w:noProof/>
                <w:webHidden/>
              </w:rPr>
              <w:t>10</w:t>
            </w:r>
            <w:r>
              <w:rPr>
                <w:noProof/>
                <w:webHidden/>
              </w:rPr>
              <w:fldChar w:fldCharType="end"/>
            </w:r>
          </w:hyperlink>
        </w:p>
        <w:p w14:paraId="78A94CC1" w14:textId="57029C55" w:rsidR="00827A5A" w:rsidRDefault="00827A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61816" w:history="1">
            <w:r w:rsidRPr="00F074BB">
              <w:rPr>
                <w:rStyle w:val="Hyperlink"/>
                <w:noProof/>
              </w:rPr>
              <w:t>Nonclinical evaluation summary</w:t>
            </w:r>
            <w:r>
              <w:rPr>
                <w:noProof/>
                <w:webHidden/>
              </w:rPr>
              <w:tab/>
            </w:r>
            <w:r>
              <w:rPr>
                <w:noProof/>
                <w:webHidden/>
              </w:rPr>
              <w:fldChar w:fldCharType="begin"/>
            </w:r>
            <w:r>
              <w:rPr>
                <w:noProof/>
                <w:webHidden/>
              </w:rPr>
              <w:instrText xml:space="preserve"> PAGEREF _Toc204161816 \h </w:instrText>
            </w:r>
            <w:r>
              <w:rPr>
                <w:noProof/>
                <w:webHidden/>
              </w:rPr>
            </w:r>
            <w:r>
              <w:rPr>
                <w:noProof/>
                <w:webHidden/>
              </w:rPr>
              <w:fldChar w:fldCharType="separate"/>
            </w:r>
            <w:r w:rsidR="00CA7747">
              <w:rPr>
                <w:noProof/>
                <w:webHidden/>
              </w:rPr>
              <w:t>10</w:t>
            </w:r>
            <w:r>
              <w:rPr>
                <w:noProof/>
                <w:webHidden/>
              </w:rPr>
              <w:fldChar w:fldCharType="end"/>
            </w:r>
          </w:hyperlink>
        </w:p>
        <w:p w14:paraId="11F289AB" w14:textId="629FB6A0"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17" w:history="1">
            <w:r w:rsidRPr="00F074BB">
              <w:rPr>
                <w:rStyle w:val="Hyperlink"/>
                <w:noProof/>
              </w:rPr>
              <w:t>Pregnancy category</w:t>
            </w:r>
            <w:r>
              <w:rPr>
                <w:noProof/>
                <w:webHidden/>
              </w:rPr>
              <w:tab/>
            </w:r>
            <w:r>
              <w:rPr>
                <w:noProof/>
                <w:webHidden/>
              </w:rPr>
              <w:fldChar w:fldCharType="begin"/>
            </w:r>
            <w:r>
              <w:rPr>
                <w:noProof/>
                <w:webHidden/>
              </w:rPr>
              <w:instrText xml:space="preserve"> PAGEREF _Toc204161817 \h </w:instrText>
            </w:r>
            <w:r>
              <w:rPr>
                <w:noProof/>
                <w:webHidden/>
              </w:rPr>
            </w:r>
            <w:r>
              <w:rPr>
                <w:noProof/>
                <w:webHidden/>
              </w:rPr>
              <w:fldChar w:fldCharType="separate"/>
            </w:r>
            <w:r w:rsidR="00CA7747">
              <w:rPr>
                <w:noProof/>
                <w:webHidden/>
              </w:rPr>
              <w:t>11</w:t>
            </w:r>
            <w:r>
              <w:rPr>
                <w:noProof/>
                <w:webHidden/>
              </w:rPr>
              <w:fldChar w:fldCharType="end"/>
            </w:r>
          </w:hyperlink>
        </w:p>
        <w:p w14:paraId="20981AD9" w14:textId="14296591"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18" w:history="1">
            <w:r w:rsidRPr="00F074BB">
              <w:rPr>
                <w:rStyle w:val="Hyperlink"/>
                <w:noProof/>
              </w:rPr>
              <w:t>Recommendation</w:t>
            </w:r>
            <w:r>
              <w:rPr>
                <w:noProof/>
                <w:webHidden/>
              </w:rPr>
              <w:tab/>
            </w:r>
            <w:r>
              <w:rPr>
                <w:noProof/>
                <w:webHidden/>
              </w:rPr>
              <w:fldChar w:fldCharType="begin"/>
            </w:r>
            <w:r>
              <w:rPr>
                <w:noProof/>
                <w:webHidden/>
              </w:rPr>
              <w:instrText xml:space="preserve"> PAGEREF _Toc204161818 \h </w:instrText>
            </w:r>
            <w:r>
              <w:rPr>
                <w:noProof/>
                <w:webHidden/>
              </w:rPr>
            </w:r>
            <w:r>
              <w:rPr>
                <w:noProof/>
                <w:webHidden/>
              </w:rPr>
              <w:fldChar w:fldCharType="separate"/>
            </w:r>
            <w:r w:rsidR="00CA7747">
              <w:rPr>
                <w:noProof/>
                <w:webHidden/>
              </w:rPr>
              <w:t>11</w:t>
            </w:r>
            <w:r>
              <w:rPr>
                <w:noProof/>
                <w:webHidden/>
              </w:rPr>
              <w:fldChar w:fldCharType="end"/>
            </w:r>
          </w:hyperlink>
        </w:p>
        <w:p w14:paraId="064AB361" w14:textId="522ACAA4" w:rsidR="00827A5A" w:rsidRDefault="00827A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61819" w:history="1">
            <w:r w:rsidRPr="00F074BB">
              <w:rPr>
                <w:rStyle w:val="Hyperlink"/>
                <w:noProof/>
              </w:rPr>
              <w:t>Clinical evaluation summary</w:t>
            </w:r>
            <w:r>
              <w:rPr>
                <w:noProof/>
                <w:webHidden/>
              </w:rPr>
              <w:tab/>
            </w:r>
            <w:r>
              <w:rPr>
                <w:noProof/>
                <w:webHidden/>
              </w:rPr>
              <w:fldChar w:fldCharType="begin"/>
            </w:r>
            <w:r>
              <w:rPr>
                <w:noProof/>
                <w:webHidden/>
              </w:rPr>
              <w:instrText xml:space="preserve"> PAGEREF _Toc204161819 \h </w:instrText>
            </w:r>
            <w:r>
              <w:rPr>
                <w:noProof/>
                <w:webHidden/>
              </w:rPr>
            </w:r>
            <w:r>
              <w:rPr>
                <w:noProof/>
                <w:webHidden/>
              </w:rPr>
              <w:fldChar w:fldCharType="separate"/>
            </w:r>
            <w:r w:rsidR="00CA7747">
              <w:rPr>
                <w:noProof/>
                <w:webHidden/>
              </w:rPr>
              <w:t>11</w:t>
            </w:r>
            <w:r>
              <w:rPr>
                <w:noProof/>
                <w:webHidden/>
              </w:rPr>
              <w:fldChar w:fldCharType="end"/>
            </w:r>
          </w:hyperlink>
        </w:p>
        <w:p w14:paraId="7AD03AB8" w14:textId="578CA2CF"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20" w:history="1">
            <w:r w:rsidRPr="00F074BB">
              <w:rPr>
                <w:rStyle w:val="Hyperlink"/>
                <w:noProof/>
              </w:rPr>
              <w:t>Summary of clinical studies</w:t>
            </w:r>
            <w:r>
              <w:rPr>
                <w:noProof/>
                <w:webHidden/>
              </w:rPr>
              <w:tab/>
            </w:r>
            <w:r>
              <w:rPr>
                <w:noProof/>
                <w:webHidden/>
              </w:rPr>
              <w:fldChar w:fldCharType="begin"/>
            </w:r>
            <w:r>
              <w:rPr>
                <w:noProof/>
                <w:webHidden/>
              </w:rPr>
              <w:instrText xml:space="preserve"> PAGEREF _Toc204161820 \h </w:instrText>
            </w:r>
            <w:r>
              <w:rPr>
                <w:noProof/>
                <w:webHidden/>
              </w:rPr>
            </w:r>
            <w:r>
              <w:rPr>
                <w:noProof/>
                <w:webHidden/>
              </w:rPr>
              <w:fldChar w:fldCharType="separate"/>
            </w:r>
            <w:r w:rsidR="00CA7747">
              <w:rPr>
                <w:noProof/>
                <w:webHidden/>
              </w:rPr>
              <w:t>11</w:t>
            </w:r>
            <w:r>
              <w:rPr>
                <w:noProof/>
                <w:webHidden/>
              </w:rPr>
              <w:fldChar w:fldCharType="end"/>
            </w:r>
          </w:hyperlink>
        </w:p>
        <w:p w14:paraId="2169A4AC" w14:textId="6C87E184"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21" w:history="1">
            <w:r w:rsidRPr="00F074BB">
              <w:rPr>
                <w:rStyle w:val="Hyperlink"/>
                <w:noProof/>
              </w:rPr>
              <w:t>Pharmacology</w:t>
            </w:r>
            <w:r>
              <w:rPr>
                <w:noProof/>
                <w:webHidden/>
              </w:rPr>
              <w:tab/>
            </w:r>
            <w:r>
              <w:rPr>
                <w:noProof/>
                <w:webHidden/>
              </w:rPr>
              <w:fldChar w:fldCharType="begin"/>
            </w:r>
            <w:r>
              <w:rPr>
                <w:noProof/>
                <w:webHidden/>
              </w:rPr>
              <w:instrText xml:space="preserve"> PAGEREF _Toc204161821 \h </w:instrText>
            </w:r>
            <w:r>
              <w:rPr>
                <w:noProof/>
                <w:webHidden/>
              </w:rPr>
            </w:r>
            <w:r>
              <w:rPr>
                <w:noProof/>
                <w:webHidden/>
              </w:rPr>
              <w:fldChar w:fldCharType="separate"/>
            </w:r>
            <w:r w:rsidR="00CA7747">
              <w:rPr>
                <w:noProof/>
                <w:webHidden/>
              </w:rPr>
              <w:t>12</w:t>
            </w:r>
            <w:r>
              <w:rPr>
                <w:noProof/>
                <w:webHidden/>
              </w:rPr>
              <w:fldChar w:fldCharType="end"/>
            </w:r>
          </w:hyperlink>
        </w:p>
        <w:p w14:paraId="6CDF2FD3" w14:textId="3A8C4073"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22" w:history="1">
            <w:r w:rsidRPr="00F074BB">
              <w:rPr>
                <w:rStyle w:val="Hyperlink"/>
                <w:noProof/>
              </w:rPr>
              <w:t>Efficacy</w:t>
            </w:r>
            <w:r>
              <w:rPr>
                <w:noProof/>
                <w:webHidden/>
              </w:rPr>
              <w:tab/>
            </w:r>
            <w:r>
              <w:rPr>
                <w:noProof/>
                <w:webHidden/>
              </w:rPr>
              <w:fldChar w:fldCharType="begin"/>
            </w:r>
            <w:r>
              <w:rPr>
                <w:noProof/>
                <w:webHidden/>
              </w:rPr>
              <w:instrText xml:space="preserve"> PAGEREF _Toc204161822 \h </w:instrText>
            </w:r>
            <w:r>
              <w:rPr>
                <w:noProof/>
                <w:webHidden/>
              </w:rPr>
            </w:r>
            <w:r>
              <w:rPr>
                <w:noProof/>
                <w:webHidden/>
              </w:rPr>
              <w:fldChar w:fldCharType="separate"/>
            </w:r>
            <w:r w:rsidR="00CA7747">
              <w:rPr>
                <w:noProof/>
                <w:webHidden/>
              </w:rPr>
              <w:t>14</w:t>
            </w:r>
            <w:r>
              <w:rPr>
                <w:noProof/>
                <w:webHidden/>
              </w:rPr>
              <w:fldChar w:fldCharType="end"/>
            </w:r>
          </w:hyperlink>
        </w:p>
        <w:p w14:paraId="493AAD95" w14:textId="2D411A95"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23" w:history="1">
            <w:r w:rsidRPr="00F074BB">
              <w:rPr>
                <w:rStyle w:val="Hyperlink"/>
                <w:noProof/>
              </w:rPr>
              <w:t>Clinical safety</w:t>
            </w:r>
            <w:r>
              <w:rPr>
                <w:noProof/>
                <w:webHidden/>
              </w:rPr>
              <w:tab/>
            </w:r>
            <w:r>
              <w:rPr>
                <w:noProof/>
                <w:webHidden/>
              </w:rPr>
              <w:fldChar w:fldCharType="begin"/>
            </w:r>
            <w:r>
              <w:rPr>
                <w:noProof/>
                <w:webHidden/>
              </w:rPr>
              <w:instrText xml:space="preserve"> PAGEREF _Toc204161823 \h </w:instrText>
            </w:r>
            <w:r>
              <w:rPr>
                <w:noProof/>
                <w:webHidden/>
              </w:rPr>
            </w:r>
            <w:r>
              <w:rPr>
                <w:noProof/>
                <w:webHidden/>
              </w:rPr>
              <w:fldChar w:fldCharType="separate"/>
            </w:r>
            <w:r w:rsidR="00CA7747">
              <w:rPr>
                <w:noProof/>
                <w:webHidden/>
              </w:rPr>
              <w:t>28</w:t>
            </w:r>
            <w:r>
              <w:rPr>
                <w:noProof/>
                <w:webHidden/>
              </w:rPr>
              <w:fldChar w:fldCharType="end"/>
            </w:r>
          </w:hyperlink>
        </w:p>
        <w:p w14:paraId="6B2217C0" w14:textId="2E051E1F" w:rsidR="00827A5A" w:rsidRDefault="00827A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61824" w:history="1">
            <w:r w:rsidRPr="00F074BB">
              <w:rPr>
                <w:rStyle w:val="Hyperlink"/>
                <w:noProof/>
                <w:lang w:eastAsia="en-AU"/>
              </w:rPr>
              <w:t>Risk management plan</w:t>
            </w:r>
            <w:r>
              <w:rPr>
                <w:noProof/>
                <w:webHidden/>
              </w:rPr>
              <w:tab/>
            </w:r>
            <w:r>
              <w:rPr>
                <w:noProof/>
                <w:webHidden/>
              </w:rPr>
              <w:fldChar w:fldCharType="begin"/>
            </w:r>
            <w:r>
              <w:rPr>
                <w:noProof/>
                <w:webHidden/>
              </w:rPr>
              <w:instrText xml:space="preserve"> PAGEREF _Toc204161824 \h </w:instrText>
            </w:r>
            <w:r>
              <w:rPr>
                <w:noProof/>
                <w:webHidden/>
              </w:rPr>
            </w:r>
            <w:r>
              <w:rPr>
                <w:noProof/>
                <w:webHidden/>
              </w:rPr>
              <w:fldChar w:fldCharType="separate"/>
            </w:r>
            <w:r w:rsidR="00CA7747">
              <w:rPr>
                <w:noProof/>
                <w:webHidden/>
              </w:rPr>
              <w:t>39</w:t>
            </w:r>
            <w:r>
              <w:rPr>
                <w:noProof/>
                <w:webHidden/>
              </w:rPr>
              <w:fldChar w:fldCharType="end"/>
            </w:r>
          </w:hyperlink>
        </w:p>
        <w:p w14:paraId="15F60CCD" w14:textId="5148AC75" w:rsidR="00827A5A" w:rsidRDefault="00827A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61825" w:history="1">
            <w:r w:rsidRPr="00F074BB">
              <w:rPr>
                <w:rStyle w:val="Hyperlink"/>
                <w:noProof/>
              </w:rPr>
              <w:t>Risk-benefit analysis</w:t>
            </w:r>
            <w:r>
              <w:rPr>
                <w:noProof/>
                <w:webHidden/>
              </w:rPr>
              <w:tab/>
            </w:r>
            <w:r>
              <w:rPr>
                <w:noProof/>
                <w:webHidden/>
              </w:rPr>
              <w:fldChar w:fldCharType="begin"/>
            </w:r>
            <w:r>
              <w:rPr>
                <w:noProof/>
                <w:webHidden/>
              </w:rPr>
              <w:instrText xml:space="preserve"> PAGEREF _Toc204161825 \h </w:instrText>
            </w:r>
            <w:r>
              <w:rPr>
                <w:noProof/>
                <w:webHidden/>
              </w:rPr>
            </w:r>
            <w:r>
              <w:rPr>
                <w:noProof/>
                <w:webHidden/>
              </w:rPr>
              <w:fldChar w:fldCharType="separate"/>
            </w:r>
            <w:r w:rsidR="00CA7747">
              <w:rPr>
                <w:noProof/>
                <w:webHidden/>
              </w:rPr>
              <w:t>40</w:t>
            </w:r>
            <w:r>
              <w:rPr>
                <w:noProof/>
                <w:webHidden/>
              </w:rPr>
              <w:fldChar w:fldCharType="end"/>
            </w:r>
          </w:hyperlink>
        </w:p>
        <w:p w14:paraId="1B55C541" w14:textId="45BA7C21"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26" w:history="1">
            <w:r w:rsidRPr="00F074BB">
              <w:rPr>
                <w:rStyle w:val="Hyperlink"/>
                <w:noProof/>
              </w:rPr>
              <w:t>Overview</w:t>
            </w:r>
            <w:r>
              <w:rPr>
                <w:noProof/>
                <w:webHidden/>
              </w:rPr>
              <w:tab/>
            </w:r>
            <w:r>
              <w:rPr>
                <w:noProof/>
                <w:webHidden/>
              </w:rPr>
              <w:fldChar w:fldCharType="begin"/>
            </w:r>
            <w:r>
              <w:rPr>
                <w:noProof/>
                <w:webHidden/>
              </w:rPr>
              <w:instrText xml:space="preserve"> PAGEREF _Toc204161826 \h </w:instrText>
            </w:r>
            <w:r>
              <w:rPr>
                <w:noProof/>
                <w:webHidden/>
              </w:rPr>
            </w:r>
            <w:r>
              <w:rPr>
                <w:noProof/>
                <w:webHidden/>
              </w:rPr>
              <w:fldChar w:fldCharType="separate"/>
            </w:r>
            <w:r w:rsidR="00CA7747">
              <w:rPr>
                <w:noProof/>
                <w:webHidden/>
              </w:rPr>
              <w:t>40</w:t>
            </w:r>
            <w:r>
              <w:rPr>
                <w:noProof/>
                <w:webHidden/>
              </w:rPr>
              <w:fldChar w:fldCharType="end"/>
            </w:r>
          </w:hyperlink>
        </w:p>
        <w:p w14:paraId="447D0B9B" w14:textId="0835153D"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27" w:history="1">
            <w:r w:rsidRPr="00F074BB">
              <w:rPr>
                <w:rStyle w:val="Hyperlink"/>
                <w:noProof/>
              </w:rPr>
              <w:t>Efficacy comments</w:t>
            </w:r>
            <w:r>
              <w:rPr>
                <w:noProof/>
                <w:webHidden/>
              </w:rPr>
              <w:tab/>
            </w:r>
            <w:r>
              <w:rPr>
                <w:noProof/>
                <w:webHidden/>
              </w:rPr>
              <w:fldChar w:fldCharType="begin"/>
            </w:r>
            <w:r>
              <w:rPr>
                <w:noProof/>
                <w:webHidden/>
              </w:rPr>
              <w:instrText xml:space="preserve"> PAGEREF _Toc204161827 \h </w:instrText>
            </w:r>
            <w:r>
              <w:rPr>
                <w:noProof/>
                <w:webHidden/>
              </w:rPr>
            </w:r>
            <w:r>
              <w:rPr>
                <w:noProof/>
                <w:webHidden/>
              </w:rPr>
              <w:fldChar w:fldCharType="separate"/>
            </w:r>
            <w:r w:rsidR="00CA7747">
              <w:rPr>
                <w:noProof/>
                <w:webHidden/>
              </w:rPr>
              <w:t>40</w:t>
            </w:r>
            <w:r>
              <w:rPr>
                <w:noProof/>
                <w:webHidden/>
              </w:rPr>
              <w:fldChar w:fldCharType="end"/>
            </w:r>
          </w:hyperlink>
        </w:p>
        <w:p w14:paraId="0C330D9B" w14:textId="7F37FF59"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28" w:history="1">
            <w:r w:rsidRPr="00F074BB">
              <w:rPr>
                <w:rStyle w:val="Hyperlink"/>
                <w:noProof/>
              </w:rPr>
              <w:t>Safety comments</w:t>
            </w:r>
            <w:r>
              <w:rPr>
                <w:noProof/>
                <w:webHidden/>
              </w:rPr>
              <w:tab/>
            </w:r>
            <w:r>
              <w:rPr>
                <w:noProof/>
                <w:webHidden/>
              </w:rPr>
              <w:fldChar w:fldCharType="begin"/>
            </w:r>
            <w:r>
              <w:rPr>
                <w:noProof/>
                <w:webHidden/>
              </w:rPr>
              <w:instrText xml:space="preserve"> PAGEREF _Toc204161828 \h </w:instrText>
            </w:r>
            <w:r>
              <w:rPr>
                <w:noProof/>
                <w:webHidden/>
              </w:rPr>
            </w:r>
            <w:r>
              <w:rPr>
                <w:noProof/>
                <w:webHidden/>
              </w:rPr>
              <w:fldChar w:fldCharType="separate"/>
            </w:r>
            <w:r w:rsidR="00CA7747">
              <w:rPr>
                <w:noProof/>
                <w:webHidden/>
              </w:rPr>
              <w:t>42</w:t>
            </w:r>
            <w:r>
              <w:rPr>
                <w:noProof/>
                <w:webHidden/>
              </w:rPr>
              <w:fldChar w:fldCharType="end"/>
            </w:r>
          </w:hyperlink>
        </w:p>
        <w:p w14:paraId="1D9DB40D" w14:textId="5474F3C3"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29" w:history="1">
            <w:r w:rsidRPr="00F074BB">
              <w:rPr>
                <w:rStyle w:val="Hyperlink"/>
                <w:noProof/>
              </w:rPr>
              <w:t>Safety data limitation</w:t>
            </w:r>
            <w:r>
              <w:rPr>
                <w:noProof/>
                <w:webHidden/>
              </w:rPr>
              <w:tab/>
            </w:r>
            <w:r>
              <w:rPr>
                <w:noProof/>
                <w:webHidden/>
              </w:rPr>
              <w:fldChar w:fldCharType="begin"/>
            </w:r>
            <w:r>
              <w:rPr>
                <w:noProof/>
                <w:webHidden/>
              </w:rPr>
              <w:instrText xml:space="preserve"> PAGEREF _Toc204161829 \h </w:instrText>
            </w:r>
            <w:r>
              <w:rPr>
                <w:noProof/>
                <w:webHidden/>
              </w:rPr>
            </w:r>
            <w:r>
              <w:rPr>
                <w:noProof/>
                <w:webHidden/>
              </w:rPr>
              <w:fldChar w:fldCharType="separate"/>
            </w:r>
            <w:r w:rsidR="00CA7747">
              <w:rPr>
                <w:noProof/>
                <w:webHidden/>
              </w:rPr>
              <w:t>43</w:t>
            </w:r>
            <w:r>
              <w:rPr>
                <w:noProof/>
                <w:webHidden/>
              </w:rPr>
              <w:fldChar w:fldCharType="end"/>
            </w:r>
          </w:hyperlink>
        </w:p>
        <w:p w14:paraId="461107CD" w14:textId="2CF352C5"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30" w:history="1">
            <w:r w:rsidRPr="00F074BB">
              <w:rPr>
                <w:rStyle w:val="Hyperlink"/>
                <w:noProof/>
              </w:rPr>
              <w:t>Delegate’s considerations</w:t>
            </w:r>
            <w:r>
              <w:rPr>
                <w:noProof/>
                <w:webHidden/>
              </w:rPr>
              <w:tab/>
            </w:r>
            <w:r>
              <w:rPr>
                <w:noProof/>
                <w:webHidden/>
              </w:rPr>
              <w:fldChar w:fldCharType="begin"/>
            </w:r>
            <w:r>
              <w:rPr>
                <w:noProof/>
                <w:webHidden/>
              </w:rPr>
              <w:instrText xml:space="preserve"> PAGEREF _Toc204161830 \h </w:instrText>
            </w:r>
            <w:r>
              <w:rPr>
                <w:noProof/>
                <w:webHidden/>
              </w:rPr>
            </w:r>
            <w:r>
              <w:rPr>
                <w:noProof/>
                <w:webHidden/>
              </w:rPr>
              <w:fldChar w:fldCharType="separate"/>
            </w:r>
            <w:r w:rsidR="00CA7747">
              <w:rPr>
                <w:noProof/>
                <w:webHidden/>
              </w:rPr>
              <w:t>44</w:t>
            </w:r>
            <w:r>
              <w:rPr>
                <w:noProof/>
                <w:webHidden/>
              </w:rPr>
              <w:fldChar w:fldCharType="end"/>
            </w:r>
          </w:hyperlink>
        </w:p>
        <w:p w14:paraId="16651C57" w14:textId="60A62726"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31" w:history="1">
            <w:r w:rsidRPr="00F074BB">
              <w:rPr>
                <w:rStyle w:val="Hyperlink"/>
                <w:noProof/>
              </w:rPr>
              <w:t>Proposed action</w:t>
            </w:r>
            <w:r>
              <w:rPr>
                <w:noProof/>
                <w:webHidden/>
              </w:rPr>
              <w:tab/>
            </w:r>
            <w:r>
              <w:rPr>
                <w:noProof/>
                <w:webHidden/>
              </w:rPr>
              <w:fldChar w:fldCharType="begin"/>
            </w:r>
            <w:r>
              <w:rPr>
                <w:noProof/>
                <w:webHidden/>
              </w:rPr>
              <w:instrText xml:space="preserve"> PAGEREF _Toc204161831 \h </w:instrText>
            </w:r>
            <w:r>
              <w:rPr>
                <w:noProof/>
                <w:webHidden/>
              </w:rPr>
            </w:r>
            <w:r>
              <w:rPr>
                <w:noProof/>
                <w:webHidden/>
              </w:rPr>
              <w:fldChar w:fldCharType="separate"/>
            </w:r>
            <w:r w:rsidR="00CA7747">
              <w:rPr>
                <w:noProof/>
                <w:webHidden/>
              </w:rPr>
              <w:t>44</w:t>
            </w:r>
            <w:r>
              <w:rPr>
                <w:noProof/>
                <w:webHidden/>
              </w:rPr>
              <w:fldChar w:fldCharType="end"/>
            </w:r>
          </w:hyperlink>
        </w:p>
        <w:p w14:paraId="3FFCF96A" w14:textId="5B1F22F2" w:rsidR="00827A5A" w:rsidRDefault="00827A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61832" w:history="1">
            <w:r w:rsidRPr="00F074BB">
              <w:rPr>
                <w:rStyle w:val="Hyperlink"/>
                <w:noProof/>
              </w:rPr>
              <w:t>Advisory Committee considerations</w:t>
            </w:r>
            <w:r>
              <w:rPr>
                <w:noProof/>
                <w:webHidden/>
              </w:rPr>
              <w:tab/>
            </w:r>
            <w:r>
              <w:rPr>
                <w:noProof/>
                <w:webHidden/>
              </w:rPr>
              <w:fldChar w:fldCharType="begin"/>
            </w:r>
            <w:r>
              <w:rPr>
                <w:noProof/>
                <w:webHidden/>
              </w:rPr>
              <w:instrText xml:space="preserve"> PAGEREF _Toc204161832 \h </w:instrText>
            </w:r>
            <w:r>
              <w:rPr>
                <w:noProof/>
                <w:webHidden/>
              </w:rPr>
            </w:r>
            <w:r>
              <w:rPr>
                <w:noProof/>
                <w:webHidden/>
              </w:rPr>
              <w:fldChar w:fldCharType="separate"/>
            </w:r>
            <w:r w:rsidR="00CA7747">
              <w:rPr>
                <w:noProof/>
                <w:webHidden/>
              </w:rPr>
              <w:t>44</w:t>
            </w:r>
            <w:r>
              <w:rPr>
                <w:noProof/>
                <w:webHidden/>
              </w:rPr>
              <w:fldChar w:fldCharType="end"/>
            </w:r>
          </w:hyperlink>
        </w:p>
        <w:p w14:paraId="66F9401B" w14:textId="2B1A6174" w:rsidR="00827A5A" w:rsidRDefault="00827A5A">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161833" w:history="1">
            <w:r w:rsidRPr="00F074BB">
              <w:rPr>
                <w:rStyle w:val="Hyperlink"/>
                <w:noProof/>
              </w:rPr>
              <w:t>Assessment outcome</w:t>
            </w:r>
            <w:r>
              <w:rPr>
                <w:noProof/>
                <w:webHidden/>
              </w:rPr>
              <w:tab/>
            </w:r>
            <w:r>
              <w:rPr>
                <w:noProof/>
                <w:webHidden/>
              </w:rPr>
              <w:fldChar w:fldCharType="begin"/>
            </w:r>
            <w:r>
              <w:rPr>
                <w:noProof/>
                <w:webHidden/>
              </w:rPr>
              <w:instrText xml:space="preserve"> PAGEREF _Toc204161833 \h </w:instrText>
            </w:r>
            <w:r>
              <w:rPr>
                <w:noProof/>
                <w:webHidden/>
              </w:rPr>
            </w:r>
            <w:r>
              <w:rPr>
                <w:noProof/>
                <w:webHidden/>
              </w:rPr>
              <w:fldChar w:fldCharType="separate"/>
            </w:r>
            <w:r w:rsidR="00CA7747">
              <w:rPr>
                <w:noProof/>
                <w:webHidden/>
              </w:rPr>
              <w:t>45</w:t>
            </w:r>
            <w:r>
              <w:rPr>
                <w:noProof/>
                <w:webHidden/>
              </w:rPr>
              <w:fldChar w:fldCharType="end"/>
            </w:r>
          </w:hyperlink>
        </w:p>
        <w:p w14:paraId="031D3B88" w14:textId="1D945CC9" w:rsidR="00827A5A" w:rsidRDefault="00827A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61834" w:history="1">
            <w:r w:rsidRPr="00F074BB">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_Toc204161834 \h </w:instrText>
            </w:r>
            <w:r>
              <w:rPr>
                <w:noProof/>
                <w:webHidden/>
              </w:rPr>
            </w:r>
            <w:r>
              <w:rPr>
                <w:noProof/>
                <w:webHidden/>
              </w:rPr>
              <w:fldChar w:fldCharType="separate"/>
            </w:r>
            <w:r w:rsidR="00CA7747">
              <w:rPr>
                <w:noProof/>
                <w:webHidden/>
              </w:rPr>
              <w:t>45</w:t>
            </w:r>
            <w:r>
              <w:rPr>
                <w:noProof/>
                <w:webHidden/>
              </w:rPr>
              <w:fldChar w:fldCharType="end"/>
            </w:r>
          </w:hyperlink>
        </w:p>
        <w:p w14:paraId="13817D37" w14:textId="3EC30BF3" w:rsidR="00827A5A" w:rsidRDefault="00827A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61835" w:history="1">
            <w:r w:rsidRPr="00F074BB">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_Toc204161835 \h </w:instrText>
            </w:r>
            <w:r>
              <w:rPr>
                <w:noProof/>
                <w:webHidden/>
              </w:rPr>
            </w:r>
            <w:r>
              <w:rPr>
                <w:noProof/>
                <w:webHidden/>
              </w:rPr>
              <w:fldChar w:fldCharType="separate"/>
            </w:r>
            <w:r w:rsidR="00CA7747">
              <w:rPr>
                <w:noProof/>
                <w:webHidden/>
              </w:rPr>
              <w:t>46</w:t>
            </w:r>
            <w:r>
              <w:rPr>
                <w:noProof/>
                <w:webHidden/>
              </w:rPr>
              <w:fldChar w:fldCharType="end"/>
            </w:r>
          </w:hyperlink>
        </w:p>
        <w:p w14:paraId="77659F2D" w14:textId="69AD7249" w:rsidR="00F02AEC" w:rsidRPr="00215D48" w:rsidRDefault="00F02AEC" w:rsidP="007452E8">
          <w:r w:rsidRPr="00215D48">
            <w:lastRenderedPageBreak/>
            <w:fldChar w:fldCharType="end"/>
          </w:r>
        </w:p>
      </w:sdtContent>
    </w:sdt>
    <w:p w14:paraId="1E73AB93" w14:textId="77777777" w:rsidR="00324B33" w:rsidRDefault="00324B33" w:rsidP="00324B33">
      <w:pPr>
        <w:pStyle w:val="Heading2"/>
      </w:pPr>
      <w:bookmarkStart w:id="0" w:name="_Toc98931917"/>
      <w:bookmarkStart w:id="1" w:name="_Toc103679287"/>
      <w:bookmarkStart w:id="2" w:name="_Toc204161803"/>
      <w:bookmarkStart w:id="3" w:name="_Toc323739589"/>
      <w:bookmarkStart w:id="4" w:name="_Toc356305216"/>
      <w:r>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49472B" w:rsidRPr="00D01DDB" w14:paraId="0DC420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56975B" w14:textId="1139CACF" w:rsidR="0049472B" w:rsidRPr="00D01DDB" w:rsidRDefault="0049472B" w:rsidP="00324B33">
            <w:pPr>
              <w:rPr>
                <w:szCs w:val="22"/>
              </w:rPr>
            </w:pPr>
            <w:proofErr w:type="spellStart"/>
            <w:r>
              <w:rPr>
                <w:szCs w:val="22"/>
              </w:rPr>
              <w:t>AChR</w:t>
            </w:r>
            <w:proofErr w:type="spellEnd"/>
          </w:p>
        </w:tc>
        <w:tc>
          <w:tcPr>
            <w:tcW w:w="3800" w:type="pct"/>
          </w:tcPr>
          <w:p w14:paraId="50F979D7" w14:textId="1985E52B" w:rsidR="0049472B" w:rsidRPr="00D01DDB" w:rsidRDefault="0049472B" w:rsidP="00324B33">
            <w:pPr>
              <w:cnfStyle w:val="000000000000" w:firstRow="0" w:lastRow="0" w:firstColumn="0" w:lastColumn="0" w:oddVBand="0" w:evenVBand="0" w:oddHBand="0" w:evenHBand="0" w:firstRowFirstColumn="0" w:firstRowLastColumn="0" w:lastRowFirstColumn="0" w:lastRowLastColumn="0"/>
              <w:rPr>
                <w:szCs w:val="22"/>
              </w:rPr>
            </w:pPr>
            <w:r w:rsidRPr="004E1390">
              <w:rPr>
                <w:szCs w:val="22"/>
              </w:rPr>
              <w:t>acetylcholine receptor</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A168A1" w:rsidRPr="00D01DDB" w14:paraId="55EB590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7A8657" w14:textId="322FF2BF" w:rsidR="00A168A1" w:rsidRPr="00D01DDB" w:rsidRDefault="00A168A1" w:rsidP="00324B33">
            <w:pPr>
              <w:rPr>
                <w:szCs w:val="22"/>
              </w:rPr>
            </w:pPr>
            <w:r>
              <w:rPr>
                <w:szCs w:val="22"/>
              </w:rPr>
              <w:t>ADA</w:t>
            </w:r>
          </w:p>
        </w:tc>
        <w:tc>
          <w:tcPr>
            <w:tcW w:w="3800" w:type="pct"/>
          </w:tcPr>
          <w:p w14:paraId="63808E98" w14:textId="02330811" w:rsidR="00A168A1" w:rsidRPr="00D01DDB" w:rsidRDefault="00A168A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Anti-drug antibody</w:t>
            </w:r>
          </w:p>
        </w:tc>
      </w:tr>
      <w:tr w:rsidR="002C2E94" w:rsidRPr="00D01DDB" w14:paraId="424BFB0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CE02D0" w14:textId="1A5C0854" w:rsidR="002C2E94" w:rsidRDefault="002C2E94" w:rsidP="00324B33">
            <w:pPr>
              <w:rPr>
                <w:szCs w:val="22"/>
              </w:rPr>
            </w:pPr>
            <w:r>
              <w:rPr>
                <w:szCs w:val="22"/>
              </w:rPr>
              <w:t>AE</w:t>
            </w:r>
          </w:p>
        </w:tc>
        <w:tc>
          <w:tcPr>
            <w:tcW w:w="3800" w:type="pct"/>
          </w:tcPr>
          <w:p w14:paraId="6B4E9F8E" w14:textId="73C1BBF7" w:rsidR="002C2E94" w:rsidRDefault="002C2E9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35B7C9B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Consumer </w:t>
            </w:r>
            <w:r w:rsidR="001756C9">
              <w:rPr>
                <w:szCs w:val="22"/>
              </w:rPr>
              <w:t>m</w:t>
            </w:r>
            <w:r w:rsidRPr="00D01DDB">
              <w:rPr>
                <w:szCs w:val="22"/>
              </w:rPr>
              <w:t xml:space="preserve">edicines </w:t>
            </w:r>
            <w:r w:rsidR="001756C9">
              <w:rPr>
                <w:szCs w:val="22"/>
              </w:rPr>
              <w:t>i</w:t>
            </w:r>
            <w:r w:rsidRPr="00D01DDB">
              <w:rPr>
                <w:szCs w:val="22"/>
              </w:rPr>
              <w:t>nformation</w:t>
            </w:r>
          </w:p>
        </w:tc>
      </w:tr>
      <w:tr w:rsidR="001756C9" w:rsidRPr="00D01DDB" w14:paraId="7BCB8AF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642299" w14:textId="6D679904" w:rsidR="001756C9" w:rsidRPr="00D01DDB" w:rsidRDefault="001756C9" w:rsidP="00324B33">
            <w:pPr>
              <w:rPr>
                <w:szCs w:val="22"/>
              </w:rPr>
            </w:pPr>
            <w:r>
              <w:rPr>
                <w:szCs w:val="22"/>
              </w:rPr>
              <w:t>CPD</w:t>
            </w:r>
          </w:p>
        </w:tc>
        <w:tc>
          <w:tcPr>
            <w:tcW w:w="3800" w:type="pct"/>
          </w:tcPr>
          <w:p w14:paraId="1F903EF2" w14:textId="783EEEAB" w:rsidR="001756C9" w:rsidRPr="00D01DDB" w:rsidRDefault="001756C9" w:rsidP="00324B33">
            <w:pPr>
              <w:cnfStyle w:val="000000000000" w:firstRow="0" w:lastRow="0" w:firstColumn="0" w:lastColumn="0" w:oddVBand="0" w:evenVBand="0" w:oddHBand="0" w:evenHBand="0" w:firstRowFirstColumn="0" w:firstRowLastColumn="0" w:lastRowFirstColumn="0" w:lastRowLastColumn="0"/>
              <w:rPr>
                <w:szCs w:val="22"/>
              </w:rPr>
            </w:pPr>
            <w:r w:rsidRPr="00B55C07">
              <w:t xml:space="preserve">Certified </w:t>
            </w:r>
            <w:r>
              <w:t>p</w:t>
            </w:r>
            <w:r w:rsidRPr="00B55C07">
              <w:t xml:space="preserve">roduct </w:t>
            </w:r>
            <w:r>
              <w:t>d</w:t>
            </w:r>
            <w:r w:rsidRPr="00B55C07">
              <w:t>etails</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0C45A9" w:rsidRPr="00D01DDB" w14:paraId="21CA635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AAB245" w14:textId="47D55725" w:rsidR="000C45A9" w:rsidRPr="00D01DDB" w:rsidRDefault="000C45A9" w:rsidP="00324B33">
            <w:pPr>
              <w:rPr>
                <w:szCs w:val="22"/>
              </w:rPr>
            </w:pPr>
            <w:proofErr w:type="spellStart"/>
            <w:r w:rsidRPr="0009394D">
              <w:rPr>
                <w:rFonts w:eastAsia="MS Mincho"/>
                <w:color w:val="000000" w:themeColor="text1"/>
                <w:lang w:val="en-GB" w:eastAsia="ja-JP"/>
              </w:rPr>
              <w:t>FcRn</w:t>
            </w:r>
            <w:proofErr w:type="spellEnd"/>
          </w:p>
        </w:tc>
        <w:tc>
          <w:tcPr>
            <w:tcW w:w="3800" w:type="pct"/>
          </w:tcPr>
          <w:p w14:paraId="4285CB05" w14:textId="5DDF35DB" w:rsidR="000C45A9" w:rsidRPr="00D01DDB" w:rsidRDefault="00515314" w:rsidP="00324B33">
            <w:pPr>
              <w:cnfStyle w:val="000000000000" w:firstRow="0" w:lastRow="0" w:firstColumn="0" w:lastColumn="0" w:oddVBand="0" w:evenVBand="0" w:oddHBand="0" w:evenHBand="0" w:firstRowFirstColumn="0" w:firstRowLastColumn="0" w:lastRowFirstColumn="0" w:lastRowLastColumn="0"/>
              <w:rPr>
                <w:szCs w:val="22"/>
              </w:rPr>
            </w:pPr>
            <w:r>
              <w:rPr>
                <w:rFonts w:eastAsia="Calibri" w:cs="Arial"/>
                <w:lang w:val="en-GB"/>
              </w:rPr>
              <w:t>N</w:t>
            </w:r>
            <w:r w:rsidR="00900EAB" w:rsidRPr="007B1163">
              <w:rPr>
                <w:rFonts w:eastAsia="Calibri" w:cs="Arial"/>
                <w:lang w:val="en-GB"/>
              </w:rPr>
              <w:t>eonatal Fc receptor</w:t>
            </w:r>
          </w:p>
        </w:tc>
      </w:tr>
      <w:tr w:rsidR="0049472B" w:rsidRPr="00D01DDB" w14:paraId="635671A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FAD847" w14:textId="1B854C88" w:rsidR="0049472B" w:rsidRPr="00D01DDB" w:rsidRDefault="0049472B" w:rsidP="00324B33">
            <w:pPr>
              <w:rPr>
                <w:szCs w:val="22"/>
              </w:rPr>
            </w:pPr>
            <w:proofErr w:type="spellStart"/>
            <w:r w:rsidRPr="004E1390">
              <w:rPr>
                <w:szCs w:val="22"/>
              </w:rPr>
              <w:t>gMG</w:t>
            </w:r>
            <w:proofErr w:type="spellEnd"/>
          </w:p>
        </w:tc>
        <w:tc>
          <w:tcPr>
            <w:tcW w:w="3800" w:type="pct"/>
          </w:tcPr>
          <w:p w14:paraId="0B47FA35" w14:textId="07CF45C0" w:rsidR="0049472B" w:rsidRPr="00D01DDB" w:rsidRDefault="0049472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G</w:t>
            </w:r>
            <w:r w:rsidRPr="004E1390">
              <w:rPr>
                <w:szCs w:val="22"/>
              </w:rPr>
              <w:t>eneralised</w:t>
            </w:r>
            <w:r>
              <w:rPr>
                <w:szCs w:val="22"/>
              </w:rPr>
              <w:t xml:space="preserve"> </w:t>
            </w:r>
            <w:r w:rsidRPr="004E1390">
              <w:rPr>
                <w:szCs w:val="22"/>
              </w:rPr>
              <w:t>myasthenia gravis</w:t>
            </w:r>
          </w:p>
        </w:tc>
      </w:tr>
      <w:tr w:rsidR="002C307A" w:rsidRPr="00D01DDB" w14:paraId="02CC3CC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7E14A0" w14:textId="2C096905" w:rsidR="002C307A" w:rsidRPr="004E1390" w:rsidRDefault="002C307A" w:rsidP="00324B33">
            <w:pPr>
              <w:rPr>
                <w:szCs w:val="22"/>
              </w:rPr>
            </w:pPr>
            <w:r w:rsidRPr="002C307A">
              <w:rPr>
                <w:iCs/>
                <w:color w:val="auto"/>
              </w:rPr>
              <w:t>Ig</w:t>
            </w:r>
          </w:p>
        </w:tc>
        <w:tc>
          <w:tcPr>
            <w:tcW w:w="3800" w:type="pct"/>
          </w:tcPr>
          <w:p w14:paraId="43E9FE44" w14:textId="50B224D5" w:rsidR="002C307A" w:rsidRDefault="002C307A" w:rsidP="00324B33">
            <w:pPr>
              <w:cnfStyle w:val="000000000000" w:firstRow="0" w:lastRow="0" w:firstColumn="0" w:lastColumn="0" w:oddVBand="0" w:evenVBand="0" w:oddHBand="0" w:evenHBand="0" w:firstRowFirstColumn="0" w:firstRowLastColumn="0" w:lastRowFirstColumn="0" w:lastRowLastColumn="0"/>
              <w:rPr>
                <w:szCs w:val="22"/>
              </w:rPr>
            </w:pPr>
            <w:r>
              <w:rPr>
                <w:iCs/>
                <w:color w:val="auto"/>
              </w:rPr>
              <w:t>I</w:t>
            </w:r>
            <w:r w:rsidRPr="002C307A">
              <w:rPr>
                <w:iCs/>
                <w:color w:val="auto"/>
              </w:rPr>
              <w:t>mmunoglobulin</w:t>
            </w:r>
          </w:p>
        </w:tc>
      </w:tr>
      <w:tr w:rsidR="007A163D" w:rsidRPr="00D01DDB" w14:paraId="4CA7067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7DFE86" w14:textId="5F2D3658" w:rsidR="007A163D" w:rsidRPr="002C307A" w:rsidRDefault="007A163D" w:rsidP="00324B33">
            <w:pPr>
              <w:rPr>
                <w:iCs/>
              </w:rPr>
            </w:pPr>
            <w:r>
              <w:rPr>
                <w:iCs/>
              </w:rPr>
              <w:t>IV</w:t>
            </w:r>
          </w:p>
        </w:tc>
        <w:tc>
          <w:tcPr>
            <w:tcW w:w="3800" w:type="pct"/>
          </w:tcPr>
          <w:p w14:paraId="0E9A3319" w14:textId="3CD1C0CB" w:rsidR="007A163D" w:rsidRDefault="007A163D" w:rsidP="00324B33">
            <w:pPr>
              <w:cnfStyle w:val="000000000000" w:firstRow="0" w:lastRow="0" w:firstColumn="0" w:lastColumn="0" w:oddVBand="0" w:evenVBand="0" w:oddHBand="0" w:evenHBand="0" w:firstRowFirstColumn="0" w:firstRowLastColumn="0" w:lastRowFirstColumn="0" w:lastRowLastColumn="0"/>
              <w:rPr>
                <w:iCs/>
              </w:rPr>
            </w:pPr>
            <w:r>
              <w:rPr>
                <w:iCs/>
              </w:rPr>
              <w:t>Intravenous</w:t>
            </w:r>
          </w:p>
        </w:tc>
      </w:tr>
      <w:tr w:rsidR="00A90BEB" w:rsidRPr="00D01DDB" w14:paraId="5BE599B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A26551" w14:textId="6B2C9BE4" w:rsidR="00A90BEB" w:rsidRPr="002C307A" w:rsidRDefault="00A90BEB" w:rsidP="00324B33">
            <w:pPr>
              <w:rPr>
                <w:iCs/>
              </w:rPr>
            </w:pPr>
            <w:r>
              <w:rPr>
                <w:iCs/>
              </w:rPr>
              <w:t>IVIg</w:t>
            </w:r>
          </w:p>
        </w:tc>
        <w:tc>
          <w:tcPr>
            <w:tcW w:w="3800" w:type="pct"/>
          </w:tcPr>
          <w:p w14:paraId="54159AEF" w14:textId="6AE9108E" w:rsidR="00A90BEB" w:rsidRDefault="00A90BEB" w:rsidP="00A90BEB">
            <w:pPr>
              <w:cnfStyle w:val="000000000000" w:firstRow="0" w:lastRow="0" w:firstColumn="0" w:lastColumn="0" w:oddVBand="0" w:evenVBand="0" w:oddHBand="0" w:evenHBand="0" w:firstRowFirstColumn="0" w:firstRowLastColumn="0" w:lastRowFirstColumn="0" w:lastRowLastColumn="0"/>
              <w:rPr>
                <w:iCs/>
              </w:rPr>
            </w:pPr>
            <w:r>
              <w:rPr>
                <w:rFonts w:eastAsia="Calibri" w:cs="Arial"/>
                <w:lang w:val="en-US"/>
              </w:rPr>
              <w:t>I</w:t>
            </w:r>
            <w:r w:rsidRPr="00555879">
              <w:rPr>
                <w:rFonts w:eastAsia="Calibri" w:cs="Arial"/>
                <w:lang w:val="en-US"/>
              </w:rPr>
              <w:t>ntravenous immunoglobulin</w:t>
            </w:r>
          </w:p>
        </w:tc>
      </w:tr>
      <w:tr w:rsidR="009778CB" w:rsidRPr="00D01DDB" w14:paraId="45CF46E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BCBE00" w14:textId="7DB35E35" w:rsidR="009778CB" w:rsidRDefault="009778CB" w:rsidP="00324B33">
            <w:pPr>
              <w:rPr>
                <w:iCs/>
              </w:rPr>
            </w:pPr>
            <w:r>
              <w:rPr>
                <w:iCs/>
              </w:rPr>
              <w:t>LS</w:t>
            </w:r>
          </w:p>
        </w:tc>
        <w:tc>
          <w:tcPr>
            <w:tcW w:w="3800" w:type="pct"/>
          </w:tcPr>
          <w:p w14:paraId="44D1F5CB" w14:textId="0CE12ECF" w:rsidR="009778CB" w:rsidRDefault="009778CB" w:rsidP="00A90BEB">
            <w:pPr>
              <w:cnfStyle w:val="000000000000" w:firstRow="0" w:lastRow="0" w:firstColumn="0" w:lastColumn="0" w:oddVBand="0" w:evenVBand="0" w:oddHBand="0" w:evenHBand="0" w:firstRowFirstColumn="0" w:firstRowLastColumn="0" w:lastRowFirstColumn="0" w:lastRowLastColumn="0"/>
              <w:rPr>
                <w:rFonts w:eastAsia="Calibri" w:cs="Arial"/>
                <w:lang w:val="en-US"/>
              </w:rPr>
            </w:pPr>
            <w:r>
              <w:rPr>
                <w:rFonts w:eastAsia="Calibri" w:cs="Arial"/>
                <w:lang w:val="en-US"/>
              </w:rPr>
              <w:t>Least square</w:t>
            </w:r>
          </w:p>
        </w:tc>
      </w:tr>
      <w:tr w:rsidR="000C45A9" w:rsidRPr="00D01DDB" w14:paraId="4F8019A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C69154" w14:textId="038E9BF1" w:rsidR="000C45A9" w:rsidRPr="002C307A" w:rsidRDefault="000C45A9" w:rsidP="00324B33">
            <w:pPr>
              <w:rPr>
                <w:iCs/>
              </w:rPr>
            </w:pPr>
            <w:proofErr w:type="spellStart"/>
            <w:r>
              <w:rPr>
                <w:iCs/>
              </w:rPr>
              <w:t>mAb</w:t>
            </w:r>
            <w:proofErr w:type="spellEnd"/>
          </w:p>
        </w:tc>
        <w:tc>
          <w:tcPr>
            <w:tcW w:w="3800" w:type="pct"/>
          </w:tcPr>
          <w:p w14:paraId="20C20D2C" w14:textId="2197FFA5" w:rsidR="000C45A9" w:rsidRPr="00E60917" w:rsidRDefault="00FE0EB2" w:rsidP="00324B33">
            <w:pPr>
              <w:cnfStyle w:val="000000000000" w:firstRow="0" w:lastRow="0" w:firstColumn="0" w:lastColumn="0" w:oddVBand="0" w:evenVBand="0" w:oddHBand="0" w:evenHBand="0" w:firstRowFirstColumn="0" w:firstRowLastColumn="0" w:lastRowFirstColumn="0" w:lastRowLastColumn="0"/>
              <w:rPr>
                <w:iCs/>
                <w:color w:val="auto"/>
              </w:rPr>
            </w:pPr>
            <w:r w:rsidRPr="00E60917">
              <w:rPr>
                <w:iCs/>
                <w:color w:val="auto"/>
              </w:rPr>
              <w:t>Monoclonal antibod</w:t>
            </w:r>
            <w:r w:rsidR="00724A44" w:rsidRPr="00E60917">
              <w:rPr>
                <w:iCs/>
                <w:color w:val="auto"/>
              </w:rPr>
              <w:t>y</w:t>
            </w:r>
          </w:p>
        </w:tc>
      </w:tr>
      <w:tr w:rsidR="00491149" w:rsidRPr="00D01DDB" w14:paraId="315DDD4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9459CF" w14:textId="5917F7E0" w:rsidR="00491149" w:rsidRDefault="00E915AD" w:rsidP="00324B33">
            <w:pPr>
              <w:rPr>
                <w:iCs/>
              </w:rPr>
            </w:pPr>
            <w:r>
              <w:rPr>
                <w:iCs/>
              </w:rPr>
              <w:t>MedDRA</w:t>
            </w:r>
          </w:p>
        </w:tc>
        <w:tc>
          <w:tcPr>
            <w:tcW w:w="3800" w:type="pct"/>
          </w:tcPr>
          <w:p w14:paraId="5B4641F9" w14:textId="3FCF67C2" w:rsidR="00491149" w:rsidRPr="00E60917" w:rsidRDefault="00E915AD" w:rsidP="00E915AD">
            <w:pPr>
              <w:pStyle w:val="FootnoteText"/>
              <w:cnfStyle w:val="000000000000" w:firstRow="0" w:lastRow="0" w:firstColumn="0" w:lastColumn="0" w:oddVBand="0" w:evenVBand="0" w:oddHBand="0" w:evenHBand="0" w:firstRowFirstColumn="0" w:firstRowLastColumn="0" w:lastRowFirstColumn="0" w:lastRowLastColumn="0"/>
              <w:rPr>
                <w:iCs/>
                <w:color w:val="auto"/>
                <w:sz w:val="22"/>
              </w:rPr>
            </w:pPr>
            <w:r w:rsidRPr="00E60917">
              <w:rPr>
                <w:iCs/>
                <w:color w:val="auto"/>
                <w:sz w:val="22"/>
              </w:rPr>
              <w:t>Medical Dictionary for Regulatory Activities</w:t>
            </w:r>
          </w:p>
        </w:tc>
      </w:tr>
      <w:tr w:rsidR="002C307A" w:rsidRPr="00E86D7A" w14:paraId="22D18EC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BED9C3" w14:textId="27F0C7EE" w:rsidR="002C307A" w:rsidRPr="00E86D7A" w:rsidRDefault="002C307A" w:rsidP="00324B33">
            <w:pPr>
              <w:rPr>
                <w:szCs w:val="22"/>
              </w:rPr>
            </w:pPr>
            <w:r w:rsidRPr="00E86D7A">
              <w:rPr>
                <w:szCs w:val="22"/>
              </w:rPr>
              <w:t>MG</w:t>
            </w:r>
          </w:p>
        </w:tc>
        <w:tc>
          <w:tcPr>
            <w:tcW w:w="3800" w:type="pct"/>
          </w:tcPr>
          <w:p w14:paraId="1EB50D72" w14:textId="40BD5FE2" w:rsidR="002C307A" w:rsidRPr="00E86D7A" w:rsidRDefault="002C307A" w:rsidP="00324B33">
            <w:pPr>
              <w:cnfStyle w:val="000000000000" w:firstRow="0" w:lastRow="0" w:firstColumn="0" w:lastColumn="0" w:oddVBand="0" w:evenVBand="0" w:oddHBand="0" w:evenHBand="0" w:firstRowFirstColumn="0" w:firstRowLastColumn="0" w:lastRowFirstColumn="0" w:lastRowLastColumn="0"/>
              <w:rPr>
                <w:iCs/>
                <w:color w:val="auto"/>
              </w:rPr>
            </w:pPr>
            <w:r w:rsidRPr="00E86D7A">
              <w:rPr>
                <w:iCs/>
                <w:color w:val="auto"/>
              </w:rPr>
              <w:t>Myasthenia gravis</w:t>
            </w:r>
          </w:p>
        </w:tc>
      </w:tr>
      <w:tr w:rsidR="001B73E3" w:rsidRPr="00E86D7A" w14:paraId="60C0016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D186CE" w14:textId="4102764E" w:rsidR="001B73E3" w:rsidRPr="00E86D7A" w:rsidRDefault="001B73E3" w:rsidP="00324B33">
            <w:pPr>
              <w:rPr>
                <w:szCs w:val="22"/>
              </w:rPr>
            </w:pPr>
            <w:r w:rsidRPr="00E86D7A">
              <w:rPr>
                <w:rFonts w:eastAsia="Calibri" w:cs="Arial"/>
                <w:lang w:val="en-GB"/>
              </w:rPr>
              <w:t>MG-ADL</w:t>
            </w:r>
          </w:p>
        </w:tc>
        <w:tc>
          <w:tcPr>
            <w:tcW w:w="3800" w:type="pct"/>
          </w:tcPr>
          <w:p w14:paraId="632D6D1E" w14:textId="28399D0E" w:rsidR="001B73E3" w:rsidRPr="00E86D7A" w:rsidRDefault="004919A6" w:rsidP="00324B33">
            <w:pPr>
              <w:cnfStyle w:val="000000000000" w:firstRow="0" w:lastRow="0" w:firstColumn="0" w:lastColumn="0" w:oddVBand="0" w:evenVBand="0" w:oddHBand="0" w:evenHBand="0" w:firstRowFirstColumn="0" w:firstRowLastColumn="0" w:lastRowFirstColumn="0" w:lastRowLastColumn="0"/>
              <w:rPr>
                <w:iCs/>
                <w:color w:val="auto"/>
              </w:rPr>
            </w:pPr>
            <w:r w:rsidRPr="00E86D7A">
              <w:rPr>
                <w:iCs/>
                <w:color w:val="auto"/>
              </w:rPr>
              <w:t>Myasthenia Gravis Activities of Daily Living scale</w:t>
            </w:r>
          </w:p>
        </w:tc>
      </w:tr>
      <w:tr w:rsidR="004B35ED" w:rsidRPr="00E86D7A" w14:paraId="2A6A411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55ADA2" w14:textId="509223E4" w:rsidR="004B35ED" w:rsidRPr="00E86D7A" w:rsidRDefault="00EB4FE5" w:rsidP="00324B33">
            <w:pPr>
              <w:rPr>
                <w:rFonts w:eastAsia="Calibri" w:cs="Arial"/>
                <w:lang w:val="en-GB"/>
              </w:rPr>
            </w:pPr>
            <w:r w:rsidRPr="00E86D7A">
              <w:rPr>
                <w:rFonts w:eastAsia="Calibri" w:cs="Arial"/>
                <w:lang w:val="en-GB"/>
              </w:rPr>
              <w:t>MG-C</w:t>
            </w:r>
          </w:p>
        </w:tc>
        <w:tc>
          <w:tcPr>
            <w:tcW w:w="3800" w:type="pct"/>
          </w:tcPr>
          <w:p w14:paraId="69F30095" w14:textId="72E4F173" w:rsidR="004B35ED" w:rsidRPr="00E86D7A" w:rsidRDefault="004B35ED" w:rsidP="00324B33">
            <w:pPr>
              <w:cnfStyle w:val="000000000000" w:firstRow="0" w:lastRow="0" w:firstColumn="0" w:lastColumn="0" w:oddVBand="0" w:evenVBand="0" w:oddHBand="0" w:evenHBand="0" w:firstRowFirstColumn="0" w:firstRowLastColumn="0" w:lastRowFirstColumn="0" w:lastRowLastColumn="0"/>
              <w:rPr>
                <w:iCs/>
              </w:rPr>
            </w:pPr>
            <w:r w:rsidRPr="00E86D7A">
              <w:rPr>
                <w:rFonts w:eastAsia="Calibri" w:cs="Arial"/>
                <w:lang w:val="en-US"/>
              </w:rPr>
              <w:t>Myasthenia Gravis Composite</w:t>
            </w:r>
          </w:p>
        </w:tc>
      </w:tr>
      <w:tr w:rsidR="00E469B8" w:rsidRPr="00E86D7A" w14:paraId="693DD47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8C4080" w14:textId="215EB2FD" w:rsidR="00E469B8" w:rsidRPr="00E86D7A" w:rsidRDefault="00E469B8" w:rsidP="00324B33">
            <w:pPr>
              <w:rPr>
                <w:rFonts w:eastAsia="Calibri" w:cs="Arial"/>
                <w:lang w:val="en-GB"/>
              </w:rPr>
            </w:pPr>
            <w:r w:rsidRPr="00E86D7A">
              <w:rPr>
                <w:rFonts w:eastAsia="Calibri" w:cs="Arial"/>
                <w:lang w:val="en-GB"/>
              </w:rPr>
              <w:t>MGFA</w:t>
            </w:r>
          </w:p>
        </w:tc>
        <w:tc>
          <w:tcPr>
            <w:tcW w:w="3800" w:type="pct"/>
          </w:tcPr>
          <w:p w14:paraId="1F931949" w14:textId="7FFDDA1F" w:rsidR="00E469B8" w:rsidRPr="00E86D7A" w:rsidRDefault="00E469B8" w:rsidP="00324B33">
            <w:pPr>
              <w:cnfStyle w:val="000000000000" w:firstRow="0" w:lastRow="0" w:firstColumn="0" w:lastColumn="0" w:oddVBand="0" w:evenVBand="0" w:oddHBand="0" w:evenHBand="0" w:firstRowFirstColumn="0" w:firstRowLastColumn="0" w:lastRowFirstColumn="0" w:lastRowLastColumn="0"/>
              <w:rPr>
                <w:iCs/>
              </w:rPr>
            </w:pPr>
            <w:r w:rsidRPr="00E86D7A">
              <w:t>Myasthenia Gravis Foundation of America</w:t>
            </w:r>
          </w:p>
        </w:tc>
      </w:tr>
      <w:tr w:rsidR="0049472B" w:rsidRPr="00E86D7A" w14:paraId="46896E7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7B5778" w14:textId="532BF1FF" w:rsidR="0049472B" w:rsidRPr="00E86D7A" w:rsidRDefault="0049472B" w:rsidP="00324B33">
            <w:pPr>
              <w:rPr>
                <w:szCs w:val="22"/>
              </w:rPr>
            </w:pPr>
            <w:proofErr w:type="spellStart"/>
            <w:r w:rsidRPr="00E86D7A">
              <w:rPr>
                <w:szCs w:val="22"/>
              </w:rPr>
              <w:t>MuSK</w:t>
            </w:r>
            <w:proofErr w:type="spellEnd"/>
          </w:p>
        </w:tc>
        <w:tc>
          <w:tcPr>
            <w:tcW w:w="3800" w:type="pct"/>
          </w:tcPr>
          <w:p w14:paraId="7DD74545" w14:textId="2397269E" w:rsidR="0049472B" w:rsidRPr="00E86D7A" w:rsidRDefault="0049472B" w:rsidP="00324B33">
            <w:pPr>
              <w:cnfStyle w:val="000000000000" w:firstRow="0" w:lastRow="0" w:firstColumn="0" w:lastColumn="0" w:oddVBand="0" w:evenVBand="0" w:oddHBand="0" w:evenHBand="0" w:firstRowFirstColumn="0" w:firstRowLastColumn="0" w:lastRowFirstColumn="0" w:lastRowLastColumn="0"/>
              <w:rPr>
                <w:iCs/>
                <w:color w:val="auto"/>
              </w:rPr>
            </w:pPr>
            <w:r w:rsidRPr="00E86D7A">
              <w:rPr>
                <w:iCs/>
                <w:color w:val="auto"/>
              </w:rPr>
              <w:t>Muscle-specific tyrosine kinase</w:t>
            </w:r>
          </w:p>
        </w:tc>
      </w:tr>
      <w:tr w:rsidR="00C21DF9" w:rsidRPr="00E86D7A" w14:paraId="653B2BD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26DD51" w14:textId="25C838AE" w:rsidR="00C21DF9" w:rsidRPr="00E86D7A" w:rsidRDefault="00C21DF9" w:rsidP="00324B33">
            <w:pPr>
              <w:rPr>
                <w:szCs w:val="22"/>
              </w:rPr>
            </w:pPr>
            <w:proofErr w:type="spellStart"/>
            <w:r>
              <w:rPr>
                <w:szCs w:val="22"/>
              </w:rPr>
              <w:t>NAb</w:t>
            </w:r>
            <w:proofErr w:type="spellEnd"/>
          </w:p>
        </w:tc>
        <w:tc>
          <w:tcPr>
            <w:tcW w:w="3800" w:type="pct"/>
          </w:tcPr>
          <w:p w14:paraId="490523CC" w14:textId="0856227C" w:rsidR="00C21DF9" w:rsidRPr="00E86D7A" w:rsidRDefault="00C21DF9" w:rsidP="00C21DF9">
            <w:pPr>
              <w:cnfStyle w:val="000000000000" w:firstRow="0" w:lastRow="0" w:firstColumn="0" w:lastColumn="0" w:oddVBand="0" w:evenVBand="0" w:oddHBand="0" w:evenHBand="0" w:firstRowFirstColumn="0" w:firstRowLastColumn="0" w:lastRowFirstColumn="0" w:lastRowLastColumn="0"/>
              <w:rPr>
                <w:iCs/>
              </w:rPr>
            </w:pPr>
            <w:r>
              <w:rPr>
                <w:color w:val="000000" w:themeColor="text1"/>
                <w:lang w:val="en-GB" w:eastAsia="ja-JP"/>
              </w:rPr>
              <w:t>N</w:t>
            </w:r>
            <w:r w:rsidRPr="00773FE4">
              <w:rPr>
                <w:color w:val="000000" w:themeColor="text1"/>
                <w:lang w:val="en-GB" w:eastAsia="ja-JP"/>
              </w:rPr>
              <w:t>eutrali</w:t>
            </w:r>
            <w:r w:rsidR="00F20468">
              <w:rPr>
                <w:color w:val="000000" w:themeColor="text1"/>
                <w:lang w:val="en-GB" w:eastAsia="ja-JP"/>
              </w:rPr>
              <w:t>s</w:t>
            </w:r>
            <w:r w:rsidRPr="00773FE4">
              <w:rPr>
                <w:color w:val="000000" w:themeColor="text1"/>
                <w:lang w:val="en-GB" w:eastAsia="ja-JP"/>
              </w:rPr>
              <w:t>ing antibod</w:t>
            </w:r>
            <w:r>
              <w:rPr>
                <w:color w:val="000000" w:themeColor="text1"/>
                <w:lang w:val="en-GB" w:eastAsia="ja-JP"/>
              </w:rPr>
              <w:t>y</w:t>
            </w:r>
          </w:p>
        </w:tc>
      </w:tr>
      <w:tr w:rsidR="002C307A" w:rsidRPr="00E86D7A" w14:paraId="1FF482B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7F5205" w14:textId="7A74F294" w:rsidR="002C307A" w:rsidRPr="00E86D7A" w:rsidRDefault="002C307A" w:rsidP="002C307A">
            <w:pPr>
              <w:rPr>
                <w:szCs w:val="22"/>
              </w:rPr>
            </w:pPr>
            <w:r w:rsidRPr="00E86D7A">
              <w:rPr>
                <w:iCs/>
                <w:color w:val="auto"/>
              </w:rPr>
              <w:t xml:space="preserve">NMJ </w:t>
            </w:r>
          </w:p>
        </w:tc>
        <w:tc>
          <w:tcPr>
            <w:tcW w:w="3800" w:type="pct"/>
          </w:tcPr>
          <w:p w14:paraId="1C7A6EAC" w14:textId="396B5F1E" w:rsidR="002C307A" w:rsidRPr="00E86D7A" w:rsidRDefault="002C307A" w:rsidP="002C307A">
            <w:pPr>
              <w:cnfStyle w:val="000000000000" w:firstRow="0" w:lastRow="0" w:firstColumn="0" w:lastColumn="0" w:oddVBand="0" w:evenVBand="0" w:oddHBand="0" w:evenHBand="0" w:firstRowFirstColumn="0" w:firstRowLastColumn="0" w:lastRowFirstColumn="0" w:lastRowLastColumn="0"/>
              <w:rPr>
                <w:iCs/>
                <w:color w:val="auto"/>
              </w:rPr>
            </w:pPr>
            <w:r w:rsidRPr="00E86D7A">
              <w:rPr>
                <w:iCs/>
                <w:color w:val="auto"/>
              </w:rPr>
              <w:t>Neuromuscular junctions</w:t>
            </w:r>
          </w:p>
        </w:tc>
      </w:tr>
      <w:tr w:rsidR="00840408" w:rsidRPr="00E86D7A" w14:paraId="6FCFD7A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117785" w14:textId="6793FF70" w:rsidR="00840408" w:rsidRPr="00E86D7A" w:rsidRDefault="00840408" w:rsidP="002C307A">
            <w:pPr>
              <w:rPr>
                <w:iCs/>
              </w:rPr>
            </w:pPr>
            <w:r w:rsidRPr="00E86D7A">
              <w:rPr>
                <w:iCs/>
              </w:rPr>
              <w:t>PD</w:t>
            </w:r>
          </w:p>
        </w:tc>
        <w:tc>
          <w:tcPr>
            <w:tcW w:w="3800" w:type="pct"/>
          </w:tcPr>
          <w:p w14:paraId="0322F9A5" w14:textId="0374354E" w:rsidR="00840408" w:rsidRPr="00E86D7A" w:rsidRDefault="00840408" w:rsidP="002C307A">
            <w:pPr>
              <w:cnfStyle w:val="000000000000" w:firstRow="0" w:lastRow="0" w:firstColumn="0" w:lastColumn="0" w:oddVBand="0" w:evenVBand="0" w:oddHBand="0" w:evenHBand="0" w:firstRowFirstColumn="0" w:firstRowLastColumn="0" w:lastRowFirstColumn="0" w:lastRowLastColumn="0"/>
              <w:rPr>
                <w:iCs/>
              </w:rPr>
            </w:pPr>
            <w:r w:rsidRPr="00E86D7A">
              <w:rPr>
                <w:iCs/>
              </w:rPr>
              <w:t>Pharmacodynamic</w:t>
            </w:r>
          </w:p>
        </w:tc>
      </w:tr>
      <w:tr w:rsidR="00395140" w:rsidRPr="00E86D7A"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E86D7A" w:rsidRDefault="00395140" w:rsidP="00324B33">
            <w:pPr>
              <w:rPr>
                <w:szCs w:val="22"/>
              </w:rPr>
            </w:pPr>
            <w:r w:rsidRPr="00E86D7A">
              <w:rPr>
                <w:szCs w:val="22"/>
              </w:rPr>
              <w:t>PI</w:t>
            </w:r>
          </w:p>
        </w:tc>
        <w:tc>
          <w:tcPr>
            <w:tcW w:w="3800" w:type="pct"/>
          </w:tcPr>
          <w:p w14:paraId="354B5DB5" w14:textId="3DAE38C1" w:rsidR="00395140" w:rsidRPr="00E86D7A" w:rsidRDefault="00395140" w:rsidP="00324B33">
            <w:pPr>
              <w:cnfStyle w:val="000000000000" w:firstRow="0" w:lastRow="0" w:firstColumn="0" w:lastColumn="0" w:oddVBand="0" w:evenVBand="0" w:oddHBand="0" w:evenHBand="0" w:firstRowFirstColumn="0" w:firstRowLastColumn="0" w:lastRowFirstColumn="0" w:lastRowLastColumn="0"/>
              <w:rPr>
                <w:iCs/>
                <w:color w:val="auto"/>
              </w:rPr>
            </w:pPr>
            <w:r w:rsidRPr="00E86D7A">
              <w:rPr>
                <w:iCs/>
                <w:color w:val="auto"/>
              </w:rPr>
              <w:t>Product Information</w:t>
            </w:r>
          </w:p>
        </w:tc>
      </w:tr>
      <w:tr w:rsidR="00A90BEB" w:rsidRPr="00E86D7A" w14:paraId="5EBB25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F2A50A" w14:textId="1B58B53E" w:rsidR="00A90BEB" w:rsidRPr="00E86D7A" w:rsidRDefault="00A90BEB" w:rsidP="00324B33">
            <w:pPr>
              <w:rPr>
                <w:szCs w:val="22"/>
              </w:rPr>
            </w:pPr>
            <w:r w:rsidRPr="00E86D7A">
              <w:rPr>
                <w:szCs w:val="22"/>
              </w:rPr>
              <w:t>PLEX</w:t>
            </w:r>
          </w:p>
        </w:tc>
        <w:tc>
          <w:tcPr>
            <w:tcW w:w="3800" w:type="pct"/>
          </w:tcPr>
          <w:p w14:paraId="50B22ED3" w14:textId="7EE16227" w:rsidR="00A90BEB" w:rsidRPr="00E86D7A" w:rsidRDefault="00A90BEB" w:rsidP="00A90BEB">
            <w:pPr>
              <w:cnfStyle w:val="000000000000" w:firstRow="0" w:lastRow="0" w:firstColumn="0" w:lastColumn="0" w:oddVBand="0" w:evenVBand="0" w:oddHBand="0" w:evenHBand="0" w:firstRowFirstColumn="0" w:firstRowLastColumn="0" w:lastRowFirstColumn="0" w:lastRowLastColumn="0"/>
              <w:rPr>
                <w:iCs/>
                <w:color w:val="auto"/>
              </w:rPr>
            </w:pPr>
            <w:r w:rsidRPr="00E86D7A">
              <w:rPr>
                <w:iCs/>
                <w:color w:val="auto"/>
              </w:rPr>
              <w:t>Plasma exchange</w:t>
            </w:r>
          </w:p>
        </w:tc>
      </w:tr>
      <w:tr w:rsidR="00840408" w:rsidRPr="00E86D7A" w14:paraId="591C01F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D97AA9" w14:textId="1EDC0871" w:rsidR="00840408" w:rsidRPr="00E86D7A" w:rsidRDefault="00840408" w:rsidP="00324B33">
            <w:pPr>
              <w:rPr>
                <w:szCs w:val="22"/>
              </w:rPr>
            </w:pPr>
            <w:r w:rsidRPr="00E86D7A">
              <w:rPr>
                <w:szCs w:val="22"/>
              </w:rPr>
              <w:t>PK</w:t>
            </w:r>
          </w:p>
        </w:tc>
        <w:tc>
          <w:tcPr>
            <w:tcW w:w="3800" w:type="pct"/>
          </w:tcPr>
          <w:p w14:paraId="0A43763F" w14:textId="60621AFD" w:rsidR="00840408" w:rsidRPr="00E86D7A" w:rsidRDefault="00840408" w:rsidP="00A90BEB">
            <w:pPr>
              <w:cnfStyle w:val="000000000000" w:firstRow="0" w:lastRow="0" w:firstColumn="0" w:lastColumn="0" w:oddVBand="0" w:evenVBand="0" w:oddHBand="0" w:evenHBand="0" w:firstRowFirstColumn="0" w:firstRowLastColumn="0" w:lastRowFirstColumn="0" w:lastRowLastColumn="0"/>
              <w:rPr>
                <w:iCs/>
              </w:rPr>
            </w:pPr>
            <w:r w:rsidRPr="00E86D7A">
              <w:rPr>
                <w:iCs/>
              </w:rPr>
              <w:t>Pharmacokinetic</w:t>
            </w:r>
          </w:p>
        </w:tc>
      </w:tr>
      <w:tr w:rsidR="00BB32F7" w:rsidRPr="00E86D7A" w14:paraId="1FC4736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FC03FD" w14:textId="238AF5EE" w:rsidR="00BB32F7" w:rsidRPr="00480EBC" w:rsidRDefault="00BB32F7" w:rsidP="00480EBC">
            <w:pPr>
              <w:rPr>
                <w:szCs w:val="22"/>
              </w:rPr>
            </w:pPr>
            <w:r w:rsidRPr="00480EBC">
              <w:rPr>
                <w:szCs w:val="22"/>
              </w:rPr>
              <w:t xml:space="preserve">PND1 </w:t>
            </w:r>
          </w:p>
        </w:tc>
        <w:tc>
          <w:tcPr>
            <w:tcW w:w="3800" w:type="pct"/>
          </w:tcPr>
          <w:p w14:paraId="7131D4FA" w14:textId="33B43611" w:rsidR="00BB32F7" w:rsidRPr="00480EBC" w:rsidRDefault="00480EBC" w:rsidP="00A90BEB">
            <w:pPr>
              <w:cnfStyle w:val="000000000000" w:firstRow="0" w:lastRow="0" w:firstColumn="0" w:lastColumn="0" w:oddVBand="0" w:evenVBand="0" w:oddHBand="0" w:evenHBand="0" w:firstRowFirstColumn="0" w:firstRowLastColumn="0" w:lastRowFirstColumn="0" w:lastRowLastColumn="0"/>
              <w:rPr>
                <w:iCs/>
              </w:rPr>
            </w:pPr>
            <w:r w:rsidRPr="00480EBC">
              <w:rPr>
                <w:iCs/>
              </w:rPr>
              <w:t>Postnatal day 1 (the day of birth)</w:t>
            </w:r>
          </w:p>
        </w:tc>
      </w:tr>
      <w:tr w:rsidR="001B28D7" w:rsidRPr="00E86D7A" w14:paraId="5AA11F3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93027F" w14:textId="42659F64" w:rsidR="001B28D7" w:rsidRPr="00E86D7A" w:rsidRDefault="001B28D7" w:rsidP="00324B33">
            <w:pPr>
              <w:rPr>
                <w:szCs w:val="22"/>
              </w:rPr>
            </w:pPr>
            <w:proofErr w:type="spellStart"/>
            <w:r>
              <w:rPr>
                <w:szCs w:val="22"/>
              </w:rPr>
              <w:t>PopPK</w:t>
            </w:r>
            <w:proofErr w:type="spellEnd"/>
          </w:p>
        </w:tc>
        <w:tc>
          <w:tcPr>
            <w:tcW w:w="3800" w:type="pct"/>
          </w:tcPr>
          <w:p w14:paraId="71D384F8" w14:textId="50F7DF8B" w:rsidR="001B28D7" w:rsidRPr="00E86D7A" w:rsidRDefault="001B28D7" w:rsidP="00A90BEB">
            <w:pPr>
              <w:cnfStyle w:val="000000000000" w:firstRow="0" w:lastRow="0" w:firstColumn="0" w:lastColumn="0" w:oddVBand="0" w:evenVBand="0" w:oddHBand="0" w:evenHBand="0" w:firstRowFirstColumn="0" w:firstRowLastColumn="0" w:lastRowFirstColumn="0" w:lastRowLastColumn="0"/>
              <w:rPr>
                <w:iCs/>
              </w:rPr>
            </w:pPr>
            <w:r>
              <w:rPr>
                <w:iCs/>
              </w:rPr>
              <w:t>Population pharmacokinetic</w:t>
            </w:r>
          </w:p>
        </w:tc>
      </w:tr>
      <w:tr w:rsidR="004B35ED" w:rsidRPr="00E86D7A" w14:paraId="3ED3993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39CC1E" w14:textId="422D6808" w:rsidR="004B35ED" w:rsidRPr="00E86D7A" w:rsidRDefault="004B35ED" w:rsidP="00324B33">
            <w:pPr>
              <w:rPr>
                <w:szCs w:val="22"/>
              </w:rPr>
            </w:pPr>
            <w:r w:rsidRPr="00E86D7A">
              <w:rPr>
                <w:szCs w:val="22"/>
              </w:rPr>
              <w:lastRenderedPageBreak/>
              <w:t>PRO</w:t>
            </w:r>
          </w:p>
        </w:tc>
        <w:tc>
          <w:tcPr>
            <w:tcW w:w="3800" w:type="pct"/>
          </w:tcPr>
          <w:p w14:paraId="55587D81" w14:textId="180C5C32" w:rsidR="004B35ED" w:rsidRPr="00E86D7A" w:rsidRDefault="004B35ED" w:rsidP="00A90BEB">
            <w:pPr>
              <w:cnfStyle w:val="000000000000" w:firstRow="0" w:lastRow="0" w:firstColumn="0" w:lastColumn="0" w:oddVBand="0" w:evenVBand="0" w:oddHBand="0" w:evenHBand="0" w:firstRowFirstColumn="0" w:firstRowLastColumn="0" w:lastRowFirstColumn="0" w:lastRowLastColumn="0"/>
              <w:rPr>
                <w:iCs/>
              </w:rPr>
            </w:pPr>
            <w:r w:rsidRPr="00E86D7A">
              <w:rPr>
                <w:rFonts w:eastAsia="Calibri" w:cs="Arial"/>
                <w:lang w:val="en-US"/>
              </w:rPr>
              <w:t>Patient-</w:t>
            </w:r>
            <w:r w:rsidR="00E86D7A" w:rsidRPr="00E86D7A">
              <w:rPr>
                <w:rFonts w:eastAsia="Calibri" w:cs="Arial"/>
                <w:lang w:val="en-US"/>
              </w:rPr>
              <w:t>r</w:t>
            </w:r>
            <w:r w:rsidRPr="00E86D7A">
              <w:rPr>
                <w:rFonts w:eastAsia="Calibri" w:cs="Arial"/>
                <w:lang w:val="en-US"/>
              </w:rPr>
              <w:t xml:space="preserve">eported </w:t>
            </w:r>
            <w:r w:rsidR="00E86D7A" w:rsidRPr="00E86D7A">
              <w:rPr>
                <w:rFonts w:eastAsia="Calibri" w:cs="Arial"/>
                <w:lang w:val="en-US"/>
              </w:rPr>
              <w:t>o</w:t>
            </w:r>
            <w:r w:rsidRPr="00E86D7A">
              <w:rPr>
                <w:rFonts w:eastAsia="Calibri" w:cs="Arial"/>
                <w:lang w:val="en-US"/>
              </w:rPr>
              <w:t>utcome</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E86D7A" w:rsidRDefault="00A704DC" w:rsidP="00A704DC">
            <w:pPr>
              <w:rPr>
                <w:szCs w:val="22"/>
              </w:rPr>
            </w:pPr>
            <w:r w:rsidRPr="00E86D7A">
              <w:rPr>
                <w:szCs w:val="22"/>
              </w:rPr>
              <w:t>PSUR</w:t>
            </w:r>
          </w:p>
        </w:tc>
        <w:tc>
          <w:tcPr>
            <w:tcW w:w="3800" w:type="pct"/>
          </w:tcPr>
          <w:p w14:paraId="4A97D112" w14:textId="3DC38D82" w:rsidR="00A704DC" w:rsidRPr="00E60917" w:rsidRDefault="00A704DC" w:rsidP="00A704DC">
            <w:pPr>
              <w:cnfStyle w:val="000000000000" w:firstRow="0" w:lastRow="0" w:firstColumn="0" w:lastColumn="0" w:oddVBand="0" w:evenVBand="0" w:oddHBand="0" w:evenHBand="0" w:firstRowFirstColumn="0" w:firstRowLastColumn="0" w:lastRowFirstColumn="0" w:lastRowLastColumn="0"/>
              <w:rPr>
                <w:iCs/>
                <w:color w:val="auto"/>
              </w:rPr>
            </w:pPr>
            <w:r w:rsidRPr="00E86D7A">
              <w:rPr>
                <w:iCs/>
                <w:color w:val="auto"/>
              </w:rPr>
              <w:t>Periodic safety update report</w:t>
            </w:r>
          </w:p>
        </w:tc>
      </w:tr>
      <w:tr w:rsidR="00E915AD" w:rsidRPr="00D01DDB" w14:paraId="6117667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6E823A" w14:textId="3D492200" w:rsidR="00E915AD" w:rsidRPr="00D01DDB" w:rsidRDefault="00E60917" w:rsidP="00EB4FE5">
            <w:r>
              <w:t>PT</w:t>
            </w:r>
          </w:p>
        </w:tc>
        <w:tc>
          <w:tcPr>
            <w:tcW w:w="3800" w:type="pct"/>
          </w:tcPr>
          <w:p w14:paraId="2F86CA9B" w14:textId="0DAD12A4" w:rsidR="00E915AD" w:rsidRPr="00E60917" w:rsidRDefault="00E60917" w:rsidP="00EB4FE5">
            <w:pPr>
              <w:cnfStyle w:val="000000000000" w:firstRow="0" w:lastRow="0" w:firstColumn="0" w:lastColumn="0" w:oddVBand="0" w:evenVBand="0" w:oddHBand="0" w:evenHBand="0" w:firstRowFirstColumn="0" w:firstRowLastColumn="0" w:lastRowFirstColumn="0" w:lastRowLastColumn="0"/>
              <w:rPr>
                <w:iCs/>
                <w:color w:val="auto"/>
              </w:rPr>
            </w:pPr>
            <w:r w:rsidRPr="00E60917">
              <w:rPr>
                <w:iCs/>
                <w:color w:val="auto"/>
              </w:rPr>
              <w:t>Preferred Term, in MedDRA</w:t>
            </w:r>
          </w:p>
        </w:tc>
      </w:tr>
      <w:tr w:rsidR="00EB4FE5" w:rsidRPr="00D01DDB" w14:paraId="369B737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3A0609" w14:textId="4671D692" w:rsidR="00EB4FE5" w:rsidRDefault="00E86D7A" w:rsidP="00EB4FE5">
            <w:r>
              <w:t>QMG</w:t>
            </w:r>
          </w:p>
        </w:tc>
        <w:tc>
          <w:tcPr>
            <w:tcW w:w="3800" w:type="pct"/>
          </w:tcPr>
          <w:p w14:paraId="0606313C" w14:textId="457E03B5" w:rsidR="00EB4FE5" w:rsidRPr="00E60917" w:rsidRDefault="00E86D7A" w:rsidP="00EB4FE5">
            <w:pPr>
              <w:cnfStyle w:val="000000000000" w:firstRow="0" w:lastRow="0" w:firstColumn="0" w:lastColumn="0" w:oddVBand="0" w:evenVBand="0" w:oddHBand="0" w:evenHBand="0" w:firstRowFirstColumn="0" w:firstRowLastColumn="0" w:lastRowFirstColumn="0" w:lastRowLastColumn="0"/>
              <w:rPr>
                <w:iCs/>
                <w:color w:val="auto"/>
              </w:rPr>
            </w:pPr>
            <w:r>
              <w:rPr>
                <w:rFonts w:eastAsia="Calibri" w:cs="Arial"/>
                <w:lang w:val="en-US"/>
              </w:rPr>
              <w:t>Q</w:t>
            </w:r>
            <w:r w:rsidR="00EB4FE5">
              <w:rPr>
                <w:rFonts w:eastAsia="Calibri" w:cs="Arial"/>
                <w:lang w:val="en-US"/>
              </w:rPr>
              <w:t>uantitative Myasthenia Gravis</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EB4FE5">
            <w:r w:rsidRPr="00D01DDB">
              <w:t>RMP</w:t>
            </w:r>
          </w:p>
        </w:tc>
        <w:tc>
          <w:tcPr>
            <w:tcW w:w="3800" w:type="pct"/>
          </w:tcPr>
          <w:p w14:paraId="2C862F75" w14:textId="2355E842" w:rsidR="00A704DC" w:rsidRPr="00E60917" w:rsidRDefault="00A704DC" w:rsidP="00EB4FE5">
            <w:pPr>
              <w:cnfStyle w:val="000000000000" w:firstRow="0" w:lastRow="0" w:firstColumn="0" w:lastColumn="0" w:oddVBand="0" w:evenVBand="0" w:oddHBand="0" w:evenHBand="0" w:firstRowFirstColumn="0" w:firstRowLastColumn="0" w:lastRowFirstColumn="0" w:lastRowLastColumn="0"/>
              <w:rPr>
                <w:iCs/>
                <w:color w:val="auto"/>
              </w:rPr>
            </w:pPr>
            <w:r w:rsidRPr="00E60917">
              <w:rPr>
                <w:iCs/>
                <w:color w:val="auto"/>
              </w:rPr>
              <w:t>Risk management plan</w:t>
            </w:r>
          </w:p>
        </w:tc>
      </w:tr>
      <w:tr w:rsidR="007A163D" w:rsidRPr="00D01DDB" w14:paraId="47ADF5E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1CF64E" w14:textId="12E57946" w:rsidR="007A163D" w:rsidRPr="00D01DDB" w:rsidRDefault="007A163D" w:rsidP="00A704DC">
            <w:pPr>
              <w:rPr>
                <w:szCs w:val="22"/>
              </w:rPr>
            </w:pPr>
            <w:r>
              <w:rPr>
                <w:szCs w:val="22"/>
              </w:rPr>
              <w:t>SC</w:t>
            </w:r>
          </w:p>
        </w:tc>
        <w:tc>
          <w:tcPr>
            <w:tcW w:w="3800" w:type="pct"/>
          </w:tcPr>
          <w:p w14:paraId="2021B1C7" w14:textId="22D4581B" w:rsidR="007A163D" w:rsidRPr="00E60917" w:rsidRDefault="007A163D" w:rsidP="00A704DC">
            <w:pPr>
              <w:cnfStyle w:val="000000000000" w:firstRow="0" w:lastRow="0" w:firstColumn="0" w:lastColumn="0" w:oddVBand="0" w:evenVBand="0" w:oddHBand="0" w:evenHBand="0" w:firstRowFirstColumn="0" w:firstRowLastColumn="0" w:lastRowFirstColumn="0" w:lastRowLastColumn="0"/>
              <w:rPr>
                <w:iCs/>
              </w:rPr>
            </w:pPr>
            <w:r>
              <w:rPr>
                <w:iCs/>
              </w:rPr>
              <w:t>Subcutaneous</w:t>
            </w:r>
          </w:p>
        </w:tc>
      </w:tr>
      <w:tr w:rsidR="005A1002" w:rsidRPr="00D01DDB" w14:paraId="1960F6E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D15686" w14:textId="10A9C4BB" w:rsidR="005A1002" w:rsidRPr="005A1002" w:rsidRDefault="005A1002" w:rsidP="00A704DC">
            <w:pPr>
              <w:rPr>
                <w:szCs w:val="22"/>
              </w:rPr>
            </w:pPr>
            <w:r w:rsidRPr="005A1002">
              <w:rPr>
                <w:szCs w:val="22"/>
              </w:rPr>
              <w:t>SCLE</w:t>
            </w:r>
          </w:p>
        </w:tc>
        <w:tc>
          <w:tcPr>
            <w:tcW w:w="3800" w:type="pct"/>
          </w:tcPr>
          <w:p w14:paraId="4AF0F7D8" w14:textId="4A7FD904" w:rsidR="005A1002" w:rsidRDefault="005A1002" w:rsidP="00A704DC">
            <w:pPr>
              <w:cnfStyle w:val="000000000000" w:firstRow="0" w:lastRow="0" w:firstColumn="0" w:lastColumn="0" w:oddVBand="0" w:evenVBand="0" w:oddHBand="0" w:evenHBand="0" w:firstRowFirstColumn="0" w:firstRowLastColumn="0" w:lastRowFirstColumn="0" w:lastRowLastColumn="0"/>
              <w:rPr>
                <w:iCs/>
              </w:rPr>
            </w:pPr>
            <w:r w:rsidRPr="005A1002">
              <w:rPr>
                <w:lang w:val="en-GB"/>
              </w:rPr>
              <w:t>Subacute cutaneous lupus erythematosus</w:t>
            </w:r>
          </w:p>
        </w:tc>
      </w:tr>
      <w:tr w:rsidR="00942A52" w:rsidRPr="00D01DDB" w14:paraId="491578B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BA453F" w14:textId="03B7A0C7" w:rsidR="00942A52" w:rsidRPr="005A1002" w:rsidRDefault="00942A52" w:rsidP="00A704DC">
            <w:pPr>
              <w:rPr>
                <w:szCs w:val="22"/>
              </w:rPr>
            </w:pPr>
            <w:r>
              <w:rPr>
                <w:szCs w:val="22"/>
              </w:rPr>
              <w:t>SMQ</w:t>
            </w:r>
          </w:p>
        </w:tc>
        <w:tc>
          <w:tcPr>
            <w:tcW w:w="3800" w:type="pct"/>
          </w:tcPr>
          <w:p w14:paraId="7DFF6011" w14:textId="0956EFDA" w:rsidR="00942A52" w:rsidRPr="005A1002" w:rsidRDefault="00942A52" w:rsidP="00A704DC">
            <w:pPr>
              <w:cnfStyle w:val="000000000000" w:firstRow="0" w:lastRow="0" w:firstColumn="0" w:lastColumn="0" w:oddVBand="0" w:evenVBand="0" w:oddHBand="0" w:evenHBand="0" w:firstRowFirstColumn="0" w:firstRowLastColumn="0" w:lastRowFirstColumn="0" w:lastRowLastColumn="0"/>
              <w:rPr>
                <w:lang w:val="en-GB"/>
              </w:rPr>
            </w:pPr>
            <w:r w:rsidRPr="00942A52">
              <w:rPr>
                <w:lang w:val="en-GB"/>
              </w:rPr>
              <w:t xml:space="preserve">Standardised MedDRA </w:t>
            </w:r>
            <w:r>
              <w:rPr>
                <w:lang w:val="en-GB"/>
              </w:rPr>
              <w:t>q</w:t>
            </w:r>
            <w:r w:rsidRPr="00942A52">
              <w:rPr>
                <w:lang w:val="en-GB"/>
              </w:rPr>
              <w:t>uery</w:t>
            </w:r>
          </w:p>
        </w:tc>
      </w:tr>
      <w:tr w:rsidR="00491149" w:rsidRPr="00D01DDB" w14:paraId="6AC8ADB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B14BA6" w14:textId="7771F3F3" w:rsidR="00491149" w:rsidRPr="00D01DDB" w:rsidRDefault="00E60917" w:rsidP="00A704DC">
            <w:pPr>
              <w:rPr>
                <w:szCs w:val="22"/>
              </w:rPr>
            </w:pPr>
            <w:r>
              <w:rPr>
                <w:szCs w:val="22"/>
              </w:rPr>
              <w:t>SOC</w:t>
            </w:r>
          </w:p>
        </w:tc>
        <w:tc>
          <w:tcPr>
            <w:tcW w:w="3800" w:type="pct"/>
          </w:tcPr>
          <w:p w14:paraId="6EAFD699" w14:textId="10E1AFF4" w:rsidR="00491149" w:rsidRPr="00E60917" w:rsidRDefault="00E60917" w:rsidP="00E60917">
            <w:pPr>
              <w:pStyle w:val="FootnoteText"/>
              <w:cnfStyle w:val="000000000000" w:firstRow="0" w:lastRow="0" w:firstColumn="0" w:lastColumn="0" w:oddVBand="0" w:evenVBand="0" w:oddHBand="0" w:evenHBand="0" w:firstRowFirstColumn="0" w:firstRowLastColumn="0" w:lastRowFirstColumn="0" w:lastRowLastColumn="0"/>
              <w:rPr>
                <w:iCs/>
                <w:color w:val="auto"/>
                <w:sz w:val="22"/>
              </w:rPr>
            </w:pPr>
            <w:r w:rsidRPr="00E60917">
              <w:rPr>
                <w:iCs/>
                <w:color w:val="auto"/>
                <w:sz w:val="22"/>
              </w:rPr>
              <w:t>System Organ Class, in MedDRA</w:t>
            </w:r>
          </w:p>
        </w:tc>
      </w:tr>
      <w:tr w:rsidR="006C063C" w:rsidRPr="00D01DDB" w14:paraId="245A459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AD5F43" w14:textId="1A3B1B20" w:rsidR="006C063C" w:rsidRDefault="006C063C" w:rsidP="00A704DC">
            <w:pPr>
              <w:rPr>
                <w:szCs w:val="22"/>
              </w:rPr>
            </w:pPr>
            <w:r>
              <w:rPr>
                <w:szCs w:val="22"/>
              </w:rPr>
              <w:t>TE-ADA</w:t>
            </w:r>
          </w:p>
        </w:tc>
        <w:tc>
          <w:tcPr>
            <w:tcW w:w="3800" w:type="pct"/>
          </w:tcPr>
          <w:p w14:paraId="292C5233" w14:textId="5F09B0C8" w:rsidR="006C063C" w:rsidRPr="00E60917" w:rsidRDefault="006C063C" w:rsidP="006C063C">
            <w:pPr>
              <w:cnfStyle w:val="000000000000" w:firstRow="0" w:lastRow="0" w:firstColumn="0" w:lastColumn="0" w:oddVBand="0" w:evenVBand="0" w:oddHBand="0" w:evenHBand="0" w:firstRowFirstColumn="0" w:firstRowLastColumn="0" w:lastRowFirstColumn="0" w:lastRowLastColumn="0"/>
              <w:rPr>
                <w:iCs/>
                <w:color w:val="auto"/>
              </w:rPr>
            </w:pPr>
            <w:r>
              <w:rPr>
                <w:color w:val="000000" w:themeColor="text1"/>
                <w:lang w:val="en-US" w:eastAsia="ja-JP"/>
              </w:rPr>
              <w:t>T</w:t>
            </w:r>
            <w:r w:rsidRPr="00773FE4">
              <w:rPr>
                <w:color w:val="000000" w:themeColor="text1"/>
                <w:lang w:val="en-US" w:eastAsia="ja-JP"/>
              </w:rPr>
              <w:t>reatment</w:t>
            </w:r>
            <w:r w:rsidR="00412DEB">
              <w:rPr>
                <w:color w:val="000000" w:themeColor="text1"/>
                <w:lang w:val="en-US" w:eastAsia="ja-JP"/>
              </w:rPr>
              <w:t>-</w:t>
            </w:r>
            <w:r w:rsidRPr="00773FE4">
              <w:rPr>
                <w:color w:val="000000" w:themeColor="text1"/>
                <w:lang w:val="en-US" w:eastAsia="ja-JP"/>
              </w:rPr>
              <w:t>emergent anti-drug antibod</w:t>
            </w:r>
            <w:r>
              <w:rPr>
                <w:color w:val="000000" w:themeColor="text1"/>
                <w:lang w:val="en-US" w:eastAsia="ja-JP"/>
              </w:rPr>
              <w:t>y</w:t>
            </w:r>
          </w:p>
        </w:tc>
      </w:tr>
      <w:tr w:rsidR="00412DEB" w:rsidRPr="00D01DDB" w14:paraId="7713F02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55012B" w14:textId="7FF5E0DB" w:rsidR="00412DEB" w:rsidRDefault="00412DEB" w:rsidP="00A704DC">
            <w:pPr>
              <w:rPr>
                <w:szCs w:val="22"/>
              </w:rPr>
            </w:pPr>
            <w:r>
              <w:rPr>
                <w:szCs w:val="22"/>
              </w:rPr>
              <w:t>TEAE</w:t>
            </w:r>
          </w:p>
        </w:tc>
        <w:tc>
          <w:tcPr>
            <w:tcW w:w="3800" w:type="pct"/>
          </w:tcPr>
          <w:p w14:paraId="761AA409" w14:textId="5420FC1B" w:rsidR="00412DEB" w:rsidRDefault="00412DEB" w:rsidP="006C063C">
            <w:pPr>
              <w:cnfStyle w:val="000000000000" w:firstRow="0" w:lastRow="0" w:firstColumn="0" w:lastColumn="0" w:oddVBand="0" w:evenVBand="0" w:oddHBand="0" w:evenHBand="0" w:firstRowFirstColumn="0" w:firstRowLastColumn="0" w:lastRowFirstColumn="0" w:lastRowLastColumn="0"/>
              <w:rPr>
                <w:color w:val="000000" w:themeColor="text1"/>
                <w:lang w:val="en-US" w:eastAsia="ja-JP"/>
              </w:rPr>
            </w:pPr>
            <w:r>
              <w:rPr>
                <w:color w:val="000000" w:themeColor="text1"/>
                <w:lang w:val="en-US" w:eastAsia="ja-JP"/>
              </w:rPr>
              <w:t>Treatment-emergent adverse event</w:t>
            </w:r>
          </w:p>
        </w:tc>
      </w:tr>
      <w:tr w:rsidR="00264240" w:rsidRPr="00D01DDB" w14:paraId="1EF82A8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1AFBCA" w14:textId="29B95334" w:rsidR="00264240" w:rsidRDefault="00264240" w:rsidP="00A704DC">
            <w:pPr>
              <w:rPr>
                <w:szCs w:val="22"/>
              </w:rPr>
            </w:pPr>
            <w:r>
              <w:rPr>
                <w:szCs w:val="22"/>
              </w:rPr>
              <w:t>TE-POS</w:t>
            </w:r>
          </w:p>
        </w:tc>
        <w:tc>
          <w:tcPr>
            <w:tcW w:w="3800" w:type="pct"/>
          </w:tcPr>
          <w:p w14:paraId="3C3A2DB4" w14:textId="06B44156" w:rsidR="00264240" w:rsidRDefault="006E58A7" w:rsidP="006C063C">
            <w:pPr>
              <w:cnfStyle w:val="000000000000" w:firstRow="0" w:lastRow="0" w:firstColumn="0" w:lastColumn="0" w:oddVBand="0" w:evenVBand="0" w:oddHBand="0" w:evenHBand="0" w:firstRowFirstColumn="0" w:firstRowLastColumn="0" w:lastRowFirstColumn="0" w:lastRowLastColumn="0"/>
              <w:rPr>
                <w:color w:val="000000" w:themeColor="text1"/>
                <w:lang w:val="en-US" w:eastAsia="ja-JP"/>
              </w:rPr>
            </w:pPr>
            <w:r>
              <w:rPr>
                <w:lang w:val="en-GB"/>
              </w:rPr>
              <w:t>T</w:t>
            </w:r>
            <w:r w:rsidR="00264240" w:rsidRPr="00532792">
              <w:rPr>
                <w:lang w:val="en-GB"/>
              </w:rPr>
              <w:t>reatment-emergent ADA pos</w:t>
            </w:r>
            <w:r>
              <w:rPr>
                <w:lang w:val="en-GB"/>
              </w:rPr>
              <w:t>itive</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204161804"/>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04161805"/>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654C3BA" w:rsidR="00324B33" w:rsidRPr="00BD5DBD" w:rsidRDefault="00324B33" w:rsidP="007452E8">
            <w:pPr>
              <w:rPr>
                <w:i/>
                <w:szCs w:val="22"/>
              </w:rPr>
            </w:pPr>
            <w:r w:rsidRPr="00BD5DBD">
              <w:rPr>
                <w:i/>
                <w:szCs w:val="22"/>
              </w:rPr>
              <w:t>Type of submission:</w:t>
            </w:r>
          </w:p>
        </w:tc>
        <w:tc>
          <w:tcPr>
            <w:tcW w:w="3423" w:type="pct"/>
          </w:tcPr>
          <w:p w14:paraId="4F07C303" w14:textId="00CBB544" w:rsidR="00324B33" w:rsidRPr="00BD5DBD" w:rsidRDefault="00324B33" w:rsidP="007452E8">
            <w:pPr>
              <w:rPr>
                <w:szCs w:val="22"/>
              </w:rPr>
            </w:pPr>
            <w:r w:rsidRPr="00BD5DBD">
              <w:rPr>
                <w:szCs w:val="22"/>
              </w:rPr>
              <w:t xml:space="preserve">New </w:t>
            </w:r>
            <w:r w:rsidR="0049472B">
              <w:rPr>
                <w:szCs w:val="22"/>
              </w:rPr>
              <w:t xml:space="preserve">biological </w:t>
            </w:r>
            <w:r w:rsidRPr="00BD5DBD">
              <w:rPr>
                <w:szCs w:val="22"/>
              </w:rPr>
              <w:t>entity</w:t>
            </w:r>
          </w:p>
        </w:tc>
      </w:tr>
      <w:tr w:rsidR="00324B33" w:rsidRPr="00BD5DBD" w14:paraId="13482B61" w14:textId="77777777" w:rsidTr="00F865A7">
        <w:tc>
          <w:tcPr>
            <w:tcW w:w="1577" w:type="pct"/>
          </w:tcPr>
          <w:p w14:paraId="2C427FCF" w14:textId="0BCA9B8E" w:rsidR="00324B33" w:rsidRPr="00BD5DBD" w:rsidRDefault="00324B33" w:rsidP="007452E8">
            <w:pPr>
              <w:rPr>
                <w:i/>
                <w:szCs w:val="22"/>
              </w:rPr>
            </w:pPr>
            <w:r w:rsidRPr="00BD5DBD">
              <w:rPr>
                <w:i/>
                <w:szCs w:val="22"/>
              </w:rPr>
              <w:t>Product name:</w:t>
            </w:r>
          </w:p>
        </w:tc>
        <w:tc>
          <w:tcPr>
            <w:tcW w:w="3423" w:type="pct"/>
          </w:tcPr>
          <w:p w14:paraId="0E2DEF76" w14:textId="4EE533CB" w:rsidR="00324B33" w:rsidRPr="00BD5DBD" w:rsidRDefault="00524622" w:rsidP="007452E8">
            <w:pPr>
              <w:rPr>
                <w:szCs w:val="22"/>
              </w:rPr>
            </w:pPr>
            <w:r>
              <w:rPr>
                <w:szCs w:val="22"/>
              </w:rPr>
              <w:t>Rystiggo</w:t>
            </w:r>
          </w:p>
        </w:tc>
      </w:tr>
      <w:tr w:rsidR="00324B33" w:rsidRPr="00BD5DBD" w14:paraId="01255B5B" w14:textId="77777777" w:rsidTr="00F865A7">
        <w:tc>
          <w:tcPr>
            <w:tcW w:w="1577" w:type="pct"/>
          </w:tcPr>
          <w:p w14:paraId="52B4F3D7" w14:textId="4ABB9808" w:rsidR="00324B33" w:rsidRPr="00BD5DBD" w:rsidRDefault="00324B33" w:rsidP="007452E8">
            <w:pPr>
              <w:rPr>
                <w:i/>
                <w:szCs w:val="22"/>
              </w:rPr>
            </w:pPr>
            <w:r w:rsidRPr="00BD5DBD">
              <w:rPr>
                <w:i/>
                <w:szCs w:val="22"/>
              </w:rPr>
              <w:t>Active ingredient:</w:t>
            </w:r>
          </w:p>
        </w:tc>
        <w:tc>
          <w:tcPr>
            <w:tcW w:w="3423" w:type="pct"/>
          </w:tcPr>
          <w:p w14:paraId="02FB6383" w14:textId="12BC89CF" w:rsidR="00324B33" w:rsidRPr="00BD5DBD" w:rsidRDefault="00524622" w:rsidP="007452E8">
            <w:pPr>
              <w:rPr>
                <w:szCs w:val="22"/>
              </w:rPr>
            </w:pPr>
            <w:r>
              <w:rPr>
                <w:szCs w:val="22"/>
              </w:rPr>
              <w:t>rozanolixizumab</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5125BE8D"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7967DC28" w:rsidR="00AE1947" w:rsidRPr="00BD5DBD" w:rsidRDefault="00E05A51" w:rsidP="001452EE">
            <w:pPr>
              <w:rPr>
                <w:szCs w:val="22"/>
              </w:rPr>
            </w:pPr>
            <w:r>
              <w:rPr>
                <w:szCs w:val="22"/>
              </w:rPr>
              <w:t>28 January 2025</w:t>
            </w:r>
          </w:p>
        </w:tc>
      </w:tr>
      <w:tr w:rsidR="00324B33" w:rsidRPr="00BD5DBD" w14:paraId="60A25F5A" w14:textId="77777777" w:rsidTr="00F865A7">
        <w:tc>
          <w:tcPr>
            <w:tcW w:w="1577" w:type="pct"/>
          </w:tcPr>
          <w:p w14:paraId="5C5E4CBA" w14:textId="24419FE8" w:rsidR="00324B33" w:rsidRPr="00BD5DBD" w:rsidRDefault="00324B33" w:rsidP="007452E8">
            <w:pPr>
              <w:rPr>
                <w:i/>
                <w:szCs w:val="22"/>
              </w:rPr>
            </w:pPr>
            <w:r w:rsidRPr="00BD5DBD">
              <w:rPr>
                <w:i/>
                <w:szCs w:val="22"/>
              </w:rPr>
              <w:t xml:space="preserve">Date of entry </w:t>
            </w:r>
            <w:r w:rsidR="00BB32F7">
              <w:rPr>
                <w:i/>
                <w:szCs w:val="22"/>
              </w:rPr>
              <w:t>i</w:t>
            </w:r>
            <w:r w:rsidRPr="00BD5DBD">
              <w:rPr>
                <w:i/>
                <w:szCs w:val="22"/>
              </w:rPr>
              <w:t>nto ARTG:</w:t>
            </w:r>
          </w:p>
        </w:tc>
        <w:tc>
          <w:tcPr>
            <w:tcW w:w="3423" w:type="pct"/>
          </w:tcPr>
          <w:p w14:paraId="28B270E9" w14:textId="01CD5EDF" w:rsidR="00324B33" w:rsidRPr="00BD5DBD" w:rsidRDefault="00037280" w:rsidP="007452E8">
            <w:pPr>
              <w:rPr>
                <w:szCs w:val="22"/>
              </w:rPr>
            </w:pPr>
            <w:r>
              <w:rPr>
                <w:szCs w:val="22"/>
              </w:rPr>
              <w:t>7 February 2025</w:t>
            </w:r>
          </w:p>
        </w:tc>
      </w:tr>
      <w:tr w:rsidR="00324B33" w:rsidRPr="00BD5DBD" w14:paraId="547E08D7" w14:textId="77777777" w:rsidTr="00F865A7">
        <w:tc>
          <w:tcPr>
            <w:tcW w:w="1577" w:type="pct"/>
          </w:tcPr>
          <w:p w14:paraId="5030EF30" w14:textId="46C9B522" w:rsidR="00324B33" w:rsidRPr="00BD5DBD" w:rsidRDefault="00324B33" w:rsidP="007452E8">
            <w:pPr>
              <w:rPr>
                <w:i/>
                <w:szCs w:val="22"/>
              </w:rPr>
            </w:pPr>
            <w:r w:rsidRPr="00BD5DBD">
              <w:rPr>
                <w:i/>
                <w:szCs w:val="22"/>
              </w:rPr>
              <w:t>ARTG number:</w:t>
            </w:r>
          </w:p>
        </w:tc>
        <w:tc>
          <w:tcPr>
            <w:tcW w:w="3423" w:type="pct"/>
          </w:tcPr>
          <w:p w14:paraId="0054E912" w14:textId="47322545" w:rsidR="00324B33" w:rsidRPr="00BD5DBD" w:rsidRDefault="009C6E99" w:rsidP="007452E8">
            <w:pPr>
              <w:rPr>
                <w:szCs w:val="22"/>
              </w:rPr>
            </w:pPr>
            <w:r>
              <w:rPr>
                <w:szCs w:val="22"/>
              </w:rPr>
              <w:t>427684</w:t>
            </w:r>
          </w:p>
        </w:tc>
      </w:tr>
      <w:tr w:rsidR="00324B33" w:rsidRPr="00BD5DBD" w14:paraId="7618393F" w14:textId="77777777" w:rsidTr="00F865A7">
        <w:tc>
          <w:tcPr>
            <w:tcW w:w="1577"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1C8C7876"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5D3272DB" w14:textId="16D9C788" w:rsidR="00324B33" w:rsidRDefault="00E77A55" w:rsidP="007452E8">
            <w:pPr>
              <w:rPr>
                <w:szCs w:val="22"/>
              </w:rPr>
            </w:pPr>
            <w:r w:rsidRPr="00E77A55">
              <w:rPr>
                <w:szCs w:val="22"/>
              </w:rPr>
              <w:t>UCB Australia Pty Ltd</w:t>
            </w:r>
            <w:r w:rsidR="00765040">
              <w:rPr>
                <w:szCs w:val="22"/>
              </w:rPr>
              <w:t>, t</w:t>
            </w:r>
            <w:r>
              <w:rPr>
                <w:szCs w:val="22"/>
              </w:rPr>
              <w:t>rading as</w:t>
            </w:r>
            <w:r w:rsidRPr="00E77A55">
              <w:rPr>
                <w:szCs w:val="22"/>
              </w:rPr>
              <w:t xml:space="preserve"> UCB Pharma Division of UCB Australia</w:t>
            </w:r>
          </w:p>
          <w:p w14:paraId="68DD94B0" w14:textId="706F88B9" w:rsidR="006E24A9" w:rsidRPr="00BD5DBD" w:rsidRDefault="006E24A9" w:rsidP="002C608B">
            <w:pPr>
              <w:rPr>
                <w:szCs w:val="22"/>
              </w:rPr>
            </w:pPr>
            <w:r w:rsidRPr="006E24A9">
              <w:rPr>
                <w:szCs w:val="22"/>
              </w:rPr>
              <w:t>Level 1, 1155 Malvern Road</w:t>
            </w:r>
            <w:r w:rsidR="002C608B">
              <w:rPr>
                <w:szCs w:val="22"/>
              </w:rPr>
              <w:t>, MALVERN</w:t>
            </w:r>
            <w:r w:rsidR="00187D46">
              <w:rPr>
                <w:szCs w:val="22"/>
              </w:rPr>
              <w:t xml:space="preserve">, </w:t>
            </w:r>
            <w:r w:rsidRPr="006E24A9">
              <w:rPr>
                <w:szCs w:val="22"/>
              </w:rPr>
              <w:t>VIC</w:t>
            </w:r>
            <w:r w:rsidR="00187D46">
              <w:rPr>
                <w:szCs w:val="22"/>
              </w:rPr>
              <w:t xml:space="preserve">, </w:t>
            </w:r>
            <w:r w:rsidRPr="006E24A9">
              <w:rPr>
                <w:szCs w:val="22"/>
              </w:rPr>
              <w:t>3144</w:t>
            </w:r>
          </w:p>
        </w:tc>
      </w:tr>
      <w:tr w:rsidR="00324B33" w:rsidRPr="00BD5DBD" w14:paraId="5322B989" w14:textId="77777777" w:rsidTr="00F865A7">
        <w:tc>
          <w:tcPr>
            <w:tcW w:w="1577" w:type="pct"/>
          </w:tcPr>
          <w:p w14:paraId="24F217E3" w14:textId="08383E1F" w:rsidR="00324B33" w:rsidRPr="00BD5DBD" w:rsidRDefault="00324B33" w:rsidP="007452E8">
            <w:pPr>
              <w:rPr>
                <w:i/>
                <w:szCs w:val="22"/>
              </w:rPr>
            </w:pPr>
            <w:r w:rsidRPr="00BD5DBD">
              <w:rPr>
                <w:i/>
                <w:szCs w:val="22"/>
              </w:rPr>
              <w:t>Dose form:</w:t>
            </w:r>
          </w:p>
        </w:tc>
        <w:tc>
          <w:tcPr>
            <w:tcW w:w="3423" w:type="pct"/>
          </w:tcPr>
          <w:p w14:paraId="768B254C" w14:textId="7FD63471" w:rsidR="00324B33" w:rsidRPr="00BD5DBD" w:rsidRDefault="00CB3675" w:rsidP="007452E8">
            <w:pPr>
              <w:rPr>
                <w:szCs w:val="22"/>
              </w:rPr>
            </w:pPr>
            <w:r>
              <w:rPr>
                <w:szCs w:val="22"/>
              </w:rPr>
              <w:t xml:space="preserve">Solution </w:t>
            </w:r>
            <w:r w:rsidR="0049472B">
              <w:rPr>
                <w:szCs w:val="22"/>
              </w:rPr>
              <w:t>for</w:t>
            </w:r>
            <w:r>
              <w:rPr>
                <w:szCs w:val="22"/>
              </w:rPr>
              <w:t xml:space="preserve"> injection for infusion</w:t>
            </w:r>
          </w:p>
        </w:tc>
      </w:tr>
      <w:tr w:rsidR="00324B33" w:rsidRPr="00BD5DBD" w14:paraId="115243E6" w14:textId="77777777" w:rsidTr="00F865A7">
        <w:tc>
          <w:tcPr>
            <w:tcW w:w="1577" w:type="pct"/>
          </w:tcPr>
          <w:p w14:paraId="7634B062" w14:textId="68190334" w:rsidR="00324B33" w:rsidRPr="00BD5DBD" w:rsidRDefault="00324B33" w:rsidP="007452E8">
            <w:pPr>
              <w:rPr>
                <w:i/>
                <w:szCs w:val="22"/>
              </w:rPr>
            </w:pPr>
            <w:r w:rsidRPr="00BD5DBD">
              <w:rPr>
                <w:i/>
                <w:szCs w:val="22"/>
              </w:rPr>
              <w:t>Strength:</w:t>
            </w:r>
          </w:p>
        </w:tc>
        <w:tc>
          <w:tcPr>
            <w:tcW w:w="3423" w:type="pct"/>
          </w:tcPr>
          <w:p w14:paraId="5E5F83DB" w14:textId="3D0771DC" w:rsidR="00324B33" w:rsidRPr="00BD5DBD" w:rsidRDefault="008A123E" w:rsidP="007452E8">
            <w:pPr>
              <w:rPr>
                <w:szCs w:val="22"/>
              </w:rPr>
            </w:pPr>
            <w:r>
              <w:rPr>
                <w:szCs w:val="22"/>
              </w:rPr>
              <w:t>140 mg/mL</w:t>
            </w:r>
          </w:p>
        </w:tc>
      </w:tr>
      <w:tr w:rsidR="00324B33" w:rsidRPr="00BD5DBD" w14:paraId="34B07BA6" w14:textId="77777777" w:rsidTr="00F865A7">
        <w:tc>
          <w:tcPr>
            <w:tcW w:w="1577" w:type="pct"/>
          </w:tcPr>
          <w:p w14:paraId="1C039224" w14:textId="0DE6B5FB" w:rsidR="00324B33" w:rsidRPr="00BD5DBD" w:rsidRDefault="00324B33" w:rsidP="007452E8">
            <w:pPr>
              <w:rPr>
                <w:i/>
                <w:szCs w:val="22"/>
              </w:rPr>
            </w:pPr>
            <w:r w:rsidRPr="00BD5DBD">
              <w:rPr>
                <w:i/>
                <w:szCs w:val="22"/>
              </w:rPr>
              <w:t>Container:</w:t>
            </w:r>
          </w:p>
        </w:tc>
        <w:tc>
          <w:tcPr>
            <w:tcW w:w="3423" w:type="pct"/>
          </w:tcPr>
          <w:p w14:paraId="500A42C6" w14:textId="5A7A963D" w:rsidR="00324B33" w:rsidRPr="00BD5DBD" w:rsidRDefault="00CB3675" w:rsidP="007452E8">
            <w:pPr>
              <w:rPr>
                <w:szCs w:val="22"/>
              </w:rPr>
            </w:pPr>
            <w:r>
              <w:rPr>
                <w:szCs w:val="22"/>
              </w:rPr>
              <w:t>Vial</w:t>
            </w:r>
          </w:p>
        </w:tc>
      </w:tr>
      <w:tr w:rsidR="00324B33" w:rsidRPr="00BD5DBD" w14:paraId="176B6773" w14:textId="77777777" w:rsidTr="00F865A7">
        <w:tc>
          <w:tcPr>
            <w:tcW w:w="1577" w:type="pct"/>
          </w:tcPr>
          <w:p w14:paraId="71846159" w14:textId="488E5D22" w:rsidR="00324B33" w:rsidRPr="00BD5DBD" w:rsidRDefault="00324B33" w:rsidP="007452E8">
            <w:pPr>
              <w:rPr>
                <w:i/>
                <w:szCs w:val="22"/>
              </w:rPr>
            </w:pPr>
            <w:r w:rsidRPr="00BD5DBD">
              <w:rPr>
                <w:i/>
                <w:szCs w:val="22"/>
              </w:rPr>
              <w:t>Pack size:</w:t>
            </w:r>
          </w:p>
        </w:tc>
        <w:tc>
          <w:tcPr>
            <w:tcW w:w="3423" w:type="pct"/>
          </w:tcPr>
          <w:p w14:paraId="7E978F8F" w14:textId="20CE1A5D" w:rsidR="00324B33" w:rsidRPr="00BD5DBD" w:rsidRDefault="00641473" w:rsidP="007452E8">
            <w:pPr>
              <w:rPr>
                <w:szCs w:val="22"/>
              </w:rPr>
            </w:pPr>
            <w:r>
              <w:rPr>
                <w:szCs w:val="22"/>
              </w:rPr>
              <w:t>2 mL</w:t>
            </w:r>
          </w:p>
        </w:tc>
      </w:tr>
      <w:tr w:rsidR="00324B33" w:rsidRPr="00BD5DBD" w14:paraId="19A2544A" w14:textId="77777777" w:rsidTr="00F865A7">
        <w:tc>
          <w:tcPr>
            <w:tcW w:w="1577" w:type="pct"/>
          </w:tcPr>
          <w:p w14:paraId="0E6C5C0E" w14:textId="41B0B903"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w:t>
            </w:r>
            <w:r w:rsidR="00344DAD">
              <w:rPr>
                <w:i/>
                <w:szCs w:val="22"/>
              </w:rPr>
              <w:t>is</w:t>
            </w:r>
            <w:r w:rsidR="00E47E0C" w:rsidRPr="00BD5DBD">
              <w:rPr>
                <w:i/>
                <w:szCs w:val="22"/>
              </w:rPr>
              <w:t xml:space="preserve"> submission</w:t>
            </w:r>
            <w:r w:rsidRPr="00BD5DBD">
              <w:rPr>
                <w:i/>
                <w:szCs w:val="22"/>
              </w:rPr>
              <w:t>:</w:t>
            </w:r>
          </w:p>
        </w:tc>
        <w:tc>
          <w:tcPr>
            <w:tcW w:w="3423" w:type="pct"/>
          </w:tcPr>
          <w:p w14:paraId="6E143E2E" w14:textId="2342A2A8" w:rsidR="00324B33" w:rsidRPr="00BD5DBD" w:rsidRDefault="004E1390" w:rsidP="004E1390">
            <w:pPr>
              <w:rPr>
                <w:szCs w:val="22"/>
              </w:rPr>
            </w:pPr>
            <w:r w:rsidRPr="004E1390">
              <w:rPr>
                <w:szCs w:val="22"/>
              </w:rPr>
              <w:t>Rystiggo is indicated as an add-on to standard therapy for the treatment of generalised</w:t>
            </w:r>
            <w:r>
              <w:rPr>
                <w:szCs w:val="22"/>
              </w:rPr>
              <w:t xml:space="preserve"> </w:t>
            </w:r>
            <w:r w:rsidRPr="004E1390">
              <w:rPr>
                <w:szCs w:val="22"/>
              </w:rPr>
              <w:t>myasthenia gravis (</w:t>
            </w:r>
            <w:proofErr w:type="spellStart"/>
            <w:r w:rsidRPr="004E1390">
              <w:rPr>
                <w:szCs w:val="22"/>
              </w:rPr>
              <w:t>gMG</w:t>
            </w:r>
            <w:proofErr w:type="spellEnd"/>
            <w:r w:rsidRPr="004E1390">
              <w:rPr>
                <w:szCs w:val="22"/>
              </w:rPr>
              <w:t>) in adult patients who are anti-acetylcholine receptor (</w:t>
            </w:r>
            <w:proofErr w:type="spellStart"/>
            <w:r w:rsidRPr="004E1390">
              <w:rPr>
                <w:szCs w:val="22"/>
              </w:rPr>
              <w:t>AChR</w:t>
            </w:r>
            <w:proofErr w:type="spellEnd"/>
            <w:r w:rsidRPr="004E1390">
              <w:rPr>
                <w:szCs w:val="22"/>
              </w:rPr>
              <w:t>)</w:t>
            </w:r>
            <w:r>
              <w:rPr>
                <w:szCs w:val="22"/>
              </w:rPr>
              <w:t xml:space="preserve"> </w:t>
            </w:r>
            <w:r w:rsidRPr="004E1390">
              <w:rPr>
                <w:szCs w:val="22"/>
              </w:rPr>
              <w:t>or anti-muscle-specific tyrosine kinase (</w:t>
            </w:r>
            <w:proofErr w:type="spellStart"/>
            <w:r w:rsidRPr="004E1390">
              <w:rPr>
                <w:szCs w:val="22"/>
              </w:rPr>
              <w:t>MuSK</w:t>
            </w:r>
            <w:proofErr w:type="spellEnd"/>
            <w:r w:rsidRPr="004E1390">
              <w:rPr>
                <w:szCs w:val="22"/>
              </w:rPr>
              <w:t>) antibody positive</w:t>
            </w:r>
            <w:r>
              <w:rPr>
                <w:szCs w:val="22"/>
              </w:rPr>
              <w:t>.</w:t>
            </w:r>
          </w:p>
        </w:tc>
      </w:tr>
      <w:tr w:rsidR="00324B33" w:rsidRPr="00BD5DBD" w14:paraId="5AFDEED3" w14:textId="77777777" w:rsidTr="00F865A7">
        <w:tc>
          <w:tcPr>
            <w:tcW w:w="1577" w:type="pct"/>
          </w:tcPr>
          <w:p w14:paraId="03884BD1" w14:textId="7D7988AE" w:rsidR="00324B33" w:rsidRPr="00BD5DBD" w:rsidRDefault="00324B33" w:rsidP="007452E8">
            <w:pPr>
              <w:rPr>
                <w:i/>
                <w:szCs w:val="22"/>
              </w:rPr>
            </w:pPr>
            <w:r w:rsidRPr="00BD5DBD">
              <w:rPr>
                <w:i/>
                <w:szCs w:val="22"/>
              </w:rPr>
              <w:t>Route of administration:</w:t>
            </w:r>
          </w:p>
        </w:tc>
        <w:tc>
          <w:tcPr>
            <w:tcW w:w="3423" w:type="pct"/>
          </w:tcPr>
          <w:p w14:paraId="1ED1357E" w14:textId="4780651D" w:rsidR="00324B33" w:rsidRPr="00BD5DBD" w:rsidRDefault="00635FAB" w:rsidP="007452E8">
            <w:pPr>
              <w:rPr>
                <w:szCs w:val="22"/>
              </w:rPr>
            </w:pPr>
            <w:r>
              <w:rPr>
                <w:szCs w:val="22"/>
              </w:rPr>
              <w:t>Subcutaneous</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734DBCA0" w14:textId="7F8E1EB1" w:rsidR="00975CC8" w:rsidRDefault="00975CC8" w:rsidP="007452E8">
            <w:pPr>
              <w:rPr>
                <w:szCs w:val="22"/>
              </w:rPr>
            </w:pPr>
            <w:r w:rsidRPr="00E77FC5">
              <w:rPr>
                <w:color w:val="000000" w:themeColor="text1"/>
                <w:sz w:val="20"/>
                <w:lang w:val="en-US"/>
              </w:rPr>
              <w:t xml:space="preserve">Weight-tiered dose of </w:t>
            </w:r>
            <w:r>
              <w:rPr>
                <w:color w:val="000000" w:themeColor="text1"/>
                <w:sz w:val="20"/>
                <w:lang w:val="en-US"/>
              </w:rPr>
              <w:t>approximately</w:t>
            </w:r>
            <w:r w:rsidR="00A81F12">
              <w:rPr>
                <w:color w:val="000000" w:themeColor="text1"/>
                <w:sz w:val="20"/>
                <w:lang w:val="en-US"/>
              </w:rPr>
              <w:t xml:space="preserve"> </w:t>
            </w:r>
            <w:r w:rsidRPr="00E77FC5">
              <w:rPr>
                <w:color w:val="000000" w:themeColor="text1"/>
                <w:sz w:val="20"/>
                <w:lang w:val="en-US"/>
              </w:rPr>
              <w:t>7</w:t>
            </w:r>
            <w:r>
              <w:rPr>
                <w:color w:val="000000" w:themeColor="text1"/>
                <w:sz w:val="20"/>
                <w:lang w:val="en-US"/>
              </w:rPr>
              <w:t> </w:t>
            </w:r>
            <w:r w:rsidRPr="00E77FC5">
              <w:rPr>
                <w:color w:val="000000" w:themeColor="text1"/>
                <w:sz w:val="20"/>
                <w:lang w:val="en-US"/>
              </w:rPr>
              <w:t>mg/kg per week for 6</w:t>
            </w:r>
            <w:r>
              <w:rPr>
                <w:color w:val="000000" w:themeColor="text1"/>
                <w:sz w:val="20"/>
                <w:lang w:val="en-US"/>
              </w:rPr>
              <w:t> </w:t>
            </w:r>
            <w:r w:rsidRPr="00E77FC5">
              <w:rPr>
                <w:color w:val="000000" w:themeColor="text1"/>
                <w:sz w:val="20"/>
                <w:lang w:val="en-US"/>
              </w:rPr>
              <w:t>weeks administered via subcutaneous</w:t>
            </w:r>
            <w:r w:rsidR="00344DAD">
              <w:rPr>
                <w:color w:val="000000" w:themeColor="text1"/>
                <w:sz w:val="20"/>
                <w:lang w:val="en-US"/>
              </w:rPr>
              <w:t xml:space="preserve"> (</w:t>
            </w:r>
            <w:proofErr w:type="spellStart"/>
            <w:r w:rsidR="00344DAD">
              <w:rPr>
                <w:color w:val="000000" w:themeColor="text1"/>
                <w:sz w:val="20"/>
                <w:lang w:val="en-US"/>
              </w:rPr>
              <w:t>sc</w:t>
            </w:r>
            <w:proofErr w:type="spellEnd"/>
            <w:r w:rsidR="00344DAD">
              <w:rPr>
                <w:color w:val="000000" w:themeColor="text1"/>
                <w:sz w:val="20"/>
                <w:lang w:val="en-US"/>
              </w:rPr>
              <w:t>)</w:t>
            </w:r>
            <w:r w:rsidRPr="00E77FC5">
              <w:rPr>
                <w:color w:val="000000" w:themeColor="text1"/>
                <w:sz w:val="20"/>
                <w:lang w:val="en-US"/>
              </w:rPr>
              <w:t xml:space="preserve"> infusion. Treatment cycles are to be repeated based on clinical evaluation.</w:t>
            </w:r>
          </w:p>
          <w:p w14:paraId="3D0B2D5C" w14:textId="5DCCA066" w:rsidR="00324B33" w:rsidRPr="00BD5DBD" w:rsidRDefault="00324B33" w:rsidP="007452E8">
            <w:pPr>
              <w:rPr>
                <w:szCs w:val="22"/>
              </w:rPr>
            </w:pPr>
            <w:r w:rsidRPr="00BD5DBD">
              <w:rPr>
                <w:szCs w:val="22"/>
              </w:rPr>
              <w:t xml:space="preserve">For further information regarding dosage, </w:t>
            </w:r>
            <w:r w:rsidR="00975CC8">
              <w:rPr>
                <w:szCs w:val="22"/>
              </w:rPr>
              <w:t xml:space="preserve">including </w:t>
            </w:r>
            <w:r w:rsidR="006B7126">
              <w:rPr>
                <w:szCs w:val="22"/>
              </w:rPr>
              <w:t>dos</w:t>
            </w:r>
            <w:r w:rsidR="00975CC8">
              <w:rPr>
                <w:szCs w:val="22"/>
              </w:rPr>
              <w:t>e calculation</w:t>
            </w:r>
            <w:r w:rsidR="00F17EB2">
              <w:rPr>
                <w:szCs w:val="22"/>
              </w:rPr>
              <w:t xml:space="preserve"> by body weight</w:t>
            </w:r>
            <w:r w:rsidR="00975CC8">
              <w:rPr>
                <w:szCs w:val="22"/>
              </w:rPr>
              <w:t>,</w:t>
            </w:r>
            <w:r w:rsidR="00F17EB2">
              <w:rPr>
                <w:szCs w:val="22"/>
              </w:rPr>
              <w:t xml:space="preserve"> home administration</w:t>
            </w:r>
            <w:r w:rsidR="00E7135E">
              <w:rPr>
                <w:szCs w:val="22"/>
              </w:rPr>
              <w:t xml:space="preserve"> and criteria for discontinuation</w:t>
            </w:r>
            <w:r w:rsidR="00F17EB2">
              <w:rPr>
                <w:szCs w:val="22"/>
              </w:rPr>
              <w:t xml:space="preserve">, </w:t>
            </w:r>
            <w:r w:rsidRPr="00BD5DBD">
              <w:rPr>
                <w:szCs w:val="22"/>
              </w:rPr>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7AF9DA6D" w14:textId="4CBB7AE8" w:rsidR="0070330F" w:rsidRPr="007967C3" w:rsidRDefault="0053377D" w:rsidP="007967C3">
            <w:r>
              <w:t xml:space="preserve">Category </w:t>
            </w:r>
            <w:r w:rsidR="00935138">
              <w:t>D</w:t>
            </w:r>
            <w:r w:rsidR="00E0501F">
              <w:t xml:space="preserve">: </w:t>
            </w:r>
            <w:r w:rsidR="00E0501F" w:rsidRPr="00E0501F">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76497789" w14:textId="61575D7D" w:rsidR="0017005C" w:rsidRPr="00BD5DBD" w:rsidRDefault="00A81F12" w:rsidP="00306E72">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19"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w:t>
            </w:r>
            <w:r w:rsidRPr="00BD5DBD">
              <w:rPr>
                <w:szCs w:val="22"/>
              </w:rPr>
              <w:lastRenderedPageBreak/>
              <w:t xml:space="preserve">available from </w:t>
            </w:r>
            <w:hyperlink r:id="rId20"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04161806"/>
      <w:r>
        <w:lastRenderedPageBreak/>
        <w:t>Product background</w:t>
      </w:r>
      <w:bookmarkEnd w:id="11"/>
      <w:bookmarkEnd w:id="12"/>
      <w:bookmarkEnd w:id="13"/>
      <w:bookmarkEnd w:id="14"/>
    </w:p>
    <w:p w14:paraId="59BF31D1" w14:textId="0215C5F1" w:rsidR="001500A8" w:rsidRPr="00065839" w:rsidRDefault="00324B33" w:rsidP="00065839">
      <w:r w:rsidRPr="00065839">
        <w:t xml:space="preserve">This AusPAR describes the submission by </w:t>
      </w:r>
      <w:r w:rsidR="0048358F" w:rsidRPr="0048358F">
        <w:t xml:space="preserve">UCB Australia Pty Ltd </w:t>
      </w:r>
      <w:r w:rsidR="0048358F">
        <w:t>trading as</w:t>
      </w:r>
      <w:r w:rsidR="0048358F" w:rsidRPr="0048358F">
        <w:t xml:space="preserve"> UCB Pharma Division of UCB Australia</w:t>
      </w:r>
      <w:r w:rsidRPr="00065839">
        <w:t xml:space="preserve"> (the sponsor) to register </w:t>
      </w:r>
      <w:r w:rsidR="00E005B3" w:rsidRPr="00E005B3">
        <w:t>R</w:t>
      </w:r>
      <w:r w:rsidR="00E005B3">
        <w:t>ystiggo</w:t>
      </w:r>
      <w:r w:rsidR="00E005B3" w:rsidRPr="00E005B3">
        <w:t xml:space="preserve"> </w:t>
      </w:r>
      <w:r w:rsidR="00E005B3">
        <w:t>(</w:t>
      </w:r>
      <w:r w:rsidR="00E005B3" w:rsidRPr="00E005B3">
        <w:t>rozanolixizumab</w:t>
      </w:r>
      <w:r w:rsidR="00E005B3">
        <w:t>)</w:t>
      </w:r>
      <w:r w:rsidR="00E005B3" w:rsidRPr="00E005B3">
        <w:t xml:space="preserve"> 140</w:t>
      </w:r>
      <w:r w:rsidR="00E005B3">
        <w:t> </w:t>
      </w:r>
      <w:r w:rsidR="00E005B3" w:rsidRPr="00E005B3">
        <w:t xml:space="preserve">mg/mL solution for injection for infusion </w:t>
      </w:r>
      <w:r w:rsidR="00BA6489">
        <w:t xml:space="preserve">in </w:t>
      </w:r>
      <w:r w:rsidR="00E005B3" w:rsidRPr="00E005B3">
        <w:t>vial</w:t>
      </w:r>
      <w:r w:rsidR="00BA6489">
        <w:t>s</w:t>
      </w:r>
      <w:r w:rsidRPr="00065839">
        <w:t xml:space="preserve"> for the following proposed indication:</w:t>
      </w:r>
    </w:p>
    <w:p w14:paraId="220C04E8" w14:textId="207D603C" w:rsidR="007D02CE" w:rsidRDefault="007D02CE" w:rsidP="007D02CE">
      <w:pPr>
        <w:ind w:left="720"/>
      </w:pPr>
      <w:r w:rsidRPr="007D02CE">
        <w:t>Rozanolixizumab is indicated for the treatment of generalised myasthenia gravis (</w:t>
      </w:r>
      <w:proofErr w:type="spellStart"/>
      <w:r w:rsidRPr="007D02CE">
        <w:t>gMG</w:t>
      </w:r>
      <w:proofErr w:type="spellEnd"/>
      <w:r w:rsidRPr="007D02CE">
        <w:t>) in adult</w:t>
      </w:r>
      <w:r>
        <w:t xml:space="preserve"> </w:t>
      </w:r>
      <w:r w:rsidRPr="007D02CE">
        <w:t>patients.</w:t>
      </w:r>
    </w:p>
    <w:p w14:paraId="1E63A2AE" w14:textId="417C19DF" w:rsidR="00CB6813" w:rsidRDefault="00976A91" w:rsidP="00CB6813">
      <w:pPr>
        <w:pStyle w:val="Heading4"/>
      </w:pPr>
      <w:bookmarkStart w:id="15" w:name="_Toc204161807"/>
      <w:bookmarkStart w:id="16" w:name="_Toc314842485"/>
      <w:bookmarkStart w:id="17" w:name="_Toc247691504"/>
      <w:r>
        <w:t>Myasthenia gravis (MG)</w:t>
      </w:r>
      <w:bookmarkEnd w:id="15"/>
    </w:p>
    <w:p w14:paraId="4839C365" w14:textId="12B491C6" w:rsidR="002C307A" w:rsidRPr="002C307A" w:rsidRDefault="002C307A" w:rsidP="002C307A">
      <w:pPr>
        <w:rPr>
          <w:iCs/>
        </w:rPr>
      </w:pPr>
      <w:r w:rsidRPr="002C307A">
        <w:rPr>
          <w:iCs/>
        </w:rPr>
        <w:t>Myasthenia gravis (MG) is a rare, organ-specific, antibody-mediated autoimmune disease characteri</w:t>
      </w:r>
      <w:r>
        <w:rPr>
          <w:iCs/>
        </w:rPr>
        <w:t>s</w:t>
      </w:r>
      <w:r w:rsidRPr="002C307A">
        <w:rPr>
          <w:iCs/>
        </w:rPr>
        <w:t xml:space="preserve">ed by variable levels of weakness and fatigability of skeletal muscles caused by a defect in the action of acetylcholine at neuromuscular junctions (NMJ). The pathogenic autoantibodies against the </w:t>
      </w:r>
      <w:r w:rsidRPr="004E1390">
        <w:rPr>
          <w:szCs w:val="22"/>
        </w:rPr>
        <w:t>acetylcholine receptor</w:t>
      </w:r>
      <w:r w:rsidRPr="002C307A">
        <w:rPr>
          <w:iCs/>
        </w:rPr>
        <w:t xml:space="preserve"> </w:t>
      </w:r>
      <w:r>
        <w:rPr>
          <w:iCs/>
        </w:rPr>
        <w:t>(</w:t>
      </w:r>
      <w:proofErr w:type="spellStart"/>
      <w:r w:rsidRPr="002C307A">
        <w:rPr>
          <w:iCs/>
        </w:rPr>
        <w:t>AChR</w:t>
      </w:r>
      <w:proofErr w:type="spellEnd"/>
      <w:r>
        <w:rPr>
          <w:iCs/>
        </w:rPr>
        <w:t>)</w:t>
      </w:r>
      <w:r w:rsidRPr="002C307A">
        <w:rPr>
          <w:iCs/>
        </w:rPr>
        <w:t xml:space="preserve"> are primarily of the immunoglobulin</w:t>
      </w:r>
      <w:r>
        <w:rPr>
          <w:iCs/>
        </w:rPr>
        <w:t> </w:t>
      </w:r>
      <w:r w:rsidRPr="002C307A">
        <w:rPr>
          <w:iCs/>
        </w:rPr>
        <w:t>G</w:t>
      </w:r>
      <w:r>
        <w:rPr>
          <w:iCs/>
        </w:rPr>
        <w:t> </w:t>
      </w:r>
      <w:r w:rsidRPr="002C307A">
        <w:rPr>
          <w:iCs/>
        </w:rPr>
        <w:t xml:space="preserve">(IgG)1 or IgG3 isotype and induce a complement-dependent, T-cell mediated immunological attack directed at proteins in the postsynaptic membrane of the NMJ resulting in a decrease in the number of available </w:t>
      </w:r>
      <w:proofErr w:type="spellStart"/>
      <w:r w:rsidRPr="002C307A">
        <w:rPr>
          <w:iCs/>
        </w:rPr>
        <w:t>AChR</w:t>
      </w:r>
      <w:proofErr w:type="spellEnd"/>
      <w:r w:rsidRPr="002C307A">
        <w:rPr>
          <w:iCs/>
        </w:rPr>
        <w:t>. Other autoantibodies are directed against Muscle-Specific Kinase (</w:t>
      </w:r>
      <w:proofErr w:type="spellStart"/>
      <w:r w:rsidRPr="002C307A">
        <w:rPr>
          <w:iCs/>
        </w:rPr>
        <w:t>MuSK</w:t>
      </w:r>
      <w:proofErr w:type="spellEnd"/>
      <w:r w:rsidRPr="002C307A">
        <w:rPr>
          <w:iCs/>
        </w:rPr>
        <w:t>), that is an NMJ protein specifically expressed at the postsynaptic membrane, where it co-locali</w:t>
      </w:r>
      <w:r>
        <w:rPr>
          <w:iCs/>
        </w:rPr>
        <w:t>s</w:t>
      </w:r>
      <w:r w:rsidRPr="002C307A">
        <w:rPr>
          <w:iCs/>
        </w:rPr>
        <w:t xml:space="preserve">es with </w:t>
      </w:r>
      <w:proofErr w:type="spellStart"/>
      <w:r w:rsidRPr="002C307A">
        <w:rPr>
          <w:iCs/>
        </w:rPr>
        <w:t>AChR</w:t>
      </w:r>
      <w:proofErr w:type="spellEnd"/>
      <w:r w:rsidRPr="002C307A">
        <w:rPr>
          <w:iCs/>
        </w:rPr>
        <w:t xml:space="preserve">. </w:t>
      </w:r>
      <w:proofErr w:type="spellStart"/>
      <w:r w:rsidRPr="002C307A">
        <w:rPr>
          <w:iCs/>
        </w:rPr>
        <w:t>MuSK</w:t>
      </w:r>
      <w:proofErr w:type="spellEnd"/>
      <w:r w:rsidRPr="002C307A">
        <w:rPr>
          <w:iCs/>
        </w:rPr>
        <w:t xml:space="preserve"> plays a critical role in the maintenance of the normal functional integrity of the NMJ by mediating clustering of </w:t>
      </w:r>
      <w:proofErr w:type="spellStart"/>
      <w:r w:rsidRPr="002C307A">
        <w:rPr>
          <w:iCs/>
        </w:rPr>
        <w:t>AChR</w:t>
      </w:r>
      <w:proofErr w:type="spellEnd"/>
      <w:r w:rsidRPr="002C307A">
        <w:rPr>
          <w:iCs/>
        </w:rPr>
        <w:t xml:space="preserve">. The inhibition of </w:t>
      </w:r>
      <w:proofErr w:type="spellStart"/>
      <w:r w:rsidRPr="002C307A">
        <w:rPr>
          <w:iCs/>
        </w:rPr>
        <w:t>MuSK</w:t>
      </w:r>
      <w:proofErr w:type="spellEnd"/>
      <w:r w:rsidRPr="002C307A">
        <w:rPr>
          <w:iCs/>
        </w:rPr>
        <w:t xml:space="preserve"> synthesis has been found to cause </w:t>
      </w:r>
      <w:proofErr w:type="spellStart"/>
      <w:r w:rsidRPr="002C307A">
        <w:rPr>
          <w:iCs/>
        </w:rPr>
        <w:t>AChR</w:t>
      </w:r>
      <w:proofErr w:type="spellEnd"/>
      <w:r w:rsidRPr="002C307A">
        <w:rPr>
          <w:iCs/>
        </w:rPr>
        <w:t xml:space="preserve"> dispersion and endplate disruption.</w:t>
      </w:r>
    </w:p>
    <w:p w14:paraId="6B09DE65" w14:textId="6245D359" w:rsidR="002C307A" w:rsidRPr="002C307A" w:rsidRDefault="002C307A" w:rsidP="002C307A">
      <w:pPr>
        <w:rPr>
          <w:iCs/>
        </w:rPr>
      </w:pPr>
      <w:r w:rsidRPr="002C307A">
        <w:rPr>
          <w:iCs/>
        </w:rPr>
        <w:t>In approximately 85% of patients, MG progresses beyond the ocular muscles to affect multiple muscle groups throughout the body, a condition that is typically referred to as generali</w:t>
      </w:r>
      <w:r w:rsidR="00D55EE6">
        <w:rPr>
          <w:iCs/>
        </w:rPr>
        <w:t>s</w:t>
      </w:r>
      <w:r w:rsidRPr="002C307A">
        <w:rPr>
          <w:iCs/>
        </w:rPr>
        <w:t>ed myasthenia gravis (</w:t>
      </w:r>
      <w:proofErr w:type="spellStart"/>
      <w:r w:rsidRPr="002C307A">
        <w:rPr>
          <w:iCs/>
        </w:rPr>
        <w:t>gMG</w:t>
      </w:r>
      <w:proofErr w:type="spellEnd"/>
      <w:r w:rsidRPr="002C307A">
        <w:rPr>
          <w:iCs/>
        </w:rPr>
        <w:t>). In case of respiratory and bulbar muscle involvement, severely impaired breathing and swallowing can become life-threatening (MG crisis).</w:t>
      </w:r>
    </w:p>
    <w:p w14:paraId="7A57EA6D" w14:textId="394A932D" w:rsidR="00BC12F1" w:rsidRDefault="00926DE6" w:rsidP="00BC12F1">
      <w:r w:rsidRPr="00926DE6">
        <w:t>In 2021, the global prevalence of MG was estimated to be 12.4 people (ranging from 10.6 to 14.5) per 100,000 population.</w:t>
      </w:r>
      <w:r w:rsidR="001D2253">
        <w:rPr>
          <w:rStyle w:val="FootnoteReference"/>
        </w:rPr>
        <w:footnoteReference w:id="1"/>
      </w:r>
      <w:r w:rsidRPr="00926DE6">
        <w:t xml:space="preserve"> In Australia in 2009, there were 2,574 prevalent cases of MG, corresponding to an annual crude prevalence rate of 117.1 people per 1 million population.</w:t>
      </w:r>
      <w:r w:rsidR="00D20034">
        <w:rPr>
          <w:rStyle w:val="FootnoteReference"/>
        </w:rPr>
        <w:footnoteReference w:id="2"/>
      </w:r>
    </w:p>
    <w:p w14:paraId="255E083A" w14:textId="399A9521" w:rsidR="00CB6813" w:rsidRPr="008F27BC" w:rsidRDefault="00CB6813" w:rsidP="006F1265">
      <w:pPr>
        <w:pStyle w:val="Heading4"/>
      </w:pPr>
      <w:bookmarkStart w:id="18" w:name="_Toc204161808"/>
      <w:r w:rsidRPr="008F27BC">
        <w:t>Current treatment options</w:t>
      </w:r>
      <w:bookmarkEnd w:id="18"/>
    </w:p>
    <w:p w14:paraId="29010958" w14:textId="7C8E55BB" w:rsidR="00723C15" w:rsidRPr="008F27BC" w:rsidRDefault="00723C15" w:rsidP="00723C15">
      <w:r w:rsidRPr="008F27BC">
        <w:t>Current treatment options include:</w:t>
      </w:r>
    </w:p>
    <w:p w14:paraId="23B82330" w14:textId="7E271076" w:rsidR="00723C15" w:rsidRPr="008F27BC" w:rsidRDefault="00723C15" w:rsidP="00723C15">
      <w:pPr>
        <w:pStyle w:val="ListBullet"/>
      </w:pPr>
      <w:r w:rsidRPr="008F27BC">
        <w:t>anticholinesterase therapy– an attempt to strengthen neuromuscular transmission with the use of drugs such as pyridostigmine bromide and neostigmine</w:t>
      </w:r>
    </w:p>
    <w:p w14:paraId="6A2AB071" w14:textId="1E2B8909" w:rsidR="00723C15" w:rsidRPr="008F27BC" w:rsidRDefault="00723C15" w:rsidP="00723C15">
      <w:pPr>
        <w:pStyle w:val="ListBullet"/>
      </w:pPr>
      <w:r w:rsidRPr="008F27BC">
        <w:t>immunosuppressant therapy –</w:t>
      </w:r>
      <w:r w:rsidR="00797A58">
        <w:t xml:space="preserve"> including</w:t>
      </w:r>
      <w:r w:rsidRPr="008F27BC">
        <w:t xml:space="preserve"> </w:t>
      </w:r>
      <w:proofErr w:type="spellStart"/>
      <w:r w:rsidR="00797A58">
        <w:t>ravulizumab</w:t>
      </w:r>
      <w:proofErr w:type="spellEnd"/>
      <w:r w:rsidR="00797A58">
        <w:t xml:space="preserve">, </w:t>
      </w:r>
      <w:proofErr w:type="spellStart"/>
      <w:r w:rsidR="00797A58">
        <w:t>zilucoplan</w:t>
      </w:r>
      <w:proofErr w:type="spellEnd"/>
      <w:r w:rsidR="00797A58">
        <w:t xml:space="preserve">, </w:t>
      </w:r>
      <w:r w:rsidRPr="008F27BC">
        <w:t>prednisone</w:t>
      </w:r>
      <w:r w:rsidR="00797A58">
        <w:t>,</w:t>
      </w:r>
      <w:r w:rsidRPr="008F27BC">
        <w:t xml:space="preserve"> azathioprine</w:t>
      </w:r>
      <w:r w:rsidR="00797A58">
        <w:t>,</w:t>
      </w:r>
      <w:r w:rsidRPr="008F27BC">
        <w:t xml:space="preserve"> cyclophosphamide</w:t>
      </w:r>
      <w:r w:rsidR="00797A58">
        <w:t>,</w:t>
      </w:r>
      <w:r w:rsidRPr="008F27BC">
        <w:t xml:space="preserve"> c</w:t>
      </w:r>
      <w:r w:rsidR="000C45A9" w:rsidRPr="008F27BC">
        <w:t>i</w:t>
      </w:r>
      <w:r w:rsidRPr="008F27BC">
        <w:t>closporin</w:t>
      </w:r>
      <w:r w:rsidR="00797A58">
        <w:t>, and</w:t>
      </w:r>
      <w:r w:rsidRPr="008F27BC">
        <w:t xml:space="preserve"> mycophenolate mofetil</w:t>
      </w:r>
    </w:p>
    <w:p w14:paraId="26003FCE" w14:textId="6A50B7B1" w:rsidR="00723C15" w:rsidRPr="00723C15" w:rsidRDefault="00723C15" w:rsidP="00723C15">
      <w:pPr>
        <w:pStyle w:val="ListBullet"/>
      </w:pPr>
      <w:r>
        <w:t xml:space="preserve">other medicines </w:t>
      </w:r>
      <w:r w:rsidR="000C45A9">
        <w:t>–</w:t>
      </w:r>
      <w:r>
        <w:t xml:space="preserve"> </w:t>
      </w:r>
      <w:r w:rsidRPr="00723C15">
        <w:t>atropine</w:t>
      </w:r>
      <w:r w:rsidR="000C45A9">
        <w:t>,</w:t>
      </w:r>
      <w:r w:rsidRPr="00723C15">
        <w:t xml:space="preserve"> pro</w:t>
      </w:r>
      <w:r w:rsidR="000C45A9">
        <w:t xml:space="preserve">pantheline, </w:t>
      </w:r>
      <w:r w:rsidRPr="00723C15">
        <w:t>ephedrine</w:t>
      </w:r>
    </w:p>
    <w:p w14:paraId="13580FA5" w14:textId="6CD26673" w:rsidR="00723C15" w:rsidRPr="00723C15" w:rsidRDefault="00723C15" w:rsidP="001452EE">
      <w:pPr>
        <w:pStyle w:val="ListBullet"/>
      </w:pPr>
      <w:r>
        <w:t>non-medicine therapies such as p</w:t>
      </w:r>
      <w:r w:rsidRPr="00723C15">
        <w:t xml:space="preserve">lasma </w:t>
      </w:r>
      <w:r>
        <w:t>e</w:t>
      </w:r>
      <w:r w:rsidRPr="00723C15">
        <w:t>xchange</w:t>
      </w:r>
      <w:r>
        <w:t>, p</w:t>
      </w:r>
      <w:r w:rsidRPr="00723C15">
        <w:t>lasmapheresis</w:t>
      </w:r>
      <w:r>
        <w:t>, thymectomy, and i</w:t>
      </w:r>
      <w:r w:rsidRPr="00723C15">
        <w:t xml:space="preserve">ntravenous </w:t>
      </w:r>
      <w:r>
        <w:t>i</w:t>
      </w:r>
      <w:r w:rsidRPr="00723C15">
        <w:t>mmun</w:t>
      </w:r>
      <w:r>
        <w:t>og</w:t>
      </w:r>
      <w:r w:rsidRPr="00723C15">
        <w:t>lob</w:t>
      </w:r>
      <w:r>
        <w:t>ul</w:t>
      </w:r>
      <w:r w:rsidRPr="00723C15">
        <w:t>in</w:t>
      </w:r>
      <w:r w:rsidR="000C45A9">
        <w:t>.</w:t>
      </w:r>
    </w:p>
    <w:p w14:paraId="37C47E09" w14:textId="14D3762D" w:rsidR="00CB6813" w:rsidRDefault="00CB6813" w:rsidP="00CB6813">
      <w:pPr>
        <w:pStyle w:val="Heading4"/>
      </w:pPr>
      <w:bookmarkStart w:id="19" w:name="_Toc204161809"/>
      <w:r>
        <w:lastRenderedPageBreak/>
        <w:t>C</w:t>
      </w:r>
      <w:r w:rsidRPr="00DE1344">
        <w:t>linical rational</w:t>
      </w:r>
      <w:r w:rsidR="0025785B">
        <w:t>e</w:t>
      </w:r>
      <w:bookmarkEnd w:id="19"/>
    </w:p>
    <w:p w14:paraId="6A995105" w14:textId="7FBA9DFD" w:rsidR="001342F2" w:rsidRPr="0009394D" w:rsidRDefault="001342F2" w:rsidP="000C45A9">
      <w:pPr>
        <w:adjustRightInd w:val="0"/>
        <w:snapToGrid w:val="0"/>
        <w:rPr>
          <w:rFonts w:eastAsia="MS Mincho"/>
          <w:color w:val="000000" w:themeColor="text1"/>
          <w:lang w:val="en-GB" w:eastAsia="ja-JP"/>
        </w:rPr>
      </w:pPr>
      <w:r w:rsidRPr="3520B0C5">
        <w:rPr>
          <w:rFonts w:eastAsia="MS Mincho"/>
          <w:color w:val="000000" w:themeColor="text1"/>
          <w:lang w:val="en-GB" w:eastAsia="ja-JP"/>
        </w:rPr>
        <w:t xml:space="preserve">Rozanolixizumab is a humanised IgG4P </w:t>
      </w:r>
      <w:r w:rsidR="00724A44" w:rsidRPr="3520B0C5">
        <w:rPr>
          <w:rFonts w:eastAsia="Calibri" w:cs="Arial"/>
          <w:lang w:val="en-GB"/>
        </w:rPr>
        <w:t>monoclonal antibody (</w:t>
      </w:r>
      <w:proofErr w:type="spellStart"/>
      <w:r w:rsidR="00724A44" w:rsidRPr="3520B0C5">
        <w:rPr>
          <w:rFonts w:eastAsia="Calibri" w:cs="Arial"/>
          <w:lang w:val="en-GB"/>
        </w:rPr>
        <w:t>mAb</w:t>
      </w:r>
      <w:proofErr w:type="spellEnd"/>
      <w:r w:rsidR="3B5BF5AD" w:rsidRPr="3520B0C5">
        <w:rPr>
          <w:rFonts w:eastAsia="Calibri" w:cs="Arial"/>
          <w:lang w:val="en-GB"/>
        </w:rPr>
        <w:t>)</w:t>
      </w:r>
      <w:r w:rsidRPr="3520B0C5">
        <w:rPr>
          <w:rFonts w:eastAsia="MS Mincho"/>
          <w:color w:val="000000" w:themeColor="text1"/>
          <w:lang w:val="en-GB" w:eastAsia="ja-JP"/>
        </w:rPr>
        <w:t xml:space="preserve"> that binds with high affinity to the </w:t>
      </w:r>
      <w:r w:rsidR="00515314" w:rsidRPr="3520B0C5">
        <w:rPr>
          <w:rFonts w:eastAsia="Calibri" w:cs="Arial"/>
          <w:lang w:val="en-GB"/>
        </w:rPr>
        <w:t>neonatal Fc receptor (</w:t>
      </w:r>
      <w:proofErr w:type="spellStart"/>
      <w:r w:rsidRPr="3520B0C5">
        <w:rPr>
          <w:rFonts w:eastAsia="MS Mincho"/>
          <w:color w:val="000000" w:themeColor="text1"/>
          <w:lang w:val="en-GB" w:eastAsia="ja-JP"/>
        </w:rPr>
        <w:t>FcRn</w:t>
      </w:r>
      <w:proofErr w:type="spellEnd"/>
      <w:r w:rsidR="00515314" w:rsidRPr="3520B0C5">
        <w:rPr>
          <w:rFonts w:eastAsia="MS Mincho"/>
          <w:color w:val="000000" w:themeColor="text1"/>
          <w:lang w:val="en-GB" w:eastAsia="ja-JP"/>
        </w:rPr>
        <w:t>)</w:t>
      </w:r>
      <w:r w:rsidRPr="3520B0C5">
        <w:rPr>
          <w:rFonts w:eastAsia="MS Mincho"/>
          <w:color w:val="000000" w:themeColor="text1"/>
          <w:lang w:val="en-GB" w:eastAsia="ja-JP"/>
        </w:rPr>
        <w:t xml:space="preserve"> at both neutral and acidic pH and thereby inhibits the activity of </w:t>
      </w:r>
      <w:proofErr w:type="spellStart"/>
      <w:r w:rsidRPr="3520B0C5">
        <w:rPr>
          <w:rFonts w:eastAsia="MS Mincho"/>
          <w:color w:val="000000" w:themeColor="text1"/>
          <w:lang w:val="en-GB" w:eastAsia="ja-JP"/>
        </w:rPr>
        <w:t>FcRn</w:t>
      </w:r>
      <w:proofErr w:type="spellEnd"/>
      <w:r w:rsidRPr="3520B0C5">
        <w:rPr>
          <w:rFonts w:eastAsia="MS Mincho"/>
          <w:color w:val="000000" w:themeColor="text1"/>
          <w:lang w:val="en-GB" w:eastAsia="ja-JP"/>
        </w:rPr>
        <w:t xml:space="preserve"> without blocking the binding and recycling of albumin. By blocking the activity of </w:t>
      </w:r>
      <w:proofErr w:type="spellStart"/>
      <w:r w:rsidRPr="3520B0C5">
        <w:rPr>
          <w:rFonts w:eastAsia="MS Mincho"/>
          <w:color w:val="000000" w:themeColor="text1"/>
          <w:lang w:val="en-GB" w:eastAsia="ja-JP"/>
        </w:rPr>
        <w:t>FcRn</w:t>
      </w:r>
      <w:proofErr w:type="spellEnd"/>
      <w:r w:rsidRPr="3520B0C5">
        <w:rPr>
          <w:rFonts w:eastAsia="MS Mincho"/>
          <w:color w:val="000000" w:themeColor="text1"/>
          <w:lang w:val="en-GB" w:eastAsia="ja-JP"/>
        </w:rPr>
        <w:t>, rozanolixizumab accelerates the catabolism of IgG antibodies, including IgG autoantibodies. The aim is to reduce the concentration of pathogenic IgG in patients with autoimmune diseases mediated by the action of IgG autoantibodies.</w:t>
      </w:r>
    </w:p>
    <w:p w14:paraId="0D615854" w14:textId="77777777" w:rsidR="00324B33" w:rsidRPr="003F31A2" w:rsidRDefault="00324B33" w:rsidP="00324B33">
      <w:pPr>
        <w:pStyle w:val="Heading3"/>
      </w:pPr>
      <w:bookmarkStart w:id="20" w:name="_Toc103679291"/>
      <w:bookmarkStart w:id="21" w:name="_Toc204161810"/>
      <w:r>
        <w:t>Regulatory status</w:t>
      </w:r>
      <w:bookmarkEnd w:id="16"/>
      <w:bookmarkEnd w:id="17"/>
      <w:bookmarkEnd w:id="20"/>
      <w:bookmarkEnd w:id="21"/>
    </w:p>
    <w:p w14:paraId="72C889D6" w14:textId="7E200950" w:rsidR="0017005C" w:rsidRPr="00BD5DBD" w:rsidRDefault="0017005C" w:rsidP="00741AB9">
      <w:pPr>
        <w:pStyle w:val="Heading4"/>
      </w:pPr>
      <w:bookmarkStart w:id="22" w:name="_Toc204161811"/>
      <w:r w:rsidRPr="00BD5DBD">
        <w:t>Australian regulatory</w:t>
      </w:r>
      <w:r>
        <w:t xml:space="preserve"> sta</w:t>
      </w:r>
      <w:r w:rsidR="0025785B">
        <w:t>t</w:t>
      </w:r>
      <w:r>
        <w:t>us</w:t>
      </w:r>
      <w:bookmarkEnd w:id="22"/>
    </w:p>
    <w:p w14:paraId="6A8633FA" w14:textId="5E0F2901" w:rsidR="00324B33" w:rsidRDefault="00324B33" w:rsidP="00324B33">
      <w:pPr>
        <w:rPr>
          <w:szCs w:val="22"/>
        </w:rPr>
      </w:pPr>
      <w:r w:rsidRPr="00BD5DBD">
        <w:rPr>
          <w:szCs w:val="22"/>
        </w:rPr>
        <w:t>This product is considered a new biological entity for Australian regulatory purposes.</w:t>
      </w:r>
    </w:p>
    <w:p w14:paraId="546C1031" w14:textId="21B9389D" w:rsidR="0017005C" w:rsidRDefault="00976A91" w:rsidP="0017005C">
      <w:pPr>
        <w:pStyle w:val="Heading4"/>
      </w:pPr>
      <w:bookmarkStart w:id="23" w:name="_Toc204161812"/>
      <w:r>
        <w:t>International</w:t>
      </w:r>
      <w:r w:rsidRPr="00BD5DBD">
        <w:t xml:space="preserve"> </w:t>
      </w:r>
      <w:r w:rsidR="0017005C" w:rsidRPr="00BD5DBD">
        <w:t>regulatory</w:t>
      </w:r>
      <w:r w:rsidR="0017005C">
        <w:t xml:space="preserve"> status</w:t>
      </w:r>
      <w:bookmarkEnd w:id="23"/>
    </w:p>
    <w:p w14:paraId="3C09389F" w14:textId="22EC71BC" w:rsidR="00C133AB" w:rsidRPr="000C45A9" w:rsidRDefault="00C133AB" w:rsidP="00C133AB">
      <w:pPr>
        <w:rPr>
          <w:i/>
        </w:rPr>
      </w:pPr>
      <w:r w:rsidRPr="00BD5DBD">
        <w:rPr>
          <w:szCs w:val="22"/>
        </w:rPr>
        <w:t xml:space="preserve">This submission was evaluated as part of the </w:t>
      </w:r>
      <w:hyperlink r:id="rId21" w:history="1">
        <w:r w:rsidRPr="00BD5DBD">
          <w:rPr>
            <w:rStyle w:val="Hyperlink"/>
            <w:szCs w:val="22"/>
          </w:rPr>
          <w:t>Australia-Canada-Singapore-Switzerland-United Kingdom (ACCESS) Consortium</w:t>
        </w:r>
      </w:hyperlink>
      <w:r w:rsidRPr="00BD5DBD">
        <w:rPr>
          <w:szCs w:val="22"/>
        </w:rPr>
        <w:t xml:space="preserve"> with work-sharing between the TGA, </w:t>
      </w:r>
      <w:r w:rsidRPr="00774789">
        <w:t>Health Canada</w:t>
      </w:r>
      <w:r w:rsidR="007D02CE">
        <w:t xml:space="preserve"> and </w:t>
      </w:r>
      <w:proofErr w:type="spellStart"/>
      <w:r w:rsidRPr="00774789">
        <w:t>Swissmedic</w:t>
      </w:r>
      <w:proofErr w:type="spellEnd"/>
      <w:r w:rsidR="007D02CE">
        <w:t>.</w:t>
      </w:r>
      <w:r w:rsidRPr="00BD5DBD">
        <w:rPr>
          <w:szCs w:val="22"/>
        </w:rPr>
        <w:t xml:space="preserve"> </w:t>
      </w:r>
      <w:r w:rsidRPr="000C45A9">
        <w:rPr>
          <w:szCs w:val="22"/>
        </w:rPr>
        <w:t xml:space="preserve">Each regulator made independent decisions regarding </w:t>
      </w:r>
      <w:r w:rsidRPr="000C45A9">
        <w:t>approval (market authorisation) of the new medicine</w:t>
      </w:r>
      <w:r w:rsidR="007D02CE" w:rsidRPr="000C45A9">
        <w:t>.</w:t>
      </w:r>
    </w:p>
    <w:p w14:paraId="7FDF4A0B" w14:textId="55CFE756" w:rsidR="008F4A62" w:rsidRPr="000C45A9" w:rsidRDefault="008F4A62" w:rsidP="008F4A62">
      <w:r w:rsidRPr="000C45A9">
        <w:rPr>
          <w:szCs w:val="22"/>
        </w:rPr>
        <w:t>At the time the TGA considered this submission, a similar submission had been considered by other regulatory agencies. The following table summarises these submissions and provides the indications where approved.</w:t>
      </w:r>
    </w:p>
    <w:p w14:paraId="19B9E0AC" w14:textId="26B0BFA6" w:rsidR="00324B33" w:rsidRDefault="00324B33" w:rsidP="00324B33">
      <w:pPr>
        <w:pStyle w:val="TableTitle"/>
      </w:pPr>
      <w:bookmarkStart w:id="24" w:name="_Ref99705479"/>
      <w:r>
        <w:t xml:space="preserve">Table </w:t>
      </w:r>
      <w:r w:rsidR="007F1E37">
        <w:fldChar w:fldCharType="begin"/>
      </w:r>
      <w:r w:rsidR="007F1E37">
        <w:instrText xml:space="preserve"> SEQ Table \* ARABIC </w:instrText>
      </w:r>
      <w:r w:rsidR="007F1E37">
        <w:fldChar w:fldCharType="separate"/>
      </w:r>
      <w:r w:rsidR="00CA7747">
        <w:rPr>
          <w:noProof/>
        </w:rPr>
        <w:t>1</w:t>
      </w:r>
      <w:r w:rsidR="007F1E37">
        <w:rPr>
          <w:noProof/>
        </w:rPr>
        <w:fldChar w:fldCharType="end"/>
      </w:r>
      <w:bookmarkEnd w:id="24"/>
      <w:r>
        <w:t>: International regulatory status</w:t>
      </w:r>
      <w:r w:rsidR="000C70A5">
        <w:t xml:space="preserve"> </w:t>
      </w:r>
      <w:r w:rsidR="00BA112B">
        <w:t>at the time of</w:t>
      </w:r>
      <w:r w:rsidR="000C70A5">
        <w:t xml:space="preserve"> TGA approval</w:t>
      </w:r>
    </w:p>
    <w:tbl>
      <w:tblPr>
        <w:tblStyle w:val="TableTGAblue2023"/>
        <w:tblW w:w="5000" w:type="pct"/>
        <w:tblLook w:val="04A0" w:firstRow="1" w:lastRow="0" w:firstColumn="1" w:lastColumn="0" w:noHBand="0" w:noVBand="1"/>
      </w:tblPr>
      <w:tblGrid>
        <w:gridCol w:w="1837"/>
        <w:gridCol w:w="1845"/>
        <w:gridCol w:w="2125"/>
        <w:gridCol w:w="3253"/>
      </w:tblGrid>
      <w:tr w:rsidR="00324B33" w:rsidRPr="00D01DD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DC03C7">
            <w:r w:rsidRPr="00D01DDB">
              <w:t>Region</w:t>
            </w:r>
          </w:p>
        </w:tc>
        <w:tc>
          <w:tcPr>
            <w:tcW w:w="1018" w:type="pct"/>
          </w:tcPr>
          <w:p w14:paraId="778C35C7" w14:textId="52D23C85" w:rsidR="00324B33" w:rsidRPr="00D01DDB" w:rsidRDefault="00324B33" w:rsidP="00DC03C7">
            <w:pPr>
              <w:cnfStyle w:val="100000000000" w:firstRow="1" w:lastRow="0" w:firstColumn="0" w:lastColumn="0" w:oddVBand="0" w:evenVBand="0" w:oddHBand="0" w:evenHBand="0" w:firstRowFirstColumn="0" w:firstRowLastColumn="0" w:lastRowFirstColumn="0" w:lastRowLastColumn="0"/>
            </w:pPr>
            <w:r w:rsidRPr="00D01DDB">
              <w:t>Submission date</w:t>
            </w:r>
          </w:p>
        </w:tc>
        <w:tc>
          <w:tcPr>
            <w:tcW w:w="1173" w:type="pct"/>
          </w:tcPr>
          <w:p w14:paraId="58F81584" w14:textId="66689ABF" w:rsidR="00324B33" w:rsidRPr="00D01DDB" w:rsidRDefault="00324B33" w:rsidP="00DC03C7">
            <w:pPr>
              <w:cnfStyle w:val="100000000000" w:firstRow="1" w:lastRow="0" w:firstColumn="0" w:lastColumn="0" w:oddVBand="0" w:evenVBand="0" w:oddHBand="0" w:evenHBand="0" w:firstRowFirstColumn="0" w:firstRowLastColumn="0" w:lastRowFirstColumn="0" w:lastRowLastColumn="0"/>
            </w:pPr>
            <w:r w:rsidRPr="00D01DDB">
              <w:t>Status</w:t>
            </w:r>
          </w:p>
        </w:tc>
        <w:tc>
          <w:tcPr>
            <w:tcW w:w="1795" w:type="pct"/>
          </w:tcPr>
          <w:p w14:paraId="50B2D435" w14:textId="560588D2" w:rsidR="00324B33" w:rsidRPr="00D01DDB" w:rsidRDefault="00324B33" w:rsidP="00DC03C7">
            <w:pPr>
              <w:cnfStyle w:val="100000000000" w:firstRow="1" w:lastRow="0" w:firstColumn="0" w:lastColumn="0" w:oddVBand="0" w:evenVBand="0" w:oddHBand="0" w:evenHBand="0" w:firstRowFirstColumn="0" w:firstRowLastColumn="0" w:lastRowFirstColumn="0" w:lastRowLastColumn="0"/>
            </w:pPr>
            <w:r w:rsidRPr="00D01DDB">
              <w:t>Approved indications</w:t>
            </w:r>
          </w:p>
        </w:tc>
      </w:tr>
      <w:tr w:rsidR="006F6CB1" w:rsidRPr="00D01DDB" w14:paraId="4E919940"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6DE81F38" w14:textId="67A9FBD8" w:rsidR="006F6CB1" w:rsidRDefault="006F6CB1" w:rsidP="00DC03C7">
            <w:r>
              <w:t>USA</w:t>
            </w:r>
          </w:p>
        </w:tc>
        <w:tc>
          <w:tcPr>
            <w:tcW w:w="1018" w:type="pct"/>
          </w:tcPr>
          <w:p w14:paraId="7D02A0F3" w14:textId="769A3573" w:rsidR="006F6CB1" w:rsidRDefault="006F6CB1" w:rsidP="00DC03C7">
            <w:pPr>
              <w:cnfStyle w:val="000000000000" w:firstRow="0" w:lastRow="0" w:firstColumn="0" w:lastColumn="0" w:oddVBand="0" w:evenVBand="0" w:oddHBand="0" w:evenHBand="0" w:firstRowFirstColumn="0" w:firstRowLastColumn="0" w:lastRowFirstColumn="0" w:lastRowLastColumn="0"/>
            </w:pPr>
            <w:r>
              <w:t>24 October 2022</w:t>
            </w:r>
          </w:p>
        </w:tc>
        <w:tc>
          <w:tcPr>
            <w:tcW w:w="1173" w:type="pct"/>
          </w:tcPr>
          <w:p w14:paraId="68E582FC" w14:textId="007AB255" w:rsidR="006F6CB1" w:rsidRPr="00D01DDB" w:rsidRDefault="006F6CB1" w:rsidP="00DC03C7">
            <w:pPr>
              <w:cnfStyle w:val="000000000000" w:firstRow="0" w:lastRow="0" w:firstColumn="0" w:lastColumn="0" w:oddVBand="0" w:evenVBand="0" w:oddHBand="0" w:evenHBand="0" w:firstRowFirstColumn="0" w:firstRowLastColumn="0" w:lastRowFirstColumn="0" w:lastRowLastColumn="0"/>
            </w:pPr>
            <w:r>
              <w:t>Approved on 26 June 2023</w:t>
            </w:r>
          </w:p>
        </w:tc>
        <w:tc>
          <w:tcPr>
            <w:tcW w:w="1795" w:type="pct"/>
          </w:tcPr>
          <w:p w14:paraId="47DEEF5D" w14:textId="33BD6DB8" w:rsidR="006F6CB1" w:rsidRPr="00D01DDB" w:rsidRDefault="006F6CB1" w:rsidP="00DC03C7">
            <w:pPr>
              <w:cnfStyle w:val="000000000000" w:firstRow="0" w:lastRow="0" w:firstColumn="0" w:lastColumn="0" w:oddVBand="0" w:evenVBand="0" w:oddHBand="0" w:evenHBand="0" w:firstRowFirstColumn="0" w:firstRowLastColumn="0" w:lastRowFirstColumn="0" w:lastRowLastColumn="0"/>
            </w:pPr>
            <w:r w:rsidRPr="006F6CB1">
              <w:t>Treatment of generalised myasthenia gravis</w:t>
            </w:r>
            <w:r>
              <w:t xml:space="preserve"> </w:t>
            </w:r>
            <w:r w:rsidRPr="006F6CB1">
              <w:t>(</w:t>
            </w:r>
            <w:proofErr w:type="spellStart"/>
            <w:r w:rsidRPr="006F6CB1">
              <w:t>gMG</w:t>
            </w:r>
            <w:proofErr w:type="spellEnd"/>
            <w:r w:rsidRPr="006F6CB1">
              <w:t>)in adult patients who are anti</w:t>
            </w:r>
            <w:r w:rsidR="00B62667">
              <w:t>-</w:t>
            </w:r>
            <w:r w:rsidRPr="006F6CB1">
              <w:t>acetylcholine</w:t>
            </w:r>
            <w:r>
              <w:t xml:space="preserve"> </w:t>
            </w:r>
            <w:r w:rsidRPr="006F6CB1">
              <w:t>receptor (</w:t>
            </w:r>
            <w:proofErr w:type="spellStart"/>
            <w:r w:rsidRPr="006F6CB1">
              <w:t>AChR</w:t>
            </w:r>
            <w:proofErr w:type="spellEnd"/>
            <w:r w:rsidRPr="006F6CB1">
              <w:t>) or anti-muscle</w:t>
            </w:r>
            <w:r w:rsidR="00B62667">
              <w:t>-</w:t>
            </w:r>
            <w:r w:rsidRPr="006F6CB1">
              <w:t>specific</w:t>
            </w:r>
            <w:r>
              <w:t xml:space="preserve"> </w:t>
            </w:r>
            <w:r w:rsidRPr="006F6CB1">
              <w:t>tyrosine kinase (</w:t>
            </w:r>
            <w:proofErr w:type="spellStart"/>
            <w:r w:rsidRPr="006F6CB1">
              <w:t>MuSK</w:t>
            </w:r>
            <w:proofErr w:type="spellEnd"/>
            <w:r w:rsidRPr="006F6CB1">
              <w:t>) anti-body</w:t>
            </w:r>
            <w:r>
              <w:t xml:space="preserve"> </w:t>
            </w:r>
            <w:r w:rsidRPr="006F6CB1">
              <w:t>positive.</w:t>
            </w:r>
          </w:p>
        </w:tc>
      </w:tr>
      <w:tr w:rsidR="006F6CB1" w:rsidRPr="00D01DDB" w14:paraId="0573DD90"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63F5B257" w14:textId="78D6C60C" w:rsidR="006F6CB1" w:rsidRDefault="006F6CB1" w:rsidP="00DC03C7">
            <w:r>
              <w:t>Japan</w:t>
            </w:r>
          </w:p>
        </w:tc>
        <w:tc>
          <w:tcPr>
            <w:tcW w:w="1018" w:type="pct"/>
          </w:tcPr>
          <w:p w14:paraId="63C78CEB" w14:textId="128FEFFB" w:rsidR="006F6CB1" w:rsidRDefault="006F6CB1" w:rsidP="00DC03C7">
            <w:pPr>
              <w:cnfStyle w:val="000000000000" w:firstRow="0" w:lastRow="0" w:firstColumn="0" w:lastColumn="0" w:oddVBand="0" w:evenVBand="0" w:oddHBand="0" w:evenHBand="0" w:firstRowFirstColumn="0" w:firstRowLastColumn="0" w:lastRowFirstColumn="0" w:lastRowLastColumn="0"/>
            </w:pPr>
            <w:r>
              <w:t>28 February 2023</w:t>
            </w:r>
          </w:p>
        </w:tc>
        <w:tc>
          <w:tcPr>
            <w:tcW w:w="1173" w:type="pct"/>
          </w:tcPr>
          <w:p w14:paraId="797600FD" w14:textId="5270FABA" w:rsidR="006F6CB1" w:rsidRPr="00D01DDB" w:rsidRDefault="006F6CB1" w:rsidP="00DC03C7">
            <w:pPr>
              <w:cnfStyle w:val="000000000000" w:firstRow="0" w:lastRow="0" w:firstColumn="0" w:lastColumn="0" w:oddVBand="0" w:evenVBand="0" w:oddHBand="0" w:evenHBand="0" w:firstRowFirstColumn="0" w:firstRowLastColumn="0" w:lastRowFirstColumn="0" w:lastRowLastColumn="0"/>
            </w:pPr>
            <w:r>
              <w:t>Approved on 25 September 2023</w:t>
            </w:r>
          </w:p>
        </w:tc>
        <w:tc>
          <w:tcPr>
            <w:tcW w:w="1795" w:type="pct"/>
          </w:tcPr>
          <w:p w14:paraId="3F10E026" w14:textId="7C843540" w:rsidR="006F6CB1" w:rsidRPr="00D01DDB" w:rsidRDefault="006F6CB1" w:rsidP="00DC03C7">
            <w:pPr>
              <w:cnfStyle w:val="000000000000" w:firstRow="0" w:lastRow="0" w:firstColumn="0" w:lastColumn="0" w:oddVBand="0" w:evenVBand="0" w:oddHBand="0" w:evenHBand="0" w:firstRowFirstColumn="0" w:firstRowLastColumn="0" w:lastRowFirstColumn="0" w:lastRowLastColumn="0"/>
            </w:pPr>
            <w:r w:rsidRPr="006F6CB1">
              <w:t>Treatment of generalised myasthenia gravis (only</w:t>
            </w:r>
            <w:r>
              <w:t xml:space="preserve"> </w:t>
            </w:r>
            <w:r w:rsidRPr="006F6CB1">
              <w:t>for patients inadequately responding to</w:t>
            </w:r>
            <w:r>
              <w:t xml:space="preserve"> </w:t>
            </w:r>
            <w:r w:rsidRPr="006F6CB1">
              <w:t>corticosteroids or non</w:t>
            </w:r>
            <w:r w:rsidR="00B62667">
              <w:t>-</w:t>
            </w:r>
            <w:r w:rsidRPr="006F6CB1">
              <w:t>corticosteroid</w:t>
            </w:r>
            <w:r>
              <w:t xml:space="preserve"> </w:t>
            </w:r>
            <w:r w:rsidRPr="006F6CB1">
              <w:t>immunosuppressants).</w:t>
            </w:r>
          </w:p>
        </w:tc>
      </w:tr>
      <w:tr w:rsidR="006F6CB1" w:rsidRPr="00D01DDB" w14:paraId="2B1FF0B7" w14:textId="77777777" w:rsidTr="001452EE">
        <w:tc>
          <w:tcPr>
            <w:cnfStyle w:val="001000000000" w:firstRow="0" w:lastRow="0" w:firstColumn="1" w:lastColumn="0" w:oddVBand="0" w:evenVBand="0" w:oddHBand="0" w:evenHBand="0" w:firstRowFirstColumn="0" w:firstRowLastColumn="0" w:lastRowFirstColumn="0" w:lastRowLastColumn="0"/>
            <w:tcW w:w="1014" w:type="pct"/>
          </w:tcPr>
          <w:p w14:paraId="7DC16C6C" w14:textId="77777777" w:rsidR="006F6CB1" w:rsidRPr="00D01DDB" w:rsidRDefault="006F6CB1" w:rsidP="00DC03C7">
            <w:r>
              <w:lastRenderedPageBreak/>
              <w:t>Europe</w:t>
            </w:r>
          </w:p>
        </w:tc>
        <w:tc>
          <w:tcPr>
            <w:tcW w:w="1018" w:type="pct"/>
          </w:tcPr>
          <w:p w14:paraId="00696CCA" w14:textId="77777777" w:rsidR="006F6CB1" w:rsidRPr="00D01DDB" w:rsidRDefault="006F6CB1" w:rsidP="00DC03C7">
            <w:pPr>
              <w:cnfStyle w:val="000000000000" w:firstRow="0" w:lastRow="0" w:firstColumn="0" w:lastColumn="0" w:oddVBand="0" w:evenVBand="0" w:oddHBand="0" w:evenHBand="0" w:firstRowFirstColumn="0" w:firstRowLastColumn="0" w:lastRowFirstColumn="0" w:lastRowLastColumn="0"/>
            </w:pPr>
            <w:r>
              <w:t>3 November 2022</w:t>
            </w:r>
          </w:p>
        </w:tc>
        <w:tc>
          <w:tcPr>
            <w:tcW w:w="1173" w:type="pct"/>
          </w:tcPr>
          <w:p w14:paraId="677F371B" w14:textId="77777777" w:rsidR="006F6CB1" w:rsidRPr="00D01DDB" w:rsidRDefault="006F6CB1" w:rsidP="00DC03C7">
            <w:pPr>
              <w:cnfStyle w:val="000000000000" w:firstRow="0" w:lastRow="0" w:firstColumn="0" w:lastColumn="0" w:oddVBand="0" w:evenVBand="0" w:oddHBand="0" w:evenHBand="0" w:firstRowFirstColumn="0" w:firstRowLastColumn="0" w:lastRowFirstColumn="0" w:lastRowLastColumn="0"/>
            </w:pPr>
            <w:r w:rsidRPr="00D01DDB">
              <w:t xml:space="preserve">Approved on </w:t>
            </w:r>
            <w:r>
              <w:t>5 January 2024</w:t>
            </w:r>
          </w:p>
        </w:tc>
        <w:tc>
          <w:tcPr>
            <w:tcW w:w="1795" w:type="pct"/>
          </w:tcPr>
          <w:p w14:paraId="1671E9B8" w14:textId="0526EE4F" w:rsidR="006F6CB1" w:rsidRPr="00D01DDB" w:rsidRDefault="006F6CB1" w:rsidP="00DC03C7">
            <w:pPr>
              <w:cnfStyle w:val="000000000000" w:firstRow="0" w:lastRow="0" w:firstColumn="0" w:lastColumn="0" w:oddVBand="0" w:evenVBand="0" w:oddHBand="0" w:evenHBand="0" w:firstRowFirstColumn="0" w:firstRowLastColumn="0" w:lastRowFirstColumn="0" w:lastRowLastColumn="0"/>
            </w:pPr>
            <w:r w:rsidRPr="006F6CB1">
              <w:t>Rystiggo is indicated as an add-on to standard</w:t>
            </w:r>
            <w:r>
              <w:t xml:space="preserve"> </w:t>
            </w:r>
            <w:r w:rsidRPr="006F6CB1">
              <w:t>therapy for the treatment of generalised</w:t>
            </w:r>
            <w:r>
              <w:t xml:space="preserve"> </w:t>
            </w:r>
            <w:r w:rsidRPr="006F6CB1">
              <w:t>myasthenia gravis (</w:t>
            </w:r>
            <w:proofErr w:type="spellStart"/>
            <w:r w:rsidRPr="006F6CB1">
              <w:t>gMG</w:t>
            </w:r>
            <w:proofErr w:type="spellEnd"/>
            <w:r w:rsidRPr="006F6CB1">
              <w:t>) in adult patients who</w:t>
            </w:r>
            <w:r>
              <w:t xml:space="preserve"> </w:t>
            </w:r>
            <w:r w:rsidRPr="006F6CB1">
              <w:t>are anti-acetylcholine receptor (</w:t>
            </w:r>
            <w:proofErr w:type="spellStart"/>
            <w:r w:rsidRPr="006F6CB1">
              <w:t>AChR</w:t>
            </w:r>
            <w:proofErr w:type="spellEnd"/>
            <w:r w:rsidRPr="006F6CB1">
              <w:t>) or anti</w:t>
            </w:r>
            <w:r w:rsidR="00B62667">
              <w:t>-</w:t>
            </w:r>
            <w:r w:rsidRPr="006F6CB1">
              <w:t>muscle-specific tyrosine kinase (</w:t>
            </w:r>
            <w:proofErr w:type="spellStart"/>
            <w:r w:rsidRPr="006F6CB1">
              <w:t>MuSK</w:t>
            </w:r>
            <w:proofErr w:type="spellEnd"/>
            <w:r w:rsidRPr="006F6CB1">
              <w:t>) antibody</w:t>
            </w:r>
            <w:r>
              <w:t xml:space="preserve"> </w:t>
            </w:r>
            <w:r w:rsidRPr="006F6CB1">
              <w:t>positive.</w:t>
            </w:r>
          </w:p>
        </w:tc>
      </w:tr>
      <w:tr w:rsidR="006F6CB1" w:rsidRPr="00D01DDB" w14:paraId="5D559CC1"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6EC72658" w14:textId="3221B7D5" w:rsidR="006F6CB1" w:rsidRDefault="006F6CB1" w:rsidP="00DC03C7">
            <w:r>
              <w:t>UK</w:t>
            </w:r>
          </w:p>
        </w:tc>
        <w:tc>
          <w:tcPr>
            <w:tcW w:w="1018" w:type="pct"/>
          </w:tcPr>
          <w:p w14:paraId="6916FE52" w14:textId="59A0D38B" w:rsidR="006F6CB1" w:rsidRDefault="006F6CB1" w:rsidP="00DC03C7">
            <w:pPr>
              <w:cnfStyle w:val="000000000000" w:firstRow="0" w:lastRow="0" w:firstColumn="0" w:lastColumn="0" w:oddVBand="0" w:evenVBand="0" w:oddHBand="0" w:evenHBand="0" w:firstRowFirstColumn="0" w:firstRowLastColumn="0" w:lastRowFirstColumn="0" w:lastRowLastColumn="0"/>
            </w:pPr>
            <w:r>
              <w:t>13 November 2023</w:t>
            </w:r>
          </w:p>
        </w:tc>
        <w:tc>
          <w:tcPr>
            <w:tcW w:w="1173" w:type="pct"/>
          </w:tcPr>
          <w:p w14:paraId="32276F79" w14:textId="0D64B850" w:rsidR="006F6CB1" w:rsidRPr="00D01DDB" w:rsidRDefault="006F6CB1" w:rsidP="00DC03C7">
            <w:pPr>
              <w:cnfStyle w:val="000000000000" w:firstRow="0" w:lastRow="0" w:firstColumn="0" w:lastColumn="0" w:oddVBand="0" w:evenVBand="0" w:oddHBand="0" w:evenHBand="0" w:firstRowFirstColumn="0" w:firstRowLastColumn="0" w:lastRowFirstColumn="0" w:lastRowLastColumn="0"/>
            </w:pPr>
            <w:r>
              <w:t>Approved on 7 March 2024</w:t>
            </w:r>
          </w:p>
        </w:tc>
        <w:tc>
          <w:tcPr>
            <w:tcW w:w="1795" w:type="pct"/>
          </w:tcPr>
          <w:p w14:paraId="2DEC4D13" w14:textId="41910499" w:rsidR="006F6CB1" w:rsidRPr="00D01DDB" w:rsidRDefault="006F6CB1" w:rsidP="00DC03C7">
            <w:pPr>
              <w:cnfStyle w:val="000000000000" w:firstRow="0" w:lastRow="0" w:firstColumn="0" w:lastColumn="0" w:oddVBand="0" w:evenVBand="0" w:oddHBand="0" w:evenHBand="0" w:firstRowFirstColumn="0" w:firstRowLastColumn="0" w:lastRowFirstColumn="0" w:lastRowLastColumn="0"/>
            </w:pPr>
            <w:r w:rsidRPr="006F6CB1">
              <w:t>Rystiggo is indicated as an add-on to standard</w:t>
            </w:r>
            <w:r>
              <w:t xml:space="preserve"> </w:t>
            </w:r>
            <w:r w:rsidRPr="006F6CB1">
              <w:t>therapy for the treatment of generalised</w:t>
            </w:r>
            <w:r>
              <w:t xml:space="preserve"> </w:t>
            </w:r>
            <w:r w:rsidRPr="006F6CB1">
              <w:t>myasthenia gravis (</w:t>
            </w:r>
            <w:proofErr w:type="spellStart"/>
            <w:r w:rsidRPr="006F6CB1">
              <w:t>gMG</w:t>
            </w:r>
            <w:proofErr w:type="spellEnd"/>
            <w:r w:rsidRPr="006F6CB1">
              <w:t>) in adult patients who</w:t>
            </w:r>
            <w:r>
              <w:t xml:space="preserve"> </w:t>
            </w:r>
            <w:r w:rsidRPr="006F6CB1">
              <w:t>are anti-acetylcholine receptor (</w:t>
            </w:r>
            <w:proofErr w:type="spellStart"/>
            <w:r w:rsidRPr="006F6CB1">
              <w:t>AChR</w:t>
            </w:r>
            <w:proofErr w:type="spellEnd"/>
            <w:r w:rsidRPr="006F6CB1">
              <w:t>) or anti</w:t>
            </w:r>
            <w:r w:rsidR="00B62667">
              <w:t>-</w:t>
            </w:r>
            <w:r w:rsidRPr="006F6CB1">
              <w:t>muscle-</w:t>
            </w:r>
            <w:r>
              <w:t xml:space="preserve"> </w:t>
            </w:r>
            <w:r w:rsidRPr="006F6CB1">
              <w:t>specific tyrosine kinase (</w:t>
            </w:r>
            <w:proofErr w:type="spellStart"/>
            <w:r w:rsidRPr="006F6CB1">
              <w:t>MuSK</w:t>
            </w:r>
            <w:proofErr w:type="spellEnd"/>
            <w:r w:rsidRPr="006F6CB1">
              <w:t>) antibody</w:t>
            </w:r>
            <w:r>
              <w:t xml:space="preserve"> </w:t>
            </w:r>
            <w:r w:rsidRPr="006F6CB1">
              <w:t>positive.</w:t>
            </w:r>
          </w:p>
        </w:tc>
      </w:tr>
      <w:tr w:rsidR="00324B33" w:rsidRPr="00D01DDB"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4940A68B" w:rsidR="00324B33" w:rsidRPr="00D01DDB" w:rsidRDefault="006F6CB1" w:rsidP="00DC03C7">
            <w:r>
              <w:t>Canada</w:t>
            </w:r>
          </w:p>
        </w:tc>
        <w:tc>
          <w:tcPr>
            <w:tcW w:w="1018" w:type="pct"/>
          </w:tcPr>
          <w:p w14:paraId="1D871E57" w14:textId="0F870111" w:rsidR="00324B33" w:rsidRPr="00D01DDB" w:rsidRDefault="006F6CB1" w:rsidP="00DC03C7">
            <w:pPr>
              <w:cnfStyle w:val="000000000000" w:firstRow="0" w:lastRow="0" w:firstColumn="0" w:lastColumn="0" w:oddVBand="0" w:evenVBand="0" w:oddHBand="0" w:evenHBand="0" w:firstRowFirstColumn="0" w:firstRowLastColumn="0" w:lastRowFirstColumn="0" w:lastRowLastColumn="0"/>
            </w:pPr>
            <w:r>
              <w:t>5 October 2023</w:t>
            </w:r>
          </w:p>
        </w:tc>
        <w:tc>
          <w:tcPr>
            <w:tcW w:w="1173" w:type="pct"/>
          </w:tcPr>
          <w:p w14:paraId="63A3A9D3" w14:textId="7B588F86" w:rsidR="00324B33" w:rsidRPr="00D01DDB" w:rsidRDefault="00324B33" w:rsidP="00DC03C7">
            <w:pPr>
              <w:cnfStyle w:val="000000000000" w:firstRow="0" w:lastRow="0" w:firstColumn="0" w:lastColumn="0" w:oddVBand="0" w:evenVBand="0" w:oddHBand="0" w:evenHBand="0" w:firstRowFirstColumn="0" w:firstRowLastColumn="0" w:lastRowFirstColumn="0" w:lastRowLastColumn="0"/>
            </w:pPr>
            <w:r w:rsidRPr="00D01DDB">
              <w:t>Under consideration</w:t>
            </w:r>
          </w:p>
        </w:tc>
        <w:tc>
          <w:tcPr>
            <w:tcW w:w="1795" w:type="pct"/>
          </w:tcPr>
          <w:p w14:paraId="17C650B8" w14:textId="7986A18E" w:rsidR="00324B33" w:rsidRPr="00D01DDB" w:rsidRDefault="00324B33" w:rsidP="00DC03C7">
            <w:pPr>
              <w:cnfStyle w:val="000000000000" w:firstRow="0" w:lastRow="0" w:firstColumn="0" w:lastColumn="0" w:oddVBand="0" w:evenVBand="0" w:oddHBand="0" w:evenHBand="0" w:firstRowFirstColumn="0" w:firstRowLastColumn="0" w:lastRowFirstColumn="0" w:lastRowLastColumn="0"/>
            </w:pPr>
            <w:r w:rsidRPr="00D01DDB">
              <w:t>Under consideration</w:t>
            </w:r>
          </w:p>
        </w:tc>
      </w:tr>
      <w:tr w:rsidR="006F6CB1" w:rsidRPr="00D01DDB" w14:paraId="1F7F18BD"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90B36B1" w14:textId="56741F42" w:rsidR="006F6CB1" w:rsidRPr="00D01DDB" w:rsidRDefault="006F6CB1" w:rsidP="00DC03C7">
            <w:r>
              <w:t>Switzerland</w:t>
            </w:r>
          </w:p>
        </w:tc>
        <w:tc>
          <w:tcPr>
            <w:tcW w:w="1018" w:type="pct"/>
          </w:tcPr>
          <w:p w14:paraId="5E3DEEC7" w14:textId="686A70BE" w:rsidR="006F6CB1" w:rsidRPr="00D01DDB" w:rsidRDefault="006F6CB1" w:rsidP="00DC03C7">
            <w:pPr>
              <w:cnfStyle w:val="000000000000" w:firstRow="0" w:lastRow="0" w:firstColumn="0" w:lastColumn="0" w:oddVBand="0" w:evenVBand="0" w:oddHBand="0" w:evenHBand="0" w:firstRowFirstColumn="0" w:firstRowLastColumn="0" w:lastRowFirstColumn="0" w:lastRowLastColumn="0"/>
            </w:pPr>
            <w:r>
              <w:t>16 October 2023</w:t>
            </w:r>
          </w:p>
        </w:tc>
        <w:tc>
          <w:tcPr>
            <w:tcW w:w="1173" w:type="pct"/>
          </w:tcPr>
          <w:p w14:paraId="08FE3744" w14:textId="63D11DA0" w:rsidR="006F6CB1" w:rsidRPr="00D01DDB" w:rsidRDefault="006F6CB1" w:rsidP="00DC03C7">
            <w:pPr>
              <w:cnfStyle w:val="000000000000" w:firstRow="0" w:lastRow="0" w:firstColumn="0" w:lastColumn="0" w:oddVBand="0" w:evenVBand="0" w:oddHBand="0" w:evenHBand="0" w:firstRowFirstColumn="0" w:firstRowLastColumn="0" w:lastRowFirstColumn="0" w:lastRowLastColumn="0"/>
            </w:pPr>
            <w:r w:rsidRPr="00D01DDB">
              <w:t>Under consideration</w:t>
            </w:r>
          </w:p>
        </w:tc>
        <w:tc>
          <w:tcPr>
            <w:tcW w:w="1795" w:type="pct"/>
          </w:tcPr>
          <w:p w14:paraId="1B9ADF8E" w14:textId="5041F345" w:rsidR="006F6CB1" w:rsidRPr="00D01DDB" w:rsidRDefault="006F6CB1" w:rsidP="00DC03C7">
            <w:pPr>
              <w:cnfStyle w:val="000000000000" w:firstRow="0" w:lastRow="0" w:firstColumn="0" w:lastColumn="0" w:oddVBand="0" w:evenVBand="0" w:oddHBand="0" w:evenHBand="0" w:firstRowFirstColumn="0" w:firstRowLastColumn="0" w:lastRowFirstColumn="0" w:lastRowLastColumn="0"/>
            </w:pPr>
            <w:r w:rsidRPr="00D01DDB">
              <w:t>Under consideration</w:t>
            </w:r>
          </w:p>
        </w:tc>
      </w:tr>
    </w:tbl>
    <w:p w14:paraId="6D92589C" w14:textId="519DEE60" w:rsidR="00324B33" w:rsidRDefault="00324B33" w:rsidP="00324B33">
      <w:pPr>
        <w:pStyle w:val="Heading2"/>
      </w:pPr>
      <w:bookmarkStart w:id="25" w:name="_Toc504480011"/>
      <w:bookmarkStart w:id="26" w:name="_Toc103679293"/>
      <w:bookmarkStart w:id="27" w:name="_Toc204161813"/>
      <w:r>
        <w:t>Registration timeline</w:t>
      </w:r>
      <w:bookmarkEnd w:id="25"/>
      <w:bookmarkEnd w:id="26"/>
      <w:bookmarkEnd w:id="27"/>
    </w:p>
    <w:p w14:paraId="225E3D87" w14:textId="620B20B8" w:rsidR="00324B33" w:rsidRPr="00BD5DBD" w:rsidRDefault="00324B33" w:rsidP="00324B33">
      <w:pPr>
        <w:rPr>
          <w:szCs w:val="22"/>
        </w:rPr>
      </w:pPr>
      <w:r w:rsidRPr="00BD5DBD">
        <w:rPr>
          <w:szCs w:val="22"/>
        </w:rPr>
        <w:t xml:space="preserve">The following table captures the key </w:t>
      </w:r>
      <w:r w:rsidR="0096322D">
        <w:rPr>
          <w:szCs w:val="22"/>
        </w:rPr>
        <w:t xml:space="preserve">assessment </w:t>
      </w:r>
      <w:r w:rsidRPr="00BD5DBD">
        <w:rPr>
          <w:szCs w:val="22"/>
        </w:rPr>
        <w:t>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2" w:history="1">
        <w:r w:rsidRPr="00BD5DBD">
          <w:rPr>
            <w:rStyle w:val="Hyperlink"/>
            <w:szCs w:val="22"/>
          </w:rPr>
          <w:t>standard prescription medicines registration process</w:t>
        </w:r>
      </w:hyperlink>
      <w:r w:rsidRPr="00BD5DBD">
        <w:rPr>
          <w:szCs w:val="22"/>
        </w:rPr>
        <w:t>.</w:t>
      </w:r>
    </w:p>
    <w:p w14:paraId="44628C5F" w14:textId="3D910174" w:rsidR="00324B33" w:rsidRDefault="00324B33" w:rsidP="002C1232">
      <w:pPr>
        <w:pStyle w:val="TableTitle"/>
      </w:pPr>
      <w:r w:rsidRPr="002C1232">
        <w:t xml:space="preserve">Table </w:t>
      </w:r>
      <w:r w:rsidR="007F1E37">
        <w:fldChar w:fldCharType="begin"/>
      </w:r>
      <w:r w:rsidR="007F1E37">
        <w:instrText xml:space="preserve"> SEQ Table \* ARABIC </w:instrText>
      </w:r>
      <w:r w:rsidR="007F1E37">
        <w:fldChar w:fldCharType="separate"/>
      </w:r>
      <w:r w:rsidR="00CA7747">
        <w:rPr>
          <w:noProof/>
        </w:rPr>
        <w:t>2</w:t>
      </w:r>
      <w:r w:rsidR="007F1E37">
        <w:fldChar w:fldCharType="end"/>
      </w:r>
      <w:r w:rsidRPr="002C1232">
        <w:t>: Timeline for Submission PM-202</w:t>
      </w:r>
      <w:r w:rsidR="00DB76CF">
        <w:t>3</w:t>
      </w:r>
      <w:r w:rsidRPr="002C1232">
        <w:t>-</w:t>
      </w:r>
      <w:r w:rsidR="00DB76CF">
        <w:t>04561-1-1</w:t>
      </w:r>
    </w:p>
    <w:tbl>
      <w:tblPr>
        <w:tblStyle w:val="TableTGAblue2023"/>
        <w:tblW w:w="8642" w:type="dxa"/>
        <w:tblLook w:val="04A0" w:firstRow="1" w:lastRow="0" w:firstColumn="1" w:lastColumn="0" w:noHBand="0" w:noVBand="1"/>
      </w:tblPr>
      <w:tblGrid>
        <w:gridCol w:w="6232"/>
        <w:gridCol w:w="2410"/>
      </w:tblGrid>
      <w:tr w:rsidR="00324B33" w:rsidRPr="00D01DDB" w14:paraId="6C59BE9C" w14:textId="77777777" w:rsidTr="00DC0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6D80E78" w14:textId="3EC0CCAF" w:rsidR="00324B33" w:rsidRPr="00D01DDB" w:rsidRDefault="00324B33" w:rsidP="00324B33">
            <w:pPr>
              <w:rPr>
                <w:szCs w:val="22"/>
              </w:rPr>
            </w:pPr>
            <w:r w:rsidRPr="00D01DDB">
              <w:rPr>
                <w:szCs w:val="22"/>
              </w:rPr>
              <w:t>Description</w:t>
            </w:r>
          </w:p>
        </w:tc>
        <w:tc>
          <w:tcPr>
            <w:tcW w:w="2410"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DC03C7">
        <w:tc>
          <w:tcPr>
            <w:cnfStyle w:val="001000000000" w:firstRow="0" w:lastRow="0" w:firstColumn="1" w:lastColumn="0" w:oddVBand="0" w:evenVBand="0" w:oddHBand="0" w:evenHBand="0" w:firstRowFirstColumn="0" w:firstRowLastColumn="0" w:lastRowFirstColumn="0" w:lastRowLastColumn="0"/>
            <w:tcW w:w="6232" w:type="dxa"/>
          </w:tcPr>
          <w:p w14:paraId="759D2A12" w14:textId="0D705F83" w:rsidR="00324B33" w:rsidRPr="00E679D1" w:rsidRDefault="00324B33" w:rsidP="00E679D1">
            <w:r w:rsidRPr="00E679D1">
              <w:t>Submission dossier accepted and first round evaluation commenced</w:t>
            </w:r>
          </w:p>
        </w:tc>
        <w:tc>
          <w:tcPr>
            <w:tcW w:w="2410" w:type="dxa"/>
          </w:tcPr>
          <w:p w14:paraId="2963D9D8" w14:textId="0F4099D1" w:rsidR="00324B33" w:rsidRPr="00D01DDB" w:rsidRDefault="007A54D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 November 2023</w:t>
            </w:r>
          </w:p>
        </w:tc>
      </w:tr>
      <w:tr w:rsidR="00324B33" w:rsidRPr="00D01DDB" w14:paraId="53437815" w14:textId="77777777" w:rsidTr="00DC03C7">
        <w:tc>
          <w:tcPr>
            <w:cnfStyle w:val="001000000000" w:firstRow="0" w:lastRow="0" w:firstColumn="1" w:lastColumn="0" w:oddVBand="0" w:evenVBand="0" w:oddHBand="0" w:evenHBand="0" w:firstRowFirstColumn="0" w:firstRowLastColumn="0" w:lastRowFirstColumn="0" w:lastRowLastColumn="0"/>
            <w:tcW w:w="6232" w:type="dxa"/>
          </w:tcPr>
          <w:p w14:paraId="4C037D4E" w14:textId="2B0CE255" w:rsidR="00324B33" w:rsidRPr="00E679D1" w:rsidRDefault="00324B33" w:rsidP="00E679D1">
            <w:r w:rsidRPr="00E679D1">
              <w:t>First round evaluation completed</w:t>
            </w:r>
          </w:p>
        </w:tc>
        <w:tc>
          <w:tcPr>
            <w:tcW w:w="2410" w:type="dxa"/>
          </w:tcPr>
          <w:p w14:paraId="3CEAFAAB" w14:textId="5028A98C" w:rsidR="00324B33" w:rsidRPr="00D01DDB" w:rsidRDefault="007A54D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April 2024</w:t>
            </w:r>
          </w:p>
        </w:tc>
      </w:tr>
      <w:tr w:rsidR="00324B33" w:rsidRPr="00D01DDB" w14:paraId="767E33A4" w14:textId="77777777" w:rsidTr="00DC03C7">
        <w:tc>
          <w:tcPr>
            <w:cnfStyle w:val="001000000000" w:firstRow="0" w:lastRow="0" w:firstColumn="1" w:lastColumn="0" w:oddVBand="0" w:evenVBand="0" w:oddHBand="0" w:evenHBand="0" w:firstRowFirstColumn="0" w:firstRowLastColumn="0" w:lastRowFirstColumn="0" w:lastRowLastColumn="0"/>
            <w:tcW w:w="6232" w:type="dxa"/>
          </w:tcPr>
          <w:p w14:paraId="4AFC5B50" w14:textId="2BCC6A3E" w:rsidR="00324B33" w:rsidRPr="00E679D1" w:rsidRDefault="00324B33" w:rsidP="00E679D1">
            <w:r w:rsidRPr="00E679D1">
              <w:t>Second round evaluation completed</w:t>
            </w:r>
          </w:p>
        </w:tc>
        <w:tc>
          <w:tcPr>
            <w:tcW w:w="2410" w:type="dxa"/>
          </w:tcPr>
          <w:p w14:paraId="4E47DF62" w14:textId="36449AE0" w:rsidR="00324B33" w:rsidRPr="00D01DDB" w:rsidRDefault="007A54D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October 2024</w:t>
            </w:r>
          </w:p>
        </w:tc>
      </w:tr>
      <w:tr w:rsidR="00324B33" w:rsidRPr="00D01DDB" w14:paraId="302FCB45" w14:textId="77777777" w:rsidTr="00DC03C7">
        <w:tc>
          <w:tcPr>
            <w:cnfStyle w:val="001000000000" w:firstRow="0" w:lastRow="0" w:firstColumn="1" w:lastColumn="0" w:oddVBand="0" w:evenVBand="0" w:oddHBand="0" w:evenHBand="0" w:firstRowFirstColumn="0" w:firstRowLastColumn="0" w:lastRowFirstColumn="0" w:lastRowLastColumn="0"/>
            <w:tcW w:w="6232" w:type="dxa"/>
          </w:tcPr>
          <w:p w14:paraId="716E9DC1" w14:textId="5CD055B7" w:rsidR="00324B33" w:rsidRPr="00D01DDB" w:rsidRDefault="00324B33" w:rsidP="00324B33">
            <w:pPr>
              <w:rPr>
                <w:szCs w:val="22"/>
              </w:rPr>
            </w:pPr>
            <w:r w:rsidRPr="00D01DDB">
              <w:rPr>
                <w:szCs w:val="22"/>
              </w:rPr>
              <w:t>Delegate’s</w:t>
            </w:r>
            <w:r w:rsidR="00500D68">
              <w:rPr>
                <w:rStyle w:val="FootnoteReference"/>
                <w:szCs w:val="22"/>
              </w:rPr>
              <w:footnoteReference w:id="3"/>
            </w:r>
            <w:r w:rsidRPr="00D01DDB">
              <w:rPr>
                <w:szCs w:val="22"/>
              </w:rPr>
              <w:t xml:space="preserve"> Overall benefit-risk assessment </w:t>
            </w:r>
            <w:r w:rsidRPr="00DB76CF">
              <w:rPr>
                <w:szCs w:val="22"/>
              </w:rPr>
              <w:t>and request for Advisory Committee advice</w:t>
            </w:r>
          </w:p>
        </w:tc>
        <w:tc>
          <w:tcPr>
            <w:tcW w:w="2410" w:type="dxa"/>
          </w:tcPr>
          <w:p w14:paraId="3BA6EF79" w14:textId="4ED169C1" w:rsidR="00324B33" w:rsidRPr="00D01DDB" w:rsidRDefault="00DB76C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5 November 2024</w:t>
            </w:r>
          </w:p>
        </w:tc>
      </w:tr>
      <w:tr w:rsidR="00324B33" w:rsidRPr="00D01DDB" w14:paraId="5832EBC8" w14:textId="77777777" w:rsidTr="00DC03C7">
        <w:tc>
          <w:tcPr>
            <w:cnfStyle w:val="001000000000" w:firstRow="0" w:lastRow="0" w:firstColumn="1" w:lastColumn="0" w:oddVBand="0" w:evenVBand="0" w:oddHBand="0" w:evenHBand="0" w:firstRowFirstColumn="0" w:firstRowLastColumn="0" w:lastRowFirstColumn="0" w:lastRowLastColumn="0"/>
            <w:tcW w:w="6232" w:type="dxa"/>
          </w:tcPr>
          <w:p w14:paraId="720592DE" w14:textId="52989D17" w:rsidR="00324B33" w:rsidRPr="00E679D1" w:rsidRDefault="00324B33" w:rsidP="00A80DA9">
            <w:r w:rsidRPr="00E679D1">
              <w:t xml:space="preserve">Sponsor’s pre-Advisory </w:t>
            </w:r>
            <w:r w:rsidR="00A80DA9">
              <w:t>c</w:t>
            </w:r>
            <w:r w:rsidRPr="00E679D1">
              <w:t>ommittee response</w:t>
            </w:r>
          </w:p>
        </w:tc>
        <w:tc>
          <w:tcPr>
            <w:tcW w:w="2410" w:type="dxa"/>
          </w:tcPr>
          <w:p w14:paraId="5AE04841" w14:textId="0F8CEDF6" w:rsidR="00324B33" w:rsidRPr="00D01DDB" w:rsidRDefault="00DB76C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 November 2024</w:t>
            </w:r>
          </w:p>
        </w:tc>
      </w:tr>
      <w:tr w:rsidR="00324B33" w:rsidRPr="00D01DDB" w14:paraId="5754F7AC" w14:textId="77777777" w:rsidTr="00DC03C7">
        <w:tc>
          <w:tcPr>
            <w:cnfStyle w:val="001000000000" w:firstRow="0" w:lastRow="0" w:firstColumn="1" w:lastColumn="0" w:oddVBand="0" w:evenVBand="0" w:oddHBand="0" w:evenHBand="0" w:firstRowFirstColumn="0" w:firstRowLastColumn="0" w:lastRowFirstColumn="0" w:lastRowLastColumn="0"/>
            <w:tcW w:w="6232" w:type="dxa"/>
          </w:tcPr>
          <w:p w14:paraId="789DE187" w14:textId="13421F83" w:rsidR="00324B33" w:rsidRPr="00E679D1" w:rsidRDefault="00324B33" w:rsidP="00E679D1">
            <w:r w:rsidRPr="00E679D1">
              <w:t xml:space="preserve">Advisory </w:t>
            </w:r>
            <w:r w:rsidR="00A80DA9">
              <w:t>c</w:t>
            </w:r>
            <w:r w:rsidRPr="00E679D1">
              <w:t>ommittee meeting</w:t>
            </w:r>
          </w:p>
        </w:tc>
        <w:tc>
          <w:tcPr>
            <w:tcW w:w="2410" w:type="dxa"/>
          </w:tcPr>
          <w:p w14:paraId="5BE1EDE7" w14:textId="2C24C0C4" w:rsidR="00324B33" w:rsidRPr="00D01DDB" w:rsidRDefault="00DB76C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December 2024</w:t>
            </w:r>
          </w:p>
        </w:tc>
      </w:tr>
      <w:tr w:rsidR="00324B33" w:rsidRPr="00D01DDB" w14:paraId="6E5D32FE" w14:textId="77777777" w:rsidTr="00DC03C7">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E679D1" w:rsidRDefault="00324B33" w:rsidP="00E679D1">
            <w:r w:rsidRPr="00E679D1">
              <w:lastRenderedPageBreak/>
              <w:t>Registration decision (Outcome)</w:t>
            </w:r>
          </w:p>
        </w:tc>
        <w:tc>
          <w:tcPr>
            <w:tcW w:w="2410" w:type="dxa"/>
          </w:tcPr>
          <w:p w14:paraId="62987ABD" w14:textId="38BC408D" w:rsidR="00324B33" w:rsidRPr="00D01DDB" w:rsidRDefault="0076096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January 2025</w:t>
            </w:r>
          </w:p>
        </w:tc>
      </w:tr>
      <w:tr w:rsidR="00324B33" w:rsidRPr="00D01DDB" w14:paraId="6DDCDDA4" w14:textId="77777777" w:rsidTr="00DC03C7">
        <w:tc>
          <w:tcPr>
            <w:cnfStyle w:val="001000000000" w:firstRow="0" w:lastRow="0" w:firstColumn="1" w:lastColumn="0" w:oddVBand="0" w:evenVBand="0" w:oddHBand="0" w:evenHBand="0" w:firstRowFirstColumn="0" w:firstRowLastColumn="0" w:lastRowFirstColumn="0" w:lastRowLastColumn="0"/>
            <w:tcW w:w="6232"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410" w:type="dxa"/>
          </w:tcPr>
          <w:p w14:paraId="5A8923FD" w14:textId="2339D01C" w:rsidR="00324B33" w:rsidRPr="00D01DDB" w:rsidRDefault="00DB76C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 February 2025</w:t>
            </w:r>
          </w:p>
        </w:tc>
      </w:tr>
      <w:tr w:rsidR="00324B33" w:rsidRPr="00D01DDB" w14:paraId="56D922E2" w14:textId="77777777" w:rsidTr="00DC03C7">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E679D1" w:rsidRDefault="00324B33" w:rsidP="00E679D1">
            <w:r w:rsidRPr="00E679D1">
              <w:t>Number of working days from submission dossier acceptance to registration decision*</w:t>
            </w:r>
          </w:p>
        </w:tc>
        <w:tc>
          <w:tcPr>
            <w:tcW w:w="2410" w:type="dxa"/>
          </w:tcPr>
          <w:p w14:paraId="5BAF9FA1" w14:textId="14C2CF0F" w:rsidR="00324B33" w:rsidRPr="00D01DDB" w:rsidRDefault="007A54D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204 days</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14AFC850" w:rsidR="00C22214" w:rsidRPr="00792A32" w:rsidRDefault="00976A91" w:rsidP="00C22214">
      <w:pPr>
        <w:pStyle w:val="Heading2"/>
      </w:pPr>
      <w:bookmarkStart w:id="28" w:name="_Toc204161814"/>
      <w:bookmarkStart w:id="29" w:name="_Toc196046504"/>
      <w:bookmarkStart w:id="30" w:name="_Toc247691527"/>
      <w:bookmarkStart w:id="31" w:name="_Toc314842510"/>
      <w:bookmarkStart w:id="32" w:name="_Toc103679294"/>
      <w:r>
        <w:t>Assessment</w:t>
      </w:r>
      <w:r w:rsidRPr="00006FAB">
        <w:t xml:space="preserve"> </w:t>
      </w:r>
      <w:r w:rsidR="00C22214" w:rsidRPr="00006FAB">
        <w:t>overview</w:t>
      </w:r>
      <w:bookmarkEnd w:id="28"/>
      <w:r w:rsidR="00C22214" w:rsidRPr="00006FAB">
        <w:t xml:space="preserve"> </w:t>
      </w:r>
      <w:bookmarkEnd w:id="29"/>
      <w:bookmarkEnd w:id="30"/>
      <w:bookmarkEnd w:id="31"/>
      <w:bookmarkEnd w:id="32"/>
    </w:p>
    <w:p w14:paraId="540151FC" w14:textId="77777777" w:rsidR="00C22214" w:rsidRPr="00BD5DBD" w:rsidRDefault="00C22214" w:rsidP="00BD5DBD">
      <w:pPr>
        <w:rPr>
          <w:szCs w:val="22"/>
        </w:rPr>
      </w:pPr>
      <w:bookmarkStart w:id="33" w:name="_Toc247691528"/>
      <w:bookmarkStart w:id="34" w:name="_Toc314842511"/>
      <w:r w:rsidRPr="00BD5DBD">
        <w:rPr>
          <w:szCs w:val="22"/>
        </w:rPr>
        <w:t>A summary of the TGA’s assessment for this submission is provided below.</w:t>
      </w:r>
    </w:p>
    <w:p w14:paraId="5F5FAA14" w14:textId="76857657" w:rsidR="00C22214" w:rsidRPr="00BD5DBD" w:rsidRDefault="00C22214" w:rsidP="00C22214">
      <w:pPr>
        <w:rPr>
          <w:szCs w:val="22"/>
        </w:rPr>
      </w:pPr>
      <w:r w:rsidRPr="00BD5DBD">
        <w:rPr>
          <w:szCs w:val="22"/>
        </w:rPr>
        <w:t>This section is a TGA summary of TGA’s evaluation report, which discussed numerous aspects of overseas evaluation reports and included some information that was commercial-in-confidence.</w:t>
      </w:r>
    </w:p>
    <w:p w14:paraId="37F5A1C0" w14:textId="4353AAF9" w:rsidR="00C22214" w:rsidRDefault="00C22214" w:rsidP="00C22214">
      <w:pPr>
        <w:pStyle w:val="Heading3"/>
      </w:pPr>
      <w:bookmarkStart w:id="35" w:name="_Toc103679295"/>
      <w:bookmarkStart w:id="36" w:name="_Toc204161815"/>
      <w:r>
        <w:t>Quality</w:t>
      </w:r>
      <w:bookmarkEnd w:id="33"/>
      <w:bookmarkEnd w:id="34"/>
      <w:bookmarkEnd w:id="35"/>
      <w:r w:rsidR="0026361F">
        <w:t xml:space="preserve"> evaluation summary</w:t>
      </w:r>
      <w:bookmarkEnd w:id="36"/>
    </w:p>
    <w:p w14:paraId="73B4FC16" w14:textId="5860E648" w:rsidR="000C45A9" w:rsidRDefault="000C45A9" w:rsidP="007F28EE">
      <w:r>
        <w:t xml:space="preserve">The quality of this product </w:t>
      </w:r>
      <w:proofErr w:type="gramStart"/>
      <w:r>
        <w:t>is considered to be</w:t>
      </w:r>
      <w:proofErr w:type="gramEnd"/>
      <w:r>
        <w:t xml:space="preserve"> acceptable when used in accordance with the conditions defined in the product information (PI), labels, consumer medicines information (CMI) and the ARTG. Physicochemical and biological aspects relevant to the uniform clinical performance of the product have been investigated and are controlled in a satisfactory way. Information on development, manufacture and control of the active substance and finished product has been presented in a satisfactory manner. The results of tests carried out indicate consistency and uniformity of important product quality characteristics, and these in turn lead to the conclusion that the product should have a satisfactory and uniform performance in clinical use. From </w:t>
      </w:r>
      <w:r w:rsidR="00362442">
        <w:t xml:space="preserve">a </w:t>
      </w:r>
      <w:r>
        <w:t xml:space="preserve">quality perspective, compliance with therapeutic goods legislation and relevant therapeutic goods orders, as well as consistency with relevant guidelines and the </w:t>
      </w:r>
      <w:r w:rsidRPr="00B55C07">
        <w:t xml:space="preserve">Australian Regulatory Guidelines for Prescription Medicines </w:t>
      </w:r>
      <w:r>
        <w:t>(ARGPM), has been demonstrated.</w:t>
      </w:r>
    </w:p>
    <w:p w14:paraId="69068D16" w14:textId="39AF33AB" w:rsidR="000C45A9" w:rsidRDefault="000C45A9" w:rsidP="000C45A9">
      <w:r>
        <w:t xml:space="preserve">There </w:t>
      </w:r>
      <w:r w:rsidR="00F5335D">
        <w:t>is</w:t>
      </w:r>
      <w:r>
        <w:t xml:space="preserve"> no objection on quality grounds to the approval of R</w:t>
      </w:r>
      <w:r w:rsidR="00362442">
        <w:t>ystiggo</w:t>
      </w:r>
      <w:r w:rsidR="00F5335D">
        <w:t>.</w:t>
      </w:r>
    </w:p>
    <w:p w14:paraId="2BE90AAE" w14:textId="036CA50A" w:rsidR="00C22214" w:rsidRDefault="00C22214" w:rsidP="00C22214">
      <w:pPr>
        <w:pStyle w:val="Heading3"/>
      </w:pPr>
      <w:bookmarkStart w:id="37" w:name="_Toc314842512"/>
      <w:bookmarkStart w:id="38" w:name="_Toc103679296"/>
      <w:bookmarkStart w:id="39" w:name="_Toc204161816"/>
      <w:r>
        <w:t>Nonclinical</w:t>
      </w:r>
      <w:bookmarkEnd w:id="37"/>
      <w:bookmarkEnd w:id="38"/>
      <w:r w:rsidR="0026361F">
        <w:t xml:space="preserve"> evaluation summary</w:t>
      </w:r>
      <w:bookmarkEnd w:id="39"/>
    </w:p>
    <w:p w14:paraId="0B8131B5" w14:textId="66ACBBB3" w:rsidR="007C33F5" w:rsidRDefault="007C33F5" w:rsidP="007C33F5">
      <w:r>
        <w:t>Overall, the applicant submitted a comprehensive set of studies to the pharmacology, pharmacokinetics and toxicology of rozanolixizumab. The proof of concept was shown. In the toxicity studies in a pharmacologically relevant species, no safety risks were identified that would preclude the use of rozanolixizumab in patients with myasthenia gravis. Potential safety risks due to the pharmacological mode of action are adequately addressed in the PI, but changes regarding the description of the nonclinical data are recommended.</w:t>
      </w:r>
    </w:p>
    <w:p w14:paraId="765C94C3" w14:textId="0BA9BDBD" w:rsidR="007C33F5" w:rsidRDefault="007C33F5" w:rsidP="007C33F5">
      <w:r>
        <w:t>No genotoxicity studies were conducted. As a monoclonal antibody, rozanolixizumab is not expected to interact with DNA.</w:t>
      </w:r>
    </w:p>
    <w:p w14:paraId="58C3FCE4" w14:textId="09E0AADE" w:rsidR="007C33F5" w:rsidRDefault="007C33F5" w:rsidP="007C33F5">
      <w:r>
        <w:t xml:space="preserve">Based on a carcinogenicity risk assessment it cannot be excluded that the inhibition of </w:t>
      </w:r>
      <w:proofErr w:type="spellStart"/>
      <w:r>
        <w:t>FcRn</w:t>
      </w:r>
      <w:proofErr w:type="spellEnd"/>
      <w:r>
        <w:t xml:space="preserve"> by rozanolixizumab could affect the anti-tumour immune response. However, based on the weight </w:t>
      </w:r>
      <w:r w:rsidRPr="0034682F">
        <w:t>of evidence there is no major concern that would require a specific measure. Potential adverse events of malignancies could be monitored through pharmacovigilance activities.</w:t>
      </w:r>
    </w:p>
    <w:p w14:paraId="71C9A100" w14:textId="3F6B81D5" w:rsidR="007C33F5" w:rsidRDefault="007C33F5" w:rsidP="007C33F5">
      <w:r>
        <w:t>While no effect on postnatal development parameters (</w:t>
      </w:r>
      <w:proofErr w:type="spellStart"/>
      <w:r>
        <w:t>neurobehavioural</w:t>
      </w:r>
      <w:proofErr w:type="spellEnd"/>
      <w:r>
        <w:t xml:space="preserve"> tests, grip strength, </w:t>
      </w:r>
      <w:r w:rsidRPr="007C33F5">
        <w:t>skeletal development, immunotoxicity endpoints) was seen in the enhanced pre/postnatal</w:t>
      </w:r>
      <w:r>
        <w:t xml:space="preserve"> </w:t>
      </w:r>
      <w:r>
        <w:lastRenderedPageBreak/>
        <w:t>development (</w:t>
      </w:r>
      <w:proofErr w:type="spellStart"/>
      <w:r>
        <w:t>ePPND</w:t>
      </w:r>
      <w:proofErr w:type="spellEnd"/>
      <w:r>
        <w:t xml:space="preserve">) study, no exposure was seen in infants and most mothers </w:t>
      </w:r>
      <w:r w:rsidR="005A18B7">
        <w:t xml:space="preserve">past </w:t>
      </w:r>
      <w:r w:rsidR="005A18B7" w:rsidRPr="005A18B7">
        <w:t xml:space="preserve">postnatal </w:t>
      </w:r>
      <w:r w:rsidR="005A18B7">
        <w:t>D</w:t>
      </w:r>
      <w:r w:rsidR="005A18B7" w:rsidRPr="005A18B7">
        <w:t>ay 1.</w:t>
      </w:r>
      <w:r>
        <w:t xml:space="preserve"> Therefore, the </w:t>
      </w:r>
      <w:proofErr w:type="spellStart"/>
      <w:r>
        <w:t>ePPND</w:t>
      </w:r>
      <w:proofErr w:type="spellEnd"/>
      <w:r>
        <w:t xml:space="preserve"> study only assessed effects associated with exposure during pregnancy. No firm conclusions can be drawn from the negative postnatal development effects, particularly the immunocompetence assessment. Given the pharmacological action of the drug, it may not be readily excreted into milk. However, as </w:t>
      </w:r>
      <w:proofErr w:type="spellStart"/>
      <w:r>
        <w:t>FcRn</w:t>
      </w:r>
      <w:proofErr w:type="spellEnd"/>
      <w:r>
        <w:t xml:space="preserve"> is involved in the excretion of IgG molecules into breast milk, rozanolixizumab may reduce the excretion of </w:t>
      </w:r>
      <w:proofErr w:type="spellStart"/>
      <w:r>
        <w:t>IgGs</w:t>
      </w:r>
      <w:proofErr w:type="spellEnd"/>
      <w:r>
        <w:t xml:space="preserve"> into breast milk and affect mucosal immunity in breast-fed infants.</w:t>
      </w:r>
    </w:p>
    <w:p w14:paraId="251AEBEB" w14:textId="77777777" w:rsidR="007C33F5" w:rsidRDefault="007C33F5" w:rsidP="007C33F5">
      <w:pPr>
        <w:rPr>
          <w:rStyle w:val="Heading4Char"/>
        </w:rPr>
      </w:pPr>
      <w:bookmarkStart w:id="40" w:name="_Toc204161817"/>
      <w:r w:rsidRPr="007C33F5">
        <w:rPr>
          <w:rStyle w:val="Heading4Char"/>
        </w:rPr>
        <w:t>Pregnancy category</w:t>
      </w:r>
      <w:bookmarkEnd w:id="40"/>
    </w:p>
    <w:p w14:paraId="5F326599" w14:textId="51562A16" w:rsidR="007C33F5" w:rsidRDefault="007C33F5" w:rsidP="007C33F5">
      <w:r>
        <w:t xml:space="preserve">As an association between rozanolixizumab treatment and the higher incidence of pregnancy loss in the </w:t>
      </w:r>
      <w:proofErr w:type="spellStart"/>
      <w:r>
        <w:t>ePPND</w:t>
      </w:r>
      <w:proofErr w:type="spellEnd"/>
      <w:r>
        <w:t xml:space="preserve"> study cannot be dismissed, Pregnancy Category D is considered more appropriate (Cat B1 is proposed by the sponsor). This category is for drugs which have been </w:t>
      </w:r>
      <w:r w:rsidRPr="007C33F5">
        <w:t>shown to cause irreversible fetal damage (including death) in animal studies.</w:t>
      </w:r>
    </w:p>
    <w:p w14:paraId="53A13F40" w14:textId="77777777" w:rsidR="007C33F5" w:rsidRDefault="007C33F5" w:rsidP="007C33F5">
      <w:pPr>
        <w:rPr>
          <w:rStyle w:val="Heading4Char"/>
        </w:rPr>
      </w:pPr>
      <w:bookmarkStart w:id="41" w:name="_Toc204161818"/>
      <w:r w:rsidRPr="007C33F5">
        <w:rPr>
          <w:rStyle w:val="Heading4Char"/>
        </w:rPr>
        <w:t>Recommendation</w:t>
      </w:r>
      <w:bookmarkEnd w:id="41"/>
    </w:p>
    <w:p w14:paraId="2B708E4D" w14:textId="7C06D470" w:rsidR="007C33F5" w:rsidRDefault="007C33F5" w:rsidP="007C33F5">
      <w:r>
        <w:t>There are no nonclinical objections to the proposed registration of Rystiggo.</w:t>
      </w:r>
    </w:p>
    <w:p w14:paraId="35B580A5" w14:textId="288A68ED" w:rsidR="00C22214" w:rsidRDefault="00C22214" w:rsidP="008804CF">
      <w:pPr>
        <w:pStyle w:val="Heading3"/>
      </w:pPr>
      <w:bookmarkStart w:id="42" w:name="_Toc247691530"/>
      <w:bookmarkStart w:id="43" w:name="_Toc314842513"/>
      <w:bookmarkStart w:id="44" w:name="_Toc103679297"/>
      <w:bookmarkStart w:id="45" w:name="_Toc204161819"/>
      <w:r>
        <w:t>Clinical</w:t>
      </w:r>
      <w:bookmarkEnd w:id="42"/>
      <w:bookmarkEnd w:id="43"/>
      <w:bookmarkEnd w:id="44"/>
      <w:r w:rsidR="0026361F">
        <w:t xml:space="preserve"> evaluation summary</w:t>
      </w:r>
      <w:bookmarkEnd w:id="45"/>
    </w:p>
    <w:p w14:paraId="32B0DEDA" w14:textId="77777777" w:rsidR="00C22214" w:rsidRPr="00433318" w:rsidRDefault="00C22214" w:rsidP="00433318">
      <w:pPr>
        <w:pStyle w:val="Heading4"/>
      </w:pPr>
      <w:bookmarkStart w:id="46" w:name="_Toc98931928"/>
      <w:bookmarkStart w:id="47" w:name="_Toc204161820"/>
      <w:r>
        <w:t>Summary of clinical studies</w:t>
      </w:r>
      <w:bookmarkEnd w:id="46"/>
      <w:bookmarkEnd w:id="47"/>
    </w:p>
    <w:p w14:paraId="083A0E92" w14:textId="1631CCC0" w:rsidR="00886710" w:rsidRPr="001A1D9C" w:rsidRDefault="00886710" w:rsidP="00886710">
      <w:pPr>
        <w:rPr>
          <w:color w:val="000000" w:themeColor="text1"/>
          <w:lang w:eastAsia="ja-JP"/>
        </w:rPr>
      </w:pPr>
      <w:r w:rsidRPr="001A1D9C">
        <w:rPr>
          <w:color w:val="000000" w:themeColor="text1"/>
          <w:lang w:eastAsia="ja-JP"/>
        </w:rPr>
        <w:t>The rozanolixizumab clinical pharmacology program includes</w:t>
      </w:r>
      <w:r w:rsidR="00E51EAC" w:rsidRPr="001A1D9C">
        <w:rPr>
          <w:color w:val="000000" w:themeColor="text1"/>
          <w:lang w:eastAsia="ja-JP"/>
        </w:rPr>
        <w:t xml:space="preserve"> pharmacokinetic (</w:t>
      </w:r>
      <w:r w:rsidRPr="001A1D9C">
        <w:rPr>
          <w:color w:val="000000" w:themeColor="text1"/>
          <w:lang w:eastAsia="ja-JP"/>
        </w:rPr>
        <w:t>PK</w:t>
      </w:r>
      <w:r w:rsidR="00E51EAC" w:rsidRPr="001A1D9C">
        <w:rPr>
          <w:color w:val="000000" w:themeColor="text1"/>
          <w:lang w:eastAsia="ja-JP"/>
        </w:rPr>
        <w:t>)</w:t>
      </w:r>
      <w:r w:rsidRPr="001A1D9C">
        <w:rPr>
          <w:color w:val="000000" w:themeColor="text1"/>
          <w:lang w:eastAsia="ja-JP"/>
        </w:rPr>
        <w:t xml:space="preserve">, </w:t>
      </w:r>
      <w:r w:rsidR="00112F19" w:rsidRPr="001A1D9C">
        <w:rPr>
          <w:color w:val="000000" w:themeColor="text1"/>
          <w:lang w:eastAsia="ja-JP"/>
        </w:rPr>
        <w:t>pharmacodynamic (</w:t>
      </w:r>
      <w:r w:rsidRPr="001A1D9C">
        <w:rPr>
          <w:color w:val="000000" w:themeColor="text1"/>
          <w:lang w:eastAsia="ja-JP"/>
        </w:rPr>
        <w:t>PD</w:t>
      </w:r>
      <w:r w:rsidR="00112F19" w:rsidRPr="001A1D9C">
        <w:rPr>
          <w:color w:val="000000" w:themeColor="text1"/>
          <w:lang w:eastAsia="ja-JP"/>
        </w:rPr>
        <w:t>)</w:t>
      </w:r>
      <w:r w:rsidRPr="001A1D9C">
        <w:rPr>
          <w:color w:val="000000" w:themeColor="text1"/>
          <w:lang w:eastAsia="ja-JP"/>
        </w:rPr>
        <w:t>, and immunogenicity data from 8 completed and ongoing clinical studies. These included:</w:t>
      </w:r>
    </w:p>
    <w:p w14:paraId="2ADE672C" w14:textId="7124C78B" w:rsidR="00112F19" w:rsidRPr="001A1D9C" w:rsidRDefault="00886710" w:rsidP="00886710">
      <w:pPr>
        <w:pStyle w:val="ListBullet"/>
        <w:rPr>
          <w:lang w:val="en-GB" w:eastAsia="ja-JP"/>
        </w:rPr>
      </w:pPr>
      <w:r w:rsidRPr="001A1D9C">
        <w:rPr>
          <w:lang w:eastAsia="ja-JP"/>
        </w:rPr>
        <w:t xml:space="preserve">Phase </w:t>
      </w:r>
      <w:r w:rsidR="00F84FAD" w:rsidRPr="001A1D9C">
        <w:rPr>
          <w:lang w:eastAsia="ja-JP"/>
        </w:rPr>
        <w:t>I</w:t>
      </w:r>
      <w:r w:rsidR="0096322D">
        <w:rPr>
          <w:lang w:eastAsia="ja-JP"/>
        </w:rPr>
        <w:t xml:space="preserve"> studies</w:t>
      </w:r>
    </w:p>
    <w:p w14:paraId="4C1AFBCE" w14:textId="77777777" w:rsidR="00112F19" w:rsidRPr="001A1D9C" w:rsidRDefault="00886710" w:rsidP="00112F19">
      <w:pPr>
        <w:pStyle w:val="ListBullet2"/>
        <w:rPr>
          <w:lang w:val="en-GB" w:eastAsia="ja-JP"/>
        </w:rPr>
      </w:pPr>
      <w:r w:rsidRPr="001A1D9C">
        <w:rPr>
          <w:lang w:eastAsia="ja-JP"/>
        </w:rPr>
        <w:t>UP0018</w:t>
      </w:r>
    </w:p>
    <w:p w14:paraId="4AF43B03" w14:textId="77777777" w:rsidR="00112F19" w:rsidRPr="001A1D9C" w:rsidRDefault="00886710" w:rsidP="00112F19">
      <w:pPr>
        <w:pStyle w:val="ListBullet2"/>
        <w:rPr>
          <w:lang w:val="en-GB" w:eastAsia="ja-JP"/>
        </w:rPr>
      </w:pPr>
      <w:r w:rsidRPr="001A1D9C">
        <w:rPr>
          <w:lang w:eastAsia="ja-JP"/>
        </w:rPr>
        <w:t>UP0060</w:t>
      </w:r>
    </w:p>
    <w:p w14:paraId="15FFD723" w14:textId="7DBE4414" w:rsidR="00886710" w:rsidRPr="001A1D9C" w:rsidRDefault="00886710" w:rsidP="00112F19">
      <w:pPr>
        <w:pStyle w:val="ListBullet2"/>
        <w:rPr>
          <w:lang w:val="en-GB" w:eastAsia="ja-JP"/>
        </w:rPr>
      </w:pPr>
      <w:r w:rsidRPr="001A1D9C">
        <w:rPr>
          <w:lang w:eastAsia="ja-JP"/>
        </w:rPr>
        <w:t>UP0106 (modelling and simulation)</w:t>
      </w:r>
    </w:p>
    <w:p w14:paraId="3F106734" w14:textId="2DFBE03D" w:rsidR="00886710" w:rsidRPr="00735D4C" w:rsidRDefault="009D64F8" w:rsidP="00886710">
      <w:pPr>
        <w:pStyle w:val="ListBullet"/>
        <w:rPr>
          <w:lang w:val="en-GB" w:eastAsia="ja-JP"/>
        </w:rPr>
      </w:pPr>
      <w:r w:rsidRPr="00735D4C">
        <w:rPr>
          <w:lang w:eastAsia="ja-JP"/>
        </w:rPr>
        <w:t>P</w:t>
      </w:r>
      <w:r w:rsidR="00886710" w:rsidRPr="00735D4C">
        <w:rPr>
          <w:lang w:eastAsia="ja-JP"/>
        </w:rPr>
        <w:t>opulation PK-PD (</w:t>
      </w:r>
      <w:proofErr w:type="spellStart"/>
      <w:r w:rsidR="00886710" w:rsidRPr="00735D4C">
        <w:rPr>
          <w:lang w:eastAsia="ja-JP"/>
        </w:rPr>
        <w:t>PopPK</w:t>
      </w:r>
      <w:proofErr w:type="spellEnd"/>
      <w:r w:rsidR="00886710" w:rsidRPr="00735D4C">
        <w:rPr>
          <w:lang w:eastAsia="ja-JP"/>
        </w:rPr>
        <w:t>-PD) models</w:t>
      </w:r>
    </w:p>
    <w:p w14:paraId="63433246" w14:textId="20B602C3" w:rsidR="00886710" w:rsidRPr="00735D4C" w:rsidRDefault="00886710" w:rsidP="00886710">
      <w:pPr>
        <w:pStyle w:val="ListBullet2"/>
        <w:rPr>
          <w:lang w:val="en-GB" w:eastAsia="ja-JP"/>
        </w:rPr>
      </w:pPr>
      <w:r w:rsidRPr="00735D4C">
        <w:rPr>
          <w:lang w:eastAsia="ja-JP"/>
        </w:rPr>
        <w:t xml:space="preserve">an exploratory </w:t>
      </w:r>
      <w:proofErr w:type="spellStart"/>
      <w:r w:rsidRPr="00735D4C">
        <w:rPr>
          <w:lang w:eastAsia="ja-JP"/>
        </w:rPr>
        <w:t>PopPK</w:t>
      </w:r>
      <w:proofErr w:type="spellEnd"/>
      <w:r w:rsidRPr="00735D4C">
        <w:rPr>
          <w:lang w:eastAsia="ja-JP"/>
        </w:rPr>
        <w:t xml:space="preserve">-PD model was developed on observed PK and total IgG data from 2 Phase </w:t>
      </w:r>
      <w:r w:rsidR="00A454C7" w:rsidRPr="00735D4C">
        <w:rPr>
          <w:lang w:eastAsia="ja-JP"/>
        </w:rPr>
        <w:t>II</w:t>
      </w:r>
      <w:r w:rsidRPr="00735D4C">
        <w:rPr>
          <w:lang w:eastAsia="ja-JP"/>
        </w:rPr>
        <w:t xml:space="preserve"> studies and 2 Phase </w:t>
      </w:r>
      <w:r w:rsidR="00A454C7" w:rsidRPr="00735D4C">
        <w:rPr>
          <w:lang w:eastAsia="ja-JP"/>
        </w:rPr>
        <w:t>I</w:t>
      </w:r>
      <w:r w:rsidRPr="00735D4C">
        <w:rPr>
          <w:lang w:eastAsia="ja-JP"/>
        </w:rPr>
        <w:t xml:space="preserve"> studies. The purpose of the model was to support dose selection for the Phase </w:t>
      </w:r>
      <w:r w:rsidR="00A454C7" w:rsidRPr="00735D4C">
        <w:rPr>
          <w:lang w:eastAsia="ja-JP"/>
        </w:rPr>
        <w:t>III</w:t>
      </w:r>
      <w:r w:rsidRPr="00735D4C">
        <w:rPr>
          <w:lang w:eastAsia="ja-JP"/>
        </w:rPr>
        <w:t xml:space="preserve"> studies.</w:t>
      </w:r>
    </w:p>
    <w:p w14:paraId="42DBDFF8" w14:textId="3DA92D63" w:rsidR="00886710" w:rsidRPr="00735D4C" w:rsidRDefault="00886710" w:rsidP="001452EE">
      <w:pPr>
        <w:pStyle w:val="ListBullet2"/>
      </w:pPr>
      <w:r w:rsidRPr="00735D4C">
        <w:rPr>
          <w:lang w:eastAsia="ja-JP"/>
        </w:rPr>
        <w:t xml:space="preserve">A second </w:t>
      </w:r>
      <w:proofErr w:type="spellStart"/>
      <w:r w:rsidRPr="00735D4C">
        <w:rPr>
          <w:lang w:eastAsia="ja-JP"/>
        </w:rPr>
        <w:t>PopPK</w:t>
      </w:r>
      <w:proofErr w:type="spellEnd"/>
      <w:r w:rsidRPr="00735D4C">
        <w:rPr>
          <w:lang w:eastAsia="ja-JP"/>
        </w:rPr>
        <w:t xml:space="preserve">-PD model was developed on observed PK and total IgG data from 3 Phase </w:t>
      </w:r>
      <w:r w:rsidR="00A454C7" w:rsidRPr="00735D4C">
        <w:rPr>
          <w:lang w:eastAsia="ja-JP"/>
        </w:rPr>
        <w:t>I</w:t>
      </w:r>
      <w:r w:rsidRPr="00735D4C">
        <w:rPr>
          <w:lang w:eastAsia="ja-JP"/>
        </w:rPr>
        <w:t xml:space="preserve"> studies, 2 Phase </w:t>
      </w:r>
      <w:r w:rsidR="00A454C7" w:rsidRPr="00735D4C">
        <w:rPr>
          <w:lang w:eastAsia="ja-JP"/>
        </w:rPr>
        <w:t>II</w:t>
      </w:r>
      <w:r w:rsidRPr="00735D4C">
        <w:rPr>
          <w:lang w:eastAsia="ja-JP"/>
        </w:rPr>
        <w:t xml:space="preserve"> studies, and 2 Phase </w:t>
      </w:r>
      <w:r w:rsidR="00A454C7" w:rsidRPr="00735D4C">
        <w:rPr>
          <w:lang w:eastAsia="ja-JP"/>
        </w:rPr>
        <w:t>III</w:t>
      </w:r>
      <w:r w:rsidRPr="00735D4C">
        <w:rPr>
          <w:lang w:eastAsia="ja-JP"/>
        </w:rPr>
        <w:t xml:space="preserve"> studies, and MG-ADL data from MG0003. The models were extended with disease</w:t>
      </w:r>
      <w:r w:rsidR="00E36A47" w:rsidRPr="00735D4C">
        <w:rPr>
          <w:lang w:eastAsia="ja-JP"/>
        </w:rPr>
        <w:t>-</w:t>
      </w:r>
      <w:r w:rsidRPr="00735D4C">
        <w:rPr>
          <w:lang w:eastAsia="ja-JP"/>
        </w:rPr>
        <w:t xml:space="preserve">specific autoantibody data from 1 Phase </w:t>
      </w:r>
      <w:r w:rsidR="00E36A47" w:rsidRPr="00735D4C">
        <w:rPr>
          <w:lang w:eastAsia="ja-JP"/>
        </w:rPr>
        <w:t>II</w:t>
      </w:r>
      <w:r w:rsidRPr="00735D4C">
        <w:rPr>
          <w:lang w:eastAsia="ja-JP"/>
        </w:rPr>
        <w:t xml:space="preserve"> study and 2 Phase </w:t>
      </w:r>
      <w:r w:rsidR="00E36A47" w:rsidRPr="00735D4C">
        <w:rPr>
          <w:lang w:eastAsia="ja-JP"/>
        </w:rPr>
        <w:t>III</w:t>
      </w:r>
      <w:r w:rsidRPr="00735D4C">
        <w:rPr>
          <w:lang w:eastAsia="ja-JP"/>
        </w:rPr>
        <w:t xml:space="preserve"> studies in </w:t>
      </w:r>
      <w:proofErr w:type="spellStart"/>
      <w:r w:rsidRPr="00735D4C">
        <w:rPr>
          <w:lang w:eastAsia="ja-JP"/>
        </w:rPr>
        <w:t>gMG</w:t>
      </w:r>
      <w:proofErr w:type="spellEnd"/>
      <w:r w:rsidRPr="00735D4C">
        <w:rPr>
          <w:lang w:eastAsia="ja-JP"/>
        </w:rPr>
        <w:t>. The purpose of</w:t>
      </w:r>
      <w:r w:rsidRPr="00735D4C">
        <w:rPr>
          <w:rFonts w:ascii="Times New Roman" w:eastAsiaTheme="minorHAnsi" w:hAnsi="Times New Roman"/>
          <w:sz w:val="24"/>
          <w:szCs w:val="24"/>
        </w:rPr>
        <w:t xml:space="preserve"> </w:t>
      </w:r>
      <w:r w:rsidRPr="00735D4C">
        <w:rPr>
          <w:lang w:eastAsia="ja-JP"/>
        </w:rPr>
        <w:t>these models was to describe the PK and PK-PD properties of rozanolixizumab, including the effect of covariates.</w:t>
      </w:r>
    </w:p>
    <w:p w14:paraId="6BA14374" w14:textId="34CE0447" w:rsidR="00F84FAD" w:rsidRPr="00F01EC4" w:rsidRDefault="00F84FAD" w:rsidP="00F84FAD">
      <w:pPr>
        <w:pStyle w:val="ListBullet"/>
        <w:rPr>
          <w:lang w:val="en-GB" w:eastAsia="ja-JP"/>
        </w:rPr>
      </w:pPr>
      <w:r w:rsidRPr="001A1D9C">
        <w:rPr>
          <w:lang w:eastAsia="ja-JP"/>
        </w:rPr>
        <w:t>Phase II and III</w:t>
      </w:r>
      <w:r w:rsidR="0096322D">
        <w:rPr>
          <w:lang w:eastAsia="ja-JP"/>
        </w:rPr>
        <w:t xml:space="preserve"> studies</w:t>
      </w:r>
    </w:p>
    <w:p w14:paraId="2FC77C51" w14:textId="03A033AD" w:rsidR="00F01EC4" w:rsidRPr="001A1D9C" w:rsidRDefault="00F01EC4" w:rsidP="00F01EC4">
      <w:pPr>
        <w:pStyle w:val="ListBullet2"/>
        <w:ind w:left="850" w:hanging="425"/>
        <w:rPr>
          <w:lang w:val="en-GB" w:eastAsia="ja-JP"/>
        </w:rPr>
      </w:pPr>
      <w:r>
        <w:rPr>
          <w:lang w:val="en-GB" w:eastAsia="ja-JP"/>
        </w:rPr>
        <w:t>MG0002 (phase 2A study)</w:t>
      </w:r>
    </w:p>
    <w:p w14:paraId="69BDE0B9" w14:textId="77777777" w:rsidR="00100C73" w:rsidRPr="00F01EC4" w:rsidRDefault="008606A2" w:rsidP="00F01EC4">
      <w:pPr>
        <w:pStyle w:val="ListBullet2"/>
        <w:ind w:left="850" w:hanging="425"/>
        <w:rPr>
          <w:lang w:val="en-GB" w:eastAsia="ja-JP"/>
        </w:rPr>
      </w:pPr>
      <w:r w:rsidRPr="00F01EC4">
        <w:rPr>
          <w:lang w:val="en-GB" w:eastAsia="ja-JP"/>
        </w:rPr>
        <w:t>MG0003 (pivotal study)</w:t>
      </w:r>
    </w:p>
    <w:p w14:paraId="4B03F891" w14:textId="78E5A2AA" w:rsidR="00100C73" w:rsidRPr="00F01EC4" w:rsidRDefault="008606A2" w:rsidP="00F01EC4">
      <w:pPr>
        <w:pStyle w:val="ListBullet2"/>
        <w:ind w:left="850" w:hanging="425"/>
        <w:rPr>
          <w:lang w:val="en-GB" w:eastAsia="ja-JP"/>
        </w:rPr>
      </w:pPr>
      <w:r w:rsidRPr="00F01EC4">
        <w:rPr>
          <w:lang w:val="en-GB" w:eastAsia="ja-JP"/>
        </w:rPr>
        <w:t>MG0004</w:t>
      </w:r>
      <w:r w:rsidR="00100C73" w:rsidRPr="00F01EC4">
        <w:rPr>
          <w:lang w:val="en-GB" w:eastAsia="ja-JP"/>
        </w:rPr>
        <w:t xml:space="preserve"> (observational extension stud</w:t>
      </w:r>
      <w:r w:rsidR="001D6652" w:rsidRPr="00F01EC4">
        <w:rPr>
          <w:lang w:val="en-GB" w:eastAsia="ja-JP"/>
        </w:rPr>
        <w:t xml:space="preserve">y with </w:t>
      </w:r>
      <w:r w:rsidR="00100C73" w:rsidRPr="00F01EC4">
        <w:rPr>
          <w:lang w:val="en-GB" w:eastAsia="ja-JP"/>
        </w:rPr>
        <w:t>treatment cycles administered weekly</w:t>
      </w:r>
      <w:r w:rsidR="007F5799" w:rsidRPr="00F01EC4">
        <w:rPr>
          <w:lang w:val="en-GB" w:eastAsia="ja-JP"/>
        </w:rPr>
        <w:t>)</w:t>
      </w:r>
    </w:p>
    <w:p w14:paraId="0B6D83E6" w14:textId="38864BA5" w:rsidR="00057E12" w:rsidRPr="00F01EC4" w:rsidRDefault="008606A2" w:rsidP="00F01EC4">
      <w:pPr>
        <w:pStyle w:val="ListBullet2"/>
        <w:ind w:left="850" w:hanging="425"/>
        <w:rPr>
          <w:lang w:val="en-GB" w:eastAsia="ja-JP"/>
        </w:rPr>
      </w:pPr>
      <w:r w:rsidRPr="00F01EC4">
        <w:rPr>
          <w:lang w:val="en-GB" w:eastAsia="ja-JP"/>
        </w:rPr>
        <w:t>MG0007</w:t>
      </w:r>
      <w:r w:rsidR="00100C73" w:rsidRPr="00F01EC4">
        <w:rPr>
          <w:lang w:val="en-GB" w:eastAsia="ja-JP"/>
        </w:rPr>
        <w:t xml:space="preserve"> (</w:t>
      </w:r>
      <w:r w:rsidR="00057E12" w:rsidRPr="00F01EC4">
        <w:rPr>
          <w:lang w:val="en-GB" w:eastAsia="ja-JP"/>
        </w:rPr>
        <w:t>observational extension stud</w:t>
      </w:r>
      <w:r w:rsidR="00100C73" w:rsidRPr="00F01EC4">
        <w:rPr>
          <w:lang w:val="en-GB" w:eastAsia="ja-JP"/>
        </w:rPr>
        <w:t>y</w:t>
      </w:r>
      <w:r w:rsidR="001D6652" w:rsidRPr="00F01EC4">
        <w:rPr>
          <w:lang w:val="en-GB" w:eastAsia="ja-JP"/>
        </w:rPr>
        <w:t xml:space="preserve"> with </w:t>
      </w:r>
      <w:r w:rsidR="00057E12" w:rsidRPr="00F01EC4">
        <w:rPr>
          <w:lang w:val="en-GB" w:eastAsia="ja-JP"/>
        </w:rPr>
        <w:t>treatment cycles based on clinical needs</w:t>
      </w:r>
      <w:r w:rsidR="001D6652" w:rsidRPr="00F01EC4">
        <w:rPr>
          <w:lang w:val="en-GB" w:eastAsia="ja-JP"/>
        </w:rPr>
        <w:t>)</w:t>
      </w:r>
    </w:p>
    <w:p w14:paraId="2E0FD70B" w14:textId="68A7757C" w:rsidR="00886710" w:rsidRPr="009D4459" w:rsidRDefault="00886710" w:rsidP="00886710">
      <w:pPr>
        <w:pStyle w:val="Heading4"/>
      </w:pPr>
      <w:bookmarkStart w:id="48" w:name="_Toc204161821"/>
      <w:r w:rsidRPr="009D4459">
        <w:lastRenderedPageBreak/>
        <w:t>Pharmacology</w:t>
      </w:r>
      <w:bookmarkEnd w:id="48"/>
    </w:p>
    <w:p w14:paraId="5A3C8382" w14:textId="77777777" w:rsidR="00886710" w:rsidRPr="00886710" w:rsidRDefault="00886710" w:rsidP="00886710">
      <w:pPr>
        <w:pStyle w:val="Heading5"/>
      </w:pPr>
      <w:r w:rsidRPr="00886710">
        <w:t>Pharmacokinetics</w:t>
      </w:r>
    </w:p>
    <w:p w14:paraId="5E8E06D0" w14:textId="77777777" w:rsidR="00886710" w:rsidRPr="0067626F" w:rsidRDefault="00886710" w:rsidP="00886710">
      <w:pPr>
        <w:pStyle w:val="Heading6"/>
        <w:rPr>
          <w:lang w:val="en-GB"/>
        </w:rPr>
      </w:pPr>
      <w:r w:rsidRPr="0067626F">
        <w:rPr>
          <w:lang w:val="en-GB"/>
        </w:rPr>
        <w:t>Absorption</w:t>
      </w:r>
    </w:p>
    <w:p w14:paraId="09A84BAF" w14:textId="1A087C72" w:rsidR="00886710" w:rsidRPr="004474B4" w:rsidRDefault="00886710" w:rsidP="00344E2B">
      <w:pPr>
        <w:rPr>
          <w:rFonts w:eastAsia="Calibri" w:cs="Arial"/>
          <w:lang w:val="en-GB"/>
        </w:rPr>
      </w:pPr>
      <w:r w:rsidRPr="004474B4">
        <w:rPr>
          <w:rFonts w:eastAsia="Calibri" w:cs="Arial"/>
          <w:lang w:val="en-GB"/>
        </w:rPr>
        <w:t xml:space="preserve">Following </w:t>
      </w:r>
      <w:r w:rsidR="007A163D">
        <w:rPr>
          <w:rFonts w:eastAsia="Calibri" w:cs="Arial"/>
          <w:lang w:val="en-GB"/>
        </w:rPr>
        <w:t>subcutaneous (</w:t>
      </w:r>
      <w:r w:rsidRPr="004474B4">
        <w:rPr>
          <w:rFonts w:eastAsia="Calibri" w:cs="Arial"/>
          <w:lang w:val="en-GB"/>
        </w:rPr>
        <w:t>SC</w:t>
      </w:r>
      <w:r w:rsidR="007A163D">
        <w:rPr>
          <w:rFonts w:eastAsia="Calibri" w:cs="Arial"/>
          <w:lang w:val="en-GB"/>
        </w:rPr>
        <w:t>)</w:t>
      </w:r>
      <w:r w:rsidRPr="004474B4">
        <w:rPr>
          <w:rFonts w:eastAsia="Calibri" w:cs="Arial"/>
          <w:lang w:val="en-GB"/>
        </w:rPr>
        <w:t xml:space="preserve"> administration, the maximum concentrations of </w:t>
      </w:r>
      <w:r w:rsidR="000775A0">
        <w:rPr>
          <w:rFonts w:eastAsia="Calibri" w:cs="Arial"/>
          <w:lang w:val="en-GB"/>
        </w:rPr>
        <w:t>rozanolixizumab</w:t>
      </w:r>
      <w:r w:rsidRPr="004474B4">
        <w:rPr>
          <w:rFonts w:eastAsia="Calibri" w:cs="Arial"/>
          <w:lang w:val="en-GB"/>
        </w:rPr>
        <w:t xml:space="preserve"> were reached after </w:t>
      </w:r>
      <w:r w:rsidRPr="00225793">
        <w:rPr>
          <w:rFonts w:eastAsia="Calibri" w:cs="Arial"/>
          <w:lang w:val="en-GB"/>
        </w:rPr>
        <w:t xml:space="preserve">approximately </w:t>
      </w:r>
      <w:r w:rsidR="00344E2B" w:rsidRPr="00225793">
        <w:rPr>
          <w:rFonts w:eastAsia="Calibri" w:cs="Arial"/>
          <w:lang w:val="en-GB"/>
        </w:rPr>
        <w:t>2</w:t>
      </w:r>
      <w:r w:rsidRPr="00225793">
        <w:rPr>
          <w:rFonts w:eastAsia="Calibri" w:cs="Arial"/>
          <w:lang w:val="en-GB"/>
        </w:rPr>
        <w:t xml:space="preserve"> days in healthy subjects (</w:t>
      </w:r>
      <w:r w:rsidRPr="00225793">
        <w:rPr>
          <w:rFonts w:eastAsia="Cambria" w:cs="Times New Roman"/>
          <w:color w:val="000000" w:themeColor="text1"/>
          <w:lang w:eastAsia="ja-JP"/>
        </w:rPr>
        <w:t>studies UP0018 and UP0060</w:t>
      </w:r>
      <w:r w:rsidRPr="00225793">
        <w:rPr>
          <w:rFonts w:eastAsia="Calibri" w:cs="Arial"/>
          <w:lang w:val="en-GB"/>
        </w:rPr>
        <w:t>). Based on the</w:t>
      </w:r>
      <w:r w:rsidRPr="004474B4">
        <w:rPr>
          <w:rFonts w:eastAsia="Calibri" w:cs="Arial"/>
          <w:lang w:val="en-GB"/>
        </w:rPr>
        <w:t xml:space="preserve"> population PK analysis, absolute bioavailability was estimated at 67% using</w:t>
      </w:r>
      <w:r w:rsidR="007A163D">
        <w:rPr>
          <w:rFonts w:eastAsia="Calibri" w:cs="Arial"/>
          <w:lang w:val="en-GB"/>
        </w:rPr>
        <w:t xml:space="preserve"> intravenous (</w:t>
      </w:r>
      <w:r w:rsidRPr="004474B4">
        <w:rPr>
          <w:rFonts w:eastAsia="Calibri" w:cs="Arial"/>
          <w:lang w:val="en-GB"/>
        </w:rPr>
        <w:t>IV</w:t>
      </w:r>
      <w:r w:rsidR="007A163D">
        <w:rPr>
          <w:rFonts w:eastAsia="Calibri" w:cs="Arial"/>
          <w:lang w:val="en-GB"/>
        </w:rPr>
        <w:t>)</w:t>
      </w:r>
      <w:r w:rsidRPr="004474B4">
        <w:rPr>
          <w:rFonts w:eastAsia="Calibri" w:cs="Arial"/>
          <w:lang w:val="en-GB"/>
        </w:rPr>
        <w:t xml:space="preserve"> and SC data from healthy subjects and patients with immune thrombocytopenia.</w:t>
      </w:r>
    </w:p>
    <w:p w14:paraId="186C1E31" w14:textId="7F7B9637" w:rsidR="00886710" w:rsidRPr="004474B4" w:rsidRDefault="00886710" w:rsidP="00344E2B">
      <w:pPr>
        <w:rPr>
          <w:rFonts w:eastAsia="Calibri" w:cs="Arial"/>
          <w:lang w:val="en-GB"/>
        </w:rPr>
      </w:pPr>
      <w:r w:rsidRPr="003A3C68">
        <w:rPr>
          <w:rFonts w:eastAsia="Calibri" w:cs="Arial"/>
          <w:lang w:val="en-GB"/>
        </w:rPr>
        <w:t xml:space="preserve">The trough concentrations were close to or below the limit of quantification in </w:t>
      </w:r>
      <w:proofErr w:type="gramStart"/>
      <w:r w:rsidR="00344E2B" w:rsidRPr="003A3C68">
        <w:rPr>
          <w:rFonts w:eastAsia="Calibri" w:cs="Arial"/>
          <w:lang w:val="en-GB"/>
        </w:rPr>
        <w:t xml:space="preserve">the </w:t>
      </w:r>
      <w:r w:rsidRPr="003A3C68">
        <w:rPr>
          <w:rFonts w:eastAsia="Calibri" w:cs="Arial"/>
          <w:lang w:val="en-GB"/>
        </w:rPr>
        <w:t>majority of</w:t>
      </w:r>
      <w:proofErr w:type="gramEnd"/>
      <w:r w:rsidRPr="003A3C68">
        <w:rPr>
          <w:rFonts w:eastAsia="Calibri" w:cs="Arial"/>
          <w:lang w:val="en-GB"/>
        </w:rPr>
        <w:t xml:space="preserve"> patients suggesting limited </w:t>
      </w:r>
      <w:r w:rsidR="000775A0">
        <w:rPr>
          <w:rFonts w:eastAsia="Calibri" w:cs="Arial"/>
          <w:lang w:val="en-GB"/>
        </w:rPr>
        <w:t>rozanolixizumab</w:t>
      </w:r>
      <w:r w:rsidRPr="003A3C68">
        <w:rPr>
          <w:rFonts w:eastAsia="Calibri" w:cs="Arial"/>
          <w:lang w:val="en-GB"/>
        </w:rPr>
        <w:t xml:space="preserve"> accumulation.</w:t>
      </w:r>
    </w:p>
    <w:p w14:paraId="06CEF853" w14:textId="6A86CB2E" w:rsidR="00886710" w:rsidRPr="004474B4" w:rsidRDefault="00886710" w:rsidP="00344E2B">
      <w:pPr>
        <w:rPr>
          <w:rFonts w:eastAsia="Calibri" w:cs="Arial"/>
          <w:lang w:val="en-GB"/>
        </w:rPr>
      </w:pPr>
      <w:r w:rsidRPr="003A3C68">
        <w:rPr>
          <w:rFonts w:eastAsia="Calibri" w:cs="Arial"/>
          <w:lang w:val="en-GB"/>
        </w:rPr>
        <w:t xml:space="preserve">In line with target-mediated drug disposition, non-linear PK was observed for </w:t>
      </w:r>
      <w:r w:rsidR="000775A0">
        <w:rPr>
          <w:rFonts w:eastAsia="Calibri" w:cs="Arial"/>
          <w:lang w:val="en-GB"/>
        </w:rPr>
        <w:t>rozanolixizumab</w:t>
      </w:r>
      <w:r w:rsidRPr="003A3C68">
        <w:rPr>
          <w:rFonts w:eastAsia="Calibri" w:cs="Arial"/>
          <w:lang w:val="en-GB"/>
        </w:rPr>
        <w:t xml:space="preserve">. Overall, </w:t>
      </w:r>
      <w:r w:rsidR="000775A0">
        <w:rPr>
          <w:rFonts w:eastAsia="Calibri" w:cs="Arial"/>
          <w:lang w:val="en-GB"/>
        </w:rPr>
        <w:t>rozanolixizumab</w:t>
      </w:r>
      <w:r w:rsidRPr="004474B4">
        <w:rPr>
          <w:rFonts w:eastAsia="Calibri" w:cs="Arial"/>
          <w:lang w:val="en-GB"/>
        </w:rPr>
        <w:t xml:space="preserve"> exposure increased greater than dose-proportionally over a dose range from 1 mg/kg to 20 mg/kg.</w:t>
      </w:r>
    </w:p>
    <w:p w14:paraId="4D19364F" w14:textId="7604AD48" w:rsidR="00886710" w:rsidRPr="004474B4" w:rsidRDefault="00886710" w:rsidP="00344E2B">
      <w:pPr>
        <w:rPr>
          <w:rFonts w:eastAsia="Calibri" w:cs="Arial"/>
          <w:lang w:val="en-GB"/>
        </w:rPr>
      </w:pPr>
      <w:r w:rsidRPr="004474B4">
        <w:rPr>
          <w:rFonts w:eastAsia="Calibri" w:cs="Arial"/>
          <w:lang w:val="en-GB"/>
        </w:rPr>
        <w:t>No relevant exposure differences between healthy subjects and</w:t>
      </w:r>
      <w:r w:rsidRPr="004474B4">
        <w:rPr>
          <w:rFonts w:eastAsia="Calibri" w:cs="Arial"/>
          <w:lang w:val="en-US"/>
        </w:rPr>
        <w:t xml:space="preserve"> </w:t>
      </w:r>
      <w:proofErr w:type="spellStart"/>
      <w:r w:rsidRPr="004474B4">
        <w:rPr>
          <w:rFonts w:eastAsia="Calibri" w:cs="Arial"/>
          <w:lang w:val="en-US"/>
        </w:rPr>
        <w:t>generali</w:t>
      </w:r>
      <w:r w:rsidR="00344E2B">
        <w:rPr>
          <w:rFonts w:eastAsia="Calibri" w:cs="Arial"/>
          <w:lang w:val="en-US"/>
        </w:rPr>
        <w:t>s</w:t>
      </w:r>
      <w:r w:rsidRPr="004474B4">
        <w:rPr>
          <w:rFonts w:eastAsia="Calibri" w:cs="Arial"/>
          <w:lang w:val="en-US"/>
        </w:rPr>
        <w:t>ed</w:t>
      </w:r>
      <w:proofErr w:type="spellEnd"/>
      <w:r w:rsidRPr="004474B4">
        <w:rPr>
          <w:rFonts w:eastAsia="Calibri" w:cs="Arial"/>
          <w:lang w:val="en-US"/>
        </w:rPr>
        <w:t xml:space="preserve"> myasthenia gravis (</w:t>
      </w:r>
      <w:proofErr w:type="spellStart"/>
      <w:r w:rsidRPr="004474B4">
        <w:rPr>
          <w:rFonts w:eastAsia="Calibri" w:cs="Arial"/>
          <w:lang w:val="en-US"/>
        </w:rPr>
        <w:t>gMG</w:t>
      </w:r>
      <w:proofErr w:type="spellEnd"/>
      <w:r w:rsidRPr="004474B4">
        <w:rPr>
          <w:rFonts w:eastAsia="Calibri" w:cs="Arial"/>
          <w:lang w:val="en-US"/>
        </w:rPr>
        <w:t>)</w:t>
      </w:r>
      <w:r w:rsidRPr="004474B4">
        <w:rPr>
          <w:rFonts w:eastAsia="Calibri" w:cs="Arial"/>
          <w:lang w:val="en-GB"/>
        </w:rPr>
        <w:t xml:space="preserve"> patients</w:t>
      </w:r>
      <w:r w:rsidR="00344E2B">
        <w:rPr>
          <w:rFonts w:eastAsia="Calibri" w:cs="Arial"/>
          <w:lang w:val="en-GB"/>
        </w:rPr>
        <w:t xml:space="preserve"> were noted</w:t>
      </w:r>
      <w:r w:rsidRPr="004474B4">
        <w:rPr>
          <w:rFonts w:eastAsia="Calibri" w:cs="Arial"/>
          <w:lang w:val="en-GB"/>
        </w:rPr>
        <w:t>.</w:t>
      </w:r>
    </w:p>
    <w:p w14:paraId="5B454A57" w14:textId="7F63275C" w:rsidR="00886710" w:rsidRPr="00344E2B" w:rsidRDefault="00886710" w:rsidP="00344E2B">
      <w:pPr>
        <w:rPr>
          <w:rFonts w:asciiTheme="minorHAnsi" w:eastAsia="Calibri" w:hAnsiTheme="minorHAnsi" w:cs="Arial"/>
          <w:strike/>
          <w:lang w:val="en-GB"/>
        </w:rPr>
      </w:pPr>
      <w:r w:rsidRPr="00344E2B">
        <w:rPr>
          <w:rFonts w:eastAsia="Calibri" w:cs="Arial"/>
          <w:lang w:val="en-GB"/>
        </w:rPr>
        <w:t xml:space="preserve">Based on the simulations with the population PK/PD model, it is recommended that </w:t>
      </w:r>
      <w:r w:rsidR="000775A0">
        <w:rPr>
          <w:rFonts w:eastAsia="Calibri" w:cs="Arial"/>
          <w:lang w:val="en-GB"/>
        </w:rPr>
        <w:t>rozanolixizumab</w:t>
      </w:r>
      <w:r w:rsidRPr="00344E2B">
        <w:rPr>
          <w:rFonts w:eastAsia="Calibri" w:cs="Arial"/>
          <w:lang w:val="en-GB"/>
        </w:rPr>
        <w:t xml:space="preserve"> may be administered up to 4</w:t>
      </w:r>
      <w:r w:rsidR="00344E2B" w:rsidRPr="00344E2B">
        <w:rPr>
          <w:rFonts w:eastAsia="Calibri" w:cs="Arial"/>
          <w:lang w:val="en-GB"/>
        </w:rPr>
        <w:t> </w:t>
      </w:r>
      <w:r w:rsidRPr="00344E2B">
        <w:rPr>
          <w:rFonts w:eastAsia="Calibri" w:cs="Arial"/>
          <w:lang w:val="en-GB"/>
        </w:rPr>
        <w:t>days after the scheduled time point in case of a missed dose. Thereafter, the original dosing schedule may be resumed until the treatment cycle is completed.</w:t>
      </w:r>
    </w:p>
    <w:p w14:paraId="0C41DD0D" w14:textId="77777777" w:rsidR="00886710" w:rsidRPr="004474B4" w:rsidRDefault="00886710" w:rsidP="00344E2B">
      <w:pPr>
        <w:pStyle w:val="Heading6"/>
        <w:rPr>
          <w:rFonts w:eastAsia="Calibri"/>
          <w:lang w:val="en-GB"/>
        </w:rPr>
      </w:pPr>
      <w:r w:rsidRPr="004474B4">
        <w:rPr>
          <w:rFonts w:eastAsia="Calibri"/>
          <w:lang w:val="en-GB"/>
        </w:rPr>
        <w:t>Distribution, metabolism, and elimination</w:t>
      </w:r>
    </w:p>
    <w:p w14:paraId="55C9EF59" w14:textId="77777777" w:rsidR="00886710" w:rsidRPr="0067626F" w:rsidRDefault="00886710" w:rsidP="00344E2B">
      <w:pPr>
        <w:rPr>
          <w:rFonts w:eastAsia="Calibri" w:cs="Arial"/>
          <w:lang w:val="en-US"/>
        </w:rPr>
      </w:pPr>
      <w:r w:rsidRPr="0067626F">
        <w:rPr>
          <w:rFonts w:eastAsia="Calibri" w:cs="Arial"/>
          <w:lang w:val="en-US"/>
        </w:rPr>
        <w:t xml:space="preserve">Based on the population PK analyses, the mean estimate of the apparent volume of distribution was 6.6 L for a typical </w:t>
      </w:r>
      <w:proofErr w:type="spellStart"/>
      <w:r w:rsidRPr="0067626F">
        <w:rPr>
          <w:rFonts w:eastAsia="Calibri" w:cs="Arial"/>
          <w:lang w:val="en-GB"/>
        </w:rPr>
        <w:t>gMG</w:t>
      </w:r>
      <w:proofErr w:type="spellEnd"/>
      <w:r w:rsidRPr="0067626F">
        <w:rPr>
          <w:rFonts w:eastAsia="Calibri" w:cs="Arial"/>
          <w:lang w:val="en-GB"/>
        </w:rPr>
        <w:t xml:space="preserve"> </w:t>
      </w:r>
      <w:r w:rsidRPr="0067626F">
        <w:rPr>
          <w:rFonts w:eastAsia="Calibri" w:cs="Arial"/>
          <w:lang w:val="en-US"/>
        </w:rPr>
        <w:t>patient of 76 kg.</w:t>
      </w:r>
    </w:p>
    <w:p w14:paraId="3EF008F1" w14:textId="4100FCF0" w:rsidR="00886710" w:rsidRPr="005E7278" w:rsidRDefault="00886710" w:rsidP="00344E2B">
      <w:pPr>
        <w:rPr>
          <w:rFonts w:eastAsia="Calibri" w:cs="Arial"/>
          <w:lang w:val="en-GB"/>
        </w:rPr>
      </w:pPr>
      <w:r w:rsidRPr="005E7278">
        <w:rPr>
          <w:rFonts w:eastAsia="Calibri" w:cs="Arial"/>
          <w:lang w:val="en-US"/>
        </w:rPr>
        <w:t xml:space="preserve">No studies regarding the metabolism of </w:t>
      </w:r>
      <w:r w:rsidR="000775A0">
        <w:rPr>
          <w:rFonts w:eastAsia="Calibri" w:cs="Arial"/>
          <w:lang w:val="en-US"/>
        </w:rPr>
        <w:t>rozanolixizumab</w:t>
      </w:r>
      <w:r w:rsidRPr="005E7278">
        <w:rPr>
          <w:rFonts w:eastAsia="Calibri" w:cs="Arial"/>
          <w:lang w:val="en-US"/>
        </w:rPr>
        <w:t xml:space="preserve"> have been conducted considering the biological nature of the molecule.</w:t>
      </w:r>
    </w:p>
    <w:p w14:paraId="1993D6B3" w14:textId="47D87284" w:rsidR="00886710" w:rsidRPr="005E7278" w:rsidRDefault="00886710" w:rsidP="00344E2B">
      <w:pPr>
        <w:rPr>
          <w:rFonts w:eastAsia="Calibri" w:cs="Arial"/>
          <w:lang w:val="en-GB"/>
        </w:rPr>
      </w:pPr>
      <w:r w:rsidRPr="005E7278">
        <w:rPr>
          <w:rFonts w:eastAsia="Calibri" w:cs="Arial"/>
          <w:lang w:val="en-GB"/>
        </w:rPr>
        <w:t xml:space="preserve">In line with </w:t>
      </w:r>
      <w:r w:rsidR="00344E2B">
        <w:rPr>
          <w:rFonts w:eastAsia="Calibri" w:cs="Arial"/>
          <w:lang w:val="en-GB"/>
        </w:rPr>
        <w:t>t</w:t>
      </w:r>
      <w:proofErr w:type="spellStart"/>
      <w:r w:rsidRPr="005E7278">
        <w:rPr>
          <w:rFonts w:eastAsia="Calibri" w:cs="Arial"/>
        </w:rPr>
        <w:t>arget</w:t>
      </w:r>
      <w:proofErr w:type="spellEnd"/>
      <w:r w:rsidRPr="005E7278">
        <w:rPr>
          <w:rFonts w:eastAsia="Calibri" w:cs="Arial"/>
        </w:rPr>
        <w:t>-mediated drug disposition</w:t>
      </w:r>
      <w:r w:rsidRPr="005E7278">
        <w:rPr>
          <w:rFonts w:eastAsia="Calibri" w:cs="Arial"/>
          <w:lang w:val="en-GB"/>
        </w:rPr>
        <w:t xml:space="preserve">, </w:t>
      </w:r>
      <w:r w:rsidR="000775A0">
        <w:rPr>
          <w:rFonts w:eastAsia="Calibri" w:cs="Arial"/>
          <w:lang w:val="en-US"/>
        </w:rPr>
        <w:t>rozanolixizumab</w:t>
      </w:r>
      <w:r w:rsidRPr="005E7278">
        <w:rPr>
          <w:rFonts w:eastAsia="Calibri" w:cs="Arial"/>
          <w:lang w:val="en-US"/>
        </w:rPr>
        <w:t xml:space="preserve"> has a biphasic elimination phase consisting of a </w:t>
      </w:r>
      <w:proofErr w:type="spellStart"/>
      <w:r w:rsidRPr="005E7278">
        <w:rPr>
          <w:rFonts w:eastAsia="Calibri" w:cs="Arial"/>
          <w:lang w:val="en-GB"/>
        </w:rPr>
        <w:t>FcRn</w:t>
      </w:r>
      <w:proofErr w:type="spellEnd"/>
      <w:r w:rsidRPr="005E7278">
        <w:rPr>
          <w:rFonts w:eastAsia="Calibri" w:cs="Arial"/>
          <w:lang w:val="en-GB"/>
        </w:rPr>
        <w:t xml:space="preserve">-independent linear clearance pathway and a non-linear elimination pathway driven by target binding. </w:t>
      </w:r>
      <w:r w:rsidRPr="005E7278">
        <w:rPr>
          <w:rFonts w:eastAsia="Calibri" w:cs="Arial"/>
          <w:lang w:val="en-US"/>
        </w:rPr>
        <w:t xml:space="preserve">The </w:t>
      </w:r>
      <w:proofErr w:type="spellStart"/>
      <w:r w:rsidRPr="005E7278">
        <w:rPr>
          <w:rFonts w:eastAsia="Calibri" w:cs="Arial" w:hint="eastAsia"/>
          <w:lang w:val="en-US"/>
        </w:rPr>
        <w:t>FcRn</w:t>
      </w:r>
      <w:proofErr w:type="spellEnd"/>
      <w:r w:rsidRPr="005E7278">
        <w:rPr>
          <w:rFonts w:eastAsia="Calibri" w:cs="Arial"/>
          <w:lang w:val="en-US"/>
        </w:rPr>
        <w:t>-</w:t>
      </w:r>
      <w:r w:rsidRPr="005E7278">
        <w:rPr>
          <w:rFonts w:eastAsia="Calibri" w:cs="Arial" w:hint="eastAsia"/>
          <w:lang w:val="en-US"/>
        </w:rPr>
        <w:t xml:space="preserve">independent linear clearance </w:t>
      </w:r>
      <w:r w:rsidRPr="005E7278">
        <w:rPr>
          <w:rFonts w:eastAsia="Calibri" w:cs="Arial"/>
          <w:lang w:val="en-US"/>
        </w:rPr>
        <w:t>is considered</w:t>
      </w:r>
      <w:r w:rsidRPr="005E7278">
        <w:rPr>
          <w:rFonts w:eastAsia="Calibri" w:cs="Arial" w:hint="eastAsia"/>
          <w:lang w:val="en-US"/>
        </w:rPr>
        <w:t xml:space="preserve"> a m</w:t>
      </w:r>
      <w:r w:rsidRPr="005E7278">
        <w:rPr>
          <w:rFonts w:eastAsia="Calibri" w:cs="Arial"/>
          <w:lang w:val="en-US"/>
        </w:rPr>
        <w:t xml:space="preserve">inor </w:t>
      </w:r>
      <w:r w:rsidRPr="00B16AC4">
        <w:rPr>
          <w:rFonts w:eastAsia="Calibri" w:cs="Arial"/>
          <w:lang w:val="en-US"/>
        </w:rPr>
        <w:t xml:space="preserve">pathway for </w:t>
      </w:r>
      <w:r w:rsidR="000775A0" w:rsidRPr="00B16AC4">
        <w:rPr>
          <w:rFonts w:eastAsia="Calibri" w:cs="Arial"/>
          <w:lang w:val="en-US"/>
        </w:rPr>
        <w:t>rozanolixizumab</w:t>
      </w:r>
      <w:r w:rsidRPr="00B16AC4">
        <w:rPr>
          <w:rFonts w:eastAsia="Calibri" w:cs="Arial"/>
          <w:lang w:val="en-US"/>
        </w:rPr>
        <w:t xml:space="preserve"> at clinically relevant doses of </w:t>
      </w:r>
      <w:r w:rsidR="000771A0" w:rsidRPr="00B16AC4">
        <w:rPr>
          <w:rFonts w:eastAsia="Calibri" w:cs="Arial"/>
          <w:lang w:val="en-US"/>
        </w:rPr>
        <w:t>approximate</w:t>
      </w:r>
      <w:r w:rsidR="00B16AC4" w:rsidRPr="00B16AC4">
        <w:rPr>
          <w:rFonts w:eastAsia="Calibri" w:cs="Arial"/>
          <w:lang w:val="en-US"/>
        </w:rPr>
        <w:t>ly</w:t>
      </w:r>
      <w:r w:rsidR="000771A0" w:rsidRPr="00B16AC4">
        <w:rPr>
          <w:rFonts w:eastAsia="Calibri" w:cs="Arial"/>
          <w:lang w:val="en-US"/>
        </w:rPr>
        <w:t xml:space="preserve"> (≈) </w:t>
      </w:r>
      <w:r w:rsidR="0073318B" w:rsidRPr="00B16AC4">
        <w:rPr>
          <w:rFonts w:eastAsia="Calibri" w:cs="Arial"/>
          <w:lang w:val="en-US"/>
        </w:rPr>
        <w:t>≈</w:t>
      </w:r>
      <w:r w:rsidRPr="00B16AC4">
        <w:rPr>
          <w:rFonts w:eastAsia="Calibri" w:cs="Arial"/>
          <w:lang w:val="en-US"/>
        </w:rPr>
        <w:t>7 mg/kg and</w:t>
      </w:r>
      <w:r w:rsidRPr="00D13FFA">
        <w:rPr>
          <w:rFonts w:eastAsia="Calibri" w:cs="Arial"/>
          <w:lang w:val="en-US"/>
        </w:rPr>
        <w:t xml:space="preserve"> </w:t>
      </w:r>
      <w:r w:rsidR="0073318B" w:rsidRPr="00D13FFA">
        <w:rPr>
          <w:rFonts w:eastAsia="Calibri" w:cs="Arial"/>
          <w:lang w:val="en-US"/>
        </w:rPr>
        <w:t>≈</w:t>
      </w:r>
      <w:r w:rsidRPr="00D13FFA">
        <w:rPr>
          <w:rFonts w:eastAsia="Calibri" w:cs="Arial"/>
          <w:lang w:val="en-US"/>
        </w:rPr>
        <w:t>10 mg/kg,</w:t>
      </w:r>
      <w:r w:rsidRPr="005E7278">
        <w:rPr>
          <w:rFonts w:eastAsia="Calibri" w:cs="Arial"/>
          <w:lang w:val="en-US"/>
        </w:rPr>
        <w:t xml:space="preserve"> respectively.</w:t>
      </w:r>
    </w:p>
    <w:p w14:paraId="57A06000" w14:textId="6940E3EB" w:rsidR="00886710" w:rsidRPr="00344E2B" w:rsidRDefault="00886710" w:rsidP="00344E2B">
      <w:pPr>
        <w:rPr>
          <w:rFonts w:eastAsia="Calibri" w:cs="Arial"/>
          <w:strike/>
          <w:lang w:val="en-GB"/>
        </w:rPr>
      </w:pPr>
      <w:r w:rsidRPr="003526F9">
        <w:rPr>
          <w:rFonts w:eastAsia="Calibri" w:cs="Arial"/>
          <w:lang w:val="en-US"/>
        </w:rPr>
        <w:t>Based on population PK analysis, the mean estimate for apparent</w:t>
      </w:r>
      <w:r w:rsidR="003526F9" w:rsidRPr="003526F9">
        <w:rPr>
          <w:rFonts w:eastAsia="Calibri" w:cs="Arial"/>
          <w:lang w:val="en-US"/>
        </w:rPr>
        <w:t xml:space="preserve"> clearance</w:t>
      </w:r>
      <w:r w:rsidRPr="003526F9">
        <w:rPr>
          <w:rFonts w:eastAsia="Calibri" w:cs="Arial"/>
          <w:lang w:val="en-US"/>
        </w:rPr>
        <w:t xml:space="preserve"> was 0.89 L/day for a</w:t>
      </w:r>
      <w:r w:rsidRPr="005E7278">
        <w:rPr>
          <w:rFonts w:eastAsia="Calibri" w:cs="Arial"/>
          <w:lang w:val="en-US"/>
        </w:rPr>
        <w:t xml:space="preserve"> typical </w:t>
      </w:r>
      <w:proofErr w:type="spellStart"/>
      <w:r w:rsidRPr="005E7278">
        <w:rPr>
          <w:rFonts w:eastAsia="Calibri" w:cs="Arial"/>
          <w:lang w:val="en-GB"/>
        </w:rPr>
        <w:t>gMG</w:t>
      </w:r>
      <w:proofErr w:type="spellEnd"/>
      <w:r w:rsidRPr="005E7278">
        <w:rPr>
          <w:rFonts w:eastAsia="Calibri" w:cs="Arial"/>
          <w:lang w:val="en-GB"/>
        </w:rPr>
        <w:t xml:space="preserve"> </w:t>
      </w:r>
      <w:r w:rsidRPr="005E7278">
        <w:rPr>
          <w:rFonts w:eastAsia="Calibri" w:cs="Arial"/>
          <w:lang w:val="en-US"/>
        </w:rPr>
        <w:t xml:space="preserve">patient of 76 kg. Since the half-life of unbound </w:t>
      </w:r>
      <w:r w:rsidR="000775A0">
        <w:rPr>
          <w:rFonts w:eastAsia="Calibri" w:cs="Arial"/>
          <w:lang w:val="en-US"/>
        </w:rPr>
        <w:t>rozanolixizumab</w:t>
      </w:r>
      <w:r w:rsidRPr="005E7278">
        <w:rPr>
          <w:rFonts w:eastAsia="Calibri" w:cs="Arial"/>
          <w:lang w:val="en-US"/>
        </w:rPr>
        <w:t xml:space="preserve"> is concentration-dependent, it </w:t>
      </w:r>
      <w:r w:rsidRPr="00344E2B">
        <w:rPr>
          <w:rFonts w:eastAsia="Calibri" w:cs="Arial"/>
          <w:lang w:val="en-US"/>
        </w:rPr>
        <w:t xml:space="preserve">was not calculated. Within one week after administration, </w:t>
      </w:r>
      <w:r w:rsidR="000775A0">
        <w:rPr>
          <w:rFonts w:eastAsia="Calibri" w:cs="Arial"/>
          <w:lang w:val="en-US"/>
        </w:rPr>
        <w:t>rozanolixizumab</w:t>
      </w:r>
      <w:r w:rsidRPr="00344E2B">
        <w:rPr>
          <w:rFonts w:eastAsia="Calibri" w:cs="Arial"/>
          <w:lang w:val="en-US"/>
        </w:rPr>
        <w:t xml:space="preserve"> plasma concentrations were undetectable.</w:t>
      </w:r>
    </w:p>
    <w:p w14:paraId="3E8FCB13" w14:textId="77777777" w:rsidR="00886710" w:rsidRPr="001C71F1" w:rsidRDefault="00886710" w:rsidP="00344E2B">
      <w:pPr>
        <w:pStyle w:val="Heading6"/>
        <w:rPr>
          <w:rFonts w:eastAsia="Malgun Gothic"/>
          <w:lang w:val="en-GB"/>
        </w:rPr>
      </w:pPr>
      <w:bookmarkStart w:id="49" w:name="_Toc142986386"/>
      <w:r w:rsidRPr="001C71F1">
        <w:rPr>
          <w:rFonts w:eastAsia="Malgun Gothic"/>
          <w:lang w:val="en-GB"/>
        </w:rPr>
        <w:t>Interactions</w:t>
      </w:r>
      <w:bookmarkEnd w:id="49"/>
    </w:p>
    <w:p w14:paraId="2D6E6109" w14:textId="77777777" w:rsidR="00886710" w:rsidRDefault="00886710" w:rsidP="00344E2B">
      <w:pPr>
        <w:rPr>
          <w:rFonts w:eastAsia="Calibri" w:cs="Arial"/>
          <w:lang w:val="en-GB"/>
        </w:rPr>
      </w:pPr>
      <w:r w:rsidRPr="002328B1">
        <w:rPr>
          <w:rFonts w:eastAsia="Calibri" w:cs="Arial"/>
          <w:lang w:val="en-GB"/>
        </w:rPr>
        <w:t xml:space="preserve">No </w:t>
      </w:r>
      <w:r w:rsidRPr="002328B1">
        <w:rPr>
          <w:rFonts w:eastAsia="Calibri" w:cs="Arial"/>
          <w:i/>
          <w:lang w:val="en-GB"/>
        </w:rPr>
        <w:t>in vitro</w:t>
      </w:r>
      <w:r w:rsidRPr="002328B1">
        <w:rPr>
          <w:rFonts w:eastAsia="Calibri" w:cs="Arial"/>
          <w:lang w:val="en-GB"/>
        </w:rPr>
        <w:t xml:space="preserve"> or clinical interaction studies were conducted.</w:t>
      </w:r>
    </w:p>
    <w:p w14:paraId="7E8D5488" w14:textId="3FCD02BF" w:rsidR="00886710" w:rsidRDefault="00331994" w:rsidP="00344E2B">
      <w:pPr>
        <w:rPr>
          <w:rFonts w:eastAsia="Calibri" w:cs="Arial"/>
          <w:lang w:val="en-GB"/>
        </w:rPr>
      </w:pPr>
      <w:r>
        <w:rPr>
          <w:rFonts w:eastAsia="Calibri" w:cs="Arial"/>
          <w:lang w:val="en-GB"/>
        </w:rPr>
        <w:t>R</w:t>
      </w:r>
      <w:r w:rsidR="000775A0">
        <w:rPr>
          <w:rFonts w:eastAsia="Calibri" w:cs="Arial"/>
          <w:lang w:val="en-GB"/>
        </w:rPr>
        <w:t>ozanolixizumab</w:t>
      </w:r>
      <w:r w:rsidR="00886710" w:rsidRPr="001C71F1">
        <w:rPr>
          <w:rFonts w:eastAsia="Calibri" w:cs="Arial"/>
          <w:lang w:val="en-GB"/>
        </w:rPr>
        <w:t xml:space="preserve"> has been designed not to interfere with albumin binding to </w:t>
      </w:r>
      <w:proofErr w:type="spellStart"/>
      <w:r w:rsidR="00886710" w:rsidRPr="001C71F1">
        <w:rPr>
          <w:rFonts w:eastAsia="Calibri" w:cs="Arial"/>
          <w:lang w:val="en-GB"/>
        </w:rPr>
        <w:t>FcRn</w:t>
      </w:r>
      <w:proofErr w:type="spellEnd"/>
      <w:r w:rsidR="00886710" w:rsidRPr="001C71F1">
        <w:rPr>
          <w:rFonts w:eastAsia="Calibri" w:cs="Arial"/>
          <w:lang w:val="en-GB"/>
        </w:rPr>
        <w:t xml:space="preserve">. In the </w:t>
      </w:r>
      <w:r w:rsidR="00886710" w:rsidRPr="00C10005">
        <w:rPr>
          <w:rFonts w:eastAsia="Calibri" w:cs="Arial"/>
          <w:lang w:val="en-GB"/>
        </w:rPr>
        <w:t>Phase</w:t>
      </w:r>
      <w:r w:rsidR="009A1A48" w:rsidRPr="00C10005">
        <w:rPr>
          <w:rFonts w:eastAsia="Calibri" w:cs="Arial"/>
          <w:lang w:val="en-GB"/>
        </w:rPr>
        <w:t> III</w:t>
      </w:r>
      <w:r w:rsidR="00886710" w:rsidRPr="00C10005">
        <w:rPr>
          <w:rFonts w:eastAsia="Calibri" w:cs="Arial"/>
          <w:lang w:val="en-GB"/>
        </w:rPr>
        <w:t xml:space="preserve"> studies, only minimal reductions of the albumin levels were observed. Therefore, no</w:t>
      </w:r>
      <w:r w:rsidR="00886710" w:rsidRPr="001C71F1">
        <w:rPr>
          <w:rFonts w:eastAsia="Calibri" w:cs="Arial"/>
          <w:lang w:val="en-GB"/>
        </w:rPr>
        <w:t xml:space="preserve"> interactions with highly-protein bound drugs are expected.</w:t>
      </w:r>
    </w:p>
    <w:p w14:paraId="0EF0E370" w14:textId="2F6B804A" w:rsidR="00886710" w:rsidRPr="00C96DC0" w:rsidRDefault="00886710" w:rsidP="00394C4F">
      <w:pPr>
        <w:pStyle w:val="Heading6"/>
        <w:rPr>
          <w:lang w:val="en-GB"/>
        </w:rPr>
      </w:pPr>
      <w:bookmarkStart w:id="50" w:name="_Toc152084982"/>
      <w:bookmarkStart w:id="51" w:name="_Toc178271736"/>
      <w:r w:rsidRPr="00C96DC0">
        <w:rPr>
          <w:lang w:val="en-GB"/>
        </w:rPr>
        <w:t>Special populations/Intrinsic factors</w:t>
      </w:r>
      <w:bookmarkEnd w:id="50"/>
      <w:bookmarkEnd w:id="51"/>
    </w:p>
    <w:p w14:paraId="4A52073E" w14:textId="199D8E9C" w:rsidR="00886710" w:rsidRPr="00C96DC0" w:rsidRDefault="00886710" w:rsidP="00344E2B">
      <w:pPr>
        <w:rPr>
          <w:rFonts w:eastAsia="Calibri" w:cs="Arial"/>
          <w:lang w:val="en-GB"/>
        </w:rPr>
      </w:pPr>
      <w:r w:rsidRPr="00C10005">
        <w:rPr>
          <w:rFonts w:eastAsia="Calibri" w:cs="Arial"/>
          <w:lang w:val="en-GB"/>
        </w:rPr>
        <w:t xml:space="preserve">Renal and hepatic impairment is not expected to have an impact on the PK of </w:t>
      </w:r>
      <w:proofErr w:type="spellStart"/>
      <w:r w:rsidRPr="00C10005">
        <w:rPr>
          <w:rFonts w:eastAsia="Calibri" w:cs="Arial"/>
          <w:lang w:val="en-GB"/>
        </w:rPr>
        <w:t>m</w:t>
      </w:r>
      <w:r w:rsidR="00A928F0" w:rsidRPr="00C10005">
        <w:rPr>
          <w:rFonts w:eastAsia="Calibri" w:cs="Arial"/>
          <w:lang w:val="en-GB"/>
        </w:rPr>
        <w:t>Abs</w:t>
      </w:r>
      <w:proofErr w:type="spellEnd"/>
      <w:r w:rsidRPr="00C10005">
        <w:rPr>
          <w:rFonts w:eastAsia="Calibri" w:cs="Arial"/>
          <w:lang w:val="en-GB"/>
        </w:rPr>
        <w:t>, therefore,</w:t>
      </w:r>
      <w:r w:rsidRPr="00C96DC0">
        <w:rPr>
          <w:rFonts w:eastAsia="Calibri" w:cs="Arial"/>
          <w:lang w:val="en-GB"/>
        </w:rPr>
        <w:t xml:space="preserve"> no dedicated studies in these populations were conducted.</w:t>
      </w:r>
    </w:p>
    <w:p w14:paraId="47ECC145" w14:textId="16C93316" w:rsidR="00886710" w:rsidRPr="008F6A88" w:rsidRDefault="00886710" w:rsidP="00344E2B">
      <w:pPr>
        <w:rPr>
          <w:rFonts w:eastAsia="Calibri" w:cs="Arial"/>
          <w:lang w:val="en-GB"/>
        </w:rPr>
      </w:pPr>
      <w:r w:rsidRPr="008F6A88">
        <w:rPr>
          <w:rFonts w:eastAsia="Calibri" w:cs="Arial"/>
          <w:lang w:val="en-GB"/>
        </w:rPr>
        <w:lastRenderedPageBreak/>
        <w:t xml:space="preserve">The population PK analysis revealed that mild to moderate renal impairment did not have an impact on the clearance of </w:t>
      </w:r>
      <w:r w:rsidR="000775A0">
        <w:rPr>
          <w:rFonts w:eastAsia="Calibri" w:cs="Arial"/>
          <w:lang w:val="en-US"/>
        </w:rPr>
        <w:t>rozanolixizumab</w:t>
      </w:r>
      <w:r w:rsidR="008F6A88" w:rsidRPr="008F6A88">
        <w:rPr>
          <w:rFonts w:eastAsia="Calibri" w:cs="Arial"/>
          <w:lang w:val="en-US"/>
        </w:rPr>
        <w:t>.</w:t>
      </w:r>
    </w:p>
    <w:p w14:paraId="60BF558C" w14:textId="4D9BE1EB" w:rsidR="00886710" w:rsidRPr="00C96DC0" w:rsidRDefault="00886710" w:rsidP="00344E2B">
      <w:pPr>
        <w:rPr>
          <w:rFonts w:eastAsia="Calibri" w:cs="Arial"/>
          <w:lang w:val="en-GB"/>
        </w:rPr>
      </w:pPr>
      <w:r w:rsidRPr="00C96DC0">
        <w:rPr>
          <w:rFonts w:eastAsia="Calibri" w:cs="Arial"/>
          <w:lang w:val="en-GB"/>
        </w:rPr>
        <w:t xml:space="preserve">As expected for a </w:t>
      </w:r>
      <w:proofErr w:type="spellStart"/>
      <w:r w:rsidRPr="00C96DC0">
        <w:rPr>
          <w:rFonts w:eastAsia="Calibri" w:cs="Arial"/>
          <w:lang w:val="en-GB"/>
        </w:rPr>
        <w:t>mA</w:t>
      </w:r>
      <w:r w:rsidR="00A52146">
        <w:rPr>
          <w:rFonts w:eastAsia="Calibri" w:cs="Arial"/>
          <w:lang w:val="en-GB"/>
        </w:rPr>
        <w:t>b</w:t>
      </w:r>
      <w:proofErr w:type="spellEnd"/>
      <w:r w:rsidRPr="00C96DC0">
        <w:rPr>
          <w:rFonts w:eastAsia="Calibri" w:cs="Arial"/>
          <w:lang w:val="en-GB"/>
        </w:rPr>
        <w:t xml:space="preserve">, body weight had the largest impact on the PK of </w:t>
      </w:r>
      <w:r w:rsidR="000775A0">
        <w:rPr>
          <w:rFonts w:eastAsia="Calibri" w:cs="Arial"/>
          <w:lang w:val="en-GB"/>
        </w:rPr>
        <w:t>rozanolixizumab</w:t>
      </w:r>
      <w:r w:rsidRPr="00C96DC0">
        <w:rPr>
          <w:rFonts w:eastAsia="Calibri" w:cs="Arial"/>
          <w:lang w:val="en-GB"/>
        </w:rPr>
        <w:t>. However, it did not translate into a clinically relevant effect on total IgG. Overall, no dose adjustments are required based on any of the investigated covariates including age, sex or race.</w:t>
      </w:r>
    </w:p>
    <w:p w14:paraId="2741C1C4" w14:textId="77777777" w:rsidR="00886710" w:rsidRPr="00886710" w:rsidRDefault="00886710" w:rsidP="00344E2B">
      <w:pPr>
        <w:pStyle w:val="Heading5"/>
      </w:pPr>
      <w:r w:rsidRPr="00886710">
        <w:t>Pharmacodynamics</w:t>
      </w:r>
    </w:p>
    <w:p w14:paraId="20B330E1" w14:textId="77777777" w:rsidR="00886710" w:rsidRPr="007B1163" w:rsidRDefault="00886710" w:rsidP="00344E2B">
      <w:pPr>
        <w:pStyle w:val="Heading6"/>
        <w:rPr>
          <w:lang w:val="en-GB"/>
        </w:rPr>
      </w:pPr>
      <w:bookmarkStart w:id="52" w:name="_Toc152084985"/>
      <w:bookmarkStart w:id="53" w:name="_Toc178271739"/>
      <w:r w:rsidRPr="007B1163">
        <w:rPr>
          <w:lang w:val="en-GB"/>
        </w:rPr>
        <w:t>Mechanism of action and primary pharmacology</w:t>
      </w:r>
      <w:bookmarkEnd w:id="52"/>
      <w:bookmarkEnd w:id="53"/>
    </w:p>
    <w:p w14:paraId="1566F5D1" w14:textId="34550549" w:rsidR="00886710" w:rsidRPr="00135DF7" w:rsidRDefault="00482B0D" w:rsidP="00344E2B">
      <w:pPr>
        <w:rPr>
          <w:rFonts w:eastAsia="Calibri" w:cs="Arial"/>
          <w:lang w:val="en-GB"/>
        </w:rPr>
      </w:pPr>
      <w:r w:rsidRPr="00135DF7">
        <w:rPr>
          <w:rFonts w:eastAsia="Calibri" w:cs="Arial"/>
          <w:lang w:val="en-GB"/>
        </w:rPr>
        <w:t>R</w:t>
      </w:r>
      <w:r w:rsidR="000775A0" w:rsidRPr="00135DF7">
        <w:rPr>
          <w:rFonts w:eastAsia="Calibri" w:cs="Arial"/>
          <w:lang w:val="en-GB"/>
        </w:rPr>
        <w:t>ozanolixizumab</w:t>
      </w:r>
      <w:r w:rsidR="00886710" w:rsidRPr="00135DF7">
        <w:rPr>
          <w:rFonts w:eastAsia="Calibri" w:cs="Arial"/>
          <w:lang w:val="en-GB"/>
        </w:rPr>
        <w:t xml:space="preserve"> is a recombinant, humani</w:t>
      </w:r>
      <w:r w:rsidR="00A52146" w:rsidRPr="00135DF7">
        <w:rPr>
          <w:rFonts w:eastAsia="Calibri" w:cs="Arial"/>
          <w:lang w:val="en-GB"/>
        </w:rPr>
        <w:t>s</w:t>
      </w:r>
      <w:r w:rsidR="00886710" w:rsidRPr="00135DF7">
        <w:rPr>
          <w:rFonts w:eastAsia="Calibri" w:cs="Arial"/>
          <w:lang w:val="en-GB"/>
        </w:rPr>
        <w:t>ed anti-neonatal Fc receptor (</w:t>
      </w:r>
      <w:proofErr w:type="spellStart"/>
      <w:r w:rsidR="00886710" w:rsidRPr="00135DF7">
        <w:rPr>
          <w:rFonts w:eastAsia="Calibri" w:cs="Arial"/>
          <w:lang w:val="en-GB"/>
        </w:rPr>
        <w:t>FcRn</w:t>
      </w:r>
      <w:proofErr w:type="spellEnd"/>
      <w:r w:rsidR="00886710" w:rsidRPr="00135DF7">
        <w:rPr>
          <w:rFonts w:eastAsia="Calibri" w:cs="Arial"/>
          <w:lang w:val="en-GB"/>
        </w:rPr>
        <w:t xml:space="preserve">) IgG4P </w:t>
      </w:r>
      <w:proofErr w:type="spellStart"/>
      <w:r w:rsidR="00886710" w:rsidRPr="00135DF7">
        <w:rPr>
          <w:rFonts w:eastAsia="Calibri" w:cs="Arial"/>
          <w:lang w:val="en-GB"/>
        </w:rPr>
        <w:t>m</w:t>
      </w:r>
      <w:r w:rsidR="00BB0EB4" w:rsidRPr="00135DF7">
        <w:rPr>
          <w:rFonts w:eastAsia="Calibri" w:cs="Arial"/>
          <w:lang w:val="en-GB"/>
        </w:rPr>
        <w:t>Ab</w:t>
      </w:r>
      <w:proofErr w:type="spellEnd"/>
      <w:r w:rsidR="00886710" w:rsidRPr="00135DF7">
        <w:rPr>
          <w:rFonts w:eastAsia="Calibri" w:cs="Arial"/>
          <w:lang w:val="en-GB"/>
        </w:rPr>
        <w:t xml:space="preserve">. By binding to IgG and albumin, </w:t>
      </w:r>
      <w:proofErr w:type="spellStart"/>
      <w:r w:rsidR="00886710" w:rsidRPr="00135DF7">
        <w:rPr>
          <w:rFonts w:eastAsia="Calibri" w:cs="Arial"/>
          <w:lang w:val="en-GB"/>
        </w:rPr>
        <w:t>FcRn</w:t>
      </w:r>
      <w:proofErr w:type="spellEnd"/>
      <w:r w:rsidR="00886710" w:rsidRPr="00135DF7">
        <w:rPr>
          <w:rFonts w:eastAsia="Calibri" w:cs="Arial"/>
          <w:lang w:val="en-GB"/>
        </w:rPr>
        <w:t xml:space="preserve"> reduces their </w:t>
      </w:r>
      <w:r w:rsidR="00886710" w:rsidRPr="00135DF7">
        <w:rPr>
          <w:rFonts w:eastAsia="Calibri" w:cs="Arial"/>
          <w:lang w:val="en-US"/>
        </w:rPr>
        <w:t xml:space="preserve">lysosomal degradation. By blocking </w:t>
      </w:r>
      <w:proofErr w:type="spellStart"/>
      <w:r w:rsidR="00886710" w:rsidRPr="00135DF7">
        <w:rPr>
          <w:rFonts w:eastAsia="Calibri" w:cs="Arial"/>
          <w:lang w:val="en-US"/>
        </w:rPr>
        <w:t>FcRn</w:t>
      </w:r>
      <w:proofErr w:type="spellEnd"/>
      <w:r w:rsidR="00886710" w:rsidRPr="00135DF7">
        <w:rPr>
          <w:rFonts w:eastAsia="Calibri" w:cs="Arial"/>
          <w:lang w:val="en-US"/>
        </w:rPr>
        <w:t xml:space="preserve">, treatment with </w:t>
      </w:r>
      <w:r w:rsidR="000775A0" w:rsidRPr="00135DF7">
        <w:rPr>
          <w:rFonts w:eastAsia="Calibri" w:cs="Arial"/>
          <w:lang w:val="en-US"/>
        </w:rPr>
        <w:t>rozanolixizumab</w:t>
      </w:r>
      <w:r w:rsidR="00886710" w:rsidRPr="00135DF7">
        <w:rPr>
          <w:rFonts w:eastAsia="Calibri" w:cs="Arial"/>
          <w:lang w:val="en-US"/>
        </w:rPr>
        <w:t xml:space="preserve"> is thought to enhance the catabolism of </w:t>
      </w:r>
      <w:proofErr w:type="spellStart"/>
      <w:r w:rsidR="00886710" w:rsidRPr="00135DF7">
        <w:rPr>
          <w:rFonts w:eastAsia="Calibri" w:cs="Arial"/>
          <w:lang w:val="en-US"/>
        </w:rPr>
        <w:t>IgGs</w:t>
      </w:r>
      <w:proofErr w:type="spellEnd"/>
      <w:r w:rsidR="00886710" w:rsidRPr="00135DF7">
        <w:rPr>
          <w:rFonts w:eastAsia="Calibri" w:cs="Arial"/>
          <w:lang w:val="en-US"/>
        </w:rPr>
        <w:t xml:space="preserve"> and thereby potentially </w:t>
      </w:r>
      <w:proofErr w:type="gramStart"/>
      <w:r w:rsidR="00886710" w:rsidRPr="00135DF7">
        <w:rPr>
          <w:rFonts w:eastAsia="Calibri" w:cs="Arial"/>
          <w:lang w:val="en-US"/>
        </w:rPr>
        <w:t>reducing</w:t>
      </w:r>
      <w:proofErr w:type="gramEnd"/>
      <w:r w:rsidR="00886710" w:rsidRPr="00135DF7">
        <w:rPr>
          <w:rFonts w:eastAsia="Calibri" w:cs="Arial"/>
          <w:lang w:val="en-US"/>
        </w:rPr>
        <w:t xml:space="preserve"> pathogenic autoantibodies.</w:t>
      </w:r>
    </w:p>
    <w:p w14:paraId="29F110BE" w14:textId="20AD1645" w:rsidR="00886710" w:rsidRPr="007B1163" w:rsidRDefault="00886710" w:rsidP="00344E2B">
      <w:pPr>
        <w:rPr>
          <w:rFonts w:eastAsia="Calibri" w:cs="Arial"/>
          <w:lang w:val="en-GB"/>
        </w:rPr>
      </w:pPr>
      <w:r w:rsidRPr="00135DF7">
        <w:rPr>
          <w:rFonts w:eastAsia="Calibri" w:cs="Arial"/>
          <w:lang w:val="en-GB"/>
        </w:rPr>
        <w:t xml:space="preserve">Total serum IgG and IgG subclasses were evaluated in the Phase </w:t>
      </w:r>
      <w:r w:rsidR="009A1A48" w:rsidRPr="00135DF7">
        <w:rPr>
          <w:rFonts w:eastAsia="Calibri" w:cs="Arial"/>
          <w:lang w:val="en-GB"/>
        </w:rPr>
        <w:t>I</w:t>
      </w:r>
      <w:r w:rsidRPr="00135DF7">
        <w:rPr>
          <w:rFonts w:eastAsia="Calibri" w:cs="Arial"/>
          <w:lang w:val="en-GB"/>
        </w:rPr>
        <w:t xml:space="preserve">, Phase </w:t>
      </w:r>
      <w:r w:rsidR="009A1A48" w:rsidRPr="00135DF7">
        <w:rPr>
          <w:rFonts w:eastAsia="Calibri" w:cs="Arial"/>
          <w:lang w:val="en-GB"/>
        </w:rPr>
        <w:t>II</w:t>
      </w:r>
      <w:r w:rsidRPr="00135DF7">
        <w:rPr>
          <w:rFonts w:eastAsia="Calibri" w:cs="Arial"/>
          <w:lang w:val="en-GB"/>
        </w:rPr>
        <w:t xml:space="preserve">, and Phase </w:t>
      </w:r>
      <w:r w:rsidR="009A1A48" w:rsidRPr="00135DF7">
        <w:rPr>
          <w:rFonts w:eastAsia="Calibri" w:cs="Arial"/>
          <w:lang w:val="en-GB"/>
        </w:rPr>
        <w:t>III</w:t>
      </w:r>
      <w:r w:rsidRPr="00135DF7">
        <w:rPr>
          <w:rFonts w:eastAsia="Calibri" w:cs="Arial"/>
          <w:lang w:val="en-GB"/>
        </w:rPr>
        <w:t xml:space="preserve"> studies. In the Phase </w:t>
      </w:r>
      <w:r w:rsidR="001F779A">
        <w:rPr>
          <w:rFonts w:eastAsia="Calibri" w:cs="Arial"/>
          <w:lang w:val="en-GB"/>
        </w:rPr>
        <w:t>I</w:t>
      </w:r>
      <w:r w:rsidRPr="00135DF7">
        <w:rPr>
          <w:rFonts w:eastAsia="Calibri" w:cs="Arial"/>
          <w:lang w:val="en-GB"/>
        </w:rPr>
        <w:t xml:space="preserve"> studies, d</w:t>
      </w:r>
      <w:proofErr w:type="spellStart"/>
      <w:r w:rsidRPr="00135DF7">
        <w:rPr>
          <w:rFonts w:eastAsia="Calibri" w:cs="Arial"/>
          <w:lang w:val="en-US"/>
        </w:rPr>
        <w:t>ose</w:t>
      </w:r>
      <w:proofErr w:type="spellEnd"/>
      <w:r w:rsidRPr="00135DF7">
        <w:rPr>
          <w:rFonts w:eastAsia="Calibri" w:cs="Arial"/>
          <w:lang w:val="en-US"/>
        </w:rPr>
        <w:t>-dependent decreases in total IgG serum concentrations as well in IgG subclasses (IgG1-4) concentrations were observed in healthy subjects following IV and SC administration</w:t>
      </w:r>
      <w:r w:rsidRPr="00135DF7">
        <w:rPr>
          <w:rFonts w:eastAsia="Calibri" w:cs="Arial"/>
          <w:lang w:val="en-GB"/>
        </w:rPr>
        <w:t>.</w:t>
      </w:r>
    </w:p>
    <w:p w14:paraId="201C1D3F" w14:textId="2163055B" w:rsidR="00886710" w:rsidRPr="007B1163" w:rsidRDefault="00886710" w:rsidP="00344E2B">
      <w:pPr>
        <w:rPr>
          <w:rFonts w:eastAsia="Calibri" w:cs="Arial"/>
          <w:lang w:val="en-GB"/>
        </w:rPr>
      </w:pPr>
      <w:r w:rsidRPr="0096322D">
        <w:rPr>
          <w:rFonts w:eastAsia="Calibri" w:cs="Arial"/>
          <w:lang w:val="en-GB"/>
        </w:rPr>
        <w:t>Additionally, the levels of disease-specific autoantibodies (anti-</w:t>
      </w:r>
      <w:proofErr w:type="spellStart"/>
      <w:r w:rsidRPr="0096322D">
        <w:rPr>
          <w:rFonts w:eastAsia="Calibri" w:cs="Arial"/>
          <w:lang w:val="en-GB"/>
        </w:rPr>
        <w:t>AChR</w:t>
      </w:r>
      <w:proofErr w:type="spellEnd"/>
      <w:r w:rsidRPr="0096322D">
        <w:rPr>
          <w:rFonts w:eastAsia="Calibri" w:cs="Arial"/>
          <w:lang w:val="en-GB"/>
        </w:rPr>
        <w:t xml:space="preserve"> autoantibodies for </w:t>
      </w:r>
      <w:proofErr w:type="spellStart"/>
      <w:r w:rsidRPr="0096322D">
        <w:rPr>
          <w:rFonts w:eastAsia="Calibri" w:cs="Arial"/>
          <w:lang w:val="en-GB"/>
        </w:rPr>
        <w:t>AChR</w:t>
      </w:r>
      <w:proofErr w:type="spellEnd"/>
      <w:r w:rsidRPr="0096322D">
        <w:rPr>
          <w:rFonts w:eastAsia="Calibri" w:cs="Arial"/>
          <w:lang w:val="en-GB"/>
        </w:rPr>
        <w:t xml:space="preserve"> antibody-positive participants and anti-</w:t>
      </w:r>
      <w:proofErr w:type="spellStart"/>
      <w:r w:rsidRPr="0096322D">
        <w:rPr>
          <w:rFonts w:eastAsia="Calibri" w:cs="Arial"/>
          <w:lang w:val="en-GB"/>
        </w:rPr>
        <w:t>MuSK</w:t>
      </w:r>
      <w:proofErr w:type="spellEnd"/>
      <w:r w:rsidRPr="0096322D">
        <w:rPr>
          <w:rFonts w:eastAsia="Calibri" w:cs="Arial"/>
          <w:lang w:val="en-GB"/>
        </w:rPr>
        <w:t xml:space="preserve"> autoantibodies for </w:t>
      </w:r>
      <w:proofErr w:type="spellStart"/>
      <w:r w:rsidRPr="0096322D">
        <w:rPr>
          <w:rFonts w:eastAsia="Calibri" w:cs="Arial"/>
          <w:lang w:val="en-GB"/>
        </w:rPr>
        <w:t>MuSK</w:t>
      </w:r>
      <w:proofErr w:type="spellEnd"/>
      <w:r w:rsidRPr="0096322D">
        <w:rPr>
          <w:rFonts w:eastAsia="Calibri" w:cs="Arial"/>
          <w:lang w:val="en-GB"/>
        </w:rPr>
        <w:t xml:space="preserve"> antibody-positive participants) </w:t>
      </w:r>
      <w:r w:rsidR="0027355D">
        <w:rPr>
          <w:rFonts w:eastAsia="Calibri" w:cs="Arial"/>
          <w:lang w:val="en-GB"/>
        </w:rPr>
        <w:t xml:space="preserve">were also evaluated </w:t>
      </w:r>
      <w:r w:rsidRPr="0096322D">
        <w:rPr>
          <w:rFonts w:eastAsia="Calibri" w:cs="Arial"/>
          <w:lang w:val="en-GB"/>
        </w:rPr>
        <w:t xml:space="preserve">in the Phase </w:t>
      </w:r>
      <w:r w:rsidR="009A1A48" w:rsidRPr="0096322D">
        <w:rPr>
          <w:rFonts w:eastAsia="Calibri" w:cs="Arial"/>
          <w:lang w:val="en-GB"/>
        </w:rPr>
        <w:t>II</w:t>
      </w:r>
      <w:r w:rsidRPr="0096322D">
        <w:rPr>
          <w:rFonts w:eastAsia="Calibri" w:cs="Arial"/>
          <w:lang w:val="en-GB"/>
        </w:rPr>
        <w:t xml:space="preserve"> and Phase </w:t>
      </w:r>
      <w:r w:rsidR="009A1A48" w:rsidRPr="0096322D">
        <w:rPr>
          <w:rFonts w:eastAsia="Calibri" w:cs="Arial"/>
          <w:lang w:val="en-GB"/>
        </w:rPr>
        <w:t>III</w:t>
      </w:r>
      <w:r w:rsidRPr="0096322D">
        <w:rPr>
          <w:rFonts w:eastAsia="Calibri" w:cs="Arial"/>
          <w:lang w:val="en-GB"/>
        </w:rPr>
        <w:t xml:space="preserve"> studies (see population PK/PD analyses and clinical assessment).</w:t>
      </w:r>
    </w:p>
    <w:p w14:paraId="719AB3A7" w14:textId="77777777" w:rsidR="00886710" w:rsidRDefault="00886710" w:rsidP="00344E2B">
      <w:pPr>
        <w:pStyle w:val="Heading6"/>
        <w:rPr>
          <w:lang w:val="en-GB"/>
        </w:rPr>
      </w:pPr>
      <w:bookmarkStart w:id="54" w:name="_Toc152084987"/>
      <w:bookmarkStart w:id="55" w:name="_Toc178271741"/>
      <w:r w:rsidRPr="007B1163">
        <w:rPr>
          <w:lang w:val="en-GB"/>
        </w:rPr>
        <w:t>Pharmacodynamic</w:t>
      </w:r>
      <w:r>
        <w:rPr>
          <w:lang w:val="en-GB"/>
        </w:rPr>
        <w:t xml:space="preserve"> </w:t>
      </w:r>
      <w:r w:rsidRPr="007B1163">
        <w:rPr>
          <w:lang w:val="en-GB"/>
        </w:rPr>
        <w:t xml:space="preserve">interactions with other </w:t>
      </w:r>
      <w:r>
        <w:rPr>
          <w:lang w:val="en-GB"/>
        </w:rPr>
        <w:t>drugs</w:t>
      </w:r>
      <w:r w:rsidRPr="007B1163">
        <w:rPr>
          <w:lang w:val="en-GB"/>
        </w:rPr>
        <w:t xml:space="preserve"> or substances</w:t>
      </w:r>
      <w:bookmarkEnd w:id="54"/>
      <w:bookmarkEnd w:id="55"/>
    </w:p>
    <w:p w14:paraId="56EB0F98" w14:textId="4260DE5D" w:rsidR="00886710" w:rsidRPr="007B1163" w:rsidRDefault="00886710" w:rsidP="00344E2B">
      <w:pPr>
        <w:rPr>
          <w:rFonts w:eastAsia="Calibri" w:cs="Arial"/>
          <w:lang w:val="en-GB"/>
        </w:rPr>
      </w:pPr>
      <w:r w:rsidRPr="004A43C8">
        <w:rPr>
          <w:rFonts w:eastAsia="Calibri" w:cs="Arial"/>
          <w:lang w:val="en-GB"/>
        </w:rPr>
        <w:t xml:space="preserve">Due to the mechanism of action of </w:t>
      </w:r>
      <w:r w:rsidR="000775A0" w:rsidRPr="004A43C8">
        <w:rPr>
          <w:rFonts w:eastAsia="Calibri" w:cs="Arial"/>
          <w:lang w:val="en-GB"/>
        </w:rPr>
        <w:t>rozanolixizumab</w:t>
      </w:r>
      <w:r w:rsidRPr="004A43C8">
        <w:rPr>
          <w:rFonts w:eastAsia="Calibri" w:cs="Arial"/>
          <w:lang w:val="en-GB"/>
        </w:rPr>
        <w:t>, exposures of concomitantly administered IgG-based drugs and Fc–peptide fusion proteins may be decreased.</w:t>
      </w:r>
    </w:p>
    <w:p w14:paraId="12C212DD" w14:textId="32621685" w:rsidR="00886710" w:rsidRPr="007B1163" w:rsidRDefault="00886710" w:rsidP="00344E2B">
      <w:pPr>
        <w:rPr>
          <w:rFonts w:eastAsia="Calibri" w:cs="Arial"/>
          <w:lang w:val="en-GB"/>
        </w:rPr>
      </w:pPr>
      <w:r w:rsidRPr="007B1163">
        <w:rPr>
          <w:rFonts w:eastAsia="Calibri" w:cs="Arial"/>
          <w:lang w:val="en-GB"/>
        </w:rPr>
        <w:t xml:space="preserve">Vaccination during </w:t>
      </w:r>
      <w:r w:rsidR="000775A0">
        <w:rPr>
          <w:rFonts w:eastAsia="Calibri" w:cs="Arial"/>
          <w:lang w:val="en-GB"/>
        </w:rPr>
        <w:t>rozanolixizumab</w:t>
      </w:r>
      <w:r w:rsidRPr="007B1163">
        <w:rPr>
          <w:rFonts w:eastAsia="Calibri" w:cs="Arial"/>
          <w:lang w:val="en-GB"/>
        </w:rPr>
        <w:t xml:space="preserve"> treatment has not been studied.</w:t>
      </w:r>
    </w:p>
    <w:p w14:paraId="3A5A5731" w14:textId="35441B60" w:rsidR="00886710" w:rsidRPr="00312CE3" w:rsidRDefault="00886710" w:rsidP="00344E2B">
      <w:pPr>
        <w:rPr>
          <w:rFonts w:eastAsia="Calibri" w:cs="Arial"/>
          <w:lang w:val="en-GB"/>
        </w:rPr>
      </w:pPr>
      <w:r w:rsidRPr="007B1163">
        <w:rPr>
          <w:rFonts w:eastAsia="Calibri" w:cs="Arial"/>
          <w:lang w:val="en-GB"/>
        </w:rPr>
        <w:t xml:space="preserve">The use of high dose oral steroids can induce low IgG levels. as part of the population PK/PD analyses, baseline steroid usage was identified as a statistically significant covariate on baseline </w:t>
      </w:r>
      <w:r w:rsidRPr="00727B73">
        <w:rPr>
          <w:rFonts w:eastAsia="Calibri" w:cs="Arial"/>
          <w:lang w:val="en-GB"/>
        </w:rPr>
        <w:t xml:space="preserve">total IgG and </w:t>
      </w:r>
      <w:r w:rsidR="00727B73" w:rsidRPr="00727B73">
        <w:rPr>
          <w:rFonts w:eastAsia="Calibri" w:cs="Arial"/>
          <w:lang w:val="en-GB"/>
        </w:rPr>
        <w:t>maximum effect (</w:t>
      </w:r>
      <w:r w:rsidRPr="00727B73">
        <w:rPr>
          <w:rFonts w:eastAsia="Calibri" w:cs="Arial"/>
          <w:lang w:val="en-GB"/>
        </w:rPr>
        <w:t>E</w:t>
      </w:r>
      <w:r w:rsidRPr="00727B73">
        <w:rPr>
          <w:rFonts w:eastAsia="Calibri" w:cs="Arial"/>
          <w:vertAlign w:val="subscript"/>
          <w:lang w:val="en-GB"/>
        </w:rPr>
        <w:t>max</w:t>
      </w:r>
      <w:r w:rsidR="00727B73" w:rsidRPr="00727B73">
        <w:rPr>
          <w:rFonts w:eastAsia="Calibri" w:cs="Arial"/>
          <w:lang w:val="en-GB"/>
        </w:rPr>
        <w:t xml:space="preserve">) </w:t>
      </w:r>
      <w:r w:rsidRPr="00727B73">
        <w:rPr>
          <w:rFonts w:eastAsia="Calibri" w:cs="Arial"/>
          <w:lang w:val="en-GB"/>
        </w:rPr>
        <w:t>of the PK-IgG model. However, the difference in IgG</w:t>
      </w:r>
      <w:r w:rsidRPr="007B1163">
        <w:rPr>
          <w:rFonts w:eastAsia="Calibri" w:cs="Arial"/>
          <w:lang w:val="en-GB"/>
        </w:rPr>
        <w:t xml:space="preserve"> </w:t>
      </w:r>
      <w:r w:rsidRPr="00312CE3">
        <w:rPr>
          <w:rFonts w:eastAsia="Calibri" w:cs="Arial"/>
          <w:lang w:val="en-GB"/>
        </w:rPr>
        <w:t xml:space="preserve">reduction was not considered clinically relevant. No impact on the </w:t>
      </w:r>
      <w:r w:rsidR="00285DD2" w:rsidRPr="00555879">
        <w:rPr>
          <w:rFonts w:eastAsia="Calibri"/>
          <w:kern w:val="2"/>
          <w14:ligatures w14:val="standardContextual"/>
        </w:rPr>
        <w:t xml:space="preserve">Myasthenia Gravis Activities of Daily Living (MG-ADL) </w:t>
      </w:r>
      <w:r w:rsidRPr="00312CE3">
        <w:rPr>
          <w:rFonts w:eastAsia="Calibri" w:cs="Arial"/>
          <w:lang w:val="en-GB"/>
        </w:rPr>
        <w:t>score was observed.</w:t>
      </w:r>
    </w:p>
    <w:p w14:paraId="36CFC167" w14:textId="77777777" w:rsidR="00886710" w:rsidRPr="00E710DA" w:rsidRDefault="00886710" w:rsidP="00344E2B">
      <w:pPr>
        <w:pStyle w:val="Heading6"/>
        <w:rPr>
          <w:lang w:val="en-GB"/>
        </w:rPr>
      </w:pPr>
      <w:bookmarkStart w:id="56" w:name="_Toc152084988"/>
      <w:bookmarkStart w:id="57" w:name="_Toc178271742"/>
      <w:r w:rsidRPr="00312CE3">
        <w:rPr>
          <w:lang w:val="en-GB"/>
        </w:rPr>
        <w:t>Exposure efficacy/safety relationship</w:t>
      </w:r>
      <w:bookmarkEnd w:id="56"/>
      <w:bookmarkEnd w:id="57"/>
    </w:p>
    <w:p w14:paraId="5B3B54A6" w14:textId="03B2B038" w:rsidR="00886710" w:rsidRPr="007B1163" w:rsidRDefault="00886710" w:rsidP="00344E2B">
      <w:pPr>
        <w:rPr>
          <w:rFonts w:eastAsia="Calibri" w:cs="Arial"/>
          <w:lang w:val="en-US"/>
        </w:rPr>
      </w:pPr>
      <w:r w:rsidRPr="007B1163">
        <w:rPr>
          <w:rFonts w:eastAsia="Calibri" w:cs="Arial"/>
          <w:lang w:val="en-GB"/>
        </w:rPr>
        <w:t xml:space="preserve">Using MG-ADL score data from the Phase </w:t>
      </w:r>
      <w:r w:rsidR="001061B3">
        <w:rPr>
          <w:rFonts w:eastAsia="Calibri" w:cs="Arial"/>
          <w:lang w:val="en-GB"/>
        </w:rPr>
        <w:t>III</w:t>
      </w:r>
      <w:r w:rsidRPr="007B1163">
        <w:rPr>
          <w:rFonts w:eastAsia="Calibri" w:cs="Arial"/>
          <w:lang w:val="en-GB"/>
        </w:rPr>
        <w:t xml:space="preserve"> study MG0003, an exposure-efficacy analysis was </w:t>
      </w:r>
      <w:r w:rsidRPr="00F45A8A">
        <w:rPr>
          <w:rFonts w:eastAsia="Calibri" w:cs="Arial"/>
          <w:lang w:val="en-GB"/>
        </w:rPr>
        <w:t xml:space="preserve">conducted. The effect of </w:t>
      </w:r>
      <w:r w:rsidR="000775A0" w:rsidRPr="00F45A8A">
        <w:rPr>
          <w:rFonts w:eastAsia="Calibri" w:cs="Arial"/>
          <w:lang w:val="en-GB"/>
        </w:rPr>
        <w:t>rozanolixizumab</w:t>
      </w:r>
      <w:r w:rsidRPr="00F45A8A">
        <w:rPr>
          <w:rFonts w:eastAsia="Calibri" w:cs="Arial"/>
          <w:lang w:val="en-GB"/>
        </w:rPr>
        <w:t xml:space="preserve"> on the MG-ADL score was linked to IgG inhibition, which was well described by </w:t>
      </w:r>
      <w:r w:rsidRPr="00F45A8A">
        <w:rPr>
          <w:rFonts w:eastAsia="Calibri" w:cs="Arial"/>
          <w:lang w:val="en-US"/>
        </w:rPr>
        <w:t xml:space="preserve">a direct response model with a </w:t>
      </w:r>
      <w:r w:rsidR="00B159C2" w:rsidRPr="00F45A8A">
        <w:rPr>
          <w:rFonts w:eastAsia="Calibri" w:cs="Arial"/>
          <w:lang w:val="en-US"/>
        </w:rPr>
        <w:t>placebo</w:t>
      </w:r>
      <w:r w:rsidRPr="00F45A8A">
        <w:rPr>
          <w:rFonts w:eastAsia="Calibri" w:cs="Arial"/>
          <w:lang w:val="en-US"/>
        </w:rPr>
        <w:t xml:space="preserve"> effect</w:t>
      </w:r>
      <w:r w:rsidRPr="00F45A8A">
        <w:rPr>
          <w:rFonts w:eastAsia="Calibri" w:cs="Arial"/>
          <w:lang w:val="en-GB"/>
        </w:rPr>
        <w:t xml:space="preserve">. </w:t>
      </w:r>
      <w:r w:rsidRPr="00F45A8A">
        <w:rPr>
          <w:rFonts w:eastAsia="Calibri" w:cs="Arial"/>
          <w:lang w:val="en-US"/>
        </w:rPr>
        <w:t xml:space="preserve">Myasthenia Gravis Foundation of America </w:t>
      </w:r>
      <w:r w:rsidR="00D13FFA" w:rsidRPr="00F45A8A">
        <w:rPr>
          <w:rFonts w:eastAsia="Calibri" w:cs="Arial"/>
          <w:lang w:val="en-US"/>
        </w:rPr>
        <w:t xml:space="preserve">(MGFA) </w:t>
      </w:r>
      <w:r w:rsidRPr="00F45A8A">
        <w:rPr>
          <w:rFonts w:eastAsia="Calibri" w:cs="Arial"/>
          <w:lang w:val="en-US"/>
        </w:rPr>
        <w:t>disease class at baseline was included as a predictor of the baseline MG-ADL score. No other evaluated covariates including baseline IgG concentration, age,</w:t>
      </w:r>
      <w:r w:rsidRPr="007B1163">
        <w:rPr>
          <w:rFonts w:eastAsia="Calibri" w:cs="Arial"/>
          <w:lang w:val="en-US"/>
        </w:rPr>
        <w:t xml:space="preserve"> sex, region, type of autoantibody, baseline steroid usage, duration of disease, and prior thymectomy were found to be statistically significant. Since very few subjects with a body weight &gt;100 kg </w:t>
      </w:r>
      <w:proofErr w:type="gramStart"/>
      <w:r w:rsidRPr="007B1163">
        <w:rPr>
          <w:rFonts w:eastAsia="Calibri" w:cs="Arial"/>
          <w:lang w:val="en-US"/>
        </w:rPr>
        <w:t>were</w:t>
      </w:r>
      <w:proofErr w:type="gramEnd"/>
      <w:r w:rsidRPr="007B1163">
        <w:rPr>
          <w:rFonts w:eastAsia="Calibri" w:cs="Arial"/>
          <w:lang w:val="en-US"/>
        </w:rPr>
        <w:t xml:space="preserve"> included, the predictive performance of the model in patients &gt;100 kg </w:t>
      </w:r>
      <w:r>
        <w:rPr>
          <w:rFonts w:eastAsia="Calibri" w:cs="Arial"/>
          <w:lang w:val="en-US"/>
        </w:rPr>
        <w:t>is</w:t>
      </w:r>
      <w:r w:rsidRPr="007B1163">
        <w:rPr>
          <w:rFonts w:eastAsia="Calibri" w:cs="Arial"/>
          <w:lang w:val="en-US"/>
        </w:rPr>
        <w:t xml:space="preserve"> limited.</w:t>
      </w:r>
      <w:r w:rsidRPr="007B1163">
        <w:rPr>
          <w:rFonts w:eastAsia="Calibri" w:cs="Arial"/>
          <w:lang w:val="en-GB"/>
        </w:rPr>
        <w:t xml:space="preserve"> Of note, body weight was not identified as statistically significant covariate on MG-ADL score.</w:t>
      </w:r>
    </w:p>
    <w:p w14:paraId="0E2B420B" w14:textId="122FF619" w:rsidR="00886710" w:rsidRPr="007B1163" w:rsidRDefault="00886710" w:rsidP="00344E2B">
      <w:pPr>
        <w:rPr>
          <w:rFonts w:eastAsia="Calibri" w:cs="Arial"/>
          <w:lang w:val="en-GB"/>
        </w:rPr>
      </w:pPr>
      <w:r w:rsidRPr="007B1163">
        <w:rPr>
          <w:rFonts w:eastAsia="Calibri" w:cs="Arial"/>
          <w:lang w:val="en-GB"/>
        </w:rPr>
        <w:t>The models were extended with anti-</w:t>
      </w:r>
      <w:proofErr w:type="spellStart"/>
      <w:r w:rsidRPr="007B1163">
        <w:rPr>
          <w:rFonts w:eastAsia="Calibri" w:cs="Arial"/>
          <w:lang w:val="en-GB"/>
        </w:rPr>
        <w:t>AChR</w:t>
      </w:r>
      <w:proofErr w:type="spellEnd"/>
      <w:r w:rsidRPr="007B1163">
        <w:rPr>
          <w:rFonts w:eastAsia="Calibri" w:cs="Arial"/>
          <w:lang w:val="en-GB"/>
        </w:rPr>
        <w:t xml:space="preserve"> and anti-</w:t>
      </w:r>
      <w:proofErr w:type="spellStart"/>
      <w:r w:rsidRPr="007B1163">
        <w:rPr>
          <w:rFonts w:eastAsia="Calibri" w:cs="Arial"/>
          <w:lang w:val="en-GB"/>
        </w:rPr>
        <w:t>MuSK</w:t>
      </w:r>
      <w:proofErr w:type="spellEnd"/>
      <w:r w:rsidRPr="007B1163">
        <w:rPr>
          <w:rFonts w:eastAsia="Calibri" w:cs="Arial"/>
          <w:lang w:val="en-GB"/>
        </w:rPr>
        <w:t xml:space="preserve"> autoantibody data from one Phase </w:t>
      </w:r>
      <w:r w:rsidR="001061B3">
        <w:rPr>
          <w:rFonts w:eastAsia="Calibri" w:cs="Arial"/>
          <w:lang w:val="en-GB"/>
        </w:rPr>
        <w:t>II</w:t>
      </w:r>
      <w:r w:rsidRPr="007B1163">
        <w:rPr>
          <w:rFonts w:eastAsia="Calibri" w:cs="Arial"/>
          <w:lang w:val="en-GB"/>
        </w:rPr>
        <w:t xml:space="preserve"> study and </w:t>
      </w:r>
      <w:r w:rsidR="001061B3">
        <w:rPr>
          <w:rFonts w:eastAsia="Calibri" w:cs="Arial"/>
          <w:lang w:val="en-GB"/>
        </w:rPr>
        <w:t>2</w:t>
      </w:r>
      <w:r w:rsidRPr="007B1163">
        <w:rPr>
          <w:rFonts w:eastAsia="Calibri" w:cs="Arial"/>
          <w:lang w:val="en-GB"/>
        </w:rPr>
        <w:t xml:space="preserve"> Phase </w:t>
      </w:r>
      <w:r w:rsidR="001061B3">
        <w:rPr>
          <w:rFonts w:eastAsia="Calibri" w:cs="Arial"/>
          <w:lang w:val="en-GB"/>
        </w:rPr>
        <w:t>III</w:t>
      </w:r>
      <w:r w:rsidRPr="007B1163">
        <w:rPr>
          <w:rFonts w:eastAsia="Calibri" w:cs="Arial"/>
          <w:lang w:val="en-GB"/>
        </w:rPr>
        <w:t xml:space="preserve"> studies in </w:t>
      </w:r>
      <w:proofErr w:type="spellStart"/>
      <w:r w:rsidRPr="007B1163">
        <w:rPr>
          <w:rFonts w:eastAsia="Calibri" w:cs="Arial"/>
          <w:lang w:val="en-GB"/>
        </w:rPr>
        <w:t>gMG</w:t>
      </w:r>
      <w:proofErr w:type="spellEnd"/>
      <w:r w:rsidRPr="007B1163">
        <w:rPr>
          <w:rFonts w:eastAsia="Calibri" w:cs="Arial"/>
          <w:lang w:val="en-GB"/>
        </w:rPr>
        <w:t>. Higher baseline anti-</w:t>
      </w:r>
      <w:proofErr w:type="spellStart"/>
      <w:r w:rsidRPr="007B1163">
        <w:rPr>
          <w:rFonts w:eastAsia="Calibri" w:cs="Arial"/>
          <w:lang w:val="en-GB"/>
        </w:rPr>
        <w:t>AChR</w:t>
      </w:r>
      <w:proofErr w:type="spellEnd"/>
      <w:r w:rsidRPr="007B1163">
        <w:rPr>
          <w:rFonts w:eastAsia="Calibri" w:cs="Arial"/>
          <w:lang w:val="en-GB"/>
        </w:rPr>
        <w:t xml:space="preserve"> concentration was associated </w:t>
      </w:r>
      <w:r w:rsidRPr="007C16A4">
        <w:rPr>
          <w:rFonts w:eastAsia="Calibri" w:cs="Arial"/>
          <w:lang w:val="en-GB"/>
        </w:rPr>
        <w:t>with increased E</w:t>
      </w:r>
      <w:r w:rsidRPr="007C16A4">
        <w:rPr>
          <w:rFonts w:eastAsia="Calibri" w:cs="Arial"/>
          <w:vertAlign w:val="subscript"/>
          <w:lang w:val="en-GB"/>
        </w:rPr>
        <w:t>max</w:t>
      </w:r>
      <w:r w:rsidR="000E37DF">
        <w:rPr>
          <w:rFonts w:eastAsia="Calibri" w:cs="Arial"/>
          <w:vertAlign w:val="subscript"/>
          <w:lang w:val="en-GB"/>
        </w:rPr>
        <w:t xml:space="preserve"> </w:t>
      </w:r>
      <w:r w:rsidRPr="007C16A4">
        <w:rPr>
          <w:rFonts w:eastAsia="Calibri" w:cs="Arial"/>
          <w:vertAlign w:val="subscript"/>
          <w:lang w:val="en-GB"/>
        </w:rPr>
        <w:t>MG–ADL</w:t>
      </w:r>
      <w:r w:rsidRPr="007C16A4">
        <w:rPr>
          <w:rFonts w:eastAsia="Calibri" w:cs="Arial"/>
          <w:lang w:val="en-GB"/>
        </w:rPr>
        <w:t>, whereas no other evaluated covariates including age, sex, region,</w:t>
      </w:r>
      <w:r w:rsidRPr="007B1163">
        <w:rPr>
          <w:rFonts w:eastAsia="Calibri" w:cs="Arial"/>
          <w:lang w:val="en-GB"/>
        </w:rPr>
        <w:t xml:space="preserve"> baseline steroid usage, duration of disease, </w:t>
      </w:r>
      <w:r w:rsidR="00094D72">
        <w:rPr>
          <w:rFonts w:eastAsia="Calibri" w:cs="Arial"/>
          <w:lang w:val="en-GB"/>
        </w:rPr>
        <w:t xml:space="preserve">and </w:t>
      </w:r>
      <w:r w:rsidRPr="007B1163">
        <w:rPr>
          <w:rFonts w:eastAsia="Calibri" w:cs="Arial"/>
          <w:lang w:val="en-GB"/>
        </w:rPr>
        <w:t>thymectomy at baseline were found statistically significant.</w:t>
      </w:r>
      <w:r w:rsidRPr="007B1163">
        <w:rPr>
          <w:rFonts w:eastAsia="Calibri" w:cs="Arial"/>
          <w:lang w:val="en-US"/>
        </w:rPr>
        <w:t xml:space="preserve"> Only limited data o</w:t>
      </w:r>
      <w:r w:rsidR="00094D72">
        <w:rPr>
          <w:rFonts w:eastAsia="Calibri" w:cs="Arial"/>
          <w:lang w:val="en-US"/>
        </w:rPr>
        <w:t>n</w:t>
      </w:r>
      <w:r w:rsidRPr="007B1163">
        <w:rPr>
          <w:rFonts w:eastAsia="Calibri" w:cs="Arial"/>
          <w:lang w:val="en-US"/>
        </w:rPr>
        <w:t xml:space="preserve"> </w:t>
      </w:r>
      <w:proofErr w:type="spellStart"/>
      <w:r w:rsidRPr="007B1163">
        <w:rPr>
          <w:rFonts w:eastAsia="Calibri" w:cs="Arial"/>
          <w:lang w:val="en-US"/>
        </w:rPr>
        <w:t>MuSK</w:t>
      </w:r>
      <w:proofErr w:type="spellEnd"/>
      <w:r w:rsidRPr="007B1163">
        <w:rPr>
          <w:rFonts w:eastAsia="Calibri" w:cs="Arial"/>
          <w:lang w:val="en-US"/>
        </w:rPr>
        <w:t>-positive participants were available.</w:t>
      </w:r>
    </w:p>
    <w:p w14:paraId="2C915C64" w14:textId="77777777" w:rsidR="00886710" w:rsidRDefault="00886710" w:rsidP="00344E2B">
      <w:pPr>
        <w:rPr>
          <w:rFonts w:eastAsia="Calibri" w:cs="Arial"/>
          <w:lang w:val="en-GB"/>
        </w:rPr>
      </w:pPr>
      <w:r w:rsidRPr="00272FB2">
        <w:rPr>
          <w:rFonts w:eastAsia="Calibri" w:cs="Arial"/>
          <w:lang w:val="en-GB"/>
        </w:rPr>
        <w:lastRenderedPageBreak/>
        <w:t>Graphical exploration of adverse events of focus (AEOF) revealed that the frequency of headache</w:t>
      </w:r>
      <w:r w:rsidRPr="007B1163">
        <w:rPr>
          <w:rFonts w:eastAsia="Calibri" w:cs="Arial"/>
          <w:lang w:val="en-GB"/>
        </w:rPr>
        <w:t xml:space="preserve"> of any grade was increased at dose higher than 300 mg. Gastrointestinal disturbances of any grade increased with dose, which was driven by moderate events.</w:t>
      </w:r>
    </w:p>
    <w:p w14:paraId="5F922B3D" w14:textId="2918B14D" w:rsidR="00886710" w:rsidRPr="00886710" w:rsidRDefault="00886710" w:rsidP="00344E2B">
      <w:pPr>
        <w:pStyle w:val="Heading5"/>
        <w:rPr>
          <w:rFonts w:eastAsia="Calibri"/>
        </w:rPr>
      </w:pPr>
      <w:r w:rsidRPr="00886710">
        <w:rPr>
          <w:rFonts w:eastAsia="Calibri"/>
        </w:rPr>
        <w:t xml:space="preserve">Dose </w:t>
      </w:r>
      <w:r w:rsidR="0026361F">
        <w:rPr>
          <w:rFonts w:eastAsia="Calibri"/>
        </w:rPr>
        <w:t>f</w:t>
      </w:r>
      <w:r w:rsidRPr="00886710">
        <w:rPr>
          <w:rFonts w:eastAsia="Calibri"/>
        </w:rPr>
        <w:t>inding</w:t>
      </w:r>
    </w:p>
    <w:p w14:paraId="0591A4DF" w14:textId="79233159" w:rsidR="00886710" w:rsidRPr="00567C54" w:rsidRDefault="00886710" w:rsidP="00344E2B">
      <w:pPr>
        <w:rPr>
          <w:rFonts w:eastAsia="Calibri"/>
          <w:kern w:val="2"/>
          <w:lang w:val="en-GB"/>
          <w14:ligatures w14:val="standardContextual"/>
        </w:rPr>
      </w:pPr>
      <w:r w:rsidRPr="00567C54">
        <w:rPr>
          <w:rFonts w:eastAsia="Calibri"/>
          <w:kern w:val="2"/>
          <w:lang w:val="en-GB"/>
          <w14:ligatures w14:val="standardContextual"/>
        </w:rPr>
        <w:t xml:space="preserve">The </w:t>
      </w:r>
      <w:r w:rsidR="00567C54">
        <w:rPr>
          <w:rFonts w:eastAsia="Calibri"/>
          <w:kern w:val="2"/>
          <w:lang w:val="en-GB"/>
          <w14:ligatures w14:val="standardContextual"/>
        </w:rPr>
        <w:t>P</w:t>
      </w:r>
      <w:r w:rsidRPr="00567C54">
        <w:rPr>
          <w:rFonts w:eastAsia="Calibri"/>
          <w:kern w:val="2"/>
          <w:lang w:val="en-GB"/>
          <w14:ligatures w14:val="standardContextual"/>
        </w:rPr>
        <w:t xml:space="preserve">hase </w:t>
      </w:r>
      <w:r w:rsidR="001061B3">
        <w:rPr>
          <w:rFonts w:eastAsia="Calibri"/>
          <w:kern w:val="2"/>
          <w:lang w:val="en-GB"/>
          <w14:ligatures w14:val="standardContextual"/>
        </w:rPr>
        <w:t>I</w:t>
      </w:r>
      <w:r w:rsidRPr="00567C54">
        <w:rPr>
          <w:rFonts w:eastAsia="Calibri"/>
          <w:kern w:val="2"/>
          <w:lang w:val="en-GB"/>
          <w14:ligatures w14:val="standardContextual"/>
        </w:rPr>
        <w:t xml:space="preserve"> study</w:t>
      </w:r>
      <w:r w:rsidRPr="00567C54">
        <w:rPr>
          <w:rFonts w:eastAsia="Calibri"/>
          <w:sz w:val="24"/>
          <w:szCs w:val="24"/>
          <w14:ligatures w14:val="standardContextual"/>
        </w:rPr>
        <w:t xml:space="preserve"> </w:t>
      </w:r>
      <w:r w:rsidRPr="00567C54">
        <w:rPr>
          <w:rFonts w:eastAsia="Calibri"/>
          <w:kern w:val="2"/>
          <w:lang w:val="en-GB"/>
          <w14:ligatures w14:val="standardContextual"/>
        </w:rPr>
        <w:t xml:space="preserve">UP0018 was a </w:t>
      </w:r>
      <w:r w:rsidRPr="00567C54">
        <w:rPr>
          <w:rFonts w:eastAsia="Calibri"/>
          <w:kern w:val="2"/>
          <w14:ligatures w14:val="standardContextual"/>
        </w:rPr>
        <w:t>randomi</w:t>
      </w:r>
      <w:r w:rsidR="000055E5">
        <w:rPr>
          <w:rFonts w:eastAsia="Calibri"/>
          <w:kern w:val="2"/>
          <w14:ligatures w14:val="standardContextual"/>
        </w:rPr>
        <w:t>s</w:t>
      </w:r>
      <w:r w:rsidRPr="00567C54">
        <w:rPr>
          <w:rFonts w:eastAsia="Calibri"/>
          <w:kern w:val="2"/>
          <w14:ligatures w14:val="standardContextual"/>
        </w:rPr>
        <w:t>ed, double-blind, placebo-controlled, single ascending dose study in healthy adult volunteers. The subjects (randomi</w:t>
      </w:r>
      <w:r w:rsidR="000055E5">
        <w:rPr>
          <w:rFonts w:eastAsia="Calibri"/>
          <w:kern w:val="2"/>
          <w14:ligatures w14:val="standardContextual"/>
        </w:rPr>
        <w:t>s</w:t>
      </w:r>
      <w:r w:rsidRPr="00567C54">
        <w:rPr>
          <w:rFonts w:eastAsia="Calibri"/>
          <w:kern w:val="2"/>
          <w14:ligatures w14:val="standardContextual"/>
        </w:rPr>
        <w:t>ed 3:1) received ≈1</w:t>
      </w:r>
      <w:r w:rsidR="000055E5">
        <w:rPr>
          <w:rFonts w:eastAsia="Calibri"/>
          <w:kern w:val="2"/>
          <w14:ligatures w14:val="standardContextual"/>
        </w:rPr>
        <w:t> </w:t>
      </w:r>
      <w:r w:rsidRPr="00567C54">
        <w:rPr>
          <w:rFonts w:eastAsia="Calibri"/>
          <w:kern w:val="2"/>
          <w14:ligatures w14:val="standardContextual"/>
        </w:rPr>
        <w:t>mg/kg, ≈4</w:t>
      </w:r>
      <w:r w:rsidR="000055E5">
        <w:rPr>
          <w:rFonts w:eastAsia="Calibri"/>
          <w:kern w:val="2"/>
          <w14:ligatures w14:val="standardContextual"/>
        </w:rPr>
        <w:t> </w:t>
      </w:r>
      <w:r w:rsidRPr="00567C54">
        <w:rPr>
          <w:rFonts w:eastAsia="Calibri"/>
          <w:kern w:val="2"/>
          <w14:ligatures w14:val="standardContextual"/>
        </w:rPr>
        <w:t>mg/kg, or ≈7</w:t>
      </w:r>
      <w:r w:rsidR="000055E5">
        <w:rPr>
          <w:rFonts w:eastAsia="Calibri"/>
          <w:kern w:val="2"/>
          <w14:ligatures w14:val="standardContextual"/>
        </w:rPr>
        <w:t> </w:t>
      </w:r>
      <w:r w:rsidRPr="00567C54">
        <w:rPr>
          <w:rFonts w:eastAsia="Calibri"/>
          <w:kern w:val="2"/>
          <w14:ligatures w14:val="standardContextual"/>
        </w:rPr>
        <w:t>mg/kg either IV or SC as a one-hour infusion.</w:t>
      </w:r>
      <w:r w:rsidRPr="00567C54">
        <w:rPr>
          <w:rFonts w:eastAsia="Calibri"/>
          <w:kern w:val="2"/>
          <w:lang w:val="en-GB"/>
          <w14:ligatures w14:val="standardContextual"/>
        </w:rPr>
        <w:t xml:space="preserve"> This study provided evidence that the SC route is the appropriate route of administration for multiple dosing of </w:t>
      </w:r>
      <w:bookmarkStart w:id="58" w:name="_Hlk179899548"/>
      <w:r w:rsidRPr="00567C54">
        <w:rPr>
          <w:rFonts w:eastAsia="Calibri"/>
          <w:kern w:val="2"/>
          <w:lang w:val="en-GB"/>
          <w14:ligatures w14:val="standardContextual"/>
        </w:rPr>
        <w:t>rozanolixizumab</w:t>
      </w:r>
      <w:bookmarkEnd w:id="58"/>
      <w:r w:rsidRPr="00567C54">
        <w:rPr>
          <w:rFonts w:eastAsia="Calibri"/>
          <w:kern w:val="2"/>
          <w:lang w:val="en-GB"/>
          <w14:ligatures w14:val="standardContextual"/>
        </w:rPr>
        <w:t xml:space="preserve"> up to 7</w:t>
      </w:r>
      <w:r w:rsidR="00771EFD">
        <w:rPr>
          <w:rFonts w:eastAsia="Calibri"/>
          <w:kern w:val="2"/>
          <w:lang w:val="en-GB"/>
          <w14:ligatures w14:val="standardContextual"/>
        </w:rPr>
        <w:t> </w:t>
      </w:r>
      <w:r w:rsidRPr="00567C54">
        <w:rPr>
          <w:rFonts w:eastAsia="Calibri"/>
          <w:kern w:val="2"/>
          <w:lang w:val="en-GB"/>
          <w14:ligatures w14:val="standardContextual"/>
        </w:rPr>
        <w:t>mg/kg for future clinical studies.</w:t>
      </w:r>
    </w:p>
    <w:p w14:paraId="3F6EAD18" w14:textId="51BC0321" w:rsidR="00886710" w:rsidRDefault="00886710" w:rsidP="00344E2B">
      <w:pPr>
        <w:rPr>
          <w:rFonts w:eastAsia="Calibri" w:cs="Arial"/>
          <w:lang w:val="en-US"/>
        </w:rPr>
      </w:pPr>
      <w:r w:rsidRPr="00567C54">
        <w:rPr>
          <w:rFonts w:eastAsia="Calibri"/>
          <w:kern w:val="2"/>
          <w14:ligatures w14:val="standardContextual"/>
        </w:rPr>
        <w:t xml:space="preserve">Phase </w:t>
      </w:r>
      <w:r w:rsidR="0000351E">
        <w:rPr>
          <w:rFonts w:eastAsia="Calibri"/>
          <w:kern w:val="2"/>
          <w14:ligatures w14:val="standardContextual"/>
        </w:rPr>
        <w:t>II</w:t>
      </w:r>
      <w:r w:rsidRPr="00567C54">
        <w:rPr>
          <w:rFonts w:eastAsia="Calibri"/>
          <w:kern w:val="2"/>
          <w14:ligatures w14:val="standardContextual"/>
        </w:rPr>
        <w:t xml:space="preserve"> study MG0002, was a </w:t>
      </w:r>
      <w:r w:rsidR="00771EFD" w:rsidRPr="00567C54">
        <w:rPr>
          <w:rFonts w:eastAsia="Calibri"/>
          <w:kern w:val="2"/>
          <w14:ligatures w14:val="standardContextual"/>
        </w:rPr>
        <w:t>multicentre</w:t>
      </w:r>
      <w:r w:rsidRPr="00567C54">
        <w:rPr>
          <w:rFonts w:eastAsia="Calibri"/>
          <w:kern w:val="2"/>
          <w14:ligatures w14:val="standardContextual"/>
        </w:rPr>
        <w:t>, randomi</w:t>
      </w:r>
      <w:r w:rsidR="00771EFD">
        <w:rPr>
          <w:rFonts w:eastAsia="Calibri"/>
          <w:kern w:val="2"/>
          <w14:ligatures w14:val="standardContextual"/>
        </w:rPr>
        <w:t>s</w:t>
      </w:r>
      <w:r w:rsidRPr="00567C54">
        <w:rPr>
          <w:rFonts w:eastAsia="Calibri"/>
          <w:kern w:val="2"/>
          <w14:ligatures w14:val="standardContextual"/>
        </w:rPr>
        <w:t xml:space="preserve">ed, double-blind, placebo-controlled, 2-arm, repeat-dose study in moderate to severe </w:t>
      </w:r>
      <w:proofErr w:type="spellStart"/>
      <w:r w:rsidRPr="00567C54">
        <w:rPr>
          <w:rFonts w:eastAsia="Calibri"/>
          <w:kern w:val="2"/>
          <w14:ligatures w14:val="standardContextual"/>
        </w:rPr>
        <w:t>gMG</w:t>
      </w:r>
      <w:proofErr w:type="spellEnd"/>
      <w:r w:rsidRPr="00567C54">
        <w:rPr>
          <w:rFonts w:eastAsia="Calibri"/>
          <w:kern w:val="2"/>
          <w14:ligatures w14:val="standardContextual"/>
        </w:rPr>
        <w:t xml:space="preserve"> patients.</w:t>
      </w:r>
      <w:r w:rsidRPr="00567C54">
        <w:rPr>
          <w:rFonts w:eastAsia="Calibri"/>
          <w:sz w:val="24"/>
          <w:szCs w:val="24"/>
          <w14:ligatures w14:val="standardContextual"/>
        </w:rPr>
        <w:t xml:space="preserve"> </w:t>
      </w:r>
      <w:r w:rsidRPr="00567C54">
        <w:rPr>
          <w:rFonts w:eastAsia="Calibri"/>
          <w:kern w:val="2"/>
          <w14:ligatures w14:val="standardContextual"/>
        </w:rPr>
        <w:t xml:space="preserve">In this study </w:t>
      </w:r>
      <w:r w:rsidRPr="00567C54">
        <w:rPr>
          <w:rFonts w:eastAsia="Calibri" w:cs="Arial"/>
          <w:lang w:val="en-GB"/>
        </w:rPr>
        <w:t>rozanolixizumab</w:t>
      </w:r>
      <w:r w:rsidRPr="00567C54">
        <w:rPr>
          <w:rFonts w:eastAsia="Calibri" w:cs="Arial"/>
          <w:lang w:val="en-US"/>
        </w:rPr>
        <w:t xml:space="preserve"> </w:t>
      </w:r>
      <w:r w:rsidR="00B45956">
        <w:rPr>
          <w:rFonts w:eastAsia="Calibri" w:cs="Arial"/>
          <w:lang w:val="en-US"/>
        </w:rPr>
        <w:t>SC</w:t>
      </w:r>
      <w:r w:rsidRPr="009A1069">
        <w:rPr>
          <w:rFonts w:eastAsia="Calibri" w:cs="Arial"/>
          <w:lang w:val="en-US"/>
        </w:rPr>
        <w:t xml:space="preserve"> was </w:t>
      </w:r>
      <w:r w:rsidRPr="00B45956">
        <w:rPr>
          <w:rFonts w:eastAsia="Calibri" w:cs="Arial"/>
          <w:lang w:val="en-US"/>
        </w:rPr>
        <w:t>administered using body weight-based dosing (mg/kg) at doses of 4</w:t>
      </w:r>
      <w:r w:rsidR="00B45956" w:rsidRPr="00B45956">
        <w:rPr>
          <w:rFonts w:eastAsia="Calibri" w:cs="Arial"/>
          <w:lang w:val="en-US"/>
        </w:rPr>
        <w:t> </w:t>
      </w:r>
      <w:r w:rsidRPr="00B45956">
        <w:rPr>
          <w:rFonts w:eastAsia="Calibri" w:cs="Arial"/>
          <w:lang w:val="en-US"/>
        </w:rPr>
        <w:t>mg/kg and 7</w:t>
      </w:r>
      <w:r w:rsidR="00B45956" w:rsidRPr="00B45956">
        <w:rPr>
          <w:rFonts w:eastAsia="Calibri" w:cs="Arial"/>
          <w:lang w:val="en-US"/>
        </w:rPr>
        <w:t> </w:t>
      </w:r>
      <w:r w:rsidRPr="00B45956">
        <w:rPr>
          <w:rFonts w:eastAsia="Calibri" w:cs="Arial"/>
          <w:lang w:val="en-US"/>
        </w:rPr>
        <w:t>mg/kg (</w:t>
      </w:r>
      <w:r w:rsidR="000775A0">
        <w:rPr>
          <w:rFonts w:eastAsia="Calibri" w:cs="Arial"/>
          <w:lang w:val="en-US"/>
        </w:rPr>
        <w:t>rozanolixizumab</w:t>
      </w:r>
      <w:r w:rsidRPr="00B45956">
        <w:rPr>
          <w:rFonts w:eastAsia="Calibri" w:cs="Arial"/>
          <w:lang w:val="en-US"/>
        </w:rPr>
        <w:t xml:space="preserve"> or</w:t>
      </w:r>
      <w:r w:rsidRPr="009A1069">
        <w:rPr>
          <w:rFonts w:eastAsia="Calibri" w:cs="Arial"/>
          <w:lang w:val="en-US"/>
        </w:rPr>
        <w:t xml:space="preserve"> </w:t>
      </w:r>
      <w:r w:rsidR="00B45956">
        <w:rPr>
          <w:rFonts w:eastAsia="Calibri" w:cs="Arial"/>
          <w:lang w:val="en-US"/>
        </w:rPr>
        <w:t>placebo</w:t>
      </w:r>
      <w:r w:rsidRPr="009A1069">
        <w:rPr>
          <w:rFonts w:eastAsia="Calibri" w:cs="Arial"/>
          <w:lang w:val="en-US"/>
        </w:rPr>
        <w:t xml:space="preserve"> was administered </w:t>
      </w:r>
      <w:r w:rsidR="00EA4C5D">
        <w:rPr>
          <w:rFonts w:eastAsia="Calibri" w:cs="Arial"/>
          <w:lang w:val="en-US"/>
        </w:rPr>
        <w:t>once a week</w:t>
      </w:r>
      <w:r w:rsidRPr="009A1069">
        <w:rPr>
          <w:rFonts w:eastAsia="Calibri" w:cs="Arial"/>
          <w:lang w:val="en-US"/>
        </w:rPr>
        <w:t xml:space="preserve"> for 3</w:t>
      </w:r>
      <w:r w:rsidR="009D5146">
        <w:rPr>
          <w:rFonts w:eastAsia="Calibri" w:cs="Arial"/>
          <w:lang w:val="en-US"/>
        </w:rPr>
        <w:t> w</w:t>
      </w:r>
      <w:r w:rsidRPr="009A1069">
        <w:rPr>
          <w:rFonts w:eastAsia="Calibri" w:cs="Arial"/>
          <w:lang w:val="en-US"/>
        </w:rPr>
        <w:t xml:space="preserve">eeks in 2 dosing periods followed by an 8-week </w:t>
      </w:r>
      <w:r w:rsidR="009D5146">
        <w:rPr>
          <w:rFonts w:eastAsia="Calibri" w:cs="Arial"/>
          <w:lang w:val="en-US"/>
        </w:rPr>
        <w:t>f</w:t>
      </w:r>
      <w:r w:rsidRPr="009A1069">
        <w:rPr>
          <w:rFonts w:eastAsia="Calibri" w:cs="Arial"/>
          <w:lang w:val="en-US"/>
        </w:rPr>
        <w:t>ollow</w:t>
      </w:r>
      <w:r w:rsidR="009D5146">
        <w:rPr>
          <w:rFonts w:eastAsia="Calibri" w:cs="Arial"/>
          <w:lang w:val="en-US"/>
        </w:rPr>
        <w:t>−</w:t>
      </w:r>
      <w:r w:rsidRPr="009A1069">
        <w:rPr>
          <w:rFonts w:eastAsia="Calibri" w:cs="Arial"/>
          <w:lang w:val="en-US"/>
        </w:rPr>
        <w:t xml:space="preserve">up </w:t>
      </w:r>
      <w:r w:rsidR="009D5146">
        <w:rPr>
          <w:rFonts w:eastAsia="Calibri" w:cs="Arial"/>
          <w:lang w:val="en-US"/>
        </w:rPr>
        <w:t>p</w:t>
      </w:r>
      <w:r w:rsidRPr="009A1069">
        <w:rPr>
          <w:rFonts w:eastAsia="Calibri" w:cs="Arial"/>
          <w:lang w:val="en-US"/>
        </w:rPr>
        <w:t xml:space="preserve">eriod starting from the last dose). Results showed clinically relevant improvements in MG-ADL following treatment with </w:t>
      </w:r>
      <w:r w:rsidRPr="009A1069">
        <w:rPr>
          <w:rFonts w:eastAsia="Calibri" w:cs="Arial"/>
          <w:lang w:val="en-GB"/>
        </w:rPr>
        <w:t>rozanolixizumab</w:t>
      </w:r>
      <w:r w:rsidRPr="009A1069">
        <w:rPr>
          <w:rFonts w:eastAsia="Calibri" w:cs="Arial"/>
          <w:lang w:val="en-US"/>
        </w:rPr>
        <w:t xml:space="preserve"> 7</w:t>
      </w:r>
      <w:r w:rsidR="000B7171">
        <w:rPr>
          <w:rFonts w:eastAsia="Calibri" w:cs="Arial"/>
          <w:lang w:val="en-US"/>
        </w:rPr>
        <w:t> </w:t>
      </w:r>
      <w:r w:rsidRPr="009A1069">
        <w:rPr>
          <w:rFonts w:eastAsia="Calibri" w:cs="Arial"/>
          <w:lang w:val="en-US"/>
        </w:rPr>
        <w:t xml:space="preserve">mg/kg compared with </w:t>
      </w:r>
      <w:r w:rsidR="000B7171">
        <w:rPr>
          <w:rFonts w:eastAsia="Calibri" w:cs="Arial"/>
          <w:lang w:val="en-US"/>
        </w:rPr>
        <w:t>placebo</w:t>
      </w:r>
      <w:r w:rsidRPr="009A1069">
        <w:rPr>
          <w:rFonts w:eastAsia="Calibri" w:cs="Arial"/>
          <w:lang w:val="en-US"/>
        </w:rPr>
        <w:t>. PD data showed maximum reductions in total IgG serum concentrations of approximately 70% from Baseline after repeated doses of 7</w:t>
      </w:r>
      <w:r w:rsidR="000B7171">
        <w:rPr>
          <w:rFonts w:eastAsia="Calibri" w:cs="Arial"/>
          <w:lang w:val="en-US"/>
        </w:rPr>
        <w:t> </w:t>
      </w:r>
      <w:r w:rsidRPr="009A1069">
        <w:rPr>
          <w:rFonts w:eastAsia="Calibri" w:cs="Arial"/>
          <w:lang w:val="en-US"/>
        </w:rPr>
        <w:t>mg/kg.</w:t>
      </w:r>
    </w:p>
    <w:p w14:paraId="13F34065" w14:textId="27202FCF" w:rsidR="00886710" w:rsidRPr="009D4459" w:rsidRDefault="00886710" w:rsidP="00344E2B">
      <w:pPr>
        <w:rPr>
          <w:color w:val="000000" w:themeColor="text1"/>
          <w:lang w:val="en-GB"/>
        </w:rPr>
      </w:pPr>
      <w:r w:rsidRPr="009A1069">
        <w:rPr>
          <w:rFonts w:eastAsia="Calibri"/>
          <w:kern w:val="2"/>
          <w:lang w:val="en-GB"/>
          <w14:ligatures w14:val="standardContextual"/>
        </w:rPr>
        <w:t>Two doses (≈7</w:t>
      </w:r>
      <w:r w:rsidR="000B7171">
        <w:rPr>
          <w:rFonts w:eastAsia="Calibri"/>
          <w:kern w:val="2"/>
          <w:lang w:val="en-GB"/>
          <w14:ligatures w14:val="standardContextual"/>
        </w:rPr>
        <w:t> </w:t>
      </w:r>
      <w:r w:rsidRPr="009A1069">
        <w:rPr>
          <w:rFonts w:eastAsia="Calibri"/>
          <w:kern w:val="2"/>
          <w:lang w:val="en-GB"/>
          <w14:ligatures w14:val="standardContextual"/>
        </w:rPr>
        <w:t>mg/kg and ≈10</w:t>
      </w:r>
      <w:r w:rsidR="000B7171">
        <w:rPr>
          <w:rFonts w:eastAsia="Calibri"/>
          <w:kern w:val="2"/>
          <w:lang w:val="en-GB"/>
          <w14:ligatures w14:val="standardContextual"/>
        </w:rPr>
        <w:t> </w:t>
      </w:r>
      <w:r w:rsidRPr="009A1069">
        <w:rPr>
          <w:rFonts w:eastAsia="Calibri"/>
          <w:kern w:val="2"/>
          <w:lang w:val="en-GB"/>
          <w14:ligatures w14:val="standardContextual"/>
        </w:rPr>
        <w:t>mg/kg) were chosen for p</w:t>
      </w:r>
      <w:r>
        <w:rPr>
          <w:rFonts w:eastAsia="Calibri"/>
          <w:kern w:val="2"/>
          <w:lang w:val="en-GB"/>
          <w14:ligatures w14:val="standardContextual"/>
        </w:rPr>
        <w:t>i</w:t>
      </w:r>
      <w:r w:rsidRPr="009A1069">
        <w:rPr>
          <w:rFonts w:eastAsia="Calibri"/>
          <w:kern w:val="2"/>
          <w:lang w:val="en-GB"/>
          <w14:ligatures w14:val="standardContextual"/>
        </w:rPr>
        <w:t xml:space="preserve">votal </w:t>
      </w:r>
      <w:r w:rsidR="000B7171">
        <w:rPr>
          <w:rFonts w:eastAsia="Calibri"/>
          <w:kern w:val="2"/>
          <w:lang w:val="en-GB"/>
          <w14:ligatures w14:val="standardContextual"/>
        </w:rPr>
        <w:t>P</w:t>
      </w:r>
      <w:r w:rsidRPr="009A1069">
        <w:rPr>
          <w:rFonts w:eastAsia="Calibri"/>
          <w:kern w:val="2"/>
          <w:lang w:val="en-GB"/>
          <w14:ligatures w14:val="standardContextual"/>
        </w:rPr>
        <w:t xml:space="preserve">hase </w:t>
      </w:r>
      <w:r w:rsidR="0000351E">
        <w:rPr>
          <w:rFonts w:eastAsia="Calibri"/>
          <w:kern w:val="2"/>
          <w:lang w:val="en-GB"/>
          <w14:ligatures w14:val="standardContextual"/>
        </w:rPr>
        <w:t>III</w:t>
      </w:r>
      <w:r w:rsidRPr="009A1069">
        <w:rPr>
          <w:rFonts w:eastAsia="Calibri"/>
          <w:kern w:val="2"/>
          <w:lang w:val="en-GB"/>
          <w14:ligatures w14:val="standardContextual"/>
        </w:rPr>
        <w:t xml:space="preserve"> study MG0003. The ≈7</w:t>
      </w:r>
      <w:r w:rsidR="000B7171">
        <w:rPr>
          <w:rFonts w:eastAsia="Calibri"/>
          <w:kern w:val="2"/>
          <w:lang w:val="en-GB"/>
          <w14:ligatures w14:val="standardContextual"/>
        </w:rPr>
        <w:t> </w:t>
      </w:r>
      <w:r w:rsidRPr="009A1069">
        <w:rPr>
          <w:rFonts w:eastAsia="Calibri"/>
          <w:kern w:val="2"/>
          <w:lang w:val="en-GB"/>
          <w14:ligatures w14:val="standardContextual"/>
        </w:rPr>
        <w:t>mg/kg dose was selected to replicate and confirm clinical improvements in MG-ADL achieved in MG0002, and the ≈10</w:t>
      </w:r>
      <w:r w:rsidR="000B7171">
        <w:rPr>
          <w:rFonts w:eastAsia="Calibri"/>
          <w:kern w:val="2"/>
          <w:lang w:val="en-GB"/>
          <w14:ligatures w14:val="standardContextual"/>
        </w:rPr>
        <w:t> </w:t>
      </w:r>
      <w:r w:rsidRPr="009A1069">
        <w:rPr>
          <w:rFonts w:eastAsia="Calibri"/>
          <w:kern w:val="2"/>
          <w:lang w:val="en-GB"/>
          <w14:ligatures w14:val="standardContextual"/>
        </w:rPr>
        <w:t>mg/kg dose was introduced to assess if additional benefit could be gained through either a greater magnitude of effect or shorter time to onset of clinical response, while maintaining a positive benefit-risk profile.</w:t>
      </w:r>
    </w:p>
    <w:p w14:paraId="4C3E32A3" w14:textId="4C482AC4" w:rsidR="00955D42" w:rsidRDefault="00955D42" w:rsidP="00955D42">
      <w:pPr>
        <w:pStyle w:val="Heading4"/>
      </w:pPr>
      <w:bookmarkStart w:id="59" w:name="_Toc204161822"/>
      <w:r>
        <w:t>Efficacy</w:t>
      </w:r>
      <w:bookmarkEnd w:id="59"/>
    </w:p>
    <w:p w14:paraId="092977E0" w14:textId="6FFEA2B0" w:rsidR="00955D42" w:rsidRDefault="00955D42" w:rsidP="00955D42">
      <w:r>
        <w:t xml:space="preserve">Clinical efficacy is mainly based on the single pivotal </w:t>
      </w:r>
      <w:r w:rsidR="001F779A">
        <w:t>P</w:t>
      </w:r>
      <w:r>
        <w:t xml:space="preserve">hase </w:t>
      </w:r>
      <w:r w:rsidR="001F779A">
        <w:t>III</w:t>
      </w:r>
      <w:r>
        <w:t xml:space="preserve"> study MG0003. To assess the efficacy of MG symptom-driven repeat 6-week cyclic treatment with rozanolixizumab, MG0007 data (cut</w:t>
      </w:r>
      <w:r w:rsidR="0011659C">
        <w:t>-</w:t>
      </w:r>
      <w:r>
        <w:t>off 8 Jul</w:t>
      </w:r>
      <w:r w:rsidR="002346BA">
        <w:t>y</w:t>
      </w:r>
      <w:r>
        <w:t xml:space="preserve"> 2022) and limited data from MG0004 (first 6 weeks) are integrated with MG0003 for the pooled analyses.</w:t>
      </w:r>
    </w:p>
    <w:p w14:paraId="0BF3B5F9" w14:textId="38940D84" w:rsidR="00886710" w:rsidRDefault="0034201B" w:rsidP="00E05757">
      <w:pPr>
        <w:pStyle w:val="FigureTitle"/>
      </w:pPr>
      <w:r>
        <w:t xml:space="preserve">Figure </w:t>
      </w:r>
      <w:r>
        <w:fldChar w:fldCharType="begin"/>
      </w:r>
      <w:r>
        <w:instrText xml:space="preserve"> SEQ Figure \* ARABIC </w:instrText>
      </w:r>
      <w:r>
        <w:fldChar w:fldCharType="separate"/>
      </w:r>
      <w:r w:rsidR="00CA7747">
        <w:rPr>
          <w:noProof/>
        </w:rPr>
        <w:t>1</w:t>
      </w:r>
      <w:r>
        <w:fldChar w:fldCharType="end"/>
      </w:r>
      <w:r>
        <w:t>: Flow</w:t>
      </w:r>
      <w:r w:rsidR="00E05757">
        <w:t xml:space="preserve"> of study participants in the Phase </w:t>
      </w:r>
      <w:r w:rsidR="0000351E">
        <w:t>III</w:t>
      </w:r>
      <w:r w:rsidR="00E05757">
        <w:t xml:space="preserve"> studies</w:t>
      </w:r>
    </w:p>
    <w:p w14:paraId="6AAC7C61" w14:textId="27FE3E28" w:rsidR="00886710" w:rsidRDefault="004F3B1A" w:rsidP="00886710">
      <w:r>
        <w:rPr>
          <w:rFonts w:eastAsia="Calibri"/>
          <w:noProof/>
          <w:kern w:val="2"/>
          <w14:ligatures w14:val="standardContextual"/>
        </w:rPr>
        <w:drawing>
          <wp:inline distT="0" distB="0" distL="0" distR="0" wp14:anchorId="5FA34D6F" wp14:editId="425BF23F">
            <wp:extent cx="5759450" cy="3178323"/>
            <wp:effectExtent l="0" t="0" r="0" b="3175"/>
            <wp:docPr id="120519878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98786" name="Picture 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43000"/>
                              </a14:imgEffect>
                            </a14:imgLayer>
                          </a14:imgProps>
                        </a:ext>
                        <a:ext uri="{28A0092B-C50C-407E-A947-70E740481C1C}">
                          <a14:useLocalDpi xmlns:a14="http://schemas.microsoft.com/office/drawing/2010/main" val="0"/>
                        </a:ext>
                      </a:extLst>
                    </a:blip>
                    <a:srcRect/>
                    <a:stretch>
                      <a:fillRect/>
                    </a:stretch>
                  </pic:blipFill>
                  <pic:spPr bwMode="auto">
                    <a:xfrm>
                      <a:off x="0" y="0"/>
                      <a:ext cx="5759450" cy="3178323"/>
                    </a:xfrm>
                    <a:prstGeom prst="rect">
                      <a:avLst/>
                    </a:prstGeom>
                    <a:noFill/>
                  </pic:spPr>
                </pic:pic>
              </a:graphicData>
            </a:graphic>
          </wp:inline>
        </w:drawing>
      </w:r>
    </w:p>
    <w:p w14:paraId="0B5BAF68" w14:textId="6852FDF0" w:rsidR="0036164F" w:rsidRPr="00555879" w:rsidRDefault="0036164F" w:rsidP="0036164F">
      <w:pPr>
        <w:pStyle w:val="Heading5"/>
        <w:rPr>
          <w:lang w:val="en-GB"/>
        </w:rPr>
      </w:pPr>
      <w:bookmarkStart w:id="60" w:name="_Toc178271746"/>
      <w:r w:rsidRPr="00555879">
        <w:rPr>
          <w:lang w:val="en-GB"/>
        </w:rPr>
        <w:lastRenderedPageBreak/>
        <w:t xml:space="preserve">Pivotal </w:t>
      </w:r>
      <w:r w:rsidR="00B246CB">
        <w:rPr>
          <w:lang w:val="en-GB"/>
        </w:rPr>
        <w:t>S</w:t>
      </w:r>
      <w:r w:rsidRPr="00555879">
        <w:rPr>
          <w:lang w:val="en-GB"/>
        </w:rPr>
        <w:t>tudy MG0003</w:t>
      </w:r>
      <w:bookmarkEnd w:id="60"/>
    </w:p>
    <w:p w14:paraId="5764D5D0" w14:textId="4DE7C1B1" w:rsidR="0036164F" w:rsidRPr="00555879" w:rsidRDefault="0036164F" w:rsidP="0036164F">
      <w:pPr>
        <w:rPr>
          <w:rFonts w:eastAsia="Calibri" w:cs="Arial"/>
          <w:lang w:val="en-US"/>
        </w:rPr>
      </w:pPr>
      <w:r w:rsidRPr="00555879">
        <w:rPr>
          <w:rFonts w:eastAsia="Calibri"/>
          <w14:ligatures w14:val="standardContextual"/>
        </w:rPr>
        <w:t xml:space="preserve">Study MG0003 was a </w:t>
      </w:r>
      <w:r w:rsidR="001F779A">
        <w:rPr>
          <w:rFonts w:eastAsia="Calibri"/>
          <w14:ligatures w14:val="standardContextual"/>
        </w:rPr>
        <w:t>P</w:t>
      </w:r>
      <w:r w:rsidRPr="00555879">
        <w:rPr>
          <w:rFonts w:eastAsia="Calibri"/>
          <w14:ligatures w14:val="standardContextual"/>
        </w:rPr>
        <w:t xml:space="preserve">hase </w:t>
      </w:r>
      <w:r w:rsidR="001F779A">
        <w:rPr>
          <w:rFonts w:eastAsia="Calibri"/>
          <w14:ligatures w14:val="standardContextual"/>
        </w:rPr>
        <w:t>III</w:t>
      </w:r>
      <w:r w:rsidRPr="00555879">
        <w:rPr>
          <w:rFonts w:eastAsia="Calibri"/>
          <w14:ligatures w14:val="standardContextual"/>
        </w:rPr>
        <w:t>, randomi</w:t>
      </w:r>
      <w:r>
        <w:rPr>
          <w:rFonts w:eastAsia="Calibri"/>
          <w14:ligatures w14:val="standardContextual"/>
        </w:rPr>
        <w:t>s</w:t>
      </w:r>
      <w:r w:rsidRPr="00555879">
        <w:rPr>
          <w:rFonts w:eastAsia="Calibri"/>
          <w14:ligatures w14:val="standardContextual"/>
        </w:rPr>
        <w:t xml:space="preserve">ed, double-blind, placebo-controlled study of rozanolixizumab in adult subjects with </w:t>
      </w:r>
      <w:proofErr w:type="spellStart"/>
      <w:r w:rsidRPr="00555879">
        <w:rPr>
          <w:rFonts w:eastAsia="Calibri"/>
          <w14:ligatures w14:val="standardContextual"/>
        </w:rPr>
        <w:t>gMG</w:t>
      </w:r>
      <w:proofErr w:type="spellEnd"/>
      <w:r w:rsidRPr="00555879">
        <w:rPr>
          <w:rFonts w:eastAsia="Calibri"/>
          <w14:ligatures w14:val="standardContextual"/>
        </w:rPr>
        <w:t xml:space="preserve"> who are anti-</w:t>
      </w:r>
      <w:proofErr w:type="spellStart"/>
      <w:r w:rsidRPr="00555879">
        <w:rPr>
          <w:rFonts w:eastAsia="Calibri"/>
          <w14:ligatures w14:val="standardContextual"/>
        </w:rPr>
        <w:t>AChR</w:t>
      </w:r>
      <w:proofErr w:type="spellEnd"/>
      <w:r w:rsidRPr="00555879">
        <w:rPr>
          <w:rFonts w:eastAsia="Calibri"/>
          <w14:ligatures w14:val="standardContextual"/>
        </w:rPr>
        <w:t xml:space="preserve"> or anti-</w:t>
      </w:r>
      <w:proofErr w:type="spellStart"/>
      <w:r w:rsidRPr="00555879">
        <w:rPr>
          <w:rFonts w:eastAsia="Calibri"/>
          <w14:ligatures w14:val="standardContextual"/>
        </w:rPr>
        <w:t>MuSK</w:t>
      </w:r>
      <w:proofErr w:type="spellEnd"/>
      <w:r w:rsidRPr="00555879">
        <w:rPr>
          <w:rFonts w:eastAsia="Calibri"/>
          <w14:ligatures w14:val="standardContextual"/>
        </w:rPr>
        <w:t xml:space="preserve"> antibody positive and experience moderate to severe symptoms </w:t>
      </w:r>
      <w:r w:rsidRPr="00555879">
        <w:rPr>
          <w:rFonts w:eastAsia="Calibri" w:cs="Arial"/>
          <w:lang w:val="en-US"/>
        </w:rPr>
        <w:t>and being considered for additional treatment such as intravenous immunoglobulin (IVIg) or plasma exchange (PLEX).</w:t>
      </w:r>
    </w:p>
    <w:p w14:paraId="526B6CC5" w14:textId="52FFB67C" w:rsidR="0036164F" w:rsidRPr="00555879" w:rsidRDefault="0036164F" w:rsidP="0026503A">
      <w:pPr>
        <w:pStyle w:val="Heading6"/>
        <w:rPr>
          <w:rFonts w:eastAsia="Calibri"/>
          <w:lang w:val="en-GB"/>
        </w:rPr>
      </w:pPr>
      <w:r w:rsidRPr="00555879">
        <w:rPr>
          <w:rFonts w:eastAsia="Calibri"/>
          <w:lang w:val="en-GB"/>
        </w:rPr>
        <w:t>S</w:t>
      </w:r>
      <w:proofErr w:type="spellStart"/>
      <w:r w:rsidRPr="00555879">
        <w:rPr>
          <w:rFonts w:eastAsia="Calibri"/>
          <w:lang w:val="en-US"/>
        </w:rPr>
        <w:t>tatistical</w:t>
      </w:r>
      <w:proofErr w:type="spellEnd"/>
      <w:r w:rsidRPr="00555879">
        <w:rPr>
          <w:rFonts w:eastAsia="Calibri"/>
          <w:lang w:val="en-US"/>
        </w:rPr>
        <w:t xml:space="preserve"> methodology</w:t>
      </w:r>
    </w:p>
    <w:p w14:paraId="7E38A418" w14:textId="7FAE05F3" w:rsidR="0036164F" w:rsidRPr="00555879" w:rsidRDefault="0036164F" w:rsidP="0036164F">
      <w:pPr>
        <w:rPr>
          <w:rFonts w:eastAsia="Calibri" w:cs="Arial"/>
          <w:lang w:val="en-US"/>
        </w:rPr>
      </w:pPr>
      <w:r w:rsidRPr="00555879">
        <w:rPr>
          <w:rFonts w:eastAsia="Calibri" w:cs="Arial"/>
          <w:lang w:val="en-US"/>
        </w:rPr>
        <w:t>MG0003 was set up using an adaptive design with 2 stages, with a formal interim analysis at the end of the first stage (cut</w:t>
      </w:r>
      <w:r w:rsidR="0011659C">
        <w:rPr>
          <w:rFonts w:eastAsia="Calibri" w:cs="Arial"/>
          <w:lang w:val="en-US"/>
        </w:rPr>
        <w:t>-</w:t>
      </w:r>
      <w:r w:rsidRPr="00555879">
        <w:rPr>
          <w:rFonts w:eastAsia="Calibri" w:cs="Arial"/>
          <w:lang w:val="en-US"/>
        </w:rPr>
        <w:t>off date 13</w:t>
      </w:r>
      <w:r w:rsidR="0052216A">
        <w:rPr>
          <w:rFonts w:eastAsia="Calibri" w:cs="Arial"/>
          <w:lang w:val="en-US"/>
        </w:rPr>
        <w:t xml:space="preserve"> April </w:t>
      </w:r>
      <w:r w:rsidRPr="00555879">
        <w:rPr>
          <w:rFonts w:eastAsia="Calibri" w:cs="Arial"/>
          <w:lang w:val="en-US"/>
        </w:rPr>
        <w:t>2021, 92 eligible study patients evaluable for the primary endpoint) allowing for early termination for futility of one or both dose groups, or an increase in the planned sample size for Stage 2 if the study continued.</w:t>
      </w:r>
    </w:p>
    <w:p w14:paraId="5DFC2773" w14:textId="190608FE" w:rsidR="0036164F" w:rsidRPr="00555879" w:rsidRDefault="0036164F" w:rsidP="0026503A">
      <w:pPr>
        <w:pStyle w:val="Heading6"/>
        <w:rPr>
          <w:rFonts w:eastAsia="Calibri"/>
          <w14:ligatures w14:val="standardContextual"/>
        </w:rPr>
      </w:pPr>
      <w:r w:rsidRPr="00555879">
        <w:rPr>
          <w:rFonts w:eastAsia="Calibri"/>
          <w:lang w:val="en-US"/>
        </w:rPr>
        <w:t>Objectives and end points</w:t>
      </w:r>
    </w:p>
    <w:p w14:paraId="2D825500" w14:textId="52E1D30A" w:rsidR="0036164F" w:rsidRPr="00735DF7" w:rsidRDefault="0036164F" w:rsidP="0036164F">
      <w:pPr>
        <w:rPr>
          <w:rFonts w:eastAsia="Calibri"/>
          <w14:ligatures w14:val="standardContextual"/>
        </w:rPr>
      </w:pPr>
      <w:r w:rsidRPr="00735DF7">
        <w:rPr>
          <w:rFonts w:eastAsia="Calibri"/>
          <w14:ligatures w14:val="standardContextual"/>
        </w:rPr>
        <w:t xml:space="preserve">The primary objective was to evaluate the clinical efficacy of rozanolixizumab as assessed by the change from </w:t>
      </w:r>
      <w:r w:rsidR="0063026E">
        <w:rPr>
          <w:rFonts w:eastAsia="Calibri"/>
          <w14:ligatures w14:val="standardContextual"/>
        </w:rPr>
        <w:t>B</w:t>
      </w:r>
      <w:r w:rsidRPr="00735DF7">
        <w:rPr>
          <w:rFonts w:eastAsia="Calibri"/>
          <w14:ligatures w14:val="standardContextual"/>
        </w:rPr>
        <w:t xml:space="preserve">aseline to </w:t>
      </w:r>
      <w:r w:rsidR="0063026E">
        <w:rPr>
          <w:rFonts w:eastAsia="Calibri"/>
          <w14:ligatures w14:val="standardContextual"/>
        </w:rPr>
        <w:t>D</w:t>
      </w:r>
      <w:r w:rsidRPr="00735DF7">
        <w:rPr>
          <w:rFonts w:eastAsia="Calibri"/>
          <w14:ligatures w14:val="standardContextual"/>
        </w:rPr>
        <w:t>ay 43 in MG-ADL score after the 6-week treatment cycle in the anti</w:t>
      </w:r>
      <w:r w:rsidR="0063026E">
        <w:rPr>
          <w:rFonts w:eastAsia="Calibri"/>
          <w14:ligatures w14:val="standardContextual"/>
        </w:rPr>
        <w:t>−</w:t>
      </w:r>
      <w:proofErr w:type="spellStart"/>
      <w:r w:rsidRPr="00735DF7">
        <w:rPr>
          <w:rFonts w:eastAsia="Calibri"/>
          <w14:ligatures w14:val="standardContextual"/>
        </w:rPr>
        <w:t>AChR</w:t>
      </w:r>
      <w:proofErr w:type="spellEnd"/>
      <w:r w:rsidRPr="00735DF7">
        <w:rPr>
          <w:rFonts w:eastAsia="Calibri"/>
          <w14:ligatures w14:val="standardContextual"/>
        </w:rPr>
        <w:t xml:space="preserve"> or anti</w:t>
      </w:r>
      <w:r w:rsidR="0063026E">
        <w:rPr>
          <w:rFonts w:eastAsia="Calibri"/>
          <w14:ligatures w14:val="standardContextual"/>
        </w:rPr>
        <w:t>−</w:t>
      </w:r>
      <w:proofErr w:type="spellStart"/>
      <w:r w:rsidRPr="00735DF7">
        <w:rPr>
          <w:rFonts w:eastAsia="Calibri"/>
          <w14:ligatures w14:val="standardContextual"/>
        </w:rPr>
        <w:t>MuSK</w:t>
      </w:r>
      <w:proofErr w:type="spellEnd"/>
      <w:r w:rsidRPr="00735DF7">
        <w:rPr>
          <w:rFonts w:eastAsia="Calibri"/>
          <w14:ligatures w14:val="standardContextual"/>
        </w:rPr>
        <w:t xml:space="preserve"> seropositive </w:t>
      </w:r>
      <w:proofErr w:type="spellStart"/>
      <w:r w:rsidRPr="00735DF7">
        <w:rPr>
          <w:rFonts w:eastAsia="Calibri"/>
          <w14:ligatures w14:val="standardContextual"/>
        </w:rPr>
        <w:t>gMG</w:t>
      </w:r>
      <w:proofErr w:type="spellEnd"/>
      <w:r w:rsidRPr="00735DF7">
        <w:rPr>
          <w:rFonts w:eastAsia="Calibri"/>
          <w14:ligatures w14:val="standardContextual"/>
        </w:rPr>
        <w:t xml:space="preserve"> subject population.</w:t>
      </w:r>
    </w:p>
    <w:p w14:paraId="7C039BE4" w14:textId="6A378145" w:rsidR="0036164F" w:rsidRPr="00735DF7" w:rsidRDefault="0036164F" w:rsidP="0036164F">
      <w:pPr>
        <w:rPr>
          <w:rFonts w:eastAsia="Calibri"/>
          <w:lang w:val="en-GB"/>
          <w14:ligatures w14:val="standardContextual"/>
        </w:rPr>
      </w:pPr>
      <w:r w:rsidRPr="00735DF7">
        <w:rPr>
          <w:rFonts w:eastAsia="Calibri"/>
          <w:lang w:val="en-GB"/>
          <w14:ligatures w14:val="standardContextual"/>
        </w:rPr>
        <w:t xml:space="preserve">The secondary objective was to assess safety and tolerability of rozanolixizumab in </w:t>
      </w:r>
      <w:proofErr w:type="spellStart"/>
      <w:r w:rsidRPr="00735DF7">
        <w:rPr>
          <w:rFonts w:eastAsia="Calibri"/>
          <w:lang w:val="en-GB"/>
          <w14:ligatures w14:val="standardContextual"/>
        </w:rPr>
        <w:t>gMG</w:t>
      </w:r>
      <w:proofErr w:type="spellEnd"/>
      <w:r w:rsidRPr="00735DF7">
        <w:rPr>
          <w:rFonts w:eastAsia="Calibri"/>
          <w:lang w:val="en-GB"/>
          <w14:ligatures w14:val="standardContextual"/>
        </w:rPr>
        <w:t xml:space="preserve"> patients.</w:t>
      </w:r>
    </w:p>
    <w:p w14:paraId="31807131" w14:textId="59507752" w:rsidR="0036164F" w:rsidRPr="00735DF7" w:rsidRDefault="0036164F" w:rsidP="0036164F">
      <w:pPr>
        <w:rPr>
          <w:rFonts w:eastAsia="Calibri"/>
          <w:lang w:val="en-GB"/>
          <w14:ligatures w14:val="standardContextual"/>
        </w:rPr>
      </w:pPr>
      <w:r w:rsidRPr="00735DF7">
        <w:rPr>
          <w:rFonts w:eastAsia="Calibri"/>
          <w:lang w:val="en-GB"/>
          <w14:ligatures w14:val="standardContextual"/>
        </w:rPr>
        <w:t>Other objectives of this study were:</w:t>
      </w:r>
    </w:p>
    <w:p w14:paraId="278325EA" w14:textId="602BA634" w:rsidR="0036164F" w:rsidRPr="00735DF7" w:rsidRDefault="009A1A62" w:rsidP="009A1A62">
      <w:pPr>
        <w:pStyle w:val="ListBullet"/>
        <w:rPr>
          <w:lang w:val="en-GB"/>
        </w:rPr>
      </w:pPr>
      <w:r>
        <w:rPr>
          <w:lang w:val="en-GB"/>
        </w:rPr>
        <w:t>t</w:t>
      </w:r>
      <w:r w:rsidR="0036164F" w:rsidRPr="00735DF7">
        <w:rPr>
          <w:lang w:val="en-GB"/>
        </w:rPr>
        <w:t>o assess PK characteristics of rozanolixizumab</w:t>
      </w:r>
    </w:p>
    <w:p w14:paraId="6D5255ED" w14:textId="05940611" w:rsidR="0036164F" w:rsidRPr="00735DF7" w:rsidRDefault="009A1A62" w:rsidP="009A1A62">
      <w:pPr>
        <w:pStyle w:val="ListBullet"/>
        <w:rPr>
          <w:lang w:val="en-GB"/>
        </w:rPr>
      </w:pPr>
      <w:r>
        <w:rPr>
          <w:lang w:val="en-GB"/>
        </w:rPr>
        <w:t>t</w:t>
      </w:r>
      <w:r w:rsidR="0036164F" w:rsidRPr="00735DF7">
        <w:rPr>
          <w:lang w:val="en-GB"/>
        </w:rPr>
        <w:t>o assess the PD effects of rozanolixizumab on IgG, disease-specific autoantibodies</w:t>
      </w:r>
    </w:p>
    <w:p w14:paraId="0AB74FB9" w14:textId="51C29267" w:rsidR="0036164F" w:rsidRPr="00735DF7" w:rsidRDefault="00A66AC2" w:rsidP="009A1A62">
      <w:pPr>
        <w:pStyle w:val="ListBullet"/>
        <w:rPr>
          <w:lang w:val="en-GB"/>
        </w:rPr>
      </w:pPr>
      <w:r w:rsidRPr="00764C73">
        <w:rPr>
          <w:lang w:val="en-GB"/>
        </w:rPr>
        <w:t>t</w:t>
      </w:r>
      <w:r w:rsidR="0036164F" w:rsidRPr="00764C73">
        <w:rPr>
          <w:lang w:val="en-GB"/>
        </w:rPr>
        <w:t xml:space="preserve">o evaluate the emergence and incidence of </w:t>
      </w:r>
      <w:r w:rsidR="00A168A1" w:rsidRPr="00764C73">
        <w:rPr>
          <w:lang w:val="en-GB"/>
        </w:rPr>
        <w:t>anti-drug antibodies (</w:t>
      </w:r>
      <w:r w:rsidR="0036164F" w:rsidRPr="00764C73">
        <w:rPr>
          <w:lang w:val="en-GB"/>
        </w:rPr>
        <w:t>ADA</w:t>
      </w:r>
      <w:r w:rsidR="00A168A1" w:rsidRPr="00764C73">
        <w:rPr>
          <w:lang w:val="en-GB"/>
        </w:rPr>
        <w:t>s)</w:t>
      </w:r>
      <w:r w:rsidR="0036164F" w:rsidRPr="00764C73">
        <w:rPr>
          <w:lang w:val="en-GB"/>
        </w:rPr>
        <w:t xml:space="preserve"> and impact on PK</w:t>
      </w:r>
      <w:r w:rsidR="0036164F" w:rsidRPr="00735DF7">
        <w:rPr>
          <w:lang w:val="en-GB"/>
        </w:rPr>
        <w:t xml:space="preserve"> and PD (added in Protocol Amendment 3, 29 Jul</w:t>
      </w:r>
      <w:r>
        <w:rPr>
          <w:lang w:val="en-GB"/>
        </w:rPr>
        <w:t>y</w:t>
      </w:r>
      <w:r w:rsidR="0036164F" w:rsidRPr="00735DF7">
        <w:rPr>
          <w:lang w:val="en-GB"/>
        </w:rPr>
        <w:t xml:space="preserve"> 2020)</w:t>
      </w:r>
    </w:p>
    <w:p w14:paraId="357A31F7" w14:textId="20BBF69C" w:rsidR="0036164F" w:rsidRPr="00A90D4B" w:rsidRDefault="00A66AC2" w:rsidP="009A1A62">
      <w:pPr>
        <w:pStyle w:val="ListBullet"/>
        <w:rPr>
          <w:lang w:val="en-GB"/>
        </w:rPr>
      </w:pPr>
      <w:r w:rsidRPr="00A90D4B">
        <w:rPr>
          <w:lang w:val="en-GB"/>
        </w:rPr>
        <w:t>t</w:t>
      </w:r>
      <w:r w:rsidR="0036164F" w:rsidRPr="00A90D4B">
        <w:rPr>
          <w:lang w:val="en-GB"/>
        </w:rPr>
        <w:t xml:space="preserve">o evaluate the effects of rozanolixizumab on the concentration of total protein, IgM, IgA, and </w:t>
      </w:r>
      <w:proofErr w:type="spellStart"/>
      <w:r w:rsidR="0036164F" w:rsidRPr="00A90D4B">
        <w:rPr>
          <w:lang w:val="en-GB"/>
        </w:rPr>
        <w:t>IgE</w:t>
      </w:r>
      <w:proofErr w:type="spellEnd"/>
      <w:r w:rsidR="0036164F" w:rsidRPr="00A90D4B">
        <w:rPr>
          <w:lang w:val="en-GB"/>
        </w:rPr>
        <w:t>, serum and plasma complement levels, and serum cytokines (added in Protocol Amendment 3, 29 Jul</w:t>
      </w:r>
      <w:r w:rsidR="00671C9D" w:rsidRPr="00A90D4B">
        <w:rPr>
          <w:lang w:val="en-GB"/>
        </w:rPr>
        <w:t>y</w:t>
      </w:r>
      <w:r w:rsidR="0036164F" w:rsidRPr="00A90D4B">
        <w:rPr>
          <w:lang w:val="en-GB"/>
        </w:rPr>
        <w:t xml:space="preserve"> 2020)</w:t>
      </w:r>
    </w:p>
    <w:p w14:paraId="2BDBAEB1" w14:textId="6D3A21BE" w:rsidR="0036164F" w:rsidRPr="00A90D4B" w:rsidRDefault="00671C9D" w:rsidP="009A1A62">
      <w:pPr>
        <w:pStyle w:val="ListBullet"/>
        <w:rPr>
          <w:lang w:val="en-GB"/>
        </w:rPr>
      </w:pPr>
      <w:r w:rsidRPr="00A90D4B">
        <w:rPr>
          <w:lang w:val="en-GB"/>
        </w:rPr>
        <w:t>t</w:t>
      </w:r>
      <w:r w:rsidR="0036164F" w:rsidRPr="00A90D4B">
        <w:rPr>
          <w:lang w:val="en-GB"/>
        </w:rPr>
        <w:t>o assess the effect of rozanolixizumab on tetanus IgG antibodies (added in Protocol Amendment 1, 30 Oct</w:t>
      </w:r>
      <w:r w:rsidR="006312D8" w:rsidRPr="00A90D4B">
        <w:rPr>
          <w:lang w:val="en-GB"/>
        </w:rPr>
        <w:t>ober</w:t>
      </w:r>
      <w:r w:rsidR="0036164F" w:rsidRPr="00A90D4B">
        <w:rPr>
          <w:lang w:val="en-GB"/>
        </w:rPr>
        <w:t xml:space="preserve"> 2019)</w:t>
      </w:r>
    </w:p>
    <w:p w14:paraId="25C98D9A" w14:textId="226D46C6" w:rsidR="0036164F" w:rsidRPr="00A90D4B" w:rsidRDefault="006312D8" w:rsidP="009A1A62">
      <w:pPr>
        <w:pStyle w:val="ListBullet"/>
        <w:rPr>
          <w:sz w:val="24"/>
          <w:szCs w:val="24"/>
          <w:lang w:val="en-GB"/>
        </w:rPr>
      </w:pPr>
      <w:r w:rsidRPr="00A90D4B">
        <w:rPr>
          <w:lang w:val="en-GB"/>
        </w:rPr>
        <w:t>t</w:t>
      </w:r>
      <w:r w:rsidR="0036164F" w:rsidRPr="00A90D4B">
        <w:rPr>
          <w:lang w:val="en-GB"/>
        </w:rPr>
        <w:t xml:space="preserve">o assess the effect of rozanolixizumab on exploratory biomarkers and protein expression and explore the relationship between protein and metabolite biomarkers and cause, progression, and appropriate treatment of </w:t>
      </w:r>
      <w:proofErr w:type="spellStart"/>
      <w:r w:rsidR="0036164F" w:rsidRPr="00A90D4B">
        <w:rPr>
          <w:lang w:val="en-GB"/>
        </w:rPr>
        <w:t>gMG</w:t>
      </w:r>
      <w:proofErr w:type="spellEnd"/>
      <w:r w:rsidR="0036164F" w:rsidRPr="00A90D4B">
        <w:rPr>
          <w:lang w:val="en-GB"/>
        </w:rPr>
        <w:t xml:space="preserve"> (</w:t>
      </w:r>
      <w:r w:rsidR="00DF6A79" w:rsidRPr="00A90D4B">
        <w:rPr>
          <w:lang w:val="en-GB"/>
        </w:rPr>
        <w:t>N</w:t>
      </w:r>
      <w:r w:rsidR="0036164F" w:rsidRPr="00A90D4B">
        <w:rPr>
          <w:lang w:val="en-GB"/>
        </w:rPr>
        <w:t xml:space="preserve">ote: results for this exploratory objective </w:t>
      </w:r>
      <w:r w:rsidR="00DF6A79" w:rsidRPr="00A90D4B">
        <w:rPr>
          <w:lang w:val="en-GB"/>
        </w:rPr>
        <w:t>were</w:t>
      </w:r>
      <w:r w:rsidR="0036164F" w:rsidRPr="00A90D4B">
        <w:rPr>
          <w:lang w:val="en-GB"/>
        </w:rPr>
        <w:t xml:space="preserve"> not summari</w:t>
      </w:r>
      <w:r w:rsidR="00290F5F" w:rsidRPr="00A90D4B">
        <w:rPr>
          <w:lang w:val="en-GB"/>
        </w:rPr>
        <w:t>s</w:t>
      </w:r>
      <w:r w:rsidR="0036164F" w:rsidRPr="00A90D4B">
        <w:rPr>
          <w:lang w:val="en-GB"/>
        </w:rPr>
        <w:t>ed in th</w:t>
      </w:r>
      <w:r w:rsidR="00FC0B86" w:rsidRPr="00A90D4B">
        <w:rPr>
          <w:lang w:val="en-GB"/>
        </w:rPr>
        <w:t xml:space="preserve">e </w:t>
      </w:r>
      <w:r w:rsidR="009E39E1" w:rsidRPr="00A90D4B">
        <w:rPr>
          <w:lang w:val="en-GB"/>
        </w:rPr>
        <w:t>clinical study report</w:t>
      </w:r>
      <w:r w:rsidR="0036164F" w:rsidRPr="00A90D4B">
        <w:rPr>
          <w:lang w:val="en-GB"/>
        </w:rPr>
        <w:t>).</w:t>
      </w:r>
    </w:p>
    <w:p w14:paraId="404A037E" w14:textId="41D306E5" w:rsidR="0036164F" w:rsidRPr="00A90D4B" w:rsidRDefault="0036164F" w:rsidP="0036164F">
      <w:pPr>
        <w:rPr>
          <w:rFonts w:eastAsia="Calibri" w:cs="Arial"/>
          <w:lang w:val="en-US"/>
        </w:rPr>
      </w:pPr>
      <w:bookmarkStart w:id="61" w:name="_Hlk158556326"/>
      <w:r w:rsidRPr="00A90D4B">
        <w:rPr>
          <w:rStyle w:val="Heading7Char"/>
        </w:rPr>
        <w:t xml:space="preserve">Primary endpoint: </w:t>
      </w:r>
      <w:r w:rsidRPr="00A90D4B">
        <w:rPr>
          <w:rFonts w:eastAsia="Calibri" w:cs="Arial"/>
          <w:lang w:val="en-US"/>
        </w:rPr>
        <w:t>Change from Baseline to Day 43 in MG-ADL score.</w:t>
      </w:r>
    </w:p>
    <w:p w14:paraId="7274DB9A" w14:textId="2E1F709B" w:rsidR="0036164F" w:rsidRPr="003D7872" w:rsidRDefault="0036164F" w:rsidP="0036164F">
      <w:pPr>
        <w:rPr>
          <w:rFonts w:eastAsia="Calibri" w:cs="Arial"/>
          <w:lang w:val="en-US"/>
        </w:rPr>
      </w:pPr>
      <w:r w:rsidRPr="003D7872">
        <w:rPr>
          <w:rStyle w:val="Heading7Char"/>
        </w:rPr>
        <w:t>Secondary endpoints:</w:t>
      </w:r>
      <w:r w:rsidRPr="003D7872">
        <w:rPr>
          <w:rFonts w:eastAsia="Calibri" w:cs="Arial"/>
          <w:lang w:val="en-US"/>
        </w:rPr>
        <w:t xml:space="preserve"> Change from Baseline to Day 43 in </w:t>
      </w:r>
      <w:r w:rsidR="00A55692" w:rsidRPr="003D7872">
        <w:rPr>
          <w:rFonts w:eastAsia="Calibri" w:cs="Arial"/>
          <w:lang w:val="en-US"/>
        </w:rPr>
        <w:t>Mya</w:t>
      </w:r>
      <w:r w:rsidR="009C274A" w:rsidRPr="003D7872">
        <w:rPr>
          <w:rFonts w:eastAsia="Calibri" w:cs="Arial"/>
          <w:lang w:val="en-US"/>
        </w:rPr>
        <w:t>s</w:t>
      </w:r>
      <w:r w:rsidR="00A55692" w:rsidRPr="003D7872">
        <w:rPr>
          <w:rFonts w:eastAsia="Calibri" w:cs="Arial"/>
          <w:lang w:val="en-US"/>
        </w:rPr>
        <w:t>thenia Gravis Composite (</w:t>
      </w:r>
      <w:r w:rsidRPr="003D7872">
        <w:rPr>
          <w:rFonts w:eastAsia="Calibri" w:cs="Arial"/>
          <w:lang w:val="en-US"/>
        </w:rPr>
        <w:t>MG-C</w:t>
      </w:r>
      <w:r w:rsidR="00A55692" w:rsidRPr="003D7872">
        <w:rPr>
          <w:rFonts w:eastAsia="Calibri" w:cs="Arial"/>
          <w:lang w:val="en-US"/>
        </w:rPr>
        <w:t>_</w:t>
      </w:r>
      <w:r w:rsidRPr="003D7872">
        <w:rPr>
          <w:rFonts w:eastAsia="Calibri" w:cs="Arial"/>
          <w:lang w:val="en-US"/>
        </w:rPr>
        <w:t xml:space="preserve"> score, </w:t>
      </w:r>
      <w:r w:rsidR="00A55692" w:rsidRPr="003D7872">
        <w:rPr>
          <w:rFonts w:eastAsia="Calibri" w:cs="Arial"/>
          <w:lang w:val="en-US"/>
        </w:rPr>
        <w:t xml:space="preserve">quantitative </w:t>
      </w:r>
      <w:r w:rsidR="009C274A" w:rsidRPr="003D7872">
        <w:rPr>
          <w:rFonts w:eastAsia="Calibri" w:cs="Arial"/>
          <w:lang w:val="en-US"/>
        </w:rPr>
        <w:t>Myasthenia Gravis (</w:t>
      </w:r>
      <w:r w:rsidRPr="003D7872">
        <w:rPr>
          <w:rFonts w:eastAsia="Calibri" w:cs="Arial"/>
          <w:lang w:val="en-US"/>
        </w:rPr>
        <w:t>QMG</w:t>
      </w:r>
      <w:r w:rsidR="009C274A" w:rsidRPr="003D7872">
        <w:rPr>
          <w:rFonts w:eastAsia="Calibri" w:cs="Arial"/>
          <w:lang w:val="en-US"/>
        </w:rPr>
        <w:t>)</w:t>
      </w:r>
      <w:r w:rsidRPr="003D7872">
        <w:rPr>
          <w:rFonts w:eastAsia="Calibri" w:cs="Arial"/>
          <w:lang w:val="en-US"/>
        </w:rPr>
        <w:t xml:space="preserve"> score, MG Symptom </w:t>
      </w:r>
      <w:r w:rsidR="002D7479" w:rsidRPr="003D7872">
        <w:rPr>
          <w:rFonts w:eastAsia="Calibri" w:cs="Arial"/>
          <w:lang w:val="en-US"/>
        </w:rPr>
        <w:t>Patient-Reported Outcome</w:t>
      </w:r>
      <w:r w:rsidR="00B94636" w:rsidRPr="003D7872">
        <w:rPr>
          <w:rFonts w:eastAsia="Calibri" w:cs="Arial"/>
          <w:lang w:val="en-US"/>
        </w:rPr>
        <w:t xml:space="preserve"> </w:t>
      </w:r>
      <w:r w:rsidR="002D7479" w:rsidRPr="003D7872">
        <w:rPr>
          <w:rFonts w:eastAsia="Calibri" w:cs="Arial"/>
          <w:lang w:val="en-US"/>
        </w:rPr>
        <w:t>(</w:t>
      </w:r>
      <w:r w:rsidRPr="003D7872">
        <w:rPr>
          <w:rFonts w:eastAsia="Calibri" w:cs="Arial"/>
          <w:lang w:val="en-US"/>
        </w:rPr>
        <w:t>PRO</w:t>
      </w:r>
      <w:r w:rsidR="00B94636" w:rsidRPr="003D7872">
        <w:rPr>
          <w:rFonts w:eastAsia="Calibri" w:cs="Arial"/>
          <w:lang w:val="en-US"/>
        </w:rPr>
        <w:t>)</w:t>
      </w:r>
      <w:r w:rsidRPr="003D7872">
        <w:rPr>
          <w:rFonts w:eastAsia="Calibri" w:cs="Arial"/>
          <w:lang w:val="en-US"/>
        </w:rPr>
        <w:t xml:space="preserve"> Muscle Weakness Fatigability, Physical Fatigue, and Bulbar Muscle Weakness scores, MG-ADL responder rate at Day 43 (defined as ≥2 points improvement from Baseline).</w:t>
      </w:r>
    </w:p>
    <w:bookmarkEnd w:id="61"/>
    <w:p w14:paraId="08199331" w14:textId="59C01CC8" w:rsidR="0036164F" w:rsidRPr="00735DF7" w:rsidRDefault="0036164F" w:rsidP="0036164F">
      <w:pPr>
        <w:rPr>
          <w:rFonts w:eastAsia="Calibri" w:cs="Arial"/>
          <w:lang w:val="en-US"/>
        </w:rPr>
      </w:pPr>
      <w:r w:rsidRPr="003D7872">
        <w:rPr>
          <w:rStyle w:val="Heading7Char"/>
        </w:rPr>
        <w:t>Key other efficacy endpoints.</w:t>
      </w:r>
      <w:r w:rsidRPr="003D7872">
        <w:rPr>
          <w:rFonts w:eastAsia="Calibri" w:cs="Arial"/>
          <w:lang w:val="en-US"/>
        </w:rPr>
        <w:t xml:space="preserve"> Responder rate for MG-C (defined as ≥3</w:t>
      </w:r>
      <w:r w:rsidR="00B46A06" w:rsidRPr="003D7872">
        <w:rPr>
          <w:rFonts w:eastAsia="Calibri" w:cs="Arial"/>
          <w:lang w:val="en-US"/>
        </w:rPr>
        <w:t> </w:t>
      </w:r>
      <w:r w:rsidRPr="003D7872">
        <w:rPr>
          <w:rFonts w:eastAsia="Calibri" w:cs="Arial"/>
          <w:lang w:val="en-US"/>
        </w:rPr>
        <w:t>points improvement from Baseline), responder rate for QMG (defined as ≥3</w:t>
      </w:r>
      <w:r w:rsidR="00B46A06" w:rsidRPr="003D7872">
        <w:rPr>
          <w:rFonts w:eastAsia="Calibri" w:cs="Arial"/>
          <w:lang w:val="en-US"/>
        </w:rPr>
        <w:t> </w:t>
      </w:r>
      <w:r w:rsidRPr="003D7872">
        <w:rPr>
          <w:rFonts w:eastAsia="Calibri" w:cs="Arial"/>
          <w:lang w:val="en-US"/>
        </w:rPr>
        <w:t xml:space="preserve">points improvement from Baseline), the time to MG-ADL response, </w:t>
      </w:r>
      <w:r w:rsidR="00096D7E" w:rsidRPr="003D7872">
        <w:rPr>
          <w:rFonts w:eastAsia="Calibri" w:cs="Arial"/>
          <w:lang w:val="en-US"/>
        </w:rPr>
        <w:t>minimal symptom expression</w:t>
      </w:r>
      <w:r w:rsidRPr="003D7872">
        <w:rPr>
          <w:rFonts w:eastAsia="Calibri" w:cs="Arial"/>
          <w:lang w:val="en-US"/>
        </w:rPr>
        <w:t xml:space="preserve"> (defined as study participants achieving a score of 0 or 1 on the MG-ADL at any visit), use of rescue therapy due to worsening (IVIG, PLEX), time to </w:t>
      </w:r>
      <w:r w:rsidR="00B46A06" w:rsidRPr="003D7872">
        <w:rPr>
          <w:rFonts w:eastAsia="Calibri" w:cs="Arial"/>
          <w:lang w:val="en-US"/>
        </w:rPr>
        <w:t>first</w:t>
      </w:r>
      <w:r w:rsidRPr="003D7872">
        <w:rPr>
          <w:rFonts w:eastAsia="Calibri" w:cs="Arial"/>
          <w:lang w:val="en-US"/>
        </w:rPr>
        <w:t xml:space="preserve"> rescue therapy, time to MG-ADL response (defined as 2</w:t>
      </w:r>
      <w:r w:rsidR="00B46A06" w:rsidRPr="003D7872">
        <w:rPr>
          <w:rFonts w:eastAsia="Calibri" w:cs="Arial"/>
          <w:lang w:val="en-US"/>
        </w:rPr>
        <w:t> </w:t>
      </w:r>
      <w:r w:rsidRPr="003D7872">
        <w:rPr>
          <w:rFonts w:eastAsia="Calibri" w:cs="Arial"/>
          <w:lang w:val="en-US"/>
        </w:rPr>
        <w:t>points improvement from Baseline), improvement in individual MG symptoms (MG Symptoms PRO) and health-related quality of life (Myasthenia Gravis Quality of Life 15-item Scale)</w:t>
      </w:r>
      <w:r w:rsidR="006E7E65" w:rsidRPr="003D7872">
        <w:rPr>
          <w:rFonts w:eastAsia="Calibri" w:cs="Arial"/>
          <w:lang w:val="en-US"/>
        </w:rPr>
        <w:t>.</w:t>
      </w:r>
    </w:p>
    <w:p w14:paraId="5830762C" w14:textId="4FB9A7AE" w:rsidR="0036164F" w:rsidRPr="00555879" w:rsidRDefault="0036164F" w:rsidP="0026503A">
      <w:pPr>
        <w:pStyle w:val="Heading6"/>
        <w:rPr>
          <w:rFonts w:eastAsia="Calibri"/>
          <w:lang w:val="en-GB"/>
        </w:rPr>
      </w:pPr>
      <w:r w:rsidRPr="00555879">
        <w:rPr>
          <w:rFonts w:eastAsia="Calibri"/>
          <w:lang w:val="en-GB"/>
        </w:rPr>
        <w:lastRenderedPageBreak/>
        <w:t>Sample size</w:t>
      </w:r>
    </w:p>
    <w:p w14:paraId="563258BD" w14:textId="0734EF32" w:rsidR="0036164F" w:rsidRPr="00555879" w:rsidRDefault="0036164F" w:rsidP="0036164F">
      <w:pPr>
        <w:rPr>
          <w:rFonts w:eastAsia="Calibri"/>
          <w:kern w:val="2"/>
          <w:lang w:val="en-GB"/>
          <w14:ligatures w14:val="standardContextual"/>
        </w:rPr>
      </w:pPr>
      <w:r w:rsidRPr="00555879">
        <w:rPr>
          <w:rFonts w:eastAsia="Calibri"/>
          <w:kern w:val="2"/>
          <w:lang w:val="en-GB"/>
          <w14:ligatures w14:val="standardContextual"/>
        </w:rPr>
        <w:t xml:space="preserve">Stage 2 sample size required to achieve a target conditional power of 90% was calculated using a </w:t>
      </w:r>
      <w:r w:rsidRPr="00B575D5">
        <w:rPr>
          <w:rFonts w:eastAsia="Calibri"/>
          <w:kern w:val="2"/>
          <w:lang w:val="en-GB"/>
          <w14:ligatures w14:val="standardContextual"/>
        </w:rPr>
        <w:t>formula derived from formula 7.4 of</w:t>
      </w:r>
      <w:r w:rsidR="000721D2">
        <w:rPr>
          <w:rFonts w:eastAsia="Calibri"/>
          <w:kern w:val="2"/>
          <w:lang w:val="en-GB"/>
          <w14:ligatures w14:val="standardContextual"/>
        </w:rPr>
        <w:t xml:space="preserve"> </w:t>
      </w:r>
      <w:hyperlink r:id="rId25" w:history="1">
        <w:r w:rsidR="000721D2">
          <w:rPr>
            <w:rStyle w:val="Hyperlink"/>
            <w:rFonts w:eastAsia="Calibri"/>
            <w:kern w:val="2"/>
            <w14:ligatures w14:val="standardContextual"/>
          </w:rPr>
          <w:t>Group Sequential and Confirmatory Adaptive Designs in Clinical Trials</w:t>
        </w:r>
      </w:hyperlink>
      <w:r w:rsidRPr="00B575D5">
        <w:rPr>
          <w:rFonts w:eastAsia="Calibri"/>
          <w:kern w:val="2"/>
          <w:lang w:val="en-GB"/>
          <w14:ligatures w14:val="standardContextual"/>
        </w:rPr>
        <w:t>. The total sample size of the</w:t>
      </w:r>
      <w:r w:rsidRPr="00555879">
        <w:rPr>
          <w:rFonts w:eastAsia="Calibri"/>
          <w:kern w:val="2"/>
          <w:lang w:val="en-GB"/>
          <w14:ligatures w14:val="standardContextual"/>
        </w:rPr>
        <w:t xml:space="preserve"> study could have ranged between 150 and 240 study participants if the study was not futile at Stage 1. Up to 388 study participants were planned to be screened at approximately 135 study sites from North America, Europe, and Asia to achieve the targeted number of a minimum of 150 to a maximum of 240 evaluable study participants.</w:t>
      </w:r>
    </w:p>
    <w:p w14:paraId="186C3989" w14:textId="77777777" w:rsidR="0036164F" w:rsidRPr="00555879" w:rsidRDefault="0036164F" w:rsidP="00CE60FB">
      <w:pPr>
        <w:pStyle w:val="Heading6"/>
        <w:rPr>
          <w:rFonts w:eastAsia="Calibri"/>
          <w:lang w:val="en-GB"/>
        </w:rPr>
      </w:pPr>
      <w:r w:rsidRPr="00555879">
        <w:rPr>
          <w:rFonts w:eastAsia="Calibri"/>
          <w:lang w:val="en-GB"/>
        </w:rPr>
        <w:t>Main Inclusion criteria</w:t>
      </w:r>
    </w:p>
    <w:p w14:paraId="0AE7EADB" w14:textId="2A9B5D19" w:rsidR="0036164F" w:rsidRPr="00555879" w:rsidRDefault="0036164F" w:rsidP="0036164F">
      <w:pPr>
        <w:rPr>
          <w:rFonts w:eastAsia="Calibri"/>
          <w:kern w:val="2"/>
          <w14:ligatures w14:val="standardContextual"/>
        </w:rPr>
      </w:pPr>
      <w:r w:rsidRPr="00555879">
        <w:rPr>
          <w:rFonts w:eastAsia="Calibri"/>
          <w:kern w:val="2"/>
          <w:lang w:val="en-GB"/>
          <w14:ligatures w14:val="standardContextual"/>
        </w:rPr>
        <w:t xml:space="preserve">Study </w:t>
      </w:r>
      <w:r w:rsidRPr="00555879">
        <w:rPr>
          <w:rFonts w:eastAsia="Calibri"/>
          <w:kern w:val="2"/>
          <w14:ligatures w14:val="standardContextual"/>
        </w:rPr>
        <w:t>enrolled patients (aged ≥18</w:t>
      </w:r>
      <w:r w:rsidR="004919A6">
        <w:rPr>
          <w:rFonts w:eastAsia="Calibri"/>
          <w:kern w:val="2"/>
          <w14:ligatures w14:val="standardContextual"/>
        </w:rPr>
        <w:t> </w:t>
      </w:r>
      <w:r w:rsidRPr="00555879">
        <w:rPr>
          <w:rFonts w:eastAsia="Calibri"/>
          <w:kern w:val="2"/>
          <w14:ligatures w14:val="standardContextual"/>
        </w:rPr>
        <w:t>years) with acetylcholine receptor (</w:t>
      </w:r>
      <w:proofErr w:type="spellStart"/>
      <w:r w:rsidRPr="00555879">
        <w:rPr>
          <w:rFonts w:eastAsia="Calibri"/>
          <w:kern w:val="2"/>
          <w14:ligatures w14:val="standardContextual"/>
        </w:rPr>
        <w:t>AChR</w:t>
      </w:r>
      <w:proofErr w:type="spellEnd"/>
      <w:r w:rsidRPr="00555879">
        <w:rPr>
          <w:rFonts w:eastAsia="Calibri"/>
          <w:kern w:val="2"/>
          <w14:ligatures w14:val="standardContextual"/>
        </w:rPr>
        <w:t>) or muscle-specific kinase (</w:t>
      </w:r>
      <w:proofErr w:type="spellStart"/>
      <w:r w:rsidRPr="00555879">
        <w:rPr>
          <w:rFonts w:eastAsia="Calibri"/>
          <w:kern w:val="2"/>
          <w14:ligatures w14:val="standardContextual"/>
        </w:rPr>
        <w:t>MuSK</w:t>
      </w:r>
      <w:proofErr w:type="spellEnd"/>
      <w:r w:rsidRPr="00555879">
        <w:rPr>
          <w:rFonts w:eastAsia="Calibri"/>
          <w:kern w:val="2"/>
          <w14:ligatures w14:val="standardContextual"/>
        </w:rPr>
        <w:t xml:space="preserve">) autoantibody-positive generalised myasthenia gravis (Myasthenia Gravis Foundation of America </w:t>
      </w:r>
      <w:r w:rsidR="00820337">
        <w:rPr>
          <w:rFonts w:eastAsia="Calibri"/>
          <w:kern w:val="2"/>
          <w14:ligatures w14:val="standardContextual"/>
        </w:rPr>
        <w:t>C</w:t>
      </w:r>
      <w:r w:rsidRPr="00555879">
        <w:rPr>
          <w:rFonts w:eastAsia="Calibri"/>
          <w:kern w:val="2"/>
          <w14:ligatures w14:val="standardContextual"/>
        </w:rPr>
        <w:t>lass II</w:t>
      </w:r>
      <w:r w:rsidR="00E31DF0">
        <w:rPr>
          <w:rFonts w:eastAsia="Calibri"/>
          <w:kern w:val="2"/>
          <w14:ligatures w14:val="standardContextual"/>
        </w:rPr>
        <w:t xml:space="preserve"> to </w:t>
      </w:r>
      <w:proofErr w:type="spellStart"/>
      <w:r w:rsidRPr="00555879">
        <w:rPr>
          <w:rFonts w:eastAsia="Calibri"/>
          <w:kern w:val="2"/>
          <w14:ligatures w14:val="standardContextual"/>
        </w:rPr>
        <w:t>IVa</w:t>
      </w:r>
      <w:proofErr w:type="spellEnd"/>
      <w:r w:rsidRPr="00555879">
        <w:rPr>
          <w:rFonts w:eastAsia="Calibri"/>
          <w:kern w:val="2"/>
          <w14:ligatures w14:val="standardContextual"/>
        </w:rPr>
        <w:t xml:space="preserve">), a MG-ADL score of at least 3 (non-ocular symptoms), and </w:t>
      </w:r>
      <w:r w:rsidRPr="00D50D0D">
        <w:rPr>
          <w:rFonts w:eastAsia="Calibri"/>
          <w:kern w:val="2"/>
          <w14:ligatures w14:val="standardContextual"/>
        </w:rPr>
        <w:t xml:space="preserve">a </w:t>
      </w:r>
      <w:r w:rsidR="003E7CBE" w:rsidRPr="00D50D0D">
        <w:rPr>
          <w:rFonts w:eastAsia="Calibri"/>
          <w:kern w:val="2"/>
          <w14:ligatures w14:val="standardContextual"/>
        </w:rPr>
        <w:t>QMG</w:t>
      </w:r>
      <w:r w:rsidRPr="00D50D0D">
        <w:rPr>
          <w:rFonts w:eastAsia="Calibri"/>
          <w:kern w:val="2"/>
          <w14:ligatures w14:val="standardContextual"/>
        </w:rPr>
        <w:t xml:space="preserve"> score of at least</w:t>
      </w:r>
      <w:r w:rsidR="00253132" w:rsidRPr="00D50D0D">
        <w:rPr>
          <w:rFonts w:eastAsia="Calibri"/>
          <w:kern w:val="2"/>
          <w14:ligatures w14:val="standardContextual"/>
        </w:rPr>
        <w:t> </w:t>
      </w:r>
      <w:r w:rsidRPr="00D50D0D">
        <w:rPr>
          <w:rFonts w:eastAsia="Calibri"/>
          <w:kern w:val="2"/>
          <w14:ligatures w14:val="standardContextual"/>
        </w:rPr>
        <w:t>11.</w:t>
      </w:r>
    </w:p>
    <w:p w14:paraId="7E297BDE" w14:textId="77777777" w:rsidR="0036164F" w:rsidRPr="00555879" w:rsidRDefault="0036164F" w:rsidP="00CE60FB">
      <w:pPr>
        <w:pStyle w:val="Heading6"/>
        <w:rPr>
          <w:rFonts w:eastAsia="Calibri"/>
          <w:lang w:val="en-GB"/>
        </w:rPr>
      </w:pPr>
      <w:r w:rsidRPr="00555879">
        <w:rPr>
          <w:rFonts w:eastAsia="Calibri"/>
          <w:lang w:val="en-GB"/>
        </w:rPr>
        <w:t>Randomisation and Blinding</w:t>
      </w:r>
    </w:p>
    <w:p w14:paraId="1881E937" w14:textId="5ECB0E52" w:rsidR="0036164F" w:rsidRPr="00555879" w:rsidRDefault="0036164F" w:rsidP="0036164F">
      <w:pPr>
        <w:rPr>
          <w:rFonts w:eastAsia="Calibri"/>
          <w:kern w:val="2"/>
          <w:lang w:val="en-GB"/>
          <w14:ligatures w14:val="standardContextual"/>
        </w:rPr>
      </w:pPr>
      <w:r w:rsidRPr="00555879">
        <w:rPr>
          <w:rFonts w:eastAsia="Calibri"/>
          <w:kern w:val="2"/>
          <w:lang w:val="en-GB"/>
          <w14:ligatures w14:val="standardContextual"/>
        </w:rPr>
        <w:t>Randomi</w:t>
      </w:r>
      <w:r w:rsidR="00253132">
        <w:rPr>
          <w:rFonts w:eastAsia="Calibri"/>
          <w:kern w:val="2"/>
          <w:lang w:val="en-GB"/>
          <w14:ligatures w14:val="standardContextual"/>
        </w:rPr>
        <w:t>s</w:t>
      </w:r>
      <w:r w:rsidRPr="00555879">
        <w:rPr>
          <w:rFonts w:eastAsia="Calibri"/>
          <w:kern w:val="2"/>
          <w:lang w:val="en-GB"/>
          <w14:ligatures w14:val="standardContextual"/>
        </w:rPr>
        <w:t xml:space="preserve">ation into treatment groups was 1:1:1 and was stratified by MG-specific autoantibody, </w:t>
      </w:r>
      <w:proofErr w:type="spellStart"/>
      <w:r w:rsidRPr="00555879">
        <w:rPr>
          <w:rFonts w:eastAsia="Calibri"/>
          <w:kern w:val="2"/>
          <w:lang w:val="en-GB"/>
          <w14:ligatures w14:val="standardContextual"/>
        </w:rPr>
        <w:t>AChR</w:t>
      </w:r>
      <w:proofErr w:type="spellEnd"/>
      <w:r w:rsidRPr="00555879">
        <w:rPr>
          <w:rFonts w:eastAsia="Calibri"/>
          <w:kern w:val="2"/>
          <w:lang w:val="en-GB"/>
          <w14:ligatures w14:val="standardContextual"/>
        </w:rPr>
        <w:t xml:space="preserve">+ or </w:t>
      </w:r>
      <w:proofErr w:type="spellStart"/>
      <w:r w:rsidRPr="00555879">
        <w:rPr>
          <w:rFonts w:eastAsia="Calibri"/>
          <w:kern w:val="2"/>
          <w:lang w:val="en-GB"/>
          <w14:ligatures w14:val="standardContextual"/>
        </w:rPr>
        <w:t>MuSK</w:t>
      </w:r>
      <w:proofErr w:type="spellEnd"/>
      <w:r w:rsidRPr="00555879">
        <w:rPr>
          <w:rFonts w:eastAsia="Calibri"/>
          <w:kern w:val="2"/>
          <w:lang w:val="en-GB"/>
          <w14:ligatures w14:val="standardContextual"/>
        </w:rPr>
        <w:t xml:space="preserve">+. Blinding of participants and investigator was achieved through treatment </w:t>
      </w:r>
      <w:r w:rsidRPr="00F82527">
        <w:rPr>
          <w:rFonts w:eastAsia="Calibri"/>
          <w:kern w:val="2"/>
          <w:lang w:val="en-GB"/>
          <w14:ligatures w14:val="standardContextual"/>
        </w:rPr>
        <w:t>allocation by interactive response technology.</w:t>
      </w:r>
    </w:p>
    <w:p w14:paraId="4ADC964E" w14:textId="51E42BDF" w:rsidR="0036164F" w:rsidRPr="00555879" w:rsidRDefault="0036164F" w:rsidP="00CE60FB">
      <w:pPr>
        <w:pStyle w:val="Heading6"/>
        <w:rPr>
          <w:rFonts w:eastAsia="Calibri"/>
          <w:lang w:val="en-GB"/>
        </w:rPr>
      </w:pPr>
      <w:r w:rsidRPr="00555879">
        <w:rPr>
          <w:rFonts w:eastAsia="Calibri"/>
          <w:lang w:val="en-GB"/>
        </w:rPr>
        <w:t xml:space="preserve">Participants </w:t>
      </w:r>
    </w:p>
    <w:p w14:paraId="16F4F464" w14:textId="062BA00F" w:rsidR="00DC2033" w:rsidRPr="00DE7E28" w:rsidRDefault="00DC2033" w:rsidP="00DC2033">
      <w:pPr>
        <w:pStyle w:val="FigureTitle"/>
        <w:rPr>
          <w:rFonts w:eastAsia="Calibri"/>
          <w:kern w:val="2"/>
          <w14:ligatures w14:val="standardContextual"/>
        </w:rPr>
      </w:pPr>
      <w:bookmarkStart w:id="62" w:name="_Hlk181620165"/>
      <w:r>
        <w:t xml:space="preserve">Figure </w:t>
      </w:r>
      <w:r>
        <w:fldChar w:fldCharType="begin"/>
      </w:r>
      <w:r>
        <w:instrText xml:space="preserve"> SEQ Figure \* ARABIC </w:instrText>
      </w:r>
      <w:r>
        <w:fldChar w:fldCharType="separate"/>
      </w:r>
      <w:r w:rsidR="00CA7747">
        <w:rPr>
          <w:noProof/>
        </w:rPr>
        <w:t>2</w:t>
      </w:r>
      <w:r>
        <w:fldChar w:fldCharType="end"/>
      </w:r>
      <w:r>
        <w:t>: Study MG0003 study schema</w:t>
      </w:r>
    </w:p>
    <w:bookmarkEnd w:id="62"/>
    <w:p w14:paraId="138C310A" w14:textId="0BD0BA34" w:rsidR="00886710" w:rsidRDefault="00DC2033" w:rsidP="00886710">
      <w:r>
        <w:rPr>
          <w:rFonts w:eastAsia="Calibri"/>
          <w:noProof/>
          <w:color w:val="FF0000"/>
          <w:kern w:val="2"/>
          <w:lang w:val="en-GB"/>
          <w14:ligatures w14:val="standardContextual"/>
        </w:rPr>
        <w:drawing>
          <wp:inline distT="0" distB="0" distL="0" distR="0" wp14:anchorId="61840EF1" wp14:editId="5C692836">
            <wp:extent cx="5657084" cy="4152900"/>
            <wp:effectExtent l="0" t="0" r="1270" b="0"/>
            <wp:docPr id="153471039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10397" name="Picture 3">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4564" cy="4180415"/>
                    </a:xfrm>
                    <a:prstGeom prst="rect">
                      <a:avLst/>
                    </a:prstGeom>
                    <a:noFill/>
                  </pic:spPr>
                </pic:pic>
              </a:graphicData>
            </a:graphic>
          </wp:inline>
        </w:drawing>
      </w:r>
    </w:p>
    <w:p w14:paraId="4BF7A816" w14:textId="2CCBF8EC" w:rsidR="00772771" w:rsidRPr="00555879" w:rsidRDefault="00772771" w:rsidP="00772771">
      <w:pPr>
        <w:pStyle w:val="Heading6"/>
        <w:rPr>
          <w:rFonts w:eastAsia="Calibri"/>
          <w:lang w:val="en-US"/>
        </w:rPr>
      </w:pPr>
      <w:r>
        <w:rPr>
          <w:rFonts w:eastAsia="Calibri"/>
          <w:lang w:val="en-US"/>
        </w:rPr>
        <w:t xml:space="preserve">Demographic and other </w:t>
      </w:r>
      <w:r w:rsidR="0026361F">
        <w:rPr>
          <w:rFonts w:eastAsia="Calibri"/>
          <w:lang w:val="en-US"/>
        </w:rPr>
        <w:t>b</w:t>
      </w:r>
      <w:r>
        <w:rPr>
          <w:rFonts w:eastAsia="Calibri"/>
          <w:lang w:val="en-US"/>
        </w:rPr>
        <w:t>aseline</w:t>
      </w:r>
      <w:r w:rsidRPr="00555879">
        <w:rPr>
          <w:rFonts w:eastAsia="Calibri"/>
          <w:lang w:val="en-US"/>
        </w:rPr>
        <w:t xml:space="preserve"> </w:t>
      </w:r>
      <w:r w:rsidR="0026361F">
        <w:rPr>
          <w:rFonts w:eastAsia="Calibri"/>
          <w:lang w:val="en-US"/>
        </w:rPr>
        <w:t>c</w:t>
      </w:r>
      <w:r w:rsidRPr="00555879">
        <w:rPr>
          <w:rFonts w:eastAsia="Calibri"/>
          <w:lang w:val="en-US"/>
        </w:rPr>
        <w:t>haracteristics</w:t>
      </w:r>
    </w:p>
    <w:p w14:paraId="76F844C2" w14:textId="5D2E4565" w:rsidR="00772771" w:rsidRPr="00555879" w:rsidRDefault="00772771" w:rsidP="00980BFA">
      <w:pPr>
        <w:rPr>
          <w:rFonts w:eastAsia="Calibri"/>
          <w:kern w:val="2"/>
          <w:lang w:val="en-US"/>
          <w14:ligatures w14:val="standardContextual"/>
        </w:rPr>
      </w:pPr>
      <w:r w:rsidRPr="00995C47">
        <w:rPr>
          <w:rFonts w:eastAsia="Calibri"/>
          <w:kern w:val="2"/>
          <w:lang w:val="en-US"/>
          <w14:ligatures w14:val="standardContextual"/>
        </w:rPr>
        <w:t xml:space="preserve">In the total study population, </w:t>
      </w:r>
      <w:proofErr w:type="gramStart"/>
      <w:r w:rsidRPr="00995C47">
        <w:rPr>
          <w:rFonts w:eastAsia="Calibri"/>
          <w:kern w:val="2"/>
          <w:lang w:val="en-US"/>
          <w14:ligatures w14:val="standardContextual"/>
        </w:rPr>
        <w:t>mean</w:t>
      </w:r>
      <w:proofErr w:type="gramEnd"/>
      <w:r w:rsidRPr="00995C47">
        <w:rPr>
          <w:rFonts w:eastAsia="Calibri"/>
          <w:kern w:val="2"/>
          <w:lang w:val="en-US"/>
          <w14:ligatures w14:val="standardContextual"/>
        </w:rPr>
        <w:t xml:space="preserve"> (SD) age was 51.8 (16.3) years (median: 52.0</w:t>
      </w:r>
      <w:r w:rsidR="00980BFA" w:rsidRPr="00995C47">
        <w:rPr>
          <w:rFonts w:eastAsia="Calibri"/>
          <w:kern w:val="2"/>
          <w:lang w:val="en-US"/>
          <w14:ligatures w14:val="standardContextual"/>
        </w:rPr>
        <w:t> </w:t>
      </w:r>
      <w:r w:rsidRPr="00995C47">
        <w:rPr>
          <w:rFonts w:eastAsia="Calibri"/>
          <w:kern w:val="2"/>
          <w:lang w:val="en-US"/>
          <w14:ligatures w14:val="standardContextual"/>
        </w:rPr>
        <w:t>years;</w:t>
      </w:r>
      <w:r w:rsidRPr="00555879">
        <w:rPr>
          <w:rFonts w:eastAsia="Calibri"/>
          <w:kern w:val="2"/>
          <w:lang w:val="en-US"/>
          <w14:ligatures w14:val="standardContextual"/>
        </w:rPr>
        <w:t xml:space="preserve"> range:</w:t>
      </w:r>
      <w:r w:rsidR="00FF1A83">
        <w:rPr>
          <w:rFonts w:eastAsia="Calibri"/>
          <w:kern w:val="2"/>
          <w:lang w:val="en-US"/>
          <w14:ligatures w14:val="standardContextual"/>
        </w:rPr>
        <w:t> </w:t>
      </w:r>
      <w:r w:rsidRPr="00555879">
        <w:rPr>
          <w:rFonts w:eastAsia="Calibri"/>
          <w:kern w:val="2"/>
          <w:lang w:val="en-US"/>
          <w14:ligatures w14:val="standardContextual"/>
        </w:rPr>
        <w:t>18 to 89</w:t>
      </w:r>
      <w:r w:rsidR="00FF1A83">
        <w:rPr>
          <w:rFonts w:eastAsia="Calibri"/>
          <w:kern w:val="2"/>
          <w:lang w:val="en-US"/>
          <w14:ligatures w14:val="standardContextual"/>
        </w:rPr>
        <w:t> </w:t>
      </w:r>
      <w:r w:rsidRPr="00555879">
        <w:rPr>
          <w:rFonts w:eastAsia="Calibri"/>
          <w:kern w:val="2"/>
          <w:lang w:val="en-US"/>
          <w14:ligatures w14:val="standardContextual"/>
        </w:rPr>
        <w:t xml:space="preserve">years, 24.5% being </w:t>
      </w:r>
      <w:r w:rsidR="00F01EC4">
        <w:rPr>
          <w:rFonts w:eastAsia="Calibri"/>
          <w:kern w:val="2"/>
          <w:lang w:val="en-US"/>
          <w14:ligatures w14:val="standardContextual"/>
        </w:rPr>
        <w:t>≥</w:t>
      </w:r>
      <w:r w:rsidRPr="00555879">
        <w:rPr>
          <w:rFonts w:eastAsia="Calibri"/>
          <w:kern w:val="2"/>
          <w:lang w:val="en-US"/>
          <w14:ligatures w14:val="standardContextual"/>
        </w:rPr>
        <w:t xml:space="preserve"> 65</w:t>
      </w:r>
      <w:r w:rsidR="00FF1A83">
        <w:rPr>
          <w:rFonts w:eastAsia="Calibri"/>
          <w:kern w:val="2"/>
          <w:lang w:val="en-US"/>
          <w14:ligatures w14:val="standardContextual"/>
        </w:rPr>
        <w:t> </w:t>
      </w:r>
      <w:r w:rsidRPr="00555879">
        <w:rPr>
          <w:rFonts w:eastAsia="Calibri"/>
          <w:kern w:val="2"/>
          <w:lang w:val="en-US"/>
          <w14:ligatures w14:val="standardContextual"/>
        </w:rPr>
        <w:t>years of age). 121 (60.5%) of participants were female and 136 (68.0%) were White. The overall number of Japanese (13 [6.5%</w:t>
      </w:r>
      <w:r w:rsidR="00CF4260">
        <w:rPr>
          <w:rFonts w:eastAsia="Calibri"/>
          <w:kern w:val="2"/>
          <w:lang w:val="en-US"/>
          <w14:ligatures w14:val="standardContextual"/>
        </w:rPr>
        <w:t>]</w:t>
      </w:r>
      <w:r w:rsidRPr="00555879">
        <w:rPr>
          <w:rFonts w:eastAsia="Calibri"/>
          <w:kern w:val="2"/>
          <w:lang w:val="en-US"/>
          <w14:ligatures w14:val="standardContextual"/>
        </w:rPr>
        <w:t xml:space="preserve">) and Asian (21 </w:t>
      </w:r>
      <w:r w:rsidR="00CF4260">
        <w:rPr>
          <w:rFonts w:eastAsia="Calibri"/>
          <w:kern w:val="2"/>
          <w:lang w:val="en-US"/>
          <w14:ligatures w14:val="standardContextual"/>
        </w:rPr>
        <w:lastRenderedPageBreak/>
        <w:t>[</w:t>
      </w:r>
      <w:r w:rsidRPr="00555879">
        <w:rPr>
          <w:rFonts w:eastAsia="Calibri"/>
          <w:kern w:val="2"/>
          <w:lang w:val="en-US"/>
          <w14:ligatures w14:val="standardContextual"/>
        </w:rPr>
        <w:t>10.5%</w:t>
      </w:r>
      <w:r w:rsidR="00CF4260">
        <w:rPr>
          <w:rFonts w:eastAsia="Calibri"/>
          <w:kern w:val="2"/>
          <w:lang w:val="en-US"/>
          <w14:ligatures w14:val="standardContextual"/>
        </w:rPr>
        <w:t>]</w:t>
      </w:r>
      <w:r w:rsidRPr="00555879">
        <w:rPr>
          <w:rFonts w:eastAsia="Calibri"/>
          <w:kern w:val="2"/>
          <w:lang w:val="en-US"/>
          <w14:ligatures w14:val="standardContextual"/>
        </w:rPr>
        <w:t xml:space="preserve">) participants was low. More than 50% of participants has been recruited in </w:t>
      </w:r>
      <w:r w:rsidR="00D40582">
        <w:rPr>
          <w:rFonts w:eastAsia="Calibri"/>
          <w:kern w:val="2"/>
          <w:lang w:val="en-US"/>
          <w14:ligatures w14:val="standardContextual"/>
        </w:rPr>
        <w:t>4</w:t>
      </w:r>
      <w:r w:rsidRPr="00555879">
        <w:rPr>
          <w:rFonts w:eastAsia="Calibri"/>
          <w:kern w:val="2"/>
          <w:lang w:val="en-US"/>
          <w14:ligatures w14:val="standardContextual"/>
        </w:rPr>
        <w:t xml:space="preserve"> countries (US</w:t>
      </w:r>
      <w:r w:rsidR="00A41F27">
        <w:rPr>
          <w:rFonts w:eastAsia="Calibri"/>
          <w:kern w:val="2"/>
          <w:lang w:val="en-US"/>
          <w14:ligatures w14:val="standardContextual"/>
        </w:rPr>
        <w:t>A</w:t>
      </w:r>
      <w:r w:rsidRPr="00555879">
        <w:rPr>
          <w:rFonts w:eastAsia="Calibri"/>
          <w:kern w:val="2"/>
          <w:lang w:val="en-US"/>
          <w14:ligatures w14:val="standardContextual"/>
        </w:rPr>
        <w:t>, Poland, Canada and France)</w:t>
      </w:r>
      <w:r w:rsidR="00E607B4">
        <w:rPr>
          <w:rFonts w:eastAsia="Calibri"/>
          <w:kern w:val="2"/>
          <w:lang w:val="en-US"/>
          <w14:ligatures w14:val="standardContextual"/>
        </w:rPr>
        <w:t>.</w:t>
      </w:r>
    </w:p>
    <w:p w14:paraId="2D72AE7A" w14:textId="0094B858" w:rsidR="00772771" w:rsidRPr="0056481B" w:rsidRDefault="00772771" w:rsidP="00980BFA">
      <w:pPr>
        <w:rPr>
          <w:rFonts w:eastAsia="Calibri"/>
          <w:kern w:val="2"/>
          <w:lang w:val="en-US"/>
          <w14:ligatures w14:val="standardContextual"/>
        </w:rPr>
      </w:pPr>
      <w:r w:rsidRPr="0056481B">
        <w:rPr>
          <w:rFonts w:eastAsia="Calibri"/>
          <w:kern w:val="2"/>
          <w:lang w:val="en-US"/>
          <w14:ligatures w14:val="standardContextual"/>
        </w:rPr>
        <w:t>Treatment groups were well-balance</w:t>
      </w:r>
      <w:r w:rsidR="00E607B4" w:rsidRPr="0056481B">
        <w:rPr>
          <w:rFonts w:eastAsia="Calibri"/>
          <w:kern w:val="2"/>
          <w:lang w:val="en-US"/>
          <w14:ligatures w14:val="standardContextual"/>
        </w:rPr>
        <w:t>d</w:t>
      </w:r>
      <w:r w:rsidRPr="0056481B">
        <w:rPr>
          <w:rFonts w:eastAsia="Calibri"/>
          <w:kern w:val="2"/>
          <w:lang w:val="en-US"/>
          <w14:ligatures w14:val="standardContextual"/>
        </w:rPr>
        <w:t xml:space="preserve"> for demographics with the following exception</w:t>
      </w:r>
      <w:r w:rsidR="00A6542E" w:rsidRPr="0056481B">
        <w:rPr>
          <w:rFonts w:eastAsia="Calibri"/>
          <w:kern w:val="2"/>
          <w:lang w:val="en-US"/>
          <w14:ligatures w14:val="standardContextual"/>
        </w:rPr>
        <w:t>s</w:t>
      </w:r>
      <w:r w:rsidRPr="0056481B">
        <w:rPr>
          <w:rFonts w:eastAsia="Calibri"/>
          <w:kern w:val="2"/>
          <w:lang w:val="en-US"/>
          <w14:ligatures w14:val="standardContextual"/>
        </w:rPr>
        <w:t>:</w:t>
      </w:r>
    </w:p>
    <w:p w14:paraId="239C5CA8" w14:textId="7791D510" w:rsidR="00772771" w:rsidRPr="0056481B" w:rsidRDefault="00DF17EC" w:rsidP="00DF17EC">
      <w:pPr>
        <w:pStyle w:val="ListBullet"/>
        <w:rPr>
          <w:lang w:val="en-US"/>
        </w:rPr>
      </w:pPr>
      <w:r w:rsidRPr="0056481B">
        <w:rPr>
          <w:lang w:val="en-US"/>
        </w:rPr>
        <w:t>f</w:t>
      </w:r>
      <w:r w:rsidR="00772771" w:rsidRPr="0056481B">
        <w:rPr>
          <w:lang w:val="en-US"/>
        </w:rPr>
        <w:t>emale</w:t>
      </w:r>
      <w:r w:rsidRPr="0056481B">
        <w:rPr>
          <w:lang w:val="en-US"/>
        </w:rPr>
        <w:t xml:space="preserve"> sex was </w:t>
      </w:r>
      <w:r w:rsidR="00652E1F" w:rsidRPr="0056481B">
        <w:rPr>
          <w:lang w:val="en-US"/>
        </w:rPr>
        <w:t xml:space="preserve">characteristic of </w:t>
      </w:r>
      <w:r w:rsidR="00772771" w:rsidRPr="0056481B">
        <w:rPr>
          <w:lang w:val="en-US"/>
        </w:rPr>
        <w:t xml:space="preserve">47 (70.1%) </w:t>
      </w:r>
      <w:r w:rsidR="00652E1F" w:rsidRPr="0056481B">
        <w:rPr>
          <w:lang w:val="en-US"/>
        </w:rPr>
        <w:t xml:space="preserve">of the placebo group, 39 (59.1%) of the </w:t>
      </w:r>
      <w:r w:rsidR="00E560B2" w:rsidRPr="0056481B">
        <w:t>rozanolixizumab</w:t>
      </w:r>
      <w:r w:rsidR="00E560B2" w:rsidRPr="0056481B">
        <w:rPr>
          <w:lang w:val="en-US"/>
        </w:rPr>
        <w:t xml:space="preserve"> </w:t>
      </w:r>
      <w:r w:rsidR="00772771" w:rsidRPr="0056481B">
        <w:rPr>
          <w:lang w:val="en-US"/>
        </w:rPr>
        <w:t>≈7mg/kg</w:t>
      </w:r>
      <w:r w:rsidR="00993B93" w:rsidRPr="0056481B">
        <w:rPr>
          <w:lang w:val="en-US"/>
        </w:rPr>
        <w:t xml:space="preserve"> group, and </w:t>
      </w:r>
      <w:r w:rsidR="00772771" w:rsidRPr="0056481B">
        <w:rPr>
          <w:lang w:val="en-US"/>
        </w:rPr>
        <w:t>35 (52.2%)</w:t>
      </w:r>
      <w:r w:rsidR="00993B93" w:rsidRPr="0056481B">
        <w:rPr>
          <w:lang w:val="en-US"/>
        </w:rPr>
        <w:t xml:space="preserve"> of the </w:t>
      </w:r>
      <w:r w:rsidR="00E560B2" w:rsidRPr="0056481B">
        <w:t>rozanolixizumab</w:t>
      </w:r>
      <w:r w:rsidR="00E560B2" w:rsidRPr="0056481B">
        <w:rPr>
          <w:lang w:val="en-US"/>
        </w:rPr>
        <w:t xml:space="preserve"> </w:t>
      </w:r>
      <w:r w:rsidR="00993B93" w:rsidRPr="0056481B">
        <w:rPr>
          <w:lang w:val="en-US"/>
        </w:rPr>
        <w:t>≈10mg/kg</w:t>
      </w:r>
      <w:r w:rsidR="003102BD" w:rsidRPr="0056481B">
        <w:rPr>
          <w:lang w:val="en-US"/>
        </w:rPr>
        <w:t xml:space="preserve"> group</w:t>
      </w:r>
    </w:p>
    <w:p w14:paraId="409B66CF" w14:textId="07FD2584" w:rsidR="00772771" w:rsidRPr="0056481B" w:rsidRDefault="003102BD" w:rsidP="00DF17EC">
      <w:pPr>
        <w:pStyle w:val="ListBullet"/>
        <w:rPr>
          <w:lang w:val="en-US"/>
        </w:rPr>
      </w:pPr>
      <w:r w:rsidRPr="0056481B">
        <w:rPr>
          <w:lang w:val="en-US"/>
        </w:rPr>
        <w:t xml:space="preserve">body weight </w:t>
      </w:r>
      <w:r w:rsidR="00772771" w:rsidRPr="0056481B">
        <w:rPr>
          <w:lang w:val="en-US"/>
        </w:rPr>
        <w:t>&lt;50kg</w:t>
      </w:r>
      <w:r w:rsidRPr="0056481B">
        <w:rPr>
          <w:lang w:val="en-US"/>
        </w:rPr>
        <w:t xml:space="preserve"> was characteristic of 4 (</w:t>
      </w:r>
      <w:r w:rsidR="008D2889" w:rsidRPr="0056481B">
        <w:rPr>
          <w:lang w:val="en-US"/>
        </w:rPr>
        <w:t>6.0</w:t>
      </w:r>
      <w:r w:rsidRPr="0056481B">
        <w:rPr>
          <w:lang w:val="en-US"/>
        </w:rPr>
        <w:t xml:space="preserve">%) of the placebo group, </w:t>
      </w:r>
      <w:r w:rsidR="008D2889" w:rsidRPr="0056481B">
        <w:rPr>
          <w:lang w:val="en-US"/>
        </w:rPr>
        <w:t>7</w:t>
      </w:r>
      <w:r w:rsidRPr="0056481B">
        <w:rPr>
          <w:lang w:val="en-US"/>
        </w:rPr>
        <w:t xml:space="preserve"> (</w:t>
      </w:r>
      <w:r w:rsidR="008D2889" w:rsidRPr="0056481B">
        <w:rPr>
          <w:lang w:val="en-US"/>
        </w:rPr>
        <w:t>10.6</w:t>
      </w:r>
      <w:r w:rsidRPr="0056481B">
        <w:rPr>
          <w:lang w:val="en-US"/>
        </w:rPr>
        <w:t xml:space="preserve">1%) of the </w:t>
      </w:r>
      <w:r w:rsidRPr="0056481B">
        <w:t>rozanolixizumab</w:t>
      </w:r>
      <w:r w:rsidRPr="0056481B">
        <w:rPr>
          <w:lang w:val="en-US"/>
        </w:rPr>
        <w:t xml:space="preserve"> ≈7mg/kg group, and </w:t>
      </w:r>
      <w:r w:rsidR="008D2889" w:rsidRPr="0056481B">
        <w:rPr>
          <w:lang w:val="en-US"/>
        </w:rPr>
        <w:t>1</w:t>
      </w:r>
      <w:r w:rsidRPr="0056481B">
        <w:rPr>
          <w:lang w:val="en-US"/>
        </w:rPr>
        <w:t xml:space="preserve"> (</w:t>
      </w:r>
      <w:r w:rsidR="008D2889" w:rsidRPr="0056481B">
        <w:rPr>
          <w:lang w:val="en-US"/>
        </w:rPr>
        <w:t>1.5</w:t>
      </w:r>
      <w:r w:rsidRPr="0056481B">
        <w:rPr>
          <w:lang w:val="en-US"/>
        </w:rPr>
        <w:t xml:space="preserve">%) of the </w:t>
      </w:r>
      <w:r w:rsidRPr="0056481B">
        <w:t>rozanolixizumab</w:t>
      </w:r>
      <w:r w:rsidRPr="0056481B">
        <w:rPr>
          <w:lang w:val="en-US"/>
        </w:rPr>
        <w:t xml:space="preserve"> ≈10mg/kg group</w:t>
      </w:r>
      <w:r w:rsidR="00772771" w:rsidRPr="0056481B">
        <w:rPr>
          <w:lang w:val="en-US"/>
        </w:rPr>
        <w:tab/>
      </w:r>
      <w:r w:rsidR="0056481B" w:rsidRPr="0056481B">
        <w:rPr>
          <w:lang w:val="en-US"/>
        </w:rPr>
        <w:t>.</w:t>
      </w:r>
    </w:p>
    <w:p w14:paraId="6AD689E4" w14:textId="7514E298" w:rsidR="00886710" w:rsidRDefault="00134CF8" w:rsidP="00134CF8">
      <w:pPr>
        <w:pStyle w:val="TableTitle"/>
      </w:pPr>
      <w:r>
        <w:t xml:space="preserve">Table </w:t>
      </w:r>
      <w:r>
        <w:fldChar w:fldCharType="begin"/>
      </w:r>
      <w:r>
        <w:instrText xml:space="preserve"> SEQ Table \* ARABIC </w:instrText>
      </w:r>
      <w:r>
        <w:fldChar w:fldCharType="separate"/>
      </w:r>
      <w:r w:rsidR="00CA7747">
        <w:rPr>
          <w:noProof/>
        </w:rPr>
        <w:t>3</w:t>
      </w:r>
      <w:r>
        <w:fldChar w:fldCharType="end"/>
      </w:r>
      <w:r>
        <w:t>: Study MG0003</w:t>
      </w:r>
      <w:r w:rsidR="009D759E">
        <w:t xml:space="preserve"> baseline characteristics </w:t>
      </w:r>
      <w:r w:rsidR="00ED178C">
        <w:t>(R</w:t>
      </w:r>
      <w:r w:rsidR="009D759E">
        <w:t xml:space="preserve">andomised </w:t>
      </w:r>
      <w:r w:rsidR="00ED178C">
        <w:t>S</w:t>
      </w:r>
      <w:r w:rsidR="009D759E">
        <w:t>et</w:t>
      </w:r>
      <w:r w:rsidR="00ED178C">
        <w:t>)</w:t>
      </w:r>
    </w:p>
    <w:p w14:paraId="2CC537A9" w14:textId="6734E0DD" w:rsidR="003C685C" w:rsidRDefault="00134CF8" w:rsidP="00886710">
      <w:r w:rsidRPr="00555879">
        <w:rPr>
          <w:rFonts w:ascii="Calibri" w:eastAsia="Calibri" w:hAnsi="Calibri"/>
          <w:noProof/>
          <w:kern w:val="2"/>
          <w14:ligatures w14:val="standardContextual"/>
        </w:rPr>
        <w:drawing>
          <wp:inline distT="0" distB="0" distL="0" distR="0" wp14:anchorId="48B1269B" wp14:editId="4F22DE67">
            <wp:extent cx="5739130" cy="7000875"/>
            <wp:effectExtent l="0" t="0" r="0" b="9525"/>
            <wp:docPr id="177282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47000"/>
                              </a14:imgEffect>
                            </a14:imgLayer>
                          </a14:imgProps>
                        </a:ext>
                        <a:ext uri="{28A0092B-C50C-407E-A947-70E740481C1C}">
                          <a14:useLocalDpi xmlns:a14="http://schemas.microsoft.com/office/drawing/2010/main" val="0"/>
                        </a:ext>
                      </a:extLst>
                    </a:blip>
                    <a:srcRect/>
                    <a:stretch>
                      <a:fillRect/>
                    </a:stretch>
                  </pic:blipFill>
                  <pic:spPr bwMode="auto">
                    <a:xfrm>
                      <a:off x="0" y="0"/>
                      <a:ext cx="5776588" cy="7046568"/>
                    </a:xfrm>
                    <a:prstGeom prst="rect">
                      <a:avLst/>
                    </a:prstGeom>
                    <a:noFill/>
                  </pic:spPr>
                </pic:pic>
              </a:graphicData>
            </a:graphic>
          </wp:inline>
        </w:drawing>
      </w:r>
    </w:p>
    <w:p w14:paraId="39F8EA8F" w14:textId="01EC9CB6" w:rsidR="008E1A44" w:rsidRDefault="00E935AF" w:rsidP="00122418">
      <w:pPr>
        <w:pStyle w:val="TableDescription"/>
      </w:pPr>
      <w:r w:rsidRPr="00122418">
        <w:rPr>
          <w:rFonts w:cs="TimesNewRomanPSMT"/>
        </w:rPr>
        <w:lastRenderedPageBreak/>
        <w:t xml:space="preserve">≈=approximate dose, </w:t>
      </w:r>
      <w:proofErr w:type="spellStart"/>
      <w:r w:rsidRPr="00122418">
        <w:rPr>
          <w:rFonts w:cs="TimesNewRomanPSMT"/>
        </w:rPr>
        <w:t>AChR</w:t>
      </w:r>
      <w:proofErr w:type="spellEnd"/>
      <w:r w:rsidRPr="00122418">
        <w:rPr>
          <w:rFonts w:cs="TimesNewRomanPSMT"/>
        </w:rPr>
        <w:t>=acetylcholine receptor; CRF=case report form; IgG=immunoglobulin G;</w:t>
      </w:r>
      <w:r w:rsidR="00885F69">
        <w:rPr>
          <w:rFonts w:cs="TimesNewRomanPSMT"/>
        </w:rPr>
        <w:t xml:space="preserve"> </w:t>
      </w:r>
      <w:r w:rsidRPr="00122418">
        <w:t>Max=maximum; MG=Myasthenia Gravis; MG-ADL=Myasthenia Gravis Activities of Daily Living;</w:t>
      </w:r>
      <w:r w:rsidR="00885F69">
        <w:t xml:space="preserve"> </w:t>
      </w:r>
      <w:r w:rsidRPr="00122418">
        <w:t xml:space="preserve">MGFA=Myasthenia Gravis Foundation of America; Min=minimum; </w:t>
      </w:r>
      <w:proofErr w:type="spellStart"/>
      <w:r w:rsidRPr="00122418">
        <w:t>MuSK</w:t>
      </w:r>
      <w:proofErr w:type="spellEnd"/>
      <w:r w:rsidRPr="00122418">
        <w:t>=muscle specific kinase; n=number of study participants; N=total number of study participants in treatment group; QMG=Quantitative Myasthenia Gravis; RLZ=rozanolixizumab; RS=randomi</w:t>
      </w:r>
      <w:r w:rsidR="00CC4743">
        <w:t>s</w:t>
      </w:r>
      <w:r w:rsidRPr="00122418">
        <w:t>ed set; SD=standard deviation</w:t>
      </w:r>
    </w:p>
    <w:p w14:paraId="72D03050" w14:textId="1233ED80" w:rsidR="00E935AF" w:rsidRPr="00122418" w:rsidRDefault="00E935AF" w:rsidP="00122418">
      <w:pPr>
        <w:pStyle w:val="TableDescription"/>
      </w:pPr>
      <w:r w:rsidRPr="00122418">
        <w:t>Note: Combined data are shown (</w:t>
      </w:r>
      <w:r w:rsidR="00CC4743">
        <w:t xml:space="preserve">that is, </w:t>
      </w:r>
      <w:r w:rsidRPr="00122418">
        <w:t xml:space="preserve">from all study participants, including Stage 1 and Stage 2); the </w:t>
      </w:r>
      <w:r w:rsidR="00BB1CF7">
        <w:t>clinical study report</w:t>
      </w:r>
      <w:r w:rsidRPr="00122418">
        <w:t xml:space="preserve"> included all data for the dichotomous variables which are provided here.</w:t>
      </w:r>
    </w:p>
    <w:p w14:paraId="4D7CCB0B" w14:textId="3EF143EE" w:rsidR="00E935AF" w:rsidRPr="00122418" w:rsidRDefault="00C76593" w:rsidP="00122418">
      <w:pPr>
        <w:pStyle w:val="TableDescription"/>
        <w:rPr>
          <w:rFonts w:cs="TimesNewRomanPSMT"/>
        </w:rPr>
      </w:pPr>
      <w:r>
        <w:rPr>
          <w:rFonts w:cs="TimesNewRomanPSMT"/>
        </w:rPr>
        <w:t xml:space="preserve">a </w:t>
      </w:r>
      <w:proofErr w:type="spellStart"/>
      <w:r w:rsidR="00E935AF" w:rsidRPr="00122418">
        <w:rPr>
          <w:rFonts w:cs="TimesNewRomanPSMT"/>
        </w:rPr>
        <w:t>AChR</w:t>
      </w:r>
      <w:proofErr w:type="spellEnd"/>
      <w:r w:rsidR="00E935AF" w:rsidRPr="00122418">
        <w:rPr>
          <w:rFonts w:cs="TimesNewRomanPSMT"/>
        </w:rPr>
        <w:t xml:space="preserve"> and </w:t>
      </w:r>
      <w:proofErr w:type="spellStart"/>
      <w:r w:rsidR="00E935AF" w:rsidRPr="00122418">
        <w:rPr>
          <w:rFonts w:cs="TimesNewRomanPSMT"/>
        </w:rPr>
        <w:t>MuSK</w:t>
      </w:r>
      <w:proofErr w:type="spellEnd"/>
      <w:r w:rsidR="00E935AF" w:rsidRPr="00122418">
        <w:rPr>
          <w:rFonts w:cs="TimesNewRomanPSMT"/>
        </w:rPr>
        <w:t xml:space="preserve"> autoantibody status are captured from </w:t>
      </w:r>
      <w:r w:rsidR="004668DB">
        <w:rPr>
          <w:rFonts w:cs="TimesNewRomanPSMT"/>
        </w:rPr>
        <w:t>‘</w:t>
      </w:r>
      <w:r w:rsidR="00E935AF" w:rsidRPr="00122418">
        <w:rPr>
          <w:rFonts w:cs="TimesNewRomanPSMT"/>
        </w:rPr>
        <w:t>Confirmatory (Historical) Diagnostic Tests for</w:t>
      </w:r>
      <w:r w:rsidR="008E1A44">
        <w:rPr>
          <w:rFonts w:cs="TimesNewRomanPSMT"/>
        </w:rPr>
        <w:t xml:space="preserve"> </w:t>
      </w:r>
      <w:r w:rsidR="00E935AF" w:rsidRPr="00122418">
        <w:rPr>
          <w:rFonts w:cs="TimesNewRomanPSMT"/>
        </w:rPr>
        <w:t>Primary Condition</w:t>
      </w:r>
      <w:r w:rsidR="004668DB">
        <w:rPr>
          <w:rFonts w:cs="TimesNewRomanPSMT"/>
        </w:rPr>
        <w:t>’</w:t>
      </w:r>
      <w:r w:rsidR="00E935AF" w:rsidRPr="00122418">
        <w:rPr>
          <w:rFonts w:cs="TimesNewRomanPSMT"/>
        </w:rPr>
        <w:t xml:space="preserve"> </w:t>
      </w:r>
      <w:r w:rsidR="003203CD">
        <w:rPr>
          <w:rFonts w:cs="TimesNewRomanPSMT"/>
        </w:rPr>
        <w:t>case report form</w:t>
      </w:r>
      <w:r w:rsidR="00E935AF" w:rsidRPr="00122418">
        <w:rPr>
          <w:rFonts w:cs="TimesNewRomanPSMT"/>
        </w:rPr>
        <w:t>.</w:t>
      </w:r>
    </w:p>
    <w:p w14:paraId="4786335F" w14:textId="77777777" w:rsidR="00E935AF" w:rsidRPr="00122418" w:rsidRDefault="00E935AF" w:rsidP="00122418">
      <w:pPr>
        <w:pStyle w:val="TableDescription"/>
      </w:pPr>
      <w:r w:rsidRPr="00122418">
        <w:rPr>
          <w:sz w:val="13"/>
          <w:szCs w:val="13"/>
        </w:rPr>
        <w:t xml:space="preserve">b </w:t>
      </w:r>
      <w:proofErr w:type="spellStart"/>
      <w:r w:rsidRPr="00122418">
        <w:t>AChR</w:t>
      </w:r>
      <w:proofErr w:type="spellEnd"/>
      <w:r w:rsidRPr="00122418">
        <w:t xml:space="preserve"> and </w:t>
      </w:r>
      <w:proofErr w:type="spellStart"/>
      <w:r w:rsidRPr="00122418">
        <w:t>MuSK</w:t>
      </w:r>
      <w:proofErr w:type="spellEnd"/>
      <w:r w:rsidRPr="00122418">
        <w:t xml:space="preserve"> autoantibody status are captured from Baseline Visit.</w:t>
      </w:r>
    </w:p>
    <w:p w14:paraId="5F0F76DA" w14:textId="501A41FD" w:rsidR="003F5E29" w:rsidRPr="00555879" w:rsidRDefault="003F5E29" w:rsidP="003F5E29">
      <w:r w:rsidRPr="00555879">
        <w:t>Treatment groups were generally well-balanced with regards to Baseline characteristics. The only notable difference was the lower proportion of study participants who had undergone thymectomy in the rozanolixizumab ≈10</w:t>
      </w:r>
      <w:r w:rsidR="008458C1">
        <w:t> </w:t>
      </w:r>
      <w:r w:rsidRPr="00555879">
        <w:t>mg/kg group (20 [29.9%]) compared with the ≈7</w:t>
      </w:r>
      <w:r w:rsidR="008458C1">
        <w:t> </w:t>
      </w:r>
      <w:r w:rsidRPr="00555879">
        <w:t>mg/kg (32 [48.5%]) and placebo (31 [46.3%]) groups.</w:t>
      </w:r>
      <w:r w:rsidRPr="00B05BBA">
        <w:rPr>
          <w:rFonts w:ascii="Arial" w:hAnsi="Arial" w:cs="Arial"/>
          <w:lang w:val="en-US"/>
        </w:rPr>
        <w:t xml:space="preserve"> </w:t>
      </w:r>
      <w:r>
        <w:rPr>
          <w:lang w:val="en-US"/>
        </w:rPr>
        <w:t>U</w:t>
      </w:r>
      <w:r w:rsidRPr="00B05BBA">
        <w:rPr>
          <w:lang w:val="en-US"/>
        </w:rPr>
        <w:t xml:space="preserve">se of Baseline </w:t>
      </w:r>
      <w:proofErr w:type="spellStart"/>
      <w:r w:rsidRPr="00B05BBA">
        <w:rPr>
          <w:lang w:val="en-US"/>
        </w:rPr>
        <w:t>gMG</w:t>
      </w:r>
      <w:proofErr w:type="spellEnd"/>
      <w:r w:rsidRPr="00B05BBA">
        <w:rPr>
          <w:lang w:val="en-US"/>
        </w:rPr>
        <w:t xml:space="preserve"> medications was generally balanced across treatment groups</w:t>
      </w:r>
      <w:r w:rsidR="008458C1">
        <w:rPr>
          <w:lang w:val="en-US"/>
        </w:rPr>
        <w:t xml:space="preserve">, </w:t>
      </w:r>
      <w:proofErr w:type="gramStart"/>
      <w:r w:rsidR="008458C1">
        <w:rPr>
          <w:lang w:val="en-US"/>
        </w:rPr>
        <w:t>The m</w:t>
      </w:r>
      <w:r w:rsidRPr="003056FE">
        <w:rPr>
          <w:rFonts w:cs="Arial"/>
          <w:lang w:val="en-US"/>
        </w:rPr>
        <w:t>ajority of</w:t>
      </w:r>
      <w:proofErr w:type="gramEnd"/>
      <w:r w:rsidRPr="003056FE">
        <w:rPr>
          <w:rFonts w:cs="Arial"/>
          <w:lang w:val="en-US"/>
        </w:rPr>
        <w:t xml:space="preserve"> patients reported treatment with either corticosteroids and/or immunosuppressants at Baseline: 51.5% of patients received immunosuppressant treatment at baseline, 64.5% of participants received steroids for systemic use at baseline</w:t>
      </w:r>
      <w:r w:rsidR="004C2BA3">
        <w:rPr>
          <w:rFonts w:cs="Arial"/>
          <w:lang w:val="en-US"/>
        </w:rPr>
        <w:t>,</w:t>
      </w:r>
      <w:r w:rsidRPr="003056FE">
        <w:rPr>
          <w:rFonts w:cs="Arial"/>
          <w:lang w:val="en-US"/>
        </w:rPr>
        <w:t xml:space="preserve"> and 86.0% of patients received </w:t>
      </w:r>
      <w:proofErr w:type="spellStart"/>
      <w:r w:rsidRPr="003056FE">
        <w:rPr>
          <w:rFonts w:cs="Arial"/>
          <w:lang w:val="en-US"/>
        </w:rPr>
        <w:t>parasympathomimetic</w:t>
      </w:r>
      <w:r>
        <w:rPr>
          <w:rFonts w:cs="Arial"/>
          <w:lang w:val="en-US"/>
        </w:rPr>
        <w:t>s</w:t>
      </w:r>
      <w:proofErr w:type="spellEnd"/>
      <w:r>
        <w:rPr>
          <w:rFonts w:cs="Arial"/>
          <w:lang w:val="en-US"/>
        </w:rPr>
        <w:t>.</w:t>
      </w:r>
    </w:p>
    <w:p w14:paraId="6F4F7F94" w14:textId="5BF2415F" w:rsidR="003F5E29" w:rsidRPr="00555879" w:rsidRDefault="003F5E29" w:rsidP="006810D3">
      <w:pPr>
        <w:pStyle w:val="Heading6"/>
        <w:rPr>
          <w:rFonts w:eastAsia="Calibri"/>
        </w:rPr>
      </w:pPr>
      <w:r w:rsidRPr="00555879">
        <w:rPr>
          <w:rFonts w:eastAsia="Calibri"/>
        </w:rPr>
        <w:t xml:space="preserve">Primary </w:t>
      </w:r>
      <w:r w:rsidR="00DC03C7" w:rsidRPr="00555879">
        <w:rPr>
          <w:rFonts w:eastAsia="Calibri"/>
        </w:rPr>
        <w:t>end point results</w:t>
      </w:r>
    </w:p>
    <w:p w14:paraId="57DE50AB" w14:textId="063444C3" w:rsidR="003F5E29" w:rsidRPr="00555879" w:rsidRDefault="003F5E29" w:rsidP="003F5E29">
      <w:r w:rsidRPr="00555879">
        <w:t xml:space="preserve">Reductions in MG-ADL score from </w:t>
      </w:r>
      <w:r w:rsidR="0056481B">
        <w:t>B</w:t>
      </w:r>
      <w:r w:rsidRPr="00555879">
        <w:t xml:space="preserve">aseline to </w:t>
      </w:r>
      <w:r w:rsidR="004C2BA3">
        <w:t>D</w:t>
      </w:r>
      <w:r w:rsidRPr="00555879">
        <w:t xml:space="preserve">ay 43 were greater in the rozanolixizumab </w:t>
      </w:r>
      <w:r w:rsidR="0056481B" w:rsidRPr="00B642C0">
        <w:t>≈</w:t>
      </w:r>
      <w:r w:rsidRPr="00B642C0">
        <w:t>7</w:t>
      </w:r>
      <w:r w:rsidR="004C2BA3" w:rsidRPr="00B642C0">
        <w:t> </w:t>
      </w:r>
      <w:r w:rsidRPr="00B642C0">
        <w:t>mg/kg group (least-squares mean change –3·37 [SE 0·49]) and in the rozanolixizumab</w:t>
      </w:r>
      <w:r w:rsidRPr="00555879">
        <w:t xml:space="preserve"> </w:t>
      </w:r>
      <w:r w:rsidR="00A868ED" w:rsidRPr="00555879">
        <w:t>≈</w:t>
      </w:r>
      <w:r w:rsidRPr="00555879">
        <w:t>10</w:t>
      </w:r>
      <w:r w:rsidR="004C2BA3">
        <w:t> </w:t>
      </w:r>
      <w:r w:rsidRPr="00555879">
        <w:t xml:space="preserve">mg/kg group (–3·40 [0·49]) than with placebo (–0·78 [0·49]; for </w:t>
      </w:r>
      <w:r w:rsidR="00D37991" w:rsidRPr="00555879">
        <w:t>≈</w:t>
      </w:r>
      <w:r w:rsidRPr="00555879">
        <w:t>7</w:t>
      </w:r>
      <w:r w:rsidR="00DB1534">
        <w:t> </w:t>
      </w:r>
      <w:r w:rsidRPr="00555879">
        <w:t xml:space="preserve">mg/kg, least-squares mean difference −2·59 </w:t>
      </w:r>
      <w:r w:rsidR="00206DE1">
        <w:t>(</w:t>
      </w:r>
      <w:r w:rsidRPr="00555879">
        <w:t>95% CI</w:t>
      </w:r>
      <w:r w:rsidR="00E6138C">
        <w:t>:</w:t>
      </w:r>
      <w:r w:rsidRPr="00555879">
        <w:t>−4·09</w:t>
      </w:r>
      <w:r w:rsidR="00E6138C">
        <w:t>,</w:t>
      </w:r>
      <w:r w:rsidRPr="00555879">
        <w:t xml:space="preserve"> −1·25</w:t>
      </w:r>
      <w:r w:rsidR="004621BF">
        <w:t>;</w:t>
      </w:r>
      <w:r w:rsidRPr="00555879">
        <w:t xml:space="preserve"> p&lt;0·0001</w:t>
      </w:r>
      <w:r w:rsidR="004621BF">
        <w:t>)</w:t>
      </w:r>
      <w:r w:rsidRPr="00555879">
        <w:t xml:space="preserve">; for </w:t>
      </w:r>
      <w:r w:rsidR="00D37991" w:rsidRPr="00555879">
        <w:t>≈</w:t>
      </w:r>
      <w:r w:rsidRPr="00555879">
        <w:t>10</w:t>
      </w:r>
      <w:r w:rsidR="00440AF4">
        <w:t> </w:t>
      </w:r>
      <w:r w:rsidRPr="00555879">
        <w:t xml:space="preserve">mg/kg, −2·62 </w:t>
      </w:r>
      <w:r w:rsidR="004621BF">
        <w:t>(95%</w:t>
      </w:r>
      <w:r w:rsidR="00B642C0">
        <w:t xml:space="preserve"> CI:</w:t>
      </w:r>
      <w:r w:rsidRPr="00555879">
        <w:t>−3·99</w:t>
      </w:r>
      <w:r w:rsidR="00B642C0">
        <w:t>,</w:t>
      </w:r>
      <w:r w:rsidRPr="00555879">
        <w:t xml:space="preserve"> −1·16</w:t>
      </w:r>
      <w:r w:rsidR="00B642C0">
        <w:t>;</w:t>
      </w:r>
      <w:r w:rsidRPr="00555879">
        <w:t xml:space="preserve"> p&lt;0·0001).</w:t>
      </w:r>
    </w:p>
    <w:p w14:paraId="09F5E7CE" w14:textId="1BC9E7BC" w:rsidR="003C685C" w:rsidRDefault="009C0783" w:rsidP="004C3857">
      <w:pPr>
        <w:pStyle w:val="TableTitle"/>
      </w:pPr>
      <w:r>
        <w:t xml:space="preserve">Table </w:t>
      </w:r>
      <w:r>
        <w:fldChar w:fldCharType="begin"/>
      </w:r>
      <w:r>
        <w:instrText xml:space="preserve"> SEQ Table \* ARABIC </w:instrText>
      </w:r>
      <w:r>
        <w:fldChar w:fldCharType="separate"/>
      </w:r>
      <w:r w:rsidR="00CA7747">
        <w:rPr>
          <w:noProof/>
        </w:rPr>
        <w:t>4</w:t>
      </w:r>
      <w:r>
        <w:fldChar w:fldCharType="end"/>
      </w:r>
      <w:r>
        <w:t>: Study MG0003</w:t>
      </w:r>
      <w:r w:rsidR="00ED178C">
        <w:t xml:space="preserve"> </w:t>
      </w:r>
      <w:r w:rsidR="00ED178C" w:rsidRPr="00E86D7A">
        <w:rPr>
          <w:iCs/>
        </w:rPr>
        <w:t xml:space="preserve">Myasthenia Gravis Activities of Daily Living </w:t>
      </w:r>
      <w:r w:rsidR="00ED178C">
        <w:rPr>
          <w:iCs/>
        </w:rPr>
        <w:t xml:space="preserve">score </w:t>
      </w:r>
      <w:r w:rsidR="004C3857" w:rsidRPr="004C3857">
        <w:t xml:space="preserve">change from Baseline to Day 43 (Visit 10) (Hypothetical </w:t>
      </w:r>
      <w:r w:rsidR="00354434">
        <w:t>&amp;</w:t>
      </w:r>
      <w:r w:rsidR="004C3857" w:rsidRPr="004C3857">
        <w:t xml:space="preserve"> Treatment Policy Strategy, Randomised Set)</w:t>
      </w:r>
    </w:p>
    <w:p w14:paraId="5575011E" w14:textId="63629146" w:rsidR="003C685C" w:rsidRDefault="009C0783" w:rsidP="00886710">
      <w:r w:rsidRPr="00555879">
        <w:rPr>
          <w:rFonts w:eastAsia="Calibri"/>
          <w:noProof/>
          <w:kern w:val="2"/>
          <w14:ligatures w14:val="standardContextual"/>
        </w:rPr>
        <w:drawing>
          <wp:inline distT="0" distB="0" distL="0" distR="0" wp14:anchorId="576C0817" wp14:editId="12CA5B2E">
            <wp:extent cx="5759450" cy="2884770"/>
            <wp:effectExtent l="0" t="0" r="0" b="0"/>
            <wp:docPr id="13136689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884770"/>
                    </a:xfrm>
                    <a:prstGeom prst="rect">
                      <a:avLst/>
                    </a:prstGeom>
                    <a:noFill/>
                  </pic:spPr>
                </pic:pic>
              </a:graphicData>
            </a:graphic>
          </wp:inline>
        </w:drawing>
      </w:r>
    </w:p>
    <w:p w14:paraId="725A4C0E" w14:textId="77777777" w:rsidR="00F30B9B" w:rsidRDefault="000D6668" w:rsidP="000D6668">
      <w:pPr>
        <w:pStyle w:val="TableDescription"/>
        <w:rPr>
          <w:lang w:val="en-GB"/>
        </w:rPr>
      </w:pPr>
      <w:r w:rsidRPr="00555879">
        <w:rPr>
          <w:lang w:val="en-GB"/>
        </w:rPr>
        <w:t>≈=equivalent dose; COVID-19=coronavirus disease 2019; CI=confidence interval; ICE=intercurrent event; IMP=investigational medicinal product; LS=Least Square; MAR=missing at random; Max=maximum; MG</w:t>
      </w:r>
      <w:r w:rsidR="00DC3C8B">
        <w:rPr>
          <w:lang w:val="en-GB"/>
        </w:rPr>
        <w:t>−</w:t>
      </w:r>
      <w:r w:rsidRPr="00555879">
        <w:rPr>
          <w:lang w:val="en-GB"/>
        </w:rPr>
        <w:t>ADL=Myasthenia Gravis Activities of Daily Living; Min=minimum; MMRM=mixed model repeated measure; n=number of study participants with data at Day 43; N=total number of study participants in treatment group; RLZ=rozanolixizumab; SE=standard error; TEAE=treatment-emergent adverse event</w:t>
      </w:r>
      <w:r w:rsidR="00F30B9B">
        <w:rPr>
          <w:lang w:val="en-GB"/>
        </w:rPr>
        <w:t>.</w:t>
      </w:r>
    </w:p>
    <w:p w14:paraId="3CDF703F" w14:textId="77777777" w:rsidR="00F30B9B" w:rsidRDefault="000D6668" w:rsidP="000D6668">
      <w:pPr>
        <w:pStyle w:val="TableDescription"/>
        <w:rPr>
          <w:lang w:val="en-GB"/>
        </w:rPr>
      </w:pPr>
      <w:r w:rsidRPr="00555879">
        <w:rPr>
          <w:lang w:val="en-GB"/>
        </w:rPr>
        <w:t>Note: Combined data are shown (</w:t>
      </w:r>
      <w:r w:rsidR="00F30B9B">
        <w:rPr>
          <w:lang w:val="en-GB"/>
        </w:rPr>
        <w:t xml:space="preserve">that is, </w:t>
      </w:r>
      <w:r w:rsidRPr="00555879">
        <w:rPr>
          <w:lang w:val="en-GB"/>
        </w:rPr>
        <w:t>from all study participants, including Stage 1 and Stage 2).</w:t>
      </w:r>
    </w:p>
    <w:p w14:paraId="0CCBA743" w14:textId="77777777" w:rsidR="00CA2DCB" w:rsidRDefault="000D6668" w:rsidP="000D6668">
      <w:pPr>
        <w:pStyle w:val="TableDescription"/>
        <w:rPr>
          <w:lang w:val="en-GB"/>
        </w:rPr>
      </w:pPr>
      <w:r w:rsidRPr="00555879">
        <w:rPr>
          <w:lang w:val="en-GB"/>
        </w:rPr>
        <w:t>Note: The total MG-ADL score ranges from 0 to 24 with a higher score indicating more severe disability.</w:t>
      </w:r>
    </w:p>
    <w:p w14:paraId="1A34A3B8" w14:textId="36801439" w:rsidR="000D6668" w:rsidRPr="00555879" w:rsidRDefault="000D6668" w:rsidP="000D6668">
      <w:pPr>
        <w:pStyle w:val="TableDescription"/>
        <w:rPr>
          <w:lang w:val="en-GB"/>
        </w:rPr>
      </w:pPr>
      <w:r w:rsidRPr="00555879">
        <w:rPr>
          <w:lang w:val="en-GB"/>
        </w:rPr>
        <w:lastRenderedPageBreak/>
        <w:t>Note: The analysis is based on the Hypothetical &amp; Treatment Policy Strategy, where study participants who experience ICEs regarding use of rescue therapy were treated as missing at and after the point of the ICE for the purpose of analysis. Data from study participants who discontinued treatment or the study due to TEAEs or COVID-19 infection or non-COVID-19 infection-related issues before Day 43 were used regardless of whether ICEs occurred. Any missing MG-ADL scores (including missing data after the ICEs) were handled based on maximum likelihood estimation under MAR assumption.</w:t>
      </w:r>
    </w:p>
    <w:p w14:paraId="7079779F" w14:textId="0BF78ADC" w:rsidR="000D6668" w:rsidRPr="00555879" w:rsidRDefault="000D6668" w:rsidP="000D6668">
      <w:pPr>
        <w:pStyle w:val="TableDescription"/>
        <w:rPr>
          <w:lang w:val="en-GB"/>
        </w:rPr>
      </w:pPr>
      <w:r w:rsidRPr="00555879">
        <w:rPr>
          <w:lang w:val="en-GB"/>
        </w:rPr>
        <w:t xml:space="preserve">Note: Baseline is defined as the last available value before or on the same date (and same time if time is collected for </w:t>
      </w:r>
      <w:r w:rsidRPr="008F2531">
        <w:rPr>
          <w:lang w:val="en-GB"/>
        </w:rPr>
        <w:t>the individual assessment) of the first infusion of IMP in the Treatment Period, or if missing, the Screening value.</w:t>
      </w:r>
    </w:p>
    <w:p w14:paraId="7EEF0E49" w14:textId="77F164A7" w:rsidR="000D6668" w:rsidRPr="00555879" w:rsidRDefault="000D6668" w:rsidP="000D6668">
      <w:pPr>
        <w:pStyle w:val="TableDescription"/>
        <w:rPr>
          <w:lang w:val="en-GB"/>
        </w:rPr>
      </w:pPr>
      <w:proofErr w:type="spellStart"/>
      <w:r w:rsidRPr="00555879">
        <w:rPr>
          <w:lang w:val="en-GB"/>
        </w:rPr>
        <w:t>a</w:t>
      </w:r>
      <w:proofErr w:type="spellEnd"/>
      <w:r w:rsidRPr="00555879">
        <w:rPr>
          <w:lang w:val="en-GB"/>
        </w:rPr>
        <w:t xml:space="preserve"> </w:t>
      </w:r>
      <w:proofErr w:type="gramStart"/>
      <w:r w:rsidRPr="00555879">
        <w:rPr>
          <w:lang w:val="en-GB"/>
        </w:rPr>
        <w:t>The</w:t>
      </w:r>
      <w:proofErr w:type="gramEnd"/>
      <w:r w:rsidRPr="00555879">
        <w:rPr>
          <w:lang w:val="en-GB"/>
        </w:rPr>
        <w:t xml:space="preserve"> differences presented is RLZ (≈7</w:t>
      </w:r>
      <w:r w:rsidR="00F207C7">
        <w:rPr>
          <w:lang w:val="en-GB"/>
        </w:rPr>
        <w:t> </w:t>
      </w:r>
      <w:r w:rsidRPr="00555879">
        <w:rPr>
          <w:lang w:val="en-GB"/>
        </w:rPr>
        <w:t>mg/kg or ≈10</w:t>
      </w:r>
      <w:r w:rsidR="00F207C7">
        <w:rPr>
          <w:lang w:val="en-GB"/>
        </w:rPr>
        <w:t> </w:t>
      </w:r>
      <w:r w:rsidRPr="00555879">
        <w:rPr>
          <w:lang w:val="en-GB"/>
        </w:rPr>
        <w:t>mg/kg) minus placebo.</w:t>
      </w:r>
    </w:p>
    <w:p w14:paraId="34040CB8" w14:textId="77777777" w:rsidR="000D6668" w:rsidRDefault="000D6668" w:rsidP="000D6668">
      <w:pPr>
        <w:pStyle w:val="TableDescription"/>
        <w:rPr>
          <w:lang w:val="en-GB"/>
        </w:rPr>
      </w:pPr>
      <w:r w:rsidRPr="00D456B0">
        <w:rPr>
          <w:lang w:val="en-GB"/>
        </w:rPr>
        <w:t xml:space="preserve">b All outputs are from the combined MMRM, except CIs and p-values, which are based on stagewise inverse normal combination using the </w:t>
      </w:r>
      <w:proofErr w:type="spellStart"/>
      <w:r w:rsidRPr="00D456B0">
        <w:rPr>
          <w:lang w:val="en-GB"/>
        </w:rPr>
        <w:t>Lehmacher</w:t>
      </w:r>
      <w:proofErr w:type="spellEnd"/>
      <w:r w:rsidRPr="00D456B0">
        <w:rPr>
          <w:lang w:val="en-GB"/>
        </w:rPr>
        <w:t xml:space="preserve"> and Wassmer method.</w:t>
      </w:r>
    </w:p>
    <w:p w14:paraId="1FED09FB" w14:textId="6824D977" w:rsidR="00CE3C23" w:rsidRPr="00C60494" w:rsidRDefault="00CE3C23" w:rsidP="00CE3C23">
      <w:pPr>
        <w:pStyle w:val="FigureTitle"/>
        <w:rPr>
          <w:rFonts w:eastAsia="Calibri"/>
          <w:kern w:val="2"/>
          <w14:ligatures w14:val="standardContextual"/>
        </w:rPr>
      </w:pPr>
      <w:r>
        <w:t xml:space="preserve">Figure </w:t>
      </w:r>
      <w:r>
        <w:fldChar w:fldCharType="begin"/>
      </w:r>
      <w:r>
        <w:instrText xml:space="preserve"> SEQ Figure \* ARABIC </w:instrText>
      </w:r>
      <w:r>
        <w:fldChar w:fldCharType="separate"/>
      </w:r>
      <w:r w:rsidR="00CA7747">
        <w:rPr>
          <w:noProof/>
        </w:rPr>
        <w:t>3</w:t>
      </w:r>
      <w:r>
        <w:fldChar w:fldCharType="end"/>
      </w:r>
      <w:r>
        <w:t>: Study MG0003</w:t>
      </w:r>
      <w:r w:rsidR="00357E29">
        <w:t xml:space="preserve"> </w:t>
      </w:r>
      <w:r w:rsidR="00357E29" w:rsidRPr="00357E29">
        <w:t>Boxplot of MG-ADL change from Baseline to Day 43 (</w:t>
      </w:r>
      <w:r w:rsidR="00995C47">
        <w:t>randomised set</w:t>
      </w:r>
      <w:r w:rsidR="00357E29" w:rsidRPr="00357E29">
        <w:t>)</w:t>
      </w:r>
    </w:p>
    <w:p w14:paraId="04969C57" w14:textId="77777777" w:rsidR="00CE3C23" w:rsidRPr="00555879" w:rsidRDefault="00CE3C23" w:rsidP="00CE3C23">
      <w:pPr>
        <w:rPr>
          <w:rFonts w:eastAsia="Calibri"/>
          <w:color w:val="FF0000"/>
          <w:kern w:val="2"/>
          <w14:ligatures w14:val="standardContextual"/>
        </w:rPr>
      </w:pPr>
      <w:r>
        <w:rPr>
          <w:rFonts w:eastAsia="Calibri"/>
          <w:noProof/>
          <w:color w:val="FF0000"/>
          <w:kern w:val="2"/>
          <w14:ligatures w14:val="standardContextual"/>
        </w:rPr>
        <w:drawing>
          <wp:inline distT="0" distB="0" distL="0" distR="0" wp14:anchorId="20F85D2B" wp14:editId="75899D19">
            <wp:extent cx="5172075" cy="3314700"/>
            <wp:effectExtent l="0" t="0" r="9525" b="0"/>
            <wp:docPr id="1840807448" name="Picture 6"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07448" name="Picture 6" descr="A diagram of a graph&#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2075" cy="3314700"/>
                    </a:xfrm>
                    <a:prstGeom prst="rect">
                      <a:avLst/>
                    </a:prstGeom>
                    <a:noFill/>
                  </pic:spPr>
                </pic:pic>
              </a:graphicData>
            </a:graphic>
          </wp:inline>
        </w:drawing>
      </w:r>
    </w:p>
    <w:p w14:paraId="310DAABB" w14:textId="2ECE1247" w:rsidR="00BA48F7" w:rsidRDefault="00BA48F7" w:rsidP="00BA48F7">
      <w:pPr>
        <w:pStyle w:val="TableTitle"/>
      </w:pPr>
      <w:bookmarkStart w:id="63" w:name="_Ref198716461"/>
      <w:r>
        <w:lastRenderedPageBreak/>
        <w:t xml:space="preserve">Table </w:t>
      </w:r>
      <w:r>
        <w:fldChar w:fldCharType="begin"/>
      </w:r>
      <w:r>
        <w:instrText xml:space="preserve"> SEQ Table \* ARABIC </w:instrText>
      </w:r>
      <w:r>
        <w:fldChar w:fldCharType="separate"/>
      </w:r>
      <w:r w:rsidR="00CA7747">
        <w:rPr>
          <w:noProof/>
        </w:rPr>
        <w:t>5</w:t>
      </w:r>
      <w:r>
        <w:fldChar w:fldCharType="end"/>
      </w:r>
      <w:bookmarkEnd w:id="63"/>
      <w:r>
        <w:t xml:space="preserve">: </w:t>
      </w:r>
      <w:r w:rsidR="00070715">
        <w:t xml:space="preserve">Study </w:t>
      </w:r>
      <w:r>
        <w:t xml:space="preserve">MG0003 </w:t>
      </w:r>
      <w:r w:rsidRPr="00555879">
        <w:t>Change from Baseline to Day 43 in the primary and the secondary efficacy endpoints</w:t>
      </w:r>
      <w:r>
        <w:t xml:space="preserve"> </w:t>
      </w:r>
      <w:r w:rsidRPr="00555879">
        <w:t xml:space="preserve">included in the sequential hierarchical procedure (Hypothetical </w:t>
      </w:r>
      <w:r>
        <w:t>&amp;</w:t>
      </w:r>
      <w:r w:rsidRPr="00555879">
        <w:t xml:space="preserve"> Treatment Policy Strategy, </w:t>
      </w:r>
      <w:r w:rsidR="00BA33C7">
        <w:t>randomised set</w:t>
      </w:r>
      <w:r w:rsidRPr="00555879">
        <w:t>)</w:t>
      </w:r>
    </w:p>
    <w:p w14:paraId="26B969BB" w14:textId="26F57170" w:rsidR="00C823EB" w:rsidRPr="00555879" w:rsidRDefault="00C823EB" w:rsidP="00C823EB">
      <w:pPr>
        <w:spacing w:after="160"/>
        <w:jc w:val="both"/>
        <w:rPr>
          <w:rFonts w:eastAsia="Calibri"/>
          <w:kern w:val="2"/>
          <w14:ligatures w14:val="standardContextual"/>
        </w:rPr>
      </w:pPr>
      <w:r w:rsidRPr="00555879">
        <w:rPr>
          <w:rFonts w:ascii="Calibri" w:eastAsia="Calibri" w:hAnsi="Calibri"/>
          <w:noProof/>
          <w:kern w:val="2"/>
          <w14:ligatures w14:val="standardContextual"/>
        </w:rPr>
        <w:drawing>
          <wp:inline distT="0" distB="0" distL="0" distR="0" wp14:anchorId="3219E5C1" wp14:editId="45114EC7">
            <wp:extent cx="6101123" cy="4488540"/>
            <wp:effectExtent l="0" t="0" r="0" b="7620"/>
            <wp:docPr id="74324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45268" name=""/>
                    <pic:cNvPicPr/>
                  </pic:nvPicPr>
                  <pic:blipFill>
                    <a:blip r:embed="rId31"/>
                    <a:stretch>
                      <a:fillRect/>
                    </a:stretch>
                  </pic:blipFill>
                  <pic:spPr>
                    <a:xfrm>
                      <a:off x="0" y="0"/>
                      <a:ext cx="6153160" cy="4526823"/>
                    </a:xfrm>
                    <a:prstGeom prst="rect">
                      <a:avLst/>
                    </a:prstGeom>
                  </pic:spPr>
                </pic:pic>
              </a:graphicData>
            </a:graphic>
          </wp:inline>
        </w:drawing>
      </w:r>
    </w:p>
    <w:p w14:paraId="6F13317D" w14:textId="4BB8C0B9" w:rsidR="004D07D3" w:rsidRPr="00555879" w:rsidRDefault="004D07D3" w:rsidP="004D07D3">
      <w:pPr>
        <w:rPr>
          <w:lang w:val="en-US"/>
        </w:rPr>
      </w:pPr>
      <w:r w:rsidRPr="00555879">
        <w:rPr>
          <w:lang w:val="en-US"/>
        </w:rPr>
        <w:t>Median time to first MG-ADL response was estimated to be 16</w:t>
      </w:r>
      <w:r w:rsidR="00671D08">
        <w:rPr>
          <w:lang w:val="en-US"/>
        </w:rPr>
        <w:t> </w:t>
      </w:r>
      <w:r w:rsidRPr="00555879">
        <w:rPr>
          <w:lang w:val="en-US"/>
        </w:rPr>
        <w:t>days and 22</w:t>
      </w:r>
      <w:r w:rsidR="00671D08">
        <w:rPr>
          <w:lang w:val="en-US"/>
        </w:rPr>
        <w:t> </w:t>
      </w:r>
      <w:r w:rsidRPr="00555879">
        <w:rPr>
          <w:lang w:val="en-US"/>
        </w:rPr>
        <w:t>days for the ≈7</w:t>
      </w:r>
      <w:r w:rsidR="00671D08">
        <w:rPr>
          <w:lang w:val="en-US"/>
        </w:rPr>
        <w:t> </w:t>
      </w:r>
      <w:r w:rsidRPr="00555879">
        <w:rPr>
          <w:lang w:val="en-US"/>
        </w:rPr>
        <w:t>mg/kg and ≈10</w:t>
      </w:r>
      <w:r w:rsidR="00671D08">
        <w:rPr>
          <w:lang w:val="en-US"/>
        </w:rPr>
        <w:t> </w:t>
      </w:r>
      <w:r w:rsidRPr="00555879">
        <w:rPr>
          <w:lang w:val="en-US"/>
        </w:rPr>
        <w:t xml:space="preserve">mg/kg </w:t>
      </w:r>
      <w:r w:rsidR="000775A0">
        <w:rPr>
          <w:lang w:val="en-US"/>
        </w:rPr>
        <w:t>rozanolixizumab</w:t>
      </w:r>
      <w:r w:rsidRPr="00555879">
        <w:rPr>
          <w:lang w:val="en-US"/>
        </w:rPr>
        <w:t xml:space="preserve"> treatment groups, respectively (indicating that the probability of a response is 50% at those timepoints). However, a time</w:t>
      </w:r>
      <w:r w:rsidR="000721D2">
        <w:rPr>
          <w:lang w:val="en-US"/>
        </w:rPr>
        <w:t>-</w:t>
      </w:r>
      <w:r w:rsidRPr="00555879">
        <w:rPr>
          <w:lang w:val="en-US"/>
        </w:rPr>
        <w:t>to</w:t>
      </w:r>
      <w:r w:rsidR="000721D2">
        <w:rPr>
          <w:lang w:val="en-US"/>
        </w:rPr>
        <w:t>-</w:t>
      </w:r>
      <w:r w:rsidRPr="00555879">
        <w:rPr>
          <w:lang w:val="en-US"/>
        </w:rPr>
        <w:t>event analysis for such a short period is of limited value</w:t>
      </w:r>
      <w:r>
        <w:rPr>
          <w:lang w:val="en-US"/>
        </w:rPr>
        <w:t>.</w:t>
      </w:r>
    </w:p>
    <w:p w14:paraId="1102BB1E" w14:textId="089BCFAB" w:rsidR="0048048E" w:rsidRPr="00555879" w:rsidRDefault="0048048E" w:rsidP="0048048E">
      <w:pPr>
        <w:pStyle w:val="FigureTitle"/>
        <w:rPr>
          <w:color w:val="FF0000"/>
          <w:lang w:val="en-US"/>
        </w:rPr>
      </w:pPr>
      <w:r>
        <w:lastRenderedPageBreak/>
        <w:t xml:space="preserve">Figure </w:t>
      </w:r>
      <w:r>
        <w:fldChar w:fldCharType="begin"/>
      </w:r>
      <w:r>
        <w:instrText xml:space="preserve"> SEQ Figure \* ARABIC </w:instrText>
      </w:r>
      <w:r>
        <w:fldChar w:fldCharType="separate"/>
      </w:r>
      <w:r w:rsidR="00CA7747">
        <w:rPr>
          <w:noProof/>
        </w:rPr>
        <w:t>4</w:t>
      </w:r>
      <w:r>
        <w:fldChar w:fldCharType="end"/>
      </w:r>
      <w:r>
        <w:t>: Study MG0003 median time to first MG-ADL response</w:t>
      </w:r>
    </w:p>
    <w:p w14:paraId="17956FDC" w14:textId="77777777" w:rsidR="004D07D3" w:rsidRPr="00555879" w:rsidRDefault="004D07D3" w:rsidP="004D07D3">
      <w:pPr>
        <w:rPr>
          <w:rFonts w:eastAsia="Calibri"/>
          <w:color w:val="FF0000"/>
          <w:kern w:val="2"/>
          <w14:ligatures w14:val="standardContextual"/>
        </w:rPr>
      </w:pPr>
      <w:r w:rsidRPr="00555879">
        <w:rPr>
          <w:rFonts w:eastAsia="Calibri"/>
          <w:noProof/>
          <w:color w:val="FF0000"/>
          <w:kern w:val="2"/>
          <w14:ligatures w14:val="standardContextual"/>
        </w:rPr>
        <w:drawing>
          <wp:inline distT="0" distB="0" distL="0" distR="0" wp14:anchorId="5AF108D0" wp14:editId="65F2E2F2">
            <wp:extent cx="5795750" cy="4572000"/>
            <wp:effectExtent l="0" t="0" r="0" b="0"/>
            <wp:docPr id="844328902" name="Picture 8" descr="A graph of a patient's dise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28902" name="Picture 8" descr="A graph of a patient's disease&#10;&#10;Description automatically generated"/>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32000"/>
                              </a14:imgEffect>
                            </a14:imgLayer>
                          </a14:imgProps>
                        </a:ext>
                        <a:ext uri="{28A0092B-C50C-407E-A947-70E740481C1C}">
                          <a14:useLocalDpi xmlns:a14="http://schemas.microsoft.com/office/drawing/2010/main" val="0"/>
                        </a:ext>
                      </a:extLst>
                    </a:blip>
                    <a:srcRect t="5616"/>
                    <a:stretch/>
                  </pic:blipFill>
                  <pic:spPr bwMode="auto">
                    <a:xfrm>
                      <a:off x="0" y="0"/>
                      <a:ext cx="5877012" cy="4636104"/>
                    </a:xfrm>
                    <a:prstGeom prst="rect">
                      <a:avLst/>
                    </a:prstGeom>
                    <a:noFill/>
                    <a:ln>
                      <a:noFill/>
                    </a:ln>
                    <a:extLst>
                      <a:ext uri="{53640926-AAD7-44D8-BBD7-CCE9431645EC}">
                        <a14:shadowObscured xmlns:a14="http://schemas.microsoft.com/office/drawing/2010/main"/>
                      </a:ext>
                    </a:extLst>
                  </pic:spPr>
                </pic:pic>
              </a:graphicData>
            </a:graphic>
          </wp:inline>
        </w:drawing>
      </w:r>
    </w:p>
    <w:p w14:paraId="4359D996" w14:textId="5E39CD58" w:rsidR="000E5FBD" w:rsidRPr="00555879" w:rsidRDefault="000E5FBD" w:rsidP="00571A52">
      <w:pPr>
        <w:pStyle w:val="Heading6"/>
        <w:rPr>
          <w:rFonts w:eastAsia="Calibri"/>
        </w:rPr>
      </w:pPr>
      <w:r w:rsidRPr="00555879">
        <w:rPr>
          <w:rFonts w:eastAsia="Calibri"/>
        </w:rPr>
        <w:t xml:space="preserve">Key </w:t>
      </w:r>
      <w:r w:rsidR="00DC03C7" w:rsidRPr="00555879">
        <w:rPr>
          <w:rFonts w:eastAsia="Calibri"/>
        </w:rPr>
        <w:t>secondary efficacy endpoints</w:t>
      </w:r>
    </w:p>
    <w:p w14:paraId="68FD2090" w14:textId="4EDEAE0F" w:rsidR="000E5FBD" w:rsidRPr="00555879" w:rsidRDefault="000E5FBD" w:rsidP="000E5FBD">
      <w:r w:rsidRPr="000D53A5">
        <w:t xml:space="preserve">Change from </w:t>
      </w:r>
      <w:r w:rsidR="00EA033C" w:rsidRPr="000D53A5">
        <w:t>B</w:t>
      </w:r>
      <w:r w:rsidRPr="000D53A5">
        <w:t xml:space="preserve">aseline to </w:t>
      </w:r>
      <w:r w:rsidR="00EA033C" w:rsidRPr="000D53A5">
        <w:t>D</w:t>
      </w:r>
      <w:r w:rsidRPr="000D53A5">
        <w:t xml:space="preserve">ay 43 in MG-C Score and </w:t>
      </w:r>
      <w:bookmarkStart w:id="64" w:name="_Hlk180078589"/>
      <w:r w:rsidRPr="000D53A5">
        <w:t xml:space="preserve">change from </w:t>
      </w:r>
      <w:r w:rsidR="00544773" w:rsidRPr="000D53A5">
        <w:t>B</w:t>
      </w:r>
      <w:r w:rsidRPr="000D53A5">
        <w:t xml:space="preserve">aseline to </w:t>
      </w:r>
      <w:r w:rsidR="00544773" w:rsidRPr="000D53A5">
        <w:t>D</w:t>
      </w:r>
      <w:r w:rsidRPr="000D53A5">
        <w:t>ay 43 in QMG score</w:t>
      </w:r>
      <w:bookmarkEnd w:id="64"/>
      <w:r w:rsidRPr="000D53A5">
        <w:t xml:space="preserve"> were </w:t>
      </w:r>
      <w:r w:rsidR="00E41E52" w:rsidRPr="000D53A5">
        <w:t>2</w:t>
      </w:r>
      <w:r w:rsidRPr="000D53A5">
        <w:t xml:space="preserve"> key secondary endpoints. </w:t>
      </w:r>
      <w:r w:rsidR="00544773" w:rsidRPr="000D53A5">
        <w:t>The r</w:t>
      </w:r>
      <w:r w:rsidRPr="000D53A5">
        <w:t xml:space="preserve">est of the secondary end points results are shown in </w:t>
      </w:r>
      <w:r w:rsidR="000B3340" w:rsidRPr="000D53A5">
        <w:fldChar w:fldCharType="begin"/>
      </w:r>
      <w:r w:rsidR="000B3340" w:rsidRPr="000D53A5">
        <w:instrText xml:space="preserve"> REF _Ref198716461 \h </w:instrText>
      </w:r>
      <w:r w:rsidR="007702A1" w:rsidRPr="000D53A5">
        <w:instrText xml:space="preserve"> \* MERGEFORMAT </w:instrText>
      </w:r>
      <w:r w:rsidR="000B3340" w:rsidRPr="000D53A5">
        <w:fldChar w:fldCharType="separate"/>
      </w:r>
      <w:r w:rsidR="00CA7747">
        <w:t xml:space="preserve">Table </w:t>
      </w:r>
      <w:r w:rsidR="00CA7747">
        <w:rPr>
          <w:noProof/>
        </w:rPr>
        <w:t>5</w:t>
      </w:r>
      <w:r w:rsidR="000B3340" w:rsidRPr="000D53A5">
        <w:fldChar w:fldCharType="end"/>
      </w:r>
      <w:r w:rsidRPr="000D53A5">
        <w:t>.</w:t>
      </w:r>
    </w:p>
    <w:p w14:paraId="51D722AE" w14:textId="37923F60" w:rsidR="000E5FBD" w:rsidRPr="00555879" w:rsidRDefault="000E5FBD" w:rsidP="00571A52">
      <w:pPr>
        <w:pStyle w:val="Heading7"/>
        <w:rPr>
          <w:rFonts w:eastAsia="Calibri"/>
          <w:lang w:val="en-GB"/>
        </w:rPr>
      </w:pPr>
      <w:r w:rsidRPr="00555879">
        <w:rPr>
          <w:rFonts w:eastAsia="Calibri"/>
          <w:lang w:val="en-GB"/>
        </w:rPr>
        <w:t>Change from Baseline to Day 43 (Visit 10) in the MG-Composite (MG-C) score.</w:t>
      </w:r>
    </w:p>
    <w:p w14:paraId="350B3BB2" w14:textId="075B823B" w:rsidR="000B3340" w:rsidRDefault="000E5FBD" w:rsidP="000E5FBD">
      <w:r w:rsidRPr="009778CB">
        <w:t xml:space="preserve">The difference in </w:t>
      </w:r>
      <w:r w:rsidR="009778CB" w:rsidRPr="009778CB">
        <w:t>least square (</w:t>
      </w:r>
      <w:r w:rsidRPr="009778CB">
        <w:t>LS</w:t>
      </w:r>
      <w:r w:rsidR="009778CB" w:rsidRPr="009778CB">
        <w:t>)</w:t>
      </w:r>
      <w:r w:rsidRPr="009778CB">
        <w:t xml:space="preserve"> mean change from baseline in MG-C score between</w:t>
      </w:r>
      <w:r w:rsidRPr="00555879">
        <w:t xml:space="preserve"> rozanolixizumab of ≈7</w:t>
      </w:r>
      <w:r w:rsidR="000B3340">
        <w:t> </w:t>
      </w:r>
      <w:r w:rsidRPr="00555879">
        <w:t xml:space="preserve">mg/kg dose level group and placebo group were </w:t>
      </w:r>
      <w:r w:rsidR="007622F3">
        <w:t>−</w:t>
      </w:r>
      <w:r w:rsidRPr="00555879">
        <w:t xml:space="preserve">3.90 (95% CI: </w:t>
      </w:r>
      <w:r w:rsidR="007622F3">
        <w:t>−</w:t>
      </w:r>
      <w:r w:rsidRPr="00555879">
        <w:t xml:space="preserve">6.63, </w:t>
      </w:r>
      <w:r w:rsidR="007622F3">
        <w:t>−</w:t>
      </w:r>
      <w:r w:rsidRPr="00555879">
        <w:t>1.25; p&lt;0.001)</w:t>
      </w:r>
      <w:r w:rsidRPr="00555879">
        <w:rPr>
          <w:rFonts w:ascii="Times New Roman" w:hAnsi="Times New Roman"/>
        </w:rPr>
        <w:t xml:space="preserve"> </w:t>
      </w:r>
      <w:r w:rsidRPr="00555879">
        <w:t xml:space="preserve">and </w:t>
      </w:r>
      <w:r w:rsidR="00502E92">
        <w:t>−</w:t>
      </w:r>
      <w:r w:rsidRPr="00555879">
        <w:t xml:space="preserve">5.53 (95% CI: </w:t>
      </w:r>
      <w:r w:rsidR="00502E92">
        <w:t>−</w:t>
      </w:r>
      <w:r w:rsidRPr="00555879">
        <w:t xml:space="preserve">8.30, </w:t>
      </w:r>
      <w:r w:rsidR="00502E92">
        <w:t>−</w:t>
      </w:r>
      <w:r w:rsidRPr="00555879">
        <w:t>2.97; p&lt;0.001) in 10</w:t>
      </w:r>
      <w:r w:rsidR="00502E92">
        <w:t> </w:t>
      </w:r>
      <w:r w:rsidRPr="00555879">
        <w:t>mg/kg dose group</w:t>
      </w:r>
      <w:r>
        <w:t xml:space="preserve"> (</w:t>
      </w:r>
      <w:r w:rsidR="000B3340">
        <w:fldChar w:fldCharType="begin"/>
      </w:r>
      <w:r w:rsidR="000B3340">
        <w:instrText xml:space="preserve"> REF _Ref198716461 \h </w:instrText>
      </w:r>
      <w:r w:rsidR="000B3340">
        <w:fldChar w:fldCharType="separate"/>
      </w:r>
      <w:r w:rsidR="00CA7747">
        <w:t xml:space="preserve">Table </w:t>
      </w:r>
      <w:r w:rsidR="00CA7747">
        <w:rPr>
          <w:noProof/>
        </w:rPr>
        <w:t>5</w:t>
      </w:r>
      <w:r w:rsidR="000B3340">
        <w:fldChar w:fldCharType="end"/>
      </w:r>
      <w:r w:rsidR="000B3340">
        <w:t>).</w:t>
      </w:r>
    </w:p>
    <w:p w14:paraId="3697CA8A" w14:textId="4B027012" w:rsidR="000E5FBD" w:rsidRPr="00555879" w:rsidRDefault="000E5FBD" w:rsidP="00571A52">
      <w:pPr>
        <w:pStyle w:val="Heading7"/>
        <w:rPr>
          <w:rFonts w:eastAsia="Calibri"/>
        </w:rPr>
      </w:pPr>
      <w:r w:rsidRPr="00555879">
        <w:rPr>
          <w:rFonts w:eastAsia="Calibri"/>
        </w:rPr>
        <w:t>Change from baseline to day 43 in QMG score</w:t>
      </w:r>
    </w:p>
    <w:p w14:paraId="7841D1EB" w14:textId="063A9074" w:rsidR="000E5FBD" w:rsidRPr="009F34DB" w:rsidRDefault="000E5FBD" w:rsidP="000E5FBD">
      <w:pPr>
        <w:rPr>
          <w:lang w:val="en-GB"/>
        </w:rPr>
      </w:pPr>
      <w:r w:rsidRPr="009F34DB">
        <w:t>The difference in LS mean change from baseline in QMG score between rozanolixizumab of ≈7</w:t>
      </w:r>
      <w:r w:rsidR="009F34DB" w:rsidRPr="009F34DB">
        <w:t> </w:t>
      </w:r>
      <w:r w:rsidRPr="009F34DB">
        <w:t>mg/kg dose level group and placebo group were</w:t>
      </w:r>
      <w:r w:rsidR="009F34DB" w:rsidRPr="009F34DB">
        <w:t xml:space="preserve"> −</w:t>
      </w:r>
      <w:r w:rsidRPr="009F34DB">
        <w:t>3.48 (95% CI:</w:t>
      </w:r>
      <w:r w:rsidR="009F34DB" w:rsidRPr="009F34DB">
        <w:t xml:space="preserve"> −</w:t>
      </w:r>
      <w:r w:rsidRPr="009F34DB">
        <w:t xml:space="preserve">5.61, </w:t>
      </w:r>
      <w:r w:rsidR="009F34DB" w:rsidRPr="009F34DB">
        <w:t>−</w:t>
      </w:r>
      <w:r w:rsidRPr="009F34DB">
        <w:t xml:space="preserve">1.58; p&lt;0.001) and </w:t>
      </w:r>
      <w:r w:rsidR="009F34DB" w:rsidRPr="009F34DB">
        <w:t>−</w:t>
      </w:r>
      <w:r w:rsidRPr="009F34DB">
        <w:t>4.76 (95% CI:</w:t>
      </w:r>
      <w:r w:rsidR="009F34DB" w:rsidRPr="009F34DB">
        <w:t xml:space="preserve"> −</w:t>
      </w:r>
      <w:r w:rsidRPr="009F34DB">
        <w:t>6.82,</w:t>
      </w:r>
      <w:r w:rsidR="009F34DB" w:rsidRPr="009F34DB">
        <w:t xml:space="preserve"> −</w:t>
      </w:r>
      <w:r w:rsidRPr="009F34DB">
        <w:t>2.86; p&lt;0.001) in the 10</w:t>
      </w:r>
      <w:r w:rsidR="009F34DB" w:rsidRPr="009F34DB">
        <w:t> </w:t>
      </w:r>
      <w:r w:rsidRPr="009F34DB">
        <w:t>mg/kg dose level group.</w:t>
      </w:r>
    </w:p>
    <w:p w14:paraId="0FCEA440" w14:textId="6E94CFA2" w:rsidR="000E5FBD" w:rsidRPr="008D0CE6" w:rsidRDefault="000E5FBD" w:rsidP="00571A52">
      <w:pPr>
        <w:pStyle w:val="Heading6"/>
        <w:rPr>
          <w:rFonts w:eastAsia="Calibri"/>
        </w:rPr>
      </w:pPr>
      <w:r w:rsidRPr="00555879">
        <w:rPr>
          <w:rFonts w:eastAsia="Calibri"/>
        </w:rPr>
        <w:lastRenderedPageBreak/>
        <w:t xml:space="preserve">Key other </w:t>
      </w:r>
      <w:r w:rsidR="00DC03C7" w:rsidRPr="00555879">
        <w:rPr>
          <w:rFonts w:eastAsia="Calibri"/>
        </w:rPr>
        <w:t>secondary efficacy endpoints</w:t>
      </w:r>
    </w:p>
    <w:p w14:paraId="057FDE6E" w14:textId="06A695C1" w:rsidR="000E5FBD" w:rsidRPr="00555879" w:rsidRDefault="000E5FBD" w:rsidP="00B246CB">
      <w:pPr>
        <w:pStyle w:val="Heading7"/>
        <w:rPr>
          <w:rFonts w:eastAsia="Calibri"/>
          <w:lang w:val="en-GB"/>
        </w:rPr>
      </w:pPr>
      <w:r w:rsidRPr="00555879">
        <w:rPr>
          <w:rFonts w:eastAsia="Calibri"/>
          <w:lang w:val="en-GB"/>
        </w:rPr>
        <w:t>MG-ADL responder (≥2.0</w:t>
      </w:r>
      <w:r w:rsidR="00CB2948">
        <w:rPr>
          <w:rFonts w:eastAsia="Calibri"/>
          <w:lang w:val="en-GB"/>
        </w:rPr>
        <w:t> </w:t>
      </w:r>
      <w:r w:rsidRPr="00555879">
        <w:rPr>
          <w:rFonts w:eastAsia="Calibri"/>
          <w:lang w:val="en-GB"/>
        </w:rPr>
        <w:t>points improvement from Baseline) at Day 43 (Visit</w:t>
      </w:r>
      <w:r w:rsidR="00CB2948">
        <w:rPr>
          <w:rFonts w:eastAsia="Calibri"/>
          <w:lang w:val="en-GB"/>
        </w:rPr>
        <w:t> </w:t>
      </w:r>
      <w:r w:rsidRPr="00555879">
        <w:rPr>
          <w:rFonts w:eastAsia="Calibri"/>
          <w:lang w:val="en-GB"/>
        </w:rPr>
        <w:t>10)</w:t>
      </w:r>
    </w:p>
    <w:p w14:paraId="05F03ACF" w14:textId="46B84CE4" w:rsidR="00CB2948" w:rsidRPr="00555879" w:rsidRDefault="00CB2948" w:rsidP="00CB2948">
      <w:pPr>
        <w:pStyle w:val="TableTitle"/>
        <w:rPr>
          <w:lang w:val="en-GB"/>
        </w:rPr>
      </w:pPr>
      <w:r>
        <w:t xml:space="preserve">Table </w:t>
      </w:r>
      <w:r>
        <w:fldChar w:fldCharType="begin"/>
      </w:r>
      <w:r>
        <w:instrText xml:space="preserve"> SEQ Table \* ARABIC </w:instrText>
      </w:r>
      <w:r>
        <w:fldChar w:fldCharType="separate"/>
      </w:r>
      <w:r w:rsidR="00CA7747">
        <w:rPr>
          <w:noProof/>
        </w:rPr>
        <w:t>6</w:t>
      </w:r>
      <w:r>
        <w:fldChar w:fldCharType="end"/>
      </w:r>
      <w:r>
        <w:rPr>
          <w:noProof/>
        </w:rPr>
        <w:t xml:space="preserve">: Study MG0003 </w:t>
      </w:r>
      <w:r w:rsidR="00ED178C" w:rsidRPr="00E86D7A">
        <w:rPr>
          <w:iCs/>
        </w:rPr>
        <w:t xml:space="preserve">Myasthenia Gravis Activities of Daily Living </w:t>
      </w:r>
      <w:r w:rsidRPr="00555879">
        <w:rPr>
          <w:lang w:val="en-GB"/>
        </w:rPr>
        <w:t>responder (≥2.0</w:t>
      </w:r>
      <w:r>
        <w:rPr>
          <w:lang w:val="en-GB"/>
        </w:rPr>
        <w:t> </w:t>
      </w:r>
      <w:r w:rsidRPr="00555879">
        <w:rPr>
          <w:lang w:val="en-GB"/>
        </w:rPr>
        <w:t>points improvement from Baseline) at Day 43 (Visit 10) (Composite Strategy, Randomi</w:t>
      </w:r>
      <w:r>
        <w:rPr>
          <w:lang w:val="en-GB"/>
        </w:rPr>
        <w:t>s</w:t>
      </w:r>
      <w:r w:rsidRPr="00555879">
        <w:rPr>
          <w:lang w:val="en-GB"/>
        </w:rPr>
        <w:t>ed Set)</w:t>
      </w:r>
    </w:p>
    <w:p w14:paraId="2456175A" w14:textId="77777777" w:rsidR="000E5FBD" w:rsidRDefault="000E5FBD" w:rsidP="000E5FBD">
      <w:r w:rsidRPr="00555879">
        <w:rPr>
          <w:noProof/>
        </w:rPr>
        <w:drawing>
          <wp:inline distT="0" distB="0" distL="0" distR="0" wp14:anchorId="3DEA24F9" wp14:editId="5A993035">
            <wp:extent cx="5476875" cy="1895332"/>
            <wp:effectExtent l="0" t="0" r="0" b="0"/>
            <wp:docPr id="974456867" name="Picture 9"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56867" name="Picture 9" descr="A table with numbers and symbol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5536" cy="1905251"/>
                    </a:xfrm>
                    <a:prstGeom prst="rect">
                      <a:avLst/>
                    </a:prstGeom>
                    <a:noFill/>
                  </pic:spPr>
                </pic:pic>
              </a:graphicData>
            </a:graphic>
          </wp:inline>
        </w:drawing>
      </w:r>
    </w:p>
    <w:p w14:paraId="15CAA46D" w14:textId="03167E47" w:rsidR="000E5FBD" w:rsidRPr="00F61A15" w:rsidRDefault="000E5FBD" w:rsidP="00571A52">
      <w:pPr>
        <w:pStyle w:val="Heading6"/>
        <w:rPr>
          <w:rFonts w:eastAsia="Verdana"/>
          <w:lang w:val="en-GB" w:eastAsia="en-GB"/>
        </w:rPr>
      </w:pPr>
      <w:r w:rsidRPr="00F61A15">
        <w:rPr>
          <w:rFonts w:eastAsia="Verdana"/>
          <w:lang w:val="en-GB" w:eastAsia="en-GB"/>
        </w:rPr>
        <w:t xml:space="preserve">Subgroup efficacy with </w:t>
      </w:r>
      <w:r w:rsidR="0026361F">
        <w:rPr>
          <w:rFonts w:eastAsia="Verdana"/>
          <w:lang w:val="en-GB" w:eastAsia="en-GB"/>
        </w:rPr>
        <w:t>b</w:t>
      </w:r>
      <w:r w:rsidRPr="00F61A15">
        <w:rPr>
          <w:rFonts w:eastAsia="Verdana"/>
          <w:lang w:val="en-GB" w:eastAsia="en-GB"/>
        </w:rPr>
        <w:t>aseline medications</w:t>
      </w:r>
    </w:p>
    <w:p w14:paraId="1A129D13" w14:textId="0AA5172E" w:rsidR="000E5FBD" w:rsidRPr="003B54D8" w:rsidRDefault="000E5FBD" w:rsidP="002B44AD">
      <w:pPr>
        <w:rPr>
          <w:lang w:val="en-GB" w:eastAsia="en-GB"/>
        </w:rPr>
      </w:pPr>
      <w:r w:rsidRPr="008864F3">
        <w:rPr>
          <w:i/>
          <w:iCs/>
          <w:lang w:val="en-GB" w:eastAsia="en-GB"/>
        </w:rPr>
        <w:t>Post hoc</w:t>
      </w:r>
      <w:r w:rsidRPr="008864F3">
        <w:rPr>
          <w:lang w:val="en-GB" w:eastAsia="en-GB"/>
        </w:rPr>
        <w:t xml:space="preserve"> analyses of efficacy outcome measures across participants with different types and</w:t>
      </w:r>
      <w:r w:rsidRPr="003B54D8">
        <w:rPr>
          <w:lang w:val="en-GB" w:eastAsia="en-GB"/>
        </w:rPr>
        <w:t xml:space="preserve"> numbers of </w:t>
      </w:r>
      <w:proofErr w:type="spellStart"/>
      <w:r w:rsidRPr="003B54D8">
        <w:rPr>
          <w:lang w:val="en-GB" w:eastAsia="en-GB"/>
        </w:rPr>
        <w:t>gMG</w:t>
      </w:r>
      <w:proofErr w:type="spellEnd"/>
      <w:r w:rsidRPr="003B54D8">
        <w:rPr>
          <w:lang w:val="en-GB" w:eastAsia="en-GB"/>
        </w:rPr>
        <w:t xml:space="preserve"> Baseline medications in MG0003</w:t>
      </w:r>
      <w:r w:rsidR="00743E4F">
        <w:rPr>
          <w:lang w:val="en-GB" w:eastAsia="en-GB"/>
        </w:rPr>
        <w:t>: t</w:t>
      </w:r>
      <w:r w:rsidRPr="003B54D8">
        <w:rPr>
          <w:lang w:val="en-GB" w:eastAsia="en-GB"/>
        </w:rPr>
        <w:t xml:space="preserve">he analyses </w:t>
      </w:r>
      <w:r>
        <w:rPr>
          <w:lang w:val="en-GB" w:eastAsia="en-GB"/>
        </w:rPr>
        <w:t xml:space="preserve">provided by the sponsor to </w:t>
      </w:r>
      <w:proofErr w:type="spellStart"/>
      <w:r w:rsidR="00665E69">
        <w:rPr>
          <w:lang w:val="en-GB" w:eastAsia="en-GB"/>
        </w:rPr>
        <w:t>Sw</w:t>
      </w:r>
      <w:r w:rsidR="009E31DA">
        <w:rPr>
          <w:lang w:val="en-GB" w:eastAsia="en-GB"/>
        </w:rPr>
        <w:t>issmedic</w:t>
      </w:r>
      <w:proofErr w:type="spellEnd"/>
      <w:r>
        <w:rPr>
          <w:lang w:val="en-GB" w:eastAsia="en-GB"/>
        </w:rPr>
        <w:t xml:space="preserve"> </w:t>
      </w:r>
      <w:r w:rsidRPr="003B54D8">
        <w:rPr>
          <w:lang w:val="en-GB" w:eastAsia="en-GB"/>
        </w:rPr>
        <w:t xml:space="preserve">indicated that there was no impact of the types (corticosteroids, nonsteroidal immunosuppressants, </w:t>
      </w:r>
      <w:proofErr w:type="spellStart"/>
      <w:r w:rsidRPr="003B54D8">
        <w:rPr>
          <w:lang w:val="en-GB" w:eastAsia="en-GB"/>
        </w:rPr>
        <w:t>parasympathomimetics</w:t>
      </w:r>
      <w:proofErr w:type="spellEnd"/>
      <w:r w:rsidRPr="003B54D8">
        <w:rPr>
          <w:lang w:val="en-GB" w:eastAsia="en-GB"/>
        </w:rPr>
        <w:t xml:space="preserve">, and combinations thereof) and number of </w:t>
      </w:r>
      <w:proofErr w:type="spellStart"/>
      <w:r w:rsidRPr="003B54D8">
        <w:rPr>
          <w:lang w:val="en-GB" w:eastAsia="en-GB"/>
        </w:rPr>
        <w:t>gMG</w:t>
      </w:r>
      <w:proofErr w:type="spellEnd"/>
      <w:r w:rsidRPr="003B54D8">
        <w:rPr>
          <w:lang w:val="en-GB" w:eastAsia="en-GB"/>
        </w:rPr>
        <w:t xml:space="preserve"> Baseline medication on efficacy outcome measures.</w:t>
      </w:r>
    </w:p>
    <w:p w14:paraId="5720B393" w14:textId="751DB410" w:rsidR="000E5FBD" w:rsidRPr="00057E12" w:rsidRDefault="000E5FBD" w:rsidP="00057E12">
      <w:pPr>
        <w:pStyle w:val="Heading5"/>
        <w:rPr>
          <w:rFonts w:eastAsia="Calibri"/>
        </w:rPr>
      </w:pPr>
      <w:r w:rsidRPr="00057E12">
        <w:rPr>
          <w:rFonts w:eastAsia="Calibri"/>
        </w:rPr>
        <w:t xml:space="preserve">Supportive </w:t>
      </w:r>
      <w:r w:rsidR="00B246CB">
        <w:rPr>
          <w:rFonts w:eastAsia="Calibri"/>
        </w:rPr>
        <w:t>S</w:t>
      </w:r>
      <w:r w:rsidRPr="00057E12">
        <w:rPr>
          <w:rFonts w:eastAsia="Calibri"/>
        </w:rPr>
        <w:t>tud</w:t>
      </w:r>
      <w:r w:rsidR="00057E12" w:rsidRPr="00057E12">
        <w:rPr>
          <w:rFonts w:eastAsia="Calibri"/>
        </w:rPr>
        <w:t xml:space="preserve">y </w:t>
      </w:r>
      <w:r w:rsidR="00057E12">
        <w:rPr>
          <w:rFonts w:eastAsia="Calibri"/>
        </w:rPr>
        <w:t>MG0007</w:t>
      </w:r>
    </w:p>
    <w:p w14:paraId="45C34312" w14:textId="1850603E" w:rsidR="001D4476" w:rsidRPr="00555879" w:rsidRDefault="001D4476" w:rsidP="001D4476">
      <w:pPr>
        <w:rPr>
          <w:lang w:val="en-GB"/>
        </w:rPr>
      </w:pPr>
      <w:r w:rsidRPr="00555879">
        <w:rPr>
          <w:lang w:val="en-GB"/>
        </w:rPr>
        <w:t>The ongoing study MG0007 enrolled 165 patients who rolled over from MG0003 (105) and MG0004 (60) studies (35 participants having received placebo in MG0003 rolled over directly to MG0007).</w:t>
      </w:r>
    </w:p>
    <w:p w14:paraId="6EF0E2B4" w14:textId="1C8E9D26" w:rsidR="001D4476" w:rsidRPr="00555879" w:rsidRDefault="001D4476" w:rsidP="001D4476">
      <w:pPr>
        <w:rPr>
          <w:lang w:val="en-GB"/>
        </w:rPr>
      </w:pPr>
      <w:r w:rsidRPr="00555879">
        <w:rPr>
          <w:lang w:val="en-GB"/>
        </w:rPr>
        <w:t>Each cycle consisted of 6</w:t>
      </w:r>
      <w:r>
        <w:rPr>
          <w:lang w:val="en-GB"/>
        </w:rPr>
        <w:t> </w:t>
      </w:r>
      <w:r w:rsidRPr="00555879">
        <w:rPr>
          <w:lang w:val="en-GB"/>
        </w:rPr>
        <w:t xml:space="preserve">weeks of treatment followed by an observation period. Initiation of additional treatment cycles were based on clinical evaluation of </w:t>
      </w:r>
      <w:proofErr w:type="spellStart"/>
      <w:r w:rsidRPr="00555879">
        <w:rPr>
          <w:lang w:val="en-GB"/>
        </w:rPr>
        <w:t>gMG</w:t>
      </w:r>
      <w:proofErr w:type="spellEnd"/>
      <w:r w:rsidRPr="00555879">
        <w:rPr>
          <w:lang w:val="en-GB"/>
        </w:rPr>
        <w:t xml:space="preserve"> symptoms. Four weeks were to be maintained between cycles unless IgG levels returned to ≥ 2 g/L within the 4</w:t>
      </w:r>
      <w:r w:rsidR="00D9623B">
        <w:rPr>
          <w:lang w:val="en-GB"/>
        </w:rPr>
        <w:t> </w:t>
      </w:r>
      <w:r w:rsidRPr="00555879">
        <w:rPr>
          <w:lang w:val="en-GB"/>
        </w:rPr>
        <w:t>weeks, then additional treatment cycles could be initiated earlier.</w:t>
      </w:r>
    </w:p>
    <w:p w14:paraId="2A35F313" w14:textId="036394DA" w:rsidR="001D4476" w:rsidRPr="00555879" w:rsidRDefault="001D4476" w:rsidP="001D4476">
      <w:pPr>
        <w:rPr>
          <w:lang w:val="en-GB"/>
        </w:rPr>
      </w:pPr>
      <w:r w:rsidRPr="00555879">
        <w:rPr>
          <w:lang w:val="en-GB"/>
        </w:rPr>
        <w:t>Respectively</w:t>
      </w:r>
      <w:r w:rsidR="00D9623B">
        <w:rPr>
          <w:lang w:val="en-GB"/>
        </w:rPr>
        <w:t>,</w:t>
      </w:r>
      <w:r w:rsidRPr="00555879">
        <w:rPr>
          <w:lang w:val="en-GB"/>
        </w:rPr>
        <w:t xml:space="preserve"> 88 (52 from MG0003 and 36 from MG0004) and 77 (53 from MG0003 and 24 from MG0004) study participants were assigned to the ≈7</w:t>
      </w:r>
      <w:r w:rsidR="009F62B7">
        <w:rPr>
          <w:lang w:val="en-GB"/>
        </w:rPr>
        <w:t> </w:t>
      </w:r>
      <w:r w:rsidRPr="00555879">
        <w:rPr>
          <w:lang w:val="en-GB"/>
        </w:rPr>
        <w:t>mg/kg and ≈10</w:t>
      </w:r>
      <w:r w:rsidR="009F62B7">
        <w:rPr>
          <w:lang w:val="en-GB"/>
        </w:rPr>
        <w:t> </w:t>
      </w:r>
      <w:r w:rsidRPr="00555879">
        <w:rPr>
          <w:lang w:val="en-GB"/>
        </w:rPr>
        <w:t xml:space="preserve">mg/kg rozanolixizumab treatment groups in </w:t>
      </w:r>
      <w:r w:rsidR="009F62B7">
        <w:rPr>
          <w:lang w:val="en-GB"/>
        </w:rPr>
        <w:t>C</w:t>
      </w:r>
      <w:r w:rsidRPr="00555879">
        <w:rPr>
          <w:lang w:val="en-GB"/>
        </w:rPr>
        <w:t>ycle 1. At the time of data-cut</w:t>
      </w:r>
      <w:r w:rsidR="0011659C">
        <w:rPr>
          <w:lang w:val="en-GB"/>
        </w:rPr>
        <w:t>-</w:t>
      </w:r>
      <w:r w:rsidRPr="00555879">
        <w:rPr>
          <w:lang w:val="en-GB"/>
        </w:rPr>
        <w:t xml:space="preserve">off for the interim </w:t>
      </w:r>
      <w:r w:rsidR="00BB1CF7">
        <w:rPr>
          <w:lang w:val="en-GB"/>
        </w:rPr>
        <w:t>clinical study report</w:t>
      </w:r>
      <w:r w:rsidRPr="00555879">
        <w:rPr>
          <w:lang w:val="en-GB"/>
        </w:rPr>
        <w:t xml:space="preserve"> (8</w:t>
      </w:r>
      <w:r w:rsidR="00BB1CF7">
        <w:rPr>
          <w:lang w:val="en-GB"/>
        </w:rPr>
        <w:t> </w:t>
      </w:r>
      <w:r w:rsidRPr="00555879">
        <w:rPr>
          <w:lang w:val="en-GB"/>
        </w:rPr>
        <w:t>Jul</w:t>
      </w:r>
      <w:r w:rsidR="009F62B7">
        <w:rPr>
          <w:lang w:val="en-GB"/>
        </w:rPr>
        <w:t>y</w:t>
      </w:r>
      <w:r w:rsidRPr="00555879">
        <w:rPr>
          <w:lang w:val="en-GB"/>
        </w:rPr>
        <w:t xml:space="preserve"> 2022), 157 study participants had received rozanolixizumab in their first MG0007 cycle (safety set); no participants had completed the study, most of them (n=123) were ongoing in the study and 34 had discontinued the study (21.7%). The most common reason for discontinuation was TEAEs (20 participants).</w:t>
      </w:r>
    </w:p>
    <w:p w14:paraId="72BAF817" w14:textId="77777777" w:rsidR="001D4476" w:rsidRDefault="001D4476" w:rsidP="001D4476">
      <w:pPr>
        <w:rPr>
          <w:lang w:val="en-GB"/>
        </w:rPr>
      </w:pPr>
      <w:r w:rsidRPr="00555879">
        <w:rPr>
          <w:lang w:val="en-GB"/>
        </w:rPr>
        <w:t>Overall, 142 (90.4%) study participants completed Cycle 1 up to Day 43, 113 (93.4%) Cycle 2 up to Day 43, 83 (86.5%) Cycle 3 up to Day 43, 65 (92.9%) Cycle 4 up to Day 43, and 41 (78.8%) Cycle 5 up to Day 43. The number of study participants completing subsequent cycles up to Day 43 was low.</w:t>
      </w:r>
    </w:p>
    <w:p w14:paraId="57E7C64E" w14:textId="6BA2306E" w:rsidR="002A1A61" w:rsidRDefault="004B535B" w:rsidP="002641B1">
      <w:pPr>
        <w:pStyle w:val="FigureTitle"/>
      </w:pPr>
      <w:r>
        <w:lastRenderedPageBreak/>
        <w:t xml:space="preserve">Figure </w:t>
      </w:r>
      <w:r>
        <w:fldChar w:fldCharType="begin"/>
      </w:r>
      <w:r>
        <w:instrText xml:space="preserve"> SEQ Figure \* ARABIC </w:instrText>
      </w:r>
      <w:r>
        <w:fldChar w:fldCharType="separate"/>
      </w:r>
      <w:r w:rsidR="00CA7747">
        <w:rPr>
          <w:noProof/>
        </w:rPr>
        <w:t>5</w:t>
      </w:r>
      <w:r>
        <w:fldChar w:fldCharType="end"/>
      </w:r>
      <w:r>
        <w:t>: Study MG0007 study participant disposition</w:t>
      </w:r>
    </w:p>
    <w:p w14:paraId="7676876D" w14:textId="0BEF669E" w:rsidR="002A1A61" w:rsidRDefault="00307699" w:rsidP="00886710">
      <w:r w:rsidRPr="00555879">
        <w:rPr>
          <w:rFonts w:eastAsia="Calibri"/>
          <w:noProof/>
          <w:kern w:val="2"/>
          <w:lang w:val="en-GB"/>
          <w14:ligatures w14:val="standardContextual"/>
        </w:rPr>
        <w:drawing>
          <wp:inline distT="0" distB="0" distL="0" distR="0" wp14:anchorId="7A4081C1" wp14:editId="17BEB876">
            <wp:extent cx="5717853" cy="5891917"/>
            <wp:effectExtent l="0" t="0" r="0" b="0"/>
            <wp:docPr id="561967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6350" cy="5910977"/>
                    </a:xfrm>
                    <a:prstGeom prst="rect">
                      <a:avLst/>
                    </a:prstGeom>
                    <a:noFill/>
                  </pic:spPr>
                </pic:pic>
              </a:graphicData>
            </a:graphic>
          </wp:inline>
        </w:drawing>
      </w:r>
    </w:p>
    <w:p w14:paraId="706F9B84" w14:textId="11E4558D" w:rsidR="00B607CF" w:rsidRPr="00555879" w:rsidRDefault="00B607CF" w:rsidP="00B607CF">
      <w:pPr>
        <w:rPr>
          <w:lang w:val="en-GB"/>
        </w:rPr>
      </w:pPr>
      <w:r w:rsidRPr="00555879">
        <w:rPr>
          <w:lang w:val="en-GB"/>
        </w:rPr>
        <w:t>The median age was 54.0</w:t>
      </w:r>
      <w:r>
        <w:rPr>
          <w:lang w:val="en-GB"/>
        </w:rPr>
        <w:t> </w:t>
      </w:r>
      <w:r w:rsidRPr="00555879">
        <w:rPr>
          <w:lang w:val="en-GB"/>
        </w:rPr>
        <w:t xml:space="preserve">years, and most patients were White (68.8%) and female (59.2%). The median time since diagnosis of </w:t>
      </w:r>
      <w:proofErr w:type="spellStart"/>
      <w:r w:rsidRPr="00555879">
        <w:rPr>
          <w:lang w:val="en-GB"/>
        </w:rPr>
        <w:t>gMG</w:t>
      </w:r>
      <w:proofErr w:type="spellEnd"/>
      <w:r w:rsidRPr="00555879">
        <w:rPr>
          <w:lang w:val="en-GB"/>
        </w:rPr>
        <w:t xml:space="preserve"> was 5.7</w:t>
      </w:r>
      <w:r w:rsidR="00CA7F96">
        <w:rPr>
          <w:lang w:val="en-GB"/>
        </w:rPr>
        <w:t> </w:t>
      </w:r>
      <w:r w:rsidRPr="00555879">
        <w:rPr>
          <w:lang w:val="en-GB"/>
        </w:rPr>
        <w:t xml:space="preserve">years, the median MG-ADL total score was 8.0, and the median QMG total score was 14.0. The number of study participants who needed additional therapies in the observation period of MG0003 and entered MG0007, n (%), were 14 (17.7%) </w:t>
      </w:r>
      <w:r w:rsidRPr="00CD754D">
        <w:rPr>
          <w:lang w:val="en-GB"/>
        </w:rPr>
        <w:t>and 16 (20.5%) in the rozanolixizumab ≈7</w:t>
      </w:r>
      <w:r w:rsidR="00CA7F96" w:rsidRPr="00CD754D">
        <w:rPr>
          <w:lang w:val="en-GB"/>
        </w:rPr>
        <w:t> </w:t>
      </w:r>
      <w:r w:rsidRPr="00CD754D">
        <w:rPr>
          <w:lang w:val="en-GB"/>
        </w:rPr>
        <w:t>mg/kg and ≈10</w:t>
      </w:r>
      <w:r w:rsidR="00CA7F96" w:rsidRPr="00CD754D">
        <w:rPr>
          <w:lang w:val="en-GB"/>
        </w:rPr>
        <w:t> </w:t>
      </w:r>
      <w:r w:rsidRPr="00CD754D">
        <w:rPr>
          <w:lang w:val="en-GB"/>
        </w:rPr>
        <w:t>mg/kg groups, respectively. The</w:t>
      </w:r>
      <w:r w:rsidR="004450A4" w:rsidRPr="00CD754D">
        <w:rPr>
          <w:lang w:val="en-GB"/>
        </w:rPr>
        <w:t>re were</w:t>
      </w:r>
      <w:r w:rsidRPr="00CD754D">
        <w:rPr>
          <w:lang w:val="en-GB"/>
        </w:rPr>
        <w:t xml:space="preserve"> 76.4% of patients were </w:t>
      </w:r>
      <w:proofErr w:type="spellStart"/>
      <w:r w:rsidRPr="00CD754D">
        <w:rPr>
          <w:lang w:val="en-GB"/>
        </w:rPr>
        <w:t>AChR</w:t>
      </w:r>
      <w:proofErr w:type="spellEnd"/>
      <w:r w:rsidRPr="00CD754D">
        <w:rPr>
          <w:lang w:val="en-GB"/>
        </w:rPr>
        <w:t xml:space="preserve">-Ab seropositive and 5.7% were </w:t>
      </w:r>
      <w:proofErr w:type="spellStart"/>
      <w:r w:rsidRPr="00CD754D">
        <w:rPr>
          <w:lang w:val="en-GB"/>
        </w:rPr>
        <w:t>MuSK</w:t>
      </w:r>
      <w:proofErr w:type="spellEnd"/>
      <w:r w:rsidRPr="00CD754D">
        <w:rPr>
          <w:lang w:val="en-GB"/>
        </w:rPr>
        <w:t xml:space="preserve"> seropositive at MG0007 baseline. There were lower proportion of study participants who had undergone thymectomy in the rozanolixizumab ≈7</w:t>
      </w:r>
      <w:r w:rsidR="00CA7F96" w:rsidRPr="00CD754D">
        <w:rPr>
          <w:lang w:val="en-GB"/>
        </w:rPr>
        <w:t> </w:t>
      </w:r>
      <w:r w:rsidRPr="00CD754D">
        <w:rPr>
          <w:lang w:val="en-GB"/>
        </w:rPr>
        <w:t>mg/kg group (28 [35.4%]) compared with the ≈10</w:t>
      </w:r>
      <w:r w:rsidR="00CA7F96" w:rsidRPr="00CD754D">
        <w:rPr>
          <w:lang w:val="en-GB"/>
        </w:rPr>
        <w:t> </w:t>
      </w:r>
      <w:r w:rsidRPr="00CD754D">
        <w:rPr>
          <w:lang w:val="en-GB"/>
        </w:rPr>
        <w:t>mg/kg group (37</w:t>
      </w:r>
      <w:r w:rsidR="00CA7F96" w:rsidRPr="00CD754D">
        <w:rPr>
          <w:lang w:val="en-GB"/>
        </w:rPr>
        <w:t> </w:t>
      </w:r>
      <w:r w:rsidRPr="00CD754D">
        <w:rPr>
          <w:lang w:val="en-GB"/>
        </w:rPr>
        <w:t xml:space="preserve">[47.4%]) and the higher proportion of study participants who were </w:t>
      </w:r>
      <w:proofErr w:type="spellStart"/>
      <w:r w:rsidRPr="00CD754D">
        <w:rPr>
          <w:lang w:val="en-GB"/>
        </w:rPr>
        <w:t>MuSK</w:t>
      </w:r>
      <w:proofErr w:type="spellEnd"/>
      <w:r w:rsidRPr="00CD754D">
        <w:rPr>
          <w:lang w:val="en-GB"/>
        </w:rPr>
        <w:t>+ at MG0003 Baseline in the rozanolixizumab ≈7</w:t>
      </w:r>
      <w:r w:rsidR="00985AEC" w:rsidRPr="00CD754D">
        <w:rPr>
          <w:lang w:val="en-GB"/>
        </w:rPr>
        <w:t> </w:t>
      </w:r>
      <w:r w:rsidRPr="00CD754D">
        <w:rPr>
          <w:lang w:val="en-GB"/>
        </w:rPr>
        <w:t>mg/kg group (8 [10.1%]) compared with the ≈10</w:t>
      </w:r>
      <w:r w:rsidR="00985AEC" w:rsidRPr="00CD754D">
        <w:rPr>
          <w:lang w:val="en-GB"/>
        </w:rPr>
        <w:t> </w:t>
      </w:r>
      <w:r w:rsidRPr="00CD754D">
        <w:rPr>
          <w:lang w:val="en-GB"/>
        </w:rPr>
        <w:t>mg/kg group (2 [2.6%]).</w:t>
      </w:r>
    </w:p>
    <w:p w14:paraId="04AE0DCB" w14:textId="77DEF096" w:rsidR="00B607CF" w:rsidRPr="00555879" w:rsidRDefault="00B607CF" w:rsidP="00B607CF">
      <w:pPr>
        <w:rPr>
          <w:lang w:val="en-GB"/>
        </w:rPr>
      </w:pPr>
      <w:r w:rsidRPr="00555879">
        <w:rPr>
          <w:lang w:val="en-GB"/>
        </w:rPr>
        <w:t>During MG0007, 6 (7.6%) study participants in the rozanolixizumab ≈7</w:t>
      </w:r>
      <w:r w:rsidR="00985AEC">
        <w:rPr>
          <w:lang w:val="en-GB"/>
        </w:rPr>
        <w:t> </w:t>
      </w:r>
      <w:r w:rsidRPr="00555879">
        <w:rPr>
          <w:lang w:val="en-GB"/>
        </w:rPr>
        <w:t>mg/kg group and 8</w:t>
      </w:r>
      <w:r w:rsidR="00985AEC">
        <w:rPr>
          <w:lang w:val="en-GB"/>
        </w:rPr>
        <w:t> </w:t>
      </w:r>
      <w:r w:rsidRPr="00555879">
        <w:rPr>
          <w:lang w:val="en-GB"/>
        </w:rPr>
        <w:t>(10.3%) in the rozanolixizumab ≈10</w:t>
      </w:r>
      <w:r w:rsidR="00985AEC">
        <w:rPr>
          <w:lang w:val="en-GB"/>
        </w:rPr>
        <w:t> </w:t>
      </w:r>
      <w:r w:rsidRPr="00555879">
        <w:rPr>
          <w:lang w:val="en-GB"/>
        </w:rPr>
        <w:t>mg/kg group received any rescue therapy (</w:t>
      </w:r>
      <w:r w:rsidR="00DE2E41">
        <w:rPr>
          <w:lang w:val="en-GB"/>
        </w:rPr>
        <w:t>that is,</w:t>
      </w:r>
      <w:r w:rsidRPr="00555879">
        <w:rPr>
          <w:lang w:val="en-GB"/>
        </w:rPr>
        <w:t xml:space="preserve"> rescue medication or rescue procedure). Five (6.3%) study participants in the rozanolixizumab ≈7</w:t>
      </w:r>
      <w:r w:rsidR="00DE2E41">
        <w:rPr>
          <w:lang w:val="en-GB"/>
        </w:rPr>
        <w:t> </w:t>
      </w:r>
      <w:r w:rsidRPr="00555879">
        <w:rPr>
          <w:lang w:val="en-GB"/>
        </w:rPr>
        <w:t xml:space="preserve">mg/kg group received rescue medication (4 received immunoglobulins [1 of which continued </w:t>
      </w:r>
      <w:r w:rsidRPr="00555879">
        <w:rPr>
          <w:lang w:val="en-GB"/>
        </w:rPr>
        <w:lastRenderedPageBreak/>
        <w:t xml:space="preserve">treatment with efgartigimod alfa] and 1 received methylprednisolone sodium succinate); 2 </w:t>
      </w:r>
      <w:r w:rsidRPr="00393756">
        <w:rPr>
          <w:lang w:val="en-GB"/>
        </w:rPr>
        <w:t xml:space="preserve">(2.5%) study participants required a rescue procedure (1 received plasma exchange and 1 received </w:t>
      </w:r>
      <w:proofErr w:type="spellStart"/>
      <w:r w:rsidR="00841562">
        <w:rPr>
          <w:lang w:val="en-GB"/>
        </w:rPr>
        <w:t>IvIG</w:t>
      </w:r>
      <w:proofErr w:type="spellEnd"/>
      <w:r w:rsidRPr="00393756">
        <w:rPr>
          <w:lang w:val="en-GB"/>
        </w:rPr>
        <w:t>. Seven (9.0%) study participants in the rozanolixizumab ≈10</w:t>
      </w:r>
      <w:r w:rsidR="00E662F9" w:rsidRPr="00393756">
        <w:rPr>
          <w:lang w:val="en-GB"/>
        </w:rPr>
        <w:t> </w:t>
      </w:r>
      <w:r w:rsidRPr="00393756">
        <w:rPr>
          <w:lang w:val="en-GB"/>
        </w:rPr>
        <w:t>mg/kg group</w:t>
      </w:r>
      <w:r w:rsidRPr="00555879">
        <w:rPr>
          <w:lang w:val="en-GB"/>
        </w:rPr>
        <w:t xml:space="preserve"> received rescue medication (6 received immunoglobulins [1 of which continued treatment with plasma, human albumin, and calcium chloride dihydrate/potassium chloride/sodium chloride/sodium lactate], 1 received methylprednisolone sodium succinate, and 1 received plasma [reported term: plasma exchange]); 3 (3.8%) study participants required a rescue procedure (all required plasmapheresis). All study participants who received rescue therapies discontinued the study.</w:t>
      </w:r>
    </w:p>
    <w:p w14:paraId="2453DB85" w14:textId="53CCD672" w:rsidR="00B607CF" w:rsidRPr="00555879" w:rsidRDefault="00B607CF" w:rsidP="00B607CF">
      <w:pPr>
        <w:rPr>
          <w:lang w:val="en-GB"/>
        </w:rPr>
      </w:pPr>
      <w:r w:rsidRPr="00555879">
        <w:rPr>
          <w:lang w:val="en-GB"/>
        </w:rPr>
        <w:t>Observed results and changes from Baseline in the MG-ADL score by subgroup and study cycle were explored for subgroups of age, sex, region, weight, MG-specific autoantibodies, duration of disease at Baseline, MGFA disease class at Baseline, thymectomy at Baseline, and Baseline MG-ADL category.</w:t>
      </w:r>
    </w:p>
    <w:p w14:paraId="40194EB0" w14:textId="5AC23DA1" w:rsidR="00B607CF" w:rsidRPr="00555879" w:rsidRDefault="00B607CF" w:rsidP="00B607CF">
      <w:pPr>
        <w:rPr>
          <w:lang w:val="en-GB"/>
        </w:rPr>
      </w:pPr>
      <w:r w:rsidRPr="00555879">
        <w:rPr>
          <w:lang w:val="en-GB"/>
        </w:rPr>
        <w:t>Overall, a numerically smaller improvement in MG-ADL scores was observed at Day 43 among the elderly population (≥65</w:t>
      </w:r>
      <w:r w:rsidR="002D30A3">
        <w:rPr>
          <w:lang w:val="en-GB"/>
        </w:rPr>
        <w:t> </w:t>
      </w:r>
      <w:r w:rsidRPr="00555879">
        <w:rPr>
          <w:lang w:val="en-GB"/>
        </w:rPr>
        <w:t>years) compared with the younger population (≥18</w:t>
      </w:r>
      <w:r w:rsidR="002D30A3">
        <w:rPr>
          <w:lang w:val="en-GB"/>
        </w:rPr>
        <w:t> </w:t>
      </w:r>
      <w:r w:rsidRPr="00555879">
        <w:rPr>
          <w:lang w:val="en-GB"/>
        </w:rPr>
        <w:t>years to &lt;65</w:t>
      </w:r>
      <w:r w:rsidR="002D30A3">
        <w:rPr>
          <w:lang w:val="en-GB"/>
        </w:rPr>
        <w:t> </w:t>
      </w:r>
      <w:r w:rsidRPr="00555879">
        <w:rPr>
          <w:lang w:val="en-GB"/>
        </w:rPr>
        <w:t xml:space="preserve">years) in MG0007 (Cycle 1: </w:t>
      </w:r>
      <w:r w:rsidR="002308BD">
        <w:rPr>
          <w:lang w:val="en-GB"/>
        </w:rPr>
        <w:t>−</w:t>
      </w:r>
      <w:r w:rsidRPr="00555879">
        <w:rPr>
          <w:lang w:val="en-GB"/>
        </w:rPr>
        <w:t xml:space="preserve">2.8 vs </w:t>
      </w:r>
      <w:r w:rsidR="002308BD">
        <w:rPr>
          <w:lang w:val="en-GB"/>
        </w:rPr>
        <w:t>−</w:t>
      </w:r>
      <w:r w:rsidRPr="00555879">
        <w:rPr>
          <w:lang w:val="en-GB"/>
        </w:rPr>
        <w:t xml:space="preserve">3.6, Cycle 2: </w:t>
      </w:r>
      <w:r w:rsidR="002308BD">
        <w:rPr>
          <w:lang w:val="en-GB"/>
        </w:rPr>
        <w:t>−</w:t>
      </w:r>
      <w:r w:rsidRPr="00555879">
        <w:rPr>
          <w:lang w:val="en-GB"/>
        </w:rPr>
        <w:t xml:space="preserve">2.0 vs </w:t>
      </w:r>
      <w:r w:rsidR="002308BD">
        <w:rPr>
          <w:lang w:val="en-GB"/>
        </w:rPr>
        <w:t>−</w:t>
      </w:r>
      <w:r w:rsidRPr="00555879">
        <w:rPr>
          <w:lang w:val="en-GB"/>
        </w:rPr>
        <w:t xml:space="preserve">3.9, Cycle 3: </w:t>
      </w:r>
      <w:r w:rsidR="002308BD">
        <w:rPr>
          <w:lang w:val="en-GB"/>
        </w:rPr>
        <w:t>−</w:t>
      </w:r>
      <w:r w:rsidRPr="00555879">
        <w:rPr>
          <w:lang w:val="en-GB"/>
        </w:rPr>
        <w:t xml:space="preserve">1.6 vs </w:t>
      </w:r>
      <w:r w:rsidR="002308BD">
        <w:rPr>
          <w:lang w:val="en-GB"/>
        </w:rPr>
        <w:t>−</w:t>
      </w:r>
      <w:r w:rsidRPr="00555879">
        <w:rPr>
          <w:lang w:val="en-GB"/>
        </w:rPr>
        <w:t xml:space="preserve">3.9, Cycle 4: </w:t>
      </w:r>
      <w:r w:rsidR="002308BD">
        <w:rPr>
          <w:lang w:val="en-GB"/>
        </w:rPr>
        <w:t>−</w:t>
      </w:r>
      <w:r w:rsidRPr="00555879">
        <w:rPr>
          <w:lang w:val="en-GB"/>
        </w:rPr>
        <w:t xml:space="preserve">2.2 vs </w:t>
      </w:r>
      <w:r w:rsidR="002308BD">
        <w:rPr>
          <w:lang w:val="en-GB"/>
        </w:rPr>
        <w:t>−</w:t>
      </w:r>
      <w:r w:rsidRPr="00555879">
        <w:rPr>
          <w:lang w:val="en-GB"/>
        </w:rPr>
        <w:t xml:space="preserve">4.0, Cycle 5: </w:t>
      </w:r>
      <w:r w:rsidR="002308BD">
        <w:rPr>
          <w:lang w:val="en-GB"/>
        </w:rPr>
        <w:t>−</w:t>
      </w:r>
      <w:r w:rsidRPr="00555879">
        <w:rPr>
          <w:lang w:val="en-GB"/>
        </w:rPr>
        <w:t xml:space="preserve">2.6 vs </w:t>
      </w:r>
      <w:r w:rsidR="002308BD">
        <w:rPr>
          <w:lang w:val="en-GB"/>
        </w:rPr>
        <w:t>−</w:t>
      </w:r>
      <w:r w:rsidRPr="00555879">
        <w:rPr>
          <w:lang w:val="en-GB"/>
        </w:rPr>
        <w:t>4.7).Generally, a trend towards a higher response in anti-</w:t>
      </w:r>
      <w:proofErr w:type="spellStart"/>
      <w:r w:rsidRPr="00555879">
        <w:rPr>
          <w:lang w:val="en-GB"/>
        </w:rPr>
        <w:t>MuSK</w:t>
      </w:r>
      <w:proofErr w:type="spellEnd"/>
      <w:r w:rsidRPr="00555879">
        <w:rPr>
          <w:lang w:val="en-GB"/>
        </w:rPr>
        <w:t>+ study participants than in the overall population at Day 43 was observed for Cycle 1 (</w:t>
      </w:r>
      <w:r w:rsidR="00F770A0">
        <w:rPr>
          <w:lang w:val="en-GB"/>
        </w:rPr>
        <w:t>−</w:t>
      </w:r>
      <w:r w:rsidRPr="00555879">
        <w:rPr>
          <w:lang w:val="en-GB"/>
        </w:rPr>
        <w:t xml:space="preserve">5.1 vs </w:t>
      </w:r>
      <w:r w:rsidR="00F770A0">
        <w:rPr>
          <w:lang w:val="en-GB"/>
        </w:rPr>
        <w:t>−</w:t>
      </w:r>
      <w:r w:rsidRPr="00555879">
        <w:rPr>
          <w:lang w:val="en-GB"/>
        </w:rPr>
        <w:t>3.4) and Cycle 2 (</w:t>
      </w:r>
      <w:r w:rsidR="00182187">
        <w:rPr>
          <w:lang w:val="en-GB"/>
        </w:rPr>
        <w:t>−</w:t>
      </w:r>
      <w:r w:rsidRPr="00555879">
        <w:rPr>
          <w:lang w:val="en-GB"/>
        </w:rPr>
        <w:t xml:space="preserve">5.0 vs </w:t>
      </w:r>
      <w:r w:rsidR="00182187">
        <w:rPr>
          <w:lang w:val="en-GB"/>
        </w:rPr>
        <w:t>−</w:t>
      </w:r>
      <w:r w:rsidRPr="00555879">
        <w:rPr>
          <w:lang w:val="en-GB"/>
        </w:rPr>
        <w:t>3.5). The response was similar for Cycle 3 (</w:t>
      </w:r>
      <w:r w:rsidR="00182187">
        <w:rPr>
          <w:lang w:val="en-GB"/>
        </w:rPr>
        <w:t>−</w:t>
      </w:r>
      <w:r w:rsidRPr="00555879">
        <w:rPr>
          <w:lang w:val="en-GB"/>
        </w:rPr>
        <w:t xml:space="preserve">3.8 vs </w:t>
      </w:r>
      <w:r w:rsidR="00182187">
        <w:rPr>
          <w:lang w:val="en-GB"/>
        </w:rPr>
        <w:t>−</w:t>
      </w:r>
      <w:r w:rsidRPr="00555879">
        <w:rPr>
          <w:lang w:val="en-GB"/>
        </w:rPr>
        <w:t>3.4) and Cycle 4 (</w:t>
      </w:r>
      <w:r w:rsidR="00182187">
        <w:rPr>
          <w:lang w:val="en-GB"/>
        </w:rPr>
        <w:t>−</w:t>
      </w:r>
      <w:r w:rsidRPr="00555879">
        <w:rPr>
          <w:lang w:val="en-GB"/>
        </w:rPr>
        <w:t xml:space="preserve">3.0 vs </w:t>
      </w:r>
      <w:r w:rsidR="00182187">
        <w:rPr>
          <w:lang w:val="en-GB"/>
        </w:rPr>
        <w:t>−</w:t>
      </w:r>
      <w:r w:rsidRPr="00555879">
        <w:rPr>
          <w:lang w:val="en-GB"/>
        </w:rPr>
        <w:t>3.7). Conclusions should be drawn with caution due to the low number of participants in this subgroup (n≤8 per treatment group and cycle).</w:t>
      </w:r>
    </w:p>
    <w:p w14:paraId="25EC99D2" w14:textId="0EDF5E2C" w:rsidR="00B607CF" w:rsidRDefault="00B607CF" w:rsidP="00B607CF">
      <w:pPr>
        <w:rPr>
          <w:lang w:val="en-GB"/>
        </w:rPr>
      </w:pPr>
      <w:r w:rsidRPr="00555879">
        <w:rPr>
          <w:lang w:val="en-GB"/>
        </w:rPr>
        <w:t>Participants with a shorter duration of disease (&lt;5.7</w:t>
      </w:r>
      <w:r w:rsidR="006F5C9C">
        <w:rPr>
          <w:lang w:val="en-GB"/>
        </w:rPr>
        <w:t> </w:t>
      </w:r>
      <w:r w:rsidRPr="00555879">
        <w:rPr>
          <w:lang w:val="en-GB"/>
        </w:rPr>
        <w:t xml:space="preserve">years) showed a better clinical improvement at Day 43 with repeated cyclic treatment (Cycle 1: </w:t>
      </w:r>
      <w:r w:rsidR="006F5C9C">
        <w:rPr>
          <w:lang w:val="en-GB"/>
        </w:rPr>
        <w:t>−</w:t>
      </w:r>
      <w:r w:rsidRPr="00555879">
        <w:rPr>
          <w:lang w:val="en-GB"/>
        </w:rPr>
        <w:t xml:space="preserve">2.9, Cycle 2: </w:t>
      </w:r>
      <w:r w:rsidR="006F5C9C">
        <w:rPr>
          <w:lang w:val="en-GB"/>
        </w:rPr>
        <w:t>−</w:t>
      </w:r>
      <w:r w:rsidRPr="00555879">
        <w:rPr>
          <w:lang w:val="en-GB"/>
        </w:rPr>
        <w:t xml:space="preserve">3.4, Cycle 3: </w:t>
      </w:r>
      <w:r w:rsidR="006F5C9C">
        <w:rPr>
          <w:lang w:val="en-GB"/>
        </w:rPr>
        <w:t>−</w:t>
      </w:r>
      <w:r w:rsidRPr="00555879">
        <w:rPr>
          <w:lang w:val="en-GB"/>
        </w:rPr>
        <w:t xml:space="preserve">4.1, Cycle 4: </w:t>
      </w:r>
      <w:r w:rsidR="006F5C9C">
        <w:rPr>
          <w:lang w:val="en-GB"/>
        </w:rPr>
        <w:t>−</w:t>
      </w:r>
      <w:r w:rsidRPr="00555879">
        <w:rPr>
          <w:lang w:val="en-GB"/>
        </w:rPr>
        <w:t xml:space="preserve">4.3, Cycle 5: </w:t>
      </w:r>
      <w:r w:rsidR="006F5C9C">
        <w:rPr>
          <w:lang w:val="en-GB"/>
        </w:rPr>
        <w:t>−</w:t>
      </w:r>
      <w:r w:rsidRPr="00555879">
        <w:rPr>
          <w:lang w:val="en-GB"/>
        </w:rPr>
        <w:t>6.2) compared with participants with a longer duration of disease (≥5.7</w:t>
      </w:r>
      <w:r w:rsidR="00A567DF">
        <w:rPr>
          <w:lang w:val="en-GB"/>
        </w:rPr>
        <w:t> </w:t>
      </w:r>
      <w:r w:rsidRPr="00555879">
        <w:rPr>
          <w:lang w:val="en-GB"/>
        </w:rPr>
        <w:t xml:space="preserve">years) (Cycle 1: </w:t>
      </w:r>
      <w:r w:rsidR="006F5C9C">
        <w:rPr>
          <w:lang w:val="en-GB"/>
        </w:rPr>
        <w:t>−</w:t>
      </w:r>
      <w:r w:rsidRPr="00555879">
        <w:rPr>
          <w:lang w:val="en-GB"/>
        </w:rPr>
        <w:t xml:space="preserve">4.0, Cycle 2: </w:t>
      </w:r>
      <w:r w:rsidR="006F5C9C">
        <w:rPr>
          <w:lang w:val="en-GB"/>
        </w:rPr>
        <w:t>−</w:t>
      </w:r>
      <w:r w:rsidRPr="00555879">
        <w:rPr>
          <w:lang w:val="en-GB"/>
        </w:rPr>
        <w:t xml:space="preserve">3.5, Cycle 3: </w:t>
      </w:r>
      <w:r w:rsidR="006F5C9C">
        <w:rPr>
          <w:lang w:val="en-GB"/>
        </w:rPr>
        <w:t>−</w:t>
      </w:r>
      <w:r w:rsidRPr="00555879">
        <w:rPr>
          <w:lang w:val="en-GB"/>
        </w:rPr>
        <w:t xml:space="preserve">2.8, Cycle 4: </w:t>
      </w:r>
      <w:r w:rsidR="006F5C9C">
        <w:rPr>
          <w:lang w:val="en-GB"/>
        </w:rPr>
        <w:t>−</w:t>
      </w:r>
      <w:r w:rsidRPr="00555879">
        <w:rPr>
          <w:lang w:val="en-GB"/>
        </w:rPr>
        <w:t xml:space="preserve">3.1, Cycle 5: </w:t>
      </w:r>
      <w:r w:rsidR="006F5C9C">
        <w:rPr>
          <w:lang w:val="en-GB"/>
        </w:rPr>
        <w:t>−</w:t>
      </w:r>
      <w:r w:rsidRPr="00555879">
        <w:rPr>
          <w:lang w:val="en-GB"/>
        </w:rPr>
        <w:t>3.2) and participants with a Baseline MG-ADL category &lt;5 showed a better clinical improvement at Day</w:t>
      </w:r>
      <w:r w:rsidR="00A567DF">
        <w:rPr>
          <w:lang w:val="en-GB"/>
        </w:rPr>
        <w:t> </w:t>
      </w:r>
      <w:r w:rsidRPr="00555879">
        <w:rPr>
          <w:lang w:val="en-GB"/>
        </w:rPr>
        <w:t xml:space="preserve">43 with repeated cyclic treatment (Cycle 1: </w:t>
      </w:r>
      <w:r w:rsidR="00BB0576">
        <w:rPr>
          <w:lang w:val="en-GB"/>
        </w:rPr>
        <w:t>−</w:t>
      </w:r>
      <w:r w:rsidRPr="00555879">
        <w:rPr>
          <w:lang w:val="en-GB"/>
        </w:rPr>
        <w:t xml:space="preserve">0.9, Cycle 2: </w:t>
      </w:r>
      <w:r w:rsidR="00BB0576">
        <w:rPr>
          <w:lang w:val="en-GB"/>
        </w:rPr>
        <w:t>−</w:t>
      </w:r>
      <w:r w:rsidRPr="00555879">
        <w:rPr>
          <w:lang w:val="en-GB"/>
        </w:rPr>
        <w:t xml:space="preserve">2.9, Cycle 3: </w:t>
      </w:r>
      <w:r w:rsidR="00BB0576">
        <w:rPr>
          <w:lang w:val="en-GB"/>
        </w:rPr>
        <w:t>−</w:t>
      </w:r>
      <w:r w:rsidRPr="00555879">
        <w:rPr>
          <w:lang w:val="en-GB"/>
        </w:rPr>
        <w:t xml:space="preserve">5.4, Cycle 4: </w:t>
      </w:r>
      <w:r w:rsidR="00BB0576">
        <w:rPr>
          <w:lang w:val="en-GB"/>
        </w:rPr>
        <w:t>−</w:t>
      </w:r>
      <w:r w:rsidRPr="00555879">
        <w:rPr>
          <w:lang w:val="en-GB"/>
        </w:rPr>
        <w:t xml:space="preserve">8.5) compared with participants with a Baseline MG-ADL category ≥5 (Cycle 1: </w:t>
      </w:r>
      <w:r w:rsidR="00BB0576">
        <w:rPr>
          <w:lang w:val="en-GB"/>
        </w:rPr>
        <w:t>−</w:t>
      </w:r>
      <w:r w:rsidRPr="00555879">
        <w:rPr>
          <w:lang w:val="en-GB"/>
        </w:rPr>
        <w:t xml:space="preserve">4.0, Cycle 2: </w:t>
      </w:r>
      <w:r w:rsidR="00BB0576">
        <w:rPr>
          <w:lang w:val="en-GB"/>
        </w:rPr>
        <w:t>−</w:t>
      </w:r>
      <w:r w:rsidRPr="00555879">
        <w:rPr>
          <w:lang w:val="en-GB"/>
        </w:rPr>
        <w:t xml:space="preserve">3.5, Cycle 3: </w:t>
      </w:r>
      <w:r w:rsidR="00BB0576">
        <w:rPr>
          <w:lang w:val="en-GB"/>
        </w:rPr>
        <w:t>−</w:t>
      </w:r>
      <w:r w:rsidRPr="00555879">
        <w:rPr>
          <w:lang w:val="en-GB"/>
        </w:rPr>
        <w:t xml:space="preserve">3.2, Cycle 4: </w:t>
      </w:r>
      <w:r w:rsidR="00BB0576">
        <w:rPr>
          <w:lang w:val="en-GB"/>
        </w:rPr>
        <w:t>−</w:t>
      </w:r>
      <w:r w:rsidRPr="00555879">
        <w:rPr>
          <w:lang w:val="en-GB"/>
        </w:rPr>
        <w:t>3.4). However, conclusions should be drawn with caution due to the low number of participants in the &lt;5 subgroup after Cycle 3 (n≤7 per cycle). Following treatment, the absolute MG-ADL values in the &lt;5 subgroup remained consistently lower compared with the ≥5 subgroup.</w:t>
      </w:r>
    </w:p>
    <w:p w14:paraId="1D3E05E8" w14:textId="29F825F8" w:rsidR="00DC03C7" w:rsidRDefault="005D30FA" w:rsidP="009F1C04">
      <w:pPr>
        <w:pStyle w:val="TableTitle"/>
        <w:rPr>
          <w:lang w:val="en-GB"/>
        </w:rPr>
      </w:pPr>
      <w:r>
        <w:lastRenderedPageBreak/>
        <w:t xml:space="preserve">Table </w:t>
      </w:r>
      <w:r>
        <w:fldChar w:fldCharType="begin"/>
      </w:r>
      <w:r>
        <w:instrText xml:space="preserve"> SEQ Table \* ARABIC </w:instrText>
      </w:r>
      <w:r>
        <w:fldChar w:fldCharType="separate"/>
      </w:r>
      <w:r w:rsidR="00CA7747">
        <w:rPr>
          <w:noProof/>
        </w:rPr>
        <w:t>7</w:t>
      </w:r>
      <w:r>
        <w:fldChar w:fldCharType="end"/>
      </w:r>
      <w:r>
        <w:t>: Study MG0007</w:t>
      </w:r>
      <w:r w:rsidR="009F1C04" w:rsidRPr="009F1C04">
        <w:rPr>
          <w:lang w:val="en-GB"/>
        </w:rPr>
        <w:t xml:space="preserve"> </w:t>
      </w:r>
      <w:r w:rsidR="00ED178C" w:rsidRPr="00E86D7A">
        <w:rPr>
          <w:iCs/>
        </w:rPr>
        <w:t xml:space="preserve">Myasthenia Gravis Activities of Daily Living </w:t>
      </w:r>
      <w:r w:rsidR="009F1C04" w:rsidRPr="00555879">
        <w:rPr>
          <w:lang w:val="en-GB"/>
        </w:rPr>
        <w:t>score change from Baseline to Day 43 during each treatment cycle (Safety Set)</w:t>
      </w:r>
    </w:p>
    <w:p w14:paraId="47A0B801" w14:textId="5DEE624D" w:rsidR="00057E12" w:rsidRDefault="005D30FA" w:rsidP="00DC03C7">
      <w:r w:rsidRPr="00555879">
        <w:rPr>
          <w:noProof/>
          <w:lang w:val="en-GB"/>
        </w:rPr>
        <w:drawing>
          <wp:inline distT="0" distB="0" distL="0" distR="0" wp14:anchorId="2FC63601" wp14:editId="1F51E612">
            <wp:extent cx="5759450" cy="3458898"/>
            <wp:effectExtent l="0" t="0" r="0" b="8255"/>
            <wp:docPr id="394633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2000"/>
                              </a14:imgEffect>
                            </a14:imgLayer>
                          </a14:imgProps>
                        </a:ext>
                        <a:ext uri="{28A0092B-C50C-407E-A947-70E740481C1C}">
                          <a14:useLocalDpi xmlns:a14="http://schemas.microsoft.com/office/drawing/2010/main" val="0"/>
                        </a:ext>
                      </a:extLst>
                    </a:blip>
                    <a:srcRect/>
                    <a:stretch>
                      <a:fillRect/>
                    </a:stretch>
                  </pic:blipFill>
                  <pic:spPr bwMode="auto">
                    <a:xfrm>
                      <a:off x="0" y="0"/>
                      <a:ext cx="5759450" cy="3458898"/>
                    </a:xfrm>
                    <a:prstGeom prst="rect">
                      <a:avLst/>
                    </a:prstGeom>
                    <a:noFill/>
                  </pic:spPr>
                </pic:pic>
              </a:graphicData>
            </a:graphic>
          </wp:inline>
        </w:drawing>
      </w:r>
    </w:p>
    <w:p w14:paraId="65CA55B1" w14:textId="73541C71" w:rsidR="000E5857" w:rsidRPr="00555879" w:rsidRDefault="000E5857" w:rsidP="000E5857">
      <w:pPr>
        <w:rPr>
          <w:rFonts w:eastAsia="Calibri"/>
          <w:kern w:val="2"/>
          <w:lang w:val="en-GB"/>
          <w14:ligatures w14:val="standardContextual"/>
        </w:rPr>
      </w:pPr>
      <w:r w:rsidRPr="00555879">
        <w:rPr>
          <w:rFonts w:eastAsia="Calibri"/>
          <w:kern w:val="2"/>
          <w:lang w:val="en-GB"/>
          <w14:ligatures w14:val="standardContextual"/>
        </w:rPr>
        <w:t>The estimated (Kaplan-Meier analysis) time to MG-ADL response was 15</w:t>
      </w:r>
      <w:r w:rsidR="003E759E">
        <w:rPr>
          <w:rFonts w:eastAsia="Calibri"/>
          <w:kern w:val="2"/>
          <w:lang w:val="en-GB"/>
          <w14:ligatures w14:val="standardContextual"/>
        </w:rPr>
        <w:t> </w:t>
      </w:r>
      <w:r w:rsidRPr="00555879">
        <w:rPr>
          <w:rFonts w:eastAsia="Calibri"/>
          <w:kern w:val="2"/>
          <w:lang w:val="en-GB"/>
          <w14:ligatures w14:val="standardContextual"/>
        </w:rPr>
        <w:t xml:space="preserve">days for </w:t>
      </w:r>
      <w:proofErr w:type="gramStart"/>
      <w:r w:rsidRPr="00555879">
        <w:rPr>
          <w:rFonts w:eastAsia="Calibri"/>
          <w:kern w:val="2"/>
          <w:lang w:val="en-GB"/>
          <w14:ligatures w14:val="standardContextual"/>
        </w:rPr>
        <w:t>the majority of</w:t>
      </w:r>
      <w:proofErr w:type="gramEnd"/>
      <w:r w:rsidRPr="00555879">
        <w:rPr>
          <w:rFonts w:eastAsia="Calibri"/>
          <w:kern w:val="2"/>
          <w:lang w:val="en-GB"/>
          <w14:ligatures w14:val="standardContextual"/>
        </w:rPr>
        <w:t xml:space="preserve"> cycles. Of note, a difference in time to response was observed in the first cycle between the 2</w:t>
      </w:r>
      <w:r w:rsidR="003E759E">
        <w:rPr>
          <w:rFonts w:eastAsia="Calibri"/>
          <w:kern w:val="2"/>
          <w:lang w:val="en-GB"/>
          <w14:ligatures w14:val="standardContextual"/>
        </w:rPr>
        <w:t> </w:t>
      </w:r>
      <w:r w:rsidRPr="00555879">
        <w:rPr>
          <w:rFonts w:eastAsia="Calibri"/>
          <w:kern w:val="2"/>
          <w:lang w:val="en-GB"/>
          <w14:ligatures w14:val="standardContextual"/>
        </w:rPr>
        <w:t>treatment groups (10 days for the ≈7</w:t>
      </w:r>
      <w:r w:rsidR="003E759E">
        <w:rPr>
          <w:rFonts w:eastAsia="Calibri"/>
          <w:kern w:val="2"/>
          <w:lang w:val="en-GB"/>
          <w14:ligatures w14:val="standardContextual"/>
        </w:rPr>
        <w:t> </w:t>
      </w:r>
      <w:r w:rsidRPr="00555879">
        <w:rPr>
          <w:rFonts w:eastAsia="Calibri"/>
          <w:kern w:val="2"/>
          <w:lang w:val="en-GB"/>
          <w14:ligatures w14:val="standardContextual"/>
        </w:rPr>
        <w:t>mg/kg treatment group vs 23 days for the ≈10</w:t>
      </w:r>
      <w:r w:rsidR="003E759E">
        <w:rPr>
          <w:rFonts w:eastAsia="Calibri"/>
          <w:kern w:val="2"/>
          <w:lang w:val="en-GB"/>
          <w14:ligatures w14:val="standardContextual"/>
        </w:rPr>
        <w:t> </w:t>
      </w:r>
      <w:r w:rsidRPr="00555879">
        <w:rPr>
          <w:rFonts w:eastAsia="Calibri"/>
          <w:kern w:val="2"/>
          <w:lang w:val="en-GB"/>
          <w14:ligatures w14:val="standardContextual"/>
        </w:rPr>
        <w:t>mg/kg treatment group).</w:t>
      </w:r>
    </w:p>
    <w:p w14:paraId="1E4648EF" w14:textId="0120858B" w:rsidR="000E5857" w:rsidRPr="00555879" w:rsidRDefault="000E5857" w:rsidP="000E5857">
      <w:pPr>
        <w:rPr>
          <w:rFonts w:eastAsia="Calibri"/>
          <w:kern w:val="2"/>
          <w:lang w:val="en-GB"/>
          <w14:ligatures w14:val="standardContextual"/>
        </w:rPr>
      </w:pPr>
      <w:r w:rsidRPr="00555879">
        <w:rPr>
          <w:rFonts w:eastAsia="Calibri"/>
          <w:kern w:val="2"/>
          <w:lang w:val="en-GB"/>
          <w14:ligatures w14:val="standardContextual"/>
        </w:rPr>
        <w:t>The treatment</w:t>
      </w:r>
      <w:r w:rsidR="003E759E">
        <w:rPr>
          <w:rFonts w:eastAsia="Calibri"/>
          <w:kern w:val="2"/>
          <w:lang w:val="en-GB"/>
          <w14:ligatures w14:val="standardContextual"/>
        </w:rPr>
        <w:t>−</w:t>
      </w:r>
      <w:r w:rsidRPr="00555879">
        <w:rPr>
          <w:rFonts w:eastAsia="Calibri"/>
          <w:kern w:val="2"/>
          <w:lang w:val="en-GB"/>
          <w14:ligatures w14:val="standardContextual"/>
        </w:rPr>
        <w:t>free interval (</w:t>
      </w:r>
      <w:r w:rsidR="003E759E">
        <w:rPr>
          <w:rFonts w:eastAsia="Calibri"/>
          <w:kern w:val="2"/>
          <w:lang w:val="en-GB"/>
          <w14:ligatures w14:val="standardContextual"/>
        </w:rPr>
        <w:t xml:space="preserve">that is, </w:t>
      </w:r>
      <w:r w:rsidRPr="00555879">
        <w:rPr>
          <w:rFonts w:eastAsia="Calibri"/>
          <w:kern w:val="2"/>
          <w:lang w:val="en-GB"/>
          <w14:ligatures w14:val="standardContextual"/>
        </w:rPr>
        <w:t xml:space="preserve">time between the last infusion of the previous cycle to the first infusion of the next cycle) between the first 2 cycles was </w:t>
      </w:r>
      <w:r w:rsidR="0073318B">
        <w:rPr>
          <w:rFonts w:eastAsia="Calibri"/>
          <w:kern w:val="2"/>
          <w:lang w:val="en-GB"/>
          <w14:ligatures w14:val="standardContextual"/>
        </w:rPr>
        <w:t>≈</w:t>
      </w:r>
      <w:r w:rsidRPr="00555879">
        <w:rPr>
          <w:rFonts w:eastAsia="Calibri"/>
          <w:kern w:val="2"/>
          <w:lang w:val="en-GB"/>
          <w14:ligatures w14:val="standardContextual"/>
        </w:rPr>
        <w:t>9</w:t>
      </w:r>
      <w:r w:rsidR="007C2D2F">
        <w:rPr>
          <w:rFonts w:eastAsia="Calibri"/>
          <w:kern w:val="2"/>
          <w:lang w:val="en-GB"/>
          <w14:ligatures w14:val="standardContextual"/>
        </w:rPr>
        <w:t> </w:t>
      </w:r>
      <w:r w:rsidRPr="00555879">
        <w:rPr>
          <w:rFonts w:eastAsia="Calibri"/>
          <w:kern w:val="2"/>
          <w:lang w:val="en-GB"/>
          <w14:ligatures w14:val="standardContextual"/>
        </w:rPr>
        <w:t xml:space="preserve">weeks in both rozanolixizumab treatment groups and </w:t>
      </w:r>
      <w:r w:rsidR="0073318B">
        <w:rPr>
          <w:rFonts w:eastAsia="Calibri"/>
          <w:kern w:val="2"/>
          <w:lang w:val="en-GB"/>
          <w14:ligatures w14:val="standardContextual"/>
        </w:rPr>
        <w:t>≈</w:t>
      </w:r>
      <w:r w:rsidRPr="00555879">
        <w:rPr>
          <w:rFonts w:eastAsia="Calibri"/>
          <w:kern w:val="2"/>
          <w:lang w:val="en-GB"/>
          <w14:ligatures w14:val="standardContextual"/>
        </w:rPr>
        <w:t>7 to 8</w:t>
      </w:r>
      <w:r w:rsidR="007C2D2F">
        <w:rPr>
          <w:rFonts w:eastAsia="Calibri"/>
          <w:kern w:val="2"/>
          <w:lang w:val="en-GB"/>
          <w14:ligatures w14:val="standardContextual"/>
        </w:rPr>
        <w:t> </w:t>
      </w:r>
      <w:r w:rsidRPr="00555879">
        <w:rPr>
          <w:rFonts w:eastAsia="Calibri"/>
          <w:kern w:val="2"/>
          <w:lang w:val="en-GB"/>
          <w14:ligatures w14:val="standardContextual"/>
        </w:rPr>
        <w:t>weeks between Cycle 2 and Cycle 3. For a subset of participants with a higher frequency of treatment cycles, shorter treatment</w:t>
      </w:r>
      <w:r w:rsidR="007C2D2F">
        <w:rPr>
          <w:rFonts w:eastAsia="Calibri"/>
          <w:kern w:val="2"/>
          <w:lang w:val="en-GB"/>
          <w14:ligatures w14:val="standardContextual"/>
        </w:rPr>
        <w:t>−</w:t>
      </w:r>
      <w:r w:rsidRPr="00555879">
        <w:rPr>
          <w:rFonts w:eastAsia="Calibri"/>
          <w:kern w:val="2"/>
          <w:lang w:val="en-GB"/>
          <w14:ligatures w14:val="standardContextual"/>
        </w:rPr>
        <w:t xml:space="preserve">free intervals of </w:t>
      </w:r>
      <w:r w:rsidR="0073318B">
        <w:rPr>
          <w:rFonts w:eastAsia="Calibri"/>
          <w:kern w:val="2"/>
          <w:lang w:val="en-GB"/>
          <w14:ligatures w14:val="standardContextual"/>
        </w:rPr>
        <w:t>≈</w:t>
      </w:r>
      <w:r w:rsidRPr="00555879">
        <w:rPr>
          <w:rFonts w:eastAsia="Calibri"/>
          <w:kern w:val="2"/>
          <w:lang w:val="en-GB"/>
          <w14:ligatures w14:val="standardContextual"/>
        </w:rPr>
        <w:t>5</w:t>
      </w:r>
      <w:r w:rsidR="007C2D2F">
        <w:rPr>
          <w:rFonts w:eastAsia="Calibri"/>
          <w:kern w:val="2"/>
          <w:lang w:val="en-GB"/>
          <w14:ligatures w14:val="standardContextual"/>
        </w:rPr>
        <w:t> </w:t>
      </w:r>
      <w:r w:rsidRPr="00555879">
        <w:rPr>
          <w:rFonts w:eastAsia="Calibri"/>
          <w:kern w:val="2"/>
          <w:lang w:val="en-GB"/>
          <w14:ligatures w14:val="standardContextual"/>
        </w:rPr>
        <w:t>weeks were observed.</w:t>
      </w:r>
    </w:p>
    <w:p w14:paraId="0968C64E" w14:textId="076726FC" w:rsidR="000E5857" w:rsidRPr="00555879" w:rsidRDefault="000E5857" w:rsidP="000E5857">
      <w:pPr>
        <w:rPr>
          <w:rFonts w:eastAsia="Calibri"/>
          <w:kern w:val="2"/>
          <w:lang w:val="en-GB"/>
          <w14:ligatures w14:val="standardContextual"/>
        </w:rPr>
      </w:pPr>
      <w:r w:rsidRPr="001F5860">
        <w:rPr>
          <w:rFonts w:eastAsia="Calibri"/>
          <w:kern w:val="2"/>
          <w:lang w:val="en-GB"/>
          <w14:ligatures w14:val="standardContextual"/>
        </w:rPr>
        <w:t>Subgroup analyses performed by administered fixed dose for selected efficacy variables showed similar improvement in MG-ADL, MG-C, and QMG scores at Day 43 of the first 3</w:t>
      </w:r>
      <w:r w:rsidR="009A7F99" w:rsidRPr="001F5860">
        <w:rPr>
          <w:rFonts w:eastAsia="Calibri"/>
          <w:kern w:val="2"/>
          <w:lang w:val="en-GB"/>
          <w14:ligatures w14:val="standardContextual"/>
        </w:rPr>
        <w:t> </w:t>
      </w:r>
      <w:r w:rsidRPr="001F5860">
        <w:rPr>
          <w:rFonts w:eastAsia="Calibri"/>
          <w:kern w:val="2"/>
          <w:lang w:val="en-GB"/>
          <w14:ligatures w14:val="standardContextual"/>
        </w:rPr>
        <w:t>cycles for the 420</w:t>
      </w:r>
      <w:r w:rsidR="00E20022" w:rsidRPr="001F5860">
        <w:rPr>
          <w:rFonts w:eastAsia="Calibri"/>
          <w:kern w:val="2"/>
          <w:lang w:val="en-GB"/>
          <w14:ligatures w14:val="standardContextual"/>
        </w:rPr>
        <w:t> </w:t>
      </w:r>
      <w:r w:rsidRPr="001F5860">
        <w:rPr>
          <w:rFonts w:eastAsia="Calibri"/>
          <w:kern w:val="2"/>
          <w:lang w:val="en-GB"/>
          <w14:ligatures w14:val="standardContextual"/>
        </w:rPr>
        <w:t>mg, 560</w:t>
      </w:r>
      <w:r w:rsidR="00E20022" w:rsidRPr="001F5860">
        <w:rPr>
          <w:rFonts w:eastAsia="Calibri"/>
          <w:kern w:val="2"/>
          <w:lang w:val="en-GB"/>
          <w14:ligatures w14:val="standardContextual"/>
        </w:rPr>
        <w:t> </w:t>
      </w:r>
      <w:r w:rsidRPr="001F5860">
        <w:rPr>
          <w:rFonts w:eastAsia="Calibri"/>
          <w:kern w:val="2"/>
          <w:lang w:val="en-GB"/>
          <w14:ligatures w14:val="standardContextual"/>
        </w:rPr>
        <w:t>mg, 840</w:t>
      </w:r>
      <w:r w:rsidR="00E20022" w:rsidRPr="001F5860">
        <w:rPr>
          <w:rFonts w:eastAsia="Calibri"/>
          <w:kern w:val="2"/>
          <w:lang w:val="en-GB"/>
          <w14:ligatures w14:val="standardContextual"/>
        </w:rPr>
        <w:t> </w:t>
      </w:r>
      <w:r w:rsidRPr="001F5860">
        <w:rPr>
          <w:rFonts w:eastAsia="Calibri"/>
          <w:kern w:val="2"/>
          <w:lang w:val="en-GB"/>
          <w14:ligatures w14:val="standardContextual"/>
        </w:rPr>
        <w:t>mg, and 1120</w:t>
      </w:r>
      <w:r w:rsidR="00E20022" w:rsidRPr="001F5860">
        <w:rPr>
          <w:rFonts w:eastAsia="Calibri"/>
          <w:kern w:val="2"/>
          <w:lang w:val="en-GB"/>
          <w14:ligatures w14:val="standardContextual"/>
        </w:rPr>
        <w:t> </w:t>
      </w:r>
      <w:r w:rsidRPr="001F5860">
        <w:rPr>
          <w:rFonts w:eastAsia="Calibri"/>
          <w:kern w:val="2"/>
          <w:lang w:val="en-GB"/>
          <w14:ligatures w14:val="standardContextual"/>
        </w:rPr>
        <w:t>mg doses. A lower response was observed for the 280</w:t>
      </w:r>
      <w:r w:rsidR="00E20022" w:rsidRPr="001F5860">
        <w:rPr>
          <w:rFonts w:eastAsia="Calibri"/>
          <w:kern w:val="2"/>
          <w:lang w:val="en-GB"/>
          <w14:ligatures w14:val="standardContextual"/>
        </w:rPr>
        <w:t> </w:t>
      </w:r>
      <w:r w:rsidRPr="001F5860">
        <w:rPr>
          <w:rFonts w:eastAsia="Calibri"/>
          <w:kern w:val="2"/>
          <w:lang w:val="en-GB"/>
          <w14:ligatures w14:val="standardContextual"/>
        </w:rPr>
        <w:t xml:space="preserve">mg dose. </w:t>
      </w:r>
      <w:r w:rsidR="007309B7" w:rsidRPr="001F5860">
        <w:rPr>
          <w:rFonts w:eastAsia="Calibri"/>
          <w:kern w:val="2"/>
          <w:lang w:val="en-GB"/>
          <w14:ligatures w14:val="standardContextual"/>
        </w:rPr>
        <w:t>Four or fewer</w:t>
      </w:r>
      <w:r w:rsidRPr="001F5860">
        <w:rPr>
          <w:rFonts w:eastAsia="Calibri"/>
          <w:kern w:val="2"/>
          <w:lang w:val="en-GB"/>
          <w14:ligatures w14:val="standardContextual"/>
        </w:rPr>
        <w:t xml:space="preserve"> study participants received the 280</w:t>
      </w:r>
      <w:r w:rsidR="007309B7" w:rsidRPr="001F5860">
        <w:rPr>
          <w:rFonts w:eastAsia="Calibri"/>
          <w:kern w:val="2"/>
          <w:lang w:val="en-GB"/>
          <w14:ligatures w14:val="standardContextual"/>
        </w:rPr>
        <w:t> </w:t>
      </w:r>
      <w:r w:rsidRPr="001F5860">
        <w:rPr>
          <w:rFonts w:eastAsia="Calibri"/>
          <w:kern w:val="2"/>
          <w:lang w:val="en-GB"/>
          <w14:ligatures w14:val="standardContextual"/>
        </w:rPr>
        <w:t xml:space="preserve">mg </w:t>
      </w:r>
      <w:proofErr w:type="gramStart"/>
      <w:r w:rsidRPr="001F5860">
        <w:rPr>
          <w:rFonts w:eastAsia="Calibri"/>
          <w:kern w:val="2"/>
          <w:lang w:val="en-GB"/>
          <w14:ligatures w14:val="standardContextual"/>
        </w:rPr>
        <w:t>dose</w:t>
      </w:r>
      <w:proofErr w:type="gramEnd"/>
      <w:r w:rsidRPr="001F5860">
        <w:rPr>
          <w:rFonts w:eastAsia="Calibri"/>
          <w:kern w:val="2"/>
          <w:lang w:val="en-GB"/>
          <w14:ligatures w14:val="standardContextual"/>
        </w:rPr>
        <w:t xml:space="preserve"> and all other doses were administered to </w:t>
      </w:r>
      <w:r w:rsidR="001B77A3" w:rsidRPr="001F5860">
        <w:rPr>
          <w:rFonts w:eastAsia="Calibri"/>
          <w:kern w:val="2"/>
          <w:lang w:val="en-GB"/>
          <w14:ligatures w14:val="standardContextual"/>
        </w:rPr>
        <w:t xml:space="preserve">at least </w:t>
      </w:r>
      <w:r w:rsidRPr="001F5860">
        <w:rPr>
          <w:rFonts w:eastAsia="Calibri"/>
          <w:kern w:val="2"/>
          <w:lang w:val="en-GB"/>
          <w14:ligatures w14:val="standardContextual"/>
        </w:rPr>
        <w:t>15 study participants in the first 3 cycles.</w:t>
      </w:r>
    </w:p>
    <w:p w14:paraId="138C4AC5" w14:textId="57F861DF" w:rsidR="000E5857" w:rsidRPr="00555879" w:rsidRDefault="000E5857" w:rsidP="000E5857">
      <w:pPr>
        <w:rPr>
          <w:rFonts w:eastAsia="Calibri"/>
          <w:kern w:val="2"/>
          <w:lang w:val="en-GB"/>
          <w14:ligatures w14:val="standardContextual"/>
        </w:rPr>
      </w:pPr>
      <w:r w:rsidRPr="00555879">
        <w:rPr>
          <w:rFonts w:eastAsia="Calibri"/>
          <w:kern w:val="2"/>
          <w:lang w:val="en-GB"/>
          <w14:ligatures w14:val="standardContextual"/>
        </w:rPr>
        <w:t>For the proposed 2-fixed doses of 420</w:t>
      </w:r>
      <w:r w:rsidR="001B77A3">
        <w:rPr>
          <w:rFonts w:eastAsia="Calibri"/>
          <w:kern w:val="2"/>
          <w:lang w:val="en-GB"/>
          <w14:ligatures w14:val="standardContextual"/>
        </w:rPr>
        <w:t> </w:t>
      </w:r>
      <w:r w:rsidRPr="00555879">
        <w:rPr>
          <w:rFonts w:eastAsia="Calibri"/>
          <w:kern w:val="2"/>
          <w:lang w:val="en-GB"/>
          <w14:ligatures w14:val="standardContextual"/>
        </w:rPr>
        <w:t>mg (&lt;50kg) and 560</w:t>
      </w:r>
      <w:r w:rsidR="001B77A3">
        <w:rPr>
          <w:rFonts w:eastAsia="Calibri"/>
          <w:kern w:val="2"/>
          <w:lang w:val="en-GB"/>
          <w14:ligatures w14:val="standardContextual"/>
        </w:rPr>
        <w:t> </w:t>
      </w:r>
      <w:r w:rsidRPr="00555879">
        <w:rPr>
          <w:rFonts w:eastAsia="Calibri"/>
          <w:kern w:val="2"/>
          <w:lang w:val="en-GB"/>
          <w14:ligatures w14:val="standardContextual"/>
        </w:rPr>
        <w:t>mg (≥50kg to &lt;100kg), responder rates for MG-ADL, MG-C and QMC were consistent with those for the weight-tiered doses in the first 5 cycles. In addition, the 560</w:t>
      </w:r>
      <w:r w:rsidR="001B77A3">
        <w:rPr>
          <w:rFonts w:eastAsia="Calibri"/>
          <w:kern w:val="2"/>
          <w:lang w:val="en-GB"/>
          <w14:ligatures w14:val="standardContextual"/>
        </w:rPr>
        <w:t> </w:t>
      </w:r>
      <w:r w:rsidRPr="00555879">
        <w:rPr>
          <w:rFonts w:eastAsia="Calibri"/>
          <w:kern w:val="2"/>
          <w:lang w:val="en-GB"/>
          <w14:ligatures w14:val="standardContextual"/>
        </w:rPr>
        <w:t>mg dose showed high responder rates across the ≥50</w:t>
      </w:r>
      <w:r w:rsidR="001B77A3">
        <w:rPr>
          <w:rFonts w:eastAsia="Calibri"/>
          <w:kern w:val="2"/>
          <w:lang w:val="en-GB"/>
          <w14:ligatures w14:val="standardContextual"/>
        </w:rPr>
        <w:t> </w:t>
      </w:r>
      <w:r w:rsidRPr="00555879">
        <w:rPr>
          <w:rFonts w:eastAsia="Calibri"/>
          <w:kern w:val="2"/>
          <w:lang w:val="en-GB"/>
          <w14:ligatures w14:val="standardContextual"/>
        </w:rPr>
        <w:t>kg to &lt;70</w:t>
      </w:r>
      <w:r w:rsidR="001B77A3">
        <w:rPr>
          <w:rFonts w:eastAsia="Calibri"/>
          <w:kern w:val="2"/>
          <w:lang w:val="en-GB"/>
          <w14:ligatures w14:val="standardContextual"/>
        </w:rPr>
        <w:t> </w:t>
      </w:r>
      <w:r w:rsidRPr="00555879">
        <w:rPr>
          <w:rFonts w:eastAsia="Calibri"/>
          <w:kern w:val="2"/>
          <w:lang w:val="en-GB"/>
          <w14:ligatures w14:val="standardContextual"/>
        </w:rPr>
        <w:t>kg and ≥70</w:t>
      </w:r>
      <w:r w:rsidR="001B77A3">
        <w:rPr>
          <w:rFonts w:eastAsia="Calibri"/>
          <w:kern w:val="2"/>
          <w:lang w:val="en-GB"/>
          <w14:ligatures w14:val="standardContextual"/>
        </w:rPr>
        <w:t> </w:t>
      </w:r>
      <w:r w:rsidRPr="00555879">
        <w:rPr>
          <w:rFonts w:eastAsia="Calibri"/>
          <w:kern w:val="2"/>
          <w:lang w:val="en-GB"/>
          <w14:ligatures w14:val="standardContextual"/>
        </w:rPr>
        <w:t>kg to &lt;100</w:t>
      </w:r>
      <w:r w:rsidR="001B77A3">
        <w:rPr>
          <w:rFonts w:eastAsia="Calibri"/>
          <w:kern w:val="2"/>
          <w:lang w:val="en-GB"/>
          <w14:ligatures w14:val="standardContextual"/>
        </w:rPr>
        <w:t> </w:t>
      </w:r>
      <w:r w:rsidRPr="00555879">
        <w:rPr>
          <w:rFonts w:eastAsia="Calibri"/>
          <w:kern w:val="2"/>
          <w:lang w:val="en-GB"/>
          <w14:ligatures w14:val="standardContextual"/>
        </w:rPr>
        <w:t>kg weight groups (&gt;60% in the first 3 cycles, n&gt;30).</w:t>
      </w:r>
    </w:p>
    <w:p w14:paraId="5105ED04" w14:textId="0AD24B49" w:rsidR="00DF6592" w:rsidRPr="00555879" w:rsidRDefault="00DF6592" w:rsidP="00DF6592">
      <w:pPr>
        <w:pStyle w:val="Heading5"/>
        <w:rPr>
          <w:rFonts w:eastAsia="Calibri"/>
          <w:lang w:val="en-GB"/>
        </w:rPr>
      </w:pPr>
      <w:r>
        <w:rPr>
          <w:rFonts w:eastAsia="Calibri"/>
          <w:lang w:val="en-GB"/>
        </w:rPr>
        <w:t xml:space="preserve">Supportive </w:t>
      </w:r>
      <w:r w:rsidRPr="00555879">
        <w:rPr>
          <w:rFonts w:eastAsia="Calibri"/>
          <w:lang w:val="en-GB"/>
        </w:rPr>
        <w:t>Study MG0004</w:t>
      </w:r>
    </w:p>
    <w:p w14:paraId="6B62A3BE" w14:textId="6328F203" w:rsidR="00DF6592" w:rsidRPr="00555879" w:rsidRDefault="00DF6592" w:rsidP="00DF6592">
      <w:pPr>
        <w:rPr>
          <w:lang w:val="en-GB"/>
        </w:rPr>
      </w:pPr>
      <w:r w:rsidRPr="00555879">
        <w:rPr>
          <w:lang w:val="en-GB"/>
        </w:rPr>
        <w:t>Study MG0004 enrolled 71</w:t>
      </w:r>
      <w:r w:rsidR="00EA0F3D">
        <w:rPr>
          <w:lang w:val="en-GB"/>
        </w:rPr>
        <w:t> </w:t>
      </w:r>
      <w:r w:rsidRPr="00555879">
        <w:rPr>
          <w:lang w:val="en-GB"/>
        </w:rPr>
        <w:t>patients (among which 12 ha</w:t>
      </w:r>
      <w:r w:rsidR="00EA0F3D">
        <w:rPr>
          <w:lang w:val="en-GB"/>
        </w:rPr>
        <w:t>d</w:t>
      </w:r>
      <w:r w:rsidRPr="00555879">
        <w:rPr>
          <w:lang w:val="en-GB"/>
        </w:rPr>
        <w:t xml:space="preserve"> received placebo in MG0003) for up to 60</w:t>
      </w:r>
      <w:r w:rsidR="00EA0F3D">
        <w:rPr>
          <w:lang w:val="en-GB"/>
        </w:rPr>
        <w:t> </w:t>
      </w:r>
      <w:r w:rsidRPr="00555879">
        <w:rPr>
          <w:lang w:val="en-GB"/>
        </w:rPr>
        <w:t>weeks to evaluate the safety and efficacy of weekly rozanolixizumab treatment of up to 52</w:t>
      </w:r>
      <w:r w:rsidR="00EA0F3D">
        <w:rPr>
          <w:lang w:val="en-GB"/>
        </w:rPr>
        <w:t> </w:t>
      </w:r>
      <w:r w:rsidRPr="00555879">
        <w:rPr>
          <w:lang w:val="en-GB"/>
        </w:rPr>
        <w:t>weeks followed by an observation period of 8</w:t>
      </w:r>
      <w:r w:rsidR="00EA0F3D">
        <w:rPr>
          <w:lang w:val="en-GB"/>
        </w:rPr>
        <w:t> </w:t>
      </w:r>
      <w:r w:rsidRPr="00555879">
        <w:rPr>
          <w:lang w:val="en-GB"/>
        </w:rPr>
        <w:t>weeks. Patients were randomised to receive rozanolixizumab ≈7 mg/kg (n=35) or ≈10 mg/kg(n=36); all but one received at least 1</w:t>
      </w:r>
      <w:r w:rsidR="00EA0F3D">
        <w:rPr>
          <w:lang w:val="en-GB"/>
        </w:rPr>
        <w:t> </w:t>
      </w:r>
      <w:r w:rsidRPr="00555879">
        <w:rPr>
          <w:lang w:val="en-GB"/>
        </w:rPr>
        <w:t>dose of treatment. Primary objectives were to evaluate the long-term safety and tolerability, and secondary objectives were to evaluate efficacy of up to 52</w:t>
      </w:r>
      <w:r w:rsidR="00EA0F3D">
        <w:rPr>
          <w:lang w:val="en-GB"/>
        </w:rPr>
        <w:t> </w:t>
      </w:r>
      <w:r w:rsidRPr="00555879">
        <w:rPr>
          <w:lang w:val="en-GB"/>
        </w:rPr>
        <w:t>weeks of weekly administered rozanolixizumab.</w:t>
      </w:r>
    </w:p>
    <w:p w14:paraId="4230A270" w14:textId="02454613" w:rsidR="00DF6592" w:rsidRDefault="00DF6592" w:rsidP="00DF6592">
      <w:pPr>
        <w:rPr>
          <w:lang w:val="en-GB"/>
        </w:rPr>
      </w:pPr>
      <w:r w:rsidRPr="00555879">
        <w:rPr>
          <w:lang w:val="en-GB"/>
        </w:rPr>
        <w:lastRenderedPageBreak/>
        <w:t>Once MG0007 study was initiated, MG0004 enrolment closed (the number of study participants in MG0004 decreased steadily after Week</w:t>
      </w:r>
      <w:r w:rsidR="00B76E25">
        <w:rPr>
          <w:lang w:val="en-GB"/>
        </w:rPr>
        <w:t> </w:t>
      </w:r>
      <w:r w:rsidRPr="00555879">
        <w:rPr>
          <w:lang w:val="en-GB"/>
        </w:rPr>
        <w:t>22), and ongoing MG0004 patients after a minimum of 6</w:t>
      </w:r>
      <w:r w:rsidR="00B76E25">
        <w:rPr>
          <w:lang w:val="en-GB"/>
        </w:rPr>
        <w:t> </w:t>
      </w:r>
      <w:r w:rsidRPr="00555879">
        <w:rPr>
          <w:lang w:val="en-GB"/>
        </w:rPr>
        <w:t xml:space="preserve">visits were eligible to enter MG0007. Eight (11.3%) study participants completed the study. </w:t>
      </w:r>
      <w:proofErr w:type="gramStart"/>
      <w:r w:rsidRPr="00555879">
        <w:rPr>
          <w:lang w:val="en-GB"/>
        </w:rPr>
        <w:t>The majority of</w:t>
      </w:r>
      <w:proofErr w:type="gramEnd"/>
      <w:r w:rsidRPr="00555879">
        <w:rPr>
          <w:lang w:val="en-GB"/>
        </w:rPr>
        <w:t xml:space="preserve"> participants permanently discontinued the study, principally to transition to the MG0007 study (n=53, 74.6%). Three (4.2%) participants permanently discontinued the study due to TEAEs while 2 (2.8%) participants withdrew from the study.</w:t>
      </w:r>
    </w:p>
    <w:p w14:paraId="5ED48A9D" w14:textId="116B4B64" w:rsidR="00DF6592" w:rsidRPr="00555879" w:rsidRDefault="00DF6592" w:rsidP="00DF6592">
      <w:pPr>
        <w:rPr>
          <w:lang w:val="en-GB"/>
        </w:rPr>
      </w:pPr>
      <w:r w:rsidRPr="00555879">
        <w:rPr>
          <w:lang w:val="en-GB"/>
        </w:rPr>
        <w:t xml:space="preserve">The population enrolled in the study was representative of a </w:t>
      </w:r>
      <w:proofErr w:type="spellStart"/>
      <w:r w:rsidRPr="00555879">
        <w:rPr>
          <w:lang w:val="en-GB"/>
        </w:rPr>
        <w:t>gMG</w:t>
      </w:r>
      <w:proofErr w:type="spellEnd"/>
      <w:r w:rsidRPr="00555879">
        <w:rPr>
          <w:lang w:val="en-GB"/>
        </w:rPr>
        <w:t xml:space="preserve"> patient population with moderate to severe disease: at MG0004 Baseline, the mean (SD) MG-ADL score was 8.4 (3.6), the mean (SD) MG-C score was 15.4 (7.3), and the mean (SD) QMG score was 15.3 (5.3). In addition, &gt;80% of study participants were anti-</w:t>
      </w:r>
      <w:proofErr w:type="spellStart"/>
      <w:r w:rsidRPr="00555879">
        <w:rPr>
          <w:lang w:val="en-GB"/>
        </w:rPr>
        <w:t>AChR</w:t>
      </w:r>
      <w:proofErr w:type="spellEnd"/>
      <w:r w:rsidRPr="00555879">
        <w:rPr>
          <w:lang w:val="en-GB"/>
        </w:rPr>
        <w:t xml:space="preserve">+ and </w:t>
      </w:r>
      <w:r w:rsidR="0073318B">
        <w:rPr>
          <w:lang w:val="en-GB"/>
        </w:rPr>
        <w:t>≈</w:t>
      </w:r>
      <w:r w:rsidRPr="00555879">
        <w:rPr>
          <w:lang w:val="en-GB"/>
        </w:rPr>
        <w:t>10% were anti-</w:t>
      </w:r>
      <w:proofErr w:type="spellStart"/>
      <w:r w:rsidRPr="00555879">
        <w:rPr>
          <w:lang w:val="en-GB"/>
        </w:rPr>
        <w:t>MuSK</w:t>
      </w:r>
      <w:proofErr w:type="spellEnd"/>
      <w:r w:rsidRPr="00555879">
        <w:rPr>
          <w:lang w:val="en-GB"/>
        </w:rPr>
        <w:t>+ (assessed at MG0003 Baseline).</w:t>
      </w:r>
    </w:p>
    <w:p w14:paraId="1AD68067" w14:textId="65B8A9C1" w:rsidR="00DF6592" w:rsidRPr="00555879" w:rsidRDefault="00DF6592" w:rsidP="00DF6592">
      <w:pPr>
        <w:rPr>
          <w:lang w:val="en-GB"/>
        </w:rPr>
      </w:pPr>
      <w:r w:rsidRPr="00555879">
        <w:rPr>
          <w:lang w:val="en-GB"/>
        </w:rPr>
        <w:t xml:space="preserve">In both treatment groups, &gt;75% of study participants had an exposure ≥3 months and </w:t>
      </w:r>
      <w:r w:rsidRPr="001F5860">
        <w:rPr>
          <w:lang w:val="en-GB"/>
        </w:rPr>
        <w:t>approximately one</w:t>
      </w:r>
      <w:r w:rsidR="002B47B6" w:rsidRPr="001F5860">
        <w:rPr>
          <w:lang w:val="en-GB"/>
        </w:rPr>
        <w:t>-</w:t>
      </w:r>
      <w:r w:rsidRPr="001F5860">
        <w:rPr>
          <w:lang w:val="en-GB"/>
        </w:rPr>
        <w:t>third had an exposure ≥6</w:t>
      </w:r>
      <w:r w:rsidR="000A5225" w:rsidRPr="001F5860">
        <w:rPr>
          <w:lang w:val="en-GB"/>
        </w:rPr>
        <w:t> </w:t>
      </w:r>
      <w:r w:rsidRPr="001F5860">
        <w:rPr>
          <w:lang w:val="en-GB"/>
        </w:rPr>
        <w:t>months. Study participants in MG0004 were</w:t>
      </w:r>
      <w:r w:rsidRPr="00555879">
        <w:rPr>
          <w:lang w:val="en-GB"/>
        </w:rPr>
        <w:t xml:space="preserve"> allowed to switch treatment groups for tolerability and efficacy reasons at the discretion of the </w:t>
      </w:r>
      <w:r w:rsidR="008135B7">
        <w:rPr>
          <w:lang w:val="en-GB"/>
        </w:rPr>
        <w:t>i</w:t>
      </w:r>
      <w:r w:rsidRPr="00555879">
        <w:rPr>
          <w:lang w:val="en-GB"/>
        </w:rPr>
        <w:t>nvestigator. Efficacy analyses in MG0004 were conducted by first administered dose (</w:t>
      </w:r>
      <w:r w:rsidR="008135B7">
        <w:rPr>
          <w:lang w:val="en-GB"/>
        </w:rPr>
        <w:t xml:space="preserve">that is, </w:t>
      </w:r>
      <w:r w:rsidRPr="00555879">
        <w:rPr>
          <w:lang w:val="en-GB"/>
        </w:rPr>
        <w:t>study participants as randomi</w:t>
      </w:r>
      <w:r w:rsidR="008135B7">
        <w:rPr>
          <w:lang w:val="en-GB"/>
        </w:rPr>
        <w:t>s</w:t>
      </w:r>
      <w:r w:rsidRPr="00555879">
        <w:rPr>
          <w:lang w:val="en-GB"/>
        </w:rPr>
        <w:t>ed).</w:t>
      </w:r>
    </w:p>
    <w:p w14:paraId="3208C151" w14:textId="77777777" w:rsidR="00DF6592" w:rsidRPr="00555879" w:rsidRDefault="00DF6592" w:rsidP="00DF6592">
      <w:pPr>
        <w:rPr>
          <w:lang w:val="en-GB"/>
        </w:rPr>
      </w:pPr>
      <w:r w:rsidRPr="00555879">
        <w:rPr>
          <w:lang w:val="en-GB"/>
        </w:rPr>
        <w:t>Improvements (reduction from Baseline) were observed for MG-ADL, MG-C and QMG in both rozanolixizumab treatment groups with a consistent trend observed up to Week 33 (beyond that timepoint the number of study participants that continued in the study was ≤10 per treatment group at any scheduled timepoint). Overall, the mean reduction from Baseline up to Week 33 ranged between:</w:t>
      </w:r>
    </w:p>
    <w:p w14:paraId="14ED085C" w14:textId="56DC08D2" w:rsidR="00DF6592" w:rsidRPr="009932B4" w:rsidRDefault="00DF6592" w:rsidP="009932B4">
      <w:pPr>
        <w:pStyle w:val="ListBullet"/>
        <w:rPr>
          <w:lang w:val="en-GB"/>
        </w:rPr>
      </w:pPr>
      <w:r w:rsidRPr="009932B4">
        <w:rPr>
          <w:lang w:val="en-GB"/>
        </w:rPr>
        <w:t xml:space="preserve">MG-ADL: across visits during rozanolixizumab treatment, the mean decrease from Baseline for rozanolixizumab overall ranged between </w:t>
      </w:r>
      <w:r w:rsidR="00BF235D">
        <w:rPr>
          <w:lang w:val="en-GB"/>
        </w:rPr>
        <w:t>−</w:t>
      </w:r>
      <w:r w:rsidRPr="009932B4">
        <w:rPr>
          <w:lang w:val="en-GB"/>
        </w:rPr>
        <w:t xml:space="preserve">2.9 and </w:t>
      </w:r>
      <w:r w:rsidR="00BF235D">
        <w:rPr>
          <w:lang w:val="en-GB"/>
        </w:rPr>
        <w:t>−</w:t>
      </w:r>
      <w:r w:rsidRPr="009932B4">
        <w:rPr>
          <w:lang w:val="en-GB"/>
        </w:rPr>
        <w:t>3.6 in MG0004 (up to Week 33)</w:t>
      </w:r>
    </w:p>
    <w:p w14:paraId="64667348" w14:textId="0132D632" w:rsidR="00DF6592" w:rsidRPr="009932B4" w:rsidRDefault="00DF6592" w:rsidP="009932B4">
      <w:pPr>
        <w:pStyle w:val="ListBullet"/>
        <w:rPr>
          <w:lang w:val="en-GB"/>
        </w:rPr>
      </w:pPr>
      <w:r w:rsidRPr="009932B4">
        <w:rPr>
          <w:lang w:val="en-GB"/>
        </w:rPr>
        <w:t xml:space="preserve">MG-C: across visits during rozanolixizumab treatment, the mean decrease from Baseline for rozanolixizumab overall ranged between </w:t>
      </w:r>
      <w:r w:rsidR="00BF235D">
        <w:rPr>
          <w:lang w:val="en-GB"/>
        </w:rPr>
        <w:t>−</w:t>
      </w:r>
      <w:r w:rsidRPr="009932B4">
        <w:rPr>
          <w:lang w:val="en-GB"/>
        </w:rPr>
        <w:t xml:space="preserve">5.0 and </w:t>
      </w:r>
      <w:r w:rsidR="00BF235D">
        <w:rPr>
          <w:lang w:val="en-GB"/>
        </w:rPr>
        <w:t>−</w:t>
      </w:r>
      <w:r w:rsidRPr="009932B4">
        <w:rPr>
          <w:lang w:val="en-GB"/>
        </w:rPr>
        <w:t xml:space="preserve">7.4 in MG0004 (up to Week 33) compared with </w:t>
      </w:r>
      <w:r w:rsidR="00BF235D">
        <w:rPr>
          <w:lang w:val="en-GB"/>
        </w:rPr>
        <w:t>−</w:t>
      </w:r>
      <w:r w:rsidRPr="009932B4">
        <w:rPr>
          <w:lang w:val="en-GB"/>
        </w:rPr>
        <w:t xml:space="preserve">2.9 and </w:t>
      </w:r>
      <w:r w:rsidR="00BF235D">
        <w:rPr>
          <w:lang w:val="en-GB"/>
        </w:rPr>
        <w:t>−</w:t>
      </w:r>
      <w:r w:rsidRPr="009932B4">
        <w:rPr>
          <w:lang w:val="en-GB"/>
        </w:rPr>
        <w:t>6.6 in MG0003</w:t>
      </w:r>
    </w:p>
    <w:p w14:paraId="49618465" w14:textId="1E5F9D27" w:rsidR="00DF6592" w:rsidRPr="009932B4" w:rsidRDefault="00DF6592" w:rsidP="009932B4">
      <w:pPr>
        <w:pStyle w:val="ListBullet"/>
        <w:rPr>
          <w:lang w:val="en-GB"/>
        </w:rPr>
      </w:pPr>
      <w:r w:rsidRPr="009932B4">
        <w:rPr>
          <w:lang w:val="en-GB"/>
        </w:rPr>
        <w:t xml:space="preserve">QMG: across visits during rozanolixizumab treatment, the mean decrease from Baseline for rozanolixizumab overall ranged between </w:t>
      </w:r>
      <w:r w:rsidR="00BF235D">
        <w:rPr>
          <w:lang w:val="en-GB"/>
        </w:rPr>
        <w:t>−</w:t>
      </w:r>
      <w:r w:rsidRPr="009932B4">
        <w:rPr>
          <w:lang w:val="en-GB"/>
        </w:rPr>
        <w:t xml:space="preserve">3.7 and </w:t>
      </w:r>
      <w:r w:rsidR="00BF235D">
        <w:rPr>
          <w:lang w:val="en-GB"/>
        </w:rPr>
        <w:t>−</w:t>
      </w:r>
      <w:r w:rsidRPr="009932B4">
        <w:rPr>
          <w:lang w:val="en-GB"/>
        </w:rPr>
        <w:t xml:space="preserve">5.6 in MG0004 (up to Week 33) compared with </w:t>
      </w:r>
      <w:r w:rsidR="00BF235D">
        <w:rPr>
          <w:lang w:val="en-GB"/>
        </w:rPr>
        <w:t>−</w:t>
      </w:r>
      <w:r w:rsidRPr="009932B4">
        <w:rPr>
          <w:lang w:val="en-GB"/>
        </w:rPr>
        <w:t xml:space="preserve">2.3 and </w:t>
      </w:r>
      <w:r w:rsidR="00CB12C7">
        <w:rPr>
          <w:lang w:val="en-GB"/>
        </w:rPr>
        <w:t>−</w:t>
      </w:r>
      <w:r w:rsidRPr="009932B4">
        <w:rPr>
          <w:lang w:val="en-GB"/>
        </w:rPr>
        <w:t>4.9 in MG0003.</w:t>
      </w:r>
    </w:p>
    <w:p w14:paraId="2257A034" w14:textId="069A0ADA" w:rsidR="006F6D82" w:rsidRDefault="006F6D82" w:rsidP="00AA1A22">
      <w:pPr>
        <w:pStyle w:val="TableTitle"/>
      </w:pPr>
      <w:r>
        <w:lastRenderedPageBreak/>
        <w:t xml:space="preserve">Table </w:t>
      </w:r>
      <w:r>
        <w:fldChar w:fldCharType="begin"/>
      </w:r>
      <w:r>
        <w:instrText xml:space="preserve"> SEQ Table \* ARABIC </w:instrText>
      </w:r>
      <w:r>
        <w:fldChar w:fldCharType="separate"/>
      </w:r>
      <w:r w:rsidR="00CA7747">
        <w:rPr>
          <w:noProof/>
        </w:rPr>
        <w:t>8</w:t>
      </w:r>
      <w:r>
        <w:fldChar w:fldCharType="end"/>
      </w:r>
      <w:r>
        <w:t xml:space="preserve">: Study </w:t>
      </w:r>
      <w:r w:rsidR="00AA1A22">
        <w:t>MG0004</w:t>
      </w:r>
      <w:r w:rsidR="00BD1677" w:rsidRPr="00BD1677">
        <w:rPr>
          <w:lang w:val="en-GB"/>
        </w:rPr>
        <w:t xml:space="preserve"> </w:t>
      </w:r>
      <w:r w:rsidR="00ED178C" w:rsidRPr="00E86D7A">
        <w:rPr>
          <w:iCs/>
        </w:rPr>
        <w:t xml:space="preserve">Myasthenia Gravis Activities of Daily Living </w:t>
      </w:r>
      <w:r w:rsidR="00BD1677" w:rsidRPr="00555879">
        <w:rPr>
          <w:lang w:val="en-GB"/>
        </w:rPr>
        <w:t>total score observed results and changes from Baseline over time (Safety Set</w:t>
      </w:r>
      <w:r w:rsidR="00AA1A22">
        <w:rPr>
          <w:lang w:val="en-GB"/>
        </w:rPr>
        <w:t>)</w:t>
      </w:r>
    </w:p>
    <w:p w14:paraId="0999AF5C" w14:textId="67E913DE" w:rsidR="006F6D82" w:rsidRDefault="006F6D82" w:rsidP="00886710">
      <w:r w:rsidRPr="00555879">
        <w:rPr>
          <w:rFonts w:eastAsia="Calibri"/>
          <w:noProof/>
          <w:kern w:val="2"/>
          <w:lang w:val="en-GB"/>
          <w14:ligatures w14:val="standardContextual"/>
        </w:rPr>
        <w:drawing>
          <wp:inline distT="0" distB="0" distL="0" distR="0" wp14:anchorId="73AC155F" wp14:editId="365DDD93">
            <wp:extent cx="5759450" cy="3844403"/>
            <wp:effectExtent l="0" t="0" r="0" b="3810"/>
            <wp:docPr id="1941830687" name="Picture 1" descr="A table of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90996" name="Picture 1" descr="A table of numbers and a number&#10;&#10;Description automatically generated with medium confidence"/>
                    <pic:cNvPicPr/>
                  </pic:nvPicPr>
                  <pic:blipFill>
                    <a:blip r:embed="rId38">
                      <a:extLst>
                        <a:ext uri="{BEBA8EAE-BF5A-486C-A8C5-ECC9F3942E4B}">
                          <a14:imgProps xmlns:a14="http://schemas.microsoft.com/office/drawing/2010/main">
                            <a14:imgLayer r:embed="rId39">
                              <a14:imgEffect>
                                <a14:sharpenSoften amount="40000"/>
                              </a14:imgEffect>
                            </a14:imgLayer>
                          </a14:imgProps>
                        </a:ext>
                      </a:extLst>
                    </a:blip>
                    <a:stretch>
                      <a:fillRect/>
                    </a:stretch>
                  </pic:blipFill>
                  <pic:spPr>
                    <a:xfrm>
                      <a:off x="0" y="0"/>
                      <a:ext cx="5759450" cy="3844403"/>
                    </a:xfrm>
                    <a:prstGeom prst="rect">
                      <a:avLst/>
                    </a:prstGeom>
                  </pic:spPr>
                </pic:pic>
              </a:graphicData>
            </a:graphic>
          </wp:inline>
        </w:drawing>
      </w:r>
    </w:p>
    <w:p w14:paraId="524DDAD2" w14:textId="7B2D0281" w:rsidR="0016037C" w:rsidRDefault="0058662B" w:rsidP="0058662B">
      <w:pPr>
        <w:pStyle w:val="TableDescription"/>
        <w:rPr>
          <w:lang w:val="en-GB"/>
        </w:rPr>
      </w:pPr>
      <w:r w:rsidRPr="00555879">
        <w:rPr>
          <w:lang w:val="en-GB"/>
        </w:rPr>
        <w:t>≈=equivalent dose; IMP=investigational medicinal product; max=maximum; MG-ADL=Myasthenia Gravis Activities of Daily Living; min=minimum; n=number of study participants; N=total number of study participants in treatment group; RLZ=rozanolixizumab; SD=standard deviation</w:t>
      </w:r>
    </w:p>
    <w:p w14:paraId="4F2FE33A" w14:textId="08C61849" w:rsidR="0016037C" w:rsidRDefault="0058662B" w:rsidP="0058662B">
      <w:pPr>
        <w:pStyle w:val="TableDescription"/>
        <w:rPr>
          <w:lang w:val="en-GB"/>
        </w:rPr>
      </w:pPr>
      <w:r w:rsidRPr="00555879">
        <w:rPr>
          <w:lang w:val="en-GB"/>
        </w:rPr>
        <w:t>Note: Not all timepoints are shown.</w:t>
      </w:r>
    </w:p>
    <w:p w14:paraId="32968D5F" w14:textId="77777777" w:rsidR="0016037C" w:rsidRDefault="0058662B" w:rsidP="0058662B">
      <w:pPr>
        <w:pStyle w:val="TableDescription"/>
        <w:rPr>
          <w:lang w:val="en-GB"/>
        </w:rPr>
      </w:pPr>
      <w:r w:rsidRPr="00555879">
        <w:rPr>
          <w:lang w:val="en-GB"/>
        </w:rPr>
        <w:t>Note: Baseline was defined as the last available value before or on the same date of first administration of IMP in MG0004.</w:t>
      </w:r>
    </w:p>
    <w:p w14:paraId="50964954" w14:textId="670B2BA7" w:rsidR="0058662B" w:rsidRDefault="0058662B" w:rsidP="0058662B">
      <w:pPr>
        <w:pStyle w:val="TableDescription"/>
        <w:rPr>
          <w:lang w:val="en-GB"/>
        </w:rPr>
      </w:pPr>
      <w:r w:rsidRPr="00555879">
        <w:rPr>
          <w:lang w:val="en-GB"/>
        </w:rPr>
        <w:t>Note: The total MG-ADL score ranges from 0 to 24 with a higher score indicating more severe disability</w:t>
      </w:r>
      <w:r w:rsidR="0016037C">
        <w:rPr>
          <w:lang w:val="en-GB"/>
        </w:rPr>
        <w:t>.</w:t>
      </w:r>
    </w:p>
    <w:p w14:paraId="34FB8B14" w14:textId="4B749492" w:rsidR="00FB2F45" w:rsidRPr="00555879" w:rsidRDefault="00FB2F45" w:rsidP="00FB2F45">
      <w:pPr>
        <w:rPr>
          <w:lang w:val="en-GB"/>
        </w:rPr>
      </w:pPr>
      <w:r w:rsidRPr="00555879">
        <w:rPr>
          <w:lang w:val="en-GB"/>
        </w:rPr>
        <w:t>The use of rescue medication was low (total of 4 [5.7%] study participants overall, only 2 of them while receiving rozanolixizumab).</w:t>
      </w:r>
    </w:p>
    <w:p w14:paraId="311348AC" w14:textId="77777777" w:rsidR="00FB2F45" w:rsidRPr="00555879" w:rsidRDefault="00FB2F45" w:rsidP="00FB2F45">
      <w:pPr>
        <w:rPr>
          <w:lang w:val="en-GB"/>
        </w:rPr>
      </w:pPr>
      <w:r w:rsidRPr="00555879">
        <w:rPr>
          <w:lang w:val="en-GB"/>
        </w:rPr>
        <w:t>The subgroup of anti-</w:t>
      </w:r>
      <w:proofErr w:type="spellStart"/>
      <w:r w:rsidRPr="00555879">
        <w:rPr>
          <w:lang w:val="en-GB"/>
        </w:rPr>
        <w:t>AChR</w:t>
      </w:r>
      <w:proofErr w:type="spellEnd"/>
      <w:r w:rsidRPr="00555879">
        <w:rPr>
          <w:lang w:val="en-GB"/>
        </w:rPr>
        <w:t xml:space="preserve">+ study participants showed a trend in MG-ADL, MG-C and QMG score change from Baseline </w:t>
      </w:r>
      <w:proofErr w:type="gramStart"/>
      <w:r w:rsidRPr="00555879">
        <w:rPr>
          <w:lang w:val="en-GB"/>
        </w:rPr>
        <w:t>similar to</w:t>
      </w:r>
      <w:proofErr w:type="gramEnd"/>
      <w:r w:rsidRPr="00555879">
        <w:rPr>
          <w:lang w:val="en-GB"/>
        </w:rPr>
        <w:t xml:space="preserve"> the overall population. This improvement in clinical scales was associated with a decrease in the percentage change from Baseline in total serum IgG and </w:t>
      </w:r>
      <w:proofErr w:type="spellStart"/>
      <w:r w:rsidRPr="00555879">
        <w:rPr>
          <w:lang w:val="en-GB"/>
        </w:rPr>
        <w:t>AChR</w:t>
      </w:r>
      <w:proofErr w:type="spellEnd"/>
      <w:r w:rsidRPr="00555879">
        <w:rPr>
          <w:lang w:val="en-GB"/>
        </w:rPr>
        <w:t xml:space="preserve"> autoantibody levels.</w:t>
      </w:r>
    </w:p>
    <w:p w14:paraId="4BD7B01F" w14:textId="62A59C49" w:rsidR="00FB2F45" w:rsidRPr="00555879" w:rsidRDefault="00FB2F45" w:rsidP="00FB2F45">
      <w:pPr>
        <w:rPr>
          <w:lang w:val="en-GB"/>
        </w:rPr>
      </w:pPr>
      <w:r w:rsidRPr="00555879">
        <w:rPr>
          <w:lang w:val="en-GB"/>
        </w:rPr>
        <w:t>For study participants who worsened before entering MG0004, the majority were MG-ADL, MG-C, and QMG responders up to Week 45.</w:t>
      </w:r>
    </w:p>
    <w:p w14:paraId="2C8C7399" w14:textId="19E04C41" w:rsidR="00FB2F45" w:rsidRPr="00555879" w:rsidRDefault="00FB2F45" w:rsidP="00FB2F45">
      <w:pPr>
        <w:rPr>
          <w:lang w:val="en-GB"/>
        </w:rPr>
      </w:pPr>
      <w:r w:rsidRPr="00555879">
        <w:rPr>
          <w:lang w:val="en-GB"/>
        </w:rPr>
        <w:t>Overall, 37 (53.6%) study participants developed ADA against rozanolixizumab, and approximately half of them (18 [26.1%]) developed ADA that were neutrali</w:t>
      </w:r>
      <w:r w:rsidR="00F20468">
        <w:rPr>
          <w:lang w:val="en-GB"/>
        </w:rPr>
        <w:t>s</w:t>
      </w:r>
      <w:r w:rsidRPr="00555879">
        <w:rPr>
          <w:lang w:val="en-GB"/>
        </w:rPr>
        <w:t xml:space="preserve">ing. For most study </w:t>
      </w:r>
      <w:r w:rsidRPr="006C063C">
        <w:rPr>
          <w:lang w:val="en-GB"/>
        </w:rPr>
        <w:t xml:space="preserve">participants, the first occurrence of </w:t>
      </w:r>
      <w:r w:rsidR="006C063C" w:rsidRPr="006C063C">
        <w:rPr>
          <w:color w:val="000000" w:themeColor="text1"/>
          <w:lang w:val="en-US" w:eastAsia="ja-JP"/>
        </w:rPr>
        <w:t>treatment emergent anti-drug antibodies (</w:t>
      </w:r>
      <w:r w:rsidRPr="006C063C">
        <w:rPr>
          <w:lang w:val="en-GB"/>
        </w:rPr>
        <w:t>TE-ADA</w:t>
      </w:r>
      <w:r w:rsidR="006C063C" w:rsidRPr="006C063C">
        <w:rPr>
          <w:lang w:val="en-GB"/>
        </w:rPr>
        <w:t>)</w:t>
      </w:r>
      <w:r w:rsidRPr="00555879">
        <w:rPr>
          <w:lang w:val="en-GB"/>
        </w:rPr>
        <w:t xml:space="preserve"> positivity was at Week 5 (14 [20.3%] study participants overall) or Week 9 (6 [9.8%]); only 7 study participants were TE-ADA positive for the first time at a later timepoint. The increase in the incidence of ADA positivity in study participants who restarted rozanolixizumab compared with those who were previously treated with placebo (46.2% vs 38.1%), in combination with the overall higher incidence of ADA positivity in MG0004 compared with MG0003 (53.6% vs 37.2%), suggest an increase in immunogenicity upon reinitiation of rozanolixizumab treatment.</w:t>
      </w:r>
    </w:p>
    <w:p w14:paraId="233B825C" w14:textId="763F56C6" w:rsidR="00FB2F45" w:rsidRPr="00555879" w:rsidRDefault="00FB2F45" w:rsidP="00FB2F45">
      <w:pPr>
        <w:rPr>
          <w:lang w:val="en-GB"/>
        </w:rPr>
      </w:pPr>
      <w:r w:rsidRPr="00947AE7">
        <w:rPr>
          <w:lang w:val="en-GB"/>
        </w:rPr>
        <w:lastRenderedPageBreak/>
        <w:t xml:space="preserve">Irrespective of the treatment cycle, </w:t>
      </w:r>
      <w:proofErr w:type="gramStart"/>
      <w:r w:rsidRPr="00947AE7">
        <w:rPr>
          <w:lang w:val="en-GB"/>
        </w:rPr>
        <w:t>the majority of</w:t>
      </w:r>
      <w:proofErr w:type="gramEnd"/>
      <w:r w:rsidRPr="00947AE7">
        <w:rPr>
          <w:lang w:val="en-GB"/>
        </w:rPr>
        <w:t xml:space="preserve"> study participants had treatment-free intervals between</w:t>
      </w:r>
      <w:r w:rsidRPr="00555879">
        <w:rPr>
          <w:lang w:val="en-GB"/>
        </w:rPr>
        <w:t xml:space="preserve"> 4 and 13</w:t>
      </w:r>
      <w:r w:rsidR="00947AE7">
        <w:rPr>
          <w:lang w:val="en-GB"/>
        </w:rPr>
        <w:t> </w:t>
      </w:r>
      <w:r w:rsidRPr="00555879">
        <w:rPr>
          <w:lang w:val="en-GB"/>
        </w:rPr>
        <w:t>weeks. The estimated median for the first treatment-free interval was approximately 9</w:t>
      </w:r>
      <w:r w:rsidR="00264959">
        <w:rPr>
          <w:lang w:val="en-GB"/>
        </w:rPr>
        <w:t> </w:t>
      </w:r>
      <w:r w:rsidRPr="00555879">
        <w:rPr>
          <w:lang w:val="en-GB"/>
        </w:rPr>
        <w:t>weeks and remained unchanged for the next interval. For the subset of patients with a higher frequency of treatment cycles, shorter treatment-free intervals of 5 to 7</w:t>
      </w:r>
      <w:r w:rsidR="00264959">
        <w:rPr>
          <w:lang w:val="en-GB"/>
        </w:rPr>
        <w:t> </w:t>
      </w:r>
      <w:r w:rsidRPr="00555879">
        <w:rPr>
          <w:lang w:val="en-GB"/>
        </w:rPr>
        <w:t>weeks were observed. From cycle to cycle around 10% of the study participants had a treatment-free interval shorter than 4</w:t>
      </w:r>
      <w:r w:rsidR="002E1F4C">
        <w:rPr>
          <w:lang w:val="en-GB"/>
        </w:rPr>
        <w:t> </w:t>
      </w:r>
      <w:r w:rsidRPr="00555879">
        <w:rPr>
          <w:lang w:val="en-GB"/>
        </w:rPr>
        <w:t>weeks.</w:t>
      </w:r>
    </w:p>
    <w:p w14:paraId="3D04CBBA" w14:textId="095EE8C6" w:rsidR="00FB2F45" w:rsidRPr="00555879" w:rsidRDefault="00FB2F45" w:rsidP="00FB2F45">
      <w:pPr>
        <w:rPr>
          <w:lang w:val="en-GB"/>
        </w:rPr>
      </w:pPr>
      <w:r w:rsidRPr="00555879">
        <w:rPr>
          <w:lang w:val="en-GB"/>
        </w:rPr>
        <w:t xml:space="preserve">In the pool of placebo-controlled study MG0003 and long-term extension study MG0007 data, after one treatment cycle of 6 rozanolixizumab weekly doses, 27.1% (42/155) of patients developed ADA and 10.3% (16/155) had antibodies that were classified as </w:t>
      </w:r>
      <w:r w:rsidR="00251249">
        <w:rPr>
          <w:lang w:val="en-GB"/>
        </w:rPr>
        <w:t xml:space="preserve">neutralising </w:t>
      </w:r>
      <w:r w:rsidR="00251249" w:rsidRPr="00251249">
        <w:rPr>
          <w:lang w:val="en-GB"/>
        </w:rPr>
        <w:t>antibodies (</w:t>
      </w:r>
      <w:proofErr w:type="spellStart"/>
      <w:r w:rsidRPr="00251249">
        <w:rPr>
          <w:lang w:val="en-GB"/>
        </w:rPr>
        <w:t>N</w:t>
      </w:r>
      <w:r w:rsidR="00251249">
        <w:rPr>
          <w:lang w:val="en-GB"/>
        </w:rPr>
        <w:t>A</w:t>
      </w:r>
      <w:r w:rsidRPr="00251249">
        <w:rPr>
          <w:lang w:val="en-GB"/>
        </w:rPr>
        <w:t>b</w:t>
      </w:r>
      <w:proofErr w:type="spellEnd"/>
      <w:r w:rsidR="00251249" w:rsidRPr="00251249">
        <w:rPr>
          <w:lang w:val="en-GB"/>
        </w:rPr>
        <w:t>)</w:t>
      </w:r>
      <w:r w:rsidRPr="00251249">
        <w:rPr>
          <w:lang w:val="en-GB"/>
        </w:rPr>
        <w:t>. Upon reinitiating therapy, the proportion of patients who developed ADA and</w:t>
      </w:r>
      <w:r w:rsidRPr="00555879">
        <w:rPr>
          <w:lang w:val="en-GB"/>
        </w:rPr>
        <w:t xml:space="preserve"> </w:t>
      </w:r>
      <w:proofErr w:type="spellStart"/>
      <w:r w:rsidRPr="00555879">
        <w:rPr>
          <w:lang w:val="en-GB"/>
        </w:rPr>
        <w:t>NAb</w:t>
      </w:r>
      <w:proofErr w:type="spellEnd"/>
      <w:r w:rsidRPr="00555879">
        <w:rPr>
          <w:lang w:val="en-GB"/>
        </w:rPr>
        <w:t xml:space="preserve"> increased to 65.0% (13/20) and 50.0% (10/20) after 5 treatment cycles. There was a small, non-clinically relevant effect of ADA on PK and PD, and no impact on efficacy and safety.</w:t>
      </w:r>
    </w:p>
    <w:p w14:paraId="761C9F75" w14:textId="51A1CE05" w:rsidR="00185DA6" w:rsidRPr="009D4459" w:rsidRDefault="00185DA6" w:rsidP="003F6A91">
      <w:pPr>
        <w:pStyle w:val="Heading4"/>
      </w:pPr>
      <w:bookmarkStart w:id="65" w:name="_Toc204161823"/>
      <w:bookmarkStart w:id="66" w:name="_Hlk108001812"/>
      <w:r w:rsidRPr="009D4459">
        <w:t xml:space="preserve">Clinical </w:t>
      </w:r>
      <w:r w:rsidR="0026361F">
        <w:t>s</w:t>
      </w:r>
      <w:r w:rsidRPr="009D4459">
        <w:t>afety</w:t>
      </w:r>
      <w:bookmarkEnd w:id="65"/>
    </w:p>
    <w:p w14:paraId="431E4C4E" w14:textId="77777777" w:rsidR="00185DA6" w:rsidRPr="009D4459" w:rsidRDefault="00185DA6" w:rsidP="00C530F3">
      <w:pPr>
        <w:pStyle w:val="Heading5"/>
        <w:rPr>
          <w:lang w:eastAsia="ja-JP"/>
        </w:rPr>
      </w:pPr>
      <w:r w:rsidRPr="009D4459">
        <w:rPr>
          <w:lang w:eastAsia="ja-JP"/>
        </w:rPr>
        <w:t>Exposure</w:t>
      </w:r>
    </w:p>
    <w:bookmarkEnd w:id="66"/>
    <w:p w14:paraId="7C622F76" w14:textId="6AFC32A1" w:rsidR="00185DA6" w:rsidRPr="00B97D94" w:rsidRDefault="00185DA6" w:rsidP="00185DA6">
      <w:pPr>
        <w:rPr>
          <w:rFonts w:eastAsia="Calibri" w:cs="Arial"/>
          <w:lang w:val="en-US"/>
        </w:rPr>
      </w:pPr>
      <w:r w:rsidRPr="00B97D94">
        <w:rPr>
          <w:rFonts w:eastAsia="Calibri" w:cs="Arial"/>
          <w:lang w:val="en-US"/>
        </w:rPr>
        <w:t xml:space="preserve">The safety evaluation of </w:t>
      </w:r>
      <w:r w:rsidR="000775A0">
        <w:rPr>
          <w:rFonts w:eastAsia="Calibri" w:cs="Arial"/>
          <w:lang w:val="en-US"/>
        </w:rPr>
        <w:t>rozanolixizumab</w:t>
      </w:r>
      <w:r w:rsidRPr="00B97D94">
        <w:rPr>
          <w:rFonts w:eastAsia="Calibri" w:cs="Arial"/>
          <w:lang w:val="en-US"/>
        </w:rPr>
        <w:t xml:space="preserve"> in </w:t>
      </w:r>
      <w:proofErr w:type="spellStart"/>
      <w:r w:rsidRPr="00B97D94">
        <w:rPr>
          <w:rFonts w:eastAsia="Calibri" w:cs="Arial"/>
          <w:lang w:val="en-US"/>
        </w:rPr>
        <w:t>gMG</w:t>
      </w:r>
      <w:proofErr w:type="spellEnd"/>
      <w:r w:rsidRPr="00B97D94">
        <w:rPr>
          <w:rFonts w:eastAsia="Calibri" w:cs="Arial"/>
          <w:lang w:val="en-US"/>
        </w:rPr>
        <w:t xml:space="preserve"> is primarily based on a comparison of data from 200 patients who received placebo (N=67) or </w:t>
      </w:r>
      <w:r w:rsidR="000775A0">
        <w:rPr>
          <w:rFonts w:eastAsia="Calibri" w:cs="Arial"/>
          <w:lang w:val="en-US"/>
        </w:rPr>
        <w:t>rozanolixizumab</w:t>
      </w:r>
      <w:r w:rsidRPr="00B97D94">
        <w:rPr>
          <w:rFonts w:eastAsia="Calibri" w:cs="Arial"/>
          <w:lang w:val="en-US"/>
        </w:rPr>
        <w:t xml:space="preserve"> administered at </w:t>
      </w:r>
      <w:r w:rsidRPr="000D53A5">
        <w:rPr>
          <w:rFonts w:eastAsia="Calibri" w:cs="Arial"/>
          <w:lang w:val="en-US"/>
        </w:rPr>
        <w:t>approximate doses of ≈7 mg/kg (N=64) or ≈10 mg/kg (N=69) in MG0003 (</w:t>
      </w:r>
      <w:r w:rsidR="00A1273E" w:rsidRPr="000D53A5">
        <w:rPr>
          <w:rFonts w:eastAsia="Calibri" w:cs="Arial"/>
          <w:lang w:val="en-US"/>
        </w:rPr>
        <w:t xml:space="preserve">that is, </w:t>
      </w:r>
      <w:r w:rsidRPr="000D53A5">
        <w:rPr>
          <w:rFonts w:eastAsia="Calibri" w:cs="Arial"/>
          <w:lang w:val="en-US"/>
        </w:rPr>
        <w:t>the pivotal</w:t>
      </w:r>
      <w:r w:rsidRPr="00B97D94">
        <w:rPr>
          <w:rFonts w:eastAsia="Calibri" w:cs="Arial"/>
          <w:lang w:val="en-US"/>
        </w:rPr>
        <w:t xml:space="preserve"> Phase </w:t>
      </w:r>
      <w:r w:rsidR="001F779A">
        <w:rPr>
          <w:rFonts w:eastAsia="Calibri" w:cs="Arial"/>
          <w:lang w:val="en-US"/>
        </w:rPr>
        <w:t>III</w:t>
      </w:r>
      <w:r w:rsidRPr="00B97D94">
        <w:rPr>
          <w:rFonts w:eastAsia="Calibri" w:cs="Arial"/>
          <w:lang w:val="en-US"/>
        </w:rPr>
        <w:t xml:space="preserve"> double-blind, </w:t>
      </w:r>
      <w:proofErr w:type="spellStart"/>
      <w:r w:rsidRPr="00B97D94">
        <w:rPr>
          <w:rFonts w:eastAsia="Calibri" w:cs="Arial"/>
          <w:lang w:val="en-US"/>
        </w:rPr>
        <w:t>randomi</w:t>
      </w:r>
      <w:r w:rsidR="00A1273E" w:rsidRPr="00B97D94">
        <w:rPr>
          <w:rFonts w:eastAsia="Calibri" w:cs="Arial"/>
          <w:lang w:val="en-US"/>
        </w:rPr>
        <w:t>s</w:t>
      </w:r>
      <w:r w:rsidRPr="00B97D94">
        <w:rPr>
          <w:rFonts w:eastAsia="Calibri" w:cs="Arial"/>
          <w:lang w:val="en-US"/>
        </w:rPr>
        <w:t>ed</w:t>
      </w:r>
      <w:proofErr w:type="spellEnd"/>
      <w:r w:rsidRPr="00B97D94">
        <w:rPr>
          <w:rFonts w:eastAsia="Calibri" w:cs="Arial"/>
          <w:lang w:val="en-US"/>
        </w:rPr>
        <w:t xml:space="preserve"> study)</w:t>
      </w:r>
      <w:bookmarkStart w:id="67" w:name="_Hlk158620505"/>
      <w:r w:rsidRPr="00B97D94">
        <w:rPr>
          <w:rFonts w:eastAsia="Calibri" w:cs="Arial"/>
          <w:lang w:val="en-US"/>
        </w:rPr>
        <w:t>.</w:t>
      </w:r>
    </w:p>
    <w:p w14:paraId="5DC3CDFB" w14:textId="350EA980" w:rsidR="00185DA6" w:rsidRPr="00B97D94" w:rsidRDefault="00185DA6" w:rsidP="00185DA6">
      <w:pPr>
        <w:rPr>
          <w:rFonts w:eastAsia="Calibri" w:cs="Arial"/>
          <w:lang w:val="en-US"/>
        </w:rPr>
      </w:pPr>
      <w:r w:rsidRPr="00B97D94">
        <w:rPr>
          <w:rFonts w:eastAsia="Calibri" w:cs="Arial"/>
          <w:lang w:val="en-US"/>
        </w:rPr>
        <w:t xml:space="preserve">Pooled analyses of </w:t>
      </w:r>
      <w:r w:rsidR="000775A0">
        <w:rPr>
          <w:rFonts w:eastAsia="Calibri" w:cs="Arial"/>
          <w:lang w:val="en-US"/>
        </w:rPr>
        <w:t>rozanolixizumab</w:t>
      </w:r>
      <w:r w:rsidRPr="00B97D94">
        <w:rPr>
          <w:rFonts w:eastAsia="Calibri" w:cs="Arial"/>
          <w:lang w:val="en-US"/>
        </w:rPr>
        <w:t>-treated patients from MG0003, and open-label extension (OLE) studies MG0007 (cyclic treatment, data cut off 8</w:t>
      </w:r>
      <w:r w:rsidR="00A1273E" w:rsidRPr="00B97D94">
        <w:rPr>
          <w:rFonts w:eastAsia="Calibri" w:cs="Arial"/>
          <w:lang w:val="en-US"/>
        </w:rPr>
        <w:t xml:space="preserve"> July </w:t>
      </w:r>
      <w:r w:rsidRPr="00B97D94">
        <w:rPr>
          <w:rFonts w:eastAsia="Calibri" w:cs="Arial"/>
          <w:lang w:val="en-US"/>
        </w:rPr>
        <w:t xml:space="preserve">2022) and MG0004 (chronic weekly treatment) are presented to provide evidence of the extent of exposure, and the safety of </w:t>
      </w:r>
      <w:r w:rsidR="000775A0">
        <w:rPr>
          <w:rFonts w:eastAsia="Calibri" w:cs="Arial"/>
          <w:lang w:val="en-US"/>
        </w:rPr>
        <w:t>rozanolixizumab</w:t>
      </w:r>
      <w:r w:rsidRPr="00B97D94">
        <w:rPr>
          <w:rFonts w:eastAsia="Calibri" w:cs="Arial"/>
          <w:lang w:val="en-US"/>
        </w:rPr>
        <w:t xml:space="preserve"> with repeated cyclic treatment. For this pooled analysis, the MG0003 Treatment Period is regarded as the first Treatment Cycle in those who had been </w:t>
      </w:r>
      <w:proofErr w:type="spellStart"/>
      <w:r w:rsidRPr="00B97D94">
        <w:rPr>
          <w:rFonts w:eastAsia="Calibri" w:cs="Arial"/>
          <w:lang w:val="en-US"/>
        </w:rPr>
        <w:t>randomi</w:t>
      </w:r>
      <w:r w:rsidR="00B97D94">
        <w:rPr>
          <w:rFonts w:eastAsia="Calibri" w:cs="Arial"/>
          <w:lang w:val="en-US"/>
        </w:rPr>
        <w:t>s</w:t>
      </w:r>
      <w:r w:rsidRPr="00B97D94">
        <w:rPr>
          <w:rFonts w:eastAsia="Calibri" w:cs="Arial"/>
          <w:lang w:val="en-US"/>
        </w:rPr>
        <w:t>ed</w:t>
      </w:r>
      <w:proofErr w:type="spellEnd"/>
      <w:r w:rsidRPr="00B97D94">
        <w:rPr>
          <w:rFonts w:eastAsia="Calibri" w:cs="Arial"/>
          <w:lang w:val="en-US"/>
        </w:rPr>
        <w:t xml:space="preserve"> to </w:t>
      </w:r>
      <w:r w:rsidR="000775A0">
        <w:rPr>
          <w:rFonts w:eastAsia="Calibri" w:cs="Arial"/>
          <w:lang w:val="en-US"/>
        </w:rPr>
        <w:t>rozanolixizumab</w:t>
      </w:r>
      <w:r w:rsidRPr="00B97D94">
        <w:rPr>
          <w:rFonts w:eastAsia="Calibri" w:cs="Arial"/>
          <w:lang w:val="en-US"/>
        </w:rPr>
        <w:t xml:space="preserve"> in MG0003.</w:t>
      </w:r>
    </w:p>
    <w:bookmarkEnd w:id="67"/>
    <w:p w14:paraId="58FBA351" w14:textId="569ACB8C" w:rsidR="00B97D94" w:rsidRPr="00C87E1F" w:rsidRDefault="00B97D94" w:rsidP="00B97D94">
      <w:pPr>
        <w:pStyle w:val="TableTitle"/>
        <w:rPr>
          <w:rFonts w:eastAsia="Calibri"/>
          <w:kern w:val="2"/>
          <w:sz w:val="24"/>
          <w:szCs w:val="24"/>
          <w14:ligatures w14:val="standardContextual"/>
        </w:rPr>
      </w:pPr>
      <w:r>
        <w:t xml:space="preserve">Table </w:t>
      </w:r>
      <w:r>
        <w:fldChar w:fldCharType="begin"/>
      </w:r>
      <w:r>
        <w:instrText xml:space="preserve"> SEQ Table \* ARABIC </w:instrText>
      </w:r>
      <w:r>
        <w:fldChar w:fldCharType="separate"/>
      </w:r>
      <w:r w:rsidR="00CA7747">
        <w:rPr>
          <w:noProof/>
        </w:rPr>
        <w:t>9</w:t>
      </w:r>
      <w:r>
        <w:fldChar w:fldCharType="end"/>
      </w:r>
      <w:r>
        <w:t>: Clinical studies contributing to the Integrated Review of Safety</w:t>
      </w:r>
    </w:p>
    <w:p w14:paraId="1DFEBB5E" w14:textId="77777777" w:rsidR="00185DA6" w:rsidRDefault="00185DA6" w:rsidP="00185DA6">
      <w:pPr>
        <w:spacing w:after="0"/>
        <w:rPr>
          <w:rFonts w:eastAsia="Calibri"/>
          <w:b/>
          <w:bCs/>
          <w:kern w:val="2"/>
          <w:sz w:val="24"/>
          <w:szCs w:val="24"/>
          <w14:ligatures w14:val="standardContextual"/>
        </w:rPr>
      </w:pPr>
      <w:r w:rsidRPr="00C87E1F">
        <w:rPr>
          <w:rFonts w:ascii="Calibri" w:eastAsia="Calibri" w:hAnsi="Calibri"/>
          <w:noProof/>
          <w:kern w:val="2"/>
          <w14:ligatures w14:val="standardContextual"/>
        </w:rPr>
        <w:drawing>
          <wp:inline distT="0" distB="0" distL="0" distR="0" wp14:anchorId="5066B9F9" wp14:editId="5982E4B2">
            <wp:extent cx="5708555" cy="2122999"/>
            <wp:effectExtent l="0" t="0" r="6985" b="0"/>
            <wp:docPr id="1521118893" name="Picture 1" descr="A close-up of a list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18893" name="Picture 1" descr="A close-up of a list of objects&#10;&#10;AI-generated content may be incorrect."/>
                    <pic:cNvPicPr/>
                  </pic:nvPicPr>
                  <pic:blipFill>
                    <a:blip r:embed="rId40"/>
                    <a:stretch>
                      <a:fillRect/>
                    </a:stretch>
                  </pic:blipFill>
                  <pic:spPr>
                    <a:xfrm>
                      <a:off x="0" y="0"/>
                      <a:ext cx="5755241" cy="2140362"/>
                    </a:xfrm>
                    <a:prstGeom prst="rect">
                      <a:avLst/>
                    </a:prstGeom>
                  </pic:spPr>
                </pic:pic>
              </a:graphicData>
            </a:graphic>
          </wp:inline>
        </w:drawing>
      </w:r>
    </w:p>
    <w:p w14:paraId="1E6D9308" w14:textId="1AD1609E" w:rsidR="00753345" w:rsidRPr="0025137D" w:rsidRDefault="00753345" w:rsidP="00C530F3">
      <w:pPr>
        <w:pStyle w:val="Heading5"/>
        <w:rPr>
          <w:rFonts w:eastAsia="Calibri"/>
          <w:lang w:val="en-GB"/>
        </w:rPr>
      </w:pPr>
      <w:r w:rsidRPr="0025137D">
        <w:rPr>
          <w:rFonts w:eastAsia="Calibri"/>
          <w:lang w:val="en-GB"/>
        </w:rPr>
        <w:t xml:space="preserve">Safety </w:t>
      </w:r>
      <w:r w:rsidR="0026361F">
        <w:rPr>
          <w:rFonts w:eastAsia="Calibri"/>
          <w:lang w:val="en-GB"/>
        </w:rPr>
        <w:t>p</w:t>
      </w:r>
      <w:r w:rsidRPr="0025137D">
        <w:rPr>
          <w:rFonts w:eastAsia="Calibri"/>
          <w:lang w:val="en-GB"/>
        </w:rPr>
        <w:t>ools</w:t>
      </w:r>
    </w:p>
    <w:p w14:paraId="6CAE6B6D" w14:textId="702D96F0" w:rsidR="00753345" w:rsidRPr="00943C88" w:rsidRDefault="00753345" w:rsidP="00761717">
      <w:pPr>
        <w:rPr>
          <w:lang w:val="en-GB"/>
        </w:rPr>
      </w:pPr>
      <w:r w:rsidRPr="00943C88">
        <w:rPr>
          <w:lang w:val="en-GB"/>
        </w:rPr>
        <w:t>For the purposes of summari</w:t>
      </w:r>
      <w:r>
        <w:rPr>
          <w:lang w:val="en-GB"/>
        </w:rPr>
        <w:t>s</w:t>
      </w:r>
      <w:r w:rsidRPr="00943C88">
        <w:rPr>
          <w:lang w:val="en-GB"/>
        </w:rPr>
        <w:t>ing AEs, 2 pools have been defined and for the purposes of immunogenicity analysis, 1 pool has been defined.</w:t>
      </w:r>
    </w:p>
    <w:p w14:paraId="7A5C2669" w14:textId="77777777" w:rsidR="00753345" w:rsidRPr="00943C88" w:rsidRDefault="00753345" w:rsidP="00C530F3">
      <w:pPr>
        <w:pStyle w:val="Heading6"/>
        <w:rPr>
          <w:lang w:val="en-GB"/>
        </w:rPr>
      </w:pPr>
      <w:r w:rsidRPr="00943C88">
        <w:rPr>
          <w:lang w:val="en-GB"/>
        </w:rPr>
        <w:t>Pool S1</w:t>
      </w:r>
    </w:p>
    <w:p w14:paraId="3C3A870D" w14:textId="6240DE52" w:rsidR="00753345" w:rsidRPr="00943C88" w:rsidRDefault="00753345" w:rsidP="00761717">
      <w:r w:rsidRPr="00943C88">
        <w:t xml:space="preserve">All </w:t>
      </w:r>
      <w:r w:rsidR="000775A0">
        <w:t>rozanolixizumab</w:t>
      </w:r>
      <w:r w:rsidRPr="00943C88">
        <w:t>-treated subjects who have undergone ≥1 Treatment Cycle (</w:t>
      </w:r>
      <w:r w:rsidR="00C1149D">
        <w:t>that is,</w:t>
      </w:r>
      <w:r w:rsidRPr="00943C88">
        <w:t xml:space="preserve"> ≥1 </w:t>
      </w:r>
      <w:r w:rsidR="00C1149D">
        <w:t>SC</w:t>
      </w:r>
      <w:r w:rsidRPr="00943C88">
        <w:t xml:space="preserve"> </w:t>
      </w:r>
      <w:r w:rsidRPr="00943C88">
        <w:rPr>
          <w:u w:val="single"/>
        </w:rPr>
        <w:t>infusion</w:t>
      </w:r>
      <w:r w:rsidRPr="00943C88">
        <w:t xml:space="preserve"> of </w:t>
      </w:r>
      <w:r w:rsidR="000775A0">
        <w:t>rozanolixizumab</w:t>
      </w:r>
      <w:r w:rsidRPr="00943C88">
        <w:t xml:space="preserve"> in any 6</w:t>
      </w:r>
      <w:r w:rsidR="004C4703">
        <w:t>-</w:t>
      </w:r>
      <w:r w:rsidRPr="00943C88">
        <w:t xml:space="preserve">week Treatment Period). </w:t>
      </w:r>
      <w:r w:rsidR="00761717">
        <w:t>The a</w:t>
      </w:r>
      <w:r w:rsidRPr="00943C88">
        <w:t>im of this group is to characteri</w:t>
      </w:r>
      <w:r w:rsidR="00761717">
        <w:t>s</w:t>
      </w:r>
      <w:r w:rsidRPr="00943C88">
        <w:t xml:space="preserve">e the total time receiving </w:t>
      </w:r>
      <w:r w:rsidR="000775A0">
        <w:t>rozanolixizumab</w:t>
      </w:r>
      <w:r w:rsidRPr="00943C88">
        <w:t xml:space="preserve"> and the safety profile of </w:t>
      </w:r>
      <w:r w:rsidR="000775A0">
        <w:t>rozanolixizumab</w:t>
      </w:r>
      <w:r w:rsidRPr="00943C88">
        <w:t xml:space="preserve"> </w:t>
      </w:r>
      <w:r w:rsidRPr="00943C88">
        <w:rPr>
          <w:u w:val="single"/>
        </w:rPr>
        <w:lastRenderedPageBreak/>
        <w:t xml:space="preserve">during </w:t>
      </w:r>
      <w:r>
        <w:rPr>
          <w:u w:val="single"/>
        </w:rPr>
        <w:t>t</w:t>
      </w:r>
      <w:r w:rsidRPr="00943C88">
        <w:rPr>
          <w:u w:val="single"/>
        </w:rPr>
        <w:t xml:space="preserve">reatment </w:t>
      </w:r>
      <w:r>
        <w:rPr>
          <w:u w:val="single"/>
        </w:rPr>
        <w:t>p</w:t>
      </w:r>
      <w:r w:rsidRPr="00943C88">
        <w:rPr>
          <w:u w:val="single"/>
        </w:rPr>
        <w:t>eriods</w:t>
      </w:r>
      <w:r w:rsidRPr="00943C88">
        <w:t xml:space="preserve">. </w:t>
      </w:r>
      <w:r w:rsidR="0026700B">
        <w:t>The d</w:t>
      </w:r>
      <w:r w:rsidRPr="00943C88">
        <w:t>atabase includes patients from MG0003 (</w:t>
      </w:r>
      <w:r w:rsidR="000775A0">
        <w:t>rozanolixizumab</w:t>
      </w:r>
      <w:r w:rsidRPr="00943C88">
        <w:t xml:space="preserve"> </w:t>
      </w:r>
      <w:r w:rsidRPr="00D7766C">
        <w:t>treatment arm only), MG0007 (up until the interim cut-off date), and first 6 weeks of data (to</w:t>
      </w:r>
      <w:r w:rsidRPr="00943C88">
        <w:t xml:space="preserve"> represent 1 Treatment Cycle) from MG0004.</w:t>
      </w:r>
    </w:p>
    <w:p w14:paraId="2C5BCFC5" w14:textId="230D2A95" w:rsidR="00753345" w:rsidRPr="00943C88" w:rsidRDefault="00753345" w:rsidP="00C530F3">
      <w:pPr>
        <w:pStyle w:val="Heading6"/>
        <w:rPr>
          <w:lang w:val="en-US"/>
        </w:rPr>
      </w:pPr>
      <w:r w:rsidRPr="00943C88">
        <w:rPr>
          <w:lang w:val="en-US"/>
        </w:rPr>
        <w:t>Pool S2</w:t>
      </w:r>
    </w:p>
    <w:p w14:paraId="593E8E6F" w14:textId="34FF38A5" w:rsidR="00753345" w:rsidRPr="00943C88" w:rsidRDefault="00753345" w:rsidP="00761717">
      <w:pPr>
        <w:rPr>
          <w:lang w:val="en-US"/>
        </w:rPr>
      </w:pPr>
      <w:r w:rsidRPr="00943C88">
        <w:rPr>
          <w:lang w:val="en-US"/>
        </w:rPr>
        <w:t xml:space="preserve">Subset of Pool S1 including all </w:t>
      </w:r>
      <w:r w:rsidR="000775A0">
        <w:rPr>
          <w:lang w:val="en-US"/>
        </w:rPr>
        <w:t>rozanolixizumab</w:t>
      </w:r>
      <w:r w:rsidRPr="00943C88">
        <w:rPr>
          <w:lang w:val="en-US"/>
        </w:rPr>
        <w:t>-treated study participants who have undergone ≥1 treatment cycle (</w:t>
      </w:r>
      <w:r w:rsidR="000222C5">
        <w:rPr>
          <w:lang w:val="en-US"/>
        </w:rPr>
        <w:t xml:space="preserve">that </w:t>
      </w:r>
      <w:proofErr w:type="gramStart"/>
      <w:r w:rsidR="000222C5">
        <w:rPr>
          <w:lang w:val="en-US"/>
        </w:rPr>
        <w:t xml:space="preserve">is, </w:t>
      </w:r>
      <w:r w:rsidRPr="00943C88">
        <w:rPr>
          <w:lang w:val="en-US"/>
        </w:rPr>
        <w:t xml:space="preserve"> ≥</w:t>
      </w:r>
      <w:proofErr w:type="gramEnd"/>
      <w:r w:rsidRPr="00943C88">
        <w:rPr>
          <w:lang w:val="en-US"/>
        </w:rPr>
        <w:t xml:space="preserve">1 </w:t>
      </w:r>
      <w:r w:rsidRPr="00943C88">
        <w:rPr>
          <w:u w:val="single"/>
          <w:lang w:val="en-US"/>
        </w:rPr>
        <w:t>dose</w:t>
      </w:r>
      <w:r w:rsidRPr="00943C88">
        <w:rPr>
          <w:lang w:val="en-US"/>
        </w:rPr>
        <w:t xml:space="preserve"> of </w:t>
      </w:r>
      <w:r w:rsidR="000775A0">
        <w:rPr>
          <w:lang w:val="en-US"/>
        </w:rPr>
        <w:t>rozanolixizumab</w:t>
      </w:r>
      <w:r w:rsidRPr="00943C88">
        <w:rPr>
          <w:lang w:val="en-US"/>
        </w:rPr>
        <w:t xml:space="preserve"> in any 6-week Treatment Period) and the treatment cycle has been followed by an (up to) </w:t>
      </w:r>
      <w:proofErr w:type="gramStart"/>
      <w:r w:rsidRPr="00943C88">
        <w:rPr>
          <w:lang w:val="en-US"/>
        </w:rPr>
        <w:t>8</w:t>
      </w:r>
      <w:r w:rsidR="00366259">
        <w:rPr>
          <w:lang w:val="en-US"/>
        </w:rPr>
        <w:t> </w:t>
      </w:r>
      <w:r w:rsidRPr="00943C88">
        <w:rPr>
          <w:lang w:val="en-US"/>
        </w:rPr>
        <w:t>week</w:t>
      </w:r>
      <w:proofErr w:type="gramEnd"/>
      <w:r w:rsidRPr="00943C88">
        <w:rPr>
          <w:lang w:val="en-US"/>
        </w:rPr>
        <w:t xml:space="preserve"> Follow-up Period starting from the last infusion.</w:t>
      </w:r>
    </w:p>
    <w:p w14:paraId="4FEB184F" w14:textId="5B8C52C4" w:rsidR="00753345" w:rsidRPr="00943C88" w:rsidRDefault="00366259" w:rsidP="00761717">
      <w:pPr>
        <w:rPr>
          <w:lang w:val="en-US"/>
        </w:rPr>
      </w:pPr>
      <w:r>
        <w:rPr>
          <w:lang w:val="en-US"/>
        </w:rPr>
        <w:t>The p</w:t>
      </w:r>
      <w:r w:rsidR="00753345" w:rsidRPr="00943C88">
        <w:rPr>
          <w:lang w:val="en-US"/>
        </w:rPr>
        <w:t xml:space="preserve">urpose of this group is to </w:t>
      </w:r>
      <w:proofErr w:type="spellStart"/>
      <w:r w:rsidR="00753345" w:rsidRPr="00943C88">
        <w:rPr>
          <w:lang w:val="en-US"/>
        </w:rPr>
        <w:t>characteri</w:t>
      </w:r>
      <w:r>
        <w:rPr>
          <w:lang w:val="en-US"/>
        </w:rPr>
        <w:t>s</w:t>
      </w:r>
      <w:r w:rsidR="00753345" w:rsidRPr="00943C88">
        <w:rPr>
          <w:lang w:val="en-US"/>
        </w:rPr>
        <w:t>e</w:t>
      </w:r>
      <w:proofErr w:type="spellEnd"/>
      <w:r w:rsidR="00753345" w:rsidRPr="00943C88">
        <w:rPr>
          <w:lang w:val="en-US"/>
        </w:rPr>
        <w:t xml:space="preserve"> the safety profile of </w:t>
      </w:r>
      <w:r w:rsidR="000775A0">
        <w:rPr>
          <w:lang w:val="en-US"/>
        </w:rPr>
        <w:t>rozanolixizumab</w:t>
      </w:r>
      <w:r w:rsidR="00753345" w:rsidRPr="00943C88">
        <w:rPr>
          <w:lang w:val="en-US"/>
        </w:rPr>
        <w:t xml:space="preserve"> </w:t>
      </w:r>
      <w:r w:rsidR="00753345" w:rsidRPr="00943C88">
        <w:rPr>
          <w:u w:val="single"/>
          <w:lang w:val="en-US"/>
        </w:rPr>
        <w:t>during each treatment Period and follow-up Period</w:t>
      </w:r>
      <w:r w:rsidR="00753345" w:rsidRPr="00943C88">
        <w:rPr>
          <w:lang w:val="en-US"/>
        </w:rPr>
        <w:t>. Pool S2 is the main safety pool.</w:t>
      </w:r>
    </w:p>
    <w:p w14:paraId="09105C54" w14:textId="77777777" w:rsidR="00753345" w:rsidRPr="00943C88" w:rsidRDefault="00753345" w:rsidP="00C530F3">
      <w:pPr>
        <w:pStyle w:val="Heading6"/>
        <w:rPr>
          <w:lang w:val="en-US"/>
        </w:rPr>
      </w:pPr>
      <w:r w:rsidRPr="00943C88">
        <w:rPr>
          <w:lang w:val="en-US"/>
        </w:rPr>
        <w:t>Pool S3</w:t>
      </w:r>
    </w:p>
    <w:p w14:paraId="53B2BCE2" w14:textId="4EE008FD" w:rsidR="00753345" w:rsidRPr="00943C88" w:rsidRDefault="00753345" w:rsidP="00761717">
      <w:pPr>
        <w:rPr>
          <w:b/>
          <w:bCs/>
          <w:lang w:val="en-GB"/>
        </w:rPr>
      </w:pPr>
      <w:r w:rsidRPr="00943C88">
        <w:rPr>
          <w:lang w:val="en-US"/>
        </w:rPr>
        <w:t xml:space="preserve">To assess the immunogenicity of </w:t>
      </w:r>
      <w:r w:rsidR="000775A0">
        <w:rPr>
          <w:lang w:val="en-US"/>
        </w:rPr>
        <w:t>rozanolixizumab</w:t>
      </w:r>
      <w:r w:rsidRPr="00943C88">
        <w:rPr>
          <w:lang w:val="en-US"/>
        </w:rPr>
        <w:t xml:space="preserve"> and impact on PK, PD, efficacy and safety. This pool excludes data generated in MG0004 (under a chronic weekly treatment regimen), and any data generated in MG0007 (under a cyclic treatment regimen) from study participants that had previously received </w:t>
      </w:r>
      <w:r w:rsidR="000775A0">
        <w:rPr>
          <w:lang w:val="en-US"/>
        </w:rPr>
        <w:t>rozanolixizumab</w:t>
      </w:r>
      <w:r w:rsidRPr="00943C88">
        <w:rPr>
          <w:lang w:val="en-US"/>
        </w:rPr>
        <w:t xml:space="preserve"> under a chronic weekly treatment regimen in MG0004.</w:t>
      </w:r>
    </w:p>
    <w:p w14:paraId="21C65EC4" w14:textId="67D28DAC" w:rsidR="00F92B07" w:rsidRPr="00943C88" w:rsidRDefault="00F92B07" w:rsidP="00F92B07">
      <w:pPr>
        <w:pStyle w:val="TableTitle"/>
        <w:rPr>
          <w:lang w:val="en-GB"/>
        </w:rPr>
      </w:pPr>
      <w:r>
        <w:t xml:space="preserve">Table </w:t>
      </w:r>
      <w:r>
        <w:fldChar w:fldCharType="begin"/>
      </w:r>
      <w:r>
        <w:instrText xml:space="preserve"> SEQ Table \* ARABIC </w:instrText>
      </w:r>
      <w:r>
        <w:fldChar w:fldCharType="separate"/>
      </w:r>
      <w:r w:rsidR="00CA7747">
        <w:rPr>
          <w:noProof/>
        </w:rPr>
        <w:t>10</w:t>
      </w:r>
      <w:r>
        <w:fldChar w:fldCharType="end"/>
      </w:r>
      <w:r>
        <w:t>: Overview of safety pools</w:t>
      </w:r>
    </w:p>
    <w:p w14:paraId="1F914484" w14:textId="77777777" w:rsidR="00E22979" w:rsidRDefault="00753345" w:rsidP="00E22979">
      <w:pPr>
        <w:pStyle w:val="TableDescription"/>
        <w:rPr>
          <w:lang w:val="en-GB"/>
        </w:rPr>
      </w:pPr>
      <w:r w:rsidRPr="00943C88">
        <w:rPr>
          <w:noProof/>
          <w:lang w:val="en-GB"/>
        </w:rPr>
        <w:drawing>
          <wp:inline distT="0" distB="0" distL="0" distR="0" wp14:anchorId="2EA00C38" wp14:editId="4D017B03">
            <wp:extent cx="5879934" cy="3482671"/>
            <wp:effectExtent l="0" t="0" r="6985" b="3810"/>
            <wp:docPr id="558705066" name="Picture 10"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05066" name="Picture 10" descr="A table with text and numbers&#10;&#10;Description automatically generated with medium confidence"/>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49000"/>
                              </a14:imgEffect>
                            </a14:imgLayer>
                          </a14:imgProps>
                        </a:ext>
                        <a:ext uri="{28A0092B-C50C-407E-A947-70E740481C1C}">
                          <a14:useLocalDpi xmlns:a14="http://schemas.microsoft.com/office/drawing/2010/main" val="0"/>
                        </a:ext>
                      </a:extLst>
                    </a:blip>
                    <a:srcRect/>
                    <a:stretch>
                      <a:fillRect/>
                    </a:stretch>
                  </pic:blipFill>
                  <pic:spPr bwMode="auto">
                    <a:xfrm>
                      <a:off x="0" y="0"/>
                      <a:ext cx="5941113" cy="3518907"/>
                    </a:xfrm>
                    <a:prstGeom prst="rect">
                      <a:avLst/>
                    </a:prstGeom>
                    <a:noFill/>
                  </pic:spPr>
                </pic:pic>
              </a:graphicData>
            </a:graphic>
          </wp:inline>
        </w:drawing>
      </w:r>
      <w:r w:rsidRPr="00943C88">
        <w:rPr>
          <w:lang w:val="en-GB"/>
        </w:rPr>
        <w:t>N=number of study participants.</w:t>
      </w:r>
    </w:p>
    <w:p w14:paraId="5D52053E" w14:textId="02EB7FC4" w:rsidR="00753345" w:rsidRPr="00943C88" w:rsidRDefault="00753345" w:rsidP="00E22979">
      <w:pPr>
        <w:pStyle w:val="TableDescription"/>
        <w:rPr>
          <w:lang w:val="en-GB"/>
        </w:rPr>
      </w:pPr>
      <w:r w:rsidRPr="00943C88">
        <w:rPr>
          <w:lang w:val="en-GB"/>
        </w:rPr>
        <w:t>Note: Treatment Cycle is defined as at least one dose of rozanolixizumab in a 6-week Treatment Period and an (up to) 8-week Follow-up Period starting from the last infusion.</w:t>
      </w:r>
    </w:p>
    <w:p w14:paraId="7311B21E" w14:textId="3B0E4547" w:rsidR="004F1DB8" w:rsidRDefault="004F1DB8" w:rsidP="00C530F3">
      <w:pPr>
        <w:pStyle w:val="Heading5"/>
        <w:rPr>
          <w:rFonts w:eastAsia="Calibri"/>
          <w:lang w:val="en-GB"/>
        </w:rPr>
      </w:pPr>
      <w:r w:rsidRPr="00206659">
        <w:rPr>
          <w:lang w:val="en-GB"/>
        </w:rPr>
        <w:t xml:space="preserve">Overview of </w:t>
      </w:r>
      <w:r w:rsidR="00DC03C7" w:rsidRPr="00206659">
        <w:rPr>
          <w:rFonts w:eastAsia="Calibri"/>
          <w:lang w:val="en-GB"/>
        </w:rPr>
        <w:t>adverse</w:t>
      </w:r>
      <w:r w:rsidR="00DC03C7" w:rsidRPr="008B60BC">
        <w:rPr>
          <w:rFonts w:eastAsia="Calibri"/>
          <w:lang w:val="en-GB"/>
        </w:rPr>
        <w:t xml:space="preserve"> e</w:t>
      </w:r>
      <w:r w:rsidRPr="008B60BC">
        <w:rPr>
          <w:rFonts w:eastAsia="Calibri"/>
          <w:lang w:val="en-GB"/>
        </w:rPr>
        <w:t>vents</w:t>
      </w:r>
    </w:p>
    <w:p w14:paraId="08EB2FA0" w14:textId="77777777" w:rsidR="004F1DB8" w:rsidRPr="00F92A38" w:rsidRDefault="004F1DB8" w:rsidP="00C530F3">
      <w:pPr>
        <w:pStyle w:val="Heading6"/>
        <w:rPr>
          <w:rFonts w:eastAsia="Calibri"/>
          <w:szCs w:val="24"/>
          <w:lang w:val="en-GB"/>
        </w:rPr>
      </w:pPr>
      <w:r w:rsidRPr="00F92A38">
        <w:rPr>
          <w:rFonts w:eastAsia="Calibri"/>
          <w:lang w:val="en-GB"/>
        </w:rPr>
        <w:t>Study MG0003</w:t>
      </w:r>
    </w:p>
    <w:p w14:paraId="418EB104" w14:textId="6C420651" w:rsidR="004F1DB8" w:rsidRPr="00F92A38" w:rsidRDefault="004F1DB8" w:rsidP="004F1DB8">
      <w:pPr>
        <w:rPr>
          <w:rFonts w:eastAsia="Calibri"/>
          <w:kern w:val="2"/>
          <w:lang w:val="en-GB"/>
          <w14:ligatures w14:val="standardContextual"/>
        </w:rPr>
      </w:pPr>
      <w:r w:rsidRPr="00F92A38">
        <w:rPr>
          <w:rFonts w:eastAsia="Calibri"/>
          <w:kern w:val="2"/>
          <w:lang w:val="en-GB"/>
          <w14:ligatures w14:val="standardContextual"/>
        </w:rPr>
        <w:t>Overall, the incidence of TEAEs was similar in the rozanolixizumab ≈7</w:t>
      </w:r>
      <w:r w:rsidR="00B16D27">
        <w:rPr>
          <w:rFonts w:eastAsia="Calibri"/>
          <w:kern w:val="2"/>
          <w:lang w:val="en-GB"/>
          <w14:ligatures w14:val="standardContextual"/>
        </w:rPr>
        <w:t> </w:t>
      </w:r>
      <w:r w:rsidRPr="00F92A38">
        <w:rPr>
          <w:rFonts w:eastAsia="Calibri"/>
          <w:kern w:val="2"/>
          <w:lang w:val="en-GB"/>
          <w14:ligatures w14:val="standardContextual"/>
        </w:rPr>
        <w:t>mg/kg and ≈10</w:t>
      </w:r>
      <w:r w:rsidR="00B16D27">
        <w:rPr>
          <w:rFonts w:eastAsia="Calibri"/>
          <w:kern w:val="2"/>
          <w:lang w:val="en-GB"/>
          <w14:ligatures w14:val="standardContextual"/>
        </w:rPr>
        <w:t> </w:t>
      </w:r>
      <w:r w:rsidRPr="00F92A38">
        <w:rPr>
          <w:rFonts w:eastAsia="Calibri"/>
          <w:kern w:val="2"/>
          <w:lang w:val="en-GB"/>
          <w14:ligatures w14:val="standardContextual"/>
        </w:rPr>
        <w:t>mg/kg groups (81.3% and 82.6%, respectively) and lower in the placebo group (67.2%;</w:t>
      </w:r>
      <w:r w:rsidR="00B16D27">
        <w:rPr>
          <w:rFonts w:eastAsia="Calibri"/>
          <w:kern w:val="2"/>
          <w:lang w:val="en-GB"/>
          <w14:ligatures w14:val="standardContextual"/>
        </w:rPr>
        <w:t xml:space="preserve"> </w:t>
      </w:r>
      <w:r w:rsidR="00475FFB">
        <w:rPr>
          <w:rFonts w:eastAsia="Calibri"/>
          <w:kern w:val="2"/>
          <w:lang w:val="en-GB"/>
          <w14:ligatures w14:val="standardContextual"/>
        </w:rPr>
        <w:t>see following table</w:t>
      </w:r>
      <w:r w:rsidRPr="00F92A38">
        <w:rPr>
          <w:rFonts w:eastAsia="Calibri"/>
          <w:kern w:val="2"/>
          <w:lang w:val="en-GB"/>
          <w14:ligatures w14:val="standardContextual"/>
        </w:rPr>
        <w:t>). No deaths were reported during the study. The incidence of serious TEAEs was similar across placebo and rozanolixizumab ≈7</w:t>
      </w:r>
      <w:r w:rsidR="00BC1CA6">
        <w:rPr>
          <w:rFonts w:eastAsia="Calibri"/>
          <w:kern w:val="2"/>
          <w:lang w:val="en-GB"/>
          <w14:ligatures w14:val="standardContextual"/>
        </w:rPr>
        <w:t> </w:t>
      </w:r>
      <w:r w:rsidRPr="00F92A38">
        <w:rPr>
          <w:rFonts w:eastAsia="Calibri"/>
          <w:kern w:val="2"/>
          <w:lang w:val="en-GB"/>
          <w14:ligatures w14:val="standardContextual"/>
        </w:rPr>
        <w:t>mg/kg and ≈10</w:t>
      </w:r>
      <w:r w:rsidR="00BC1CA6">
        <w:rPr>
          <w:rFonts w:eastAsia="Calibri"/>
          <w:kern w:val="2"/>
          <w:lang w:val="en-GB"/>
          <w14:ligatures w14:val="standardContextual"/>
        </w:rPr>
        <w:t> </w:t>
      </w:r>
      <w:r w:rsidRPr="00F92A38">
        <w:rPr>
          <w:rFonts w:eastAsia="Calibri"/>
          <w:kern w:val="2"/>
          <w:lang w:val="en-GB"/>
          <w14:ligatures w14:val="standardContextual"/>
        </w:rPr>
        <w:t>mg/kg treatment groups (9.0%, 7.8%, and 10.1%, respectively). Severe TEAEs were also more frequent in rozanolixizumab ≈10</w:t>
      </w:r>
      <w:r w:rsidR="00BC1CA6">
        <w:rPr>
          <w:rFonts w:eastAsia="Calibri"/>
          <w:kern w:val="2"/>
          <w:lang w:val="en-GB"/>
          <w14:ligatures w14:val="standardContextual"/>
        </w:rPr>
        <w:t> </w:t>
      </w:r>
      <w:r w:rsidRPr="00F92A38">
        <w:rPr>
          <w:rFonts w:eastAsia="Calibri"/>
          <w:kern w:val="2"/>
          <w:lang w:val="en-GB"/>
          <w14:ligatures w14:val="standardContextual"/>
        </w:rPr>
        <w:t xml:space="preserve">mg/kg </w:t>
      </w:r>
      <w:r w:rsidRPr="00F92A38">
        <w:rPr>
          <w:rFonts w:eastAsia="Calibri"/>
          <w:kern w:val="2"/>
          <w:lang w:val="en-GB"/>
          <w14:ligatures w14:val="standardContextual"/>
        </w:rPr>
        <w:lastRenderedPageBreak/>
        <w:t>(18.8%) than rozanolixizumab ≈7</w:t>
      </w:r>
      <w:r w:rsidR="00BC1CA6">
        <w:rPr>
          <w:rFonts w:eastAsia="Calibri"/>
          <w:kern w:val="2"/>
          <w:lang w:val="en-GB"/>
          <w14:ligatures w14:val="standardContextual"/>
        </w:rPr>
        <w:t> </w:t>
      </w:r>
      <w:r w:rsidRPr="00F92A38">
        <w:rPr>
          <w:rFonts w:eastAsia="Calibri"/>
          <w:kern w:val="2"/>
          <w:lang w:val="en-GB"/>
          <w14:ligatures w14:val="standardContextual"/>
        </w:rPr>
        <w:t xml:space="preserve">mg/kg (4.7%) or placebo (4.5%). The incidence of TEAEs considered by the investigator to be related to </w:t>
      </w:r>
      <w:r w:rsidR="00E742AF">
        <w:rPr>
          <w:rFonts w:eastAsia="Calibri"/>
          <w:kern w:val="2"/>
          <w:lang w:val="en-GB"/>
          <w14:ligatures w14:val="standardContextual"/>
        </w:rPr>
        <w:t>rozanoli</w:t>
      </w:r>
      <w:r w:rsidR="004778A0">
        <w:rPr>
          <w:rFonts w:eastAsia="Calibri"/>
          <w:kern w:val="2"/>
          <w:lang w:val="en-GB"/>
          <w14:ligatures w14:val="standardContextual"/>
        </w:rPr>
        <w:t>xizumab</w:t>
      </w:r>
      <w:r w:rsidRPr="00F92A38">
        <w:rPr>
          <w:rFonts w:eastAsia="Calibri"/>
          <w:kern w:val="2"/>
          <w:lang w:val="en-GB"/>
          <w14:ligatures w14:val="standardContextual"/>
        </w:rPr>
        <w:t xml:space="preserve"> was similar in the rozanolixizumab ≈10</w:t>
      </w:r>
      <w:r w:rsidR="009C4256">
        <w:rPr>
          <w:rFonts w:eastAsia="Calibri"/>
          <w:kern w:val="2"/>
          <w:lang w:val="en-GB"/>
          <w14:ligatures w14:val="standardContextual"/>
        </w:rPr>
        <w:t> </w:t>
      </w:r>
      <w:r w:rsidRPr="00F92A38">
        <w:rPr>
          <w:rFonts w:eastAsia="Calibri"/>
          <w:kern w:val="2"/>
          <w:lang w:val="en-GB"/>
          <w14:ligatures w14:val="standardContextual"/>
        </w:rPr>
        <w:t>mg/kg and rozanolixizumab ≈7</w:t>
      </w:r>
      <w:r w:rsidR="009C4256">
        <w:rPr>
          <w:rFonts w:eastAsia="Calibri"/>
          <w:kern w:val="2"/>
          <w:lang w:val="en-GB"/>
          <w14:ligatures w14:val="standardContextual"/>
        </w:rPr>
        <w:t> </w:t>
      </w:r>
      <w:r w:rsidRPr="00F92A38">
        <w:rPr>
          <w:rFonts w:eastAsia="Calibri"/>
          <w:kern w:val="2"/>
          <w:lang w:val="en-GB"/>
          <w14:ligatures w14:val="standardContextual"/>
        </w:rPr>
        <w:t>mg/kg groups (56.5% and 50.0%, respectively) and lower in the placebo group (32.8%).</w:t>
      </w:r>
    </w:p>
    <w:p w14:paraId="35A90B31" w14:textId="2F18F9F2" w:rsidR="00A60287" w:rsidRPr="00F92A38" w:rsidRDefault="00A60287" w:rsidP="00A60287">
      <w:pPr>
        <w:pStyle w:val="TableTitle"/>
        <w:rPr>
          <w:rFonts w:eastAsia="Calibri"/>
          <w:kern w:val="2"/>
          <w:lang w:val="en-GB"/>
          <w14:ligatures w14:val="standardContextual"/>
        </w:rPr>
      </w:pPr>
      <w:r>
        <w:t xml:space="preserve">Table </w:t>
      </w:r>
      <w:r>
        <w:fldChar w:fldCharType="begin"/>
      </w:r>
      <w:r>
        <w:instrText xml:space="preserve"> SEQ Table \* ARABIC </w:instrText>
      </w:r>
      <w:r>
        <w:fldChar w:fldCharType="separate"/>
      </w:r>
      <w:r w:rsidR="00CA7747">
        <w:rPr>
          <w:noProof/>
        </w:rPr>
        <w:t>11</w:t>
      </w:r>
      <w:r>
        <w:fldChar w:fldCharType="end"/>
      </w:r>
      <w:r>
        <w:t xml:space="preserve">: Study MG0003 Overview of </w:t>
      </w:r>
      <w:r w:rsidR="00ED178C">
        <w:rPr>
          <w:color w:val="000000" w:themeColor="text1"/>
          <w:lang w:val="en-US" w:eastAsia="ja-JP"/>
        </w:rPr>
        <w:t>Treatment-emergent adverse events</w:t>
      </w:r>
      <w:r>
        <w:t xml:space="preserve"> (Safety Set)</w:t>
      </w:r>
    </w:p>
    <w:p w14:paraId="4ECB6E88" w14:textId="68C36D91" w:rsidR="004F1DB8" w:rsidRDefault="003C4B7E" w:rsidP="00F01EC4">
      <w:pPr>
        <w:spacing w:after="0"/>
        <w:rPr>
          <w:rFonts w:ascii="Calibri" w:eastAsia="Calibri" w:hAnsi="Calibri"/>
          <w:noProof/>
          <w:kern w:val="2"/>
          <w14:ligatures w14:val="standardContextual"/>
        </w:rPr>
      </w:pPr>
      <w:r>
        <w:rPr>
          <w:noProof/>
        </w:rPr>
        <w:drawing>
          <wp:inline distT="0" distB="0" distL="0" distR="0" wp14:anchorId="2C4F462B" wp14:editId="18C6382D">
            <wp:extent cx="5759450" cy="3114040"/>
            <wp:effectExtent l="0" t="0" r="0" b="0"/>
            <wp:docPr id="118715559" name="Picture 1"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5559" name="Picture 1" descr="A table with numbers and symbols&#10;&#10;AI-generated content may be incorrect."/>
                    <pic:cNvPicPr/>
                  </pic:nvPicPr>
                  <pic:blipFill>
                    <a:blip r:embed="rId43"/>
                    <a:stretch>
                      <a:fillRect/>
                    </a:stretch>
                  </pic:blipFill>
                  <pic:spPr>
                    <a:xfrm>
                      <a:off x="0" y="0"/>
                      <a:ext cx="5759450" cy="3114040"/>
                    </a:xfrm>
                    <a:prstGeom prst="rect">
                      <a:avLst/>
                    </a:prstGeom>
                  </pic:spPr>
                </pic:pic>
              </a:graphicData>
            </a:graphic>
          </wp:inline>
        </w:drawing>
      </w:r>
    </w:p>
    <w:p w14:paraId="738B33D8" w14:textId="61BC9081" w:rsidR="002A3B80" w:rsidRDefault="003B2680" w:rsidP="00F01EC4">
      <w:pPr>
        <w:ind w:left="57"/>
        <w:rPr>
          <w:rFonts w:eastAsia="Calibri"/>
          <w:b/>
          <w:bCs/>
          <w:kern w:val="2"/>
          <w:sz w:val="24"/>
          <w:szCs w:val="24"/>
          <w14:ligatures w14:val="standardContextual"/>
        </w:rPr>
      </w:pPr>
      <w:r>
        <w:rPr>
          <w:noProof/>
        </w:rPr>
        <w:drawing>
          <wp:inline distT="0" distB="0" distL="0" distR="0" wp14:anchorId="1A009E79" wp14:editId="334EB0E8">
            <wp:extent cx="5748655" cy="2730358"/>
            <wp:effectExtent l="0" t="0" r="4445" b="0"/>
            <wp:docPr id="34587755" name="Picture 1" descr="A table of information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7755" name="Picture 1" descr="A table of information with numbers and symbols&#10;&#10;AI-generated content may be incorrect."/>
                    <pic:cNvPicPr/>
                  </pic:nvPicPr>
                  <pic:blipFill>
                    <a:blip r:embed="rId44"/>
                    <a:stretch>
                      <a:fillRect/>
                    </a:stretch>
                  </pic:blipFill>
                  <pic:spPr>
                    <a:xfrm>
                      <a:off x="0" y="0"/>
                      <a:ext cx="5766689" cy="2738924"/>
                    </a:xfrm>
                    <a:prstGeom prst="rect">
                      <a:avLst/>
                    </a:prstGeom>
                  </pic:spPr>
                </pic:pic>
              </a:graphicData>
            </a:graphic>
          </wp:inline>
        </w:drawing>
      </w:r>
    </w:p>
    <w:p w14:paraId="6D5C246E" w14:textId="747EE204" w:rsidR="004F1DB8" w:rsidRPr="00F92A38" w:rsidRDefault="004F1DB8" w:rsidP="00C530F3">
      <w:pPr>
        <w:pStyle w:val="Heading6"/>
        <w:rPr>
          <w:rFonts w:eastAsia="Calibri"/>
        </w:rPr>
      </w:pPr>
      <w:r w:rsidRPr="00F92A38">
        <w:rPr>
          <w:rFonts w:eastAsia="Calibri"/>
        </w:rPr>
        <w:t xml:space="preserve">Pooled </w:t>
      </w:r>
      <w:r w:rsidR="008F1D9E">
        <w:rPr>
          <w:rFonts w:eastAsia="Calibri"/>
        </w:rPr>
        <w:t>d</w:t>
      </w:r>
      <w:r w:rsidRPr="00F92A38">
        <w:rPr>
          <w:rFonts w:eastAsia="Calibri"/>
        </w:rPr>
        <w:t>ata</w:t>
      </w:r>
    </w:p>
    <w:p w14:paraId="02EE85AD" w14:textId="7A82C5C6" w:rsidR="004F1DB8" w:rsidRPr="00F92A38" w:rsidRDefault="004F1DB8" w:rsidP="00C530F3">
      <w:pPr>
        <w:pStyle w:val="Heading7"/>
        <w:rPr>
          <w:rFonts w:eastAsia="Calibri"/>
        </w:rPr>
      </w:pPr>
      <w:r w:rsidRPr="00F92A38">
        <w:rPr>
          <w:rFonts w:eastAsia="Calibri"/>
        </w:rPr>
        <w:t>Pool S2</w:t>
      </w:r>
    </w:p>
    <w:p w14:paraId="138AFF1D" w14:textId="577758B2" w:rsidR="004F1DB8" w:rsidRPr="00F92A38" w:rsidRDefault="004F1DB8" w:rsidP="004F1DB8">
      <w:pPr>
        <w:rPr>
          <w:rFonts w:eastAsia="Calibri"/>
          <w:kern w:val="2"/>
          <w:lang w:val="en-GB"/>
          <w14:ligatures w14:val="standardContextual"/>
        </w:rPr>
      </w:pPr>
      <w:r w:rsidRPr="00F92A38">
        <w:rPr>
          <w:rFonts w:eastAsia="Calibri"/>
          <w:kern w:val="2"/>
          <w:lang w:val="en-GB"/>
          <w14:ligatures w14:val="standardContextual"/>
        </w:rPr>
        <w:t>In Pool S2, 169 (89.9%) study participants experienced any TEAE. Across all TEAE categories, the incidence of TEAEs was higher in the rozanolixizumab ≈10</w:t>
      </w:r>
      <w:r w:rsidR="00237C89">
        <w:rPr>
          <w:rFonts w:eastAsia="Calibri"/>
          <w:kern w:val="2"/>
          <w:lang w:val="en-GB"/>
          <w14:ligatures w14:val="standardContextual"/>
        </w:rPr>
        <w:t> </w:t>
      </w:r>
      <w:r w:rsidRPr="00F92A38">
        <w:rPr>
          <w:rFonts w:eastAsia="Calibri"/>
          <w:kern w:val="2"/>
          <w:lang w:val="en-GB"/>
          <w14:ligatures w14:val="standardContextual"/>
        </w:rPr>
        <w:t>mg/kg than in the ≈7</w:t>
      </w:r>
      <w:r w:rsidR="00237C89">
        <w:rPr>
          <w:rFonts w:eastAsia="Calibri"/>
          <w:kern w:val="2"/>
          <w:lang w:val="en-GB"/>
          <w14:ligatures w14:val="standardContextual"/>
        </w:rPr>
        <w:t> </w:t>
      </w:r>
      <w:r w:rsidRPr="00F92A38">
        <w:rPr>
          <w:rFonts w:eastAsia="Calibri"/>
          <w:kern w:val="2"/>
          <w:lang w:val="en-GB"/>
          <w14:ligatures w14:val="standardContextual"/>
        </w:rPr>
        <w:t>mg/kg dose group.</w:t>
      </w:r>
    </w:p>
    <w:p w14:paraId="5669B708" w14:textId="77777777" w:rsidR="004F1DB8" w:rsidRPr="00F92A38" w:rsidRDefault="004F1DB8" w:rsidP="004F1DB8">
      <w:pPr>
        <w:rPr>
          <w:rFonts w:eastAsia="Calibri"/>
          <w:kern w:val="2"/>
          <w14:ligatures w14:val="standardContextual"/>
        </w:rPr>
      </w:pPr>
      <w:r w:rsidRPr="00F92A38">
        <w:rPr>
          <w:rFonts w:eastAsia="Calibri"/>
          <w:kern w:val="2"/>
          <w:lang w:val="en-GB"/>
          <w14:ligatures w14:val="standardContextual"/>
        </w:rPr>
        <w:t>In general, the incidence of TEAEs across all categories did not increase with repeated cyclic treatment compared with Cycle 1.</w:t>
      </w:r>
    </w:p>
    <w:p w14:paraId="309F80EE" w14:textId="77777777" w:rsidR="004F1DB8" w:rsidRPr="00F92A38" w:rsidRDefault="004F1DB8" w:rsidP="00C530F3">
      <w:pPr>
        <w:pStyle w:val="Heading7"/>
        <w:rPr>
          <w:rFonts w:eastAsia="Calibri"/>
        </w:rPr>
      </w:pPr>
      <w:r w:rsidRPr="00F92A38">
        <w:rPr>
          <w:rFonts w:eastAsia="Calibri"/>
        </w:rPr>
        <w:t>Pool S1</w:t>
      </w:r>
    </w:p>
    <w:p w14:paraId="7221E7D3" w14:textId="6D9DE965" w:rsidR="004F1DB8" w:rsidRPr="00F92A38" w:rsidRDefault="004F1DB8" w:rsidP="004F1DB8">
      <w:pPr>
        <w:rPr>
          <w:rFonts w:eastAsia="Calibri"/>
          <w:kern w:val="2"/>
          <w14:ligatures w14:val="standardContextual"/>
        </w:rPr>
      </w:pPr>
      <w:r w:rsidRPr="00F92A38">
        <w:rPr>
          <w:rFonts w:eastAsia="Calibri"/>
          <w:kern w:val="2"/>
          <w14:ligatures w14:val="standardContextual"/>
        </w:rPr>
        <w:t>In Pool S1 (n=196), 176 (89.8%) study participants experienced any TEAE, and the incidence was similar in the rozanolixizumab ≈7</w:t>
      </w:r>
      <w:r w:rsidR="00237C89">
        <w:rPr>
          <w:rFonts w:eastAsia="Calibri"/>
          <w:kern w:val="2"/>
          <w14:ligatures w14:val="standardContextual"/>
        </w:rPr>
        <w:t> </w:t>
      </w:r>
      <w:r w:rsidRPr="00F92A38">
        <w:rPr>
          <w:rFonts w:eastAsia="Calibri"/>
          <w:kern w:val="2"/>
          <w14:ligatures w14:val="standardContextual"/>
        </w:rPr>
        <w:t>mg/kg (116 [81.7%] participants) and ≈10</w:t>
      </w:r>
      <w:r w:rsidR="00237C89">
        <w:rPr>
          <w:rFonts w:eastAsia="Calibri"/>
          <w:kern w:val="2"/>
          <w14:ligatures w14:val="standardContextual"/>
        </w:rPr>
        <w:t> </w:t>
      </w:r>
      <w:r w:rsidRPr="00F92A38">
        <w:rPr>
          <w:rFonts w:eastAsia="Calibri"/>
          <w:kern w:val="2"/>
          <w14:ligatures w14:val="standardContextual"/>
        </w:rPr>
        <w:t xml:space="preserve">mg/kg (120 </w:t>
      </w:r>
      <w:r w:rsidRPr="00F92A38">
        <w:rPr>
          <w:rFonts w:eastAsia="Calibri"/>
          <w:kern w:val="2"/>
          <w14:ligatures w14:val="standardContextual"/>
        </w:rPr>
        <w:lastRenderedPageBreak/>
        <w:t xml:space="preserve">[82.8%]) dose groups. In all TEAE categories except for ‘temporary discontinuation of </w:t>
      </w:r>
      <w:r w:rsidR="004778A0">
        <w:rPr>
          <w:rFonts w:eastAsia="Calibri"/>
          <w:kern w:val="2"/>
          <w14:ligatures w14:val="standardContextual"/>
        </w:rPr>
        <w:t>[</w:t>
      </w:r>
      <w:r w:rsidR="004778A0" w:rsidRPr="00F92A38">
        <w:rPr>
          <w:rFonts w:eastAsia="Calibri"/>
          <w:kern w:val="2"/>
          <w14:ligatures w14:val="standardContextual"/>
        </w:rPr>
        <w:t>rozanolixizumab</w:t>
      </w:r>
      <w:r w:rsidR="004778A0">
        <w:rPr>
          <w:rFonts w:eastAsia="Calibri"/>
          <w:kern w:val="2"/>
          <w14:ligatures w14:val="standardContextual"/>
        </w:rPr>
        <w:t>]</w:t>
      </w:r>
      <w:r w:rsidRPr="00F92A38">
        <w:rPr>
          <w:rFonts w:eastAsia="Calibri"/>
          <w:kern w:val="2"/>
          <w14:ligatures w14:val="standardContextual"/>
        </w:rPr>
        <w:t xml:space="preserve"> due to TEAEs’ the incidence of TEAEs appeared higher in the rozanolixizumab ≈10</w:t>
      </w:r>
      <w:r w:rsidR="00FC1551">
        <w:rPr>
          <w:rFonts w:eastAsia="Calibri"/>
          <w:kern w:val="2"/>
          <w14:ligatures w14:val="standardContextual"/>
        </w:rPr>
        <w:t> </w:t>
      </w:r>
      <w:r w:rsidRPr="00F92A38">
        <w:rPr>
          <w:rFonts w:eastAsia="Calibri"/>
          <w:kern w:val="2"/>
          <w14:ligatures w14:val="standardContextual"/>
        </w:rPr>
        <w:t xml:space="preserve">mg/kg dose. Compared with Cycle 1, temporary discontinuation of </w:t>
      </w:r>
      <w:r w:rsidR="004778A0" w:rsidRPr="00F92A38">
        <w:rPr>
          <w:rFonts w:eastAsia="Calibri"/>
          <w:kern w:val="2"/>
          <w14:ligatures w14:val="standardContextual"/>
        </w:rPr>
        <w:t xml:space="preserve">rozanolixizumab </w:t>
      </w:r>
      <w:r w:rsidRPr="00F92A38">
        <w:rPr>
          <w:rFonts w:eastAsia="Calibri"/>
          <w:kern w:val="2"/>
          <w14:ligatures w14:val="standardContextual"/>
        </w:rPr>
        <w:t>showed no clear trends in incidence throughout Treatment Cycles, and the incidence of TEAEs in all other categories did not generally increase with repeated cyclic treatment. Generally, the incidence of TEAE categories in Pool S1 was consistent with TEAEs occurring during the Treatment Period of Pool S2</w:t>
      </w:r>
      <w:r>
        <w:rPr>
          <w:rFonts w:eastAsia="Calibri"/>
          <w:kern w:val="2"/>
          <w14:ligatures w14:val="standardContextual"/>
        </w:rPr>
        <w:t>.</w:t>
      </w:r>
    </w:p>
    <w:p w14:paraId="19C780CA" w14:textId="77777777" w:rsidR="004F1DB8" w:rsidRPr="00F92A38" w:rsidRDefault="004F1DB8" w:rsidP="00C530F3">
      <w:pPr>
        <w:pStyle w:val="Heading7"/>
        <w:rPr>
          <w:rFonts w:eastAsia="Calibri"/>
        </w:rPr>
      </w:pPr>
      <w:r w:rsidRPr="00F92A38">
        <w:rPr>
          <w:rFonts w:eastAsia="Calibri"/>
        </w:rPr>
        <w:t>Pool S3</w:t>
      </w:r>
    </w:p>
    <w:p w14:paraId="15A49808" w14:textId="77777777" w:rsidR="004F1DB8" w:rsidRPr="00F92A38" w:rsidRDefault="004F1DB8" w:rsidP="004F1DB8">
      <w:pPr>
        <w:rPr>
          <w:rFonts w:eastAsia="Calibri"/>
          <w:kern w:val="2"/>
          <w14:ligatures w14:val="standardContextual"/>
        </w:rPr>
      </w:pPr>
      <w:r w:rsidRPr="00F92A38">
        <w:rPr>
          <w:rFonts w:eastAsia="Calibri"/>
          <w:kern w:val="2"/>
          <w14:ligatures w14:val="standardContextual"/>
        </w:rPr>
        <w:t>Like Pool S2, Pool S3 includes data from Treatment and Follow-up Periods, and excludes data generated in MG0004, however, Pool S3 also excludes data generated in MG0007 from study participants that had previously received rozanolixizumab in MG0004.Overall, the safety profile across categories in Pool S3 were consistent with Pool S2.</w:t>
      </w:r>
    </w:p>
    <w:p w14:paraId="7D2342BF" w14:textId="1137F79C" w:rsidR="0068211C" w:rsidRPr="0068211C" w:rsidRDefault="0068211C" w:rsidP="00A25604">
      <w:pPr>
        <w:pStyle w:val="Heading5"/>
        <w:rPr>
          <w:rFonts w:eastAsia="Calibri"/>
        </w:rPr>
      </w:pPr>
      <w:r w:rsidRPr="0068211C">
        <w:rPr>
          <w:rFonts w:eastAsia="Calibri"/>
        </w:rPr>
        <w:t xml:space="preserve">Common </w:t>
      </w:r>
      <w:r w:rsidR="002C2E94">
        <w:rPr>
          <w:rFonts w:eastAsia="Calibri"/>
        </w:rPr>
        <w:t>treatment-emergent adverse events</w:t>
      </w:r>
    </w:p>
    <w:p w14:paraId="4CC48283" w14:textId="77777777" w:rsidR="0068211C" w:rsidRPr="0068211C" w:rsidRDefault="0068211C" w:rsidP="00A25604">
      <w:pPr>
        <w:pStyle w:val="Heading6"/>
        <w:rPr>
          <w:rFonts w:eastAsia="Calibri"/>
        </w:rPr>
      </w:pPr>
      <w:r w:rsidRPr="0068211C">
        <w:rPr>
          <w:rFonts w:eastAsia="Calibri"/>
          <w:lang w:val="en-GB"/>
        </w:rPr>
        <w:t>Study MG0003</w:t>
      </w:r>
    </w:p>
    <w:p w14:paraId="29CFAF70" w14:textId="41071FF4" w:rsidR="0068211C" w:rsidRPr="0068211C" w:rsidRDefault="0068211C" w:rsidP="0068211C">
      <w:pPr>
        <w:rPr>
          <w:kern w:val="2"/>
          <w:lang w:val="en-GB"/>
          <w14:ligatures w14:val="standardContextual"/>
        </w:rPr>
      </w:pPr>
      <w:r w:rsidRPr="002C2E94">
        <w:rPr>
          <w:kern w:val="2"/>
          <w:lang w:val="en-GB"/>
          <w14:ligatures w14:val="standardContextual"/>
        </w:rPr>
        <w:t xml:space="preserve">Treatment-emergent AEs were most frequently reported in the </w:t>
      </w:r>
      <w:r w:rsidR="00412FCA" w:rsidRPr="002C2E94">
        <w:t>Medical Dictionary for</w:t>
      </w:r>
      <w:r w:rsidR="00412FCA" w:rsidRPr="000352ED">
        <w:t xml:space="preserve"> Regulatory Activities (MedDRA)</w:t>
      </w:r>
      <w:r w:rsidR="00381E68">
        <w:rPr>
          <w:rStyle w:val="FootnoteReference"/>
        </w:rPr>
        <w:footnoteReference w:id="4"/>
      </w:r>
      <w:r w:rsidR="00412FCA" w:rsidRPr="000352ED">
        <w:t xml:space="preserve"> System Organ Class (SOC)</w:t>
      </w:r>
      <w:r w:rsidR="00381E68">
        <w:rPr>
          <w:rStyle w:val="FootnoteReference"/>
        </w:rPr>
        <w:footnoteReference w:id="5"/>
      </w:r>
      <w:r w:rsidR="00412FCA" w:rsidRPr="000352ED">
        <w:t xml:space="preserve"> </w:t>
      </w:r>
      <w:r w:rsidRPr="0068211C">
        <w:rPr>
          <w:kern w:val="2"/>
          <w:lang w:val="en-GB"/>
          <w14:ligatures w14:val="standardContextual"/>
        </w:rPr>
        <w:t xml:space="preserve">of </w:t>
      </w:r>
      <w:r w:rsidR="00415890">
        <w:rPr>
          <w:kern w:val="2"/>
          <w:lang w:val="en-GB"/>
          <w14:ligatures w14:val="standardContextual"/>
        </w:rPr>
        <w:t>N</w:t>
      </w:r>
      <w:r w:rsidRPr="0068211C">
        <w:rPr>
          <w:kern w:val="2"/>
          <w:lang w:val="en-GB"/>
          <w14:ligatures w14:val="standardContextual"/>
        </w:rPr>
        <w:t>ervous system disorders (57.8%, 47.8%, and 31.3% of study participants in the rozanolixizumab ≈7</w:t>
      </w:r>
      <w:r w:rsidR="006D29DA">
        <w:rPr>
          <w:kern w:val="2"/>
          <w:lang w:val="en-GB"/>
          <w14:ligatures w14:val="standardContextual"/>
        </w:rPr>
        <w:t> </w:t>
      </w:r>
      <w:r w:rsidRPr="0068211C">
        <w:rPr>
          <w:kern w:val="2"/>
          <w:lang w:val="en-GB"/>
          <w14:ligatures w14:val="standardContextual"/>
        </w:rPr>
        <w:t>mg/kg, rozanolixizumab ≈10</w:t>
      </w:r>
      <w:r w:rsidR="006D29DA">
        <w:rPr>
          <w:kern w:val="2"/>
          <w:lang w:val="en-GB"/>
          <w14:ligatures w14:val="standardContextual"/>
        </w:rPr>
        <w:t> </w:t>
      </w:r>
      <w:r w:rsidRPr="0068211C">
        <w:rPr>
          <w:kern w:val="2"/>
          <w:lang w:val="en-GB"/>
          <w14:ligatures w14:val="standardContextual"/>
        </w:rPr>
        <w:t xml:space="preserve">mg/kg, and placebo groups, respectively) followed by </w:t>
      </w:r>
      <w:r w:rsidR="00415890">
        <w:rPr>
          <w:kern w:val="2"/>
          <w:lang w:val="en-GB"/>
          <w14:ligatures w14:val="standardContextual"/>
        </w:rPr>
        <w:t>G</w:t>
      </w:r>
      <w:r w:rsidR="006D29DA">
        <w:rPr>
          <w:kern w:val="2"/>
          <w:lang w:val="en-GB"/>
          <w14:ligatures w14:val="standardContextual"/>
        </w:rPr>
        <w:t>astrointestinal</w:t>
      </w:r>
      <w:r w:rsidRPr="0068211C">
        <w:rPr>
          <w:kern w:val="2"/>
          <w:lang w:val="en-GB"/>
          <w14:ligatures w14:val="standardContextual"/>
        </w:rPr>
        <w:t xml:space="preserve"> disorders (32.8%, 30.4%, and 23.9%, respectively), </w:t>
      </w:r>
      <w:r w:rsidR="00415890">
        <w:rPr>
          <w:kern w:val="2"/>
          <w:lang w:val="en-GB"/>
          <w14:ligatures w14:val="standardContextual"/>
        </w:rPr>
        <w:t>G</w:t>
      </w:r>
      <w:r w:rsidRPr="0068211C">
        <w:rPr>
          <w:kern w:val="2"/>
          <w:lang w:val="en-GB"/>
          <w14:ligatures w14:val="standardContextual"/>
        </w:rPr>
        <w:t xml:space="preserve">eneral disorders and administration site conditions (25.0%, 39.1%, and 19.4%, respectively), </w:t>
      </w:r>
      <w:r w:rsidR="00415890">
        <w:rPr>
          <w:kern w:val="2"/>
          <w:lang w:val="en-GB"/>
          <w14:ligatures w14:val="standardContextual"/>
        </w:rPr>
        <w:t>I</w:t>
      </w:r>
      <w:r w:rsidRPr="0068211C">
        <w:rPr>
          <w:kern w:val="2"/>
          <w:lang w:val="en-GB"/>
          <w14:ligatures w14:val="standardContextual"/>
        </w:rPr>
        <w:t xml:space="preserve">nfections and infestations (15.6%, 30.4%, and 19.4%, respectively), and </w:t>
      </w:r>
      <w:r w:rsidR="00415890">
        <w:rPr>
          <w:kern w:val="2"/>
          <w:lang w:val="en-GB"/>
          <w14:ligatures w14:val="standardContextual"/>
        </w:rPr>
        <w:t>M</w:t>
      </w:r>
      <w:r w:rsidRPr="0068211C">
        <w:rPr>
          <w:kern w:val="2"/>
          <w:lang w:val="en-GB"/>
          <w14:ligatures w14:val="standardContextual"/>
        </w:rPr>
        <w:t>usculoskeletal and connective tissues disorders (23.4%, 18.8%, and 13.4%, respectively).</w:t>
      </w:r>
      <w:r w:rsidRPr="0068211C">
        <w:rPr>
          <w:rFonts w:ascii="Times New Roman" w:hAnsi="Times New Roman"/>
          <w:color w:val="000000"/>
          <w:sz w:val="24"/>
          <w:szCs w:val="24"/>
          <w14:ligatures w14:val="standardContextual"/>
        </w:rPr>
        <w:t xml:space="preserve"> </w:t>
      </w:r>
      <w:r w:rsidRPr="0068211C">
        <w:rPr>
          <w:kern w:val="2"/>
          <w14:ligatures w14:val="standardContextual"/>
        </w:rPr>
        <w:t>Across rozanolixizumab treatment groups, the most common TEAEs were headache, diarrhoea, pyrexia, nausea, and arthralgia. Headache was the most common TEAE in all groups, occurring in 45.3%, 37.7%, and 19.4% of study participants in the rozanolixizumab ≈7</w:t>
      </w:r>
      <w:r w:rsidR="0000417E">
        <w:rPr>
          <w:kern w:val="2"/>
          <w14:ligatures w14:val="standardContextual"/>
        </w:rPr>
        <w:t> </w:t>
      </w:r>
      <w:r w:rsidRPr="0068211C">
        <w:rPr>
          <w:kern w:val="2"/>
          <w14:ligatures w14:val="standardContextual"/>
        </w:rPr>
        <w:t>mg/kg, ≈10</w:t>
      </w:r>
      <w:r w:rsidR="0000417E">
        <w:rPr>
          <w:kern w:val="2"/>
          <w14:ligatures w14:val="standardContextual"/>
        </w:rPr>
        <w:t> </w:t>
      </w:r>
      <w:r w:rsidRPr="0068211C">
        <w:rPr>
          <w:kern w:val="2"/>
          <w14:ligatures w14:val="standardContextual"/>
        </w:rPr>
        <w:t xml:space="preserve">mg/kg, and placebo groups, respectively. The following TEAEs were also reported in </w:t>
      </w:r>
      <w:r w:rsidR="0060713E">
        <w:rPr>
          <w:kern w:val="2"/>
          <w14:ligatures w14:val="standardContextual"/>
        </w:rPr>
        <w:t>≥</w:t>
      </w:r>
      <w:r w:rsidRPr="0068211C">
        <w:rPr>
          <w:kern w:val="2"/>
          <w14:ligatures w14:val="standardContextual"/>
        </w:rPr>
        <w:t>5% of study participants in any treatment group: myalgia, vomiting, hypertension, nasopharyngitis (in either rozanolixizumab treatment group), and urinary tract infection (placebo treatment group).</w:t>
      </w:r>
    </w:p>
    <w:p w14:paraId="1F8A18FB" w14:textId="77777777" w:rsidR="0068211C" w:rsidRPr="0068211C" w:rsidRDefault="0068211C" w:rsidP="00A25604">
      <w:pPr>
        <w:pStyle w:val="Heading6"/>
        <w:rPr>
          <w:rFonts w:eastAsia="Calibri"/>
          <w:lang w:val="en-GB"/>
        </w:rPr>
      </w:pPr>
      <w:r w:rsidRPr="0068211C">
        <w:rPr>
          <w:rFonts w:eastAsia="Calibri"/>
          <w:lang w:val="en-GB"/>
        </w:rPr>
        <w:t>Pool S2</w:t>
      </w:r>
    </w:p>
    <w:p w14:paraId="0FED1EFE" w14:textId="66F75887" w:rsidR="0068211C" w:rsidRPr="0068211C" w:rsidRDefault="0068211C" w:rsidP="0068211C">
      <w:pPr>
        <w:rPr>
          <w:kern w:val="2"/>
          <w14:ligatures w14:val="standardContextual"/>
        </w:rPr>
      </w:pPr>
      <w:r w:rsidRPr="0068211C">
        <w:rPr>
          <w:kern w:val="2"/>
          <w:lang w:val="en-GB"/>
          <w14:ligatures w14:val="standardContextual"/>
        </w:rPr>
        <w:t>In total, 169 (89.9%) study participants experienced 1526 TEAEs in Pool S2. The incidence of TEAEs was higher in the rozanolixizumab ≈10</w:t>
      </w:r>
      <w:r w:rsidR="000F7301">
        <w:rPr>
          <w:kern w:val="2"/>
          <w:lang w:val="en-GB"/>
          <w14:ligatures w14:val="standardContextual"/>
        </w:rPr>
        <w:t> </w:t>
      </w:r>
      <w:r w:rsidRPr="0068211C">
        <w:rPr>
          <w:kern w:val="2"/>
          <w:lang w:val="en-GB"/>
          <w14:ligatures w14:val="standardContextual"/>
        </w:rPr>
        <w:t>mg/kg than in the ≈7</w:t>
      </w:r>
      <w:r w:rsidR="000F7301">
        <w:rPr>
          <w:kern w:val="2"/>
          <w:lang w:val="en-GB"/>
          <w14:ligatures w14:val="standardContextual"/>
        </w:rPr>
        <w:t> </w:t>
      </w:r>
      <w:r w:rsidRPr="0068211C">
        <w:rPr>
          <w:kern w:val="2"/>
          <w:lang w:val="en-GB"/>
          <w14:ligatures w14:val="standardContextual"/>
        </w:rPr>
        <w:t>mg/kg dose group (91.6% vs 77.4% of participants).</w:t>
      </w:r>
      <w:r w:rsidRPr="0068211C">
        <w:rPr>
          <w:rFonts w:ascii="Verdana" w:eastAsia="SimSun" w:hAnsi="Verdana"/>
          <w:sz w:val="16"/>
          <w:szCs w:val="16"/>
          <w:lang w:val="en-GB" w:eastAsia="en-GB"/>
          <w14:ligatures w14:val="standardContextual"/>
        </w:rPr>
        <w:t xml:space="preserve"> </w:t>
      </w:r>
      <w:r w:rsidRPr="0068211C">
        <w:rPr>
          <w:color w:val="000000"/>
          <w14:ligatures w14:val="standardContextual"/>
        </w:rPr>
        <w:t xml:space="preserve">Overall, TEAEs were most frequently reported in the SOCs of </w:t>
      </w:r>
      <w:r w:rsidR="00A86D07">
        <w:rPr>
          <w:color w:val="000000"/>
          <w14:ligatures w14:val="standardContextual"/>
        </w:rPr>
        <w:t>N</w:t>
      </w:r>
      <w:r w:rsidRPr="0068211C">
        <w:rPr>
          <w:color w:val="000000"/>
          <w14:ligatures w14:val="standardContextual"/>
        </w:rPr>
        <w:t xml:space="preserve">ervous system disorders (59.6% of study participants), Infections and infestations (45.2%), Gastrointestinal disorders (42.6%), and </w:t>
      </w:r>
      <w:r w:rsidR="00415890">
        <w:rPr>
          <w:color w:val="000000"/>
          <w14:ligatures w14:val="standardContextual"/>
        </w:rPr>
        <w:t>G</w:t>
      </w:r>
      <w:r w:rsidRPr="0068211C">
        <w:rPr>
          <w:color w:val="000000"/>
          <w14:ligatures w14:val="standardContextual"/>
        </w:rPr>
        <w:t>eneral disorders and administration site conditions (42.6%)</w:t>
      </w:r>
      <w:r w:rsidRPr="0068211C">
        <w:rPr>
          <w:color w:val="7030A1"/>
          <w14:ligatures w14:val="standardContextual"/>
        </w:rPr>
        <w:t xml:space="preserve">. </w:t>
      </w:r>
      <w:r w:rsidRPr="0068211C">
        <w:rPr>
          <w:color w:val="000000"/>
          <w14:ligatures w14:val="standardContextual"/>
        </w:rPr>
        <w:t>The most common TEAEs across both dose groups were headache (46.3% of study participants), diarrhoea (28.7%), pyrexia (18.1%), nausea (14.9%), COVID-19 infection (13.8%), arthralgia (11.2%), and blood IgG decreased (10.6%).</w:t>
      </w:r>
      <w:r w:rsidRPr="0068211C">
        <w:rPr>
          <w:kern w:val="2"/>
          <w:lang w:val="en-GB"/>
          <w14:ligatures w14:val="standardContextual"/>
        </w:rPr>
        <w:t xml:space="preserve">Overall, the incidence of any TEAEs did not increase with repeated treatment cycles, including in the most common SOCs of Nervous System Disorders, Infections and infestations, and Gastrointestinal Disorders. With repeated cyclic treatment, the incidence of the most common TEAEs of headache, diarrhoea, pyrexia, nausea, </w:t>
      </w:r>
      <w:r w:rsidRPr="0068211C">
        <w:rPr>
          <w:kern w:val="2"/>
          <w:lang w:val="en-GB"/>
          <w14:ligatures w14:val="standardContextual"/>
        </w:rPr>
        <w:lastRenderedPageBreak/>
        <w:t>and arthralgia, did not increase, while a trend for an increase in the incidence of blood IgG decrease was observed.</w:t>
      </w:r>
    </w:p>
    <w:p w14:paraId="16CAA688" w14:textId="77777777" w:rsidR="0068211C" w:rsidRPr="0068211C" w:rsidRDefault="0068211C" w:rsidP="00A25604">
      <w:pPr>
        <w:pStyle w:val="Heading6"/>
        <w:rPr>
          <w:rFonts w:eastAsia="Calibri"/>
        </w:rPr>
      </w:pPr>
      <w:r w:rsidRPr="0068211C">
        <w:rPr>
          <w:rFonts w:eastAsia="Calibri"/>
        </w:rPr>
        <w:t>Pool S1</w:t>
      </w:r>
    </w:p>
    <w:p w14:paraId="776361FB" w14:textId="31E7CE73" w:rsidR="0068211C" w:rsidRPr="0068211C" w:rsidRDefault="0068211C" w:rsidP="0068211C">
      <w:pPr>
        <w:rPr>
          <w:kern w:val="2"/>
          <w14:ligatures w14:val="standardContextual"/>
        </w:rPr>
      </w:pPr>
      <w:r w:rsidRPr="0068211C">
        <w:rPr>
          <w:kern w:val="2"/>
          <w14:ligatures w14:val="standardContextual"/>
        </w:rPr>
        <w:t>In total, 176 (89.8%) study participants experienced 1394 TEAEs in Pool S1 (N=196). The safety profile of Pool S1 was consistent with Pool S2</w:t>
      </w:r>
      <w:r w:rsidR="00110645">
        <w:rPr>
          <w:kern w:val="2"/>
          <w14:ligatures w14:val="standardContextual"/>
        </w:rPr>
        <w:t>.</w:t>
      </w:r>
      <w:r w:rsidRPr="0068211C">
        <w:rPr>
          <w:kern w:val="2"/>
          <w14:ligatures w14:val="standardContextual"/>
        </w:rPr>
        <w:t xml:space="preserve"> Overall, TEAEs were most frequently reported in the SOCs of Nervous system disorders (108 [55.1%] study participants), Gastrointestinal disorders (86 [43.9%]), General disorders and administration site conditions (85 [43.4%]), and Infections and infestations (73 [37.2%]). The most common TEAEs in Pool S1 were headache (94 [48.0%] study participants), diarrhoea (57 [29.1%]), pyrexia (35 [17.9%]), nausea (30 [15.3%]), and blood IgG decreased (24 [12.2%]), which occurred with a similar incidence as observed in Pool S2. With repeated cyclic treatment, the incidence of TEAEs occurring in the most common SOCs, as well as the most common TEAEs of headache, diarrhoea, pyrexia, and nausea did not increase, while a trend for an increase in the incidence of blood IgG decrease was observed.</w:t>
      </w:r>
    </w:p>
    <w:p w14:paraId="0D0C2AED" w14:textId="35A6427B" w:rsidR="008465C6" w:rsidRPr="00A30DBD" w:rsidRDefault="008465C6" w:rsidP="00A25604">
      <w:pPr>
        <w:pStyle w:val="Heading5"/>
      </w:pPr>
      <w:r w:rsidRPr="00A30DBD">
        <w:t xml:space="preserve">Severe </w:t>
      </w:r>
      <w:r w:rsidR="00F20468">
        <w:rPr>
          <w:rFonts w:eastAsia="Calibri"/>
        </w:rPr>
        <w:t>treatment-emergent adverse events</w:t>
      </w:r>
    </w:p>
    <w:p w14:paraId="26D783FE" w14:textId="77777777" w:rsidR="008465C6" w:rsidRPr="00A30DBD" w:rsidRDefault="008465C6" w:rsidP="00A25604">
      <w:pPr>
        <w:pStyle w:val="Heading6"/>
        <w:rPr>
          <w:lang w:val="en-GB"/>
        </w:rPr>
      </w:pPr>
      <w:r w:rsidRPr="00A30DBD">
        <w:rPr>
          <w:lang w:val="en-GB"/>
        </w:rPr>
        <w:t>Study MG0003</w:t>
      </w:r>
    </w:p>
    <w:p w14:paraId="34EF5C19" w14:textId="101D1C50" w:rsidR="008465C6" w:rsidRPr="00103CE3" w:rsidRDefault="008465C6" w:rsidP="008465C6">
      <w:pPr>
        <w:rPr>
          <w:lang w:val="en-GB"/>
        </w:rPr>
      </w:pPr>
      <w:r w:rsidRPr="00A30DBD">
        <w:rPr>
          <w:lang w:val="en-GB"/>
        </w:rPr>
        <w:t>In MG0003, TEAEs were predominantly mild or moderate in intensity in all treatment groups. The incidence of severe TEAEs was higher in the rozanolixizumab ≈10</w:t>
      </w:r>
      <w:r w:rsidR="002C2A5B">
        <w:rPr>
          <w:lang w:val="en-GB"/>
        </w:rPr>
        <w:t> </w:t>
      </w:r>
      <w:r w:rsidRPr="00A30DBD">
        <w:rPr>
          <w:lang w:val="en-GB"/>
        </w:rPr>
        <w:t>mg/kg group (13 [18.8%] participants) than in the rozanolixizumab ≈7</w:t>
      </w:r>
      <w:r w:rsidR="002C2A5B">
        <w:rPr>
          <w:lang w:val="en-GB"/>
        </w:rPr>
        <w:t> </w:t>
      </w:r>
      <w:r w:rsidRPr="00A30DBD">
        <w:rPr>
          <w:lang w:val="en-GB"/>
        </w:rPr>
        <w:t>mg/kg (3 [4.7%] participants) and placebo (3 [4.5%] participants) groups (</w:t>
      </w:r>
      <w:r w:rsidR="00475FFB">
        <w:rPr>
          <w:lang w:val="en-GB"/>
        </w:rPr>
        <w:t xml:space="preserve">see following </w:t>
      </w:r>
      <w:r w:rsidR="00AC4512">
        <w:rPr>
          <w:lang w:val="en-GB"/>
        </w:rPr>
        <w:t>table</w:t>
      </w:r>
      <w:r w:rsidRPr="00A30DBD">
        <w:rPr>
          <w:lang w:val="en-GB"/>
        </w:rPr>
        <w:t>). Severe TEAEs most frequently occurred in the SOC Nervous System Disorders. Within this SOC, headache was the most common severe TEAE and drove the imbalance between the ≈10</w:t>
      </w:r>
      <w:r w:rsidR="00AC4512">
        <w:rPr>
          <w:lang w:val="en-GB"/>
        </w:rPr>
        <w:t> </w:t>
      </w:r>
      <w:r w:rsidRPr="00A30DBD">
        <w:rPr>
          <w:lang w:val="en-GB"/>
        </w:rPr>
        <w:t>mg/kg and ≈7</w:t>
      </w:r>
      <w:r w:rsidR="00AC4512">
        <w:rPr>
          <w:lang w:val="en-GB"/>
        </w:rPr>
        <w:t> </w:t>
      </w:r>
      <w:r w:rsidRPr="00A30DBD">
        <w:rPr>
          <w:lang w:val="en-GB"/>
        </w:rPr>
        <w:t>mg/kg treatment groups (6 [8.7%] and 1 [1.6%] participants, respectively). No placebo-treated participant experienced severe headache. The other TEAEs of severe intensity occurring in &gt;1 study participant in the rozanolixizumab ≈10</w:t>
      </w:r>
      <w:r w:rsidR="00D84B24">
        <w:rPr>
          <w:lang w:val="en-GB"/>
        </w:rPr>
        <w:t> </w:t>
      </w:r>
      <w:r w:rsidRPr="00A30DBD">
        <w:rPr>
          <w:lang w:val="en-GB"/>
        </w:rPr>
        <w:t>mg/kg or ≈7</w:t>
      </w:r>
      <w:r w:rsidR="00D84B24">
        <w:rPr>
          <w:lang w:val="en-GB"/>
        </w:rPr>
        <w:t> </w:t>
      </w:r>
      <w:r w:rsidRPr="00A30DBD">
        <w:rPr>
          <w:lang w:val="en-GB"/>
        </w:rPr>
        <w:t>mg/kg treatment groups were diarrhoea (</w:t>
      </w:r>
      <w:r w:rsidR="00D84B24">
        <w:rPr>
          <w:lang w:val="en-GB"/>
        </w:rPr>
        <w:t>nil</w:t>
      </w:r>
      <w:r w:rsidRPr="00A30DBD">
        <w:rPr>
          <w:lang w:val="en-GB"/>
        </w:rPr>
        <w:t xml:space="preserve"> and 2 [2.9%] participants, respectively, vs </w:t>
      </w:r>
      <w:r w:rsidR="00D84B24">
        <w:rPr>
          <w:lang w:val="en-GB"/>
        </w:rPr>
        <w:t>nil</w:t>
      </w:r>
      <w:r w:rsidRPr="00A30DBD">
        <w:rPr>
          <w:lang w:val="en-GB"/>
        </w:rPr>
        <w:t xml:space="preserve"> in placebo) and myasthenia gravis (1 [1.6%] and 2 [2.9%], respectively vs 1 [1.5%] in placebo</w:t>
      </w:r>
      <w:r w:rsidR="00D84B24">
        <w:rPr>
          <w:lang w:val="en-GB"/>
        </w:rPr>
        <w:t>)</w:t>
      </w:r>
      <w:r w:rsidRPr="00A30DBD">
        <w:rPr>
          <w:lang w:val="en-GB"/>
        </w:rPr>
        <w:t>. All other TEAEs of severe intensity occurred in no more than 1 study participant.</w:t>
      </w:r>
      <w:bookmarkStart w:id="68" w:name="_Ref149664793"/>
    </w:p>
    <w:bookmarkEnd w:id="68"/>
    <w:p w14:paraId="2619FEF0" w14:textId="39A4862A" w:rsidR="00BF0B8A" w:rsidRDefault="00BF0B8A" w:rsidP="00BF0B8A">
      <w:pPr>
        <w:pStyle w:val="TableTitle"/>
        <w:rPr>
          <w:lang w:val="en-GB"/>
        </w:rPr>
      </w:pPr>
      <w:r>
        <w:lastRenderedPageBreak/>
        <w:t xml:space="preserve">Table </w:t>
      </w:r>
      <w:r>
        <w:fldChar w:fldCharType="begin"/>
      </w:r>
      <w:r>
        <w:instrText xml:space="preserve"> SEQ Table \* ARABIC </w:instrText>
      </w:r>
      <w:r>
        <w:fldChar w:fldCharType="separate"/>
      </w:r>
      <w:r w:rsidR="00CA7747">
        <w:rPr>
          <w:noProof/>
        </w:rPr>
        <w:t>12</w:t>
      </w:r>
      <w:r>
        <w:fldChar w:fldCharType="end"/>
      </w:r>
      <w:r>
        <w:t xml:space="preserve">: Study MG0003 Severe </w:t>
      </w:r>
      <w:r w:rsidR="00BC17C0">
        <w:t>t</w:t>
      </w:r>
      <w:proofErr w:type="spellStart"/>
      <w:r w:rsidR="00ED178C">
        <w:rPr>
          <w:color w:val="000000" w:themeColor="text1"/>
          <w:lang w:val="en-US" w:eastAsia="ja-JP"/>
        </w:rPr>
        <w:t>reatment</w:t>
      </w:r>
      <w:proofErr w:type="spellEnd"/>
      <w:r w:rsidR="00ED178C">
        <w:rPr>
          <w:color w:val="000000" w:themeColor="text1"/>
          <w:lang w:val="en-US" w:eastAsia="ja-JP"/>
        </w:rPr>
        <w:t>-emergent adverse event</w:t>
      </w:r>
      <w:r>
        <w:t>s (</w:t>
      </w:r>
      <w:r w:rsidR="00ED178C">
        <w:t>S</w:t>
      </w:r>
      <w:r>
        <w:t xml:space="preserve">afety </w:t>
      </w:r>
      <w:r w:rsidR="00ED178C">
        <w:t>S</w:t>
      </w:r>
      <w:r>
        <w:t>et)</w:t>
      </w:r>
    </w:p>
    <w:p w14:paraId="5DAD0718" w14:textId="607ACB97" w:rsidR="008465C6" w:rsidRPr="00A30DBD" w:rsidRDefault="008465C6" w:rsidP="00046032">
      <w:pPr>
        <w:ind w:left="-227"/>
        <w:rPr>
          <w:b/>
          <w:bCs/>
          <w:lang w:val="en-GB"/>
        </w:rPr>
      </w:pPr>
      <w:r w:rsidRPr="00A30DBD">
        <w:rPr>
          <w:noProof/>
        </w:rPr>
        <w:drawing>
          <wp:inline distT="0" distB="0" distL="0" distR="0" wp14:anchorId="1E2467C7" wp14:editId="75AE07C5">
            <wp:extent cx="6246275" cy="7784327"/>
            <wp:effectExtent l="0" t="0" r="2540" b="7620"/>
            <wp:docPr id="619949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49097" name=""/>
                    <pic:cNvPicPr/>
                  </pic:nvPicPr>
                  <pic:blipFill>
                    <a:blip r:embed="rId45">
                      <a:extLst>
                        <a:ext uri="{BEBA8EAE-BF5A-486C-A8C5-ECC9F3942E4B}">
                          <a14:imgProps xmlns:a14="http://schemas.microsoft.com/office/drawing/2010/main">
                            <a14:imgLayer r:embed="rId46">
                              <a14:imgEffect>
                                <a14:sharpenSoften amount="43000"/>
                              </a14:imgEffect>
                            </a14:imgLayer>
                          </a14:imgProps>
                        </a:ext>
                      </a:extLst>
                    </a:blip>
                    <a:stretch>
                      <a:fillRect/>
                    </a:stretch>
                  </pic:blipFill>
                  <pic:spPr>
                    <a:xfrm>
                      <a:off x="0" y="0"/>
                      <a:ext cx="6246275" cy="7784327"/>
                    </a:xfrm>
                    <a:prstGeom prst="rect">
                      <a:avLst/>
                    </a:prstGeom>
                  </pic:spPr>
                </pic:pic>
              </a:graphicData>
            </a:graphic>
          </wp:inline>
        </w:drawing>
      </w:r>
    </w:p>
    <w:p w14:paraId="11121D08" w14:textId="77777777" w:rsidR="00046032" w:rsidRDefault="00046032">
      <w:pPr>
        <w:rPr>
          <w:rFonts w:ascii="Arial" w:eastAsia="Times New Roman" w:hAnsi="Arial" w:cs="Times New Roman"/>
          <w:b/>
          <w:bCs/>
          <w:i/>
          <w:color w:val="001871"/>
          <w:sz w:val="24"/>
          <w:szCs w:val="21"/>
          <w:lang w:val="en-GB"/>
        </w:rPr>
      </w:pPr>
      <w:r>
        <w:rPr>
          <w:lang w:val="en-GB"/>
        </w:rPr>
        <w:br w:type="page"/>
      </w:r>
    </w:p>
    <w:p w14:paraId="51F5FFA8" w14:textId="6710F84A" w:rsidR="008465C6" w:rsidRPr="00A30DBD" w:rsidRDefault="008465C6" w:rsidP="00A25604">
      <w:pPr>
        <w:pStyle w:val="Heading6"/>
        <w:rPr>
          <w:lang w:val="en-GB"/>
        </w:rPr>
      </w:pPr>
      <w:r w:rsidRPr="00A30DBD">
        <w:rPr>
          <w:lang w:val="en-GB"/>
        </w:rPr>
        <w:lastRenderedPageBreak/>
        <w:t>Pool S2</w:t>
      </w:r>
    </w:p>
    <w:p w14:paraId="655DA4FF" w14:textId="6A135D9D" w:rsidR="008465C6" w:rsidRPr="00A30DBD" w:rsidRDefault="008465C6" w:rsidP="008465C6">
      <w:pPr>
        <w:rPr>
          <w:lang w:val="en-GB"/>
        </w:rPr>
      </w:pPr>
      <w:r w:rsidRPr="00A30DBD">
        <w:rPr>
          <w:lang w:val="en-GB"/>
        </w:rPr>
        <w:t>In total, 50 (26.6%) study participants experienced TEAEs of severe intensity in Pool S2, with incidence higher in the rozanolixizumab ≈10</w:t>
      </w:r>
      <w:r w:rsidR="00BF0B8A">
        <w:rPr>
          <w:lang w:val="en-GB"/>
        </w:rPr>
        <w:t> </w:t>
      </w:r>
      <w:r w:rsidRPr="00A30DBD">
        <w:rPr>
          <w:lang w:val="en-GB"/>
        </w:rPr>
        <w:t>mg/kg than in the ≈7</w:t>
      </w:r>
      <w:r w:rsidR="00BF0B8A">
        <w:rPr>
          <w:lang w:val="en-GB"/>
        </w:rPr>
        <w:t> </w:t>
      </w:r>
      <w:r w:rsidRPr="00A30DBD">
        <w:rPr>
          <w:lang w:val="en-GB"/>
        </w:rPr>
        <w:t>mg/kg dose group (39 [29.8%] vs 12 [9.0%]).</w:t>
      </w:r>
    </w:p>
    <w:p w14:paraId="548FCA17" w14:textId="77777777" w:rsidR="008465C6" w:rsidRPr="00A30DBD" w:rsidRDefault="008465C6" w:rsidP="00A25604">
      <w:pPr>
        <w:pStyle w:val="Heading6"/>
      </w:pPr>
      <w:r w:rsidRPr="00A30DBD">
        <w:t>Pool S1</w:t>
      </w:r>
    </w:p>
    <w:p w14:paraId="2B48AD12" w14:textId="355AD60F" w:rsidR="008465C6" w:rsidRDefault="008465C6" w:rsidP="008465C6">
      <w:r w:rsidRPr="00A30DBD">
        <w:t>In Pool S1 (N=196), 41 (20.9%) study participants experienced TEAEs of severe intensity, including 13 (9.2%) and 29 (20.0%) participants in the rozanolixizumab ≈7</w:t>
      </w:r>
      <w:r w:rsidR="00773E57">
        <w:t> </w:t>
      </w:r>
      <w:r w:rsidRPr="00A30DBD">
        <w:t>mg/kg (N=142) and ≈10</w:t>
      </w:r>
      <w:r w:rsidR="00773E57">
        <w:t> </w:t>
      </w:r>
      <w:r w:rsidRPr="00A30DBD">
        <w:t>mg/kg (N=145), respectively</w:t>
      </w:r>
      <w:r w:rsidR="00773E57">
        <w:t>.</w:t>
      </w:r>
      <w:r w:rsidRPr="00A30DBD">
        <w:t xml:space="preserve"> Consistent with Pool S2, the most common TEAEs in Pool S1 were headache (12 [6.1%] participants) and myasthenia gravis (5 [2.6%]). Compared with Cycle</w:t>
      </w:r>
      <w:r w:rsidR="00781AFC">
        <w:t> </w:t>
      </w:r>
      <w:r w:rsidRPr="00A30DBD">
        <w:t>1, the incidence of severe TEAEs did not increase with repeated cyclic treatment.</w:t>
      </w:r>
    </w:p>
    <w:p w14:paraId="7F79E736" w14:textId="77777777" w:rsidR="00B13975" w:rsidRPr="00B13975" w:rsidRDefault="00B13975" w:rsidP="00A25604">
      <w:pPr>
        <w:pStyle w:val="Heading5"/>
        <w:rPr>
          <w:lang w:val="en-GB"/>
        </w:rPr>
      </w:pPr>
      <w:r w:rsidRPr="00B13975">
        <w:rPr>
          <w:lang w:val="en-GB"/>
        </w:rPr>
        <w:t>Serious adverse event/deaths/other significant events</w:t>
      </w:r>
    </w:p>
    <w:p w14:paraId="02A805E5" w14:textId="77777777" w:rsidR="00B13975" w:rsidRPr="00B13975" w:rsidRDefault="00B13975" w:rsidP="00A25604">
      <w:pPr>
        <w:pStyle w:val="Heading6"/>
        <w:rPr>
          <w:lang w:val="en-GB"/>
        </w:rPr>
      </w:pPr>
      <w:r w:rsidRPr="00B13975">
        <w:rPr>
          <w:lang w:val="en-GB"/>
        </w:rPr>
        <w:t>Deaths</w:t>
      </w:r>
    </w:p>
    <w:p w14:paraId="02F6DEAA" w14:textId="29372ED3" w:rsidR="00B13975" w:rsidRPr="00B13975" w:rsidRDefault="00B13975" w:rsidP="00B13975">
      <w:pPr>
        <w:rPr>
          <w:iCs/>
          <w:lang w:val="en-GB"/>
        </w:rPr>
      </w:pPr>
      <w:r w:rsidRPr="00CD31C6">
        <w:rPr>
          <w:iCs/>
          <w:lang w:val="en-GB"/>
        </w:rPr>
        <w:t>In total, 5 participants died including 4 participants who died before the data cut</w:t>
      </w:r>
      <w:r w:rsidR="0011659C" w:rsidRPr="00CD31C6">
        <w:rPr>
          <w:iCs/>
          <w:lang w:val="en-GB"/>
        </w:rPr>
        <w:t>-</w:t>
      </w:r>
      <w:r w:rsidRPr="00CD31C6">
        <w:rPr>
          <w:iCs/>
          <w:lang w:val="en-GB"/>
        </w:rPr>
        <w:t>off (8 Jul</w:t>
      </w:r>
      <w:r w:rsidR="00986BCD" w:rsidRPr="00CD31C6">
        <w:rPr>
          <w:iCs/>
          <w:lang w:val="en-GB"/>
        </w:rPr>
        <w:t>y</w:t>
      </w:r>
      <w:r w:rsidRPr="00B13975">
        <w:rPr>
          <w:iCs/>
          <w:lang w:val="en-GB"/>
        </w:rPr>
        <w:t xml:space="preserve"> 2022), and 1 participant who died post data cut</w:t>
      </w:r>
      <w:r w:rsidR="0011659C">
        <w:rPr>
          <w:iCs/>
          <w:lang w:val="en-GB"/>
        </w:rPr>
        <w:t>-</w:t>
      </w:r>
      <w:r w:rsidRPr="00B13975">
        <w:rPr>
          <w:iCs/>
          <w:lang w:val="en-GB"/>
        </w:rPr>
        <w:t>off. Of the 4 participants who died before the data cut off, 2 participants had TEAEs leading to death, 1 participant had TEAEs and non-TEAEs leading to death, and 1 participant had a non-TEAE leading to death. All deaths occurred in MG0007.</w:t>
      </w:r>
    </w:p>
    <w:p w14:paraId="53C8C346" w14:textId="77777777" w:rsidR="00B13975" w:rsidRPr="00B13975" w:rsidRDefault="00B13975" w:rsidP="00A25604">
      <w:pPr>
        <w:pStyle w:val="Heading6"/>
        <w:rPr>
          <w:lang w:val="en-GB"/>
        </w:rPr>
      </w:pPr>
      <w:r w:rsidRPr="00B13975">
        <w:rPr>
          <w:lang w:val="en-GB"/>
        </w:rPr>
        <w:t>Serious adverse events</w:t>
      </w:r>
    </w:p>
    <w:p w14:paraId="57F84903" w14:textId="659D025D" w:rsidR="00B13975" w:rsidRPr="00B13975" w:rsidRDefault="00B13975" w:rsidP="00A25604">
      <w:pPr>
        <w:pStyle w:val="Heading7"/>
        <w:rPr>
          <w:lang w:val="en-GB"/>
        </w:rPr>
      </w:pPr>
      <w:r w:rsidRPr="00B13975">
        <w:rPr>
          <w:lang w:val="en-GB"/>
        </w:rPr>
        <w:t>Study MG0003</w:t>
      </w:r>
    </w:p>
    <w:p w14:paraId="6B15E290" w14:textId="02620FCD" w:rsidR="00B13975" w:rsidRPr="00B13975" w:rsidRDefault="00B13975" w:rsidP="00B13975">
      <w:pPr>
        <w:rPr>
          <w:iCs/>
          <w:lang w:val="en-GB"/>
        </w:rPr>
      </w:pPr>
      <w:r w:rsidRPr="00B13975">
        <w:rPr>
          <w:iCs/>
          <w:lang w:val="en-GB"/>
        </w:rPr>
        <w:t>The incidence of serious TEAEs was low and similar across the rozanolixizumab ≈7</w:t>
      </w:r>
      <w:r w:rsidR="00FF1D2C">
        <w:rPr>
          <w:iCs/>
          <w:lang w:val="en-GB"/>
        </w:rPr>
        <w:t> </w:t>
      </w:r>
      <w:r w:rsidRPr="00B13975">
        <w:rPr>
          <w:iCs/>
          <w:lang w:val="en-GB"/>
        </w:rPr>
        <w:t>mg/kg (7.8% of participants), rozanolixizumab ≈10</w:t>
      </w:r>
      <w:r w:rsidR="00FF1D2C">
        <w:rPr>
          <w:iCs/>
          <w:lang w:val="en-GB"/>
        </w:rPr>
        <w:t> </w:t>
      </w:r>
      <w:r w:rsidRPr="00B13975">
        <w:rPr>
          <w:iCs/>
          <w:lang w:val="en-GB"/>
        </w:rPr>
        <w:t>mg/kg (10.1%), and placebo (9.0%) groups (</w:t>
      </w:r>
      <w:r w:rsidR="00475FFB">
        <w:rPr>
          <w:iCs/>
          <w:lang w:val="en-GB"/>
        </w:rPr>
        <w:t xml:space="preserve">see following </w:t>
      </w:r>
      <w:r w:rsidR="00FF1D2C">
        <w:rPr>
          <w:iCs/>
          <w:lang w:val="en-GB"/>
        </w:rPr>
        <w:t>table</w:t>
      </w:r>
      <w:r w:rsidRPr="00B13975">
        <w:rPr>
          <w:iCs/>
          <w:lang w:val="en-GB"/>
        </w:rPr>
        <w:t>).</w:t>
      </w:r>
    </w:p>
    <w:p w14:paraId="41A18C6C" w14:textId="0DA9B75B" w:rsidR="00B13975" w:rsidRPr="00B13975" w:rsidRDefault="00B13975" w:rsidP="00B13975">
      <w:pPr>
        <w:rPr>
          <w:i/>
          <w:iCs/>
          <w:lang w:val="en-GB"/>
        </w:rPr>
      </w:pPr>
      <w:r w:rsidRPr="00B13975">
        <w:rPr>
          <w:iCs/>
          <w:lang w:val="en-GB"/>
        </w:rPr>
        <w:t>The most frequent serious TEAEs were related to MG worsening and comprised myasthenia gravis (1.6%, 2.9%, and 1.5% participants) and myasthenia gravis crisis (0, 0, and 3.0%) in the rozanolixizumab ≈7</w:t>
      </w:r>
      <w:r w:rsidR="00FF1D2C">
        <w:rPr>
          <w:iCs/>
          <w:lang w:val="en-GB"/>
        </w:rPr>
        <w:t> </w:t>
      </w:r>
      <w:r w:rsidRPr="00B13975">
        <w:rPr>
          <w:iCs/>
          <w:lang w:val="en-GB"/>
        </w:rPr>
        <w:t>mg/kg, ≈10</w:t>
      </w:r>
      <w:r w:rsidR="00FF1D2C">
        <w:rPr>
          <w:iCs/>
          <w:lang w:val="en-GB"/>
        </w:rPr>
        <w:t> </w:t>
      </w:r>
      <w:r w:rsidRPr="00B13975">
        <w:rPr>
          <w:iCs/>
          <w:lang w:val="en-GB"/>
        </w:rPr>
        <w:t>mg/kg, and placebo group, respectively.</w:t>
      </w:r>
    </w:p>
    <w:p w14:paraId="6F0B4153" w14:textId="771E99AF" w:rsidR="00FF1D2C" w:rsidRPr="00B13975" w:rsidRDefault="00FF1D2C" w:rsidP="00FF1D2C">
      <w:pPr>
        <w:pStyle w:val="TableTitle"/>
        <w:rPr>
          <w:lang w:val="en-GB"/>
        </w:rPr>
      </w:pPr>
      <w:r>
        <w:lastRenderedPageBreak/>
        <w:t xml:space="preserve">Table </w:t>
      </w:r>
      <w:r>
        <w:fldChar w:fldCharType="begin"/>
      </w:r>
      <w:r>
        <w:instrText xml:space="preserve"> SEQ Table \* ARABIC </w:instrText>
      </w:r>
      <w:r>
        <w:fldChar w:fldCharType="separate"/>
      </w:r>
      <w:r w:rsidR="00CA7747">
        <w:rPr>
          <w:noProof/>
        </w:rPr>
        <w:t>13</w:t>
      </w:r>
      <w:r>
        <w:fldChar w:fldCharType="end"/>
      </w:r>
      <w:r>
        <w:t xml:space="preserve">: Study MG0003 Incidence of serious </w:t>
      </w:r>
      <w:r w:rsidR="00BC17C0">
        <w:rPr>
          <w:color w:val="000000" w:themeColor="text1"/>
          <w:lang w:val="en-US" w:eastAsia="ja-JP"/>
        </w:rPr>
        <w:t>t</w:t>
      </w:r>
      <w:r w:rsidR="00ED178C">
        <w:rPr>
          <w:color w:val="000000" w:themeColor="text1"/>
          <w:lang w:val="en-US" w:eastAsia="ja-JP"/>
        </w:rPr>
        <w:t>reatment-emergent adverse event</w:t>
      </w:r>
      <w:r>
        <w:t>s (</w:t>
      </w:r>
      <w:r w:rsidR="00ED178C">
        <w:t>S</w:t>
      </w:r>
      <w:r>
        <w:t xml:space="preserve">afety </w:t>
      </w:r>
      <w:r w:rsidR="00ED178C">
        <w:t>S</w:t>
      </w:r>
      <w:r>
        <w:t>et)</w:t>
      </w:r>
      <w:r w:rsidR="00943887" w:rsidRPr="00943887">
        <w:rPr>
          <w:noProof/>
        </w:rPr>
        <w:t xml:space="preserve"> </w:t>
      </w:r>
    </w:p>
    <w:p w14:paraId="1F98B927" w14:textId="330DE34F" w:rsidR="00607416" w:rsidRDefault="00DE399E" w:rsidP="00B13975">
      <w:pPr>
        <w:rPr>
          <w:i/>
          <w:iCs/>
          <w:noProof/>
          <w:lang w:val="en-GB"/>
        </w:rPr>
      </w:pPr>
      <w:r>
        <w:rPr>
          <w:noProof/>
        </w:rPr>
        <w:drawing>
          <wp:inline distT="0" distB="0" distL="0" distR="0" wp14:anchorId="2F572A75" wp14:editId="49BCDCF9">
            <wp:extent cx="4873925" cy="4383308"/>
            <wp:effectExtent l="0" t="0" r="3175" b="0"/>
            <wp:docPr id="1537919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19536" name=""/>
                    <pic:cNvPicPr/>
                  </pic:nvPicPr>
                  <pic:blipFill>
                    <a:blip r:embed="rId47"/>
                    <a:stretch>
                      <a:fillRect/>
                    </a:stretch>
                  </pic:blipFill>
                  <pic:spPr>
                    <a:xfrm>
                      <a:off x="0" y="0"/>
                      <a:ext cx="4880431" cy="4389159"/>
                    </a:xfrm>
                    <a:prstGeom prst="rect">
                      <a:avLst/>
                    </a:prstGeom>
                  </pic:spPr>
                </pic:pic>
              </a:graphicData>
            </a:graphic>
          </wp:inline>
        </w:drawing>
      </w:r>
    </w:p>
    <w:p w14:paraId="348A50CC" w14:textId="585FC037" w:rsidR="00943887" w:rsidRPr="00B13975" w:rsidRDefault="00943887" w:rsidP="00943887">
      <w:pPr>
        <w:pStyle w:val="TableTitle"/>
        <w:rPr>
          <w:lang w:val="en-GB"/>
        </w:rPr>
      </w:pPr>
      <w:r>
        <w:t xml:space="preserve">Table </w:t>
      </w:r>
      <w:r>
        <w:fldChar w:fldCharType="begin"/>
      </w:r>
      <w:r>
        <w:instrText xml:space="preserve"> SEQ Table \* ARABIC </w:instrText>
      </w:r>
      <w:r>
        <w:fldChar w:fldCharType="separate"/>
      </w:r>
      <w:r w:rsidR="00CA7747">
        <w:rPr>
          <w:noProof/>
        </w:rPr>
        <w:t>14</w:t>
      </w:r>
      <w:r>
        <w:fldChar w:fldCharType="end"/>
      </w:r>
      <w:r>
        <w:t xml:space="preserve"> (continued): Study MG0003 Incidence of serious </w:t>
      </w:r>
      <w:r>
        <w:rPr>
          <w:color w:val="000000" w:themeColor="text1"/>
          <w:lang w:val="en-US" w:eastAsia="ja-JP"/>
        </w:rPr>
        <w:t>treatment-emergent adverse event</w:t>
      </w:r>
      <w:r>
        <w:t>s (Safety Set)</w:t>
      </w:r>
      <w:r w:rsidRPr="00943887">
        <w:rPr>
          <w:noProof/>
        </w:rPr>
        <w:t xml:space="preserve"> </w:t>
      </w:r>
    </w:p>
    <w:p w14:paraId="66158078" w14:textId="61EE714E" w:rsidR="00943887" w:rsidRPr="00B13975" w:rsidRDefault="00943887" w:rsidP="00B13975">
      <w:pPr>
        <w:rPr>
          <w:i/>
          <w:iCs/>
          <w:lang w:val="en-GB"/>
        </w:rPr>
      </w:pPr>
      <w:r>
        <w:rPr>
          <w:noProof/>
        </w:rPr>
        <w:drawing>
          <wp:inline distT="0" distB="0" distL="0" distR="0" wp14:anchorId="137DA4E4" wp14:editId="7E97C457">
            <wp:extent cx="4986068" cy="3348967"/>
            <wp:effectExtent l="0" t="0" r="5080" b="4445"/>
            <wp:docPr id="76015153" name="Picture 1" descr="A table with black text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5153" name="Picture 1" descr="A table with black text and white text&#10;&#10;AI-generated content may be incorrect."/>
                    <pic:cNvPicPr/>
                  </pic:nvPicPr>
                  <pic:blipFill>
                    <a:blip r:embed="rId48"/>
                    <a:stretch>
                      <a:fillRect/>
                    </a:stretch>
                  </pic:blipFill>
                  <pic:spPr>
                    <a:xfrm>
                      <a:off x="0" y="0"/>
                      <a:ext cx="4994124" cy="3354378"/>
                    </a:xfrm>
                    <a:prstGeom prst="rect">
                      <a:avLst/>
                    </a:prstGeom>
                  </pic:spPr>
                </pic:pic>
              </a:graphicData>
            </a:graphic>
          </wp:inline>
        </w:drawing>
      </w:r>
    </w:p>
    <w:p w14:paraId="18D63812" w14:textId="62188A47" w:rsidR="00B13975" w:rsidRPr="00B13975" w:rsidRDefault="00B13975" w:rsidP="00A25604">
      <w:pPr>
        <w:pStyle w:val="Heading7"/>
        <w:rPr>
          <w:lang w:val="en-GB"/>
        </w:rPr>
      </w:pPr>
      <w:r w:rsidRPr="00B13975">
        <w:rPr>
          <w:lang w:val="en-GB"/>
        </w:rPr>
        <w:lastRenderedPageBreak/>
        <w:t>Pool S2</w:t>
      </w:r>
    </w:p>
    <w:p w14:paraId="6D31DB4F" w14:textId="5B220A2B" w:rsidR="00B13975" w:rsidRPr="00B13975" w:rsidRDefault="00B13975" w:rsidP="00B13975">
      <w:pPr>
        <w:rPr>
          <w:lang w:val="en-GB"/>
        </w:rPr>
      </w:pPr>
      <w:r w:rsidRPr="00B13975">
        <w:rPr>
          <w:lang w:val="en-GB"/>
        </w:rPr>
        <w:t>In Pool S2, 42 (22.3%) study participants experienced 56 serious TEAEs (</w:t>
      </w:r>
      <w:r w:rsidR="00475FFB">
        <w:rPr>
          <w:lang w:val="en-GB"/>
        </w:rPr>
        <w:t xml:space="preserve">see following </w:t>
      </w:r>
      <w:r w:rsidR="005E3697">
        <w:rPr>
          <w:lang w:val="en-GB"/>
        </w:rPr>
        <w:t>table</w:t>
      </w:r>
      <w:r w:rsidRPr="00B13975">
        <w:rPr>
          <w:lang w:val="en-GB"/>
        </w:rPr>
        <w:t>). Overall, serious TEAEs were most frequently reported in the SOCs of Nervous system disorders (19 [10.1%] participants), Infections and infestations (8 [4.3%]), and Gastrointestinal disorders (5 [2.7%]). The only serious TEAEs occurring in &gt;1 participant was myasthenia gravis (12 [6.4%] participants), myasthenia gravis crisis (4 [2.1%]</w:t>
      </w:r>
      <w:r w:rsidR="004067E9">
        <w:rPr>
          <w:lang w:val="en-GB"/>
        </w:rPr>
        <w:t>)</w:t>
      </w:r>
      <w:r w:rsidRPr="00B13975">
        <w:rPr>
          <w:lang w:val="en-GB"/>
        </w:rPr>
        <w:t>, and COVID-19 (3 [1.6%]). Although the incidence of serious TEAEs was higher in the rozanolixizumab ≈10</w:t>
      </w:r>
      <w:r w:rsidR="00807501">
        <w:rPr>
          <w:lang w:val="en-GB"/>
        </w:rPr>
        <w:t> </w:t>
      </w:r>
      <w:r w:rsidRPr="00B13975">
        <w:rPr>
          <w:lang w:val="en-GB"/>
        </w:rPr>
        <w:t>mg/kg than in the ≈7</w:t>
      </w:r>
      <w:r w:rsidR="00807501">
        <w:rPr>
          <w:lang w:val="en-GB"/>
        </w:rPr>
        <w:t> </w:t>
      </w:r>
      <w:r w:rsidRPr="00B13975">
        <w:rPr>
          <w:lang w:val="en-GB"/>
        </w:rPr>
        <w:t>mg/kg dose group (29 [22.1%] vs 14 [10.5%] participants), this difference was predominantly driven by serious TEAEs of myasthenia gravis (8 [6.1%] vs 4 [3.0%]), myasthenia gravis crisis (4 [3.1%] vs 0), and serious TEAEs with a single incidence occurring more frequently at the higher dose.</w:t>
      </w:r>
    </w:p>
    <w:p w14:paraId="2CB75E8F" w14:textId="465A9311" w:rsidR="00B13975" w:rsidRPr="00B13975" w:rsidRDefault="00B13975" w:rsidP="00B13975">
      <w:pPr>
        <w:rPr>
          <w:lang w:val="en-GB"/>
        </w:rPr>
      </w:pPr>
      <w:r w:rsidRPr="0070771D">
        <w:rPr>
          <w:lang w:val="en-GB"/>
        </w:rPr>
        <w:t>There was 1 case of subacute cutaneous lupus erythematosus (SCLE). This participant</w:t>
      </w:r>
      <w:r w:rsidR="006A6D04" w:rsidRPr="0070771D">
        <w:rPr>
          <w:lang w:val="en-GB"/>
        </w:rPr>
        <w:t>,</w:t>
      </w:r>
      <w:r w:rsidR="006A6D04">
        <w:rPr>
          <w:lang w:val="en-GB"/>
        </w:rPr>
        <w:t xml:space="preserve"> </w:t>
      </w:r>
      <w:r w:rsidRPr="00B13975">
        <w:rPr>
          <w:lang w:val="en-GB"/>
        </w:rPr>
        <w:t>previously treated with rozanolixizumab ≈7</w:t>
      </w:r>
      <w:r w:rsidR="00807501">
        <w:rPr>
          <w:lang w:val="en-GB"/>
        </w:rPr>
        <w:t> </w:t>
      </w:r>
      <w:r w:rsidRPr="00B13975">
        <w:rPr>
          <w:lang w:val="en-GB"/>
        </w:rPr>
        <w:t>mg/kg in both MG0003 and MG0004</w:t>
      </w:r>
      <w:r w:rsidR="00CF76E8">
        <w:rPr>
          <w:lang w:val="en-GB"/>
        </w:rPr>
        <w:t xml:space="preserve"> and</w:t>
      </w:r>
      <w:r w:rsidRPr="00B13975">
        <w:rPr>
          <w:lang w:val="en-GB"/>
        </w:rPr>
        <w:t xml:space="preserve"> with </w:t>
      </w:r>
      <w:r w:rsidR="006A6D04">
        <w:rPr>
          <w:lang w:val="en-GB"/>
        </w:rPr>
        <w:t xml:space="preserve">a </w:t>
      </w:r>
      <w:r w:rsidRPr="00B13975">
        <w:rPr>
          <w:lang w:val="en-GB"/>
        </w:rPr>
        <w:t>medical history of rheumatoid arthritis and evaluation for skin lesions and lupus, experienced a serious and severe TEAE of SCLE, 30</w:t>
      </w:r>
      <w:r w:rsidR="00904159">
        <w:rPr>
          <w:lang w:val="en-GB"/>
        </w:rPr>
        <w:t> </w:t>
      </w:r>
      <w:r w:rsidRPr="00B13975">
        <w:rPr>
          <w:lang w:val="en-GB"/>
        </w:rPr>
        <w:t>days after the last dose of rozanolixizumab ≈7</w:t>
      </w:r>
      <w:r w:rsidR="006A6D04">
        <w:rPr>
          <w:lang w:val="en-GB"/>
        </w:rPr>
        <w:t> </w:t>
      </w:r>
      <w:r w:rsidRPr="00B13975">
        <w:rPr>
          <w:lang w:val="en-GB"/>
        </w:rPr>
        <w:t>mg/kg.</w:t>
      </w:r>
    </w:p>
    <w:p w14:paraId="11B36D58" w14:textId="59F7ECC6" w:rsidR="00B13975" w:rsidRPr="00B13975" w:rsidRDefault="00B13975" w:rsidP="00B13975">
      <w:pPr>
        <w:rPr>
          <w:lang w:val="en-GB"/>
        </w:rPr>
      </w:pPr>
      <w:r w:rsidRPr="00B13975">
        <w:rPr>
          <w:lang w:val="en-GB"/>
        </w:rPr>
        <w:t>Compared with Cycle 1, the incidence of serious TEAEs did not increase with repeated cyclic treatment. At the time of the data cut-off, there were no serious TEAEs in Cycles 6 and 7.</w:t>
      </w:r>
    </w:p>
    <w:p w14:paraId="0C80BA3F" w14:textId="5302CAA0" w:rsidR="00904159" w:rsidRPr="00B13975" w:rsidRDefault="00904159" w:rsidP="00904159">
      <w:pPr>
        <w:pStyle w:val="TableTitle"/>
        <w:rPr>
          <w:lang w:val="en-GB"/>
        </w:rPr>
      </w:pPr>
      <w:r>
        <w:t xml:space="preserve">Table </w:t>
      </w:r>
      <w:r>
        <w:fldChar w:fldCharType="begin"/>
      </w:r>
      <w:r>
        <w:instrText xml:space="preserve"> SEQ Table \* ARABIC </w:instrText>
      </w:r>
      <w:r>
        <w:fldChar w:fldCharType="separate"/>
      </w:r>
      <w:r w:rsidR="00CA7747">
        <w:rPr>
          <w:noProof/>
        </w:rPr>
        <w:t>15</w:t>
      </w:r>
      <w:r>
        <w:fldChar w:fldCharType="end"/>
      </w:r>
      <w:r>
        <w:t xml:space="preserve">: Pool S2 Incidence </w:t>
      </w:r>
      <w:r w:rsidRPr="00B13975">
        <w:rPr>
          <w:lang w:val="en-GB"/>
        </w:rPr>
        <w:t xml:space="preserve">of serious </w:t>
      </w:r>
      <w:r w:rsidR="002B199E">
        <w:rPr>
          <w:lang w:val="en-GB"/>
        </w:rPr>
        <w:t>t</w:t>
      </w:r>
      <w:proofErr w:type="spellStart"/>
      <w:r w:rsidR="00ED178C">
        <w:rPr>
          <w:color w:val="000000" w:themeColor="text1"/>
          <w:lang w:val="en-US" w:eastAsia="ja-JP"/>
        </w:rPr>
        <w:t>reatment</w:t>
      </w:r>
      <w:proofErr w:type="spellEnd"/>
      <w:r w:rsidR="00ED178C">
        <w:rPr>
          <w:color w:val="000000" w:themeColor="text1"/>
          <w:lang w:val="en-US" w:eastAsia="ja-JP"/>
        </w:rPr>
        <w:t>-emergent adverse event</w:t>
      </w:r>
      <w:r w:rsidRPr="00B13975">
        <w:rPr>
          <w:lang w:val="en-GB"/>
        </w:rPr>
        <w:t>s by P</w:t>
      </w:r>
      <w:r w:rsidR="00FC7F12">
        <w:rPr>
          <w:lang w:val="en-GB"/>
        </w:rPr>
        <w:t xml:space="preserve">referred </w:t>
      </w:r>
      <w:r w:rsidR="002B199E">
        <w:rPr>
          <w:lang w:val="en-GB"/>
        </w:rPr>
        <w:t>t</w:t>
      </w:r>
      <w:r w:rsidR="00FC7F12">
        <w:rPr>
          <w:lang w:val="en-GB"/>
        </w:rPr>
        <w:t xml:space="preserve">erm </w:t>
      </w:r>
      <w:r w:rsidRPr="00B13975">
        <w:rPr>
          <w:lang w:val="en-GB"/>
        </w:rPr>
        <w:t xml:space="preserve">and </w:t>
      </w:r>
      <w:r w:rsidR="002B199E">
        <w:rPr>
          <w:lang w:val="en-GB"/>
        </w:rPr>
        <w:t>t</w:t>
      </w:r>
      <w:r w:rsidRPr="00B13975">
        <w:rPr>
          <w:lang w:val="en-GB"/>
        </w:rPr>
        <w:t xml:space="preserve">reatment Cycle in ≥2 study participants in the </w:t>
      </w:r>
      <w:r w:rsidR="000775A0">
        <w:rPr>
          <w:lang w:val="en-GB"/>
        </w:rPr>
        <w:t>rozanolixizumab</w:t>
      </w:r>
      <w:r w:rsidRPr="00B13975">
        <w:rPr>
          <w:lang w:val="en-GB"/>
        </w:rPr>
        <w:t xml:space="preserve"> total group and Cycle-adjusted</w:t>
      </w:r>
      <w:r w:rsidR="00ED178C">
        <w:rPr>
          <w:lang w:val="en-GB"/>
        </w:rPr>
        <w:t xml:space="preserve"> </w:t>
      </w:r>
      <w:r w:rsidR="002B199E">
        <w:rPr>
          <w:lang w:val="en-GB"/>
        </w:rPr>
        <w:t>t</w:t>
      </w:r>
      <w:proofErr w:type="spellStart"/>
      <w:r w:rsidR="00ED178C">
        <w:rPr>
          <w:color w:val="000000" w:themeColor="text1"/>
          <w:lang w:val="en-US" w:eastAsia="ja-JP"/>
        </w:rPr>
        <w:t>reatment</w:t>
      </w:r>
      <w:proofErr w:type="spellEnd"/>
      <w:r w:rsidR="00ED178C">
        <w:rPr>
          <w:color w:val="000000" w:themeColor="text1"/>
          <w:lang w:val="en-US" w:eastAsia="ja-JP"/>
        </w:rPr>
        <w:t>-emergent adverse event</w:t>
      </w:r>
      <w:r w:rsidRPr="00B13975">
        <w:rPr>
          <w:lang w:val="en-GB"/>
        </w:rPr>
        <w:t xml:space="preserve"> rates</w:t>
      </w:r>
    </w:p>
    <w:p w14:paraId="79D36721" w14:textId="77777777" w:rsidR="00B13975" w:rsidRPr="00B13975" w:rsidRDefault="00B13975" w:rsidP="00B13975">
      <w:pPr>
        <w:rPr>
          <w:lang w:val="en-GB"/>
        </w:rPr>
      </w:pPr>
      <w:r w:rsidRPr="00B13975">
        <w:rPr>
          <w:noProof/>
          <w:lang w:val="en-GB"/>
        </w:rPr>
        <w:drawing>
          <wp:inline distT="0" distB="0" distL="0" distR="0" wp14:anchorId="11577AF7" wp14:editId="4134754A">
            <wp:extent cx="5357004" cy="2206754"/>
            <wp:effectExtent l="0" t="0" r="0" b="3175"/>
            <wp:docPr id="360684420"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3478" name="Picture 1" descr="A table with numbers and symbols&#10;&#10;Description automatically generated"/>
                    <pic:cNvPicPr/>
                  </pic:nvPicPr>
                  <pic:blipFill>
                    <a:blip r:embed="rId49"/>
                    <a:srcRect b="1327"/>
                    <a:stretch>
                      <a:fillRect/>
                    </a:stretch>
                  </pic:blipFill>
                  <pic:spPr bwMode="auto">
                    <a:xfrm>
                      <a:off x="0" y="0"/>
                      <a:ext cx="5388336" cy="2219661"/>
                    </a:xfrm>
                    <a:prstGeom prst="rect">
                      <a:avLst/>
                    </a:prstGeom>
                    <a:ln>
                      <a:noFill/>
                    </a:ln>
                    <a:extLst>
                      <a:ext uri="{53640926-AAD7-44D8-BBD7-CCE9431645EC}">
                        <a14:shadowObscured xmlns:a14="http://schemas.microsoft.com/office/drawing/2010/main"/>
                      </a:ext>
                    </a:extLst>
                  </pic:spPr>
                </pic:pic>
              </a:graphicData>
            </a:graphic>
          </wp:inline>
        </w:drawing>
      </w:r>
    </w:p>
    <w:p w14:paraId="2027D714" w14:textId="77777777" w:rsidR="00C86BDD" w:rsidRDefault="00B13975" w:rsidP="00904159">
      <w:pPr>
        <w:pStyle w:val="TableDescription"/>
        <w:rPr>
          <w:lang w:val="en-GB"/>
        </w:rPr>
      </w:pPr>
      <w:r w:rsidRPr="00B13975">
        <w:rPr>
          <w:lang w:val="en-GB"/>
        </w:rPr>
        <w:t>[#]=number of individual occurrences of the serious TEAE within PT category and cycle; 100ER=number of serious TEAEs occurring in the respective cycle treatment group divided by the sum of cycles from all study participants in the respective cycle treatment group and multiplied by 100; COVID</w:t>
      </w:r>
      <w:r w:rsidR="00904159">
        <w:rPr>
          <w:lang w:val="en-GB"/>
        </w:rPr>
        <w:t>-</w:t>
      </w:r>
      <w:r w:rsidRPr="00B13975">
        <w:rPr>
          <w:lang w:val="en-GB"/>
        </w:rPr>
        <w:t>19=coronavirus disease 2019; MedDRA=Medical Dictionary for Regulatory Activities; n=number of study participants reporting at least 1 serious TEAE within the PT category and cycle; N=number of study participants treated with RLZ at least once; PT=preferred term; RLZ=rozanolixizumab; TEAE=treatment-emergent adverse event</w:t>
      </w:r>
    </w:p>
    <w:p w14:paraId="3E284F54" w14:textId="64D024FC" w:rsidR="00B13975" w:rsidRPr="00B13975" w:rsidRDefault="00B13975" w:rsidP="00904159">
      <w:pPr>
        <w:pStyle w:val="TableDescription"/>
        <w:rPr>
          <w:lang w:val="en-GB"/>
        </w:rPr>
      </w:pPr>
      <w:r w:rsidRPr="00B13975">
        <w:rPr>
          <w:lang w:val="en-GB"/>
        </w:rPr>
        <w:t>Note: Summary data and the 100ER in the in the ‘Sum of Cycles’ column are derived from a ‘most recent dose’ analysis. Data for each individual Cycle are derived from a ‘by Cycle’ analysis. Therefore, the number of events presented by Cycle may not equal the number of events occurring in All Cycles.</w:t>
      </w:r>
    </w:p>
    <w:p w14:paraId="2B782A8D" w14:textId="680A8B8A" w:rsidR="00B13975" w:rsidRPr="00B13975" w:rsidRDefault="00B13975" w:rsidP="00A25604">
      <w:pPr>
        <w:pStyle w:val="Heading7"/>
      </w:pPr>
      <w:r w:rsidRPr="00B13975">
        <w:t>Pool S1</w:t>
      </w:r>
    </w:p>
    <w:p w14:paraId="3C051F51" w14:textId="6447A9E9" w:rsidR="00B13975" w:rsidRPr="00B13975" w:rsidRDefault="00B13975" w:rsidP="00B13975">
      <w:r w:rsidRPr="00B13975">
        <w:t>In total, 22 (11.2%) study participants experienced 27 serious TEAEs in Pool S1 (N=196), including 8 (5.6%) and 14 (9.7%) participants in rozanolixizumab ≈7</w:t>
      </w:r>
      <w:r w:rsidR="00A7096F">
        <w:t> </w:t>
      </w:r>
      <w:r w:rsidRPr="00B13975">
        <w:t>mg/kg (N=142) and ≈10</w:t>
      </w:r>
      <w:r w:rsidR="00A7096F">
        <w:t> </w:t>
      </w:r>
      <w:r w:rsidRPr="00B13975">
        <w:t>mg/kg (N=145) dose groups, respectively. Consistent with Pool S2, the most common serious TEAEs in Pool S1 were myasthenia gravis (5 [2.6%] participants) and COVID-19 (3</w:t>
      </w:r>
      <w:r w:rsidR="003E185C">
        <w:t> </w:t>
      </w:r>
      <w:r w:rsidRPr="00B13975">
        <w:t>[1.5%]). The TEAE of myasthenia gravis crisis occurred in 1 (0.5%) participant.</w:t>
      </w:r>
    </w:p>
    <w:p w14:paraId="2B8F33D4" w14:textId="77777777" w:rsidR="00B13975" w:rsidRPr="00B13975" w:rsidRDefault="00B13975" w:rsidP="00B13975">
      <w:r w:rsidRPr="00B13975">
        <w:t>One participant (0.5%) experienced a TEAE of pericarditis in Pool S1 (not included in Pool S2).</w:t>
      </w:r>
    </w:p>
    <w:p w14:paraId="2FC417D8" w14:textId="77777777" w:rsidR="00B13975" w:rsidRPr="00B13975" w:rsidRDefault="00B13975" w:rsidP="00B13975">
      <w:pPr>
        <w:rPr>
          <w:lang w:val="en-GB"/>
        </w:rPr>
      </w:pPr>
      <w:r w:rsidRPr="00B13975">
        <w:t>Compared with Cycle 1, the incidence of serious TEAEs did not increase with repeated cyclic treatment.</w:t>
      </w:r>
    </w:p>
    <w:p w14:paraId="4BF33CB7" w14:textId="77777777" w:rsidR="00C349D8" w:rsidRPr="00BB1A72" w:rsidRDefault="00C349D8" w:rsidP="00A25604">
      <w:pPr>
        <w:pStyle w:val="Heading5"/>
        <w:rPr>
          <w:lang w:val="en-GB"/>
        </w:rPr>
      </w:pPr>
      <w:bookmarkStart w:id="69" w:name="_Hlk126673854"/>
      <w:r w:rsidRPr="00BB1A72">
        <w:rPr>
          <w:lang w:val="en-GB"/>
        </w:rPr>
        <w:lastRenderedPageBreak/>
        <w:t>Adverse events of focus</w:t>
      </w:r>
    </w:p>
    <w:p w14:paraId="4D6D1BE9" w14:textId="1AC11EF0" w:rsidR="00C349D8" w:rsidRPr="00BB1A72" w:rsidRDefault="00C349D8" w:rsidP="00734FED">
      <w:pPr>
        <w:rPr>
          <w:lang w:val="en-GB"/>
        </w:rPr>
      </w:pPr>
      <w:r w:rsidRPr="00BB1A72">
        <w:t>The TEAE</w:t>
      </w:r>
      <w:r>
        <w:t xml:space="preserve"> </w:t>
      </w:r>
      <w:r w:rsidRPr="00BB1A72">
        <w:t>of headache, infections including opportunistic infections, hypersensitivity reactions including anaphylactic and injection site reactions, drug-related hepatic disorders, effects on the kidney, and effects on lipids are discussed in this section.</w:t>
      </w:r>
    </w:p>
    <w:p w14:paraId="6DD494E8" w14:textId="77777777" w:rsidR="00C349D8" w:rsidRPr="00BB1A72" w:rsidRDefault="00C349D8" w:rsidP="00A25604">
      <w:pPr>
        <w:pStyle w:val="Heading6"/>
        <w:rPr>
          <w:lang w:val="en-GB"/>
        </w:rPr>
      </w:pPr>
      <w:bookmarkStart w:id="70" w:name="_Hlk126673866"/>
      <w:r w:rsidRPr="00BB1A72">
        <w:rPr>
          <w:lang w:val="en-GB"/>
        </w:rPr>
        <w:t>Headache</w:t>
      </w:r>
    </w:p>
    <w:p w14:paraId="0F616B44" w14:textId="77777777" w:rsidR="00C349D8" w:rsidRPr="00BB1A72" w:rsidRDefault="00C349D8" w:rsidP="00A25604">
      <w:pPr>
        <w:pStyle w:val="Heading7"/>
        <w:rPr>
          <w:lang w:val="en-GB"/>
        </w:rPr>
      </w:pPr>
      <w:bookmarkStart w:id="71" w:name="_Hlk180509723"/>
      <w:bookmarkEnd w:id="69"/>
      <w:bookmarkEnd w:id="70"/>
      <w:r w:rsidRPr="00BB1A72">
        <w:rPr>
          <w:lang w:val="en-GB"/>
        </w:rPr>
        <w:t>Study MG0003</w:t>
      </w:r>
    </w:p>
    <w:bookmarkEnd w:id="71"/>
    <w:p w14:paraId="275CC13C" w14:textId="263F2D51" w:rsidR="00C349D8" w:rsidRPr="00BB1A72" w:rsidRDefault="00C349D8" w:rsidP="00734FED">
      <w:pPr>
        <w:rPr>
          <w:iCs/>
          <w:lang w:val="en-GB"/>
        </w:rPr>
      </w:pPr>
      <w:r w:rsidRPr="00BB1A72">
        <w:rPr>
          <w:iCs/>
          <w:lang w:val="en-GB"/>
        </w:rPr>
        <w:t>In total, TEAEs meeting criteria for headache occurred in 31 (48.4%), 27 (39.1%), and 13 (19.4%) participants in the rozanolixizumab ≈7</w:t>
      </w:r>
      <w:r w:rsidR="00143EFA">
        <w:rPr>
          <w:iCs/>
          <w:lang w:val="en-GB"/>
        </w:rPr>
        <w:t> </w:t>
      </w:r>
      <w:r w:rsidRPr="00BB1A72">
        <w:rPr>
          <w:iCs/>
          <w:lang w:val="en-GB"/>
        </w:rPr>
        <w:t>mg/kg, ≈10</w:t>
      </w:r>
      <w:r w:rsidR="00143EFA">
        <w:rPr>
          <w:iCs/>
          <w:lang w:val="en-GB"/>
        </w:rPr>
        <w:t> </w:t>
      </w:r>
      <w:r w:rsidRPr="00BB1A72">
        <w:rPr>
          <w:iCs/>
          <w:lang w:val="en-GB"/>
        </w:rPr>
        <w:t>mg/kg, and placebo groups, respectively. Most study participants had events that were of mild or moderate maximum intensity. Severe events occurred in 1 (1.6%) and 6 (8.7%) study participants in the rozanolixizumab ≈7</w:t>
      </w:r>
      <w:r w:rsidR="00903509">
        <w:rPr>
          <w:iCs/>
          <w:lang w:val="en-GB"/>
        </w:rPr>
        <w:t> </w:t>
      </w:r>
      <w:r w:rsidRPr="00BB1A72">
        <w:rPr>
          <w:iCs/>
          <w:lang w:val="en-GB"/>
        </w:rPr>
        <w:t>mg/kg and ≈10</w:t>
      </w:r>
      <w:r w:rsidR="00903509">
        <w:rPr>
          <w:iCs/>
          <w:lang w:val="en-GB"/>
        </w:rPr>
        <w:t> </w:t>
      </w:r>
      <w:r w:rsidRPr="00BB1A72">
        <w:rPr>
          <w:iCs/>
          <w:lang w:val="en-GB"/>
        </w:rPr>
        <w:t>mg/kg group, respectively, and led to study discontinuation for the participant in the rozanolixizumab ≈7</w:t>
      </w:r>
      <w:r w:rsidR="00903509">
        <w:rPr>
          <w:iCs/>
          <w:lang w:val="en-GB"/>
        </w:rPr>
        <w:t> </w:t>
      </w:r>
      <w:r w:rsidRPr="00BB1A72">
        <w:rPr>
          <w:iCs/>
          <w:lang w:val="en-GB"/>
        </w:rPr>
        <w:t>mg/kg group.</w:t>
      </w:r>
    </w:p>
    <w:p w14:paraId="2C6DD0BF" w14:textId="77777777" w:rsidR="00C349D8" w:rsidRPr="00BB1A72" w:rsidRDefault="00C349D8" w:rsidP="00A25604">
      <w:pPr>
        <w:pStyle w:val="Heading7"/>
        <w:rPr>
          <w:lang w:val="en-GB"/>
        </w:rPr>
      </w:pPr>
      <w:r w:rsidRPr="00BB1A72">
        <w:rPr>
          <w:lang w:val="en-GB"/>
        </w:rPr>
        <w:t>Pool S2</w:t>
      </w:r>
    </w:p>
    <w:p w14:paraId="0BEE00D6" w14:textId="26A45271" w:rsidR="00C349D8" w:rsidRPr="00BB1A72" w:rsidRDefault="00C349D8" w:rsidP="00734FED">
      <w:pPr>
        <w:rPr>
          <w:iCs/>
          <w:lang w:val="en-GB"/>
        </w:rPr>
      </w:pPr>
      <w:r w:rsidRPr="00BB1A72">
        <w:rPr>
          <w:iCs/>
          <w:lang w:val="en-GB"/>
        </w:rPr>
        <w:t>In total, 89 (47.3%) study participants experienced any headache in Pool S2</w:t>
      </w:r>
      <w:r>
        <w:rPr>
          <w:iCs/>
          <w:lang w:val="en-GB"/>
        </w:rPr>
        <w:t>,</w:t>
      </w:r>
      <w:r w:rsidRPr="00BB1A72">
        <w:rPr>
          <w:iCs/>
          <w:lang w:val="en-GB"/>
        </w:rPr>
        <w:t xml:space="preserve"> with the incidence similar across the ≈7</w:t>
      </w:r>
      <w:r w:rsidR="00903509">
        <w:rPr>
          <w:iCs/>
          <w:lang w:val="en-GB"/>
        </w:rPr>
        <w:t> </w:t>
      </w:r>
      <w:r w:rsidRPr="00BB1A72">
        <w:rPr>
          <w:iCs/>
          <w:lang w:val="en-GB"/>
        </w:rPr>
        <w:t>mg/kg and ≈10</w:t>
      </w:r>
      <w:r w:rsidR="00903509">
        <w:rPr>
          <w:iCs/>
          <w:lang w:val="en-GB"/>
        </w:rPr>
        <w:t> </w:t>
      </w:r>
      <w:r w:rsidRPr="00BB1A72">
        <w:rPr>
          <w:iCs/>
          <w:lang w:val="en-GB"/>
        </w:rPr>
        <w:t>mg/kg dose groups, and higher during the Treatment Period compared with the Follow-up Period. Compared with Cycle 1, the incidence of any headache did not increase with repeated cyclic treatment.</w:t>
      </w:r>
    </w:p>
    <w:p w14:paraId="44A2D63A" w14:textId="77777777" w:rsidR="00C349D8" w:rsidRPr="00BB1A72" w:rsidRDefault="00C349D8" w:rsidP="00A25604">
      <w:pPr>
        <w:pStyle w:val="Heading6"/>
        <w:rPr>
          <w:lang w:val="en-GB"/>
        </w:rPr>
      </w:pPr>
      <w:bookmarkStart w:id="72" w:name="_Hlk126674175"/>
      <w:r w:rsidRPr="00BB1A72">
        <w:rPr>
          <w:lang w:val="en-GB"/>
        </w:rPr>
        <w:t>Infections, including opportunistic infections</w:t>
      </w:r>
    </w:p>
    <w:bookmarkEnd w:id="72"/>
    <w:p w14:paraId="360149A9" w14:textId="77777777" w:rsidR="00C349D8" w:rsidRPr="00BB1A72" w:rsidRDefault="00C349D8" w:rsidP="00A25604">
      <w:pPr>
        <w:pStyle w:val="Heading7"/>
        <w:rPr>
          <w:lang w:val="en-GB"/>
        </w:rPr>
      </w:pPr>
      <w:r w:rsidRPr="00BB1A72">
        <w:rPr>
          <w:lang w:val="en-GB"/>
        </w:rPr>
        <w:t>Study MG0003</w:t>
      </w:r>
    </w:p>
    <w:p w14:paraId="6A73A305" w14:textId="2CB9084E" w:rsidR="00C349D8" w:rsidRPr="00BB1A72" w:rsidRDefault="00C349D8" w:rsidP="00734FED">
      <w:pPr>
        <w:rPr>
          <w:iCs/>
          <w:lang w:val="en-GB"/>
        </w:rPr>
      </w:pPr>
      <w:r w:rsidRPr="00BB1A72">
        <w:rPr>
          <w:iCs/>
          <w:lang w:val="en-GB"/>
        </w:rPr>
        <w:t>In total, 31 (23.3%) rozanolixizumab-treated participants and 13 (19.4%) placebo-treated participants reported TEAEs within the infections and infestations SOC. Overall, the incidence of infections was similar between the rozanolixizumab and placebo treatment groups; however, incidence was higher with rozanolixizumab ≈10</w:t>
      </w:r>
      <w:r w:rsidR="00F94C0F">
        <w:rPr>
          <w:iCs/>
          <w:lang w:val="en-GB"/>
        </w:rPr>
        <w:t> </w:t>
      </w:r>
      <w:r w:rsidRPr="00BB1A72">
        <w:rPr>
          <w:iCs/>
          <w:lang w:val="en-GB"/>
        </w:rPr>
        <w:t>mg/kg group (21 [30.4%] participants) compared with placebo (13 [19.4%]).</w:t>
      </w:r>
    </w:p>
    <w:p w14:paraId="7141F3B8" w14:textId="77777777" w:rsidR="00C349D8" w:rsidRPr="00BB1A72" w:rsidRDefault="00C349D8" w:rsidP="00A25604">
      <w:pPr>
        <w:pStyle w:val="Heading7"/>
        <w:rPr>
          <w:lang w:val="en-GB"/>
        </w:rPr>
      </w:pPr>
      <w:r w:rsidRPr="00BB1A72">
        <w:rPr>
          <w:lang w:val="en-GB"/>
        </w:rPr>
        <w:t>Pool S2</w:t>
      </w:r>
    </w:p>
    <w:p w14:paraId="0A2FD22F" w14:textId="14320F9E" w:rsidR="00C349D8" w:rsidRPr="00BB1A72" w:rsidRDefault="00C349D8" w:rsidP="00734FED">
      <w:pPr>
        <w:rPr>
          <w:lang w:val="en-GB"/>
        </w:rPr>
      </w:pPr>
      <w:r w:rsidRPr="00BB1A72">
        <w:rPr>
          <w:lang w:val="en-GB"/>
        </w:rPr>
        <w:t>In total, 85 (45.2%) study participants experienced a TEAE within the SOC Infections and infestations in Pool S2, including 43 (32.3%) and 54 (41.2%) participants in the rozanolixizumab ≈7</w:t>
      </w:r>
      <w:r w:rsidR="00661983">
        <w:rPr>
          <w:lang w:val="en-GB"/>
        </w:rPr>
        <w:t> </w:t>
      </w:r>
      <w:r w:rsidRPr="00BB1A72">
        <w:rPr>
          <w:lang w:val="en-GB"/>
        </w:rPr>
        <w:t>mg/kg and ≈10</w:t>
      </w:r>
      <w:r w:rsidR="00661983">
        <w:rPr>
          <w:lang w:val="en-GB"/>
        </w:rPr>
        <w:t> </w:t>
      </w:r>
      <w:r w:rsidRPr="00BB1A72">
        <w:rPr>
          <w:lang w:val="en-GB"/>
        </w:rPr>
        <w:t xml:space="preserve">mg/kg dose groups, respectively. The most common infections by </w:t>
      </w:r>
      <w:r w:rsidR="002A63A1">
        <w:rPr>
          <w:lang w:val="en-GB"/>
        </w:rPr>
        <w:t>MedDRA Preferred Term (</w:t>
      </w:r>
      <w:r w:rsidRPr="00BB1A72">
        <w:rPr>
          <w:lang w:val="en-GB"/>
        </w:rPr>
        <w:t>PT</w:t>
      </w:r>
      <w:r w:rsidR="002A63A1">
        <w:rPr>
          <w:lang w:val="en-GB"/>
        </w:rPr>
        <w:t>)</w:t>
      </w:r>
      <w:r w:rsidR="007B69C9">
        <w:rPr>
          <w:rStyle w:val="FootnoteReference"/>
          <w:lang w:val="en-GB"/>
        </w:rPr>
        <w:footnoteReference w:id="6"/>
      </w:r>
      <w:r w:rsidRPr="00BB1A72">
        <w:rPr>
          <w:lang w:val="en-GB"/>
        </w:rPr>
        <w:t xml:space="preserve"> were COVID-19, upper respiratory tract infection, nasopharyngitis, and oral herpes. The incidence of TEAEs within this SOC did not increase with repeated cyclic treatment. In total, TEAEs within this SOC led to discontinuations from the study and/or </w:t>
      </w:r>
      <w:r w:rsidR="004778A0" w:rsidRPr="00F92A38">
        <w:rPr>
          <w:rFonts w:eastAsia="Calibri"/>
          <w:kern w:val="2"/>
          <w14:ligatures w14:val="standardContextual"/>
        </w:rPr>
        <w:t>rozanolixizumab</w:t>
      </w:r>
      <w:r w:rsidR="004778A0" w:rsidRPr="00BB1A72">
        <w:rPr>
          <w:lang w:val="en-GB"/>
        </w:rPr>
        <w:t xml:space="preserve"> </w:t>
      </w:r>
      <w:r w:rsidRPr="00BB1A72">
        <w:rPr>
          <w:lang w:val="en-GB"/>
        </w:rPr>
        <w:t>in &lt;5% of participants (both 6 [3.2%] participants).</w:t>
      </w:r>
    </w:p>
    <w:p w14:paraId="679EFDC2" w14:textId="1C9BD62A" w:rsidR="00C349D8" w:rsidRDefault="00C349D8" w:rsidP="00734FED">
      <w:pPr>
        <w:rPr>
          <w:lang w:val="en-GB"/>
        </w:rPr>
      </w:pPr>
      <w:r w:rsidRPr="151824BB">
        <w:rPr>
          <w:lang w:val="en-GB"/>
        </w:rPr>
        <w:t>Serious TEAEs within the SOC Infections and infestations occurred in 8 (4.3%) participants in Pool S2 (N=188), including 2 (1.5%) and 6 (4.6%) participants in the rozanolixizumab ≈7</w:t>
      </w:r>
      <w:r w:rsidR="001342D2" w:rsidRPr="151824BB">
        <w:rPr>
          <w:lang w:val="en-GB"/>
        </w:rPr>
        <w:t> </w:t>
      </w:r>
      <w:r w:rsidRPr="151824BB">
        <w:rPr>
          <w:lang w:val="en-GB"/>
        </w:rPr>
        <w:t>mg/kg and ≈10</w:t>
      </w:r>
      <w:r w:rsidR="001342D2" w:rsidRPr="151824BB">
        <w:rPr>
          <w:lang w:val="en-GB"/>
        </w:rPr>
        <w:t> </w:t>
      </w:r>
      <w:r w:rsidRPr="151824BB">
        <w:rPr>
          <w:lang w:val="en-GB"/>
        </w:rPr>
        <w:t xml:space="preserve">mg/kg dose groups, respectively. The most common serious TEAE within this SOC was COVID-19 (3 [1.6%] of participants). There was no increase in serious infections with repeated cyclic treatment. Of the 8 participants with serious infections, 3 participants had fatal outcomes, and 5 participants (with 6 events) fully recovered from the event. There were 2 events that were considered related to rozanolixizumab by the </w:t>
      </w:r>
      <w:r w:rsidR="00127AC0" w:rsidRPr="151824BB">
        <w:rPr>
          <w:lang w:val="en-GB"/>
        </w:rPr>
        <w:t>s</w:t>
      </w:r>
      <w:r w:rsidRPr="151824BB">
        <w:rPr>
          <w:lang w:val="en-GB"/>
        </w:rPr>
        <w:t>ponsor: a fatal event of severe pneumonia and aseptic meningitis. There have been 3 reports of aseptic meningitis (reported as drug-induced aseptic meningitis) in the rozanolixizumab development program</w:t>
      </w:r>
      <w:r w:rsidR="00046032">
        <w:rPr>
          <w:lang w:val="en-GB"/>
        </w:rPr>
        <w:t>.</w:t>
      </w:r>
    </w:p>
    <w:p w14:paraId="68407127" w14:textId="3A27285F" w:rsidR="00C349D8" w:rsidRPr="00BB1A72" w:rsidRDefault="00C349D8" w:rsidP="00A25604">
      <w:pPr>
        <w:pStyle w:val="Heading6"/>
        <w:rPr>
          <w:lang w:val="en-GB"/>
        </w:rPr>
      </w:pPr>
      <w:r w:rsidRPr="00BB1A72">
        <w:rPr>
          <w:lang w:val="en-GB"/>
        </w:rPr>
        <w:lastRenderedPageBreak/>
        <w:t>Hypersensitivity reactions</w:t>
      </w:r>
    </w:p>
    <w:p w14:paraId="0B41DFAE" w14:textId="77777777" w:rsidR="00C349D8" w:rsidRPr="00BB1A72" w:rsidRDefault="00C349D8" w:rsidP="00A25604">
      <w:pPr>
        <w:pStyle w:val="Heading7"/>
        <w:rPr>
          <w:lang w:val="en-GB"/>
        </w:rPr>
      </w:pPr>
      <w:r w:rsidRPr="00BB1A72">
        <w:rPr>
          <w:lang w:val="en-GB"/>
        </w:rPr>
        <w:t>Study MG0003</w:t>
      </w:r>
    </w:p>
    <w:p w14:paraId="792EC902" w14:textId="5CD3C1EC" w:rsidR="00C349D8" w:rsidRPr="00BB1A72" w:rsidRDefault="00C349D8" w:rsidP="00734FED">
      <w:pPr>
        <w:rPr>
          <w:lang w:val="en-GB"/>
        </w:rPr>
      </w:pPr>
      <w:r w:rsidRPr="00942A52">
        <w:rPr>
          <w:lang w:val="en-GB"/>
        </w:rPr>
        <w:t xml:space="preserve">Treatment-emergent AEs mapping to the </w:t>
      </w:r>
      <w:r w:rsidR="00942A52" w:rsidRPr="00942A52">
        <w:rPr>
          <w:lang w:val="en-GB"/>
        </w:rPr>
        <w:t>Standardised MedDRA Query (SMQ) H</w:t>
      </w:r>
      <w:r w:rsidRPr="00942A52">
        <w:rPr>
          <w:lang w:val="en-GB"/>
        </w:rPr>
        <w:t>ypersensitivity</w:t>
      </w:r>
      <w:r w:rsidRPr="00BB1A72">
        <w:rPr>
          <w:lang w:val="en-GB"/>
        </w:rPr>
        <w:t xml:space="preserve"> occurred in 7 (10.9%), 4 (5.8%), and 1 (1.5%) participant in the rozanolixizumab ≈7</w:t>
      </w:r>
      <w:r w:rsidR="00C4318A">
        <w:rPr>
          <w:lang w:val="en-GB"/>
        </w:rPr>
        <w:t> </w:t>
      </w:r>
      <w:r w:rsidRPr="00BB1A72">
        <w:rPr>
          <w:lang w:val="en-GB"/>
        </w:rPr>
        <w:t>mg/kg, ≈10</w:t>
      </w:r>
      <w:r w:rsidR="00C4318A">
        <w:rPr>
          <w:lang w:val="en-GB"/>
        </w:rPr>
        <w:t> </w:t>
      </w:r>
      <w:r w:rsidRPr="00BB1A72">
        <w:rPr>
          <w:lang w:val="en-GB"/>
        </w:rPr>
        <w:t>mg/kg, and placebo groups, respectively. The most common event was rash. All events were mild or moderate in intensity. There were no severe or serious events.</w:t>
      </w:r>
    </w:p>
    <w:p w14:paraId="12E257C7" w14:textId="77777777" w:rsidR="00C349D8" w:rsidRPr="00BB1A72" w:rsidRDefault="00C349D8" w:rsidP="00A25604">
      <w:pPr>
        <w:pStyle w:val="Heading7"/>
        <w:rPr>
          <w:lang w:val="en-GB"/>
        </w:rPr>
      </w:pPr>
      <w:r w:rsidRPr="00BB1A72">
        <w:rPr>
          <w:lang w:val="en-GB"/>
        </w:rPr>
        <w:t>Pool S2</w:t>
      </w:r>
    </w:p>
    <w:p w14:paraId="104E1F20" w14:textId="6726A66B" w:rsidR="00C349D8" w:rsidRPr="00BB1A72" w:rsidRDefault="00C349D8" w:rsidP="00734FED">
      <w:pPr>
        <w:rPr>
          <w:lang w:val="en-GB"/>
        </w:rPr>
      </w:pPr>
      <w:r w:rsidRPr="00BB1A72">
        <w:rPr>
          <w:lang w:val="en-GB"/>
        </w:rPr>
        <w:t>In Pool S2 (N=188), the incidence of TEAEs mapping to the SMQ hypersensitivity was low, occurring in 25 (13.3%) study participants, including 14 (10.5%) and 11 (8.4%) participants, in the rozanolixizumab ≈7</w:t>
      </w:r>
      <w:r w:rsidR="004024C8">
        <w:rPr>
          <w:lang w:val="en-GB"/>
        </w:rPr>
        <w:t> </w:t>
      </w:r>
      <w:r w:rsidRPr="00BB1A72">
        <w:rPr>
          <w:lang w:val="en-GB"/>
        </w:rPr>
        <w:t>mg/kg (N=133) and ≈10</w:t>
      </w:r>
      <w:r w:rsidR="004024C8">
        <w:rPr>
          <w:lang w:val="en-GB"/>
        </w:rPr>
        <w:t> </w:t>
      </w:r>
      <w:r w:rsidRPr="00BB1A72">
        <w:rPr>
          <w:lang w:val="en-GB"/>
        </w:rPr>
        <w:t>mg/kg (N=131) dose groups, respectively. Excluding injection site reactions (which are discussed below), common TEAEs were rash (11 [5.9%] participants) and urticaria (3 [1.6%]). Hypersensitivity-related TEAEs were all nonserious and except for severe rash in 1 (0.5%) participant were of mild to moderate intensity. This participant with severe rash was subsequently diagnosed with SCLE. There were no hypersensitivity TEAEs that led to permanent discontinuation. Overall, the incidence of TEAEs by Cycle did not increase with repeated cyclic treatment (&lt;7% of participants per Cycle).</w:t>
      </w:r>
      <w:r w:rsidR="00BD3B0F">
        <w:rPr>
          <w:lang w:val="en-GB"/>
        </w:rPr>
        <w:t xml:space="preserve"> </w:t>
      </w:r>
      <w:r w:rsidRPr="00BB1A72">
        <w:rPr>
          <w:lang w:val="en-GB"/>
        </w:rPr>
        <w:t>No anaphylaxis was reported.</w:t>
      </w:r>
    </w:p>
    <w:p w14:paraId="200CBA16" w14:textId="77777777" w:rsidR="00C349D8" w:rsidRPr="00BB1A72" w:rsidRDefault="00C349D8" w:rsidP="00A25604">
      <w:pPr>
        <w:pStyle w:val="Heading6"/>
        <w:rPr>
          <w:lang w:val="en-GB"/>
        </w:rPr>
      </w:pPr>
      <w:bookmarkStart w:id="73" w:name="_Hlk126674610"/>
      <w:r w:rsidRPr="00BB1A72">
        <w:rPr>
          <w:lang w:val="en-GB"/>
        </w:rPr>
        <w:t>Hepatic events</w:t>
      </w:r>
    </w:p>
    <w:bookmarkEnd w:id="73"/>
    <w:p w14:paraId="234B9EF5" w14:textId="77777777" w:rsidR="00C349D8" w:rsidRPr="00BB1A72" w:rsidRDefault="00C349D8" w:rsidP="00A25604">
      <w:pPr>
        <w:pStyle w:val="Heading7"/>
        <w:rPr>
          <w:lang w:val="en-GB"/>
        </w:rPr>
      </w:pPr>
      <w:r w:rsidRPr="00BB1A72">
        <w:rPr>
          <w:lang w:val="en-GB"/>
        </w:rPr>
        <w:t>Study MG0003</w:t>
      </w:r>
    </w:p>
    <w:p w14:paraId="271DE2FD" w14:textId="61B2E4F4" w:rsidR="00C349D8" w:rsidRPr="00BB1A72" w:rsidRDefault="00C349D8" w:rsidP="00734FED">
      <w:pPr>
        <w:rPr>
          <w:lang w:val="en-GB"/>
        </w:rPr>
      </w:pPr>
      <w:r w:rsidRPr="00BB1A72">
        <w:rPr>
          <w:lang w:val="en-GB"/>
        </w:rPr>
        <w:t>Treatment-emergent AEs meeting the search criteria for drug-related hepatic disorders were reported in 1 (1.6%) study participant in the rozanolixizumab ≈7</w:t>
      </w:r>
      <w:r w:rsidR="005C0912">
        <w:rPr>
          <w:lang w:val="en-GB"/>
        </w:rPr>
        <w:t> </w:t>
      </w:r>
      <w:r w:rsidRPr="00BB1A72">
        <w:rPr>
          <w:lang w:val="en-GB"/>
        </w:rPr>
        <w:t>mg/kg group, 4 (5.8%) in the ≈10</w:t>
      </w:r>
      <w:r w:rsidR="005C0912">
        <w:rPr>
          <w:lang w:val="en-GB"/>
        </w:rPr>
        <w:t> </w:t>
      </w:r>
      <w:r w:rsidRPr="00BB1A72">
        <w:rPr>
          <w:lang w:val="en-GB"/>
        </w:rPr>
        <w:t xml:space="preserve">mg/kg group, and 1 (1.5%) in the placebo group. The following </w:t>
      </w:r>
      <w:r w:rsidR="007839E7" w:rsidRPr="00BB1A72">
        <w:rPr>
          <w:lang w:val="en-GB"/>
        </w:rPr>
        <w:t xml:space="preserve">PT </w:t>
      </w:r>
      <w:r w:rsidRPr="00BB1A72">
        <w:rPr>
          <w:lang w:val="en-GB"/>
        </w:rPr>
        <w:t>were reported: hepatic fibrosis, blood bilirubin increased, prothrombin time prolonged, transaminases increased, and non-alcoholic fatty liver disease. None of these events were reported in &gt;1</w:t>
      </w:r>
      <w:r w:rsidR="005C0912">
        <w:rPr>
          <w:lang w:val="en-GB"/>
        </w:rPr>
        <w:t> </w:t>
      </w:r>
      <w:r w:rsidRPr="00BB1A72">
        <w:rPr>
          <w:lang w:val="en-GB"/>
        </w:rPr>
        <w:t>study participant in any treatment group except for blood bilirubin increased which was reported in 2 (2.9%) study participants in the rozanolixizumab ≈10</w:t>
      </w:r>
      <w:r w:rsidR="008F2A43">
        <w:rPr>
          <w:lang w:val="en-GB"/>
        </w:rPr>
        <w:t> </w:t>
      </w:r>
      <w:r w:rsidRPr="00BB1A72">
        <w:rPr>
          <w:lang w:val="en-GB"/>
        </w:rPr>
        <w:t>mg/kg group.</w:t>
      </w:r>
    </w:p>
    <w:p w14:paraId="4099D06A" w14:textId="77777777" w:rsidR="00C349D8" w:rsidRPr="00BB1A72" w:rsidRDefault="00C349D8" w:rsidP="00734FED">
      <w:pPr>
        <w:rPr>
          <w:lang w:val="en-GB"/>
        </w:rPr>
      </w:pPr>
      <w:r w:rsidRPr="00BB1A72">
        <w:rPr>
          <w:lang w:val="en-GB"/>
        </w:rPr>
        <w:t>All events were mild or moderate in intensity and there were no serious events or events that led to discontinuation from the study.</w:t>
      </w:r>
    </w:p>
    <w:p w14:paraId="67DD3771" w14:textId="77777777" w:rsidR="00C349D8" w:rsidRPr="00BB1A72" w:rsidRDefault="00C349D8" w:rsidP="00A25604">
      <w:pPr>
        <w:pStyle w:val="Heading7"/>
        <w:rPr>
          <w:lang w:val="en-GB"/>
        </w:rPr>
      </w:pPr>
      <w:r w:rsidRPr="00BB1A72">
        <w:rPr>
          <w:lang w:val="en-GB"/>
        </w:rPr>
        <w:t>Pool S2</w:t>
      </w:r>
    </w:p>
    <w:p w14:paraId="2CA4C816" w14:textId="5DC519CB" w:rsidR="00C349D8" w:rsidRPr="00BB1A72" w:rsidRDefault="00C349D8" w:rsidP="00734FED">
      <w:pPr>
        <w:rPr>
          <w:lang w:val="en-GB"/>
        </w:rPr>
      </w:pPr>
      <w:r w:rsidRPr="00BB1A72">
        <w:rPr>
          <w:lang w:val="en-GB"/>
        </w:rPr>
        <w:t>In total, 9 (4.8%) study participants had 13 TEAEs that met search criteria for drug-related hepatic disorders in Pool S2 (N=188), including 2 (1.5%) participants in the ≈7</w:t>
      </w:r>
      <w:r w:rsidR="00802678">
        <w:rPr>
          <w:lang w:val="en-GB"/>
        </w:rPr>
        <w:t> </w:t>
      </w:r>
      <w:r w:rsidRPr="00BB1A72">
        <w:rPr>
          <w:lang w:val="en-GB"/>
        </w:rPr>
        <w:t>mg/kg dose group (3 events) and 7 (5.3%) in the ≈10</w:t>
      </w:r>
      <w:r w:rsidR="00802678">
        <w:rPr>
          <w:lang w:val="en-GB"/>
        </w:rPr>
        <w:t> </w:t>
      </w:r>
      <w:r w:rsidRPr="00BB1A72">
        <w:rPr>
          <w:lang w:val="en-GB"/>
        </w:rPr>
        <w:t>mg/kg dose group (10 events). There were no serious TEAEs and 1 severe TEAE. None of the TEAEs occurred in &gt;2 (1.1%) participants. By Cycle, the incidence of any drug-related hepatic disorders did not increase with repeated cyclic treatment.</w:t>
      </w:r>
    </w:p>
    <w:p w14:paraId="489CCC42" w14:textId="5BEAB207" w:rsidR="00C349D8" w:rsidRPr="00BB1A72" w:rsidRDefault="00C349D8" w:rsidP="00734FED">
      <w:pPr>
        <w:rPr>
          <w:lang w:val="en-GB"/>
        </w:rPr>
      </w:pPr>
      <w:r w:rsidRPr="00BB1A72">
        <w:rPr>
          <w:lang w:val="en-GB"/>
        </w:rPr>
        <w:t xml:space="preserve">One of the TEAEs of </w:t>
      </w:r>
      <w:r w:rsidR="00E24C29">
        <w:rPr>
          <w:lang w:val="en-GB"/>
        </w:rPr>
        <w:t>‘</w:t>
      </w:r>
      <w:r w:rsidR="00285638">
        <w:rPr>
          <w:lang w:val="en-GB"/>
        </w:rPr>
        <w:t xml:space="preserve">liver function </w:t>
      </w:r>
      <w:r w:rsidR="00285638" w:rsidRPr="00703C80">
        <w:rPr>
          <w:lang w:val="en-GB"/>
        </w:rPr>
        <w:t>tests</w:t>
      </w:r>
      <w:r w:rsidRPr="00703C80">
        <w:rPr>
          <w:lang w:val="en-GB"/>
        </w:rPr>
        <w:t xml:space="preserve"> increase</w:t>
      </w:r>
      <w:r w:rsidR="00E24C29" w:rsidRPr="00703C80">
        <w:rPr>
          <w:lang w:val="en-GB"/>
        </w:rPr>
        <w:t>’</w:t>
      </w:r>
      <w:r w:rsidRPr="00703C80">
        <w:rPr>
          <w:lang w:val="en-GB"/>
        </w:rPr>
        <w:t xml:space="preserve"> in</w:t>
      </w:r>
      <w:r w:rsidRPr="00BB1A72">
        <w:rPr>
          <w:lang w:val="en-GB"/>
        </w:rPr>
        <w:t xml:space="preserve"> the rozanolixizumab ≈10</w:t>
      </w:r>
      <w:r w:rsidR="00CE6DE9">
        <w:rPr>
          <w:lang w:val="en-GB"/>
        </w:rPr>
        <w:t> </w:t>
      </w:r>
      <w:r w:rsidRPr="00BB1A72">
        <w:rPr>
          <w:lang w:val="en-GB"/>
        </w:rPr>
        <w:t>mg/kg group resulted in study discontinuation.</w:t>
      </w:r>
    </w:p>
    <w:p w14:paraId="4254D8C4" w14:textId="77777777" w:rsidR="00C349D8" w:rsidRPr="00BB1A72" w:rsidRDefault="00C349D8" w:rsidP="00A25604">
      <w:pPr>
        <w:pStyle w:val="Heading6"/>
        <w:rPr>
          <w:lang w:val="en-GB"/>
        </w:rPr>
      </w:pPr>
      <w:bookmarkStart w:id="74" w:name="_Hlk126674667"/>
      <w:r w:rsidRPr="00BB1A72">
        <w:rPr>
          <w:lang w:val="en-GB"/>
        </w:rPr>
        <w:t>Effects on the kidney</w:t>
      </w:r>
    </w:p>
    <w:bookmarkEnd w:id="74"/>
    <w:p w14:paraId="4C0CBA68" w14:textId="77777777" w:rsidR="00C349D8" w:rsidRPr="00BB1A72" w:rsidRDefault="00C349D8" w:rsidP="00A25604">
      <w:pPr>
        <w:pStyle w:val="Heading7"/>
        <w:rPr>
          <w:lang w:val="en-GB"/>
        </w:rPr>
      </w:pPr>
      <w:r w:rsidRPr="00BB1A72">
        <w:rPr>
          <w:lang w:val="en-GB"/>
        </w:rPr>
        <w:t>Study MG0003</w:t>
      </w:r>
    </w:p>
    <w:p w14:paraId="1F581481" w14:textId="453B4A57" w:rsidR="00C349D8" w:rsidRPr="00BB1A72" w:rsidRDefault="00C349D8" w:rsidP="00734FED">
      <w:pPr>
        <w:rPr>
          <w:lang w:val="en-GB"/>
        </w:rPr>
      </w:pPr>
      <w:bookmarkStart w:id="75" w:name="_Hlk126674687"/>
      <w:r w:rsidRPr="00BB1A72">
        <w:rPr>
          <w:lang w:val="en-GB"/>
        </w:rPr>
        <w:t>Treatment-emergent AEs meeting criteria for effects on the kidney comprised of renal impairment in 3 (4.3%) participants in the rozanolixizumab ≈10</w:t>
      </w:r>
      <w:r w:rsidR="00C96B58">
        <w:rPr>
          <w:lang w:val="en-GB"/>
        </w:rPr>
        <w:t> </w:t>
      </w:r>
      <w:r w:rsidRPr="00BB1A72">
        <w:rPr>
          <w:lang w:val="en-GB"/>
        </w:rPr>
        <w:t>mg/kg group. No study participants had severe or serious TEAEs of renal impairment. All 3 participants had pre-</w:t>
      </w:r>
      <w:r w:rsidRPr="00A24B24">
        <w:rPr>
          <w:lang w:val="en-GB"/>
        </w:rPr>
        <w:t xml:space="preserve">existing medical conditions and/or low </w:t>
      </w:r>
      <w:r w:rsidR="00F07BF9" w:rsidRPr="00A24B24">
        <w:t>estimated glomerular filtration rate (eGFR)</w:t>
      </w:r>
      <w:r w:rsidRPr="00A24B24">
        <w:rPr>
          <w:lang w:val="en-GB"/>
        </w:rPr>
        <w:t xml:space="preserve"> at the </w:t>
      </w:r>
      <w:r w:rsidR="00A24B24">
        <w:rPr>
          <w:lang w:val="en-GB"/>
        </w:rPr>
        <w:t>B</w:t>
      </w:r>
      <w:r w:rsidRPr="00A24B24">
        <w:rPr>
          <w:lang w:val="en-GB"/>
        </w:rPr>
        <w:t>aseline.</w:t>
      </w:r>
    </w:p>
    <w:bookmarkEnd w:id="75"/>
    <w:p w14:paraId="111761D9" w14:textId="77777777" w:rsidR="00C349D8" w:rsidRPr="00BB1A72" w:rsidRDefault="00C349D8" w:rsidP="00A25604">
      <w:pPr>
        <w:pStyle w:val="Heading7"/>
        <w:rPr>
          <w:lang w:val="en-GB"/>
        </w:rPr>
      </w:pPr>
      <w:r w:rsidRPr="00BB1A72">
        <w:rPr>
          <w:lang w:val="en-GB"/>
        </w:rPr>
        <w:t>Pool S2</w:t>
      </w:r>
    </w:p>
    <w:p w14:paraId="49117229" w14:textId="22C43AC5" w:rsidR="00C349D8" w:rsidRDefault="00C349D8" w:rsidP="00734FED">
      <w:pPr>
        <w:rPr>
          <w:lang w:val="en-GB"/>
        </w:rPr>
      </w:pPr>
      <w:r w:rsidRPr="00BB1A72">
        <w:rPr>
          <w:lang w:val="en-GB"/>
        </w:rPr>
        <w:t>There were no additional participants with TEAEs related to effects on the kidney beyond the 3</w:t>
      </w:r>
      <w:r w:rsidR="00C96B58">
        <w:rPr>
          <w:lang w:val="en-GB"/>
        </w:rPr>
        <w:t> </w:t>
      </w:r>
      <w:r w:rsidRPr="00BB1A72">
        <w:rPr>
          <w:lang w:val="en-GB"/>
        </w:rPr>
        <w:t>(1.6%) participants who reported events in MG0003.</w:t>
      </w:r>
    </w:p>
    <w:p w14:paraId="11889B7F" w14:textId="77777777" w:rsidR="00C349D8" w:rsidRPr="00BB1A72" w:rsidRDefault="00C349D8" w:rsidP="00A25604">
      <w:pPr>
        <w:pStyle w:val="Heading6"/>
        <w:rPr>
          <w:lang w:val="en-GB"/>
        </w:rPr>
      </w:pPr>
      <w:bookmarkStart w:id="76" w:name="_Toc454443967"/>
      <w:r w:rsidRPr="00BB1A72">
        <w:rPr>
          <w:lang w:val="en-GB"/>
        </w:rPr>
        <w:lastRenderedPageBreak/>
        <w:t>Immunological events</w:t>
      </w:r>
      <w:bookmarkEnd w:id="76"/>
    </w:p>
    <w:p w14:paraId="40C215A1" w14:textId="77777777" w:rsidR="00C349D8" w:rsidRPr="00BB1A72" w:rsidRDefault="00C349D8" w:rsidP="00A25604">
      <w:pPr>
        <w:pStyle w:val="Heading7"/>
        <w:rPr>
          <w:lang w:val="en-GB"/>
        </w:rPr>
      </w:pPr>
      <w:r w:rsidRPr="00BB1A72">
        <w:rPr>
          <w:lang w:val="en-GB"/>
        </w:rPr>
        <w:t>Pool S3</w:t>
      </w:r>
    </w:p>
    <w:p w14:paraId="70C487B2" w14:textId="011C75BA" w:rsidR="00C349D8" w:rsidRPr="00BB1A72" w:rsidRDefault="00C349D8" w:rsidP="00734FED">
      <w:pPr>
        <w:rPr>
          <w:lang w:val="en-GB"/>
        </w:rPr>
      </w:pPr>
      <w:r w:rsidRPr="00BB1A72">
        <w:rPr>
          <w:lang w:val="en-GB"/>
        </w:rPr>
        <w:t>In total, 2 of 162 (1.2%) study participants had pre-existing anti-drug antibody</w:t>
      </w:r>
      <w:r>
        <w:rPr>
          <w:lang w:val="en-GB"/>
        </w:rPr>
        <w:t xml:space="preserve"> </w:t>
      </w:r>
      <w:r w:rsidRPr="00BB1A72">
        <w:rPr>
          <w:lang w:val="en-GB"/>
        </w:rPr>
        <w:t>(ADA) before their first dose of rozanolixizumab (in either MG0003 or MG0007), and 1 of these 2</w:t>
      </w:r>
      <w:r>
        <w:rPr>
          <w:lang w:val="en-GB"/>
        </w:rPr>
        <w:t xml:space="preserve"> </w:t>
      </w:r>
      <w:r w:rsidRPr="00BB1A72">
        <w:rPr>
          <w:lang w:val="en-GB"/>
        </w:rPr>
        <w:t>study participant</w:t>
      </w:r>
      <w:r>
        <w:rPr>
          <w:lang w:val="en-GB"/>
        </w:rPr>
        <w:t>s</w:t>
      </w:r>
      <w:r w:rsidRPr="00BB1A72">
        <w:rPr>
          <w:lang w:val="en-GB"/>
        </w:rPr>
        <w:t xml:space="preserve"> </w:t>
      </w:r>
      <w:r w:rsidR="00EB71B3" w:rsidRPr="00BB1A72">
        <w:rPr>
          <w:lang w:val="en-GB"/>
        </w:rPr>
        <w:t>(50.0%)</w:t>
      </w:r>
      <w:r w:rsidR="00EB71B3">
        <w:rPr>
          <w:lang w:val="en-GB"/>
        </w:rPr>
        <w:t xml:space="preserve"> </w:t>
      </w:r>
      <w:r w:rsidRPr="00BB1A72">
        <w:rPr>
          <w:lang w:val="en-GB"/>
        </w:rPr>
        <w:t xml:space="preserve">had pre-existing </w:t>
      </w:r>
      <w:proofErr w:type="spellStart"/>
      <w:r w:rsidRPr="00BB1A72">
        <w:rPr>
          <w:lang w:val="en-GB"/>
        </w:rPr>
        <w:t>N</w:t>
      </w:r>
      <w:r w:rsidR="000C520C">
        <w:rPr>
          <w:lang w:val="en-GB"/>
        </w:rPr>
        <w:t>A</w:t>
      </w:r>
      <w:r w:rsidRPr="00BB1A72">
        <w:rPr>
          <w:lang w:val="en-GB"/>
        </w:rPr>
        <w:t>b</w:t>
      </w:r>
      <w:proofErr w:type="spellEnd"/>
      <w:r w:rsidRPr="00BB1A72">
        <w:rPr>
          <w:lang w:val="en-GB"/>
        </w:rPr>
        <w:t>.</w:t>
      </w:r>
    </w:p>
    <w:p w14:paraId="3E969912" w14:textId="3A771827" w:rsidR="00C349D8" w:rsidRPr="00BB1A72" w:rsidRDefault="00C349D8" w:rsidP="00734FED">
      <w:pPr>
        <w:rPr>
          <w:lang w:val="en-GB"/>
        </w:rPr>
      </w:pPr>
      <w:r w:rsidRPr="006E58A7">
        <w:rPr>
          <w:lang w:val="en-GB"/>
        </w:rPr>
        <w:t xml:space="preserve">No impact on the clinical safety of rozanolixizumab was observed in study participants who tested positive for ADA. The incidences of TEAEs were lower or comparable in </w:t>
      </w:r>
      <w:r w:rsidR="006E58A7" w:rsidRPr="006E58A7">
        <w:rPr>
          <w:color w:val="000000"/>
          <w:lang w:val="en-GB"/>
        </w:rPr>
        <w:t>treatment-emergent ADA positive (</w:t>
      </w:r>
      <w:r w:rsidRPr="006E58A7">
        <w:rPr>
          <w:lang w:val="en-GB"/>
        </w:rPr>
        <w:t>TE-POS</w:t>
      </w:r>
      <w:r w:rsidR="006E58A7" w:rsidRPr="006E58A7">
        <w:rPr>
          <w:lang w:val="en-GB"/>
        </w:rPr>
        <w:t>)</w:t>
      </w:r>
      <w:r w:rsidRPr="006E58A7">
        <w:rPr>
          <w:lang w:val="en-GB"/>
        </w:rPr>
        <w:t xml:space="preserve"> study participants compared with ADA-NEG study participants.</w:t>
      </w:r>
    </w:p>
    <w:p w14:paraId="327B2679" w14:textId="34DB9CE9" w:rsidR="00C349D8" w:rsidRPr="00BB1A72" w:rsidRDefault="00C349D8" w:rsidP="00734FED">
      <w:pPr>
        <w:rPr>
          <w:lang w:val="en-GB"/>
        </w:rPr>
      </w:pPr>
      <w:r w:rsidRPr="00717080">
        <w:rPr>
          <w:lang w:val="en-GB"/>
        </w:rPr>
        <w:t xml:space="preserve">Immunogenicity-related AEs may include hypersensitivity reactions, anaphylactic reactions, and injection site reactions. The incidences of TEAEs that met criteria for hypersensitivity reactions (SMQ </w:t>
      </w:r>
      <w:r w:rsidR="00717080" w:rsidRPr="00717080">
        <w:rPr>
          <w:lang w:val="en-GB"/>
        </w:rPr>
        <w:t>H</w:t>
      </w:r>
      <w:r w:rsidRPr="00717080">
        <w:rPr>
          <w:lang w:val="en-GB"/>
        </w:rPr>
        <w:t>ypersensitivity [narrow search]) and for injection site reactions (MedDRA high-level terms: injection site reactions, infusion site reactions, and administration site reactions not elsewhere classified) were comparable between TE-POS and ADA-NEG study participants. There</w:t>
      </w:r>
      <w:r w:rsidRPr="00BB1A72">
        <w:rPr>
          <w:lang w:val="en-GB"/>
        </w:rPr>
        <w:t xml:space="preserve"> were no anaphylactic reactions reported.</w:t>
      </w:r>
    </w:p>
    <w:p w14:paraId="397FCF1E" w14:textId="77777777" w:rsidR="00C349D8" w:rsidRPr="00BB1A72" w:rsidRDefault="00C349D8" w:rsidP="00A25604">
      <w:pPr>
        <w:pStyle w:val="Heading6"/>
        <w:rPr>
          <w:lang w:val="en-GB"/>
        </w:rPr>
      </w:pPr>
      <w:r w:rsidRPr="00BB1A72">
        <w:rPr>
          <w:lang w:val="en-GB"/>
        </w:rPr>
        <w:t>Discontinuation due to adverse events</w:t>
      </w:r>
    </w:p>
    <w:p w14:paraId="77397F99" w14:textId="77777777" w:rsidR="00C349D8" w:rsidRPr="00BB1A72" w:rsidRDefault="00C349D8" w:rsidP="00A25604">
      <w:pPr>
        <w:pStyle w:val="Heading7"/>
        <w:rPr>
          <w:lang w:val="en-GB"/>
        </w:rPr>
      </w:pPr>
      <w:r w:rsidRPr="00BB1A72">
        <w:rPr>
          <w:lang w:val="en-GB"/>
        </w:rPr>
        <w:t>Study MG0003</w:t>
      </w:r>
    </w:p>
    <w:p w14:paraId="73E0F848" w14:textId="35FC9202" w:rsidR="00C349D8" w:rsidRPr="00BB1A72" w:rsidRDefault="00C349D8" w:rsidP="00734FED">
      <w:pPr>
        <w:rPr>
          <w:lang w:val="en-GB"/>
        </w:rPr>
      </w:pPr>
      <w:r w:rsidRPr="00BB1A72">
        <w:rPr>
          <w:lang w:val="en-GB"/>
        </w:rPr>
        <w:t>The TEAEs leading to permanent study discontinuation occurred in 2 (3.1%) study participants in the rozanolixizumab ≈7</w:t>
      </w:r>
      <w:r w:rsidR="0004310B">
        <w:rPr>
          <w:lang w:val="en-GB"/>
        </w:rPr>
        <w:t> </w:t>
      </w:r>
      <w:r w:rsidRPr="00BB1A72">
        <w:rPr>
          <w:lang w:val="en-GB"/>
        </w:rPr>
        <w:t>mg/kg group (arthralgia, headache), 5 (7.2%) participants in the ≈10</w:t>
      </w:r>
      <w:r w:rsidR="0004310B">
        <w:rPr>
          <w:lang w:val="en-GB"/>
        </w:rPr>
        <w:t> </w:t>
      </w:r>
      <w:r w:rsidRPr="00BB1A72">
        <w:rPr>
          <w:lang w:val="en-GB"/>
        </w:rPr>
        <w:t>mg/kg group with 6 TEAEs (diarrhoea, upper abdominal pain, vomiting, device [tracheal prosthesis] dislocation, pruritus and metastatic squamous cell carcinoma) and 2 (3.0%) participants in the placebo group (myasthenia gravis and myasthenia gravis crisis).</w:t>
      </w:r>
    </w:p>
    <w:p w14:paraId="18A1CAFC" w14:textId="77777777" w:rsidR="00C349D8" w:rsidRPr="00BB1A72" w:rsidRDefault="00C349D8" w:rsidP="00A25604">
      <w:pPr>
        <w:pStyle w:val="Heading7"/>
        <w:rPr>
          <w:lang w:val="en-GB"/>
        </w:rPr>
      </w:pPr>
      <w:r w:rsidRPr="00BB1A72">
        <w:rPr>
          <w:lang w:val="en-GB"/>
        </w:rPr>
        <w:t>Pool S2</w:t>
      </w:r>
    </w:p>
    <w:p w14:paraId="11F4DD85" w14:textId="041E766C" w:rsidR="00C349D8" w:rsidRPr="00BB1A72" w:rsidRDefault="00C349D8" w:rsidP="00734FED">
      <w:pPr>
        <w:rPr>
          <w:lang w:val="en-GB"/>
        </w:rPr>
      </w:pPr>
      <w:r w:rsidRPr="00BB1A72">
        <w:rPr>
          <w:lang w:val="en-GB"/>
        </w:rPr>
        <w:t>In Pool S2, TEAEs that led to permanent discontinuation from the study occurred in 29 (15.4%) study participants, including 8 (6.0%) and 21 (16.0%) participants in the rozanolixizumab ≈7</w:t>
      </w:r>
      <w:r w:rsidR="008140FD">
        <w:rPr>
          <w:lang w:val="en-GB"/>
        </w:rPr>
        <w:t> </w:t>
      </w:r>
      <w:r w:rsidRPr="00BB1A72">
        <w:rPr>
          <w:lang w:val="en-GB"/>
        </w:rPr>
        <w:t>mg/kg and ≈10</w:t>
      </w:r>
      <w:r w:rsidR="008140FD">
        <w:rPr>
          <w:lang w:val="en-GB"/>
        </w:rPr>
        <w:t> </w:t>
      </w:r>
      <w:r w:rsidRPr="00BB1A72">
        <w:rPr>
          <w:lang w:val="en-GB"/>
        </w:rPr>
        <w:t>mg/kg dose groups, respectively. Differences between dose groups were driven by a higher incidence of TEAEs in the ≈10</w:t>
      </w:r>
      <w:r w:rsidR="008140FD">
        <w:rPr>
          <w:lang w:val="en-GB"/>
        </w:rPr>
        <w:t> </w:t>
      </w:r>
      <w:r w:rsidRPr="00BB1A72">
        <w:rPr>
          <w:lang w:val="en-GB"/>
        </w:rPr>
        <w:t>mg/kg dose group for the SOCs of Investigations and Infections and infestations (both 5 [3.8%] participants) compared with the ≈7</w:t>
      </w:r>
      <w:r w:rsidR="008140FD">
        <w:rPr>
          <w:lang w:val="en-GB"/>
        </w:rPr>
        <w:t> </w:t>
      </w:r>
      <w:r w:rsidRPr="00BB1A72">
        <w:rPr>
          <w:lang w:val="en-GB"/>
        </w:rPr>
        <w:t>mg/kg dose group (0% and 1 [0.8%] and respectively), and with single incidence TEAEs across various PTs leading to permanent discontinuation also occurring more frequently at the higher dose. The incidence of TEAEs leading to study discontinuation was highest in the SOC Nervous system disorders (8 [4.3%] participants), and within this SOC, the most frequently reported TEAEs were myasthenia gravis (5 [2.7%]) and myasthenia gravis crisis (2 [1.1%]). Participants with TEAEs related to MG worsening received rescue therapy and therefore met protocol-mandated withdrawal criteria.</w:t>
      </w:r>
    </w:p>
    <w:p w14:paraId="2858B006" w14:textId="77777777" w:rsidR="00C22214" w:rsidRDefault="00C22214" w:rsidP="00C22214">
      <w:pPr>
        <w:pStyle w:val="Heading3"/>
        <w:rPr>
          <w:lang w:eastAsia="en-AU"/>
        </w:rPr>
      </w:pPr>
      <w:bookmarkStart w:id="77" w:name="_Toc314842514"/>
      <w:bookmarkStart w:id="78" w:name="_Toc103679298"/>
      <w:bookmarkStart w:id="79" w:name="_Toc204161824"/>
      <w:r>
        <w:rPr>
          <w:lang w:eastAsia="en-AU"/>
        </w:rPr>
        <w:t>Risk management plan</w:t>
      </w:r>
      <w:bookmarkEnd w:id="77"/>
      <w:bookmarkEnd w:id="78"/>
      <w:bookmarkEnd w:id="79"/>
    </w:p>
    <w:p w14:paraId="39F3CD1D" w14:textId="70023181" w:rsidR="0072003B" w:rsidRPr="00BD5DBD" w:rsidRDefault="00C22214" w:rsidP="00C22214">
      <w:pPr>
        <w:rPr>
          <w:szCs w:val="22"/>
        </w:rPr>
      </w:pPr>
      <w:bookmarkStart w:id="80" w:name="_Toc247691531"/>
      <w:bookmarkStart w:id="81" w:name="_Toc314842515"/>
      <w:r w:rsidRPr="00BD5DBD">
        <w:rPr>
          <w:szCs w:val="22"/>
        </w:rPr>
        <w:t xml:space="preserve">The summary of safety concerns and their associated risk monitoring and mitigation strategies are </w:t>
      </w:r>
      <w:r w:rsidR="006E64BB">
        <w:rPr>
          <w:szCs w:val="22"/>
        </w:rPr>
        <w:t>presented</w:t>
      </w:r>
      <w:r w:rsidRPr="00BD5DBD">
        <w:rPr>
          <w:szCs w:val="22"/>
        </w:rPr>
        <w:t xml:space="preserve"> in</w:t>
      </w:r>
      <w:r w:rsidR="006E64BB">
        <w:rPr>
          <w:szCs w:val="22"/>
        </w:rPr>
        <w:t xml:space="preserve"> </w:t>
      </w:r>
      <w:r w:rsidR="006E64BB">
        <w:rPr>
          <w:szCs w:val="22"/>
        </w:rPr>
        <w:fldChar w:fldCharType="begin"/>
      </w:r>
      <w:r w:rsidR="006E64BB">
        <w:rPr>
          <w:szCs w:val="22"/>
        </w:rPr>
        <w:instrText xml:space="preserve"> REF _Ref97629131 \h </w:instrText>
      </w:r>
      <w:r w:rsidR="006E64BB">
        <w:rPr>
          <w:szCs w:val="22"/>
        </w:rPr>
      </w:r>
      <w:r w:rsidR="006E64BB">
        <w:rPr>
          <w:szCs w:val="22"/>
        </w:rPr>
        <w:fldChar w:fldCharType="separate"/>
      </w:r>
      <w:r w:rsidR="00CA7747">
        <w:t xml:space="preserve">Table </w:t>
      </w:r>
      <w:r w:rsidR="00CA7747">
        <w:rPr>
          <w:noProof/>
        </w:rPr>
        <w:t>16</w:t>
      </w:r>
      <w:r w:rsidR="006E64BB">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w:t>
      </w:r>
      <w:r w:rsidR="006774DE">
        <w:rPr>
          <w:szCs w:val="22"/>
        </w:rPr>
        <w:t> </w:t>
      </w:r>
      <w:r w:rsidR="0072003B" w:rsidRPr="00BD5DBD">
        <w:rPr>
          <w:szCs w:val="22"/>
        </w:rPr>
        <w:t>cycle, during both the pre-approval and post-approval phases.</w:t>
      </w:r>
    </w:p>
    <w:p w14:paraId="0E7D3ADC" w14:textId="53ABBCA2" w:rsidR="00127A74" w:rsidRDefault="00C22214" w:rsidP="00DF529F">
      <w:pPr>
        <w:pStyle w:val="TableTitle"/>
      </w:pPr>
      <w:bookmarkStart w:id="82" w:name="_Ref97629131"/>
      <w:bookmarkStart w:id="83" w:name="_Ref198809653"/>
      <w:r>
        <w:lastRenderedPageBreak/>
        <w:t xml:space="preserve">Table </w:t>
      </w:r>
      <w:r w:rsidR="007F1E37">
        <w:fldChar w:fldCharType="begin"/>
      </w:r>
      <w:r w:rsidR="007F1E37">
        <w:instrText xml:space="preserve"> SEQ Table \* ARABIC </w:instrText>
      </w:r>
      <w:r w:rsidR="007F1E37">
        <w:fldChar w:fldCharType="separate"/>
      </w:r>
      <w:r w:rsidR="00CA7747">
        <w:rPr>
          <w:noProof/>
        </w:rPr>
        <w:t>16</w:t>
      </w:r>
      <w:r w:rsidR="007F1E37">
        <w:rPr>
          <w:noProof/>
        </w:rPr>
        <w:fldChar w:fldCharType="end"/>
      </w:r>
      <w:bookmarkEnd w:id="82"/>
      <w:r>
        <w:t>: Summary of safety concerns</w:t>
      </w:r>
      <w:bookmarkEnd w:id="83"/>
    </w:p>
    <w:tbl>
      <w:tblPr>
        <w:tblStyle w:val="TableTGAblue2023"/>
        <w:tblW w:w="9067" w:type="dxa"/>
        <w:tblLayout w:type="fixed"/>
        <w:tblLook w:val="04A0" w:firstRow="1" w:lastRow="0" w:firstColumn="1" w:lastColumn="0" w:noHBand="0" w:noVBand="1"/>
      </w:tblPr>
      <w:tblGrid>
        <w:gridCol w:w="1838"/>
        <w:gridCol w:w="2126"/>
        <w:gridCol w:w="1134"/>
        <w:gridCol w:w="1418"/>
        <w:gridCol w:w="1134"/>
        <w:gridCol w:w="1417"/>
      </w:tblGrid>
      <w:tr w:rsidR="00127A74" w:rsidRPr="007A1992" w14:paraId="359A0C59" w14:textId="77777777" w:rsidTr="00E91F11">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24B1F090" w14:textId="77777777" w:rsidR="00127A74" w:rsidRPr="00127A74" w:rsidRDefault="00127A74" w:rsidP="00127A74">
            <w:r w:rsidRPr="00127A74">
              <w:t>Summary of safety concerns</w:t>
            </w:r>
          </w:p>
        </w:tc>
        <w:tc>
          <w:tcPr>
            <w:tcW w:w="2552" w:type="dxa"/>
            <w:gridSpan w:val="2"/>
          </w:tcPr>
          <w:p w14:paraId="596694C9"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2"/>
          </w:tcPr>
          <w:p w14:paraId="4F66CB82"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127A74" w:rsidRPr="007A1992" w14:paraId="12411E68" w14:textId="77777777" w:rsidTr="00E91F11">
        <w:trPr>
          <w:trHeight w:val="150"/>
        </w:trPr>
        <w:tc>
          <w:tcPr>
            <w:cnfStyle w:val="001000000000" w:firstRow="0" w:lastRow="0" w:firstColumn="1" w:lastColumn="0" w:oddVBand="0" w:evenVBand="0" w:oddHBand="0" w:evenHBand="0" w:firstRowFirstColumn="0" w:firstRowLastColumn="0" w:lastRowFirstColumn="0" w:lastRowLastColumn="0"/>
            <w:tcW w:w="3964" w:type="dxa"/>
            <w:gridSpan w:val="2"/>
            <w:vMerge/>
          </w:tcPr>
          <w:p w14:paraId="71D88F2A" w14:textId="77777777" w:rsidR="00127A74" w:rsidRPr="00127A74" w:rsidRDefault="00127A74" w:rsidP="00127A74"/>
        </w:tc>
        <w:tc>
          <w:tcPr>
            <w:tcW w:w="1134" w:type="dxa"/>
            <w:shd w:val="clear" w:color="auto" w:fill="DEEAF6"/>
          </w:tcPr>
          <w:p w14:paraId="1BF9407C"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8" w:type="dxa"/>
            <w:shd w:val="clear" w:color="auto" w:fill="DEEAF6"/>
          </w:tcPr>
          <w:p w14:paraId="442BA332"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134" w:type="dxa"/>
            <w:shd w:val="clear" w:color="auto" w:fill="DEEAF6"/>
          </w:tcPr>
          <w:p w14:paraId="5920A04F"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53B2ED29"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DF529F" w:rsidRPr="00DF529F" w14:paraId="05599231" w14:textId="77777777" w:rsidTr="00F92EA5">
        <w:trPr>
          <w:trHeight w:val="137"/>
        </w:trPr>
        <w:tc>
          <w:tcPr>
            <w:cnfStyle w:val="001000000000" w:firstRow="0" w:lastRow="0" w:firstColumn="1" w:lastColumn="0" w:oddVBand="0" w:evenVBand="0" w:oddHBand="0" w:evenHBand="0" w:firstRowFirstColumn="0" w:firstRowLastColumn="0" w:lastRowFirstColumn="0" w:lastRowLastColumn="0"/>
            <w:tcW w:w="1838" w:type="dxa"/>
          </w:tcPr>
          <w:p w14:paraId="67382D75" w14:textId="77777777" w:rsidR="00F92EA5" w:rsidRPr="00DF529F" w:rsidRDefault="00F92EA5" w:rsidP="00F92EA5">
            <w:pPr>
              <w:rPr>
                <w:b/>
                <w:bCs/>
                <w:color w:val="auto"/>
              </w:rPr>
            </w:pPr>
            <w:r w:rsidRPr="00DF529F">
              <w:rPr>
                <w:b/>
                <w:bCs/>
                <w:color w:val="auto"/>
              </w:rPr>
              <w:t>Important identified risks</w:t>
            </w:r>
          </w:p>
        </w:tc>
        <w:tc>
          <w:tcPr>
            <w:tcW w:w="2126" w:type="dxa"/>
          </w:tcPr>
          <w:p w14:paraId="7134CBC0" w14:textId="0D00B078"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rFonts w:eastAsia="Times New Roman"/>
                <w:snapToGrid w:val="0"/>
                <w:color w:val="auto"/>
              </w:rPr>
              <w:t>Aseptic meningitis (drug-induced aseptic meningitis (DIAM))</w:t>
            </w:r>
          </w:p>
        </w:tc>
        <w:tc>
          <w:tcPr>
            <w:tcW w:w="1134" w:type="dxa"/>
          </w:tcPr>
          <w:p w14:paraId="11797452" w14:textId="54C45473"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rFonts w:ascii="Wingdings" w:eastAsia="Wingdings" w:hAnsi="Wingdings" w:cs="Wingdings"/>
                <w:color w:val="auto"/>
              </w:rPr>
              <w:t>ü</w:t>
            </w:r>
            <w:r w:rsidRPr="00DF529F">
              <w:rPr>
                <w:color w:val="auto"/>
              </w:rPr>
              <w:t>*</w:t>
            </w:r>
          </w:p>
        </w:tc>
        <w:tc>
          <w:tcPr>
            <w:tcW w:w="1418" w:type="dxa"/>
          </w:tcPr>
          <w:p w14:paraId="7B703318" w14:textId="57F7E169"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rFonts w:ascii="Wingdings" w:eastAsia="Wingdings" w:hAnsi="Wingdings" w:cs="Wingdings"/>
                <w:color w:val="auto"/>
              </w:rPr>
              <w:t>ü</w:t>
            </w:r>
            <w:r w:rsidRPr="00DF529F">
              <w:rPr>
                <w:color w:val="auto"/>
              </w:rPr>
              <w:t>†‡</w:t>
            </w:r>
          </w:p>
        </w:tc>
        <w:tc>
          <w:tcPr>
            <w:tcW w:w="1134" w:type="dxa"/>
          </w:tcPr>
          <w:p w14:paraId="1A652099" w14:textId="79C4BDBB"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rFonts w:ascii="Wingdings" w:eastAsia="Wingdings" w:hAnsi="Wingdings" w:cs="Wingdings"/>
                <w:color w:val="auto"/>
              </w:rPr>
              <w:t>ü</w:t>
            </w:r>
          </w:p>
        </w:tc>
        <w:tc>
          <w:tcPr>
            <w:tcW w:w="1417" w:type="dxa"/>
          </w:tcPr>
          <w:p w14:paraId="34A0513E" w14:textId="69C9C9D6"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color w:val="auto"/>
              </w:rPr>
              <w:t>−</w:t>
            </w:r>
          </w:p>
        </w:tc>
      </w:tr>
      <w:tr w:rsidR="00DF529F" w:rsidRPr="00DF529F" w14:paraId="176B93B3" w14:textId="77777777" w:rsidTr="00F92EA5">
        <w:trPr>
          <w:trHeight w:val="159"/>
        </w:trPr>
        <w:tc>
          <w:tcPr>
            <w:cnfStyle w:val="001000000000" w:firstRow="0" w:lastRow="0" w:firstColumn="1" w:lastColumn="0" w:oddVBand="0" w:evenVBand="0" w:oddHBand="0" w:evenHBand="0" w:firstRowFirstColumn="0" w:firstRowLastColumn="0" w:lastRowFirstColumn="0" w:lastRowLastColumn="0"/>
            <w:tcW w:w="1838" w:type="dxa"/>
          </w:tcPr>
          <w:p w14:paraId="77F0DB3E" w14:textId="77777777" w:rsidR="00F92EA5" w:rsidRPr="00DF529F" w:rsidRDefault="00F92EA5" w:rsidP="00F92EA5">
            <w:pPr>
              <w:rPr>
                <w:b/>
                <w:bCs/>
                <w:color w:val="auto"/>
              </w:rPr>
            </w:pPr>
            <w:r w:rsidRPr="00DF529F">
              <w:rPr>
                <w:b/>
                <w:bCs/>
                <w:color w:val="auto"/>
              </w:rPr>
              <w:t>Important potential risks</w:t>
            </w:r>
          </w:p>
        </w:tc>
        <w:tc>
          <w:tcPr>
            <w:tcW w:w="2126" w:type="dxa"/>
          </w:tcPr>
          <w:p w14:paraId="6E17E14A" w14:textId="3348098A"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rFonts w:eastAsia="Times New Roman"/>
                <w:snapToGrid w:val="0"/>
                <w:color w:val="auto"/>
              </w:rPr>
              <w:t>Serious infections</w:t>
            </w:r>
          </w:p>
        </w:tc>
        <w:tc>
          <w:tcPr>
            <w:tcW w:w="1134" w:type="dxa"/>
          </w:tcPr>
          <w:p w14:paraId="252AD92F" w14:textId="6C91DFF7"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rFonts w:ascii="Wingdings" w:eastAsia="Wingdings" w:hAnsi="Wingdings" w:cs="Wingdings"/>
                <w:color w:val="auto"/>
              </w:rPr>
              <w:t>ü</w:t>
            </w:r>
          </w:p>
        </w:tc>
        <w:tc>
          <w:tcPr>
            <w:tcW w:w="1418" w:type="dxa"/>
          </w:tcPr>
          <w:p w14:paraId="77DA98F1" w14:textId="618BA4CC"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rFonts w:ascii="Wingdings" w:eastAsia="Wingdings" w:hAnsi="Wingdings" w:cs="Wingdings"/>
                <w:color w:val="auto"/>
              </w:rPr>
              <w:t>ü</w:t>
            </w:r>
            <w:r w:rsidRPr="00DF529F">
              <w:rPr>
                <w:color w:val="auto"/>
              </w:rPr>
              <w:t>†‡</w:t>
            </w:r>
          </w:p>
        </w:tc>
        <w:tc>
          <w:tcPr>
            <w:tcW w:w="1134" w:type="dxa"/>
          </w:tcPr>
          <w:p w14:paraId="182A5096" w14:textId="3A5A8C2D"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rFonts w:ascii="Wingdings" w:eastAsia="Wingdings" w:hAnsi="Wingdings" w:cs="Wingdings"/>
                <w:color w:val="auto"/>
              </w:rPr>
              <w:t>ü</w:t>
            </w:r>
          </w:p>
        </w:tc>
        <w:tc>
          <w:tcPr>
            <w:tcW w:w="1417" w:type="dxa"/>
          </w:tcPr>
          <w:p w14:paraId="2A6247DC" w14:textId="1D028259"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color w:val="auto"/>
              </w:rPr>
              <w:t>−</w:t>
            </w:r>
          </w:p>
        </w:tc>
      </w:tr>
      <w:tr w:rsidR="00DF529F" w:rsidRPr="00DF529F" w14:paraId="74C5E610" w14:textId="77777777" w:rsidTr="00F92EA5">
        <w:trPr>
          <w:trHeight w:val="178"/>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262C65E3" w14:textId="77777777" w:rsidR="00F92EA5" w:rsidRPr="00DF529F" w:rsidRDefault="00F92EA5" w:rsidP="00F92EA5">
            <w:pPr>
              <w:rPr>
                <w:b/>
                <w:bCs/>
                <w:color w:val="auto"/>
              </w:rPr>
            </w:pPr>
            <w:r w:rsidRPr="00DF529F">
              <w:rPr>
                <w:b/>
                <w:bCs/>
                <w:color w:val="auto"/>
              </w:rPr>
              <w:t>Missing information</w:t>
            </w:r>
          </w:p>
        </w:tc>
        <w:tc>
          <w:tcPr>
            <w:tcW w:w="2126" w:type="dxa"/>
          </w:tcPr>
          <w:p w14:paraId="104D79CD" w14:textId="6DA2CAF3"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rFonts w:eastAsia="Times New Roman"/>
                <w:snapToGrid w:val="0"/>
                <w:color w:val="auto"/>
                <w:kern w:val="16"/>
              </w:rPr>
              <w:t xml:space="preserve">Use during pregnancy </w:t>
            </w:r>
          </w:p>
        </w:tc>
        <w:tc>
          <w:tcPr>
            <w:tcW w:w="1134" w:type="dxa"/>
          </w:tcPr>
          <w:p w14:paraId="07467A21" w14:textId="470E6297"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rFonts w:ascii="Wingdings" w:eastAsia="Wingdings" w:hAnsi="Wingdings" w:cs="Wingdings"/>
                <w:color w:val="auto"/>
              </w:rPr>
              <w:t>ü</w:t>
            </w:r>
          </w:p>
        </w:tc>
        <w:tc>
          <w:tcPr>
            <w:tcW w:w="1418" w:type="dxa"/>
          </w:tcPr>
          <w:p w14:paraId="35C7F07F" w14:textId="7D1A5CA3"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rFonts w:ascii="Wingdings" w:eastAsia="Wingdings" w:hAnsi="Wingdings" w:cs="Wingdings"/>
                <w:color w:val="auto"/>
              </w:rPr>
              <w:t>ü</w:t>
            </w:r>
            <w:r w:rsidRPr="00DF529F">
              <w:rPr>
                <w:color w:val="auto"/>
              </w:rPr>
              <w:t>†</w:t>
            </w:r>
          </w:p>
        </w:tc>
        <w:tc>
          <w:tcPr>
            <w:tcW w:w="1134" w:type="dxa"/>
          </w:tcPr>
          <w:p w14:paraId="52620DEE" w14:textId="7A5FD59C"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rFonts w:ascii="Wingdings" w:eastAsia="Wingdings" w:hAnsi="Wingdings" w:cs="Wingdings"/>
                <w:color w:val="auto"/>
              </w:rPr>
              <w:t>ü</w:t>
            </w:r>
          </w:p>
        </w:tc>
        <w:tc>
          <w:tcPr>
            <w:tcW w:w="1417" w:type="dxa"/>
          </w:tcPr>
          <w:p w14:paraId="16BD3C7B" w14:textId="71A999B2"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color w:val="auto"/>
              </w:rPr>
              <w:t>−</w:t>
            </w:r>
          </w:p>
        </w:tc>
      </w:tr>
      <w:tr w:rsidR="00DF529F" w:rsidRPr="00DF529F" w14:paraId="7D0EBB55" w14:textId="77777777" w:rsidTr="00F92EA5">
        <w:trPr>
          <w:trHeight w:val="103"/>
        </w:trPr>
        <w:tc>
          <w:tcPr>
            <w:cnfStyle w:val="001000000000" w:firstRow="0" w:lastRow="0" w:firstColumn="1" w:lastColumn="0" w:oddVBand="0" w:evenVBand="0" w:oddHBand="0" w:evenHBand="0" w:firstRowFirstColumn="0" w:firstRowLastColumn="0" w:lastRowFirstColumn="0" w:lastRowLastColumn="0"/>
            <w:tcW w:w="1838" w:type="dxa"/>
            <w:vMerge/>
          </w:tcPr>
          <w:p w14:paraId="51B1B281" w14:textId="77777777" w:rsidR="00F92EA5" w:rsidRPr="00DF529F" w:rsidRDefault="00F92EA5" w:rsidP="00F92EA5">
            <w:pPr>
              <w:rPr>
                <w:color w:val="auto"/>
              </w:rPr>
            </w:pPr>
          </w:p>
        </w:tc>
        <w:tc>
          <w:tcPr>
            <w:tcW w:w="2126" w:type="dxa"/>
          </w:tcPr>
          <w:p w14:paraId="2919CCF1" w14:textId="1950AD20"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rFonts w:eastAsia="Times New Roman"/>
                <w:snapToGrid w:val="0"/>
                <w:color w:val="auto"/>
                <w:kern w:val="16"/>
              </w:rPr>
              <w:t>Long-term safety</w:t>
            </w:r>
          </w:p>
        </w:tc>
        <w:tc>
          <w:tcPr>
            <w:tcW w:w="1134" w:type="dxa"/>
          </w:tcPr>
          <w:p w14:paraId="5DD7F75D" w14:textId="41698D31"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rFonts w:ascii="Wingdings" w:eastAsia="Wingdings" w:hAnsi="Wingdings" w:cs="Wingdings"/>
                <w:color w:val="auto"/>
              </w:rPr>
              <w:t>ü</w:t>
            </w:r>
          </w:p>
        </w:tc>
        <w:tc>
          <w:tcPr>
            <w:tcW w:w="1418" w:type="dxa"/>
          </w:tcPr>
          <w:p w14:paraId="4139A55E" w14:textId="453E01D2"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rFonts w:ascii="Wingdings" w:eastAsia="Wingdings" w:hAnsi="Wingdings" w:cs="Wingdings"/>
                <w:color w:val="auto"/>
              </w:rPr>
              <w:t>ü</w:t>
            </w:r>
            <w:r w:rsidRPr="00DF529F">
              <w:rPr>
                <w:color w:val="auto"/>
              </w:rPr>
              <w:t>†‡</w:t>
            </w:r>
          </w:p>
        </w:tc>
        <w:tc>
          <w:tcPr>
            <w:tcW w:w="1134" w:type="dxa"/>
          </w:tcPr>
          <w:p w14:paraId="5B89E748" w14:textId="72D12659"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color w:val="auto"/>
              </w:rPr>
              <w:t>−</w:t>
            </w:r>
          </w:p>
        </w:tc>
        <w:tc>
          <w:tcPr>
            <w:tcW w:w="1417" w:type="dxa"/>
          </w:tcPr>
          <w:p w14:paraId="547A90B8" w14:textId="42D2EEF0" w:rsidR="00F92EA5" w:rsidRPr="00DF529F" w:rsidRDefault="00F92EA5" w:rsidP="00F92EA5">
            <w:pPr>
              <w:cnfStyle w:val="000000000000" w:firstRow="0" w:lastRow="0" w:firstColumn="0" w:lastColumn="0" w:oddVBand="0" w:evenVBand="0" w:oddHBand="0" w:evenHBand="0" w:firstRowFirstColumn="0" w:firstRowLastColumn="0" w:lastRowFirstColumn="0" w:lastRowLastColumn="0"/>
              <w:rPr>
                <w:color w:val="auto"/>
              </w:rPr>
            </w:pPr>
            <w:r w:rsidRPr="00DF529F">
              <w:rPr>
                <w:color w:val="auto"/>
              </w:rPr>
              <w:t>−</w:t>
            </w:r>
          </w:p>
        </w:tc>
      </w:tr>
    </w:tbl>
    <w:p w14:paraId="19A1C554" w14:textId="1EB13E9F" w:rsidR="00F92EA5" w:rsidRPr="00DF529F" w:rsidRDefault="00F92EA5" w:rsidP="00CA7747">
      <w:pPr>
        <w:pStyle w:val="TableDescription"/>
        <w:rPr>
          <w:snapToGrid w:val="0"/>
        </w:rPr>
      </w:pPr>
      <w:r w:rsidRPr="00DF529F">
        <w:rPr>
          <w:snapToGrid w:val="0"/>
        </w:rPr>
        <w:t xml:space="preserve">* Specific follow up questionnaire; †MG0007 (ongoing); </w:t>
      </w:r>
      <w:r w:rsidRPr="00DF529F">
        <w:t xml:space="preserve">‡ </w:t>
      </w:r>
      <w:r w:rsidRPr="00DF529F">
        <w:rPr>
          <w:snapToGrid w:val="0"/>
        </w:rPr>
        <w:t>MG0027 (planned)</w:t>
      </w:r>
    </w:p>
    <w:p w14:paraId="16E5DFAA" w14:textId="18C8FA85" w:rsidR="00032A0F" w:rsidRPr="003A561B" w:rsidRDefault="00032A0F" w:rsidP="00CA7747">
      <w:pPr>
        <w:rPr>
          <w:rFonts w:eastAsia="Cambria" w:cs="Times New Roman"/>
          <w:i/>
          <w:szCs w:val="22"/>
        </w:rPr>
      </w:pPr>
      <w:r w:rsidRPr="003A561B">
        <w:t>The RMP evaluation recommended conditions of registration relating to the version of the risk management plan, requirement for periodic safety update reports, and inclusion of the medicine in the Black Triangle Scheme.</w:t>
      </w:r>
    </w:p>
    <w:p w14:paraId="33A963B1" w14:textId="5982B782" w:rsidR="00191B70" w:rsidRPr="00191B70" w:rsidRDefault="00191B70" w:rsidP="00191B70">
      <w:r>
        <w:rPr>
          <w:rFonts w:eastAsia="Times New Roman"/>
          <w:snapToGrid w:val="0"/>
          <w:kern w:val="2"/>
        </w:rPr>
        <w:t>T</w:t>
      </w:r>
      <w:r w:rsidRPr="00337210">
        <w:rPr>
          <w:rFonts w:eastAsia="Times New Roman"/>
          <w:snapToGrid w:val="0"/>
          <w:kern w:val="2"/>
        </w:rPr>
        <w:t>he PI and CMI will be accessible via a quick response code in the packaging and a pack insert in the form of an Instructions for Use document.</w:t>
      </w:r>
    </w:p>
    <w:p w14:paraId="74A4F87F" w14:textId="77777777" w:rsidR="00C22214" w:rsidRDefault="00C22214" w:rsidP="00C22214">
      <w:pPr>
        <w:pStyle w:val="Heading3"/>
      </w:pPr>
      <w:bookmarkStart w:id="84" w:name="_Toc103679299"/>
      <w:bookmarkStart w:id="85" w:name="_Toc204161825"/>
      <w:r>
        <w:t>Risk-benefit analysis</w:t>
      </w:r>
      <w:bookmarkEnd w:id="80"/>
      <w:bookmarkEnd w:id="81"/>
      <w:bookmarkEnd w:id="84"/>
      <w:bookmarkEnd w:id="85"/>
    </w:p>
    <w:p w14:paraId="6680585B" w14:textId="04E7B351" w:rsidR="00191B70" w:rsidRDefault="00191B70" w:rsidP="00191B70">
      <w:pPr>
        <w:pStyle w:val="Heading4"/>
      </w:pPr>
      <w:bookmarkStart w:id="86" w:name="_Toc204161826"/>
      <w:r>
        <w:t>Overview</w:t>
      </w:r>
      <w:bookmarkEnd w:id="86"/>
    </w:p>
    <w:p w14:paraId="64CA76C5" w14:textId="3FBC9E40" w:rsidR="00191B70" w:rsidRDefault="00191B70" w:rsidP="00191B70">
      <w:r>
        <w:t>This submission is to register a new biological entity, rozanolixizumab (RYSTIGGO), a recombinant, humanised anti-neonatal Fc receptor (</w:t>
      </w:r>
      <w:proofErr w:type="spellStart"/>
      <w:r>
        <w:t>FcRn</w:t>
      </w:r>
      <w:proofErr w:type="spellEnd"/>
      <w:r>
        <w:t>) monoclonal antibody for treatment of generalised myasthenia gravis (</w:t>
      </w:r>
      <w:proofErr w:type="spellStart"/>
      <w:r>
        <w:t>gMG</w:t>
      </w:r>
      <w:proofErr w:type="spellEnd"/>
      <w:r>
        <w:t>) in adult patients. RYSTIGGO is to be administered as a subcutaneous infusion once a week in a treatment cycle of 6 weeks. The recommended dose is approximately 7 mg/kg. Each subsequent treatment cycle may be administered based on clinical evaluation of symptom recurrence.</w:t>
      </w:r>
    </w:p>
    <w:p w14:paraId="463B49FE" w14:textId="041F7C02" w:rsidR="00191B70" w:rsidRDefault="00191B70" w:rsidP="00191B70">
      <w:r>
        <w:t xml:space="preserve">This submission has been evaluated via ACCESS Consortium New Active Substance Work Sharing Initiative (NASWSI), with Health Canada and </w:t>
      </w:r>
      <w:proofErr w:type="spellStart"/>
      <w:r>
        <w:t>Swissmedic</w:t>
      </w:r>
      <w:proofErr w:type="spellEnd"/>
      <w:r>
        <w:t xml:space="preserve">. The clinical evaluation was led by </w:t>
      </w:r>
      <w:proofErr w:type="spellStart"/>
      <w:r>
        <w:t>Swissmedic</w:t>
      </w:r>
      <w:proofErr w:type="spellEnd"/>
      <w:r>
        <w:t>.</w:t>
      </w:r>
    </w:p>
    <w:p w14:paraId="6B927AB9" w14:textId="44BE4B75" w:rsidR="00191B70" w:rsidRDefault="00191B70" w:rsidP="00191B70">
      <w:pPr>
        <w:pStyle w:val="Heading4"/>
      </w:pPr>
      <w:bookmarkStart w:id="87" w:name="_Toc204161827"/>
      <w:r>
        <w:t>Efficacy comments</w:t>
      </w:r>
      <w:bookmarkEnd w:id="87"/>
    </w:p>
    <w:p w14:paraId="6D7B0929" w14:textId="2A860095" w:rsidR="00191B70" w:rsidRDefault="00191B70" w:rsidP="00191B70">
      <w:r w:rsidRPr="00A56F0E">
        <w:t xml:space="preserve">Three Phase </w:t>
      </w:r>
      <w:r w:rsidR="0000351E" w:rsidRPr="00A56F0E">
        <w:t>III</w:t>
      </w:r>
      <w:r w:rsidRPr="00A56F0E">
        <w:t xml:space="preserve"> studies have been submitted to support this submission, the pivotal study MG0003 with </w:t>
      </w:r>
      <w:r w:rsidR="0000351E" w:rsidRPr="00A56F0E">
        <w:t>2</w:t>
      </w:r>
      <w:r w:rsidRPr="00A56F0E">
        <w:t xml:space="preserve"> open l</w:t>
      </w:r>
      <w:r w:rsidR="00A56F0E" w:rsidRPr="00A56F0E">
        <w:t>abel</w:t>
      </w:r>
      <w:r w:rsidRPr="00A56F0E">
        <w:t xml:space="preserve"> extension (OLE) studies MG0004 and MG0007.</w:t>
      </w:r>
    </w:p>
    <w:p w14:paraId="241B50C6" w14:textId="66BDB6F8" w:rsidR="00191B70" w:rsidRDefault="00191B70" w:rsidP="00191B70">
      <w:r>
        <w:t xml:space="preserve">Study MG0003 was a multi-centre, randomised, double-blind, placebo-controlled, 3-arm repeat dose study evaluating the efficacy and safety of </w:t>
      </w:r>
      <w:r w:rsidR="00E41E52">
        <w:t>2</w:t>
      </w:r>
      <w:r>
        <w:t xml:space="preserve"> doses of </w:t>
      </w:r>
      <w:r w:rsidR="000775A0">
        <w:t>rozanolixizumab</w:t>
      </w:r>
      <w:r>
        <w:t xml:space="preserve"> (≈ 7 mg/kg and ≈ </w:t>
      </w:r>
      <w:r w:rsidRPr="00F34F82">
        <w:t xml:space="preserve">10 mg/kg) and matching placebo in adult </w:t>
      </w:r>
      <w:proofErr w:type="spellStart"/>
      <w:r w:rsidRPr="00F34F82">
        <w:t>gMG</w:t>
      </w:r>
      <w:proofErr w:type="spellEnd"/>
      <w:r w:rsidRPr="00F34F82">
        <w:t xml:space="preserve"> patients with MGFA Class II to </w:t>
      </w:r>
      <w:proofErr w:type="spellStart"/>
      <w:r w:rsidRPr="00F34F82">
        <w:t>IVa</w:t>
      </w:r>
      <w:proofErr w:type="spellEnd"/>
      <w:r w:rsidRPr="00F34F82">
        <w:t>, being</w:t>
      </w:r>
      <w:r>
        <w:t xml:space="preserve"> considered for </w:t>
      </w:r>
      <w:r w:rsidRPr="0026503A">
        <w:t>additional treatment such as IVIg or PLEX and with a historic positive record of autoantibodies</w:t>
      </w:r>
      <w:r>
        <w:t xml:space="preserve"> against </w:t>
      </w:r>
      <w:proofErr w:type="spellStart"/>
      <w:r>
        <w:t>AChR</w:t>
      </w:r>
      <w:proofErr w:type="spellEnd"/>
      <w:r>
        <w:t xml:space="preserve"> or </w:t>
      </w:r>
      <w:proofErr w:type="spellStart"/>
      <w:r>
        <w:t>MuSK</w:t>
      </w:r>
      <w:proofErr w:type="spellEnd"/>
      <w:r>
        <w:t xml:space="preserve">. Patients with severe weakness affecting oropharyngeal or respiratory muscles or (immanent) MG crisis were excluded from the study program. </w:t>
      </w:r>
      <w:r w:rsidR="000775A0">
        <w:t>rozanolixizumab</w:t>
      </w:r>
      <w:r>
        <w:t xml:space="preserve"> is used as an add-on to the patient’s established medication.</w:t>
      </w:r>
    </w:p>
    <w:p w14:paraId="46F67E8A" w14:textId="3C096422" w:rsidR="00191B70" w:rsidRDefault="00191B70" w:rsidP="00191B70">
      <w:r w:rsidRPr="00FF48EF">
        <w:lastRenderedPageBreak/>
        <w:t>At Day 43, the primary endpoint changes in MG-ADL scores from baseline showed clinically</w:t>
      </w:r>
      <w:r>
        <w:t xml:space="preserve"> meaningful improvement that was statistically significantly different compared to placebo for both ≈7mg/kg and ≈10mg/kg </w:t>
      </w:r>
      <w:r w:rsidR="000775A0">
        <w:t>rozanolixizumab</w:t>
      </w:r>
      <w:r>
        <w:t xml:space="preserve"> treatment groups (&lt;0.001). MG-ADL responder status was achieved by 68% in the ≈7mg/kg and 61% in the ≈10mg/kg dose group as compared to 28% of placebo treated subjects. Median time to first MG-ADL response was estimated to be 16 days and 22 days for the ≈7mg/kg and ≈10mg/kg </w:t>
      </w:r>
      <w:r w:rsidR="000775A0">
        <w:t>rozanolixizumab</w:t>
      </w:r>
      <w:r>
        <w:t xml:space="preserve"> treatment groups, respectively (indicating that the probability of a response is 50% at those timepoints).</w:t>
      </w:r>
    </w:p>
    <w:p w14:paraId="79616053" w14:textId="45ECD7AD" w:rsidR="00191B70" w:rsidRDefault="00191B70" w:rsidP="00191B70">
      <w:r w:rsidRPr="00865C40">
        <w:t>Major secondary efficacy endpoints MG-C and QMG also yielded clinically meaningful</w:t>
      </w:r>
      <w:r>
        <w:t xml:space="preserve"> </w:t>
      </w:r>
      <w:r w:rsidRPr="00DE1D64">
        <w:t>improvement in least square (LS) mean score from Baseline that were statistically significantly</w:t>
      </w:r>
      <w:r>
        <w:t xml:space="preserve"> different compared to placebo for both </w:t>
      </w:r>
      <w:r w:rsidR="000775A0">
        <w:t>rozanolixizumab</w:t>
      </w:r>
      <w:r>
        <w:t xml:space="preserve"> treatment groups (all p-values &lt;0.001).</w:t>
      </w:r>
    </w:p>
    <w:p w14:paraId="27B95B72" w14:textId="15EA2F4F" w:rsidR="00191B70" w:rsidRDefault="00191B70" w:rsidP="00191B70">
      <w:r w:rsidRPr="00865C40">
        <w:t>In anti-</w:t>
      </w:r>
      <w:proofErr w:type="spellStart"/>
      <w:r w:rsidRPr="00865C40">
        <w:t>AChR</w:t>
      </w:r>
      <w:proofErr w:type="spellEnd"/>
      <w:r w:rsidRPr="00865C40">
        <w:t>+ patients at Baseline, improvements from Baseline to Day 43 observed in subgroup</w:t>
      </w:r>
      <w:r>
        <w:t xml:space="preserve"> analyses were consistent with the results in the overall study population. The observed mean improvement from Baseline to Day 43 for the primary endpoint observed for both treatment groups in subgroup anti-</w:t>
      </w:r>
      <w:proofErr w:type="spellStart"/>
      <w:r>
        <w:t>MuSK</w:t>
      </w:r>
      <w:proofErr w:type="spellEnd"/>
      <w:r>
        <w:t>+ at baseline was numerically even greater compared to the overall study population even though this subpopulation was small (≤8 patients per treatment group). Even if the impact of these results is challenged by the very small group size, this finding appears remarkable regarding the ineffectiveness of conventional immune therapies and thymectomy in this subgroup.</w:t>
      </w:r>
    </w:p>
    <w:p w14:paraId="0CF5F1AB" w14:textId="26AA68A8" w:rsidR="00191B70" w:rsidRDefault="00191B70" w:rsidP="00191B70">
      <w:r>
        <w:t xml:space="preserve">While study MG0003 evaluated one cycle, further cycles are evaluated in MG0007. Study MG007 is ongoing and with the data included from study MG0004, 115 </w:t>
      </w:r>
      <w:proofErr w:type="spellStart"/>
      <w:r>
        <w:t>AChR</w:t>
      </w:r>
      <w:proofErr w:type="spellEnd"/>
      <w:r>
        <w:t xml:space="preserve">-Ab seropositive patients (127 overall) received 2 consecutive symptom driven cycles, only 69 of them followed up to 4 cycles. Preliminary results from ongoing OLE study provides exploratory efficacy data up to </w:t>
      </w:r>
      <w:r w:rsidRPr="00FF6525">
        <w:t xml:space="preserve">4 cycles and are supportive. Around two-thirds </w:t>
      </w:r>
      <w:r w:rsidR="00ED0273" w:rsidRPr="00FF6525">
        <w:t xml:space="preserve">(65%) </w:t>
      </w:r>
      <w:r w:rsidRPr="00FF6525">
        <w:t>of the 23 subjects who rolled over from MG0003 due to MG worsening during MG observation period achieved responder status at Week</w:t>
      </w:r>
      <w:r w:rsidR="008E27A0" w:rsidRPr="00FF6525">
        <w:t> </w:t>
      </w:r>
      <w:r w:rsidRPr="00FF6525">
        <w:t xml:space="preserve">5 and </w:t>
      </w:r>
      <w:r w:rsidR="008E27A0" w:rsidRPr="00FF6525">
        <w:t>Week </w:t>
      </w:r>
      <w:r w:rsidRPr="00FF6525">
        <w:t xml:space="preserve">7, and more than </w:t>
      </w:r>
      <w:r w:rsidR="001F647A" w:rsidRPr="00FF6525">
        <w:t>half</w:t>
      </w:r>
      <w:r w:rsidR="00ED0273" w:rsidRPr="00FF6525">
        <w:t xml:space="preserve"> (56%)</w:t>
      </w:r>
      <w:r w:rsidRPr="00FF6525">
        <w:t xml:space="preserve"> </w:t>
      </w:r>
      <w:r w:rsidR="00FF6525" w:rsidRPr="00FF6525">
        <w:t>at Week 9 of</w:t>
      </w:r>
      <w:r w:rsidRPr="00FF6525">
        <w:t>MG0004. The numbers of patients</w:t>
      </w:r>
      <w:r>
        <w:t xml:space="preserve"> treated in later cycles decline continuously and do not allow robust conclusions. Efficacy regarding repeated cyclic treatment in the anti-</w:t>
      </w:r>
      <w:proofErr w:type="spellStart"/>
      <w:r>
        <w:t>MuSK</w:t>
      </w:r>
      <w:proofErr w:type="spellEnd"/>
      <w:r>
        <w:t xml:space="preserve">+ subgroup was clinically meaningful and </w:t>
      </w:r>
      <w:proofErr w:type="gramStart"/>
      <w:r>
        <w:t>similar to</w:t>
      </w:r>
      <w:proofErr w:type="gramEnd"/>
      <w:r>
        <w:t xml:space="preserve"> the benefits observed in MG0003. The long-term efficacy should be investigated further.</w:t>
      </w:r>
    </w:p>
    <w:p w14:paraId="5244EB03" w14:textId="57DACFE9" w:rsidR="00191B70" w:rsidRDefault="00191B70" w:rsidP="00191B70">
      <w:r>
        <w:t xml:space="preserve">The sponsor proposes a broad indication for adult </w:t>
      </w:r>
      <w:proofErr w:type="spellStart"/>
      <w:r>
        <w:t>gMG</w:t>
      </w:r>
      <w:proofErr w:type="spellEnd"/>
      <w:r>
        <w:t xml:space="preserve"> patients. This does neither reflect the study population nor the add-on therapy reflected in the study program. The evidence of efficacy and safety does not support a broad indication. The clinical study program refers to repeated </w:t>
      </w:r>
      <w:r w:rsidRPr="00735D4C">
        <w:t xml:space="preserve">cyclic treatment with </w:t>
      </w:r>
      <w:r w:rsidR="000775A0" w:rsidRPr="00735D4C">
        <w:t>rozanolixizumab</w:t>
      </w:r>
      <w:r w:rsidRPr="00735D4C">
        <w:t xml:space="preserve"> as an add-on to standard therapy of </w:t>
      </w:r>
      <w:proofErr w:type="spellStart"/>
      <w:r w:rsidRPr="00735D4C">
        <w:t>gMG</w:t>
      </w:r>
      <w:proofErr w:type="spellEnd"/>
      <w:r w:rsidRPr="00735D4C">
        <w:t xml:space="preserve"> subjects MGFA </w:t>
      </w:r>
      <w:r w:rsidR="00F34F82" w:rsidRPr="00735D4C">
        <w:t>Class</w:t>
      </w:r>
      <w:r w:rsidRPr="00735D4C">
        <w:t xml:space="preserve"> II to IV with autoantibodies to anti-acetylcholine receptor (</w:t>
      </w:r>
      <w:proofErr w:type="spellStart"/>
      <w:r w:rsidRPr="00735D4C">
        <w:t>AChR</w:t>
      </w:r>
      <w:proofErr w:type="spellEnd"/>
      <w:r w:rsidRPr="00735D4C">
        <w:t>) or anti-muscle-specific tyrosine kinase (</w:t>
      </w:r>
      <w:proofErr w:type="spellStart"/>
      <w:r w:rsidRPr="00735D4C">
        <w:t>MuSK</w:t>
      </w:r>
      <w:proofErr w:type="spellEnd"/>
      <w:r w:rsidRPr="00735D4C">
        <w:t xml:space="preserve">). Patients with negative </w:t>
      </w:r>
      <w:proofErr w:type="spellStart"/>
      <w:r w:rsidRPr="00735D4C">
        <w:t>AChR</w:t>
      </w:r>
      <w:proofErr w:type="spellEnd"/>
      <w:r w:rsidRPr="00735D4C">
        <w:t>/</w:t>
      </w:r>
      <w:proofErr w:type="spellStart"/>
      <w:r w:rsidRPr="00735D4C">
        <w:t>MuSK</w:t>
      </w:r>
      <w:proofErr w:type="spellEnd"/>
      <w:r w:rsidRPr="00735D4C">
        <w:t xml:space="preserve"> autoantibody and MGFA </w:t>
      </w:r>
      <w:r w:rsidR="00F34F82" w:rsidRPr="00735D4C">
        <w:t>Class</w:t>
      </w:r>
      <w:r w:rsidRPr="00735D4C">
        <w:t xml:space="preserve"> V were excluded. Pivotal study MG0003 refers to a single treatment cycle. Repeated cyclic</w:t>
      </w:r>
      <w:r>
        <w:t xml:space="preserve"> treatment has been studied in OLE MG0007. The latter study provides evidence for a clinical meaningful treatment benefit in at least 50% of </w:t>
      </w:r>
      <w:proofErr w:type="spellStart"/>
      <w:r>
        <w:t>gMG</w:t>
      </w:r>
      <w:proofErr w:type="spellEnd"/>
      <w:r>
        <w:t xml:space="preserve"> subjects receiving </w:t>
      </w:r>
      <w:r w:rsidR="000775A0">
        <w:t>rozanolixizumab</w:t>
      </w:r>
      <w:r>
        <w:t xml:space="preserve"> as an add-on to their established therapy. For this group, </w:t>
      </w:r>
      <w:r w:rsidR="000775A0">
        <w:t>rozanolixizumab</w:t>
      </w:r>
      <w:r>
        <w:t xml:space="preserve"> represents a promising treatment option if clinical response cannot be achieved with conventional </w:t>
      </w:r>
      <w:proofErr w:type="spellStart"/>
      <w:r>
        <w:t>gMG</w:t>
      </w:r>
      <w:proofErr w:type="spellEnd"/>
      <w:r>
        <w:t xml:space="preserve"> therapy.</w:t>
      </w:r>
    </w:p>
    <w:p w14:paraId="38F8AD47" w14:textId="0A099B02" w:rsidR="00191B70" w:rsidRDefault="00191B70" w:rsidP="00191B70">
      <w:r>
        <w:t>Frequent dose switches across both dosing groups in MG0007 caused inconsistent drug exposure which are not fully captured in the efficacy (group comparison according to first dose in study) (most recent dose for all cycle analyses and dose in the respective cycles for individual cycle analyses). This prevents the actual evaluation regarding efficacy and safety of the respective dose and the assessment of dosing effects.</w:t>
      </w:r>
    </w:p>
    <w:p w14:paraId="371C58CE" w14:textId="4D730737" w:rsidR="00191B70" w:rsidRDefault="00191B70" w:rsidP="00191B70">
      <w:r w:rsidRPr="007E5603">
        <w:t>In response to a round 2 question, the sponsor informed that, the final study population</w:t>
      </w:r>
      <w:r>
        <w:t xml:space="preserve"> included 25 out of 80 subjects randomised to the ≈7mg/kg dose group at the beginning of MG0007 who needed a permanent dose switch to high </w:t>
      </w:r>
      <w:r w:rsidR="000775A0">
        <w:t>rozanolixizumab</w:t>
      </w:r>
      <w:r>
        <w:t xml:space="preserve"> dose during later cycles. Among the cases with known causality, about 80% were due to lack of efficacy. This suggests </w:t>
      </w:r>
      <w:r>
        <w:lastRenderedPageBreak/>
        <w:t xml:space="preserve">incomplete efficacy for the ≈7mg/kg dose proposed for Rystiggo. Real-world patients though will not have the option of a dose increase. The problem of limited participant numbers is further aggravated by missing efficacy results at Day43 for variable numbers of low </w:t>
      </w:r>
      <w:r w:rsidR="000775A0">
        <w:t>rozanolixizumab</w:t>
      </w:r>
      <w:r>
        <w:t xml:space="preserve"> dose treated subjects across cycles.</w:t>
      </w:r>
    </w:p>
    <w:p w14:paraId="5587B2C6" w14:textId="234478E0" w:rsidR="00191B70" w:rsidRDefault="00191B70" w:rsidP="00191B70">
      <w:r>
        <w:t xml:space="preserve">Other uncertainties arise from limited numbers of subjects in the subgroups &lt;50 kg, ≥65 years, MG-ADL &lt;5 and MGFA Class IV: Based upon final study data, the treatment benefit in the subgroup &lt;50 kg appears much lower as compared to the overall group of subjects treated exclusively with low </w:t>
      </w:r>
      <w:r w:rsidR="000775A0">
        <w:t>rozanolixizumab</w:t>
      </w:r>
      <w:r>
        <w:t xml:space="preserve"> dose. Similarly, mean change in MG-ADL scores reported for repeated cyclic treatment in the subgroup ≥65 years remained below the threshold for clinical meaningfulness during the first 3 cycles. At the same time, the safety profile in the elderly treated exclusively with low </w:t>
      </w:r>
      <w:r w:rsidR="000775A0">
        <w:t>rozanolixizumab</w:t>
      </w:r>
      <w:r>
        <w:t xml:space="preserve"> dose was less favourable as compared to </w:t>
      </w:r>
      <w:r w:rsidRPr="007E5603">
        <w:t>subjects &lt;65 years of age. It is to note that TEAEs differing between both age groups were not</w:t>
      </w:r>
      <w:r>
        <w:t xml:space="preserve"> </w:t>
      </w:r>
      <w:r w:rsidRPr="003A135D">
        <w:t>limited to the typical TEAE PTs with a higher rate in the general population ≥65 years but</w:t>
      </w:r>
      <w:r>
        <w:t xml:space="preserve"> included MG and MG crisis thereby reflecting the inconsistent benefit in this age group. It is worth noting that MG severity tends to decrease with the age while the mortality of MG crisis increases with age.</w:t>
      </w:r>
    </w:p>
    <w:p w14:paraId="51E22AE6" w14:textId="37D4F390" w:rsidR="00191B70" w:rsidRDefault="00191B70" w:rsidP="00191B70">
      <w:r>
        <w:t xml:space="preserve">Another issue with efficacy is </w:t>
      </w:r>
      <w:r w:rsidR="006B6A4A">
        <w:t xml:space="preserve">the </w:t>
      </w:r>
      <w:r>
        <w:t xml:space="preserve">10 to 20% rate of spontaneous remission with considerable improvement or even complete remission of symptoms. This phenomenon is poorly understood and interferes with efficacy analyses in </w:t>
      </w:r>
      <w:proofErr w:type="spellStart"/>
      <w:r>
        <w:t>gMG</w:t>
      </w:r>
      <w:proofErr w:type="spellEnd"/>
      <w:r>
        <w:t xml:space="preserve"> trials.</w:t>
      </w:r>
    </w:p>
    <w:p w14:paraId="6C9492A4" w14:textId="7774BF75" w:rsidR="00191B70" w:rsidRDefault="00191B70" w:rsidP="00191B70">
      <w:r>
        <w:t xml:space="preserve">From a clinical point of view, an on-demand treatment strategy is supported over a chronic treatment strategy. With respect to efficacy this concerns potential loss of efficacy in the </w:t>
      </w:r>
      <w:r w:rsidRPr="003A135D">
        <w:t>treatment-free intervals or increased risk of ADA upon re-exposure in the on-demand study arm</w:t>
      </w:r>
      <w:r>
        <w:t xml:space="preserve"> in contrast to the continuous treatment arm.</w:t>
      </w:r>
    </w:p>
    <w:p w14:paraId="1ACA9CA9" w14:textId="50D04609" w:rsidR="00191B70" w:rsidRDefault="00744F21" w:rsidP="00191B70">
      <w:pPr>
        <w:pStyle w:val="Heading4"/>
      </w:pPr>
      <w:bookmarkStart w:id="88" w:name="_Toc204161828"/>
      <w:r>
        <w:t>S</w:t>
      </w:r>
      <w:r w:rsidR="00191B70">
        <w:t>afety</w:t>
      </w:r>
      <w:r>
        <w:t xml:space="preserve"> comments</w:t>
      </w:r>
      <w:bookmarkEnd w:id="88"/>
    </w:p>
    <w:p w14:paraId="69E8B544" w14:textId="51BD6234" w:rsidR="00191B70" w:rsidRDefault="00191B70" w:rsidP="00576A56">
      <w:r>
        <w:t>In study MG0003 the incidence of TEAEs was similar in the rozanolixizumab ≈7mg/kg and ≈10mg/kg groups (81.3% and 82.6%</w:t>
      </w:r>
      <w:r w:rsidR="00576A56">
        <w:t>, respectively</w:t>
      </w:r>
      <w:r>
        <w:t>) and lower in the placebo group (67.2%). Severe TEAEs were more frequent in rozanolixizumab ≈10</w:t>
      </w:r>
      <w:r w:rsidR="00576A56">
        <w:t> </w:t>
      </w:r>
      <w:r>
        <w:t>mg/kg (18.8%) than rozanolixizumab ≈7</w:t>
      </w:r>
      <w:r w:rsidR="00576A56">
        <w:t> </w:t>
      </w:r>
      <w:r>
        <w:t>mg/kg (4.7%) and placebo (4.5%). Participant discontinuations due to TEAEs were also reported more frequent in rozanolixizumab ≈10</w:t>
      </w:r>
      <w:r w:rsidR="00576A56">
        <w:t> </w:t>
      </w:r>
      <w:r>
        <w:t>mg/kg (7.2%) compared to rozanolixizumab ≈7</w:t>
      </w:r>
      <w:r w:rsidR="00576A56">
        <w:t> </w:t>
      </w:r>
      <w:r>
        <w:t>mg/kg (3.2%) and placebo (3.0%). The same pattern was seen in permanent and temporary discontinuation of Rystiggo due to TEAEs.</w:t>
      </w:r>
    </w:p>
    <w:p w14:paraId="1F7EE28C" w14:textId="696D38F5" w:rsidR="00191B70" w:rsidRDefault="00191B70" w:rsidP="00576A56">
      <w:r w:rsidRPr="003A135D">
        <w:t>In Pool S2, across all TEAE categories, the incidence of TEAEs were higher in the</w:t>
      </w:r>
      <w:r>
        <w:t xml:space="preserve"> rozanolixizumab ≈10</w:t>
      </w:r>
      <w:r w:rsidR="00576A56">
        <w:t> </w:t>
      </w:r>
      <w:r>
        <w:t>mg/kg compared to the ≈7mg/kg group.</w:t>
      </w:r>
    </w:p>
    <w:p w14:paraId="61C5DD77" w14:textId="7B513B7C" w:rsidR="00191B70" w:rsidRDefault="00191B70" w:rsidP="00576A56">
      <w:r w:rsidRPr="00C10E32">
        <w:t>In study MG0003 the most frequent TEAEs were reported in the SOCs of nervous system</w:t>
      </w:r>
      <w:r>
        <w:t xml:space="preserve"> disorders (57.8%, 47.8%, and 31.3% of study participants in the rozanolixizumab ≈7</w:t>
      </w:r>
      <w:r w:rsidR="00576A56">
        <w:t> </w:t>
      </w:r>
      <w:r>
        <w:t>mg/kg, rozanolixizumab ≈10</w:t>
      </w:r>
      <w:r w:rsidR="00576A56">
        <w:t> </w:t>
      </w:r>
      <w:r>
        <w:t>mg/kg, and placebo groups, respectively). Headache was the most frequent PT within the SOC (45.3%, 37.7%, and 19.4% of study participants in the rozanolixizumab ≈7</w:t>
      </w:r>
      <w:r w:rsidR="00576A56">
        <w:t> </w:t>
      </w:r>
      <w:r>
        <w:t>mg/kg, ≈10</w:t>
      </w:r>
      <w:r w:rsidR="00576A56">
        <w:t> </w:t>
      </w:r>
      <w:r>
        <w:t>mg/kg, and placebo groups, respectively). Further, severe TEAEs most frequently occurred in the SOC Nervous System Disorders (11.6% in ≈10</w:t>
      </w:r>
      <w:r w:rsidR="00576A56">
        <w:t> </w:t>
      </w:r>
      <w:r>
        <w:t>mg/kg, 3.1% in ≈7</w:t>
      </w:r>
      <w:r w:rsidR="00576A56">
        <w:t> </w:t>
      </w:r>
      <w:r>
        <w:t>mg/kg treatment groups and 3.0% in placebo</w:t>
      </w:r>
      <w:r w:rsidR="00576A56">
        <w:t xml:space="preserve"> group</w:t>
      </w:r>
      <w:r>
        <w:t>). Within this SOC, headache was the most common severe TEAE with 8.7% in the ≈10</w:t>
      </w:r>
      <w:r w:rsidR="00576A56">
        <w:t> </w:t>
      </w:r>
      <w:r>
        <w:t>mg/kg group and 1.6% in the ≈7</w:t>
      </w:r>
      <w:r w:rsidR="00576A56">
        <w:t> </w:t>
      </w:r>
      <w:r>
        <w:t>mg/kg treatment group.</w:t>
      </w:r>
    </w:p>
    <w:p w14:paraId="7ECDF871" w14:textId="252F99AC" w:rsidR="00191B70" w:rsidRDefault="00191B70" w:rsidP="00576A56">
      <w:r>
        <w:t>TEAEs for GI disturbances occurred in 31.3%, 27.5% and 19.4% of participants in the rozanolixizumab ≈7</w:t>
      </w:r>
      <w:r w:rsidR="00576A56">
        <w:t> </w:t>
      </w:r>
      <w:r>
        <w:t>mg/kg, ≈10</w:t>
      </w:r>
      <w:r w:rsidR="00576A56">
        <w:t> </w:t>
      </w:r>
      <w:r>
        <w:t>mg/kg, and placebo groups, respectively. The most common TEAEs in the rozanolixizumab groups compared with the placebo group were diarrhoea (20.3%), nausea (9.8%), vomiting (4.5%) and abdominal pain upper (3.8%) in the total rozanolixizumab group.</w:t>
      </w:r>
    </w:p>
    <w:p w14:paraId="3EC0FB91" w14:textId="3F9E4840" w:rsidR="00191B70" w:rsidRDefault="00191B70" w:rsidP="00576A56">
      <w:r>
        <w:lastRenderedPageBreak/>
        <w:t>As expected with the mechanism of action, 23.3% of rozanolixizumab-treated participants and 19.4% placebo-treated participants reported TEAEs within the infections and infestations SOC. Infections, decreased IgG, and diarrhoea incidence was higher with rozanolixizumab ≈10</w:t>
      </w:r>
      <w:r w:rsidR="00576A56">
        <w:t> </w:t>
      </w:r>
      <w:r>
        <w:t>mg/kg group (30.4%) compared rozanolixizumab ≈7</w:t>
      </w:r>
      <w:r w:rsidR="00576A56">
        <w:t> </w:t>
      </w:r>
      <w:r>
        <w:t>mg/kg (15.6%).</w:t>
      </w:r>
    </w:p>
    <w:p w14:paraId="0C7FAE8A" w14:textId="324D2F54" w:rsidR="00191B70" w:rsidRDefault="00191B70" w:rsidP="00576A56">
      <w:r>
        <w:t>TEAEs of hypersensitivity occurred in 10.9%, 5.8% and 1.5% of participant in the rozanolixizumab ≈7</w:t>
      </w:r>
      <w:r w:rsidR="00576A56">
        <w:t> </w:t>
      </w:r>
      <w:r>
        <w:t>mg/kg, ≈10</w:t>
      </w:r>
      <w:r w:rsidR="00576A56">
        <w:t> </w:t>
      </w:r>
      <w:r>
        <w:t>mg/kg, and placebo groups, respectively. All events were mild or moderate in severity. Injection site reactions occurred in 6.3%, 5.8% and 3.0% of study participants in the rozanolixizumab ≈7</w:t>
      </w:r>
      <w:r w:rsidR="00576A56">
        <w:t> </w:t>
      </w:r>
      <w:r>
        <w:t>mg/kg, ≈10</w:t>
      </w:r>
      <w:r w:rsidR="00576A56">
        <w:t> </w:t>
      </w:r>
      <w:r>
        <w:t>mg/kg group and placebo groups, respectively.</w:t>
      </w:r>
    </w:p>
    <w:p w14:paraId="195794D7" w14:textId="2DDFAA37" w:rsidR="00191B70" w:rsidRDefault="00191B70" w:rsidP="00576A56">
      <w:r>
        <w:t>In Pool S2 the most common TEAEs across both dose groups were headache (42.0% vs. 40.6</w:t>
      </w:r>
      <w:r w:rsidR="00576A56">
        <w:t>%</w:t>
      </w:r>
      <w:r>
        <w:t xml:space="preserve"> of study participants), diarrhoea (22.9% vs. 22.6%), pyrexia (18.3% vs. 10.5</w:t>
      </w:r>
      <w:r w:rsidR="00576A56">
        <w:t>%</w:t>
      </w:r>
      <w:r>
        <w:t>), nausea (14.5% vs. 9.8%), COVID-19 infection (11.5% vs. 8.3%), arthralgia (9.2% vs. 6.8%), and blood IgG decreased (10.7% vs. 4.5%). Myasthenia gravis was reported in 8.4% and 5.3% in the rozanolixizumab ≈10</w:t>
      </w:r>
      <w:r w:rsidR="00576A56">
        <w:t> </w:t>
      </w:r>
      <w:r>
        <w:t>mg/kg group and the rozanolixizumab ≈7</w:t>
      </w:r>
      <w:r w:rsidR="00576A56">
        <w:t> </w:t>
      </w:r>
      <w:r>
        <w:t>mg/kg group, respectively. The most frequently reported severe TEAEs in the total S2 group were myasthenia gravis (5.9%) and headache (4.3%). For both PTs the frequency was higher in the ≈10</w:t>
      </w:r>
      <w:r w:rsidR="00576A56">
        <w:t> </w:t>
      </w:r>
      <w:r>
        <w:t>mg/kg dosing group compared to ≈7</w:t>
      </w:r>
      <w:r w:rsidR="00576A56">
        <w:t> </w:t>
      </w:r>
      <w:r>
        <w:t>mg/kg. The incidence of serious TEAEs was higher in the rozanolixizumab ≈10</w:t>
      </w:r>
      <w:r w:rsidR="00576A56">
        <w:t> </w:t>
      </w:r>
      <w:r>
        <w:t>mg/kg than in the ≈7</w:t>
      </w:r>
      <w:r w:rsidR="00576A56">
        <w:t> </w:t>
      </w:r>
      <w:r>
        <w:t>mg/kg dose group (22.1% vs. 10.5% participants). This difference was predominantly driven by serious TEAEs of myasthenia gravis (6.1% vs. 3.0%) and myasthenic crisis (3.1% vs. 0).</w:t>
      </w:r>
    </w:p>
    <w:p w14:paraId="4FF5B221" w14:textId="114EA43F" w:rsidR="00191B70" w:rsidRDefault="00191B70" w:rsidP="00576A56">
      <w:r>
        <w:t xml:space="preserve">An event of aseptic meningitis in MG0007 was assessed as related by the sponsor. Overall, there </w:t>
      </w:r>
      <w:r w:rsidR="00576A56">
        <w:t xml:space="preserve">have </w:t>
      </w:r>
      <w:r>
        <w:t xml:space="preserve">been 3 cases of aseptic meningitis in the clinical development program, all assessed as related to study </w:t>
      </w:r>
      <w:proofErr w:type="gramStart"/>
      <w:r>
        <w:t>drug..</w:t>
      </w:r>
      <w:proofErr w:type="gramEnd"/>
      <w:r>
        <w:t xml:space="preserve"> Aseptic meningitis is included in the safety specification as an important identified risk.</w:t>
      </w:r>
    </w:p>
    <w:p w14:paraId="1FBF7468" w14:textId="574003C8" w:rsidR="00191B70" w:rsidRDefault="00576A56" w:rsidP="00576A56">
      <w:r>
        <w:t>Five</w:t>
      </w:r>
      <w:r w:rsidR="00191B70">
        <w:t xml:space="preserve"> deaths were reported in study MG0007. All were assessed as unrelated to study treatment by investigator and sponsor. Overall, 4 of 5 death</w:t>
      </w:r>
      <w:r>
        <w:t>s</w:t>
      </w:r>
      <w:r w:rsidR="00191B70">
        <w:t xml:space="preserve"> were associated with infections. </w:t>
      </w:r>
      <w:r>
        <w:t>Three</w:t>
      </w:r>
      <w:r w:rsidR="00191B70">
        <w:t xml:space="preserve"> out of the 4 infections were in the participants receiving rozanolixizumab 10</w:t>
      </w:r>
      <w:r>
        <w:t> </w:t>
      </w:r>
      <w:r w:rsidR="00191B70">
        <w:t>mg/kg.</w:t>
      </w:r>
    </w:p>
    <w:p w14:paraId="0EE17A26" w14:textId="506E44FA" w:rsidR="00191B70" w:rsidRDefault="00191B70" w:rsidP="00576A56">
      <w:r w:rsidRPr="003A4D66">
        <w:t xml:space="preserve">The incidence of ADA and </w:t>
      </w:r>
      <w:proofErr w:type="spellStart"/>
      <w:r w:rsidRPr="003A4D66">
        <w:t>N</w:t>
      </w:r>
      <w:r w:rsidR="000C520C" w:rsidRPr="003A4D66">
        <w:t>A</w:t>
      </w:r>
      <w:r w:rsidRPr="003A4D66">
        <w:t>b</w:t>
      </w:r>
      <w:proofErr w:type="spellEnd"/>
      <w:r w:rsidRPr="003A4D66">
        <w:t xml:space="preserve"> were very high and increased with repeated cyclic treatment. Up</w:t>
      </w:r>
      <w:r>
        <w:t xml:space="preserve"> </w:t>
      </w:r>
      <w:r w:rsidRPr="0076740F">
        <w:t xml:space="preserve">to Day 43, the proportion of study participants who developed ADA increased from Cycle 1 (TE-POS: 27.1%) to Cycle 5 (65.0%) and the proportion of study participants that were </w:t>
      </w:r>
      <w:proofErr w:type="spellStart"/>
      <w:r w:rsidRPr="0076740F">
        <w:t>NAb</w:t>
      </w:r>
      <w:proofErr w:type="spellEnd"/>
      <w:r w:rsidRPr="0076740F">
        <w:t>-POS</w:t>
      </w:r>
      <w:r>
        <w:t xml:space="preserve"> increased from Cycle 1 (TE-POS, </w:t>
      </w:r>
      <w:proofErr w:type="spellStart"/>
      <w:r>
        <w:t>NAb</w:t>
      </w:r>
      <w:proofErr w:type="spellEnd"/>
      <w:r>
        <w:t xml:space="preserve">-POS: 10.3%) to Cycle 5 (50.0%). Further, an increase in ADA and </w:t>
      </w:r>
      <w:proofErr w:type="spellStart"/>
      <w:r>
        <w:t>NAb</w:t>
      </w:r>
      <w:proofErr w:type="spellEnd"/>
      <w:r>
        <w:t xml:space="preserve"> incidence was observed up to Day 99 between Cycles 1 and 2: the proportion of study participants who developed ADA (TE-POS) increased from 34.8% in Cycle 1 to 45.6% in Cycle 2; the proportion of study participants that were </w:t>
      </w:r>
      <w:proofErr w:type="spellStart"/>
      <w:r>
        <w:t>NAb</w:t>
      </w:r>
      <w:proofErr w:type="spellEnd"/>
      <w:r>
        <w:t xml:space="preserve"> positive (TE-POS, </w:t>
      </w:r>
      <w:proofErr w:type="spellStart"/>
      <w:r>
        <w:t>NAb</w:t>
      </w:r>
      <w:proofErr w:type="spellEnd"/>
      <w:r>
        <w:t>-POS) increased from 19.4% in Cycle 1 to 27.8% in Cycle 2.</w:t>
      </w:r>
    </w:p>
    <w:p w14:paraId="7B17B867" w14:textId="1B20E548" w:rsidR="00191B70" w:rsidRDefault="00191B70" w:rsidP="00886710">
      <w:pPr>
        <w:pStyle w:val="Heading4"/>
      </w:pPr>
      <w:bookmarkStart w:id="89" w:name="_Toc204161829"/>
      <w:r>
        <w:t xml:space="preserve">Safety </w:t>
      </w:r>
      <w:r w:rsidR="008F1D9E">
        <w:t>d</w:t>
      </w:r>
      <w:r>
        <w:t>ata limitation</w:t>
      </w:r>
      <w:bookmarkEnd w:id="89"/>
    </w:p>
    <w:p w14:paraId="580A34E3" w14:textId="5B209E6C" w:rsidR="00191B70" w:rsidRDefault="00191B70" w:rsidP="00191B70">
      <w:r>
        <w:t>Pivotal study MG0003 was limited to 16</w:t>
      </w:r>
      <w:r w:rsidR="00886710">
        <w:t> </w:t>
      </w:r>
      <w:proofErr w:type="gramStart"/>
      <w:r>
        <w:t>weeks</w:t>
      </w:r>
      <w:proofErr w:type="gramEnd"/>
      <w:r>
        <w:t xml:space="preserve"> and many subjects had an early roll-over (after Day 43) into either of the OLE studies MG0004 and MG0007. This limits the meaningfulness of MG0003 safety data. Regarding the assessment of long-term safety risks in OLE, it should also be noted that the number of subjects treated over 5 cycles is limited to 46 and over 7 cycles to 17</w:t>
      </w:r>
      <w:r w:rsidR="00886710">
        <w:t> </w:t>
      </w:r>
      <w:r>
        <w:t>subjects. This limits the reliability of the safety data</w:t>
      </w:r>
      <w:r w:rsidR="00886710">
        <w:t>.</w:t>
      </w:r>
    </w:p>
    <w:p w14:paraId="422D804F" w14:textId="0D6A8807" w:rsidR="00191B70" w:rsidRPr="00191B70" w:rsidRDefault="00191B70" w:rsidP="00191B70">
      <w:r>
        <w:t>In OLE studies, different treatment regimens were investigated (chronic weekly use and repeated cyclic use). Due to the time overlap of both studies with roll-over of MG0004 patients to MG0007 after stop of MG0004, the exposure is not consistent across patients in MG0007.</w:t>
      </w:r>
    </w:p>
    <w:p w14:paraId="77DE2655" w14:textId="77777777" w:rsidR="00C22214" w:rsidRDefault="00C22214" w:rsidP="00C22214">
      <w:pPr>
        <w:pStyle w:val="Heading4"/>
      </w:pPr>
      <w:bookmarkStart w:id="90" w:name="_Toc98931932"/>
      <w:bookmarkStart w:id="91" w:name="_Toc204161830"/>
      <w:r>
        <w:lastRenderedPageBreak/>
        <w:t>Delegate’s considerations</w:t>
      </w:r>
      <w:bookmarkEnd w:id="90"/>
      <w:bookmarkEnd w:id="91"/>
    </w:p>
    <w:p w14:paraId="590749CF" w14:textId="77777777" w:rsidR="00975CC8" w:rsidRDefault="00975CC8" w:rsidP="00975CC8">
      <w:r>
        <w:t>Overall, the submitted data and subsequent responses by the sponsor, support the registration for RYSTIGGO (rozanolixizumab).</w:t>
      </w:r>
    </w:p>
    <w:p w14:paraId="07A7822A" w14:textId="77777777" w:rsidR="00975CC8" w:rsidRDefault="00975CC8" w:rsidP="00975CC8">
      <w:r>
        <w:t>The sponsor has proposed following therapeutic indication for RYSTIGGO:</w:t>
      </w:r>
    </w:p>
    <w:p w14:paraId="40393151" w14:textId="77777777" w:rsidR="00975CC8" w:rsidRDefault="00975CC8" w:rsidP="00975CC8">
      <w:pPr>
        <w:pStyle w:val="ListBullet"/>
      </w:pPr>
      <w:r>
        <w:t>Treatment of generalised Myasthenia gravis in adult patients.</w:t>
      </w:r>
    </w:p>
    <w:p w14:paraId="6D25C2C5" w14:textId="77777777" w:rsidR="00975CC8" w:rsidRDefault="00975CC8" w:rsidP="00975CC8">
      <w:r>
        <w:t>The Delegate, however, recommends the following therapeutic indication for Rystiggo, as the submitted data does not support the sponsor’s proposed broad indication:</w:t>
      </w:r>
    </w:p>
    <w:p w14:paraId="5CADF14E" w14:textId="77777777" w:rsidR="00975CC8" w:rsidRDefault="00975CC8" w:rsidP="00975CC8">
      <w:pPr>
        <w:pStyle w:val="ListBullet"/>
      </w:pPr>
      <w:r>
        <w:t>Rystiggo is indicated as an add-on to standard therapy for the treatment of generalised myasthenia gravis (</w:t>
      </w:r>
      <w:proofErr w:type="spellStart"/>
      <w:r>
        <w:t>gMG</w:t>
      </w:r>
      <w:proofErr w:type="spellEnd"/>
      <w:r>
        <w:t>) in adult patients who are anti-acetylcholine receptor (</w:t>
      </w:r>
      <w:proofErr w:type="spellStart"/>
      <w:r>
        <w:t>AChR</w:t>
      </w:r>
      <w:proofErr w:type="spellEnd"/>
      <w:r>
        <w:t>) or anti-muscle-specific tyrosine kinase (</w:t>
      </w:r>
      <w:proofErr w:type="spellStart"/>
      <w:r>
        <w:t>MuSK</w:t>
      </w:r>
      <w:proofErr w:type="spellEnd"/>
      <w:r>
        <w:t>) antibody positive.</w:t>
      </w:r>
    </w:p>
    <w:p w14:paraId="180F335A" w14:textId="10DA6A9B" w:rsidR="00975CC8" w:rsidRDefault="00975CC8" w:rsidP="00975CC8">
      <w:r>
        <w:t xml:space="preserve">The sponsor’s proposed broad indication is not fully supported by the provided efficacy and safety data. The Delegate’s recommended indication reflects the patient population covered in the pivotal study MG0003, the majority of whom were on background medications (Rystiggo use </w:t>
      </w:r>
      <w:r w:rsidRPr="00097730">
        <w:t>in MG0003 was as add</w:t>
      </w:r>
      <w:r w:rsidR="00097730" w:rsidRPr="00097730">
        <w:t>-</w:t>
      </w:r>
      <w:r w:rsidRPr="00097730">
        <w:t>on therapy) and anti-acetylcholine receptor (</w:t>
      </w:r>
      <w:proofErr w:type="spellStart"/>
      <w:r w:rsidRPr="00097730">
        <w:t>AChR</w:t>
      </w:r>
      <w:proofErr w:type="spellEnd"/>
      <w:r w:rsidRPr="00097730">
        <w:t>) or anti-muscle-</w:t>
      </w:r>
      <w:r>
        <w:t>specific tyrosine kinase (</w:t>
      </w:r>
      <w:proofErr w:type="spellStart"/>
      <w:r>
        <w:t>MuSK</w:t>
      </w:r>
      <w:proofErr w:type="spellEnd"/>
      <w:r>
        <w:t>) antibody positive.</w:t>
      </w:r>
    </w:p>
    <w:p w14:paraId="3916F296" w14:textId="77777777" w:rsidR="00C22214" w:rsidRDefault="00C22214" w:rsidP="00C22214">
      <w:pPr>
        <w:pStyle w:val="Heading4"/>
      </w:pPr>
      <w:bookmarkStart w:id="92" w:name="_Toc98931933"/>
      <w:bookmarkStart w:id="93" w:name="_Toc204161831"/>
      <w:r w:rsidRPr="00D23139">
        <w:t>Proposed action</w:t>
      </w:r>
      <w:bookmarkEnd w:id="92"/>
      <w:bookmarkEnd w:id="93"/>
    </w:p>
    <w:p w14:paraId="5E561912" w14:textId="563D0E94" w:rsidR="00975CC8" w:rsidRPr="00975CC8" w:rsidRDefault="00975CC8" w:rsidP="00975CC8">
      <w:r>
        <w:t>The final decision will be made following the ACM discussion and satisfactory resolutions of the PI issues/recommendation.</w:t>
      </w:r>
    </w:p>
    <w:p w14:paraId="318CFABC" w14:textId="77777777" w:rsidR="00C22214" w:rsidRPr="00F73346" w:rsidRDefault="00C22214" w:rsidP="00C22214">
      <w:pPr>
        <w:pStyle w:val="Heading4"/>
      </w:pPr>
      <w:bookmarkStart w:id="94" w:name="_Toc98931936"/>
      <w:bookmarkStart w:id="95" w:name="_Toc204161832"/>
      <w:bookmarkStart w:id="96" w:name="_Toc247691532"/>
      <w:bookmarkStart w:id="97" w:name="_Toc314842516"/>
      <w:r w:rsidRPr="00F73346">
        <w:t>Advisory Committee considerations</w:t>
      </w:r>
      <w:bookmarkEnd w:id="94"/>
      <w:bookmarkEnd w:id="95"/>
    </w:p>
    <w:p w14:paraId="087BB9CB" w14:textId="4E5D3ECB" w:rsidR="00C22214" w:rsidRPr="00BD5DBD" w:rsidRDefault="00C22214" w:rsidP="00C22214">
      <w:pPr>
        <w:rPr>
          <w:bCs/>
          <w:szCs w:val="22"/>
        </w:rPr>
      </w:pPr>
      <w:r w:rsidRPr="00BD5DBD">
        <w:rPr>
          <w:bCs/>
          <w:szCs w:val="22"/>
        </w:rPr>
        <w:t xml:space="preserve">The </w:t>
      </w:r>
      <w:hyperlink r:id="rId50"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5977C121" w14:textId="77777777" w:rsidR="006D6FA7" w:rsidRPr="003D5EDF" w:rsidRDefault="006D6FA7" w:rsidP="003D5EDF">
      <w:pPr>
        <w:pStyle w:val="DelegatesQuestions"/>
      </w:pPr>
      <w:r w:rsidRPr="003D5EDF">
        <w:t>Does the ACM agree that overall benefit to risk is favourable?</w:t>
      </w:r>
    </w:p>
    <w:p w14:paraId="623904C6" w14:textId="2CD0408C" w:rsidR="006D6FA7" w:rsidRDefault="006D6FA7" w:rsidP="006D6FA7">
      <w:r>
        <w:t xml:space="preserve">The ACM agreed that the efficacy of rozanolixizumab is clearly established, with clear benefit to patients with </w:t>
      </w:r>
      <w:proofErr w:type="spellStart"/>
      <w:r>
        <w:t>gMG</w:t>
      </w:r>
      <w:proofErr w:type="spellEnd"/>
      <w:r>
        <w:t>. The ACM noted that the identified risks are manageable and outweigh risks such as the inability to work, which is significantly worse.</w:t>
      </w:r>
    </w:p>
    <w:p w14:paraId="407919EA" w14:textId="77777777" w:rsidR="006D6FA7" w:rsidRDefault="006D6FA7" w:rsidP="006D6FA7">
      <w:r>
        <w:t>The ACM further noted the need for better early therapy to improve acute presentation of MG and more effective therapy for patients who have not improved despite existing therapies. The ACM were of the view that it is helpful to have a range of options for MG, as patients vary in their response and side effects.</w:t>
      </w:r>
    </w:p>
    <w:p w14:paraId="00E3F4C3" w14:textId="0154BD0C" w:rsidR="006D6FA7" w:rsidRDefault="006D6FA7" w:rsidP="00F06F1D">
      <w:pPr>
        <w:pStyle w:val="DelegatesQuestions"/>
      </w:pPr>
      <w:r>
        <w:t xml:space="preserve">Does the ACM agree with sponsor’s proposed </w:t>
      </w:r>
      <w:r w:rsidR="00A46194">
        <w:t>‘</w:t>
      </w:r>
      <w:r>
        <w:t xml:space="preserve">broad’ </w:t>
      </w:r>
      <w:r w:rsidR="00A46194">
        <w:t>i</w:t>
      </w:r>
      <w:r>
        <w:t>ndication?</w:t>
      </w:r>
    </w:p>
    <w:p w14:paraId="44318CA5" w14:textId="77777777" w:rsidR="006D6FA7" w:rsidRDefault="006D6FA7" w:rsidP="006D6FA7">
      <w:r>
        <w:t xml:space="preserve">The ACM noted that the Delegate’s recommended indication aligns with the indications for </w:t>
      </w:r>
      <w:proofErr w:type="spellStart"/>
      <w:r w:rsidRPr="001342F2">
        <w:t>ravulizumab</w:t>
      </w:r>
      <w:proofErr w:type="spellEnd"/>
      <w:r w:rsidRPr="001342F2">
        <w:t xml:space="preserve"> and </w:t>
      </w:r>
      <w:proofErr w:type="spellStart"/>
      <w:r w:rsidRPr="001342F2">
        <w:t>zilucoplan</w:t>
      </w:r>
      <w:proofErr w:type="spellEnd"/>
      <w:r>
        <w:t>. However, the ACM advised that ‘add-on to standard therapy’ lacks a clear definition and may place patients at unnecessary risk of being on combination immunosuppression therapy. The ACM advised ‘inadequately controlled by oral medications’ as an alternative.</w:t>
      </w:r>
    </w:p>
    <w:p w14:paraId="3BED6B70" w14:textId="77777777" w:rsidR="006D6FA7" w:rsidRDefault="006D6FA7" w:rsidP="006D6FA7">
      <w:r>
        <w:t>The ACM also noted that a minority of patients are antibody negative and some of these patients do badly.</w:t>
      </w:r>
    </w:p>
    <w:p w14:paraId="7675F5ED" w14:textId="77777777" w:rsidR="00CA7747" w:rsidRDefault="00CA7747" w:rsidP="006D6FA7"/>
    <w:p w14:paraId="1E3F704C" w14:textId="573A624E" w:rsidR="006D6FA7" w:rsidRDefault="006D6FA7" w:rsidP="00F06F1D">
      <w:pPr>
        <w:pStyle w:val="DelegatesQuestions"/>
      </w:pPr>
      <w:r>
        <w:lastRenderedPageBreak/>
        <w:t>Does the ACM agree with the dosing regimen?</w:t>
      </w:r>
    </w:p>
    <w:p w14:paraId="02C3C777" w14:textId="4F00891E" w:rsidR="006D6FA7" w:rsidRDefault="006D6FA7" w:rsidP="006D6FA7">
      <w:r>
        <w:t>The ACM agreed with the proposed dosing regimen as per the MG0003 trial. The ACM advised that 7</w:t>
      </w:r>
      <w:r w:rsidR="00553938">
        <w:t> </w:t>
      </w:r>
      <w:r>
        <w:t>mg per kg per week is reasonable and prescribers should treat to get an effect and then review.</w:t>
      </w:r>
    </w:p>
    <w:p w14:paraId="2BC7C805" w14:textId="7A5D6EFE" w:rsidR="006D6FA7" w:rsidRDefault="006D6FA7" w:rsidP="00F06F1D">
      <w:pPr>
        <w:pStyle w:val="DelegatesQuestions"/>
      </w:pPr>
      <w:r>
        <w:t>The committee is also requested to provide advice on Product Information or any other issues that it thinks may be relevant to this application?</w:t>
      </w:r>
    </w:p>
    <w:p w14:paraId="2A512C9B" w14:textId="3A6549CE" w:rsidR="006D6FA7" w:rsidRDefault="006D6FA7" w:rsidP="006D6FA7">
      <w:r>
        <w:t xml:space="preserve">The ACM noted that it is difficult for patients and doctors to distinguish aseptic meningitis from </w:t>
      </w:r>
      <w:r w:rsidRPr="00723C15">
        <w:t>a migraine. The ACM advised that the PI and CMI should include more explicit and up</w:t>
      </w:r>
      <w:r w:rsidR="00723C15" w:rsidRPr="00723C15">
        <w:t>-</w:t>
      </w:r>
      <w:r w:rsidRPr="00723C15">
        <w:t>front</w:t>
      </w:r>
      <w:r>
        <w:t xml:space="preserve"> warnings about aseptic meningitis and how to differentiate this from migraine.</w:t>
      </w:r>
    </w:p>
    <w:p w14:paraId="0728F70D" w14:textId="56E7B43A" w:rsidR="006D6FA7" w:rsidRDefault="006D6FA7" w:rsidP="006D6FA7">
      <w:r>
        <w:t>The ACM noted that the CMI combines information on the disease and drug in the same sentence, which is confusing. The ACM advised splitting this respective information into 2</w:t>
      </w:r>
      <w:r w:rsidR="00C72077">
        <w:t> </w:t>
      </w:r>
      <w:r>
        <w:t>separate sentences.</w:t>
      </w:r>
    </w:p>
    <w:p w14:paraId="1B418BCD" w14:textId="499A5ECD" w:rsidR="006D6FA7" w:rsidRPr="006D6FA7" w:rsidRDefault="006D6FA7" w:rsidP="006D6FA7">
      <w:r>
        <w:t>The ACM noted that additional long-term data is needed to determine unintended adverse effects of treatments that deplete immune cells.</w:t>
      </w:r>
    </w:p>
    <w:p w14:paraId="5291EA2A" w14:textId="05100475" w:rsidR="00C22214" w:rsidRPr="00F73346" w:rsidRDefault="005E6391" w:rsidP="00C22214">
      <w:pPr>
        <w:pStyle w:val="Heading5"/>
      </w:pPr>
      <w:r>
        <w:t>ACM c</w:t>
      </w:r>
      <w:r w:rsidR="00C22214" w:rsidRPr="00F73346">
        <w:t>onclusion</w:t>
      </w:r>
    </w:p>
    <w:p w14:paraId="100B27A1" w14:textId="77777777" w:rsidR="003F78BB" w:rsidRDefault="003F78BB" w:rsidP="003F78BB">
      <w:r>
        <w:t>The ACM considered this product to have an overall positive benefit-risk profile for the indication:</w:t>
      </w:r>
    </w:p>
    <w:p w14:paraId="16FBF946" w14:textId="77777777" w:rsidR="003F78BB" w:rsidRDefault="003F78BB" w:rsidP="003F78BB">
      <w:pPr>
        <w:ind w:left="720"/>
      </w:pPr>
      <w:r>
        <w:t>RYSTIGGO is indicated for:</w:t>
      </w:r>
    </w:p>
    <w:p w14:paraId="5B96A53B" w14:textId="77777777" w:rsidR="003F78BB" w:rsidRDefault="003F78BB" w:rsidP="003F78BB">
      <w:pPr>
        <w:ind w:left="720"/>
      </w:pPr>
      <w:r>
        <w:t>Generalised myasthenia gravis (</w:t>
      </w:r>
      <w:proofErr w:type="spellStart"/>
      <w:r>
        <w:t>gMG</w:t>
      </w:r>
      <w:proofErr w:type="spellEnd"/>
      <w:r>
        <w:t>)</w:t>
      </w:r>
    </w:p>
    <w:p w14:paraId="6C018D97" w14:textId="3D4DA81E" w:rsidR="003F78BB" w:rsidRPr="003F78BB" w:rsidRDefault="003F78BB" w:rsidP="003F78BB">
      <w:pPr>
        <w:ind w:left="720"/>
      </w:pPr>
      <w:r>
        <w:t>Rystiggo is indicated for the treatment of generalised myasthenia gravis (</w:t>
      </w:r>
      <w:proofErr w:type="spellStart"/>
      <w:r>
        <w:t>gMG</w:t>
      </w:r>
      <w:proofErr w:type="spellEnd"/>
      <w:r>
        <w:t>) in adult patients who are anti-acetylcholine receptor (</w:t>
      </w:r>
      <w:proofErr w:type="spellStart"/>
      <w:r>
        <w:t>AChR</w:t>
      </w:r>
      <w:proofErr w:type="spellEnd"/>
      <w:r>
        <w:t xml:space="preserve">) or anti-muscle-specific tyrosine </w:t>
      </w:r>
      <w:r w:rsidRPr="00F95FC8">
        <w:t>kinase (</w:t>
      </w:r>
      <w:proofErr w:type="spellStart"/>
      <w:r w:rsidRPr="00F95FC8">
        <w:t>MuSK</w:t>
      </w:r>
      <w:proofErr w:type="spellEnd"/>
      <w:r w:rsidRPr="00F95FC8">
        <w:t>) antibody positive and inadequately controlled by oral medications.</w:t>
      </w:r>
    </w:p>
    <w:p w14:paraId="307F236C" w14:textId="7345D0C0" w:rsidR="00C22214" w:rsidRPr="002E238E" w:rsidRDefault="005E6391" w:rsidP="00C22214">
      <w:pPr>
        <w:pStyle w:val="Heading2"/>
      </w:pPr>
      <w:bookmarkStart w:id="98" w:name="_Toc103679300"/>
      <w:bookmarkStart w:id="99" w:name="_Toc204161833"/>
      <w:r>
        <w:t>Assessment o</w:t>
      </w:r>
      <w:r w:rsidR="00C22214">
        <w:t>utcome</w:t>
      </w:r>
      <w:bookmarkEnd w:id="96"/>
      <w:bookmarkEnd w:id="97"/>
      <w:bookmarkEnd w:id="98"/>
      <w:bookmarkEnd w:id="99"/>
    </w:p>
    <w:p w14:paraId="4EF22939" w14:textId="11A092E7"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8F652F" w:rsidRPr="00E005B3">
        <w:t>R</w:t>
      </w:r>
      <w:r w:rsidR="008F652F">
        <w:t>ystiggo</w:t>
      </w:r>
      <w:r w:rsidR="008F652F" w:rsidRPr="00E005B3">
        <w:t xml:space="preserve"> </w:t>
      </w:r>
      <w:r w:rsidR="008F652F">
        <w:t>(</w:t>
      </w:r>
      <w:r w:rsidR="008F652F" w:rsidRPr="00E005B3">
        <w:t>rozanolixizumab</w:t>
      </w:r>
      <w:r w:rsidR="008F652F">
        <w:t>)</w:t>
      </w:r>
      <w:r w:rsidR="008F652F" w:rsidRPr="00E005B3">
        <w:t xml:space="preserve"> 140</w:t>
      </w:r>
      <w:r w:rsidR="008F652F">
        <w:t> </w:t>
      </w:r>
      <w:r w:rsidR="008F652F" w:rsidRPr="00E005B3">
        <w:t xml:space="preserve">mg/mL solution for injection for infusion </w:t>
      </w:r>
      <w:r w:rsidR="008F652F">
        <w:t xml:space="preserve">in </w:t>
      </w:r>
      <w:r w:rsidR="008F652F" w:rsidRPr="00E005B3">
        <w:t>vial</w:t>
      </w:r>
      <w:r w:rsidR="008F652F">
        <w:t>s</w:t>
      </w:r>
      <w:r w:rsidRPr="0017005C">
        <w:t xml:space="preserve"> indicated for:</w:t>
      </w:r>
    </w:p>
    <w:p w14:paraId="3B245AB5" w14:textId="5CD4107E" w:rsidR="00C22214" w:rsidRPr="00BD5DBD" w:rsidRDefault="00714C14" w:rsidP="00714C14">
      <w:pPr>
        <w:pStyle w:val="Indication"/>
      </w:pPr>
      <w:r>
        <w:t>Rystiggo is indicated as an add-on to standard therapy for the treatment of generalised myasthenia gravis (</w:t>
      </w:r>
      <w:proofErr w:type="spellStart"/>
      <w:r>
        <w:t>gMG</w:t>
      </w:r>
      <w:proofErr w:type="spellEnd"/>
      <w:r>
        <w:t>) in adult patients who are anti-acetylcholine receptor (</w:t>
      </w:r>
      <w:proofErr w:type="spellStart"/>
      <w:r>
        <w:t>AChR</w:t>
      </w:r>
      <w:proofErr w:type="spellEnd"/>
      <w:r>
        <w:t>) or anti-muscle-specific tyrosine kinase (</w:t>
      </w:r>
      <w:proofErr w:type="spellStart"/>
      <w:r>
        <w:t>MuSK</w:t>
      </w:r>
      <w:proofErr w:type="spellEnd"/>
      <w:r>
        <w:t>) antibody positive.</w:t>
      </w:r>
    </w:p>
    <w:p w14:paraId="0D732DA4" w14:textId="77777777" w:rsidR="00854D98" w:rsidRPr="00D23139" w:rsidRDefault="00854D98" w:rsidP="00854D98">
      <w:pPr>
        <w:pStyle w:val="Heading3"/>
      </w:pPr>
      <w:bookmarkStart w:id="100" w:name="_Toc103679301"/>
      <w:bookmarkStart w:id="101" w:name="_Toc204161834"/>
      <w:r w:rsidRPr="00D23139">
        <w:t>Specific conditions of registration applying to these goods</w:t>
      </w:r>
      <w:bookmarkEnd w:id="100"/>
      <w:bookmarkEnd w:id="101"/>
    </w:p>
    <w:p w14:paraId="4115A965" w14:textId="161B67A7" w:rsidR="00B55C07" w:rsidRPr="00B55C07" w:rsidRDefault="00B55C07" w:rsidP="00E01DEF">
      <w:pPr>
        <w:pStyle w:val="ListBullet"/>
      </w:pPr>
      <w:r w:rsidRPr="00B55C07">
        <w:t>Rystiggo (rozanolixizumab) is to be included in the Black Triangle Scheme. The PI and</w:t>
      </w:r>
      <w:r w:rsidR="00264794">
        <w:t xml:space="preserve"> </w:t>
      </w:r>
      <w:r w:rsidRPr="00B55C07">
        <w:t>CMI for Rystiggo must include the black triangle symbol and mandatory accompanying</w:t>
      </w:r>
      <w:r w:rsidR="00264794">
        <w:t xml:space="preserve"> </w:t>
      </w:r>
      <w:r w:rsidRPr="00B55C07">
        <w:t xml:space="preserve">text for </w:t>
      </w:r>
      <w:r w:rsidR="000A6368">
        <w:t>5 </w:t>
      </w:r>
      <w:r w:rsidRPr="00B55C07">
        <w:t>years, which starts from the date of first supply of the product.</w:t>
      </w:r>
    </w:p>
    <w:p w14:paraId="564FDC4A" w14:textId="72584C47" w:rsidR="00B55C07" w:rsidRPr="00B55C07" w:rsidRDefault="00B55C07" w:rsidP="00E01DEF">
      <w:pPr>
        <w:pStyle w:val="ListBullet"/>
      </w:pPr>
      <w:r w:rsidRPr="00B55C07">
        <w:t>The Rystiggo EU-Risk Management Plan (RMP) (version 1.0, dated 7 November 2023,</w:t>
      </w:r>
      <w:r w:rsidR="00264794">
        <w:t xml:space="preserve"> </w:t>
      </w:r>
      <w:r w:rsidRPr="00B55C07">
        <w:t>data lock point 8 July 2022), with Australian Specific Annex (version 2.0, dated 3 June</w:t>
      </w:r>
      <w:r w:rsidR="00264794">
        <w:t xml:space="preserve"> </w:t>
      </w:r>
      <w:r w:rsidRPr="00B55C07">
        <w:t>2024), included with submission PM-2023-04561-1-1, and any subsequent revisions,</w:t>
      </w:r>
      <w:r w:rsidR="00264794">
        <w:t xml:space="preserve"> </w:t>
      </w:r>
      <w:r w:rsidRPr="00B55C07">
        <w:t>as agreed with the TGA will be implemented in Australia.</w:t>
      </w:r>
    </w:p>
    <w:p w14:paraId="47684540" w14:textId="3A0BBFB3" w:rsidR="00B55C07" w:rsidRPr="00B55C07" w:rsidRDefault="00B55C07" w:rsidP="00BD6D87">
      <w:pPr>
        <w:ind w:left="360"/>
      </w:pPr>
      <w:r w:rsidRPr="00B55C07">
        <w:t>An obligatory component of risk management plans is routine pharmacovigilance.</w:t>
      </w:r>
      <w:r w:rsidR="00264794">
        <w:t xml:space="preserve"> </w:t>
      </w:r>
      <w:r w:rsidRPr="00B55C07">
        <w:t>Routine pharmacovigilance includes the submission of periodic safety update reports</w:t>
      </w:r>
      <w:r w:rsidR="00264794">
        <w:t xml:space="preserve"> </w:t>
      </w:r>
      <w:r w:rsidRPr="00B55C07">
        <w:t>(PSURs).</w:t>
      </w:r>
    </w:p>
    <w:p w14:paraId="0DC3DDAA" w14:textId="6444582D" w:rsidR="00B55C07" w:rsidRPr="00B55C07" w:rsidRDefault="00B55C07" w:rsidP="00BD6D87">
      <w:pPr>
        <w:ind w:left="360"/>
      </w:pPr>
      <w:r w:rsidRPr="00B55C07">
        <w:lastRenderedPageBreak/>
        <w:t>Reports are to be provided in line with the current published list of EU reference dates</w:t>
      </w:r>
      <w:r w:rsidR="00EA1FCF">
        <w:t xml:space="preserve"> </w:t>
      </w:r>
      <w:r w:rsidRPr="00B55C07">
        <w:t>and frequency of submission of PSURs until the period covered by such reports is not</w:t>
      </w:r>
      <w:r w:rsidR="00EA1FCF">
        <w:t xml:space="preserve"> </w:t>
      </w:r>
      <w:r w:rsidRPr="00B55C07">
        <w:t xml:space="preserve">less than </w:t>
      </w:r>
      <w:r w:rsidR="0094582A">
        <w:t>3 </w:t>
      </w:r>
      <w:r w:rsidRPr="00B55C07">
        <w:t>years from the date of this approval letter. Each report must be</w:t>
      </w:r>
      <w:r w:rsidR="00EA1FCF">
        <w:t xml:space="preserve"> </w:t>
      </w:r>
      <w:r w:rsidRPr="00B55C07">
        <w:t xml:space="preserve">submitted within </w:t>
      </w:r>
      <w:r w:rsidR="0094582A">
        <w:t>90 </w:t>
      </w:r>
      <w:r w:rsidRPr="00B55C07">
        <w:t>calendar days of the data lock point for that report.</w:t>
      </w:r>
    </w:p>
    <w:p w14:paraId="526ADB10" w14:textId="5E32A354" w:rsidR="00B55C07" w:rsidRPr="00B55C07" w:rsidRDefault="00B55C07" w:rsidP="00BD6D87">
      <w:pPr>
        <w:ind w:left="360"/>
      </w:pPr>
      <w:r w:rsidRPr="00B55C07">
        <w:t>The reports are to at least meet the requirements for PSURs as described in the</w:t>
      </w:r>
      <w:r w:rsidR="00EA1FCF">
        <w:t xml:space="preserve"> </w:t>
      </w:r>
      <w:r w:rsidRPr="00B55C07">
        <w:t>European Medicines Agency’s Guideline on good pharmacovigilance practices (GVP)</w:t>
      </w:r>
      <w:r w:rsidR="00EA1FCF">
        <w:t xml:space="preserve"> </w:t>
      </w:r>
      <w:r w:rsidRPr="00B55C07">
        <w:t>Module VII-periodic safety update report (Rev 1), Part VII.B Structures and processes.</w:t>
      </w:r>
      <w:r w:rsidR="00EA1FCF">
        <w:t xml:space="preserve"> </w:t>
      </w:r>
      <w:r w:rsidRPr="00B55C07">
        <w:t>Note that submission of a PSUR does not constitute an application to vary the</w:t>
      </w:r>
      <w:r w:rsidR="00EA1FCF">
        <w:t xml:space="preserve"> </w:t>
      </w:r>
      <w:r w:rsidRPr="00B55C07">
        <w:t>registration.</w:t>
      </w:r>
    </w:p>
    <w:p w14:paraId="6862D64B" w14:textId="16B2977F" w:rsidR="00B55C07" w:rsidRPr="00B55C07" w:rsidRDefault="00B55C07" w:rsidP="00E01DEF">
      <w:pPr>
        <w:pStyle w:val="ListBullet"/>
      </w:pPr>
      <w:r w:rsidRPr="00B55C07">
        <w:t xml:space="preserve">Laboratory Testing </w:t>
      </w:r>
      <w:r w:rsidR="001756C9">
        <w:t>and</w:t>
      </w:r>
      <w:r w:rsidRPr="00B55C07">
        <w:t xml:space="preserve"> Compliance with Certified Product Details (CPD)</w:t>
      </w:r>
    </w:p>
    <w:p w14:paraId="099AB18C" w14:textId="4EFFA487" w:rsidR="00B55C07" w:rsidRPr="00B55C07" w:rsidRDefault="00B55C07" w:rsidP="00BD6D87">
      <w:pPr>
        <w:pStyle w:val="ListBullet2"/>
      </w:pPr>
      <w:r w:rsidRPr="00B55C07">
        <w:t>All batches of RYSTIGGO supplied in Australia must comply with the product</w:t>
      </w:r>
      <w:r w:rsidR="00EA1FCF">
        <w:t xml:space="preserve"> </w:t>
      </w:r>
      <w:r w:rsidRPr="00B55C07">
        <w:t>details and specifications approved during evaluation and detailed in the</w:t>
      </w:r>
      <w:r w:rsidR="00EA1FCF">
        <w:t xml:space="preserve"> </w:t>
      </w:r>
      <w:r w:rsidRPr="00B55C07">
        <w:t>CPD.</w:t>
      </w:r>
    </w:p>
    <w:p w14:paraId="2810DCB6" w14:textId="1906ABD5" w:rsidR="00B55C07" w:rsidRPr="00B55C07" w:rsidRDefault="00B55C07" w:rsidP="00BD6D87">
      <w:pPr>
        <w:pStyle w:val="ListBullet2"/>
      </w:pPr>
      <w:r w:rsidRPr="00B55C07">
        <w:t>When requested by the TGA, the Sponsor should be prepared to provide</w:t>
      </w:r>
      <w:r w:rsidR="00EA1FCF">
        <w:t xml:space="preserve"> </w:t>
      </w:r>
      <w:r w:rsidRPr="00B55C07">
        <w:t>product samples, specified reference materials and documentary evidence to</w:t>
      </w:r>
      <w:r w:rsidR="00EA1FCF">
        <w:t xml:space="preserve"> </w:t>
      </w:r>
      <w:r w:rsidRPr="00B55C07">
        <w:t>enable the TGA to conduct laboratory testing on the Product. Outcomes of</w:t>
      </w:r>
      <w:r w:rsidR="00EA1FCF">
        <w:t xml:space="preserve"> </w:t>
      </w:r>
      <w:r w:rsidRPr="00B55C07">
        <w:t>laboratory testing are published biannually in the TGA Database of Laboratory</w:t>
      </w:r>
      <w:r w:rsidR="00E822CB">
        <w:t xml:space="preserve"> </w:t>
      </w:r>
      <w:r w:rsidRPr="00B55C07">
        <w:t xml:space="preserve">Testing Results </w:t>
      </w:r>
      <w:hyperlink r:id="rId51" w:history="1">
        <w:r w:rsidR="009A315F">
          <w:rPr>
            <w:rStyle w:val="Hyperlink"/>
          </w:rPr>
          <w:t>Laboratory test results</w:t>
        </w:r>
      </w:hyperlink>
      <w:r w:rsidR="00FD0A6E" w:rsidRPr="00FD0A6E">
        <w:t xml:space="preserve"> </w:t>
      </w:r>
      <w:r w:rsidRPr="00B55C07">
        <w:t>and periodically in</w:t>
      </w:r>
      <w:r w:rsidR="00E822CB">
        <w:t xml:space="preserve"> </w:t>
      </w:r>
      <w:r w:rsidRPr="00B55C07">
        <w:t>testing reports on the TGA website.</w:t>
      </w:r>
    </w:p>
    <w:p w14:paraId="29F008F6" w14:textId="39C4C326" w:rsidR="00B55C07" w:rsidRPr="00B55C07" w:rsidRDefault="00B55C07" w:rsidP="00E01DEF">
      <w:pPr>
        <w:pStyle w:val="ListBullet"/>
      </w:pPr>
      <w:r w:rsidRPr="00B55C07">
        <w:t>Certified Product Details</w:t>
      </w:r>
    </w:p>
    <w:p w14:paraId="7698F715" w14:textId="518D0663" w:rsidR="00B55C07" w:rsidRPr="00B55C07" w:rsidRDefault="00B55C07" w:rsidP="004417B1">
      <w:pPr>
        <w:ind w:left="360"/>
      </w:pPr>
      <w:r w:rsidRPr="00B55C07">
        <w:t>The Certified Product Details (CPD), as described in Guidance 7: Certified Product</w:t>
      </w:r>
      <w:r w:rsidR="00E822CB">
        <w:t xml:space="preserve"> </w:t>
      </w:r>
      <w:r w:rsidRPr="00B55C07">
        <w:t>Details of the Australian Regulatory Guidelines for Prescription Medicines (ARGPM), in</w:t>
      </w:r>
      <w:r w:rsidR="00E822CB">
        <w:t xml:space="preserve"> </w:t>
      </w:r>
      <w:r w:rsidRPr="00B55C07">
        <w:t>PDF format, for the above product should be provided upon registration of the</w:t>
      </w:r>
      <w:r w:rsidR="00E822CB">
        <w:t xml:space="preserve"> </w:t>
      </w:r>
      <w:r w:rsidRPr="00B55C07">
        <w:t>therapeutic good. In addition, an updated CPD should be provided when changes to</w:t>
      </w:r>
      <w:r w:rsidR="00E822CB">
        <w:t xml:space="preserve"> </w:t>
      </w:r>
      <w:r w:rsidRPr="00B55C07">
        <w:t>finished product specifications and test methods are approved in a Category 3</w:t>
      </w:r>
      <w:r w:rsidR="00E822CB">
        <w:t xml:space="preserve"> </w:t>
      </w:r>
      <w:r w:rsidRPr="00B55C07">
        <w:t>application or notified through a self-assessable change.</w:t>
      </w:r>
    </w:p>
    <w:p w14:paraId="2BCC13D1" w14:textId="555E2358" w:rsidR="00B55C07" w:rsidRPr="00B55C07" w:rsidRDefault="00B55C07" w:rsidP="004417B1">
      <w:pPr>
        <w:ind w:left="360"/>
      </w:pPr>
      <w:r w:rsidRPr="00B55C07">
        <w:t>A template for preparation of CPD for biological prescription medicines can be</w:t>
      </w:r>
      <w:r w:rsidR="0039484A">
        <w:t xml:space="preserve"> </w:t>
      </w:r>
      <w:r w:rsidRPr="00B55C07">
        <w:t>obtained from the TGA website:</w:t>
      </w:r>
    </w:p>
    <w:p w14:paraId="3F9B0040" w14:textId="2AF5FD37" w:rsidR="00B55C07" w:rsidRPr="00B55C07" w:rsidRDefault="00B55C07" w:rsidP="00083543">
      <w:pPr>
        <w:pStyle w:val="ListBullet2"/>
      </w:pPr>
      <w:r w:rsidRPr="00B55C07">
        <w:t xml:space="preserve">[for the form] </w:t>
      </w:r>
      <w:hyperlink r:id="rId52" w:history="1">
        <w:r w:rsidR="007A11B5">
          <w:rPr>
            <w:rStyle w:val="Hyperlink"/>
          </w:rPr>
          <w:t>Certified product details (CPD) - Biological prescription medicines</w:t>
        </w:r>
      </w:hyperlink>
    </w:p>
    <w:p w14:paraId="3865725D" w14:textId="2C5F0332" w:rsidR="00B55C07" w:rsidRPr="00B55C07" w:rsidRDefault="00B55C07" w:rsidP="00083543">
      <w:pPr>
        <w:pStyle w:val="ListBullet2"/>
      </w:pPr>
      <w:r w:rsidRPr="00B55C07">
        <w:t xml:space="preserve">[for the CPD guidance] </w:t>
      </w:r>
      <w:hyperlink r:id="rId53" w:history="1">
        <w:r w:rsidR="00B85D1E">
          <w:rPr>
            <w:rStyle w:val="Hyperlink"/>
          </w:rPr>
          <w:t>Submitting Certified Product Details (CPD) for biological prescription medicines</w:t>
        </w:r>
      </w:hyperlink>
    </w:p>
    <w:p w14:paraId="27CE5B13" w14:textId="1C3DC425" w:rsidR="00B55C07" w:rsidRPr="00B55C07" w:rsidRDefault="00B55C07" w:rsidP="00083543">
      <w:pPr>
        <w:pStyle w:val="ListBullet2"/>
      </w:pPr>
      <w:r w:rsidRPr="00B55C07">
        <w:t xml:space="preserve">The CPD should be emailed to </w:t>
      </w:r>
      <w:r w:rsidR="00083543">
        <w:t>&lt;</w:t>
      </w:r>
      <w:r w:rsidRPr="00B55C07">
        <w:t>Biochemistry.Testing@tga.gov.au</w:t>
      </w:r>
      <w:r w:rsidR="00083543">
        <w:t>&gt;</w:t>
      </w:r>
      <w:r w:rsidRPr="00B55C07">
        <w:t xml:space="preserve"> as a single</w:t>
      </w:r>
      <w:r w:rsidR="0039484A">
        <w:t xml:space="preserve"> </w:t>
      </w:r>
      <w:r w:rsidRPr="00B55C07">
        <w:t>PDF document.</w:t>
      </w:r>
    </w:p>
    <w:p w14:paraId="44C74B3B" w14:textId="072174ED" w:rsidR="00B55C07" w:rsidRPr="009E6DDC" w:rsidRDefault="00B55C07" w:rsidP="00E01DEF">
      <w:pPr>
        <w:pStyle w:val="ListBullet"/>
      </w:pPr>
      <w:r w:rsidRPr="009E6DDC">
        <w:t>Submit final clinical study report for MG0007, when available.</w:t>
      </w:r>
    </w:p>
    <w:p w14:paraId="451DC3FC" w14:textId="3929EE8F" w:rsidR="00C22214" w:rsidRDefault="00C22214" w:rsidP="005E6391">
      <w:pPr>
        <w:pStyle w:val="Heading3"/>
      </w:pPr>
      <w:bookmarkStart w:id="102" w:name="_Toc103679303"/>
      <w:bookmarkStart w:id="103" w:name="_Toc204161835"/>
      <w:r>
        <w:t>Product Information</w:t>
      </w:r>
      <w:bookmarkEnd w:id="102"/>
      <w:r w:rsidR="004375B4">
        <w:t xml:space="preserve"> and Consumer Medicine Information</w:t>
      </w:r>
      <w:bookmarkEnd w:id="103"/>
      <w:r w:rsidR="004375B4">
        <w:t xml:space="preserve"> </w:t>
      </w:r>
    </w:p>
    <w:p w14:paraId="43192B9A" w14:textId="18B1B241" w:rsidR="004375B4" w:rsidRPr="004D0933" w:rsidRDefault="004375B4" w:rsidP="004375B4">
      <w:r w:rsidRPr="004D0933">
        <w:t xml:space="preserve">For the most recent Product Information (PI) and Consumer Medicine Information (CMI), please refer to the TGA </w:t>
      </w:r>
      <w:hyperlink r:id="rId54" w:history="1">
        <w:r w:rsidRPr="004D0933">
          <w:rPr>
            <w:rStyle w:val="Hyperlink"/>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55"/>
          <w:footerReference w:type="default" r:id="rId56"/>
          <w:endnotePr>
            <w:numFmt w:val="decimal"/>
          </w:endnotePr>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7"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58" w:history="1">
              <w:r w:rsidRPr="00C4721A">
                <w:rPr>
                  <w:rStyle w:val="Hyperlink"/>
                  <w:b/>
                </w:rPr>
                <w:t>https://www.tga.gov.au</w:t>
              </w:r>
            </w:hyperlink>
          </w:p>
        </w:tc>
      </w:tr>
    </w:tbl>
    <w:p w14:paraId="788B80FD" w14:textId="2E35385A" w:rsidR="007452E8" w:rsidRDefault="00BE2730" w:rsidP="00BE2730">
      <w:pPr>
        <w:jc w:val="center"/>
      </w:pPr>
      <w:hyperlink r:id="rId59" w:history="1">
        <w:r w:rsidRPr="00BE2730">
          <w:rPr>
            <w:rStyle w:val="Hyperlink"/>
            <w:rFonts w:ascii="Arial" w:eastAsia="Cambria" w:hAnsi="Arial" w:cs="Times New Roman"/>
            <w:sz w:val="21"/>
          </w:rPr>
          <w:t>D25-2768525</w:t>
        </w:r>
      </w:hyperlink>
    </w:p>
    <w:sectPr w:rsidR="007452E8" w:rsidSect="007452E8">
      <w:headerReference w:type="first" r:id="rId60"/>
      <w:footerReference w:type="first" r:id="rId6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DD107" w14:textId="77777777" w:rsidR="00AC282E" w:rsidRDefault="00AC282E" w:rsidP="00F02AEC">
      <w:pPr>
        <w:spacing w:after="0" w:line="240" w:lineRule="auto"/>
      </w:pPr>
      <w:r>
        <w:separator/>
      </w:r>
    </w:p>
  </w:endnote>
  <w:endnote w:type="continuationSeparator" w:id="0">
    <w:p w14:paraId="4E3C7587" w14:textId="77777777" w:rsidR="00AC282E" w:rsidRDefault="00AC282E"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imesNewRomanPSMT">
    <w:altName w:val="Yu Gothic"/>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8080"/>
      <w:gridCol w:w="1276"/>
    </w:tblGrid>
    <w:tr w:rsidR="007452E8" w:rsidRPr="004A3084" w14:paraId="6266BC33" w14:textId="77777777" w:rsidTr="00523A22">
      <w:trPr>
        <w:trHeight w:val="423"/>
      </w:trPr>
      <w:tc>
        <w:tcPr>
          <w:tcW w:w="8080" w:type="dxa"/>
          <w:tcBorders>
            <w:top w:val="single" w:sz="4" w:space="0" w:color="auto"/>
          </w:tcBorders>
        </w:tcPr>
        <w:p w14:paraId="3C421323" w14:textId="4E2C09D6" w:rsidR="007452E8" w:rsidRPr="00B167BD" w:rsidRDefault="007452E8" w:rsidP="007452E8">
          <w:pPr>
            <w:pStyle w:val="Footer"/>
          </w:pPr>
          <w:r w:rsidRPr="00B167BD">
            <w:t xml:space="preserve">AusPAR </w:t>
          </w:r>
          <w:r w:rsidR="00245D6C" w:rsidRPr="00B167BD">
            <w:t>–</w:t>
          </w:r>
          <w:r w:rsidRPr="00B167BD">
            <w:t xml:space="preserve"> </w:t>
          </w:r>
          <w:r w:rsidR="0047287E" w:rsidRPr="00B167BD">
            <w:t>Rystiggo</w:t>
          </w:r>
          <w:r w:rsidR="00245D6C" w:rsidRPr="00B167BD">
            <w:t xml:space="preserve"> </w:t>
          </w:r>
          <w:r w:rsidRPr="00B167BD">
            <w:t xml:space="preserve">- </w:t>
          </w:r>
          <w:r w:rsidR="00245D6C" w:rsidRPr="00B167BD">
            <w:t>rozanolixizumab</w:t>
          </w:r>
          <w:r w:rsidRPr="00B167BD">
            <w:t xml:space="preserve"> </w:t>
          </w:r>
          <w:r w:rsidR="008C754C" w:rsidRPr="00B167BD">
            <w:t>-</w:t>
          </w:r>
          <w:r w:rsidRPr="00B167BD">
            <w:t xml:space="preserve"> </w:t>
          </w:r>
          <w:r w:rsidR="005B1FB1" w:rsidRPr="00B167BD">
            <w:t>UCB Australia Pty Ltd T/A UCB Pharma Division of UCB Australia</w:t>
          </w:r>
          <w:r w:rsidRPr="00B167BD">
            <w:t xml:space="preserve"> - </w:t>
          </w:r>
          <w:bookmarkStart w:id="104" w:name="_Hlk204843188"/>
          <w:r w:rsidRPr="00B167BD">
            <w:t>PM-202</w:t>
          </w:r>
          <w:r w:rsidR="005B1FB1" w:rsidRPr="00B167BD">
            <w:t>3</w:t>
          </w:r>
          <w:r w:rsidRPr="00B167BD">
            <w:t>-</w:t>
          </w:r>
          <w:r w:rsidR="005B1FB1" w:rsidRPr="00B167BD">
            <w:t>04561-1-1</w:t>
          </w:r>
          <w:r w:rsidR="00523A22">
            <w:t xml:space="preserve"> </w:t>
          </w:r>
          <w:bookmarkEnd w:id="104"/>
          <w:r w:rsidR="00B167BD" w:rsidRPr="00F01EC4">
            <w:t>Date of finalisation:</w:t>
          </w:r>
          <w:r w:rsidR="00B167BD">
            <w:t xml:space="preserve"> </w:t>
          </w:r>
          <w:r w:rsidR="00F01EC4">
            <w:t>23 July 2025</w:t>
          </w:r>
        </w:p>
      </w:tc>
      <w:tc>
        <w:tcPr>
          <w:tcW w:w="1276"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2657D" w14:textId="77777777" w:rsidR="00AC282E" w:rsidRDefault="00AC282E" w:rsidP="00F02AEC">
      <w:pPr>
        <w:spacing w:after="0" w:line="240" w:lineRule="auto"/>
      </w:pPr>
      <w:r>
        <w:separator/>
      </w:r>
    </w:p>
  </w:footnote>
  <w:footnote w:type="continuationSeparator" w:id="0">
    <w:p w14:paraId="01E67038" w14:textId="77777777" w:rsidR="00AC282E" w:rsidRDefault="00AC282E" w:rsidP="00F02AEC">
      <w:pPr>
        <w:spacing w:after="0" w:line="240" w:lineRule="auto"/>
      </w:pPr>
      <w:r>
        <w:continuationSeparator/>
      </w:r>
    </w:p>
  </w:footnote>
  <w:footnote w:id="1">
    <w:p w14:paraId="5A9E9FC8" w14:textId="5DEAEDAF" w:rsidR="001D2253" w:rsidRDefault="001D2253">
      <w:pPr>
        <w:pStyle w:val="FootnoteText"/>
      </w:pPr>
      <w:r>
        <w:rPr>
          <w:rStyle w:val="FootnoteReference"/>
        </w:rPr>
        <w:footnoteRef/>
      </w:r>
      <w:r>
        <w:t xml:space="preserve"> </w:t>
      </w:r>
      <w:r w:rsidR="00D20034" w:rsidRPr="00D20034">
        <w:t>Salari Nader et al (2021) Global prevalence of myasthenia gravis and the effectiveness of common drugs in its treatment: a systematic review and meta-analysis. Journal of Translation Medicine, Dec 20;19(1):516.  </w:t>
      </w:r>
    </w:p>
  </w:footnote>
  <w:footnote w:id="2">
    <w:p w14:paraId="7CFCEACE" w14:textId="479B0886" w:rsidR="00D20034" w:rsidRDefault="00D20034">
      <w:pPr>
        <w:pStyle w:val="FootnoteText"/>
      </w:pPr>
      <w:r>
        <w:rPr>
          <w:rStyle w:val="FootnoteReference"/>
        </w:rPr>
        <w:footnoteRef/>
      </w:r>
      <w:r>
        <w:t xml:space="preserve"> </w:t>
      </w:r>
      <w:r w:rsidR="008D1F96" w:rsidRPr="008D1F96">
        <w:t>Gattellari M et al (2012) A national epidemiological study of Myasthenia Gravis in Australia. European Journal of Neurology, Nov; 19(11): 1468-1331</w:t>
      </w:r>
    </w:p>
  </w:footnote>
  <w:footnote w:id="3">
    <w:p w14:paraId="1046281F" w14:textId="77777777" w:rsidR="00961CEF" w:rsidRDefault="00961CEF"/>
    <w:p w14:paraId="511C4548" w14:textId="667F6D03" w:rsidR="00834D9A" w:rsidRDefault="00834D9A" w:rsidP="00A74C05">
      <w:pPr>
        <w:pStyle w:val="FootnoteText"/>
      </w:pPr>
    </w:p>
  </w:footnote>
  <w:footnote w:id="4">
    <w:p w14:paraId="26DB2137" w14:textId="77777777" w:rsidR="00834D9A" w:rsidRDefault="00834D9A" w:rsidP="00A74C05">
      <w:pPr>
        <w:pStyle w:val="FootnoteText"/>
      </w:pPr>
    </w:p>
    <w:p w14:paraId="71F8D0B5" w14:textId="297B56C0" w:rsidR="00381E68" w:rsidRDefault="00671CFC">
      <w:pPr>
        <w:pStyle w:val="FootnoteText"/>
      </w:pPr>
      <w:r>
        <w:rPr>
          <w:rStyle w:val="FootnoteReference"/>
        </w:rPr>
        <w:footnoteRef/>
      </w:r>
      <w:r w:rsidRPr="000352ED">
        <w:t xml:space="preserve"> </w:t>
      </w:r>
      <w:r w:rsidR="00C91A50">
        <w:t>Me</w:t>
      </w:r>
      <w:r w:rsidR="00381E68" w:rsidRPr="000352ED">
        <w:t>dDRA is an internationally used set of terms relating to medical conditions, medicines and medical devices. It was created to assist regulators to share information. It is also used by industry, academics, health professionals and other organisations that communicate medical information.</w:t>
      </w:r>
    </w:p>
  </w:footnote>
  <w:footnote w:id="5">
    <w:p w14:paraId="4961A889" w14:textId="59E9544C" w:rsidR="00381E68" w:rsidRDefault="00381E68">
      <w:pPr>
        <w:pStyle w:val="FootnoteText"/>
      </w:pPr>
      <w:r>
        <w:rPr>
          <w:rStyle w:val="FootnoteReference"/>
        </w:rPr>
        <w:footnoteRef/>
      </w:r>
      <w:r>
        <w:t xml:space="preserve"> In </w:t>
      </w:r>
      <w:r w:rsidRPr="000352ED">
        <w:t>MedDRA</w:t>
      </w:r>
      <w:r>
        <w:t xml:space="preserve">, </w:t>
      </w:r>
      <w:r w:rsidRPr="000352ED">
        <w:t>System Organ Classes (SOC) is</w:t>
      </w:r>
      <w:r w:rsidR="00853C60">
        <w:t xml:space="preserve"> </w:t>
      </w:r>
      <w:r w:rsidR="00853C60" w:rsidRPr="000352ED">
        <w:t>the highest (most general) level grouped by aetiology, manifestation site or purpose. There are 27 terms at the SOC level.</w:t>
      </w:r>
    </w:p>
  </w:footnote>
  <w:footnote w:id="6">
    <w:p w14:paraId="248F80C2" w14:textId="33EB0C74" w:rsidR="007B69C9" w:rsidRDefault="007B69C9">
      <w:pPr>
        <w:pStyle w:val="FootnoteText"/>
      </w:pPr>
      <w:r>
        <w:rPr>
          <w:rStyle w:val="FootnoteReference"/>
        </w:rPr>
        <w:footnoteRef/>
      </w:r>
      <w:r>
        <w:t xml:space="preserve"> </w:t>
      </w:r>
      <w:r w:rsidR="00EE37D1">
        <w:t>In MedDRA, Preferred Terms (PT) are single concepts for symptoms, signs, disease diagnosis, therapeutic indications, investigations, procedures, and characteristics. There are over 20,000 Preferred Terms.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CA7747"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4FCC7B45" w:rsidR="007452E8" w:rsidRDefault="00A81F12" w:rsidP="007452E8">
    <w:pPr>
      <w:rPr>
        <w:noProof/>
      </w:rPr>
    </w:pPr>
    <w:r w:rsidRPr="002B29B2">
      <w:rPr>
        <w:noProof/>
        <w:lang w:val="en-GB" w:eastAsia="en-GB"/>
      </w:rPr>
      <w:drawing>
        <wp:anchor distT="0" distB="0" distL="114300" distR="114300" simplePos="0" relativeHeight="251658240" behindDoc="0" locked="0" layoutInCell="0" allowOverlap="1" wp14:anchorId="14BBEAC1" wp14:editId="15B7E112">
          <wp:simplePos x="0" y="0"/>
          <wp:positionH relativeFrom="page">
            <wp:posOffset>190500</wp:posOffset>
          </wp:positionH>
          <wp:positionV relativeFrom="page">
            <wp:posOffset>3296285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1292F">
      <w:rPr>
        <w:noProof/>
      </w:rPr>
      <w:drawing>
        <wp:inline distT="0" distB="0" distL="0" distR="0" wp14:anchorId="2D2FB06D" wp14:editId="764A9D72">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2DDE6337"/>
    <w:multiLevelType w:val="multilevel"/>
    <w:tmpl w:val="1164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5BD79BC"/>
    <w:multiLevelType w:val="hybridMultilevel"/>
    <w:tmpl w:val="E57A1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3" w15:restartNumberingAfterBreak="0">
    <w:nsid w:val="742E64ED"/>
    <w:multiLevelType w:val="multilevel"/>
    <w:tmpl w:val="2BB8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10"/>
  </w:num>
  <w:num w:numId="5" w16cid:durableId="1652950129">
    <w:abstractNumId w:val="5"/>
  </w:num>
  <w:num w:numId="6" w16cid:durableId="1053193207">
    <w:abstractNumId w:val="8"/>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9"/>
  </w:num>
  <w:num w:numId="9" w16cid:durableId="173421270">
    <w:abstractNumId w:val="1"/>
  </w:num>
  <w:num w:numId="10" w16cid:durableId="2108043357">
    <w:abstractNumId w:val="4"/>
  </w:num>
  <w:num w:numId="11" w16cid:durableId="1725904230">
    <w:abstractNumId w:val="7"/>
  </w:num>
  <w:num w:numId="12" w16cid:durableId="141579354">
    <w:abstractNumId w:val="12"/>
  </w:num>
  <w:num w:numId="13" w16cid:durableId="283735081">
    <w:abstractNumId w:val="14"/>
  </w:num>
  <w:num w:numId="14" w16cid:durableId="476841185">
    <w:abstractNumId w:val="11"/>
  </w:num>
  <w:num w:numId="15" w16cid:durableId="2025980137">
    <w:abstractNumId w:val="13"/>
  </w:num>
  <w:num w:numId="16" w16cid:durableId="14863599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5680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8339341">
    <w:abstractNumId w:val="0"/>
  </w:num>
  <w:num w:numId="19" w16cid:durableId="5262600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9428870">
    <w:abstractNumId w:val="6"/>
  </w:num>
  <w:num w:numId="21" w16cid:durableId="1611863184">
    <w:abstractNumId w:val="3"/>
  </w:num>
  <w:num w:numId="22" w16cid:durableId="19532400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33F"/>
    <w:rsid w:val="00000E6E"/>
    <w:rsid w:val="00001561"/>
    <w:rsid w:val="0000351E"/>
    <w:rsid w:val="00003DCB"/>
    <w:rsid w:val="0000417E"/>
    <w:rsid w:val="00004431"/>
    <w:rsid w:val="00004B4F"/>
    <w:rsid w:val="00005062"/>
    <w:rsid w:val="000055E5"/>
    <w:rsid w:val="000065FA"/>
    <w:rsid w:val="0001064C"/>
    <w:rsid w:val="000127A4"/>
    <w:rsid w:val="0001384A"/>
    <w:rsid w:val="00020769"/>
    <w:rsid w:val="000222C5"/>
    <w:rsid w:val="00024747"/>
    <w:rsid w:val="000251DC"/>
    <w:rsid w:val="00032A0F"/>
    <w:rsid w:val="000352ED"/>
    <w:rsid w:val="00037280"/>
    <w:rsid w:val="00040D8D"/>
    <w:rsid w:val="0004310B"/>
    <w:rsid w:val="00046032"/>
    <w:rsid w:val="00046423"/>
    <w:rsid w:val="000511F8"/>
    <w:rsid w:val="00057E12"/>
    <w:rsid w:val="0006104E"/>
    <w:rsid w:val="000640BD"/>
    <w:rsid w:val="00065839"/>
    <w:rsid w:val="00065FDF"/>
    <w:rsid w:val="00070715"/>
    <w:rsid w:val="000721D2"/>
    <w:rsid w:val="00072386"/>
    <w:rsid w:val="000771A0"/>
    <w:rsid w:val="000775A0"/>
    <w:rsid w:val="00077844"/>
    <w:rsid w:val="00083543"/>
    <w:rsid w:val="00087450"/>
    <w:rsid w:val="00090510"/>
    <w:rsid w:val="000917AE"/>
    <w:rsid w:val="00094B81"/>
    <w:rsid w:val="00094D72"/>
    <w:rsid w:val="00096D7E"/>
    <w:rsid w:val="000975AA"/>
    <w:rsid w:val="00097730"/>
    <w:rsid w:val="000A0C32"/>
    <w:rsid w:val="000A0F9D"/>
    <w:rsid w:val="000A5225"/>
    <w:rsid w:val="000A6368"/>
    <w:rsid w:val="000A671B"/>
    <w:rsid w:val="000B3340"/>
    <w:rsid w:val="000B6B15"/>
    <w:rsid w:val="000B7171"/>
    <w:rsid w:val="000C25A7"/>
    <w:rsid w:val="000C45A9"/>
    <w:rsid w:val="000C520C"/>
    <w:rsid w:val="000C60F5"/>
    <w:rsid w:val="000C70A5"/>
    <w:rsid w:val="000D4EDB"/>
    <w:rsid w:val="000D53A5"/>
    <w:rsid w:val="000D6668"/>
    <w:rsid w:val="000D78EC"/>
    <w:rsid w:val="000D7934"/>
    <w:rsid w:val="000E2597"/>
    <w:rsid w:val="000E37DF"/>
    <w:rsid w:val="000E504E"/>
    <w:rsid w:val="000E5857"/>
    <w:rsid w:val="000E5FBD"/>
    <w:rsid w:val="000E6746"/>
    <w:rsid w:val="000F3EBB"/>
    <w:rsid w:val="000F7301"/>
    <w:rsid w:val="000F7B51"/>
    <w:rsid w:val="00100C73"/>
    <w:rsid w:val="00101BEE"/>
    <w:rsid w:val="00101CE6"/>
    <w:rsid w:val="00101FB1"/>
    <w:rsid w:val="00103E5D"/>
    <w:rsid w:val="0010558A"/>
    <w:rsid w:val="001061B3"/>
    <w:rsid w:val="001101FF"/>
    <w:rsid w:val="00110645"/>
    <w:rsid w:val="00112F19"/>
    <w:rsid w:val="00113F9F"/>
    <w:rsid w:val="0011659C"/>
    <w:rsid w:val="0012012C"/>
    <w:rsid w:val="00122418"/>
    <w:rsid w:val="0012473C"/>
    <w:rsid w:val="00127A74"/>
    <w:rsid w:val="00127AC0"/>
    <w:rsid w:val="0013132F"/>
    <w:rsid w:val="0013306D"/>
    <w:rsid w:val="001336F8"/>
    <w:rsid w:val="00133B2E"/>
    <w:rsid w:val="001342D2"/>
    <w:rsid w:val="001342E8"/>
    <w:rsid w:val="001342F2"/>
    <w:rsid w:val="00134CF8"/>
    <w:rsid w:val="0013528C"/>
    <w:rsid w:val="00135DF7"/>
    <w:rsid w:val="00143EFA"/>
    <w:rsid w:val="001442A2"/>
    <w:rsid w:val="001452EE"/>
    <w:rsid w:val="001468CA"/>
    <w:rsid w:val="001500A8"/>
    <w:rsid w:val="00155D85"/>
    <w:rsid w:val="0016037C"/>
    <w:rsid w:val="00160EC4"/>
    <w:rsid w:val="00165D28"/>
    <w:rsid w:val="0017005C"/>
    <w:rsid w:val="001756C9"/>
    <w:rsid w:val="00175CD8"/>
    <w:rsid w:val="001774F5"/>
    <w:rsid w:val="00180D72"/>
    <w:rsid w:val="00182187"/>
    <w:rsid w:val="00182BD8"/>
    <w:rsid w:val="00185AE2"/>
    <w:rsid w:val="00185DA6"/>
    <w:rsid w:val="00187D46"/>
    <w:rsid w:val="00191B70"/>
    <w:rsid w:val="00195B54"/>
    <w:rsid w:val="001A1D9C"/>
    <w:rsid w:val="001A62DA"/>
    <w:rsid w:val="001A76F9"/>
    <w:rsid w:val="001B06FF"/>
    <w:rsid w:val="001B1703"/>
    <w:rsid w:val="001B20F4"/>
    <w:rsid w:val="001B28D7"/>
    <w:rsid w:val="001B2F54"/>
    <w:rsid w:val="001B73E3"/>
    <w:rsid w:val="001B77A3"/>
    <w:rsid w:val="001C1C2E"/>
    <w:rsid w:val="001C31A1"/>
    <w:rsid w:val="001C3FA2"/>
    <w:rsid w:val="001C5EE2"/>
    <w:rsid w:val="001C7789"/>
    <w:rsid w:val="001D0077"/>
    <w:rsid w:val="001D113A"/>
    <w:rsid w:val="001D2253"/>
    <w:rsid w:val="001D4476"/>
    <w:rsid w:val="001D5080"/>
    <w:rsid w:val="001D6652"/>
    <w:rsid w:val="001E239F"/>
    <w:rsid w:val="001E407B"/>
    <w:rsid w:val="001E4BEB"/>
    <w:rsid w:val="001E7FC6"/>
    <w:rsid w:val="001F2502"/>
    <w:rsid w:val="001F5860"/>
    <w:rsid w:val="001F647A"/>
    <w:rsid w:val="001F70A5"/>
    <w:rsid w:val="001F779A"/>
    <w:rsid w:val="0020235D"/>
    <w:rsid w:val="0020369B"/>
    <w:rsid w:val="00203A5E"/>
    <w:rsid w:val="00206DE1"/>
    <w:rsid w:val="00207B4D"/>
    <w:rsid w:val="002117B1"/>
    <w:rsid w:val="00215328"/>
    <w:rsid w:val="00217241"/>
    <w:rsid w:val="00217CCE"/>
    <w:rsid w:val="002203B1"/>
    <w:rsid w:val="00225793"/>
    <w:rsid w:val="00226F39"/>
    <w:rsid w:val="002306C4"/>
    <w:rsid w:val="002308BD"/>
    <w:rsid w:val="00230E5E"/>
    <w:rsid w:val="002328B1"/>
    <w:rsid w:val="002334AD"/>
    <w:rsid w:val="002346BA"/>
    <w:rsid w:val="002346E2"/>
    <w:rsid w:val="00237C89"/>
    <w:rsid w:val="00240C28"/>
    <w:rsid w:val="00241B60"/>
    <w:rsid w:val="00245D6C"/>
    <w:rsid w:val="00251249"/>
    <w:rsid w:val="00251A13"/>
    <w:rsid w:val="00253132"/>
    <w:rsid w:val="0025357C"/>
    <w:rsid w:val="0025785B"/>
    <w:rsid w:val="00257969"/>
    <w:rsid w:val="00260FD8"/>
    <w:rsid w:val="00262326"/>
    <w:rsid w:val="0026361F"/>
    <w:rsid w:val="002641B1"/>
    <w:rsid w:val="00264240"/>
    <w:rsid w:val="00264794"/>
    <w:rsid w:val="00264959"/>
    <w:rsid w:val="0026503A"/>
    <w:rsid w:val="0026700B"/>
    <w:rsid w:val="00272FB2"/>
    <w:rsid w:val="0027355D"/>
    <w:rsid w:val="00276798"/>
    <w:rsid w:val="00277308"/>
    <w:rsid w:val="00280048"/>
    <w:rsid w:val="0028489E"/>
    <w:rsid w:val="002848DE"/>
    <w:rsid w:val="00285638"/>
    <w:rsid w:val="00285DD2"/>
    <w:rsid w:val="0028706B"/>
    <w:rsid w:val="0028794E"/>
    <w:rsid w:val="00290F5F"/>
    <w:rsid w:val="00291094"/>
    <w:rsid w:val="002A1A61"/>
    <w:rsid w:val="002A21BF"/>
    <w:rsid w:val="002A3B80"/>
    <w:rsid w:val="002A5841"/>
    <w:rsid w:val="002A63A1"/>
    <w:rsid w:val="002A75D1"/>
    <w:rsid w:val="002B199E"/>
    <w:rsid w:val="002B1EDF"/>
    <w:rsid w:val="002B2061"/>
    <w:rsid w:val="002B44AD"/>
    <w:rsid w:val="002B47B6"/>
    <w:rsid w:val="002C1232"/>
    <w:rsid w:val="002C1E44"/>
    <w:rsid w:val="002C2A5B"/>
    <w:rsid w:val="002C2E94"/>
    <w:rsid w:val="002C307A"/>
    <w:rsid w:val="002C5C92"/>
    <w:rsid w:val="002C5CE1"/>
    <w:rsid w:val="002C5E29"/>
    <w:rsid w:val="002C608B"/>
    <w:rsid w:val="002D0478"/>
    <w:rsid w:val="002D30A3"/>
    <w:rsid w:val="002D7127"/>
    <w:rsid w:val="002D7479"/>
    <w:rsid w:val="002E1F4C"/>
    <w:rsid w:val="002F2450"/>
    <w:rsid w:val="002F599E"/>
    <w:rsid w:val="002F7E0B"/>
    <w:rsid w:val="003008D8"/>
    <w:rsid w:val="00301D9A"/>
    <w:rsid w:val="00303959"/>
    <w:rsid w:val="00306E72"/>
    <w:rsid w:val="00307699"/>
    <w:rsid w:val="003102BD"/>
    <w:rsid w:val="0031292F"/>
    <w:rsid w:val="00312AC3"/>
    <w:rsid w:val="00312CE3"/>
    <w:rsid w:val="00314430"/>
    <w:rsid w:val="00315606"/>
    <w:rsid w:val="003163BC"/>
    <w:rsid w:val="003203CD"/>
    <w:rsid w:val="0032351A"/>
    <w:rsid w:val="00324B33"/>
    <w:rsid w:val="00327488"/>
    <w:rsid w:val="00331994"/>
    <w:rsid w:val="00336FE1"/>
    <w:rsid w:val="00337BD8"/>
    <w:rsid w:val="0034201B"/>
    <w:rsid w:val="00342D56"/>
    <w:rsid w:val="003434CD"/>
    <w:rsid w:val="00344DAD"/>
    <w:rsid w:val="00344E2B"/>
    <w:rsid w:val="003456E7"/>
    <w:rsid w:val="0034682F"/>
    <w:rsid w:val="00346EC2"/>
    <w:rsid w:val="003477F9"/>
    <w:rsid w:val="003512EC"/>
    <w:rsid w:val="003526F9"/>
    <w:rsid w:val="00354434"/>
    <w:rsid w:val="0035444D"/>
    <w:rsid w:val="00356D62"/>
    <w:rsid w:val="00357E29"/>
    <w:rsid w:val="0036164F"/>
    <w:rsid w:val="00362442"/>
    <w:rsid w:val="00363EE3"/>
    <w:rsid w:val="00366259"/>
    <w:rsid w:val="003735F3"/>
    <w:rsid w:val="00374396"/>
    <w:rsid w:val="00374729"/>
    <w:rsid w:val="003763DC"/>
    <w:rsid w:val="00380954"/>
    <w:rsid w:val="00381E68"/>
    <w:rsid w:val="00387298"/>
    <w:rsid w:val="00387984"/>
    <w:rsid w:val="0039066D"/>
    <w:rsid w:val="00393756"/>
    <w:rsid w:val="0039484A"/>
    <w:rsid w:val="00394C4F"/>
    <w:rsid w:val="00395140"/>
    <w:rsid w:val="003A135D"/>
    <w:rsid w:val="003A2422"/>
    <w:rsid w:val="003A3C68"/>
    <w:rsid w:val="003A4D66"/>
    <w:rsid w:val="003A561B"/>
    <w:rsid w:val="003A6F5E"/>
    <w:rsid w:val="003B149C"/>
    <w:rsid w:val="003B2680"/>
    <w:rsid w:val="003B3A79"/>
    <w:rsid w:val="003B487D"/>
    <w:rsid w:val="003C0FDB"/>
    <w:rsid w:val="003C1192"/>
    <w:rsid w:val="003C4B7E"/>
    <w:rsid w:val="003C55E2"/>
    <w:rsid w:val="003C63D5"/>
    <w:rsid w:val="003C685C"/>
    <w:rsid w:val="003C7A9C"/>
    <w:rsid w:val="003C7AA8"/>
    <w:rsid w:val="003D5EDF"/>
    <w:rsid w:val="003D71A1"/>
    <w:rsid w:val="003D7872"/>
    <w:rsid w:val="003E0666"/>
    <w:rsid w:val="003E171C"/>
    <w:rsid w:val="003E185C"/>
    <w:rsid w:val="003E4C48"/>
    <w:rsid w:val="003E759E"/>
    <w:rsid w:val="003E7CBE"/>
    <w:rsid w:val="003F5E29"/>
    <w:rsid w:val="003F5E59"/>
    <w:rsid w:val="003F6A91"/>
    <w:rsid w:val="003F78BB"/>
    <w:rsid w:val="004024C8"/>
    <w:rsid w:val="00402DC9"/>
    <w:rsid w:val="00403CE2"/>
    <w:rsid w:val="004067E9"/>
    <w:rsid w:val="00410389"/>
    <w:rsid w:val="00412DEB"/>
    <w:rsid w:val="00412FCA"/>
    <w:rsid w:val="00415890"/>
    <w:rsid w:val="0041688F"/>
    <w:rsid w:val="0042376F"/>
    <w:rsid w:val="004246B8"/>
    <w:rsid w:val="004248F1"/>
    <w:rsid w:val="00431C21"/>
    <w:rsid w:val="00433318"/>
    <w:rsid w:val="00434CB2"/>
    <w:rsid w:val="00435444"/>
    <w:rsid w:val="004364EB"/>
    <w:rsid w:val="004375B4"/>
    <w:rsid w:val="00440AF4"/>
    <w:rsid w:val="004417B1"/>
    <w:rsid w:val="00442A56"/>
    <w:rsid w:val="004444B0"/>
    <w:rsid w:val="004450A4"/>
    <w:rsid w:val="00447EB5"/>
    <w:rsid w:val="0045060B"/>
    <w:rsid w:val="004535A3"/>
    <w:rsid w:val="00456794"/>
    <w:rsid w:val="00457B22"/>
    <w:rsid w:val="004621BF"/>
    <w:rsid w:val="004626FF"/>
    <w:rsid w:val="004668DB"/>
    <w:rsid w:val="00470A52"/>
    <w:rsid w:val="0047179A"/>
    <w:rsid w:val="00471BD5"/>
    <w:rsid w:val="0047287E"/>
    <w:rsid w:val="00475FFB"/>
    <w:rsid w:val="004778A0"/>
    <w:rsid w:val="00477C4E"/>
    <w:rsid w:val="00477F07"/>
    <w:rsid w:val="0048048E"/>
    <w:rsid w:val="00480EBC"/>
    <w:rsid w:val="00481503"/>
    <w:rsid w:val="00481D12"/>
    <w:rsid w:val="00482B0D"/>
    <w:rsid w:val="0048358F"/>
    <w:rsid w:val="004854A6"/>
    <w:rsid w:val="00485813"/>
    <w:rsid w:val="00491149"/>
    <w:rsid w:val="004919A6"/>
    <w:rsid w:val="00491A55"/>
    <w:rsid w:val="00493AC9"/>
    <w:rsid w:val="0049472B"/>
    <w:rsid w:val="00494C3E"/>
    <w:rsid w:val="00497DF1"/>
    <w:rsid w:val="004A2FD2"/>
    <w:rsid w:val="004A318E"/>
    <w:rsid w:val="004A43C8"/>
    <w:rsid w:val="004A57E8"/>
    <w:rsid w:val="004B3081"/>
    <w:rsid w:val="004B35ED"/>
    <w:rsid w:val="004B4A09"/>
    <w:rsid w:val="004B535B"/>
    <w:rsid w:val="004C2BA3"/>
    <w:rsid w:val="004C3857"/>
    <w:rsid w:val="004C41CE"/>
    <w:rsid w:val="004C4703"/>
    <w:rsid w:val="004C631B"/>
    <w:rsid w:val="004C7525"/>
    <w:rsid w:val="004D07D3"/>
    <w:rsid w:val="004D2F00"/>
    <w:rsid w:val="004D31D8"/>
    <w:rsid w:val="004D5388"/>
    <w:rsid w:val="004E1390"/>
    <w:rsid w:val="004E7F16"/>
    <w:rsid w:val="004F0036"/>
    <w:rsid w:val="004F18EC"/>
    <w:rsid w:val="004F1DB8"/>
    <w:rsid w:val="004F3B1A"/>
    <w:rsid w:val="004F6E7F"/>
    <w:rsid w:val="004F70A6"/>
    <w:rsid w:val="00500D68"/>
    <w:rsid w:val="00502E92"/>
    <w:rsid w:val="00514387"/>
    <w:rsid w:val="00515314"/>
    <w:rsid w:val="0052216A"/>
    <w:rsid w:val="00522306"/>
    <w:rsid w:val="00523A22"/>
    <w:rsid w:val="00524622"/>
    <w:rsid w:val="0053377D"/>
    <w:rsid w:val="00535DFE"/>
    <w:rsid w:val="005373B5"/>
    <w:rsid w:val="00537AB7"/>
    <w:rsid w:val="00544773"/>
    <w:rsid w:val="005453C6"/>
    <w:rsid w:val="0054669B"/>
    <w:rsid w:val="00553938"/>
    <w:rsid w:val="0055528F"/>
    <w:rsid w:val="00556A2F"/>
    <w:rsid w:val="005610D1"/>
    <w:rsid w:val="00562F42"/>
    <w:rsid w:val="0056481B"/>
    <w:rsid w:val="00565739"/>
    <w:rsid w:val="0056766D"/>
    <w:rsid w:val="00567C54"/>
    <w:rsid w:val="00571A52"/>
    <w:rsid w:val="00575215"/>
    <w:rsid w:val="00576A56"/>
    <w:rsid w:val="00576AE1"/>
    <w:rsid w:val="0058575E"/>
    <w:rsid w:val="0058662B"/>
    <w:rsid w:val="0058783C"/>
    <w:rsid w:val="005911AE"/>
    <w:rsid w:val="005926E2"/>
    <w:rsid w:val="0059313A"/>
    <w:rsid w:val="005976CA"/>
    <w:rsid w:val="005A09DE"/>
    <w:rsid w:val="005A1002"/>
    <w:rsid w:val="005A18B7"/>
    <w:rsid w:val="005A2113"/>
    <w:rsid w:val="005A54EA"/>
    <w:rsid w:val="005A6FA2"/>
    <w:rsid w:val="005B023F"/>
    <w:rsid w:val="005B02A2"/>
    <w:rsid w:val="005B1417"/>
    <w:rsid w:val="005B1FB1"/>
    <w:rsid w:val="005B43B7"/>
    <w:rsid w:val="005B69CF"/>
    <w:rsid w:val="005B7B67"/>
    <w:rsid w:val="005C0912"/>
    <w:rsid w:val="005C12DA"/>
    <w:rsid w:val="005C2BBB"/>
    <w:rsid w:val="005C3F07"/>
    <w:rsid w:val="005C4154"/>
    <w:rsid w:val="005C47A5"/>
    <w:rsid w:val="005C4B46"/>
    <w:rsid w:val="005C5DC5"/>
    <w:rsid w:val="005D2089"/>
    <w:rsid w:val="005D30FA"/>
    <w:rsid w:val="005D7514"/>
    <w:rsid w:val="005E0D3E"/>
    <w:rsid w:val="005E0FC6"/>
    <w:rsid w:val="005E1A7B"/>
    <w:rsid w:val="005E231F"/>
    <w:rsid w:val="005E3697"/>
    <w:rsid w:val="005E6391"/>
    <w:rsid w:val="005F2FBC"/>
    <w:rsid w:val="005F3AF4"/>
    <w:rsid w:val="00602666"/>
    <w:rsid w:val="00602D6E"/>
    <w:rsid w:val="00605C05"/>
    <w:rsid w:val="00606683"/>
    <w:rsid w:val="0060713E"/>
    <w:rsid w:val="00607416"/>
    <w:rsid w:val="00611351"/>
    <w:rsid w:val="0061217D"/>
    <w:rsid w:val="006127A5"/>
    <w:rsid w:val="006208B2"/>
    <w:rsid w:val="0062106B"/>
    <w:rsid w:val="00623F0F"/>
    <w:rsid w:val="006274AF"/>
    <w:rsid w:val="006277A1"/>
    <w:rsid w:val="0063026E"/>
    <w:rsid w:val="006312D8"/>
    <w:rsid w:val="00631E09"/>
    <w:rsid w:val="00633BD7"/>
    <w:rsid w:val="00634580"/>
    <w:rsid w:val="00634884"/>
    <w:rsid w:val="006351D9"/>
    <w:rsid w:val="00635D4D"/>
    <w:rsid w:val="00635FAB"/>
    <w:rsid w:val="0063677F"/>
    <w:rsid w:val="00637130"/>
    <w:rsid w:val="00637F0E"/>
    <w:rsid w:val="00641473"/>
    <w:rsid w:val="006423F2"/>
    <w:rsid w:val="00647FF2"/>
    <w:rsid w:val="00650234"/>
    <w:rsid w:val="00652E1F"/>
    <w:rsid w:val="0066044B"/>
    <w:rsid w:val="006609CE"/>
    <w:rsid w:val="00661983"/>
    <w:rsid w:val="006630AA"/>
    <w:rsid w:val="00663544"/>
    <w:rsid w:val="00665E69"/>
    <w:rsid w:val="00666539"/>
    <w:rsid w:val="00666911"/>
    <w:rsid w:val="00666E64"/>
    <w:rsid w:val="00671C03"/>
    <w:rsid w:val="00671C9D"/>
    <w:rsid w:val="00671CFC"/>
    <w:rsid w:val="00671D08"/>
    <w:rsid w:val="00675F81"/>
    <w:rsid w:val="006774DE"/>
    <w:rsid w:val="00680C70"/>
    <w:rsid w:val="006810D3"/>
    <w:rsid w:val="0068143E"/>
    <w:rsid w:val="00681F9D"/>
    <w:rsid w:val="0068211C"/>
    <w:rsid w:val="0068507D"/>
    <w:rsid w:val="00691AF2"/>
    <w:rsid w:val="00692B80"/>
    <w:rsid w:val="00692CCD"/>
    <w:rsid w:val="00692D51"/>
    <w:rsid w:val="00692DFA"/>
    <w:rsid w:val="00694041"/>
    <w:rsid w:val="00694DD7"/>
    <w:rsid w:val="0069636B"/>
    <w:rsid w:val="006A1762"/>
    <w:rsid w:val="006A1F0B"/>
    <w:rsid w:val="006A277A"/>
    <w:rsid w:val="006A5973"/>
    <w:rsid w:val="006A5AFF"/>
    <w:rsid w:val="006A6D04"/>
    <w:rsid w:val="006B080D"/>
    <w:rsid w:val="006B6A4A"/>
    <w:rsid w:val="006B7126"/>
    <w:rsid w:val="006C063C"/>
    <w:rsid w:val="006C27E9"/>
    <w:rsid w:val="006C6B86"/>
    <w:rsid w:val="006D01C5"/>
    <w:rsid w:val="006D29DA"/>
    <w:rsid w:val="006D3528"/>
    <w:rsid w:val="006D4553"/>
    <w:rsid w:val="006D4A35"/>
    <w:rsid w:val="006D5D55"/>
    <w:rsid w:val="006D6B44"/>
    <w:rsid w:val="006D6FA7"/>
    <w:rsid w:val="006E24A9"/>
    <w:rsid w:val="006E27FE"/>
    <w:rsid w:val="006E58A7"/>
    <w:rsid w:val="006E64BB"/>
    <w:rsid w:val="006E7E65"/>
    <w:rsid w:val="006F1265"/>
    <w:rsid w:val="006F5B22"/>
    <w:rsid w:val="006F5C9C"/>
    <w:rsid w:val="006F6CB1"/>
    <w:rsid w:val="006F6D82"/>
    <w:rsid w:val="00701110"/>
    <w:rsid w:val="00701276"/>
    <w:rsid w:val="00702E91"/>
    <w:rsid w:val="0070330F"/>
    <w:rsid w:val="00703624"/>
    <w:rsid w:val="00703C80"/>
    <w:rsid w:val="007046ED"/>
    <w:rsid w:val="00705495"/>
    <w:rsid w:val="007072A1"/>
    <w:rsid w:val="0070771D"/>
    <w:rsid w:val="00707D36"/>
    <w:rsid w:val="00710BC5"/>
    <w:rsid w:val="007121CA"/>
    <w:rsid w:val="00714C14"/>
    <w:rsid w:val="00717080"/>
    <w:rsid w:val="0072003B"/>
    <w:rsid w:val="00721059"/>
    <w:rsid w:val="007211E6"/>
    <w:rsid w:val="007220C4"/>
    <w:rsid w:val="00723C15"/>
    <w:rsid w:val="00724A44"/>
    <w:rsid w:val="00727B73"/>
    <w:rsid w:val="007309B7"/>
    <w:rsid w:val="00730EE1"/>
    <w:rsid w:val="00732361"/>
    <w:rsid w:val="0073318B"/>
    <w:rsid w:val="0073389C"/>
    <w:rsid w:val="00734FED"/>
    <w:rsid w:val="007357B9"/>
    <w:rsid w:val="00735D4C"/>
    <w:rsid w:val="00735DF7"/>
    <w:rsid w:val="00741AB9"/>
    <w:rsid w:val="00742D03"/>
    <w:rsid w:val="00743860"/>
    <w:rsid w:val="00743E4F"/>
    <w:rsid w:val="00744216"/>
    <w:rsid w:val="00744F21"/>
    <w:rsid w:val="007451E0"/>
    <w:rsid w:val="007452E8"/>
    <w:rsid w:val="00746990"/>
    <w:rsid w:val="00747093"/>
    <w:rsid w:val="00747319"/>
    <w:rsid w:val="00750D70"/>
    <w:rsid w:val="00753345"/>
    <w:rsid w:val="007575D0"/>
    <w:rsid w:val="00760963"/>
    <w:rsid w:val="00761717"/>
    <w:rsid w:val="007622F3"/>
    <w:rsid w:val="00763F1E"/>
    <w:rsid w:val="00764C73"/>
    <w:rsid w:val="00765040"/>
    <w:rsid w:val="007662E0"/>
    <w:rsid w:val="00766361"/>
    <w:rsid w:val="0076740F"/>
    <w:rsid w:val="007702A1"/>
    <w:rsid w:val="00770DE1"/>
    <w:rsid w:val="00771EFD"/>
    <w:rsid w:val="00772771"/>
    <w:rsid w:val="00773E57"/>
    <w:rsid w:val="00776E00"/>
    <w:rsid w:val="00776E9C"/>
    <w:rsid w:val="007816D8"/>
    <w:rsid w:val="00781774"/>
    <w:rsid w:val="00781AFC"/>
    <w:rsid w:val="007839E7"/>
    <w:rsid w:val="00784150"/>
    <w:rsid w:val="0078728C"/>
    <w:rsid w:val="00793272"/>
    <w:rsid w:val="0079499A"/>
    <w:rsid w:val="00794B64"/>
    <w:rsid w:val="007967C3"/>
    <w:rsid w:val="00797A58"/>
    <w:rsid w:val="007A0A33"/>
    <w:rsid w:val="007A11B5"/>
    <w:rsid w:val="007A163D"/>
    <w:rsid w:val="007A341B"/>
    <w:rsid w:val="007A3E40"/>
    <w:rsid w:val="007A54D6"/>
    <w:rsid w:val="007A5DC0"/>
    <w:rsid w:val="007B04DE"/>
    <w:rsid w:val="007B0AE6"/>
    <w:rsid w:val="007B69C9"/>
    <w:rsid w:val="007B6BC1"/>
    <w:rsid w:val="007C0F0B"/>
    <w:rsid w:val="007C16A4"/>
    <w:rsid w:val="007C2D2F"/>
    <w:rsid w:val="007C33F5"/>
    <w:rsid w:val="007C57BC"/>
    <w:rsid w:val="007D02CE"/>
    <w:rsid w:val="007D04CA"/>
    <w:rsid w:val="007D0A2B"/>
    <w:rsid w:val="007D12A1"/>
    <w:rsid w:val="007D298C"/>
    <w:rsid w:val="007D40E5"/>
    <w:rsid w:val="007D4138"/>
    <w:rsid w:val="007D5263"/>
    <w:rsid w:val="007E100F"/>
    <w:rsid w:val="007E4178"/>
    <w:rsid w:val="007E5603"/>
    <w:rsid w:val="007F0A77"/>
    <w:rsid w:val="007F1E37"/>
    <w:rsid w:val="007F28EE"/>
    <w:rsid w:val="007F50D3"/>
    <w:rsid w:val="007F5799"/>
    <w:rsid w:val="007F6B1F"/>
    <w:rsid w:val="00802678"/>
    <w:rsid w:val="00802E03"/>
    <w:rsid w:val="00804897"/>
    <w:rsid w:val="00807501"/>
    <w:rsid w:val="008135B7"/>
    <w:rsid w:val="008140FD"/>
    <w:rsid w:val="00820337"/>
    <w:rsid w:val="00823A6A"/>
    <w:rsid w:val="00827A5A"/>
    <w:rsid w:val="008329DB"/>
    <w:rsid w:val="00834D9A"/>
    <w:rsid w:val="0083525E"/>
    <w:rsid w:val="008360B8"/>
    <w:rsid w:val="008361C5"/>
    <w:rsid w:val="0083628F"/>
    <w:rsid w:val="00837AB9"/>
    <w:rsid w:val="00840408"/>
    <w:rsid w:val="00841562"/>
    <w:rsid w:val="008426BD"/>
    <w:rsid w:val="0084335B"/>
    <w:rsid w:val="00844812"/>
    <w:rsid w:val="00844AA0"/>
    <w:rsid w:val="008458C1"/>
    <w:rsid w:val="008465C6"/>
    <w:rsid w:val="00850637"/>
    <w:rsid w:val="00853C60"/>
    <w:rsid w:val="00854D98"/>
    <w:rsid w:val="0085751E"/>
    <w:rsid w:val="008606A2"/>
    <w:rsid w:val="00860B29"/>
    <w:rsid w:val="008622E8"/>
    <w:rsid w:val="008645EE"/>
    <w:rsid w:val="008650F5"/>
    <w:rsid w:val="00865C40"/>
    <w:rsid w:val="00870144"/>
    <w:rsid w:val="00873D7A"/>
    <w:rsid w:val="00875230"/>
    <w:rsid w:val="008755B1"/>
    <w:rsid w:val="00877CB3"/>
    <w:rsid w:val="008804CF"/>
    <w:rsid w:val="00882D58"/>
    <w:rsid w:val="00882F19"/>
    <w:rsid w:val="00883D35"/>
    <w:rsid w:val="00884569"/>
    <w:rsid w:val="008849FA"/>
    <w:rsid w:val="00885769"/>
    <w:rsid w:val="00885F69"/>
    <w:rsid w:val="008864F3"/>
    <w:rsid w:val="00886694"/>
    <w:rsid w:val="00886710"/>
    <w:rsid w:val="00887A51"/>
    <w:rsid w:val="00887D36"/>
    <w:rsid w:val="00890D9B"/>
    <w:rsid w:val="00891C6C"/>
    <w:rsid w:val="00893CCD"/>
    <w:rsid w:val="008964B3"/>
    <w:rsid w:val="008A123E"/>
    <w:rsid w:val="008A1A96"/>
    <w:rsid w:val="008A363B"/>
    <w:rsid w:val="008B0356"/>
    <w:rsid w:val="008B1CB5"/>
    <w:rsid w:val="008B4720"/>
    <w:rsid w:val="008B71B4"/>
    <w:rsid w:val="008C1AE5"/>
    <w:rsid w:val="008C2D69"/>
    <w:rsid w:val="008C49C6"/>
    <w:rsid w:val="008C754C"/>
    <w:rsid w:val="008C78A5"/>
    <w:rsid w:val="008D1765"/>
    <w:rsid w:val="008D1F96"/>
    <w:rsid w:val="008D2889"/>
    <w:rsid w:val="008D2FCF"/>
    <w:rsid w:val="008D44E2"/>
    <w:rsid w:val="008D4B83"/>
    <w:rsid w:val="008D56C9"/>
    <w:rsid w:val="008D6A54"/>
    <w:rsid w:val="008E1A44"/>
    <w:rsid w:val="008E2585"/>
    <w:rsid w:val="008E27A0"/>
    <w:rsid w:val="008E2D7A"/>
    <w:rsid w:val="008E3061"/>
    <w:rsid w:val="008E396C"/>
    <w:rsid w:val="008F1D9E"/>
    <w:rsid w:val="008F2531"/>
    <w:rsid w:val="008F27BC"/>
    <w:rsid w:val="008F2A43"/>
    <w:rsid w:val="008F3215"/>
    <w:rsid w:val="008F4A62"/>
    <w:rsid w:val="008F652F"/>
    <w:rsid w:val="008F6A88"/>
    <w:rsid w:val="008F7256"/>
    <w:rsid w:val="009000DF"/>
    <w:rsid w:val="00900EAB"/>
    <w:rsid w:val="009020CB"/>
    <w:rsid w:val="00903509"/>
    <w:rsid w:val="00904159"/>
    <w:rsid w:val="0090424C"/>
    <w:rsid w:val="0090605E"/>
    <w:rsid w:val="009108CE"/>
    <w:rsid w:val="00915A9F"/>
    <w:rsid w:val="00923003"/>
    <w:rsid w:val="0092606E"/>
    <w:rsid w:val="00926DE6"/>
    <w:rsid w:val="00930D58"/>
    <w:rsid w:val="009344F2"/>
    <w:rsid w:val="00935138"/>
    <w:rsid w:val="00935AAA"/>
    <w:rsid w:val="00942A52"/>
    <w:rsid w:val="00943887"/>
    <w:rsid w:val="0094582A"/>
    <w:rsid w:val="009460C1"/>
    <w:rsid w:val="00947AE7"/>
    <w:rsid w:val="0095031E"/>
    <w:rsid w:val="00954297"/>
    <w:rsid w:val="00955D42"/>
    <w:rsid w:val="00960A56"/>
    <w:rsid w:val="00961CEF"/>
    <w:rsid w:val="0096322D"/>
    <w:rsid w:val="00966EF1"/>
    <w:rsid w:val="00967223"/>
    <w:rsid w:val="00967BBF"/>
    <w:rsid w:val="009721D3"/>
    <w:rsid w:val="009751F7"/>
    <w:rsid w:val="00975CC8"/>
    <w:rsid w:val="00976A91"/>
    <w:rsid w:val="009778CB"/>
    <w:rsid w:val="00980BFA"/>
    <w:rsid w:val="0098350E"/>
    <w:rsid w:val="00985AEC"/>
    <w:rsid w:val="00986BCD"/>
    <w:rsid w:val="00990C12"/>
    <w:rsid w:val="00991DE4"/>
    <w:rsid w:val="0099229C"/>
    <w:rsid w:val="00992680"/>
    <w:rsid w:val="009932B4"/>
    <w:rsid w:val="00993B93"/>
    <w:rsid w:val="0099404F"/>
    <w:rsid w:val="00995C47"/>
    <w:rsid w:val="00996E51"/>
    <w:rsid w:val="00996FA5"/>
    <w:rsid w:val="00997A15"/>
    <w:rsid w:val="009A1A48"/>
    <w:rsid w:val="009A1A62"/>
    <w:rsid w:val="009A315F"/>
    <w:rsid w:val="009A4706"/>
    <w:rsid w:val="009A4E55"/>
    <w:rsid w:val="009A50DD"/>
    <w:rsid w:val="009A6290"/>
    <w:rsid w:val="009A7F99"/>
    <w:rsid w:val="009B1F14"/>
    <w:rsid w:val="009B36FE"/>
    <w:rsid w:val="009B5662"/>
    <w:rsid w:val="009B7884"/>
    <w:rsid w:val="009C0783"/>
    <w:rsid w:val="009C2211"/>
    <w:rsid w:val="009C274A"/>
    <w:rsid w:val="009C40E8"/>
    <w:rsid w:val="009C4256"/>
    <w:rsid w:val="009C45C5"/>
    <w:rsid w:val="009C5B07"/>
    <w:rsid w:val="009C6E99"/>
    <w:rsid w:val="009D5146"/>
    <w:rsid w:val="009D64F8"/>
    <w:rsid w:val="009D759E"/>
    <w:rsid w:val="009E1F94"/>
    <w:rsid w:val="009E31DA"/>
    <w:rsid w:val="009E39E1"/>
    <w:rsid w:val="009E43E0"/>
    <w:rsid w:val="009E56DE"/>
    <w:rsid w:val="009E6858"/>
    <w:rsid w:val="009E6DDC"/>
    <w:rsid w:val="009E6F8C"/>
    <w:rsid w:val="009F1C04"/>
    <w:rsid w:val="009F34DB"/>
    <w:rsid w:val="009F405F"/>
    <w:rsid w:val="009F62B7"/>
    <w:rsid w:val="00A01C56"/>
    <w:rsid w:val="00A01FD2"/>
    <w:rsid w:val="00A12164"/>
    <w:rsid w:val="00A1273E"/>
    <w:rsid w:val="00A12EC0"/>
    <w:rsid w:val="00A168A1"/>
    <w:rsid w:val="00A24B24"/>
    <w:rsid w:val="00A25604"/>
    <w:rsid w:val="00A32C50"/>
    <w:rsid w:val="00A358E7"/>
    <w:rsid w:val="00A36664"/>
    <w:rsid w:val="00A41F27"/>
    <w:rsid w:val="00A4380B"/>
    <w:rsid w:val="00A454C7"/>
    <w:rsid w:val="00A46194"/>
    <w:rsid w:val="00A51A2D"/>
    <w:rsid w:val="00A52146"/>
    <w:rsid w:val="00A55692"/>
    <w:rsid w:val="00A5596B"/>
    <w:rsid w:val="00A567DF"/>
    <w:rsid w:val="00A56F0E"/>
    <w:rsid w:val="00A60287"/>
    <w:rsid w:val="00A63C07"/>
    <w:rsid w:val="00A63D9B"/>
    <w:rsid w:val="00A6542E"/>
    <w:rsid w:val="00A661AC"/>
    <w:rsid w:val="00A66933"/>
    <w:rsid w:val="00A66AC2"/>
    <w:rsid w:val="00A704DC"/>
    <w:rsid w:val="00A7096F"/>
    <w:rsid w:val="00A742A3"/>
    <w:rsid w:val="00A74C05"/>
    <w:rsid w:val="00A76434"/>
    <w:rsid w:val="00A80DA9"/>
    <w:rsid w:val="00A81F12"/>
    <w:rsid w:val="00A868ED"/>
    <w:rsid w:val="00A86D07"/>
    <w:rsid w:val="00A90BEB"/>
    <w:rsid w:val="00A90D4B"/>
    <w:rsid w:val="00A928F0"/>
    <w:rsid w:val="00A93DC6"/>
    <w:rsid w:val="00A9411A"/>
    <w:rsid w:val="00AA1A22"/>
    <w:rsid w:val="00AA4A4B"/>
    <w:rsid w:val="00AA6682"/>
    <w:rsid w:val="00AB0613"/>
    <w:rsid w:val="00AB0E9A"/>
    <w:rsid w:val="00AB34BE"/>
    <w:rsid w:val="00AB7C5C"/>
    <w:rsid w:val="00AB7CBF"/>
    <w:rsid w:val="00AC282E"/>
    <w:rsid w:val="00AC34B7"/>
    <w:rsid w:val="00AC4512"/>
    <w:rsid w:val="00AD0111"/>
    <w:rsid w:val="00AD4C72"/>
    <w:rsid w:val="00AD5451"/>
    <w:rsid w:val="00AE1947"/>
    <w:rsid w:val="00AE53ED"/>
    <w:rsid w:val="00AE7CFC"/>
    <w:rsid w:val="00AF1C8B"/>
    <w:rsid w:val="00AF299B"/>
    <w:rsid w:val="00AF7E43"/>
    <w:rsid w:val="00B02AE0"/>
    <w:rsid w:val="00B03C5F"/>
    <w:rsid w:val="00B04728"/>
    <w:rsid w:val="00B05326"/>
    <w:rsid w:val="00B073BA"/>
    <w:rsid w:val="00B13975"/>
    <w:rsid w:val="00B14545"/>
    <w:rsid w:val="00B14D90"/>
    <w:rsid w:val="00B14E60"/>
    <w:rsid w:val="00B159C2"/>
    <w:rsid w:val="00B167BD"/>
    <w:rsid w:val="00B16AC4"/>
    <w:rsid w:val="00B16D27"/>
    <w:rsid w:val="00B17BA2"/>
    <w:rsid w:val="00B246CB"/>
    <w:rsid w:val="00B26DC3"/>
    <w:rsid w:val="00B30B9D"/>
    <w:rsid w:val="00B4574D"/>
    <w:rsid w:val="00B45956"/>
    <w:rsid w:val="00B468E1"/>
    <w:rsid w:val="00B46A06"/>
    <w:rsid w:val="00B46BC0"/>
    <w:rsid w:val="00B46DFB"/>
    <w:rsid w:val="00B47F5A"/>
    <w:rsid w:val="00B5141B"/>
    <w:rsid w:val="00B55681"/>
    <w:rsid w:val="00B55C07"/>
    <w:rsid w:val="00B56220"/>
    <w:rsid w:val="00B5638C"/>
    <w:rsid w:val="00B56A49"/>
    <w:rsid w:val="00B575D5"/>
    <w:rsid w:val="00B57AAD"/>
    <w:rsid w:val="00B6055A"/>
    <w:rsid w:val="00B607CF"/>
    <w:rsid w:val="00B60CC2"/>
    <w:rsid w:val="00B62667"/>
    <w:rsid w:val="00B642C0"/>
    <w:rsid w:val="00B72B16"/>
    <w:rsid w:val="00B76E25"/>
    <w:rsid w:val="00B80408"/>
    <w:rsid w:val="00B806A6"/>
    <w:rsid w:val="00B81397"/>
    <w:rsid w:val="00B859D3"/>
    <w:rsid w:val="00B85D1E"/>
    <w:rsid w:val="00B925DB"/>
    <w:rsid w:val="00B94636"/>
    <w:rsid w:val="00B9563D"/>
    <w:rsid w:val="00B9582F"/>
    <w:rsid w:val="00B95C04"/>
    <w:rsid w:val="00B967FF"/>
    <w:rsid w:val="00B974B9"/>
    <w:rsid w:val="00B97D94"/>
    <w:rsid w:val="00BA112B"/>
    <w:rsid w:val="00BA33C7"/>
    <w:rsid w:val="00BA3F6D"/>
    <w:rsid w:val="00BA48F7"/>
    <w:rsid w:val="00BA4BE6"/>
    <w:rsid w:val="00BA4FC0"/>
    <w:rsid w:val="00BA6101"/>
    <w:rsid w:val="00BA61E0"/>
    <w:rsid w:val="00BA6489"/>
    <w:rsid w:val="00BA6696"/>
    <w:rsid w:val="00BA7F7D"/>
    <w:rsid w:val="00BB0576"/>
    <w:rsid w:val="00BB0EB4"/>
    <w:rsid w:val="00BB1C14"/>
    <w:rsid w:val="00BB1CF7"/>
    <w:rsid w:val="00BB32F7"/>
    <w:rsid w:val="00BB6847"/>
    <w:rsid w:val="00BB7F8F"/>
    <w:rsid w:val="00BC12F1"/>
    <w:rsid w:val="00BC17C0"/>
    <w:rsid w:val="00BC1CA6"/>
    <w:rsid w:val="00BC6841"/>
    <w:rsid w:val="00BC716A"/>
    <w:rsid w:val="00BC7708"/>
    <w:rsid w:val="00BD07DF"/>
    <w:rsid w:val="00BD1677"/>
    <w:rsid w:val="00BD26F4"/>
    <w:rsid w:val="00BD3B0F"/>
    <w:rsid w:val="00BD5DBD"/>
    <w:rsid w:val="00BD5DF6"/>
    <w:rsid w:val="00BD6BB8"/>
    <w:rsid w:val="00BD6D87"/>
    <w:rsid w:val="00BE0041"/>
    <w:rsid w:val="00BE1B0B"/>
    <w:rsid w:val="00BE2730"/>
    <w:rsid w:val="00BE640F"/>
    <w:rsid w:val="00BF0B8A"/>
    <w:rsid w:val="00BF235D"/>
    <w:rsid w:val="00BF4638"/>
    <w:rsid w:val="00C020B9"/>
    <w:rsid w:val="00C059D0"/>
    <w:rsid w:val="00C07551"/>
    <w:rsid w:val="00C07869"/>
    <w:rsid w:val="00C10005"/>
    <w:rsid w:val="00C10E32"/>
    <w:rsid w:val="00C1109F"/>
    <w:rsid w:val="00C1149D"/>
    <w:rsid w:val="00C12831"/>
    <w:rsid w:val="00C12D65"/>
    <w:rsid w:val="00C133AB"/>
    <w:rsid w:val="00C13AC3"/>
    <w:rsid w:val="00C158A3"/>
    <w:rsid w:val="00C20B56"/>
    <w:rsid w:val="00C21DF9"/>
    <w:rsid w:val="00C22214"/>
    <w:rsid w:val="00C2307A"/>
    <w:rsid w:val="00C26F72"/>
    <w:rsid w:val="00C309A7"/>
    <w:rsid w:val="00C32065"/>
    <w:rsid w:val="00C335AB"/>
    <w:rsid w:val="00C349D8"/>
    <w:rsid w:val="00C407AB"/>
    <w:rsid w:val="00C4318A"/>
    <w:rsid w:val="00C43F60"/>
    <w:rsid w:val="00C52B7B"/>
    <w:rsid w:val="00C530F3"/>
    <w:rsid w:val="00C542B9"/>
    <w:rsid w:val="00C547CD"/>
    <w:rsid w:val="00C55A02"/>
    <w:rsid w:val="00C570FF"/>
    <w:rsid w:val="00C57CEA"/>
    <w:rsid w:val="00C60FEC"/>
    <w:rsid w:val="00C6574E"/>
    <w:rsid w:val="00C65C32"/>
    <w:rsid w:val="00C707FD"/>
    <w:rsid w:val="00C7081B"/>
    <w:rsid w:val="00C72077"/>
    <w:rsid w:val="00C76593"/>
    <w:rsid w:val="00C76B9E"/>
    <w:rsid w:val="00C76DEB"/>
    <w:rsid w:val="00C811D8"/>
    <w:rsid w:val="00C816C6"/>
    <w:rsid w:val="00C823EB"/>
    <w:rsid w:val="00C863A7"/>
    <w:rsid w:val="00C86BDD"/>
    <w:rsid w:val="00C904B3"/>
    <w:rsid w:val="00C912F4"/>
    <w:rsid w:val="00C9156F"/>
    <w:rsid w:val="00C91A50"/>
    <w:rsid w:val="00C9581A"/>
    <w:rsid w:val="00C96B58"/>
    <w:rsid w:val="00C97D29"/>
    <w:rsid w:val="00CA2DCB"/>
    <w:rsid w:val="00CA7747"/>
    <w:rsid w:val="00CA7D7A"/>
    <w:rsid w:val="00CA7F96"/>
    <w:rsid w:val="00CB0550"/>
    <w:rsid w:val="00CB12C7"/>
    <w:rsid w:val="00CB2948"/>
    <w:rsid w:val="00CB3675"/>
    <w:rsid w:val="00CB6813"/>
    <w:rsid w:val="00CC226A"/>
    <w:rsid w:val="00CC4743"/>
    <w:rsid w:val="00CD1AFC"/>
    <w:rsid w:val="00CD31C6"/>
    <w:rsid w:val="00CD754D"/>
    <w:rsid w:val="00CE0F39"/>
    <w:rsid w:val="00CE12C4"/>
    <w:rsid w:val="00CE3C23"/>
    <w:rsid w:val="00CE60FB"/>
    <w:rsid w:val="00CE6710"/>
    <w:rsid w:val="00CE6DE9"/>
    <w:rsid w:val="00CF4260"/>
    <w:rsid w:val="00CF6A55"/>
    <w:rsid w:val="00CF6DC6"/>
    <w:rsid w:val="00CF6DCF"/>
    <w:rsid w:val="00CF76E8"/>
    <w:rsid w:val="00D01DDB"/>
    <w:rsid w:val="00D0750A"/>
    <w:rsid w:val="00D078BE"/>
    <w:rsid w:val="00D100B0"/>
    <w:rsid w:val="00D13F8A"/>
    <w:rsid w:val="00D13FFA"/>
    <w:rsid w:val="00D16F60"/>
    <w:rsid w:val="00D20034"/>
    <w:rsid w:val="00D22981"/>
    <w:rsid w:val="00D26A0E"/>
    <w:rsid w:val="00D3349B"/>
    <w:rsid w:val="00D37991"/>
    <w:rsid w:val="00D379A5"/>
    <w:rsid w:val="00D40582"/>
    <w:rsid w:val="00D424A8"/>
    <w:rsid w:val="00D43766"/>
    <w:rsid w:val="00D456B0"/>
    <w:rsid w:val="00D50D0D"/>
    <w:rsid w:val="00D55EE6"/>
    <w:rsid w:val="00D6036F"/>
    <w:rsid w:val="00D62245"/>
    <w:rsid w:val="00D62877"/>
    <w:rsid w:val="00D63760"/>
    <w:rsid w:val="00D66750"/>
    <w:rsid w:val="00D6703F"/>
    <w:rsid w:val="00D734EB"/>
    <w:rsid w:val="00D7640A"/>
    <w:rsid w:val="00D7766C"/>
    <w:rsid w:val="00D8094E"/>
    <w:rsid w:val="00D82713"/>
    <w:rsid w:val="00D84B24"/>
    <w:rsid w:val="00D85D67"/>
    <w:rsid w:val="00D86F00"/>
    <w:rsid w:val="00D918D5"/>
    <w:rsid w:val="00D92CDB"/>
    <w:rsid w:val="00D94C8E"/>
    <w:rsid w:val="00D95D23"/>
    <w:rsid w:val="00D9623B"/>
    <w:rsid w:val="00DA1DAF"/>
    <w:rsid w:val="00DA7847"/>
    <w:rsid w:val="00DB1372"/>
    <w:rsid w:val="00DB1534"/>
    <w:rsid w:val="00DB192C"/>
    <w:rsid w:val="00DB1CF3"/>
    <w:rsid w:val="00DB5425"/>
    <w:rsid w:val="00DB72A6"/>
    <w:rsid w:val="00DB76CF"/>
    <w:rsid w:val="00DC03C7"/>
    <w:rsid w:val="00DC2033"/>
    <w:rsid w:val="00DC2744"/>
    <w:rsid w:val="00DC3C8B"/>
    <w:rsid w:val="00DC4C4C"/>
    <w:rsid w:val="00DC6611"/>
    <w:rsid w:val="00DD5DEC"/>
    <w:rsid w:val="00DD6B00"/>
    <w:rsid w:val="00DE1344"/>
    <w:rsid w:val="00DE1D64"/>
    <w:rsid w:val="00DE2E41"/>
    <w:rsid w:val="00DE399E"/>
    <w:rsid w:val="00DE4F12"/>
    <w:rsid w:val="00DF17EC"/>
    <w:rsid w:val="00DF529F"/>
    <w:rsid w:val="00DF5BFE"/>
    <w:rsid w:val="00DF6592"/>
    <w:rsid w:val="00DF6A79"/>
    <w:rsid w:val="00E005B3"/>
    <w:rsid w:val="00E00831"/>
    <w:rsid w:val="00E01DEF"/>
    <w:rsid w:val="00E0501F"/>
    <w:rsid w:val="00E0523F"/>
    <w:rsid w:val="00E05757"/>
    <w:rsid w:val="00E05A51"/>
    <w:rsid w:val="00E10B73"/>
    <w:rsid w:val="00E171BE"/>
    <w:rsid w:val="00E20022"/>
    <w:rsid w:val="00E22979"/>
    <w:rsid w:val="00E23E50"/>
    <w:rsid w:val="00E24C29"/>
    <w:rsid w:val="00E26213"/>
    <w:rsid w:val="00E274DF"/>
    <w:rsid w:val="00E31DF0"/>
    <w:rsid w:val="00E33AB8"/>
    <w:rsid w:val="00E34D66"/>
    <w:rsid w:val="00E362C4"/>
    <w:rsid w:val="00E36A47"/>
    <w:rsid w:val="00E41E52"/>
    <w:rsid w:val="00E422FE"/>
    <w:rsid w:val="00E42BCC"/>
    <w:rsid w:val="00E42CD7"/>
    <w:rsid w:val="00E4335C"/>
    <w:rsid w:val="00E43487"/>
    <w:rsid w:val="00E469B8"/>
    <w:rsid w:val="00E46CC2"/>
    <w:rsid w:val="00E47E0C"/>
    <w:rsid w:val="00E51813"/>
    <w:rsid w:val="00E51EAC"/>
    <w:rsid w:val="00E52C0B"/>
    <w:rsid w:val="00E53D3F"/>
    <w:rsid w:val="00E5579B"/>
    <w:rsid w:val="00E560B2"/>
    <w:rsid w:val="00E56975"/>
    <w:rsid w:val="00E57FF4"/>
    <w:rsid w:val="00E60190"/>
    <w:rsid w:val="00E607B4"/>
    <w:rsid w:val="00E60917"/>
    <w:rsid w:val="00E6138C"/>
    <w:rsid w:val="00E662F9"/>
    <w:rsid w:val="00E679D1"/>
    <w:rsid w:val="00E67C1C"/>
    <w:rsid w:val="00E7135E"/>
    <w:rsid w:val="00E742AF"/>
    <w:rsid w:val="00E77A55"/>
    <w:rsid w:val="00E822CB"/>
    <w:rsid w:val="00E828F6"/>
    <w:rsid w:val="00E83A80"/>
    <w:rsid w:val="00E86D7A"/>
    <w:rsid w:val="00E915AD"/>
    <w:rsid w:val="00E91F11"/>
    <w:rsid w:val="00E935AF"/>
    <w:rsid w:val="00E9706D"/>
    <w:rsid w:val="00EA033C"/>
    <w:rsid w:val="00EA0F3D"/>
    <w:rsid w:val="00EA1FCF"/>
    <w:rsid w:val="00EA3AF4"/>
    <w:rsid w:val="00EA4C5D"/>
    <w:rsid w:val="00EB4FE5"/>
    <w:rsid w:val="00EB71B3"/>
    <w:rsid w:val="00EC29CC"/>
    <w:rsid w:val="00EC4875"/>
    <w:rsid w:val="00EC6985"/>
    <w:rsid w:val="00EC6D5A"/>
    <w:rsid w:val="00EC7F98"/>
    <w:rsid w:val="00ED0273"/>
    <w:rsid w:val="00ED178C"/>
    <w:rsid w:val="00EE0495"/>
    <w:rsid w:val="00EE37D1"/>
    <w:rsid w:val="00EE4CA4"/>
    <w:rsid w:val="00EF3F0B"/>
    <w:rsid w:val="00EF5583"/>
    <w:rsid w:val="00F01EC4"/>
    <w:rsid w:val="00F0289D"/>
    <w:rsid w:val="00F02AEC"/>
    <w:rsid w:val="00F0373F"/>
    <w:rsid w:val="00F06F1D"/>
    <w:rsid w:val="00F07572"/>
    <w:rsid w:val="00F07BF9"/>
    <w:rsid w:val="00F157FC"/>
    <w:rsid w:val="00F17EB2"/>
    <w:rsid w:val="00F20468"/>
    <w:rsid w:val="00F207C7"/>
    <w:rsid w:val="00F303FC"/>
    <w:rsid w:val="00F30AF3"/>
    <w:rsid w:val="00F30B9B"/>
    <w:rsid w:val="00F31643"/>
    <w:rsid w:val="00F34ED1"/>
    <w:rsid w:val="00F34F82"/>
    <w:rsid w:val="00F4399C"/>
    <w:rsid w:val="00F43CD1"/>
    <w:rsid w:val="00F45A8A"/>
    <w:rsid w:val="00F45AE0"/>
    <w:rsid w:val="00F46499"/>
    <w:rsid w:val="00F51015"/>
    <w:rsid w:val="00F51BD9"/>
    <w:rsid w:val="00F5335D"/>
    <w:rsid w:val="00F54A8F"/>
    <w:rsid w:val="00F57995"/>
    <w:rsid w:val="00F60CF2"/>
    <w:rsid w:val="00F6165C"/>
    <w:rsid w:val="00F657B4"/>
    <w:rsid w:val="00F71CD6"/>
    <w:rsid w:val="00F72725"/>
    <w:rsid w:val="00F7649F"/>
    <w:rsid w:val="00F770A0"/>
    <w:rsid w:val="00F8083B"/>
    <w:rsid w:val="00F82527"/>
    <w:rsid w:val="00F82D1B"/>
    <w:rsid w:val="00F84FAD"/>
    <w:rsid w:val="00F865A7"/>
    <w:rsid w:val="00F876CC"/>
    <w:rsid w:val="00F91DDB"/>
    <w:rsid w:val="00F92B07"/>
    <w:rsid w:val="00F92EA5"/>
    <w:rsid w:val="00F94C0F"/>
    <w:rsid w:val="00F95FC8"/>
    <w:rsid w:val="00FA0754"/>
    <w:rsid w:val="00FA1BC9"/>
    <w:rsid w:val="00FA49C3"/>
    <w:rsid w:val="00FB236E"/>
    <w:rsid w:val="00FB2F45"/>
    <w:rsid w:val="00FB3F7B"/>
    <w:rsid w:val="00FB4C2A"/>
    <w:rsid w:val="00FC0B86"/>
    <w:rsid w:val="00FC1551"/>
    <w:rsid w:val="00FC2107"/>
    <w:rsid w:val="00FC48FE"/>
    <w:rsid w:val="00FC6F56"/>
    <w:rsid w:val="00FC7F12"/>
    <w:rsid w:val="00FD0A6E"/>
    <w:rsid w:val="00FE087C"/>
    <w:rsid w:val="00FE0EB2"/>
    <w:rsid w:val="00FE0EFE"/>
    <w:rsid w:val="00FE79A0"/>
    <w:rsid w:val="00FF0939"/>
    <w:rsid w:val="00FF14E5"/>
    <w:rsid w:val="00FF1A83"/>
    <w:rsid w:val="00FF1D2C"/>
    <w:rsid w:val="00FF48EF"/>
    <w:rsid w:val="00FF6525"/>
    <w:rsid w:val="151824BB"/>
    <w:rsid w:val="2619F727"/>
    <w:rsid w:val="2F7764CC"/>
    <w:rsid w:val="3520B0C5"/>
    <w:rsid w:val="3AF46718"/>
    <w:rsid w:val="3B5BF5AD"/>
    <w:rsid w:val="3DAD5E94"/>
    <w:rsid w:val="4EE6C68B"/>
    <w:rsid w:val="578082F2"/>
    <w:rsid w:val="6BFEAB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9AE21031-2200-41E4-9E44-553941AFD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B03C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70549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6028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Times New Roman Bold" w:hAnsi="Times New Roman Bold"/>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B03C5F"/>
    <w:rPr>
      <w:rFonts w:asciiTheme="majorHAnsi" w:eastAsiaTheme="majorEastAsia" w:hAnsiTheme="majorHAnsi" w:cstheme="majorBidi"/>
      <w:color w:val="2F5496" w:themeColor="accent1" w:themeShade="BF"/>
      <w:sz w:val="32"/>
      <w:szCs w:val="32"/>
    </w:rPr>
  </w:style>
  <w:style w:type="character" w:customStyle="1" w:styleId="Heading7Char">
    <w:name w:val="Heading 7 Char"/>
    <w:basedOn w:val="DefaultParagraphFont"/>
    <w:link w:val="Heading7"/>
    <w:uiPriority w:val="9"/>
    <w:rsid w:val="00705495"/>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A60287"/>
    <w:rPr>
      <w:rFonts w:asciiTheme="majorHAnsi" w:eastAsiaTheme="majorEastAsia" w:hAnsiTheme="majorHAnsi" w:cstheme="majorBidi"/>
      <w:color w:val="272727" w:themeColor="text1" w:themeTint="D8"/>
      <w:sz w:val="21"/>
      <w:szCs w:val="21"/>
    </w:rPr>
  </w:style>
  <w:style w:type="paragraph" w:styleId="EndnoteText">
    <w:name w:val="endnote text"/>
    <w:basedOn w:val="Normal"/>
    <w:link w:val="EndnoteTextChar"/>
    <w:uiPriority w:val="99"/>
    <w:semiHidden/>
    <w:unhideWhenUsed/>
    <w:rsid w:val="00A74C05"/>
    <w:pPr>
      <w:spacing w:after="0" w:line="240" w:lineRule="auto"/>
    </w:pPr>
    <w:rPr>
      <w:sz w:val="20"/>
    </w:rPr>
  </w:style>
  <w:style w:type="character" w:customStyle="1" w:styleId="EndnoteTextChar">
    <w:name w:val="Endnote Text Char"/>
    <w:basedOn w:val="DefaultParagraphFont"/>
    <w:link w:val="EndnoteText"/>
    <w:uiPriority w:val="99"/>
    <w:semiHidden/>
    <w:rsid w:val="00A74C05"/>
    <w:rPr>
      <w:rFonts w:ascii="Cambria" w:hAnsi="Cambria"/>
    </w:rPr>
  </w:style>
  <w:style w:type="character" w:styleId="EndnoteReference">
    <w:name w:val="endnote reference"/>
    <w:basedOn w:val="DefaultParagraphFont"/>
    <w:uiPriority w:val="99"/>
    <w:semiHidden/>
    <w:unhideWhenUsed/>
    <w:rsid w:val="00A74C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6492">
      <w:bodyDiv w:val="1"/>
      <w:marLeft w:val="0"/>
      <w:marRight w:val="0"/>
      <w:marTop w:val="0"/>
      <w:marBottom w:val="0"/>
      <w:divBdr>
        <w:top w:val="none" w:sz="0" w:space="0" w:color="auto"/>
        <w:left w:val="none" w:sz="0" w:space="0" w:color="auto"/>
        <w:bottom w:val="none" w:sz="0" w:space="0" w:color="auto"/>
        <w:right w:val="none" w:sz="0" w:space="0" w:color="auto"/>
      </w:divBdr>
    </w:div>
    <w:div w:id="252014313">
      <w:bodyDiv w:val="1"/>
      <w:marLeft w:val="0"/>
      <w:marRight w:val="0"/>
      <w:marTop w:val="0"/>
      <w:marBottom w:val="0"/>
      <w:divBdr>
        <w:top w:val="none" w:sz="0" w:space="0" w:color="auto"/>
        <w:left w:val="none" w:sz="0" w:space="0" w:color="auto"/>
        <w:bottom w:val="none" w:sz="0" w:space="0" w:color="auto"/>
        <w:right w:val="none" w:sz="0" w:space="0" w:color="auto"/>
      </w:divBdr>
      <w:divsChild>
        <w:div w:id="260257316">
          <w:marLeft w:val="0"/>
          <w:marRight w:val="0"/>
          <w:marTop w:val="0"/>
          <w:marBottom w:val="0"/>
          <w:divBdr>
            <w:top w:val="none" w:sz="0" w:space="0" w:color="auto"/>
            <w:left w:val="none" w:sz="0" w:space="0" w:color="auto"/>
            <w:bottom w:val="none" w:sz="0" w:space="0" w:color="auto"/>
            <w:right w:val="none" w:sz="0" w:space="0" w:color="auto"/>
          </w:divBdr>
          <w:divsChild>
            <w:div w:id="1894736596">
              <w:marLeft w:val="0"/>
              <w:marRight w:val="0"/>
              <w:marTop w:val="0"/>
              <w:marBottom w:val="0"/>
              <w:divBdr>
                <w:top w:val="none" w:sz="0" w:space="0" w:color="auto"/>
                <w:left w:val="none" w:sz="0" w:space="0" w:color="auto"/>
                <w:bottom w:val="none" w:sz="0" w:space="0" w:color="auto"/>
                <w:right w:val="none" w:sz="0" w:space="0" w:color="auto"/>
              </w:divBdr>
              <w:divsChild>
                <w:div w:id="15694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5521">
      <w:bodyDiv w:val="1"/>
      <w:marLeft w:val="0"/>
      <w:marRight w:val="0"/>
      <w:marTop w:val="0"/>
      <w:marBottom w:val="0"/>
      <w:divBdr>
        <w:top w:val="none" w:sz="0" w:space="0" w:color="auto"/>
        <w:left w:val="none" w:sz="0" w:space="0" w:color="auto"/>
        <w:bottom w:val="none" w:sz="0" w:space="0" w:color="auto"/>
        <w:right w:val="none" w:sz="0" w:space="0" w:color="auto"/>
      </w:divBdr>
    </w:div>
    <w:div w:id="583690720">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42319581">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727341656">
      <w:bodyDiv w:val="1"/>
      <w:marLeft w:val="0"/>
      <w:marRight w:val="0"/>
      <w:marTop w:val="0"/>
      <w:marBottom w:val="0"/>
      <w:divBdr>
        <w:top w:val="none" w:sz="0" w:space="0" w:color="auto"/>
        <w:left w:val="none" w:sz="0" w:space="0" w:color="auto"/>
        <w:bottom w:val="none" w:sz="0" w:space="0" w:color="auto"/>
        <w:right w:val="none" w:sz="0" w:space="0" w:color="auto"/>
      </w:divBdr>
    </w:div>
    <w:div w:id="1089499186">
      <w:bodyDiv w:val="1"/>
      <w:marLeft w:val="0"/>
      <w:marRight w:val="0"/>
      <w:marTop w:val="0"/>
      <w:marBottom w:val="0"/>
      <w:divBdr>
        <w:top w:val="none" w:sz="0" w:space="0" w:color="auto"/>
        <w:left w:val="none" w:sz="0" w:space="0" w:color="auto"/>
        <w:bottom w:val="none" w:sz="0" w:space="0" w:color="auto"/>
        <w:right w:val="none" w:sz="0" w:space="0" w:color="auto"/>
      </w:divBdr>
    </w:div>
    <w:div w:id="1257516579">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51832034">
      <w:bodyDiv w:val="1"/>
      <w:marLeft w:val="0"/>
      <w:marRight w:val="0"/>
      <w:marTop w:val="0"/>
      <w:marBottom w:val="0"/>
      <w:divBdr>
        <w:top w:val="none" w:sz="0" w:space="0" w:color="auto"/>
        <w:left w:val="none" w:sz="0" w:space="0" w:color="auto"/>
        <w:bottom w:val="none" w:sz="0" w:space="0" w:color="auto"/>
        <w:right w:val="none" w:sz="0" w:space="0" w:color="auto"/>
      </w:divBdr>
    </w:div>
    <w:div w:id="1500584328">
      <w:bodyDiv w:val="1"/>
      <w:marLeft w:val="0"/>
      <w:marRight w:val="0"/>
      <w:marTop w:val="0"/>
      <w:marBottom w:val="0"/>
      <w:divBdr>
        <w:top w:val="none" w:sz="0" w:space="0" w:color="auto"/>
        <w:left w:val="none" w:sz="0" w:space="0" w:color="auto"/>
        <w:bottom w:val="none" w:sz="0" w:space="0" w:color="auto"/>
        <w:right w:val="none" w:sz="0" w:space="0" w:color="auto"/>
      </w:divBdr>
    </w:div>
    <w:div w:id="1583104265">
      <w:bodyDiv w:val="1"/>
      <w:marLeft w:val="0"/>
      <w:marRight w:val="0"/>
      <w:marTop w:val="0"/>
      <w:marBottom w:val="0"/>
      <w:divBdr>
        <w:top w:val="none" w:sz="0" w:space="0" w:color="auto"/>
        <w:left w:val="none" w:sz="0" w:space="0" w:color="auto"/>
        <w:bottom w:val="none" w:sz="0" w:space="0" w:color="auto"/>
        <w:right w:val="none" w:sz="0" w:space="0" w:color="auto"/>
      </w:divBdr>
    </w:div>
    <w:div w:id="1597208453">
      <w:bodyDiv w:val="1"/>
      <w:marLeft w:val="0"/>
      <w:marRight w:val="0"/>
      <w:marTop w:val="0"/>
      <w:marBottom w:val="0"/>
      <w:divBdr>
        <w:top w:val="none" w:sz="0" w:space="0" w:color="auto"/>
        <w:left w:val="none" w:sz="0" w:space="0" w:color="auto"/>
        <w:bottom w:val="none" w:sz="0" w:space="0" w:color="auto"/>
        <w:right w:val="none" w:sz="0" w:space="0" w:color="auto"/>
      </w:divBdr>
    </w:div>
    <w:div w:id="1815441029">
      <w:bodyDiv w:val="1"/>
      <w:marLeft w:val="0"/>
      <w:marRight w:val="0"/>
      <w:marTop w:val="0"/>
      <w:marBottom w:val="0"/>
      <w:divBdr>
        <w:top w:val="none" w:sz="0" w:space="0" w:color="auto"/>
        <w:left w:val="none" w:sz="0" w:space="0" w:color="auto"/>
        <w:bottom w:val="none" w:sz="0" w:space="0" w:color="auto"/>
        <w:right w:val="none" w:sz="0" w:space="0" w:color="auto"/>
      </w:divBdr>
      <w:divsChild>
        <w:div w:id="88821581">
          <w:marLeft w:val="0"/>
          <w:marRight w:val="0"/>
          <w:marTop w:val="0"/>
          <w:marBottom w:val="0"/>
          <w:divBdr>
            <w:top w:val="none" w:sz="0" w:space="0" w:color="auto"/>
            <w:left w:val="none" w:sz="0" w:space="0" w:color="auto"/>
            <w:bottom w:val="none" w:sz="0" w:space="0" w:color="auto"/>
            <w:right w:val="none" w:sz="0" w:space="0" w:color="auto"/>
          </w:divBdr>
          <w:divsChild>
            <w:div w:id="161436985">
              <w:marLeft w:val="0"/>
              <w:marRight w:val="0"/>
              <w:marTop w:val="0"/>
              <w:marBottom w:val="0"/>
              <w:divBdr>
                <w:top w:val="none" w:sz="0" w:space="0" w:color="auto"/>
                <w:left w:val="none" w:sz="0" w:space="0" w:color="auto"/>
                <w:bottom w:val="none" w:sz="0" w:space="0" w:color="auto"/>
                <w:right w:val="none" w:sz="0" w:space="0" w:color="auto"/>
              </w:divBdr>
              <w:divsChild>
                <w:div w:id="95571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77518">
      <w:bodyDiv w:val="1"/>
      <w:marLeft w:val="0"/>
      <w:marRight w:val="0"/>
      <w:marTop w:val="0"/>
      <w:marBottom w:val="0"/>
      <w:divBdr>
        <w:top w:val="none" w:sz="0" w:space="0" w:color="auto"/>
        <w:left w:val="none" w:sz="0" w:space="0" w:color="auto"/>
        <w:bottom w:val="none" w:sz="0" w:space="0" w:color="auto"/>
        <w:right w:val="none" w:sz="0" w:space="0" w:color="auto"/>
      </w:divBdr>
    </w:div>
    <w:div w:id="1984263474">
      <w:bodyDiv w:val="1"/>
      <w:marLeft w:val="0"/>
      <w:marRight w:val="0"/>
      <w:marTop w:val="0"/>
      <w:marBottom w:val="0"/>
      <w:divBdr>
        <w:top w:val="none" w:sz="0" w:space="0" w:color="auto"/>
        <w:left w:val="none" w:sz="0" w:space="0" w:color="auto"/>
        <w:bottom w:val="none" w:sz="0" w:space="0" w:color="auto"/>
        <w:right w:val="none" w:sz="0" w:space="0" w:color="auto"/>
      </w:divBdr>
    </w:div>
    <w:div w:id="203450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5.png"/><Relationship Id="rId39" Type="http://schemas.microsoft.com/office/2007/relationships/hdphoto" Target="media/hdphoto5.wdp"/><Relationship Id="rId21" Type="http://schemas.openxmlformats.org/officeDocument/2006/relationships/hyperlink" Target="https://www.tga.gov.au/australia-canada-singapore-switzerland-united-kingdom-access-consortium" TargetMode="External"/><Relationship Id="rId34" Type="http://schemas.openxmlformats.org/officeDocument/2006/relationships/image" Target="media/image11.png"/><Relationship Id="rId42" Type="http://schemas.microsoft.com/office/2007/relationships/hdphoto" Target="media/hdphoto6.wdp"/><Relationship Id="rId47" Type="http://schemas.openxmlformats.org/officeDocument/2006/relationships/image" Target="media/image20.png"/><Relationship Id="rId50" Type="http://schemas.openxmlformats.org/officeDocument/2006/relationships/hyperlink" Target="https://www.tga.gov.au/committee/advisory-committee-medicines-acm" TargetMode="External"/><Relationship Id="rId55" Type="http://schemas.openxmlformats.org/officeDocument/2006/relationships/header" Target="header3.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obstetric-drug-information-services" TargetMode="External"/><Relationship Id="rId29" Type="http://schemas.openxmlformats.org/officeDocument/2006/relationships/image" Target="media/image7.png"/><Relationship Id="rId41" Type="http://schemas.openxmlformats.org/officeDocument/2006/relationships/image" Target="media/image16.png"/><Relationship Id="rId54" Type="http://schemas.openxmlformats.org/officeDocument/2006/relationships/hyperlink" Target="https://www.ebs.tga.gov.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07/relationships/hdphoto" Target="media/hdphoto1.wdp"/><Relationship Id="rId32" Type="http://schemas.openxmlformats.org/officeDocument/2006/relationships/image" Target="media/image10.png"/><Relationship Id="rId37" Type="http://schemas.microsoft.com/office/2007/relationships/hdphoto" Target="media/hdphoto4.wdp"/><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hyperlink" Target="https://www.tga.gov.au/resources/guidance/submitting-certified-product-details-cpd-biological-prescription-medicines" TargetMode="External"/><Relationship Id="rId58" Type="http://schemas.openxmlformats.org/officeDocument/2006/relationships/hyperlink" Target="https://www.tga.gov.au" TargetMode="Externa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image" Target="media/image4.png"/><Relationship Id="rId28" Type="http://schemas.microsoft.com/office/2007/relationships/hdphoto" Target="media/hdphoto2.wdp"/><Relationship Id="rId36" Type="http://schemas.openxmlformats.org/officeDocument/2006/relationships/image" Target="media/image13.png"/><Relationship Id="rId49" Type="http://schemas.openxmlformats.org/officeDocument/2006/relationships/image" Target="media/image22.png"/><Relationship Id="rId57" Type="http://schemas.openxmlformats.org/officeDocument/2006/relationships/hyperlink" Target="mailto:info@tga.gov.au" TargetMode="External"/><Relationship Id="rId61"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hyperlink" Target="https://www.tga.gov.au/resources/resource/forms/certified-product-details-cpd-biological-prescription-medicines"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how-we-regulate/supply-therapeutic-good-0/supply-prescription-medicine/application-process/prescription-medicines-registration-process"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tga.gov.au/resources/laboratory-test-result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hyperlink" Target="https://link.springer.com/book/10.1007/978-3-319-32562-0" TargetMode="External"/><Relationship Id="rId33" Type="http://schemas.microsoft.com/office/2007/relationships/hdphoto" Target="media/hdphoto3.wdp"/><Relationship Id="rId38" Type="http://schemas.openxmlformats.org/officeDocument/2006/relationships/image" Target="media/image14.png"/><Relationship Id="rId46" Type="http://schemas.microsoft.com/office/2007/relationships/hdphoto" Target="media/hdphoto7.wdp"/><Relationship Id="rId59" Type="http://schemas.openxmlformats.org/officeDocument/2006/relationships/hyperlink" Target="el://D25-2768525?db=A7&amp;ope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E7218A245DA4044986369A104784657" ma:contentTypeVersion="6" ma:contentTypeDescription="Create a new document." ma:contentTypeScope="" ma:versionID="e8ff6b37d51344152093cc1ad9c1b459">
  <xsd:schema xmlns:xsd="http://www.w3.org/2001/XMLSchema" xmlns:xs="http://www.w3.org/2001/XMLSchema" xmlns:p="http://schemas.microsoft.com/office/2006/metadata/properties" xmlns:ns2="deed491c-68cf-443c-a55c-5237b359a81a" xmlns:ns3="77e2e2d3-d835-4ef5-86d1-e02e61192db6" targetNamespace="http://schemas.microsoft.com/office/2006/metadata/properties" ma:root="true" ma:fieldsID="2cc1fae7c2ce86ecbd86c9ff9a7f4188" ns2:_="" ns3:_="">
    <xsd:import namespace="deed491c-68cf-443c-a55c-5237b359a81a"/>
    <xsd:import namespace="77e2e2d3-d835-4ef5-86d1-e02e61192d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d491c-68cf-443c-a55c-5237b359a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e2e2d3-d835-4ef5-86d1-e02e61192d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B670CD-380C-4124-ACA2-CB0D29E3F640}">
  <ds:schemaRefs>
    <ds:schemaRef ds:uri="http://schemas.microsoft.com/sharepoint/v3/contenttype/forms"/>
  </ds:schemaRefs>
</ds:datastoreItem>
</file>

<file path=customXml/itemProps2.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3.xml><?xml version="1.0" encoding="utf-8"?>
<ds:datastoreItem xmlns:ds="http://schemas.openxmlformats.org/officeDocument/2006/customXml" ds:itemID="{DE5CCB9A-94E0-4C57-B12D-4E3E60E1B105}">
  <ds:schemaRefs>
    <ds:schemaRef ds:uri="http://schemas.microsoft.com/office/infopath/2007/PartnerControls"/>
    <ds:schemaRef ds:uri="77e2e2d3-d835-4ef5-86d1-e02e61192db6"/>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deed491c-68cf-443c-a55c-5237b359a81a"/>
    <ds:schemaRef ds:uri="http://www.w3.org/XML/1998/namespace"/>
  </ds:schemaRefs>
</ds:datastoreItem>
</file>

<file path=customXml/itemProps4.xml><?xml version="1.0" encoding="utf-8"?>
<ds:datastoreItem xmlns:ds="http://schemas.openxmlformats.org/officeDocument/2006/customXml" ds:itemID="{83BE868B-3A83-48B2-BE5D-5A94132FE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ed491c-68cf-443c-a55c-5237b359a81a"/>
    <ds:schemaRef ds:uri="77e2e2d3-d835-4ef5-86d1-e02e61192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47</Pages>
  <Words>14922</Words>
  <Characters>85059</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Australian public assessment report for Rystiggo</vt:lpstr>
    </vt:vector>
  </TitlesOfParts>
  <Company>Department of Health, Disability and Ageing</Company>
  <LinksUpToDate>false</LinksUpToDate>
  <CharactersWithSpaces>99782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Rystiggo</dc:title>
  <dc:subject>Prescription medicines</dc:subject>
  <dc:creator>Therapeutic Goods Administration</dc:creator>
  <cp:keywords/>
  <dc:description/>
  <cp:lastModifiedBy>LACK, Janet</cp:lastModifiedBy>
  <cp:revision>4</cp:revision>
  <cp:lastPrinted>2025-07-31T03:43:00Z</cp:lastPrinted>
  <dcterms:created xsi:type="dcterms:W3CDTF">2025-07-30T22:35:00Z</dcterms:created>
  <dcterms:modified xsi:type="dcterms:W3CDTF">2025-07-31T03:47:00Z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0x0101002E7218A245DA4044986369A104784657</vt:lpwstr>
  </property>
</Properties>
</file>