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7B3D5ED8" w:rsidR="00F02AEC" w:rsidRPr="00215D48" w:rsidRDefault="00346EC2" w:rsidP="007452E8">
            <w:pPr>
              <w:pStyle w:val="Title"/>
            </w:pPr>
            <w:r w:rsidRPr="00346EC2">
              <w:t xml:space="preserve">Australian Public Assessment Report for </w:t>
            </w:r>
            <w:r w:rsidR="00E21428" w:rsidRPr="00E21428">
              <w:t>RELFYDESS</w:t>
            </w:r>
          </w:p>
        </w:tc>
      </w:tr>
      <w:tr w:rsidR="00F02AEC" w:rsidRPr="00215D48" w14:paraId="318A40A3" w14:textId="77777777" w:rsidTr="00346EC2">
        <w:trPr>
          <w:trHeight w:val="995"/>
        </w:trPr>
        <w:tc>
          <w:tcPr>
            <w:tcW w:w="8720" w:type="dxa"/>
          </w:tcPr>
          <w:p w14:paraId="1AA7C701" w14:textId="4E81CD4F" w:rsidR="00F02AEC" w:rsidRPr="00215D48" w:rsidRDefault="00346EC2" w:rsidP="007452E8">
            <w:pPr>
              <w:pStyle w:val="Subtitle"/>
              <w:ind w:left="0"/>
            </w:pPr>
            <w:r w:rsidRPr="00346EC2">
              <w:t xml:space="preserve">Active ingredient: </w:t>
            </w:r>
            <w:proofErr w:type="spellStart"/>
            <w:r w:rsidR="00DD5E0C">
              <w:t>R</w:t>
            </w:r>
            <w:r w:rsidR="005B4398" w:rsidRPr="005B4398">
              <w:t>elabotulinumtoxinA</w:t>
            </w:r>
            <w:proofErr w:type="spellEnd"/>
          </w:p>
        </w:tc>
      </w:tr>
      <w:tr w:rsidR="00346EC2" w:rsidRPr="00215D48" w14:paraId="362CCAE4" w14:textId="77777777" w:rsidTr="007452E8">
        <w:trPr>
          <w:trHeight w:val="1916"/>
        </w:trPr>
        <w:tc>
          <w:tcPr>
            <w:tcW w:w="8720" w:type="dxa"/>
          </w:tcPr>
          <w:p w14:paraId="709C45C0" w14:textId="3193853D" w:rsidR="00346EC2" w:rsidRPr="00215D48" w:rsidRDefault="00346EC2" w:rsidP="007452E8">
            <w:pPr>
              <w:pStyle w:val="Subtitle"/>
              <w:ind w:left="0"/>
            </w:pPr>
            <w:r w:rsidRPr="00346EC2">
              <w:t xml:space="preserve">Sponsor: </w:t>
            </w:r>
            <w:r w:rsidR="00844413" w:rsidRPr="00844413">
              <w:t>Ipsen Pty Ltd</w:t>
            </w:r>
          </w:p>
        </w:tc>
      </w:tr>
      <w:tr w:rsidR="00F02AEC" w:rsidRPr="00215D48" w14:paraId="37F2AA1F" w14:textId="77777777" w:rsidTr="007452E8">
        <w:tc>
          <w:tcPr>
            <w:tcW w:w="8720" w:type="dxa"/>
          </w:tcPr>
          <w:p w14:paraId="1FDE8DCD" w14:textId="5B7C600D" w:rsidR="00F02AEC" w:rsidRPr="00215D48" w:rsidRDefault="00DD5E0C" w:rsidP="007452E8">
            <w:pPr>
              <w:pStyle w:val="Date"/>
            </w:pPr>
            <w:r>
              <w:t>July</w:t>
            </w:r>
            <w:r w:rsidR="00844413">
              <w:t xml:space="preserve">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A63C07">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010FE2EE" w:rsidR="00346EC2" w:rsidRPr="003C6D1F" w:rsidRDefault="00346EC2" w:rsidP="00346EC2">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w:t>
      </w:r>
      <w:proofErr w:type="spellStart"/>
      <w:r>
        <w:t>AusPAR</w:t>
      </w:r>
      <w:proofErr w:type="spellEnd"/>
      <w:r>
        <w:t xml:space="preserve"> is an important part of the transparency of the TGA’s decision-making process.</w:t>
      </w:r>
    </w:p>
    <w:p w14:paraId="4D69F5CF" w14:textId="77777777" w:rsidR="00346EC2" w:rsidRPr="003C6D1F" w:rsidRDefault="00346EC2" w:rsidP="00346EC2">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96829F4"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4BA01C37" w14:textId="167CDDC2" w:rsidR="00A568AA"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05297299" w:history="1">
            <w:r w:rsidR="00A568AA" w:rsidRPr="004C55F4">
              <w:rPr>
                <w:rStyle w:val="Hyperlink"/>
                <w:noProof/>
              </w:rPr>
              <w:t>List of abbreviations</w:t>
            </w:r>
            <w:r w:rsidR="00A568AA">
              <w:rPr>
                <w:noProof/>
                <w:webHidden/>
              </w:rPr>
              <w:tab/>
            </w:r>
            <w:r w:rsidR="00A568AA">
              <w:rPr>
                <w:noProof/>
                <w:webHidden/>
              </w:rPr>
              <w:fldChar w:fldCharType="begin"/>
            </w:r>
            <w:r w:rsidR="00A568AA">
              <w:rPr>
                <w:noProof/>
                <w:webHidden/>
              </w:rPr>
              <w:instrText xml:space="preserve"> PAGEREF _Toc205297299 \h </w:instrText>
            </w:r>
            <w:r w:rsidR="00A568AA">
              <w:rPr>
                <w:noProof/>
                <w:webHidden/>
              </w:rPr>
            </w:r>
            <w:r w:rsidR="00A568AA">
              <w:rPr>
                <w:noProof/>
                <w:webHidden/>
              </w:rPr>
              <w:fldChar w:fldCharType="separate"/>
            </w:r>
            <w:r w:rsidR="00A568AA">
              <w:rPr>
                <w:noProof/>
                <w:webHidden/>
              </w:rPr>
              <w:t>4</w:t>
            </w:r>
            <w:r w:rsidR="00A568AA">
              <w:rPr>
                <w:noProof/>
                <w:webHidden/>
              </w:rPr>
              <w:fldChar w:fldCharType="end"/>
            </w:r>
          </w:hyperlink>
        </w:p>
        <w:p w14:paraId="58674744" w14:textId="698BD8C1" w:rsidR="00A568AA" w:rsidRDefault="00A568A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297300" w:history="1">
            <w:r w:rsidRPr="004C55F4">
              <w:rPr>
                <w:rStyle w:val="Hyperlink"/>
                <w:noProof/>
              </w:rPr>
              <w:t>RELFYDESS (relabotulinumtoxinA) submission</w:t>
            </w:r>
            <w:r>
              <w:rPr>
                <w:noProof/>
                <w:webHidden/>
              </w:rPr>
              <w:tab/>
            </w:r>
            <w:r>
              <w:rPr>
                <w:noProof/>
                <w:webHidden/>
              </w:rPr>
              <w:fldChar w:fldCharType="begin"/>
            </w:r>
            <w:r>
              <w:rPr>
                <w:noProof/>
                <w:webHidden/>
              </w:rPr>
              <w:instrText xml:space="preserve"> PAGEREF _Toc205297300 \h </w:instrText>
            </w:r>
            <w:r>
              <w:rPr>
                <w:noProof/>
                <w:webHidden/>
              </w:rPr>
            </w:r>
            <w:r>
              <w:rPr>
                <w:noProof/>
                <w:webHidden/>
              </w:rPr>
              <w:fldChar w:fldCharType="separate"/>
            </w:r>
            <w:r>
              <w:rPr>
                <w:noProof/>
                <w:webHidden/>
              </w:rPr>
              <w:t>5</w:t>
            </w:r>
            <w:r>
              <w:rPr>
                <w:noProof/>
                <w:webHidden/>
              </w:rPr>
              <w:fldChar w:fldCharType="end"/>
            </w:r>
          </w:hyperlink>
        </w:p>
        <w:p w14:paraId="0D25DB04" w14:textId="765897D6"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01" w:history="1">
            <w:r w:rsidRPr="004C55F4">
              <w:rPr>
                <w:rStyle w:val="Hyperlink"/>
                <w:noProof/>
              </w:rPr>
              <w:t>Proposed indication</w:t>
            </w:r>
            <w:r>
              <w:rPr>
                <w:noProof/>
                <w:webHidden/>
              </w:rPr>
              <w:tab/>
            </w:r>
            <w:r>
              <w:rPr>
                <w:noProof/>
                <w:webHidden/>
              </w:rPr>
              <w:fldChar w:fldCharType="begin"/>
            </w:r>
            <w:r>
              <w:rPr>
                <w:noProof/>
                <w:webHidden/>
              </w:rPr>
              <w:instrText xml:space="preserve"> PAGEREF _Toc205297301 \h </w:instrText>
            </w:r>
            <w:r>
              <w:rPr>
                <w:noProof/>
                <w:webHidden/>
              </w:rPr>
            </w:r>
            <w:r>
              <w:rPr>
                <w:noProof/>
                <w:webHidden/>
              </w:rPr>
              <w:fldChar w:fldCharType="separate"/>
            </w:r>
            <w:r>
              <w:rPr>
                <w:noProof/>
                <w:webHidden/>
              </w:rPr>
              <w:t>6</w:t>
            </w:r>
            <w:r>
              <w:rPr>
                <w:noProof/>
                <w:webHidden/>
              </w:rPr>
              <w:fldChar w:fldCharType="end"/>
            </w:r>
          </w:hyperlink>
        </w:p>
        <w:p w14:paraId="004FDDBB" w14:textId="2878C225"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02" w:history="1">
            <w:r w:rsidRPr="004C55F4">
              <w:rPr>
                <w:rStyle w:val="Hyperlink"/>
                <w:noProof/>
              </w:rPr>
              <w:t>The condition</w:t>
            </w:r>
            <w:r>
              <w:rPr>
                <w:noProof/>
                <w:webHidden/>
              </w:rPr>
              <w:tab/>
            </w:r>
            <w:r>
              <w:rPr>
                <w:noProof/>
                <w:webHidden/>
              </w:rPr>
              <w:fldChar w:fldCharType="begin"/>
            </w:r>
            <w:r>
              <w:rPr>
                <w:noProof/>
                <w:webHidden/>
              </w:rPr>
              <w:instrText xml:space="preserve"> PAGEREF _Toc205297302 \h </w:instrText>
            </w:r>
            <w:r>
              <w:rPr>
                <w:noProof/>
                <w:webHidden/>
              </w:rPr>
            </w:r>
            <w:r>
              <w:rPr>
                <w:noProof/>
                <w:webHidden/>
              </w:rPr>
              <w:fldChar w:fldCharType="separate"/>
            </w:r>
            <w:r>
              <w:rPr>
                <w:noProof/>
                <w:webHidden/>
              </w:rPr>
              <w:t>6</w:t>
            </w:r>
            <w:r>
              <w:rPr>
                <w:noProof/>
                <w:webHidden/>
              </w:rPr>
              <w:fldChar w:fldCharType="end"/>
            </w:r>
          </w:hyperlink>
        </w:p>
        <w:p w14:paraId="12FA0808" w14:textId="53A9EE8C"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03" w:history="1">
            <w:r w:rsidRPr="004C55F4">
              <w:rPr>
                <w:rStyle w:val="Hyperlink"/>
                <w:noProof/>
              </w:rPr>
              <w:t>Current treatment options</w:t>
            </w:r>
            <w:r>
              <w:rPr>
                <w:noProof/>
                <w:webHidden/>
              </w:rPr>
              <w:tab/>
            </w:r>
            <w:r>
              <w:rPr>
                <w:noProof/>
                <w:webHidden/>
              </w:rPr>
              <w:fldChar w:fldCharType="begin"/>
            </w:r>
            <w:r>
              <w:rPr>
                <w:noProof/>
                <w:webHidden/>
              </w:rPr>
              <w:instrText xml:space="preserve"> PAGEREF _Toc205297303 \h </w:instrText>
            </w:r>
            <w:r>
              <w:rPr>
                <w:noProof/>
                <w:webHidden/>
              </w:rPr>
            </w:r>
            <w:r>
              <w:rPr>
                <w:noProof/>
                <w:webHidden/>
              </w:rPr>
              <w:fldChar w:fldCharType="separate"/>
            </w:r>
            <w:r>
              <w:rPr>
                <w:noProof/>
                <w:webHidden/>
              </w:rPr>
              <w:t>6</w:t>
            </w:r>
            <w:r>
              <w:rPr>
                <w:noProof/>
                <w:webHidden/>
              </w:rPr>
              <w:fldChar w:fldCharType="end"/>
            </w:r>
          </w:hyperlink>
        </w:p>
        <w:p w14:paraId="1D12DE1F" w14:textId="36A63D30"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04" w:history="1">
            <w:r w:rsidRPr="004C55F4">
              <w:rPr>
                <w:rStyle w:val="Hyperlink"/>
                <w:noProof/>
              </w:rPr>
              <w:t>Clinical rationale</w:t>
            </w:r>
            <w:r>
              <w:rPr>
                <w:noProof/>
                <w:webHidden/>
              </w:rPr>
              <w:tab/>
            </w:r>
            <w:r>
              <w:rPr>
                <w:noProof/>
                <w:webHidden/>
              </w:rPr>
              <w:fldChar w:fldCharType="begin"/>
            </w:r>
            <w:r>
              <w:rPr>
                <w:noProof/>
                <w:webHidden/>
              </w:rPr>
              <w:instrText xml:space="preserve"> PAGEREF _Toc205297304 \h </w:instrText>
            </w:r>
            <w:r>
              <w:rPr>
                <w:noProof/>
                <w:webHidden/>
              </w:rPr>
            </w:r>
            <w:r>
              <w:rPr>
                <w:noProof/>
                <w:webHidden/>
              </w:rPr>
              <w:fldChar w:fldCharType="separate"/>
            </w:r>
            <w:r>
              <w:rPr>
                <w:noProof/>
                <w:webHidden/>
              </w:rPr>
              <w:t>7</w:t>
            </w:r>
            <w:r>
              <w:rPr>
                <w:noProof/>
                <w:webHidden/>
              </w:rPr>
              <w:fldChar w:fldCharType="end"/>
            </w:r>
          </w:hyperlink>
        </w:p>
        <w:p w14:paraId="77E00A7B" w14:textId="0EB91A30"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05" w:history="1">
            <w:r w:rsidRPr="004C55F4">
              <w:rPr>
                <w:rStyle w:val="Hyperlink"/>
                <w:noProof/>
              </w:rPr>
              <w:t>Regulatory status</w:t>
            </w:r>
            <w:r>
              <w:rPr>
                <w:noProof/>
                <w:webHidden/>
              </w:rPr>
              <w:tab/>
            </w:r>
            <w:r>
              <w:rPr>
                <w:noProof/>
                <w:webHidden/>
              </w:rPr>
              <w:fldChar w:fldCharType="begin"/>
            </w:r>
            <w:r>
              <w:rPr>
                <w:noProof/>
                <w:webHidden/>
              </w:rPr>
              <w:instrText xml:space="preserve"> PAGEREF _Toc205297305 \h </w:instrText>
            </w:r>
            <w:r>
              <w:rPr>
                <w:noProof/>
                <w:webHidden/>
              </w:rPr>
            </w:r>
            <w:r>
              <w:rPr>
                <w:noProof/>
                <w:webHidden/>
              </w:rPr>
              <w:fldChar w:fldCharType="separate"/>
            </w:r>
            <w:r>
              <w:rPr>
                <w:noProof/>
                <w:webHidden/>
              </w:rPr>
              <w:t>7</w:t>
            </w:r>
            <w:r>
              <w:rPr>
                <w:noProof/>
                <w:webHidden/>
              </w:rPr>
              <w:fldChar w:fldCharType="end"/>
            </w:r>
          </w:hyperlink>
        </w:p>
        <w:p w14:paraId="68FEFE14" w14:textId="03BD75B1"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06" w:history="1">
            <w:r w:rsidRPr="004C55F4">
              <w:rPr>
                <w:rStyle w:val="Hyperlink"/>
                <w:noProof/>
              </w:rPr>
              <w:t>Australian regulatory status</w:t>
            </w:r>
            <w:r>
              <w:rPr>
                <w:noProof/>
                <w:webHidden/>
              </w:rPr>
              <w:tab/>
            </w:r>
            <w:r>
              <w:rPr>
                <w:noProof/>
                <w:webHidden/>
              </w:rPr>
              <w:fldChar w:fldCharType="begin"/>
            </w:r>
            <w:r>
              <w:rPr>
                <w:noProof/>
                <w:webHidden/>
              </w:rPr>
              <w:instrText xml:space="preserve"> PAGEREF _Toc205297306 \h </w:instrText>
            </w:r>
            <w:r>
              <w:rPr>
                <w:noProof/>
                <w:webHidden/>
              </w:rPr>
            </w:r>
            <w:r>
              <w:rPr>
                <w:noProof/>
                <w:webHidden/>
              </w:rPr>
              <w:fldChar w:fldCharType="separate"/>
            </w:r>
            <w:r>
              <w:rPr>
                <w:noProof/>
                <w:webHidden/>
              </w:rPr>
              <w:t>7</w:t>
            </w:r>
            <w:r>
              <w:rPr>
                <w:noProof/>
                <w:webHidden/>
              </w:rPr>
              <w:fldChar w:fldCharType="end"/>
            </w:r>
          </w:hyperlink>
        </w:p>
        <w:p w14:paraId="1966269A" w14:textId="64333F46"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07" w:history="1">
            <w:r w:rsidRPr="004C55F4">
              <w:rPr>
                <w:rStyle w:val="Hyperlink"/>
                <w:noProof/>
              </w:rPr>
              <w:t>International regulatory status</w:t>
            </w:r>
            <w:r>
              <w:rPr>
                <w:noProof/>
                <w:webHidden/>
              </w:rPr>
              <w:tab/>
            </w:r>
            <w:r>
              <w:rPr>
                <w:noProof/>
                <w:webHidden/>
              </w:rPr>
              <w:fldChar w:fldCharType="begin"/>
            </w:r>
            <w:r>
              <w:rPr>
                <w:noProof/>
                <w:webHidden/>
              </w:rPr>
              <w:instrText xml:space="preserve"> PAGEREF _Toc205297307 \h </w:instrText>
            </w:r>
            <w:r>
              <w:rPr>
                <w:noProof/>
                <w:webHidden/>
              </w:rPr>
            </w:r>
            <w:r>
              <w:rPr>
                <w:noProof/>
                <w:webHidden/>
              </w:rPr>
              <w:fldChar w:fldCharType="separate"/>
            </w:r>
            <w:r>
              <w:rPr>
                <w:noProof/>
                <w:webHidden/>
              </w:rPr>
              <w:t>7</w:t>
            </w:r>
            <w:r>
              <w:rPr>
                <w:noProof/>
                <w:webHidden/>
              </w:rPr>
              <w:fldChar w:fldCharType="end"/>
            </w:r>
          </w:hyperlink>
        </w:p>
        <w:p w14:paraId="7EE3938B" w14:textId="7062CAE3"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08" w:history="1">
            <w:r w:rsidRPr="004C55F4">
              <w:rPr>
                <w:rStyle w:val="Hyperlink"/>
                <w:noProof/>
              </w:rPr>
              <w:t>Registration timeline</w:t>
            </w:r>
            <w:r>
              <w:rPr>
                <w:noProof/>
                <w:webHidden/>
              </w:rPr>
              <w:tab/>
            </w:r>
            <w:r>
              <w:rPr>
                <w:noProof/>
                <w:webHidden/>
              </w:rPr>
              <w:fldChar w:fldCharType="begin"/>
            </w:r>
            <w:r>
              <w:rPr>
                <w:noProof/>
                <w:webHidden/>
              </w:rPr>
              <w:instrText xml:space="preserve"> PAGEREF _Toc205297308 \h </w:instrText>
            </w:r>
            <w:r>
              <w:rPr>
                <w:noProof/>
                <w:webHidden/>
              </w:rPr>
            </w:r>
            <w:r>
              <w:rPr>
                <w:noProof/>
                <w:webHidden/>
              </w:rPr>
              <w:fldChar w:fldCharType="separate"/>
            </w:r>
            <w:r>
              <w:rPr>
                <w:noProof/>
                <w:webHidden/>
              </w:rPr>
              <w:t>7</w:t>
            </w:r>
            <w:r>
              <w:rPr>
                <w:noProof/>
                <w:webHidden/>
              </w:rPr>
              <w:fldChar w:fldCharType="end"/>
            </w:r>
          </w:hyperlink>
        </w:p>
        <w:p w14:paraId="7BA04523" w14:textId="542A320C" w:rsidR="00A568AA" w:rsidRDefault="00A568A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297309" w:history="1">
            <w:r w:rsidRPr="004C55F4">
              <w:rPr>
                <w:rStyle w:val="Hyperlink"/>
                <w:noProof/>
              </w:rPr>
              <w:t>Assessment overview</w:t>
            </w:r>
            <w:r>
              <w:rPr>
                <w:noProof/>
                <w:webHidden/>
              </w:rPr>
              <w:tab/>
            </w:r>
            <w:r>
              <w:rPr>
                <w:noProof/>
                <w:webHidden/>
              </w:rPr>
              <w:fldChar w:fldCharType="begin"/>
            </w:r>
            <w:r>
              <w:rPr>
                <w:noProof/>
                <w:webHidden/>
              </w:rPr>
              <w:instrText xml:space="preserve"> PAGEREF _Toc205297309 \h </w:instrText>
            </w:r>
            <w:r>
              <w:rPr>
                <w:noProof/>
                <w:webHidden/>
              </w:rPr>
            </w:r>
            <w:r>
              <w:rPr>
                <w:noProof/>
                <w:webHidden/>
              </w:rPr>
              <w:fldChar w:fldCharType="separate"/>
            </w:r>
            <w:r>
              <w:rPr>
                <w:noProof/>
                <w:webHidden/>
              </w:rPr>
              <w:t>8</w:t>
            </w:r>
            <w:r>
              <w:rPr>
                <w:noProof/>
                <w:webHidden/>
              </w:rPr>
              <w:fldChar w:fldCharType="end"/>
            </w:r>
          </w:hyperlink>
        </w:p>
        <w:p w14:paraId="4E89437A" w14:textId="2538B029"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10" w:history="1">
            <w:r w:rsidRPr="004C55F4">
              <w:rPr>
                <w:rStyle w:val="Hyperlink"/>
                <w:noProof/>
              </w:rPr>
              <w:t>Quality evaluation summary</w:t>
            </w:r>
            <w:r>
              <w:rPr>
                <w:noProof/>
                <w:webHidden/>
              </w:rPr>
              <w:tab/>
            </w:r>
            <w:r>
              <w:rPr>
                <w:noProof/>
                <w:webHidden/>
              </w:rPr>
              <w:fldChar w:fldCharType="begin"/>
            </w:r>
            <w:r>
              <w:rPr>
                <w:noProof/>
                <w:webHidden/>
              </w:rPr>
              <w:instrText xml:space="preserve"> PAGEREF _Toc205297310 \h </w:instrText>
            </w:r>
            <w:r>
              <w:rPr>
                <w:noProof/>
                <w:webHidden/>
              </w:rPr>
            </w:r>
            <w:r>
              <w:rPr>
                <w:noProof/>
                <w:webHidden/>
              </w:rPr>
              <w:fldChar w:fldCharType="separate"/>
            </w:r>
            <w:r>
              <w:rPr>
                <w:noProof/>
                <w:webHidden/>
              </w:rPr>
              <w:t>8</w:t>
            </w:r>
            <w:r>
              <w:rPr>
                <w:noProof/>
                <w:webHidden/>
              </w:rPr>
              <w:fldChar w:fldCharType="end"/>
            </w:r>
          </w:hyperlink>
        </w:p>
        <w:p w14:paraId="02EE9197" w14:textId="21F6E4DB"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11" w:history="1">
            <w:r w:rsidRPr="004C55F4">
              <w:rPr>
                <w:rStyle w:val="Hyperlink"/>
                <w:noProof/>
              </w:rPr>
              <w:t>Nonclinical evaluation summary</w:t>
            </w:r>
            <w:r>
              <w:rPr>
                <w:noProof/>
                <w:webHidden/>
              </w:rPr>
              <w:tab/>
            </w:r>
            <w:r>
              <w:rPr>
                <w:noProof/>
                <w:webHidden/>
              </w:rPr>
              <w:fldChar w:fldCharType="begin"/>
            </w:r>
            <w:r>
              <w:rPr>
                <w:noProof/>
                <w:webHidden/>
              </w:rPr>
              <w:instrText xml:space="preserve"> PAGEREF _Toc205297311 \h </w:instrText>
            </w:r>
            <w:r>
              <w:rPr>
                <w:noProof/>
                <w:webHidden/>
              </w:rPr>
            </w:r>
            <w:r>
              <w:rPr>
                <w:noProof/>
                <w:webHidden/>
              </w:rPr>
              <w:fldChar w:fldCharType="separate"/>
            </w:r>
            <w:r>
              <w:rPr>
                <w:noProof/>
                <w:webHidden/>
              </w:rPr>
              <w:t>8</w:t>
            </w:r>
            <w:r>
              <w:rPr>
                <w:noProof/>
                <w:webHidden/>
              </w:rPr>
              <w:fldChar w:fldCharType="end"/>
            </w:r>
          </w:hyperlink>
        </w:p>
        <w:p w14:paraId="15540169" w14:textId="4CEC58A0"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12" w:history="1">
            <w:r w:rsidRPr="004C55F4">
              <w:rPr>
                <w:rStyle w:val="Hyperlink"/>
                <w:noProof/>
              </w:rPr>
              <w:t>Clinical evaluation summary</w:t>
            </w:r>
            <w:r>
              <w:rPr>
                <w:noProof/>
                <w:webHidden/>
              </w:rPr>
              <w:tab/>
            </w:r>
            <w:r>
              <w:rPr>
                <w:noProof/>
                <w:webHidden/>
              </w:rPr>
              <w:fldChar w:fldCharType="begin"/>
            </w:r>
            <w:r>
              <w:rPr>
                <w:noProof/>
                <w:webHidden/>
              </w:rPr>
              <w:instrText xml:space="preserve"> PAGEREF _Toc205297312 \h </w:instrText>
            </w:r>
            <w:r>
              <w:rPr>
                <w:noProof/>
                <w:webHidden/>
              </w:rPr>
            </w:r>
            <w:r>
              <w:rPr>
                <w:noProof/>
                <w:webHidden/>
              </w:rPr>
              <w:fldChar w:fldCharType="separate"/>
            </w:r>
            <w:r>
              <w:rPr>
                <w:noProof/>
                <w:webHidden/>
              </w:rPr>
              <w:t>9</w:t>
            </w:r>
            <w:r>
              <w:rPr>
                <w:noProof/>
                <w:webHidden/>
              </w:rPr>
              <w:fldChar w:fldCharType="end"/>
            </w:r>
          </w:hyperlink>
        </w:p>
        <w:p w14:paraId="52C6CB6C" w14:textId="7B563E6A"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13" w:history="1">
            <w:r w:rsidRPr="004C55F4">
              <w:rPr>
                <w:rStyle w:val="Hyperlink"/>
                <w:noProof/>
              </w:rPr>
              <w:t>Summary of clinical studies</w:t>
            </w:r>
            <w:r>
              <w:rPr>
                <w:noProof/>
                <w:webHidden/>
              </w:rPr>
              <w:tab/>
            </w:r>
            <w:r>
              <w:rPr>
                <w:noProof/>
                <w:webHidden/>
              </w:rPr>
              <w:fldChar w:fldCharType="begin"/>
            </w:r>
            <w:r>
              <w:rPr>
                <w:noProof/>
                <w:webHidden/>
              </w:rPr>
              <w:instrText xml:space="preserve"> PAGEREF _Toc205297313 \h </w:instrText>
            </w:r>
            <w:r>
              <w:rPr>
                <w:noProof/>
                <w:webHidden/>
              </w:rPr>
            </w:r>
            <w:r>
              <w:rPr>
                <w:noProof/>
                <w:webHidden/>
              </w:rPr>
              <w:fldChar w:fldCharType="separate"/>
            </w:r>
            <w:r>
              <w:rPr>
                <w:noProof/>
                <w:webHidden/>
              </w:rPr>
              <w:t>9</w:t>
            </w:r>
            <w:r>
              <w:rPr>
                <w:noProof/>
                <w:webHidden/>
              </w:rPr>
              <w:fldChar w:fldCharType="end"/>
            </w:r>
          </w:hyperlink>
        </w:p>
        <w:p w14:paraId="2F76DA82" w14:textId="011C71F9"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14" w:history="1">
            <w:r w:rsidRPr="004C55F4">
              <w:rPr>
                <w:rStyle w:val="Hyperlink"/>
                <w:noProof/>
              </w:rPr>
              <w:t>Pharmacology</w:t>
            </w:r>
            <w:r>
              <w:rPr>
                <w:noProof/>
                <w:webHidden/>
              </w:rPr>
              <w:tab/>
            </w:r>
            <w:r>
              <w:rPr>
                <w:noProof/>
                <w:webHidden/>
              </w:rPr>
              <w:fldChar w:fldCharType="begin"/>
            </w:r>
            <w:r>
              <w:rPr>
                <w:noProof/>
                <w:webHidden/>
              </w:rPr>
              <w:instrText xml:space="preserve"> PAGEREF _Toc205297314 \h </w:instrText>
            </w:r>
            <w:r>
              <w:rPr>
                <w:noProof/>
                <w:webHidden/>
              </w:rPr>
            </w:r>
            <w:r>
              <w:rPr>
                <w:noProof/>
                <w:webHidden/>
              </w:rPr>
              <w:fldChar w:fldCharType="separate"/>
            </w:r>
            <w:r>
              <w:rPr>
                <w:noProof/>
                <w:webHidden/>
              </w:rPr>
              <w:t>9</w:t>
            </w:r>
            <w:r>
              <w:rPr>
                <w:noProof/>
                <w:webHidden/>
              </w:rPr>
              <w:fldChar w:fldCharType="end"/>
            </w:r>
          </w:hyperlink>
        </w:p>
        <w:p w14:paraId="7DA972C2" w14:textId="17C304AA"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15" w:history="1">
            <w:r w:rsidRPr="004C55F4">
              <w:rPr>
                <w:rStyle w:val="Hyperlink"/>
                <w:noProof/>
              </w:rPr>
              <w:t>Efficacy</w:t>
            </w:r>
            <w:r>
              <w:rPr>
                <w:noProof/>
                <w:webHidden/>
              </w:rPr>
              <w:tab/>
            </w:r>
            <w:r>
              <w:rPr>
                <w:noProof/>
                <w:webHidden/>
              </w:rPr>
              <w:fldChar w:fldCharType="begin"/>
            </w:r>
            <w:r>
              <w:rPr>
                <w:noProof/>
                <w:webHidden/>
              </w:rPr>
              <w:instrText xml:space="preserve"> PAGEREF _Toc205297315 \h </w:instrText>
            </w:r>
            <w:r>
              <w:rPr>
                <w:noProof/>
                <w:webHidden/>
              </w:rPr>
            </w:r>
            <w:r>
              <w:rPr>
                <w:noProof/>
                <w:webHidden/>
              </w:rPr>
              <w:fldChar w:fldCharType="separate"/>
            </w:r>
            <w:r>
              <w:rPr>
                <w:noProof/>
                <w:webHidden/>
              </w:rPr>
              <w:t>10</w:t>
            </w:r>
            <w:r>
              <w:rPr>
                <w:noProof/>
                <w:webHidden/>
              </w:rPr>
              <w:fldChar w:fldCharType="end"/>
            </w:r>
          </w:hyperlink>
        </w:p>
        <w:p w14:paraId="68A46BE5" w14:textId="3F839A2D"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16" w:history="1">
            <w:r w:rsidRPr="004C55F4">
              <w:rPr>
                <w:rStyle w:val="Hyperlink"/>
                <w:noProof/>
              </w:rPr>
              <w:t>Safety</w:t>
            </w:r>
            <w:r>
              <w:rPr>
                <w:noProof/>
                <w:webHidden/>
              </w:rPr>
              <w:tab/>
            </w:r>
            <w:r>
              <w:rPr>
                <w:noProof/>
                <w:webHidden/>
              </w:rPr>
              <w:fldChar w:fldCharType="begin"/>
            </w:r>
            <w:r>
              <w:rPr>
                <w:noProof/>
                <w:webHidden/>
              </w:rPr>
              <w:instrText xml:space="preserve"> PAGEREF _Toc205297316 \h </w:instrText>
            </w:r>
            <w:r>
              <w:rPr>
                <w:noProof/>
                <w:webHidden/>
              </w:rPr>
            </w:r>
            <w:r>
              <w:rPr>
                <w:noProof/>
                <w:webHidden/>
              </w:rPr>
              <w:fldChar w:fldCharType="separate"/>
            </w:r>
            <w:r>
              <w:rPr>
                <w:noProof/>
                <w:webHidden/>
              </w:rPr>
              <w:t>19</w:t>
            </w:r>
            <w:r>
              <w:rPr>
                <w:noProof/>
                <w:webHidden/>
              </w:rPr>
              <w:fldChar w:fldCharType="end"/>
            </w:r>
          </w:hyperlink>
        </w:p>
        <w:p w14:paraId="06CC0DEE" w14:textId="48F00C47"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17" w:history="1">
            <w:r w:rsidRPr="004C55F4">
              <w:rPr>
                <w:rStyle w:val="Hyperlink"/>
                <w:noProof/>
              </w:rPr>
              <w:t>Risk Management Plan (RMP) evaluation summary</w:t>
            </w:r>
            <w:r>
              <w:rPr>
                <w:noProof/>
                <w:webHidden/>
              </w:rPr>
              <w:tab/>
            </w:r>
            <w:r>
              <w:rPr>
                <w:noProof/>
                <w:webHidden/>
              </w:rPr>
              <w:fldChar w:fldCharType="begin"/>
            </w:r>
            <w:r>
              <w:rPr>
                <w:noProof/>
                <w:webHidden/>
              </w:rPr>
              <w:instrText xml:space="preserve"> PAGEREF _Toc205297317 \h </w:instrText>
            </w:r>
            <w:r>
              <w:rPr>
                <w:noProof/>
                <w:webHidden/>
              </w:rPr>
            </w:r>
            <w:r>
              <w:rPr>
                <w:noProof/>
                <w:webHidden/>
              </w:rPr>
              <w:fldChar w:fldCharType="separate"/>
            </w:r>
            <w:r>
              <w:rPr>
                <w:noProof/>
                <w:webHidden/>
              </w:rPr>
              <w:t>21</w:t>
            </w:r>
            <w:r>
              <w:rPr>
                <w:noProof/>
                <w:webHidden/>
              </w:rPr>
              <w:fldChar w:fldCharType="end"/>
            </w:r>
          </w:hyperlink>
        </w:p>
        <w:p w14:paraId="5D3F1FDA" w14:textId="62A79578" w:rsidR="00A568AA" w:rsidRDefault="00A568A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297318" w:history="1">
            <w:r w:rsidRPr="004C55F4">
              <w:rPr>
                <w:rStyle w:val="Hyperlink"/>
                <w:noProof/>
              </w:rPr>
              <w:t>Risk-benefit analysis</w:t>
            </w:r>
            <w:r>
              <w:rPr>
                <w:noProof/>
                <w:webHidden/>
              </w:rPr>
              <w:tab/>
            </w:r>
            <w:r>
              <w:rPr>
                <w:noProof/>
                <w:webHidden/>
              </w:rPr>
              <w:fldChar w:fldCharType="begin"/>
            </w:r>
            <w:r>
              <w:rPr>
                <w:noProof/>
                <w:webHidden/>
              </w:rPr>
              <w:instrText xml:space="preserve"> PAGEREF _Toc205297318 \h </w:instrText>
            </w:r>
            <w:r>
              <w:rPr>
                <w:noProof/>
                <w:webHidden/>
              </w:rPr>
            </w:r>
            <w:r>
              <w:rPr>
                <w:noProof/>
                <w:webHidden/>
              </w:rPr>
              <w:fldChar w:fldCharType="separate"/>
            </w:r>
            <w:r>
              <w:rPr>
                <w:noProof/>
                <w:webHidden/>
              </w:rPr>
              <w:t>22</w:t>
            </w:r>
            <w:r>
              <w:rPr>
                <w:noProof/>
                <w:webHidden/>
              </w:rPr>
              <w:fldChar w:fldCharType="end"/>
            </w:r>
          </w:hyperlink>
        </w:p>
        <w:p w14:paraId="59B5D778" w14:textId="628F517A"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19" w:history="1">
            <w:r w:rsidRPr="004C55F4">
              <w:rPr>
                <w:rStyle w:val="Hyperlink"/>
                <w:noProof/>
              </w:rPr>
              <w:t>Efficacy</w:t>
            </w:r>
            <w:r>
              <w:rPr>
                <w:noProof/>
                <w:webHidden/>
              </w:rPr>
              <w:tab/>
            </w:r>
            <w:r>
              <w:rPr>
                <w:noProof/>
                <w:webHidden/>
              </w:rPr>
              <w:fldChar w:fldCharType="begin"/>
            </w:r>
            <w:r>
              <w:rPr>
                <w:noProof/>
                <w:webHidden/>
              </w:rPr>
              <w:instrText xml:space="preserve"> PAGEREF _Toc205297319 \h </w:instrText>
            </w:r>
            <w:r>
              <w:rPr>
                <w:noProof/>
                <w:webHidden/>
              </w:rPr>
            </w:r>
            <w:r>
              <w:rPr>
                <w:noProof/>
                <w:webHidden/>
              </w:rPr>
              <w:fldChar w:fldCharType="separate"/>
            </w:r>
            <w:r>
              <w:rPr>
                <w:noProof/>
                <w:webHidden/>
              </w:rPr>
              <w:t>22</w:t>
            </w:r>
            <w:r>
              <w:rPr>
                <w:noProof/>
                <w:webHidden/>
              </w:rPr>
              <w:fldChar w:fldCharType="end"/>
            </w:r>
          </w:hyperlink>
        </w:p>
        <w:p w14:paraId="3017F84D" w14:textId="37F80494"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20" w:history="1">
            <w:r w:rsidRPr="004C55F4">
              <w:rPr>
                <w:rStyle w:val="Hyperlink"/>
                <w:noProof/>
              </w:rPr>
              <w:t>Safety</w:t>
            </w:r>
            <w:r>
              <w:rPr>
                <w:noProof/>
                <w:webHidden/>
              </w:rPr>
              <w:tab/>
            </w:r>
            <w:r>
              <w:rPr>
                <w:noProof/>
                <w:webHidden/>
              </w:rPr>
              <w:fldChar w:fldCharType="begin"/>
            </w:r>
            <w:r>
              <w:rPr>
                <w:noProof/>
                <w:webHidden/>
              </w:rPr>
              <w:instrText xml:space="preserve"> PAGEREF _Toc205297320 \h </w:instrText>
            </w:r>
            <w:r>
              <w:rPr>
                <w:noProof/>
                <w:webHidden/>
              </w:rPr>
            </w:r>
            <w:r>
              <w:rPr>
                <w:noProof/>
                <w:webHidden/>
              </w:rPr>
              <w:fldChar w:fldCharType="separate"/>
            </w:r>
            <w:r>
              <w:rPr>
                <w:noProof/>
                <w:webHidden/>
              </w:rPr>
              <w:t>23</w:t>
            </w:r>
            <w:r>
              <w:rPr>
                <w:noProof/>
                <w:webHidden/>
              </w:rPr>
              <w:fldChar w:fldCharType="end"/>
            </w:r>
          </w:hyperlink>
        </w:p>
        <w:p w14:paraId="229D766B" w14:textId="341DA965"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21" w:history="1">
            <w:r w:rsidRPr="004C55F4">
              <w:rPr>
                <w:rStyle w:val="Hyperlink"/>
                <w:noProof/>
              </w:rPr>
              <w:t>Uncertainties and limitations of the data</w:t>
            </w:r>
            <w:r>
              <w:rPr>
                <w:noProof/>
                <w:webHidden/>
              </w:rPr>
              <w:tab/>
            </w:r>
            <w:r>
              <w:rPr>
                <w:noProof/>
                <w:webHidden/>
              </w:rPr>
              <w:fldChar w:fldCharType="begin"/>
            </w:r>
            <w:r>
              <w:rPr>
                <w:noProof/>
                <w:webHidden/>
              </w:rPr>
              <w:instrText xml:space="preserve"> PAGEREF _Toc205297321 \h </w:instrText>
            </w:r>
            <w:r>
              <w:rPr>
                <w:noProof/>
                <w:webHidden/>
              </w:rPr>
            </w:r>
            <w:r>
              <w:rPr>
                <w:noProof/>
                <w:webHidden/>
              </w:rPr>
              <w:fldChar w:fldCharType="separate"/>
            </w:r>
            <w:r>
              <w:rPr>
                <w:noProof/>
                <w:webHidden/>
              </w:rPr>
              <w:t>23</w:t>
            </w:r>
            <w:r>
              <w:rPr>
                <w:noProof/>
                <w:webHidden/>
              </w:rPr>
              <w:fldChar w:fldCharType="end"/>
            </w:r>
          </w:hyperlink>
        </w:p>
        <w:p w14:paraId="0DD4B58D" w14:textId="00305935" w:rsidR="00A568AA" w:rsidRDefault="00A568A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297322" w:history="1">
            <w:r w:rsidRPr="004C55F4">
              <w:rPr>
                <w:rStyle w:val="Hyperlink"/>
                <w:noProof/>
              </w:rPr>
              <w:t>Assessment outcome</w:t>
            </w:r>
            <w:r>
              <w:rPr>
                <w:noProof/>
                <w:webHidden/>
              </w:rPr>
              <w:tab/>
            </w:r>
            <w:r>
              <w:rPr>
                <w:noProof/>
                <w:webHidden/>
              </w:rPr>
              <w:fldChar w:fldCharType="begin"/>
            </w:r>
            <w:r>
              <w:rPr>
                <w:noProof/>
                <w:webHidden/>
              </w:rPr>
              <w:instrText xml:space="preserve"> PAGEREF _Toc205297322 \h </w:instrText>
            </w:r>
            <w:r>
              <w:rPr>
                <w:noProof/>
                <w:webHidden/>
              </w:rPr>
            </w:r>
            <w:r>
              <w:rPr>
                <w:noProof/>
                <w:webHidden/>
              </w:rPr>
              <w:fldChar w:fldCharType="separate"/>
            </w:r>
            <w:r>
              <w:rPr>
                <w:noProof/>
                <w:webHidden/>
              </w:rPr>
              <w:t>23</w:t>
            </w:r>
            <w:r>
              <w:rPr>
                <w:noProof/>
                <w:webHidden/>
              </w:rPr>
              <w:fldChar w:fldCharType="end"/>
            </w:r>
          </w:hyperlink>
        </w:p>
        <w:p w14:paraId="34458B0F" w14:textId="4185C2C7" w:rsidR="00A568AA" w:rsidRDefault="00A568A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297323" w:history="1">
            <w:r w:rsidRPr="004C55F4">
              <w:rPr>
                <w:rStyle w:val="Hyperlink"/>
                <w:noProof/>
              </w:rPr>
              <w:t>Specific conditions of registration</w:t>
            </w:r>
            <w:r>
              <w:rPr>
                <w:noProof/>
                <w:webHidden/>
              </w:rPr>
              <w:tab/>
            </w:r>
            <w:r>
              <w:rPr>
                <w:noProof/>
                <w:webHidden/>
              </w:rPr>
              <w:fldChar w:fldCharType="begin"/>
            </w:r>
            <w:r>
              <w:rPr>
                <w:noProof/>
                <w:webHidden/>
              </w:rPr>
              <w:instrText xml:space="preserve"> PAGEREF _Toc205297323 \h </w:instrText>
            </w:r>
            <w:r>
              <w:rPr>
                <w:noProof/>
                <w:webHidden/>
              </w:rPr>
            </w:r>
            <w:r>
              <w:rPr>
                <w:noProof/>
                <w:webHidden/>
              </w:rPr>
              <w:fldChar w:fldCharType="separate"/>
            </w:r>
            <w:r>
              <w:rPr>
                <w:noProof/>
                <w:webHidden/>
              </w:rPr>
              <w:t>23</w:t>
            </w:r>
            <w:r>
              <w:rPr>
                <w:noProof/>
                <w:webHidden/>
              </w:rPr>
              <w:fldChar w:fldCharType="end"/>
            </w:r>
          </w:hyperlink>
        </w:p>
        <w:p w14:paraId="6AF49810" w14:textId="407EEAD5" w:rsidR="00A568AA" w:rsidRDefault="00A568A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297324" w:history="1">
            <w:r w:rsidRPr="004C55F4">
              <w:rPr>
                <w:rStyle w:val="Hyperlink"/>
                <w:noProof/>
              </w:rPr>
              <w:t>Product Information and Consumer Medicines Information</w:t>
            </w:r>
            <w:r>
              <w:rPr>
                <w:noProof/>
                <w:webHidden/>
              </w:rPr>
              <w:tab/>
            </w:r>
            <w:r>
              <w:rPr>
                <w:noProof/>
                <w:webHidden/>
              </w:rPr>
              <w:fldChar w:fldCharType="begin"/>
            </w:r>
            <w:r>
              <w:rPr>
                <w:noProof/>
                <w:webHidden/>
              </w:rPr>
              <w:instrText xml:space="preserve"> PAGEREF _Toc205297324 \h </w:instrText>
            </w:r>
            <w:r>
              <w:rPr>
                <w:noProof/>
                <w:webHidden/>
              </w:rPr>
            </w:r>
            <w:r>
              <w:rPr>
                <w:noProof/>
                <w:webHidden/>
              </w:rPr>
              <w:fldChar w:fldCharType="separate"/>
            </w:r>
            <w:r>
              <w:rPr>
                <w:noProof/>
                <w:webHidden/>
              </w:rPr>
              <w:t>25</w:t>
            </w:r>
            <w:r>
              <w:rPr>
                <w:noProof/>
                <w:webHidden/>
              </w:rPr>
              <w:fldChar w:fldCharType="end"/>
            </w:r>
          </w:hyperlink>
        </w:p>
        <w:p w14:paraId="77659F2D" w14:textId="447A80F1"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DD5E0C">
      <w:pPr>
        <w:pStyle w:val="Heading2"/>
      </w:pPr>
      <w:bookmarkStart w:id="0" w:name="_Toc98931917"/>
      <w:bookmarkStart w:id="1" w:name="_Toc103679287"/>
      <w:bookmarkStart w:id="2" w:name="_Toc323739589"/>
      <w:bookmarkStart w:id="3" w:name="_Toc356305216"/>
      <w:bookmarkStart w:id="4" w:name="_Toc205297299"/>
      <w:r>
        <w:lastRenderedPageBreak/>
        <w:t>List of abbreviations</w:t>
      </w:r>
      <w:bookmarkEnd w:id="0"/>
      <w:bookmarkEnd w:id="1"/>
      <w:bookmarkEnd w:id="4"/>
    </w:p>
    <w:tbl>
      <w:tblPr>
        <w:tblStyle w:val="TableTGAblue2023"/>
        <w:tblW w:w="5000" w:type="pct"/>
        <w:tblLook w:val="04A0" w:firstRow="1" w:lastRow="0" w:firstColumn="1" w:lastColumn="0" w:noHBand="0" w:noVBand="1"/>
      </w:tblPr>
      <w:tblGrid>
        <w:gridCol w:w="2174"/>
        <w:gridCol w:w="6886"/>
      </w:tblGrid>
      <w:tr w:rsidR="00D972C7" w:rsidRPr="00D01DDB" w14:paraId="79A48061" w14:textId="77777777" w:rsidTr="002455E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344F3388" w14:textId="77777777" w:rsidR="00D972C7" w:rsidRPr="00D01DDB" w:rsidRDefault="00D972C7" w:rsidP="002455ED">
            <w:pPr>
              <w:rPr>
                <w:szCs w:val="22"/>
              </w:rPr>
            </w:pPr>
            <w:r w:rsidRPr="00D01DDB">
              <w:rPr>
                <w:szCs w:val="22"/>
              </w:rPr>
              <w:t>Abbreviation</w:t>
            </w:r>
          </w:p>
        </w:tc>
        <w:tc>
          <w:tcPr>
            <w:tcW w:w="3800" w:type="pct"/>
          </w:tcPr>
          <w:p w14:paraId="5D78AD7D" w14:textId="77777777" w:rsidR="00D972C7" w:rsidRPr="00D01DDB" w:rsidRDefault="00D972C7" w:rsidP="002455ED">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D972C7" w:rsidRPr="00D01DDB" w14:paraId="296933EC"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6DDFFA0" w14:textId="77777777" w:rsidR="00D972C7" w:rsidRPr="00D01DDB" w:rsidRDefault="00D972C7" w:rsidP="002455ED">
            <w:pPr>
              <w:rPr>
                <w:szCs w:val="22"/>
              </w:rPr>
            </w:pPr>
            <w:r w:rsidRPr="00D01DDB">
              <w:rPr>
                <w:szCs w:val="22"/>
              </w:rPr>
              <w:t>ACM</w:t>
            </w:r>
          </w:p>
        </w:tc>
        <w:tc>
          <w:tcPr>
            <w:tcW w:w="3800" w:type="pct"/>
          </w:tcPr>
          <w:p w14:paraId="7DA476A9"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D972C7" w:rsidRPr="00D01DDB" w14:paraId="23E045A8"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3F9A865" w14:textId="77777777" w:rsidR="00D972C7" w:rsidRPr="00D01DDB" w:rsidRDefault="00D972C7" w:rsidP="002455ED">
            <w:pPr>
              <w:rPr>
                <w:szCs w:val="22"/>
              </w:rPr>
            </w:pPr>
            <w:r w:rsidRPr="00884B93">
              <w:t>AE</w:t>
            </w:r>
          </w:p>
        </w:tc>
        <w:tc>
          <w:tcPr>
            <w:tcW w:w="3800" w:type="pct"/>
          </w:tcPr>
          <w:p w14:paraId="5BBE055A"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884B93">
              <w:t>adverse event</w:t>
            </w:r>
            <w:r>
              <w:t>(s)</w:t>
            </w:r>
          </w:p>
        </w:tc>
      </w:tr>
      <w:tr w:rsidR="00D972C7" w:rsidRPr="00D01DDB" w14:paraId="5831FADD"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DDD1073" w14:textId="77777777" w:rsidR="00D972C7" w:rsidRPr="00D01DDB" w:rsidRDefault="00D972C7" w:rsidP="002455ED">
            <w:pPr>
              <w:rPr>
                <w:szCs w:val="22"/>
              </w:rPr>
            </w:pPr>
            <w:r w:rsidRPr="00D01DDB">
              <w:rPr>
                <w:szCs w:val="22"/>
              </w:rPr>
              <w:t>ARTG</w:t>
            </w:r>
          </w:p>
        </w:tc>
        <w:tc>
          <w:tcPr>
            <w:tcW w:w="3800" w:type="pct"/>
          </w:tcPr>
          <w:p w14:paraId="54CD047C"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D972C7" w:rsidRPr="00D01DDB" w14:paraId="4CE542EB"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071C6C1" w14:textId="77777777" w:rsidR="00D972C7" w:rsidRPr="00D01DDB" w:rsidRDefault="00D972C7" w:rsidP="002455ED">
            <w:pPr>
              <w:rPr>
                <w:szCs w:val="22"/>
              </w:rPr>
            </w:pPr>
            <w:r w:rsidRPr="00D01DDB">
              <w:rPr>
                <w:szCs w:val="22"/>
              </w:rPr>
              <w:t>ASA</w:t>
            </w:r>
          </w:p>
        </w:tc>
        <w:tc>
          <w:tcPr>
            <w:tcW w:w="3800" w:type="pct"/>
          </w:tcPr>
          <w:p w14:paraId="77E2A51D"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w:t>
            </w:r>
            <w:r>
              <w:rPr>
                <w:szCs w:val="22"/>
              </w:rPr>
              <w:noBreakHyphen/>
            </w:r>
            <w:r w:rsidRPr="00D01DDB">
              <w:rPr>
                <w:szCs w:val="22"/>
              </w:rPr>
              <w:t>specific annex</w:t>
            </w:r>
          </w:p>
        </w:tc>
      </w:tr>
      <w:tr w:rsidR="00D972C7" w:rsidRPr="00D01DDB" w14:paraId="6EE9D1D6"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45151B" w14:textId="77777777" w:rsidR="00D972C7" w:rsidRPr="00D01DDB" w:rsidRDefault="00D972C7" w:rsidP="002455ED">
            <w:pPr>
              <w:rPr>
                <w:szCs w:val="22"/>
              </w:rPr>
            </w:pPr>
            <w:r w:rsidRPr="00D01DDB">
              <w:rPr>
                <w:szCs w:val="22"/>
              </w:rPr>
              <w:t>CMI</w:t>
            </w:r>
          </w:p>
        </w:tc>
        <w:tc>
          <w:tcPr>
            <w:tcW w:w="3800" w:type="pct"/>
          </w:tcPr>
          <w:p w14:paraId="7F475737"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D972C7" w:rsidRPr="00D01DDB" w14:paraId="133AC769"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B23FE7F" w14:textId="77777777" w:rsidR="00D972C7" w:rsidRPr="00D01DDB" w:rsidRDefault="00D972C7" w:rsidP="002455ED">
            <w:pPr>
              <w:rPr>
                <w:szCs w:val="22"/>
              </w:rPr>
            </w:pPr>
            <w:r w:rsidRPr="00771093">
              <w:t>DP</w:t>
            </w:r>
          </w:p>
        </w:tc>
        <w:tc>
          <w:tcPr>
            <w:tcW w:w="3800" w:type="pct"/>
          </w:tcPr>
          <w:p w14:paraId="4EE71C70"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771093">
              <w:t>drug product</w:t>
            </w:r>
          </w:p>
        </w:tc>
      </w:tr>
      <w:tr w:rsidR="00D972C7" w:rsidRPr="00D01DDB" w14:paraId="7B9FF8F9"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100CF00" w14:textId="77777777" w:rsidR="00D972C7" w:rsidRPr="00D01DDB" w:rsidRDefault="00D972C7" w:rsidP="002455ED">
            <w:pPr>
              <w:rPr>
                <w:szCs w:val="22"/>
              </w:rPr>
            </w:pPr>
            <w:r w:rsidRPr="00544E8B">
              <w:t>DS</w:t>
            </w:r>
          </w:p>
        </w:tc>
        <w:tc>
          <w:tcPr>
            <w:tcW w:w="3800" w:type="pct"/>
          </w:tcPr>
          <w:p w14:paraId="27121442"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544E8B">
              <w:t>drug substance</w:t>
            </w:r>
          </w:p>
        </w:tc>
      </w:tr>
      <w:tr w:rsidR="00D972C7" w:rsidRPr="00D01DDB" w14:paraId="07CE94C2"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31F4FDC" w14:textId="77777777" w:rsidR="00D972C7" w:rsidRPr="00544E8B" w:rsidRDefault="00D972C7" w:rsidP="002455ED">
            <w:r w:rsidRPr="00F734D1">
              <w:t>FLTSQ</w:t>
            </w:r>
          </w:p>
        </w:tc>
        <w:tc>
          <w:tcPr>
            <w:tcW w:w="3800" w:type="pct"/>
          </w:tcPr>
          <w:p w14:paraId="234777E0" w14:textId="77777777" w:rsidR="00D972C7" w:rsidRPr="00544E8B" w:rsidRDefault="00D972C7" w:rsidP="002455ED">
            <w:pPr>
              <w:cnfStyle w:val="000000000000" w:firstRow="0" w:lastRow="0" w:firstColumn="0" w:lastColumn="0" w:oddVBand="0" w:evenVBand="0" w:oddHBand="0" w:evenHBand="0" w:firstRowFirstColumn="0" w:firstRowLastColumn="0" w:lastRowFirstColumn="0" w:lastRowLastColumn="0"/>
            </w:pPr>
            <w:r w:rsidRPr="00F734D1">
              <w:t>Facial Lines Treatment Satisfaction Questionnaire</w:t>
            </w:r>
          </w:p>
        </w:tc>
      </w:tr>
      <w:tr w:rsidR="00D972C7" w:rsidRPr="00D01DDB" w14:paraId="01F1736F"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B2D9BCA" w14:textId="77777777" w:rsidR="00D972C7" w:rsidRPr="00D01DDB" w:rsidRDefault="00D972C7" w:rsidP="002455ED">
            <w:pPr>
              <w:rPr>
                <w:szCs w:val="22"/>
              </w:rPr>
            </w:pPr>
            <w:r w:rsidRPr="000A2174">
              <w:t>GL</w:t>
            </w:r>
          </w:p>
        </w:tc>
        <w:tc>
          <w:tcPr>
            <w:tcW w:w="3800" w:type="pct"/>
          </w:tcPr>
          <w:p w14:paraId="3FBE4889"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t>g</w:t>
            </w:r>
            <w:r w:rsidRPr="000A2174">
              <w:t>labellar lines</w:t>
            </w:r>
          </w:p>
        </w:tc>
      </w:tr>
      <w:tr w:rsidR="00D972C7" w:rsidRPr="00D01DDB" w14:paraId="7EBE26A1"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6E61DA0" w14:textId="77777777" w:rsidR="00D972C7" w:rsidRPr="000A2174" w:rsidRDefault="00D972C7" w:rsidP="002455ED">
            <w:r w:rsidRPr="00876921">
              <w:t>GL-ILA</w:t>
            </w:r>
          </w:p>
        </w:tc>
        <w:tc>
          <w:tcPr>
            <w:tcW w:w="3800" w:type="pct"/>
          </w:tcPr>
          <w:p w14:paraId="650B54B9" w14:textId="77777777" w:rsidR="00D972C7" w:rsidRPr="000A2174" w:rsidRDefault="00D972C7" w:rsidP="002455ED">
            <w:pPr>
              <w:cnfStyle w:val="000000000000" w:firstRow="0" w:lastRow="0" w:firstColumn="0" w:lastColumn="0" w:oddVBand="0" w:evenVBand="0" w:oddHBand="0" w:evenHBand="0" w:firstRowFirstColumn="0" w:firstRowLastColumn="0" w:lastRowFirstColumn="0" w:lastRowLastColumn="0"/>
            </w:pPr>
            <w:r>
              <w:t>G</w:t>
            </w:r>
            <w:r w:rsidRPr="00876921">
              <w:t xml:space="preserve">labellar </w:t>
            </w:r>
            <w:r>
              <w:t>L</w:t>
            </w:r>
            <w:r w:rsidRPr="00876921">
              <w:t>ines Investigator Live Assessment</w:t>
            </w:r>
          </w:p>
        </w:tc>
      </w:tr>
      <w:tr w:rsidR="00D972C7" w:rsidRPr="00D01DDB" w14:paraId="0ECFF8C1"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FDCDE21" w14:textId="77777777" w:rsidR="00D972C7" w:rsidRPr="00876921" w:rsidRDefault="00D972C7" w:rsidP="002455ED">
            <w:r w:rsidRPr="0080748C">
              <w:t>GL-SLA</w:t>
            </w:r>
          </w:p>
        </w:tc>
        <w:tc>
          <w:tcPr>
            <w:tcW w:w="3800" w:type="pct"/>
          </w:tcPr>
          <w:p w14:paraId="37428AB4" w14:textId="77777777" w:rsidR="00D972C7" w:rsidRPr="00876921" w:rsidRDefault="00D972C7" w:rsidP="002455ED">
            <w:pPr>
              <w:cnfStyle w:val="000000000000" w:firstRow="0" w:lastRow="0" w:firstColumn="0" w:lastColumn="0" w:oddVBand="0" w:evenVBand="0" w:oddHBand="0" w:evenHBand="0" w:firstRowFirstColumn="0" w:firstRowLastColumn="0" w:lastRowFirstColumn="0" w:lastRowLastColumn="0"/>
            </w:pPr>
            <w:r w:rsidRPr="0080748C">
              <w:t xml:space="preserve">Glabellar Lines </w:t>
            </w:r>
            <w:r>
              <w:t>Subject</w:t>
            </w:r>
            <w:r w:rsidRPr="0080748C">
              <w:t xml:space="preserve"> Live Assessment</w:t>
            </w:r>
          </w:p>
        </w:tc>
      </w:tr>
      <w:tr w:rsidR="00D972C7" w:rsidRPr="00D01DDB" w14:paraId="1676D749"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B86C407" w14:textId="77777777" w:rsidR="00D972C7" w:rsidRPr="0080748C" w:rsidRDefault="00D972C7" w:rsidP="002455ED">
            <w:r>
              <w:t>ITT</w:t>
            </w:r>
          </w:p>
        </w:tc>
        <w:tc>
          <w:tcPr>
            <w:tcW w:w="3800" w:type="pct"/>
          </w:tcPr>
          <w:p w14:paraId="5C1B180F" w14:textId="77777777" w:rsidR="00D972C7" w:rsidRPr="0080748C" w:rsidRDefault="00D972C7" w:rsidP="002455ED">
            <w:pPr>
              <w:cnfStyle w:val="000000000000" w:firstRow="0" w:lastRow="0" w:firstColumn="0" w:lastColumn="0" w:oddVBand="0" w:evenVBand="0" w:oddHBand="0" w:evenHBand="0" w:firstRowFirstColumn="0" w:firstRowLastColumn="0" w:lastRowFirstColumn="0" w:lastRowLastColumn="0"/>
            </w:pPr>
            <w:r>
              <w:t>intention to treat</w:t>
            </w:r>
          </w:p>
        </w:tc>
      </w:tr>
      <w:tr w:rsidR="00D972C7" w:rsidRPr="00D01DDB" w14:paraId="19D83245"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82DCB35" w14:textId="77777777" w:rsidR="00D972C7" w:rsidRPr="0080748C" w:rsidRDefault="00D972C7" w:rsidP="002455ED">
            <w:r w:rsidRPr="00ED0CF0">
              <w:t>KM</w:t>
            </w:r>
          </w:p>
        </w:tc>
        <w:tc>
          <w:tcPr>
            <w:tcW w:w="3800" w:type="pct"/>
          </w:tcPr>
          <w:p w14:paraId="3FD9993B" w14:textId="63B2BA29" w:rsidR="00D972C7" w:rsidRPr="0080748C" w:rsidRDefault="00D972C7" w:rsidP="002455ED">
            <w:pPr>
              <w:cnfStyle w:val="000000000000" w:firstRow="0" w:lastRow="0" w:firstColumn="0" w:lastColumn="0" w:oddVBand="0" w:evenVBand="0" w:oddHBand="0" w:evenHBand="0" w:firstRowFirstColumn="0" w:firstRowLastColumn="0" w:lastRowFirstColumn="0" w:lastRowLastColumn="0"/>
            </w:pPr>
            <w:r w:rsidRPr="00ED0CF0">
              <w:t>Kaplan-Meier</w:t>
            </w:r>
          </w:p>
        </w:tc>
      </w:tr>
      <w:tr w:rsidR="00D972C7" w:rsidRPr="00D01DDB" w14:paraId="1167A4D5"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60D3FA2" w14:textId="459F947E" w:rsidR="00D972C7" w:rsidRPr="000A2174" w:rsidRDefault="00D972C7" w:rsidP="002455ED">
            <w:r w:rsidRPr="00096111">
              <w:t>LCL</w:t>
            </w:r>
          </w:p>
        </w:tc>
        <w:tc>
          <w:tcPr>
            <w:tcW w:w="3800" w:type="pct"/>
          </w:tcPr>
          <w:p w14:paraId="154EF708" w14:textId="5A9C9F7E" w:rsidR="00D972C7" w:rsidRPr="000A2174" w:rsidRDefault="00D972C7" w:rsidP="002455ED">
            <w:pPr>
              <w:cnfStyle w:val="000000000000" w:firstRow="0" w:lastRow="0" w:firstColumn="0" w:lastColumn="0" w:oddVBand="0" w:evenVBand="0" w:oddHBand="0" w:evenHBand="0" w:firstRowFirstColumn="0" w:firstRowLastColumn="0" w:lastRowFirstColumn="0" w:lastRowLastColumn="0"/>
            </w:pPr>
            <w:r w:rsidRPr="00096111">
              <w:t>lateral canthal lines</w:t>
            </w:r>
          </w:p>
        </w:tc>
      </w:tr>
      <w:tr w:rsidR="00D972C7" w:rsidRPr="00D01DDB" w14:paraId="56C45BD7"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02B3853" w14:textId="77777777" w:rsidR="00D972C7" w:rsidRPr="00096111" w:rsidRDefault="00D972C7" w:rsidP="002455ED">
            <w:r w:rsidRPr="009E08AB">
              <w:t>LCL-ILA</w:t>
            </w:r>
          </w:p>
        </w:tc>
        <w:tc>
          <w:tcPr>
            <w:tcW w:w="3800" w:type="pct"/>
          </w:tcPr>
          <w:p w14:paraId="251CA3CB" w14:textId="77777777" w:rsidR="00D972C7" w:rsidRPr="00096111" w:rsidRDefault="00D972C7" w:rsidP="002455ED">
            <w:pPr>
              <w:cnfStyle w:val="000000000000" w:firstRow="0" w:lastRow="0" w:firstColumn="0" w:lastColumn="0" w:oddVBand="0" w:evenVBand="0" w:oddHBand="0" w:evenHBand="0" w:firstRowFirstColumn="0" w:firstRowLastColumn="0" w:lastRowFirstColumn="0" w:lastRowLastColumn="0"/>
            </w:pPr>
            <w:r w:rsidRPr="009E08AB">
              <w:t>lateral canthal lines Investigator Live Assessment</w:t>
            </w:r>
          </w:p>
        </w:tc>
      </w:tr>
      <w:tr w:rsidR="00D972C7" w:rsidRPr="00D01DDB" w14:paraId="1FB5F1EC"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0430AE" w14:textId="77777777" w:rsidR="00D972C7" w:rsidRPr="009E08AB" w:rsidRDefault="00D972C7" w:rsidP="002455ED">
            <w:r w:rsidRPr="004F6C4F">
              <w:t>LCL-SLA</w:t>
            </w:r>
          </w:p>
        </w:tc>
        <w:tc>
          <w:tcPr>
            <w:tcW w:w="3800" w:type="pct"/>
          </w:tcPr>
          <w:p w14:paraId="29CC5A6E" w14:textId="77777777" w:rsidR="00D972C7" w:rsidRPr="009E08AB" w:rsidRDefault="00D972C7" w:rsidP="002455ED">
            <w:pPr>
              <w:cnfStyle w:val="000000000000" w:firstRow="0" w:lastRow="0" w:firstColumn="0" w:lastColumn="0" w:oddVBand="0" w:evenVBand="0" w:oddHBand="0" w:evenHBand="0" w:firstRowFirstColumn="0" w:firstRowLastColumn="0" w:lastRowFirstColumn="0" w:lastRowLastColumn="0"/>
            </w:pPr>
            <w:r>
              <w:t>l</w:t>
            </w:r>
            <w:r w:rsidRPr="002F68A6">
              <w:t xml:space="preserve">ateral canthal lines </w:t>
            </w:r>
            <w:r>
              <w:t>subject</w:t>
            </w:r>
            <w:r w:rsidRPr="002F68A6">
              <w:t xml:space="preserve"> Live Assessment</w:t>
            </w:r>
          </w:p>
        </w:tc>
      </w:tr>
      <w:tr w:rsidR="00D972C7" w:rsidRPr="00D01DDB" w14:paraId="71BF0F65"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20EBAE9" w14:textId="77777777" w:rsidR="00D972C7" w:rsidRPr="00096111" w:rsidRDefault="00D972C7" w:rsidP="002455ED">
            <w:proofErr w:type="spellStart"/>
            <w:r w:rsidRPr="008F1DAA">
              <w:t>mITT</w:t>
            </w:r>
            <w:proofErr w:type="spellEnd"/>
          </w:p>
        </w:tc>
        <w:tc>
          <w:tcPr>
            <w:tcW w:w="3800" w:type="pct"/>
          </w:tcPr>
          <w:p w14:paraId="2A253DC2" w14:textId="77777777" w:rsidR="00D972C7" w:rsidRPr="00096111" w:rsidRDefault="00D972C7" w:rsidP="002455ED">
            <w:pPr>
              <w:cnfStyle w:val="000000000000" w:firstRow="0" w:lastRow="0" w:firstColumn="0" w:lastColumn="0" w:oddVBand="0" w:evenVBand="0" w:oddHBand="0" w:evenHBand="0" w:firstRowFirstColumn="0" w:firstRowLastColumn="0" w:lastRowFirstColumn="0" w:lastRowLastColumn="0"/>
            </w:pPr>
            <w:r w:rsidRPr="008F1DAA">
              <w:t>modified intention-to-treat</w:t>
            </w:r>
          </w:p>
        </w:tc>
      </w:tr>
      <w:tr w:rsidR="00D972C7" w:rsidRPr="00D01DDB" w14:paraId="30C90E09"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BE8050" w14:textId="77777777" w:rsidR="00D972C7" w:rsidRPr="00D01DDB" w:rsidRDefault="00D972C7" w:rsidP="002455ED">
            <w:pPr>
              <w:rPr>
                <w:szCs w:val="22"/>
              </w:rPr>
            </w:pPr>
            <w:r w:rsidRPr="00D01DDB">
              <w:rPr>
                <w:szCs w:val="22"/>
              </w:rPr>
              <w:t>PI</w:t>
            </w:r>
          </w:p>
        </w:tc>
        <w:tc>
          <w:tcPr>
            <w:tcW w:w="3800" w:type="pct"/>
          </w:tcPr>
          <w:p w14:paraId="2C4D6930"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D972C7" w:rsidRPr="00D01DDB" w14:paraId="331C7853"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C2C4091" w14:textId="77777777" w:rsidR="00D972C7" w:rsidRPr="00D01DDB" w:rsidRDefault="00D972C7" w:rsidP="002455ED">
            <w:pPr>
              <w:rPr>
                <w:szCs w:val="22"/>
              </w:rPr>
            </w:pPr>
            <w:r w:rsidRPr="00E9604D">
              <w:t>PK</w:t>
            </w:r>
          </w:p>
        </w:tc>
        <w:tc>
          <w:tcPr>
            <w:tcW w:w="3800" w:type="pct"/>
          </w:tcPr>
          <w:p w14:paraId="38B5D796"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E9604D">
              <w:t>Pharmacokinetic</w:t>
            </w:r>
            <w:r>
              <w:t>(s)</w:t>
            </w:r>
          </w:p>
        </w:tc>
      </w:tr>
      <w:tr w:rsidR="00D972C7" w:rsidRPr="00D01DDB" w14:paraId="578A6897"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640D208" w14:textId="77777777" w:rsidR="00D972C7" w:rsidRPr="00D01DDB" w:rsidRDefault="00D972C7" w:rsidP="002455ED">
            <w:pPr>
              <w:rPr>
                <w:szCs w:val="22"/>
              </w:rPr>
            </w:pPr>
            <w:r w:rsidRPr="00D01DDB">
              <w:rPr>
                <w:szCs w:val="22"/>
              </w:rPr>
              <w:t>PSUR</w:t>
            </w:r>
          </w:p>
        </w:tc>
        <w:tc>
          <w:tcPr>
            <w:tcW w:w="3800" w:type="pct"/>
          </w:tcPr>
          <w:p w14:paraId="5FC65A7D"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D972C7" w:rsidRPr="00D01DDB" w14:paraId="08F20A3C"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3DB5A5E" w14:textId="77777777" w:rsidR="00D972C7" w:rsidRPr="00D01DDB" w:rsidRDefault="00D972C7" w:rsidP="002455ED">
            <w:pPr>
              <w:rPr>
                <w:szCs w:val="22"/>
              </w:rPr>
            </w:pPr>
            <w:r w:rsidRPr="00B33685">
              <w:t>RBTA</w:t>
            </w:r>
          </w:p>
        </w:tc>
        <w:tc>
          <w:tcPr>
            <w:tcW w:w="3800" w:type="pct"/>
          </w:tcPr>
          <w:p w14:paraId="4126CF78"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proofErr w:type="spellStart"/>
            <w:r w:rsidRPr="00B33685">
              <w:t>relabotulinumtoxinA</w:t>
            </w:r>
            <w:proofErr w:type="spellEnd"/>
          </w:p>
        </w:tc>
      </w:tr>
      <w:tr w:rsidR="00D972C7" w:rsidRPr="00D01DDB" w14:paraId="1022A2A3"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87F58E4" w14:textId="77777777" w:rsidR="00D972C7" w:rsidRPr="00D01DDB" w:rsidRDefault="00D972C7" w:rsidP="002455ED">
            <w:pPr>
              <w:rPr>
                <w:szCs w:val="22"/>
              </w:rPr>
            </w:pPr>
            <w:r w:rsidRPr="00D01DDB">
              <w:rPr>
                <w:szCs w:val="22"/>
              </w:rPr>
              <w:t>RMP</w:t>
            </w:r>
          </w:p>
        </w:tc>
        <w:tc>
          <w:tcPr>
            <w:tcW w:w="3800" w:type="pct"/>
          </w:tcPr>
          <w:p w14:paraId="58820C67"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D972C7" w:rsidRPr="00D01DDB" w14:paraId="11ED0ECC"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BC60B2D" w14:textId="77777777" w:rsidR="00D972C7" w:rsidRPr="00D01DDB" w:rsidRDefault="00D972C7" w:rsidP="002455ED">
            <w:pPr>
              <w:rPr>
                <w:szCs w:val="22"/>
              </w:rPr>
            </w:pPr>
            <w:r>
              <w:rPr>
                <w:szCs w:val="22"/>
              </w:rPr>
              <w:t>SD</w:t>
            </w:r>
          </w:p>
        </w:tc>
        <w:tc>
          <w:tcPr>
            <w:tcW w:w="3800" w:type="pct"/>
          </w:tcPr>
          <w:p w14:paraId="17A78D86"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Pr>
                <w:szCs w:val="22"/>
              </w:rPr>
              <w:t>Standard deviation</w:t>
            </w:r>
          </w:p>
        </w:tc>
      </w:tr>
      <w:tr w:rsidR="00D972C7" w:rsidRPr="00D01DDB" w14:paraId="04EE864A"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E5D55AA" w14:textId="77777777" w:rsidR="00D972C7" w:rsidRDefault="00D972C7" w:rsidP="002455ED">
            <w:pPr>
              <w:rPr>
                <w:szCs w:val="22"/>
              </w:rPr>
            </w:pPr>
            <w:r w:rsidRPr="001B11EB">
              <w:t>TEAE</w:t>
            </w:r>
          </w:p>
        </w:tc>
        <w:tc>
          <w:tcPr>
            <w:tcW w:w="3800" w:type="pct"/>
          </w:tcPr>
          <w:p w14:paraId="6DAC4561" w14:textId="77777777" w:rsidR="00D972C7"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1B11EB">
              <w:t>treatment-emergent adverse event</w:t>
            </w:r>
            <w:r>
              <w:t>(s)</w:t>
            </w:r>
          </w:p>
        </w:tc>
      </w:tr>
      <w:tr w:rsidR="00D972C7" w:rsidRPr="00D01DDB" w14:paraId="53FE150B" w14:textId="77777777" w:rsidTr="002455E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DA275A9" w14:textId="77777777" w:rsidR="00D972C7" w:rsidRPr="00D01DDB" w:rsidRDefault="00D972C7" w:rsidP="002455ED">
            <w:pPr>
              <w:rPr>
                <w:szCs w:val="22"/>
              </w:rPr>
            </w:pPr>
            <w:r w:rsidRPr="00D01DDB">
              <w:rPr>
                <w:szCs w:val="22"/>
              </w:rPr>
              <w:t>TGA</w:t>
            </w:r>
          </w:p>
        </w:tc>
        <w:tc>
          <w:tcPr>
            <w:tcW w:w="3800" w:type="pct"/>
          </w:tcPr>
          <w:p w14:paraId="6C88B7BF" w14:textId="77777777" w:rsidR="00D972C7" w:rsidRPr="00D01DDB" w:rsidRDefault="00D972C7" w:rsidP="002455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bl>
    <w:p w14:paraId="44C2A39C" w14:textId="644E7BF4" w:rsidR="00324B33" w:rsidRDefault="00050E8B" w:rsidP="00DD5E0C">
      <w:pPr>
        <w:pStyle w:val="Heading2"/>
        <w:pageBreakBefore/>
      </w:pPr>
      <w:bookmarkStart w:id="5" w:name="_Toc205297300"/>
      <w:r w:rsidRPr="00DD5E0C">
        <w:t>RELFYDESS</w:t>
      </w:r>
      <w:r w:rsidRPr="00050E8B">
        <w:t xml:space="preserve"> </w:t>
      </w:r>
      <w:r>
        <w:t>(</w:t>
      </w:r>
      <w:proofErr w:type="spellStart"/>
      <w:r w:rsidRPr="00050E8B">
        <w:t>relabotulinumtoxinA</w:t>
      </w:r>
      <w:proofErr w:type="spellEnd"/>
      <w:r>
        <w:t xml:space="preserve">) </w:t>
      </w:r>
      <w:r w:rsidR="001B5CA6" w:rsidRPr="001B5CA6">
        <w:t>submission</w:t>
      </w:r>
      <w:bookmarkEnd w:id="5"/>
    </w:p>
    <w:tbl>
      <w:tblPr>
        <w:tblW w:w="5000" w:type="pct"/>
        <w:tblLook w:val="01E0" w:firstRow="1" w:lastRow="1" w:firstColumn="1" w:lastColumn="1" w:noHBand="0" w:noVBand="0"/>
      </w:tblPr>
      <w:tblGrid>
        <w:gridCol w:w="2273"/>
        <w:gridCol w:w="6797"/>
      </w:tblGrid>
      <w:tr w:rsidR="00324B33" w:rsidRPr="00BD5DBD" w14:paraId="77D11C95" w14:textId="77777777" w:rsidTr="0068302A">
        <w:tc>
          <w:tcPr>
            <w:tcW w:w="1253" w:type="pct"/>
          </w:tcPr>
          <w:p w14:paraId="10E57D62" w14:textId="131D693B" w:rsidR="00324B33" w:rsidRPr="00BD5DBD" w:rsidRDefault="00324B33" w:rsidP="007452E8">
            <w:pPr>
              <w:rPr>
                <w:i/>
                <w:szCs w:val="22"/>
              </w:rPr>
            </w:pPr>
            <w:r w:rsidRPr="00BD5DBD">
              <w:rPr>
                <w:i/>
                <w:szCs w:val="22"/>
              </w:rPr>
              <w:t>Type of submission:</w:t>
            </w:r>
          </w:p>
        </w:tc>
        <w:tc>
          <w:tcPr>
            <w:tcW w:w="3747" w:type="pct"/>
          </w:tcPr>
          <w:p w14:paraId="4F07C303" w14:textId="59C794AE" w:rsidR="00324B33" w:rsidRPr="00BD5DBD" w:rsidRDefault="00E661ED" w:rsidP="007452E8">
            <w:pPr>
              <w:rPr>
                <w:szCs w:val="22"/>
              </w:rPr>
            </w:pPr>
            <w:r>
              <w:rPr>
                <w:szCs w:val="22"/>
              </w:rPr>
              <w:t xml:space="preserve">New </w:t>
            </w:r>
            <w:r w:rsidR="007A7FB7">
              <w:rPr>
                <w:szCs w:val="22"/>
              </w:rPr>
              <w:t>b</w:t>
            </w:r>
            <w:r>
              <w:rPr>
                <w:szCs w:val="22"/>
              </w:rPr>
              <w:t xml:space="preserve">iological </w:t>
            </w:r>
            <w:r w:rsidR="007A7FB7">
              <w:rPr>
                <w:szCs w:val="22"/>
              </w:rPr>
              <w:t>e</w:t>
            </w:r>
            <w:r>
              <w:rPr>
                <w:szCs w:val="22"/>
              </w:rPr>
              <w:t>ntity</w:t>
            </w:r>
          </w:p>
        </w:tc>
      </w:tr>
      <w:tr w:rsidR="00324B33" w:rsidRPr="00BD5DBD" w14:paraId="13482B61" w14:textId="77777777" w:rsidTr="0068302A">
        <w:tc>
          <w:tcPr>
            <w:tcW w:w="1253" w:type="pct"/>
          </w:tcPr>
          <w:p w14:paraId="2C427FCF" w14:textId="149EFFAD" w:rsidR="00324B33" w:rsidRPr="00BD5DBD" w:rsidRDefault="00324B33" w:rsidP="007452E8">
            <w:pPr>
              <w:rPr>
                <w:i/>
                <w:szCs w:val="22"/>
              </w:rPr>
            </w:pPr>
            <w:r w:rsidRPr="00BD5DBD">
              <w:rPr>
                <w:i/>
                <w:szCs w:val="22"/>
              </w:rPr>
              <w:t>Product name:</w:t>
            </w:r>
          </w:p>
        </w:tc>
        <w:tc>
          <w:tcPr>
            <w:tcW w:w="3747" w:type="pct"/>
          </w:tcPr>
          <w:p w14:paraId="0E2DEF76" w14:textId="785FA74A" w:rsidR="00324B33" w:rsidRPr="00BD5DBD" w:rsidRDefault="00EE6A8F" w:rsidP="007452E8">
            <w:pPr>
              <w:rPr>
                <w:szCs w:val="22"/>
              </w:rPr>
            </w:pPr>
            <w:r w:rsidRPr="00EE6A8F">
              <w:rPr>
                <w:szCs w:val="22"/>
              </w:rPr>
              <w:t>RELFYDESS</w:t>
            </w:r>
          </w:p>
        </w:tc>
      </w:tr>
      <w:tr w:rsidR="00324B33" w:rsidRPr="00BD5DBD" w14:paraId="01255B5B" w14:textId="77777777" w:rsidTr="0068302A">
        <w:tc>
          <w:tcPr>
            <w:tcW w:w="1253" w:type="pct"/>
          </w:tcPr>
          <w:p w14:paraId="52B4F3D7" w14:textId="4573F315" w:rsidR="00324B33" w:rsidRPr="00BD5DBD" w:rsidRDefault="00324B33" w:rsidP="007452E8">
            <w:pPr>
              <w:rPr>
                <w:i/>
                <w:szCs w:val="22"/>
              </w:rPr>
            </w:pPr>
            <w:r w:rsidRPr="00BD5DBD">
              <w:rPr>
                <w:i/>
                <w:szCs w:val="22"/>
              </w:rPr>
              <w:t>Active ingredien</w:t>
            </w:r>
            <w:r w:rsidR="007A7FB7">
              <w:rPr>
                <w:i/>
                <w:szCs w:val="22"/>
              </w:rPr>
              <w:t>t</w:t>
            </w:r>
            <w:r w:rsidRPr="00BD5DBD">
              <w:rPr>
                <w:i/>
                <w:szCs w:val="22"/>
              </w:rPr>
              <w:t>:</w:t>
            </w:r>
          </w:p>
        </w:tc>
        <w:tc>
          <w:tcPr>
            <w:tcW w:w="3747" w:type="pct"/>
          </w:tcPr>
          <w:p w14:paraId="02FB6383" w14:textId="14425AD4" w:rsidR="00324B33" w:rsidRPr="00BD5DBD" w:rsidRDefault="00133C89" w:rsidP="007452E8">
            <w:pPr>
              <w:rPr>
                <w:szCs w:val="22"/>
              </w:rPr>
            </w:pPr>
            <w:proofErr w:type="spellStart"/>
            <w:r w:rsidRPr="00133C89">
              <w:rPr>
                <w:szCs w:val="22"/>
              </w:rPr>
              <w:t>relabotulinumtoxinA</w:t>
            </w:r>
            <w:proofErr w:type="spellEnd"/>
          </w:p>
        </w:tc>
      </w:tr>
      <w:tr w:rsidR="00324B33" w:rsidRPr="00BD5DBD" w14:paraId="219A281B" w14:textId="77777777" w:rsidTr="0068302A">
        <w:tc>
          <w:tcPr>
            <w:tcW w:w="1253" w:type="pct"/>
          </w:tcPr>
          <w:p w14:paraId="112E5F78" w14:textId="77777777" w:rsidR="00324B33" w:rsidRPr="00BD5DBD" w:rsidRDefault="00324B33" w:rsidP="007452E8">
            <w:pPr>
              <w:rPr>
                <w:i/>
                <w:szCs w:val="22"/>
              </w:rPr>
            </w:pPr>
            <w:r w:rsidRPr="00BD5DBD">
              <w:rPr>
                <w:i/>
                <w:szCs w:val="22"/>
              </w:rPr>
              <w:t>Decision:</w:t>
            </w:r>
          </w:p>
        </w:tc>
        <w:tc>
          <w:tcPr>
            <w:tcW w:w="3747" w:type="pct"/>
          </w:tcPr>
          <w:p w14:paraId="3B114BEA" w14:textId="50A3356E" w:rsidR="00324B33" w:rsidRPr="00BD5DBD" w:rsidRDefault="00324B33" w:rsidP="007452E8">
            <w:pPr>
              <w:rPr>
                <w:szCs w:val="22"/>
              </w:rPr>
            </w:pPr>
            <w:r w:rsidRPr="00BD5DBD">
              <w:rPr>
                <w:szCs w:val="22"/>
              </w:rPr>
              <w:t>Approved</w:t>
            </w:r>
          </w:p>
        </w:tc>
      </w:tr>
      <w:tr w:rsidR="00AE1947" w:rsidRPr="00BD5DBD" w14:paraId="32B72632" w14:textId="77777777" w:rsidTr="0068302A">
        <w:tc>
          <w:tcPr>
            <w:tcW w:w="1253" w:type="pct"/>
          </w:tcPr>
          <w:p w14:paraId="332A5CD5" w14:textId="65682B5F" w:rsidR="00AE1947" w:rsidRPr="00BD5DBD" w:rsidRDefault="00AE1947" w:rsidP="007F1E37">
            <w:r w:rsidRPr="00BD5DBD">
              <w:rPr>
                <w:i/>
                <w:szCs w:val="22"/>
              </w:rPr>
              <w:t>Date of decision:</w:t>
            </w:r>
          </w:p>
        </w:tc>
        <w:tc>
          <w:tcPr>
            <w:tcW w:w="3747" w:type="pct"/>
          </w:tcPr>
          <w:p w14:paraId="7B381CD6" w14:textId="6613E013" w:rsidR="00AE1947" w:rsidRPr="00BD5DBD" w:rsidRDefault="00133C89" w:rsidP="00602658">
            <w:pPr>
              <w:rPr>
                <w:szCs w:val="22"/>
              </w:rPr>
            </w:pPr>
            <w:r w:rsidRPr="00133C89">
              <w:rPr>
                <w:szCs w:val="22"/>
              </w:rPr>
              <w:t>7 June 2024</w:t>
            </w:r>
          </w:p>
        </w:tc>
      </w:tr>
      <w:tr w:rsidR="00324B33" w:rsidRPr="00BD5DBD" w14:paraId="60A25F5A" w14:textId="77777777" w:rsidTr="0068302A">
        <w:tc>
          <w:tcPr>
            <w:tcW w:w="1253" w:type="pct"/>
          </w:tcPr>
          <w:p w14:paraId="5C5E4CBA" w14:textId="77777777" w:rsidR="00324B33" w:rsidRPr="00BD5DBD" w:rsidRDefault="00324B33" w:rsidP="007452E8">
            <w:pPr>
              <w:rPr>
                <w:i/>
                <w:szCs w:val="22"/>
              </w:rPr>
            </w:pPr>
            <w:r w:rsidRPr="00BD5DBD">
              <w:rPr>
                <w:i/>
                <w:szCs w:val="22"/>
              </w:rPr>
              <w:t>Date of entry onto ARTG:</w:t>
            </w:r>
          </w:p>
        </w:tc>
        <w:tc>
          <w:tcPr>
            <w:tcW w:w="3747" w:type="pct"/>
          </w:tcPr>
          <w:p w14:paraId="28B270E9" w14:textId="20ACC370" w:rsidR="00324B33" w:rsidRPr="00BD5DBD" w:rsidRDefault="007A7FB7" w:rsidP="007452E8">
            <w:pPr>
              <w:rPr>
                <w:szCs w:val="22"/>
              </w:rPr>
            </w:pPr>
            <w:r w:rsidRPr="007A7FB7">
              <w:rPr>
                <w:szCs w:val="22"/>
              </w:rPr>
              <w:t>1 July 2024</w:t>
            </w:r>
          </w:p>
        </w:tc>
      </w:tr>
      <w:tr w:rsidR="00324B33" w:rsidRPr="00BD5DBD" w14:paraId="547E08D7" w14:textId="77777777" w:rsidTr="0068302A">
        <w:tc>
          <w:tcPr>
            <w:tcW w:w="1253" w:type="pct"/>
          </w:tcPr>
          <w:p w14:paraId="5030EF30" w14:textId="39DEF9A4" w:rsidR="00324B33" w:rsidRPr="00BD5DBD" w:rsidRDefault="00324B33" w:rsidP="007452E8">
            <w:pPr>
              <w:rPr>
                <w:i/>
                <w:szCs w:val="22"/>
              </w:rPr>
            </w:pPr>
            <w:r w:rsidRPr="00BD5DBD">
              <w:rPr>
                <w:i/>
                <w:szCs w:val="22"/>
              </w:rPr>
              <w:t>ARTG number:</w:t>
            </w:r>
          </w:p>
        </w:tc>
        <w:tc>
          <w:tcPr>
            <w:tcW w:w="3747" w:type="pct"/>
          </w:tcPr>
          <w:p w14:paraId="0054E912" w14:textId="064F4B1D" w:rsidR="00324B33" w:rsidRPr="00BD5DBD" w:rsidRDefault="00313E92" w:rsidP="007452E8">
            <w:pPr>
              <w:rPr>
                <w:szCs w:val="22"/>
              </w:rPr>
            </w:pPr>
            <w:hyperlink r:id="rId18" w:history="1">
              <w:r w:rsidRPr="00313E92">
                <w:rPr>
                  <w:rStyle w:val="Hyperlink"/>
                  <w:szCs w:val="22"/>
                </w:rPr>
                <w:t>405864</w:t>
              </w:r>
            </w:hyperlink>
          </w:p>
        </w:tc>
      </w:tr>
      <w:tr w:rsidR="00324B33" w:rsidRPr="00BD5DBD" w14:paraId="7618393F" w14:textId="77777777" w:rsidTr="0068302A">
        <w:tc>
          <w:tcPr>
            <w:tcW w:w="1253" w:type="pct"/>
          </w:tcPr>
          <w:p w14:paraId="02260DE2" w14:textId="6D53A5BB" w:rsidR="00324B33" w:rsidRPr="00BD5DBD" w:rsidRDefault="00324B33" w:rsidP="00313E92">
            <w:pPr>
              <w:rPr>
                <w:i/>
                <w:szCs w:val="22"/>
              </w:rPr>
            </w:pPr>
            <w:r w:rsidRPr="00BD5DBD">
              <w:rPr>
                <w:rFonts w:ascii="Wingdings 3" w:hAnsi="Wingdings 3"/>
                <w:szCs w:val="22"/>
                <w:lang w:eastAsia="en-AU"/>
              </w:rPr>
              <w:t></w:t>
            </w:r>
            <w:hyperlink r:id="rId19" w:history="1">
              <w:r w:rsidRPr="00BD5DBD">
                <w:rPr>
                  <w:rStyle w:val="Hyperlink"/>
                  <w:i/>
                  <w:szCs w:val="22"/>
                </w:rPr>
                <w:t>Black Triangle Scheme</w:t>
              </w:r>
            </w:hyperlink>
          </w:p>
        </w:tc>
        <w:tc>
          <w:tcPr>
            <w:tcW w:w="3747" w:type="pct"/>
          </w:tcPr>
          <w:p w14:paraId="6FF3C6A2" w14:textId="5CDCB034" w:rsidR="00324B33" w:rsidRPr="00BD5DBD" w:rsidRDefault="00324B33" w:rsidP="007452E8">
            <w:pPr>
              <w:rPr>
                <w:szCs w:val="22"/>
              </w:rPr>
            </w:pPr>
            <w:r w:rsidRPr="00BD5DBD">
              <w:rPr>
                <w:szCs w:val="22"/>
              </w:rPr>
              <w:t>Yes</w:t>
            </w:r>
          </w:p>
        </w:tc>
      </w:tr>
      <w:tr w:rsidR="00324B33" w:rsidRPr="00BD5DBD" w14:paraId="179E09FE" w14:textId="77777777" w:rsidTr="0068302A">
        <w:tc>
          <w:tcPr>
            <w:tcW w:w="1253" w:type="pct"/>
          </w:tcPr>
          <w:p w14:paraId="1A592498" w14:textId="77777777" w:rsidR="00324B33" w:rsidRPr="00BD5DBD" w:rsidRDefault="00324B33" w:rsidP="007452E8">
            <w:pPr>
              <w:rPr>
                <w:i/>
                <w:szCs w:val="22"/>
              </w:rPr>
            </w:pPr>
            <w:r w:rsidRPr="00BD5DBD">
              <w:rPr>
                <w:i/>
                <w:szCs w:val="22"/>
              </w:rPr>
              <w:t>Sponsor’s name and address:</w:t>
            </w:r>
          </w:p>
        </w:tc>
        <w:tc>
          <w:tcPr>
            <w:tcW w:w="3747" w:type="pct"/>
          </w:tcPr>
          <w:p w14:paraId="3206BCAC" w14:textId="77777777" w:rsidR="00A02C3D" w:rsidRPr="00A02C3D" w:rsidRDefault="00A02C3D" w:rsidP="00A02C3D">
            <w:pPr>
              <w:rPr>
                <w:szCs w:val="22"/>
              </w:rPr>
            </w:pPr>
            <w:r w:rsidRPr="00A02C3D">
              <w:rPr>
                <w:szCs w:val="22"/>
              </w:rPr>
              <w:t>Ipsen Pty Ltd</w:t>
            </w:r>
          </w:p>
          <w:p w14:paraId="68DD94B0" w14:textId="7D5BDEBC" w:rsidR="00324B33" w:rsidRPr="00BD5DBD" w:rsidRDefault="00A02C3D" w:rsidP="00A02C3D">
            <w:pPr>
              <w:rPr>
                <w:szCs w:val="22"/>
              </w:rPr>
            </w:pPr>
            <w:r w:rsidRPr="00A02C3D">
              <w:rPr>
                <w:szCs w:val="22"/>
              </w:rPr>
              <w:t>Level 5, 627 Chapel Street</w:t>
            </w:r>
            <w:r>
              <w:rPr>
                <w:szCs w:val="22"/>
              </w:rPr>
              <w:t xml:space="preserve"> </w:t>
            </w:r>
            <w:r w:rsidRPr="00A02C3D">
              <w:rPr>
                <w:szCs w:val="22"/>
              </w:rPr>
              <w:t>South Yarra, VIC 3141</w:t>
            </w:r>
          </w:p>
        </w:tc>
      </w:tr>
      <w:tr w:rsidR="00324B33" w:rsidRPr="00BD5DBD" w14:paraId="5322B989" w14:textId="77777777" w:rsidTr="0068302A">
        <w:tc>
          <w:tcPr>
            <w:tcW w:w="1253" w:type="pct"/>
          </w:tcPr>
          <w:p w14:paraId="24F217E3" w14:textId="0EFE0F9E" w:rsidR="00324B33" w:rsidRPr="00BD5DBD" w:rsidRDefault="00324B33" w:rsidP="007452E8">
            <w:pPr>
              <w:rPr>
                <w:i/>
                <w:szCs w:val="22"/>
              </w:rPr>
            </w:pPr>
            <w:r w:rsidRPr="00BD5DBD">
              <w:rPr>
                <w:i/>
                <w:szCs w:val="22"/>
              </w:rPr>
              <w:t>Dose form:</w:t>
            </w:r>
          </w:p>
        </w:tc>
        <w:tc>
          <w:tcPr>
            <w:tcW w:w="3747" w:type="pct"/>
          </w:tcPr>
          <w:p w14:paraId="768B254C" w14:textId="796773E3" w:rsidR="00324B33" w:rsidRPr="00BD5DBD" w:rsidRDefault="003A63CF" w:rsidP="007452E8">
            <w:pPr>
              <w:rPr>
                <w:szCs w:val="22"/>
              </w:rPr>
            </w:pPr>
            <w:r w:rsidRPr="003A63CF">
              <w:rPr>
                <w:szCs w:val="22"/>
              </w:rPr>
              <w:t>Solution for Injection</w:t>
            </w:r>
          </w:p>
        </w:tc>
      </w:tr>
      <w:tr w:rsidR="00324B33" w:rsidRPr="00BD5DBD" w14:paraId="115243E6" w14:textId="77777777" w:rsidTr="0068302A">
        <w:tc>
          <w:tcPr>
            <w:tcW w:w="1253" w:type="pct"/>
          </w:tcPr>
          <w:p w14:paraId="7634B062" w14:textId="7631551F" w:rsidR="00324B33" w:rsidRPr="00BD5DBD" w:rsidRDefault="00324B33" w:rsidP="007452E8">
            <w:pPr>
              <w:rPr>
                <w:i/>
                <w:szCs w:val="22"/>
              </w:rPr>
            </w:pPr>
            <w:r w:rsidRPr="00BD5DBD">
              <w:rPr>
                <w:i/>
                <w:szCs w:val="22"/>
              </w:rPr>
              <w:t>Strength:</w:t>
            </w:r>
          </w:p>
        </w:tc>
        <w:tc>
          <w:tcPr>
            <w:tcW w:w="3747" w:type="pct"/>
          </w:tcPr>
          <w:p w14:paraId="5E5F83DB" w14:textId="6D59F226" w:rsidR="00324B33" w:rsidRPr="00BD5DBD" w:rsidRDefault="00D55217" w:rsidP="007452E8">
            <w:pPr>
              <w:rPr>
                <w:szCs w:val="22"/>
              </w:rPr>
            </w:pPr>
            <w:r w:rsidRPr="00D55217">
              <w:rPr>
                <w:szCs w:val="22"/>
              </w:rPr>
              <w:t>100 units/mL</w:t>
            </w:r>
          </w:p>
        </w:tc>
      </w:tr>
      <w:tr w:rsidR="00324B33" w:rsidRPr="00BD5DBD" w14:paraId="34B07BA6" w14:textId="77777777" w:rsidTr="0068302A">
        <w:tc>
          <w:tcPr>
            <w:tcW w:w="1253" w:type="pct"/>
          </w:tcPr>
          <w:p w14:paraId="1C039224" w14:textId="1DA21457" w:rsidR="00324B33" w:rsidRPr="00BD5DBD" w:rsidRDefault="00324B33" w:rsidP="007452E8">
            <w:pPr>
              <w:rPr>
                <w:i/>
                <w:szCs w:val="22"/>
              </w:rPr>
            </w:pPr>
            <w:r w:rsidRPr="00BD5DBD">
              <w:rPr>
                <w:i/>
                <w:szCs w:val="22"/>
              </w:rPr>
              <w:t>Container:</w:t>
            </w:r>
          </w:p>
        </w:tc>
        <w:tc>
          <w:tcPr>
            <w:tcW w:w="3747" w:type="pct"/>
          </w:tcPr>
          <w:p w14:paraId="500A42C6" w14:textId="6B6D5DA4" w:rsidR="00324B33" w:rsidRPr="00BD5DBD" w:rsidRDefault="00D55217" w:rsidP="00386798">
            <w:pPr>
              <w:rPr>
                <w:szCs w:val="22"/>
              </w:rPr>
            </w:pPr>
            <w:r w:rsidRPr="00D55217">
              <w:rPr>
                <w:szCs w:val="22"/>
              </w:rPr>
              <w:t xml:space="preserve">2 mL Type I glass vial, </w:t>
            </w:r>
            <w:proofErr w:type="spellStart"/>
            <w:r w:rsidRPr="00D55217">
              <w:rPr>
                <w:szCs w:val="22"/>
              </w:rPr>
              <w:t>bromobutyl</w:t>
            </w:r>
            <w:proofErr w:type="spellEnd"/>
            <w:r w:rsidRPr="00D55217">
              <w:rPr>
                <w:szCs w:val="22"/>
              </w:rPr>
              <w:t xml:space="preserve"> stopper and aluminium </w:t>
            </w:r>
            <w:proofErr w:type="spellStart"/>
            <w:r w:rsidRPr="00D55217">
              <w:rPr>
                <w:szCs w:val="22"/>
              </w:rPr>
              <w:t>overseal</w:t>
            </w:r>
            <w:proofErr w:type="spellEnd"/>
            <w:r w:rsidR="00386798">
              <w:rPr>
                <w:szCs w:val="22"/>
              </w:rPr>
              <w:t xml:space="preserve"> </w:t>
            </w:r>
            <w:r w:rsidRPr="00D55217">
              <w:rPr>
                <w:szCs w:val="22"/>
              </w:rPr>
              <w:t>with polypropylene flip-off top.</w:t>
            </w:r>
            <w:r w:rsidR="00386798">
              <w:rPr>
                <w:szCs w:val="22"/>
              </w:rPr>
              <w:t xml:space="preserve"> </w:t>
            </w:r>
            <w:r w:rsidR="00386798" w:rsidRPr="00386798">
              <w:rPr>
                <w:szCs w:val="22"/>
              </w:rPr>
              <w:t>Each vial contains 150 units of botulinum toxin type A in 1.5 mL of solution</w:t>
            </w:r>
            <w:r w:rsidR="00386798">
              <w:rPr>
                <w:szCs w:val="22"/>
              </w:rPr>
              <w:t>.</w:t>
            </w:r>
          </w:p>
        </w:tc>
      </w:tr>
      <w:tr w:rsidR="00324B33" w:rsidRPr="00BD5DBD" w14:paraId="176B6773" w14:textId="77777777" w:rsidTr="0068302A">
        <w:tc>
          <w:tcPr>
            <w:tcW w:w="1253" w:type="pct"/>
          </w:tcPr>
          <w:p w14:paraId="71846159" w14:textId="3C328FFE" w:rsidR="00324B33" w:rsidRPr="00BD5DBD" w:rsidRDefault="00324B33" w:rsidP="007452E8">
            <w:pPr>
              <w:rPr>
                <w:i/>
                <w:szCs w:val="22"/>
              </w:rPr>
            </w:pPr>
            <w:r w:rsidRPr="00BD5DBD">
              <w:rPr>
                <w:i/>
                <w:szCs w:val="22"/>
              </w:rPr>
              <w:t>Pack size:</w:t>
            </w:r>
          </w:p>
        </w:tc>
        <w:tc>
          <w:tcPr>
            <w:tcW w:w="3747" w:type="pct"/>
          </w:tcPr>
          <w:p w14:paraId="7E978F8F" w14:textId="560BB6F4" w:rsidR="00324B33" w:rsidRPr="00BD5DBD" w:rsidRDefault="00386798" w:rsidP="007452E8">
            <w:pPr>
              <w:rPr>
                <w:szCs w:val="22"/>
              </w:rPr>
            </w:pPr>
            <w:r w:rsidRPr="00386798">
              <w:rPr>
                <w:szCs w:val="22"/>
              </w:rPr>
              <w:t>1 or 10 vials</w:t>
            </w:r>
          </w:p>
        </w:tc>
      </w:tr>
      <w:tr w:rsidR="00324B33" w:rsidRPr="00BD5DBD" w14:paraId="19A2544A" w14:textId="77777777" w:rsidTr="0068302A">
        <w:tc>
          <w:tcPr>
            <w:tcW w:w="1253"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747" w:type="pct"/>
          </w:tcPr>
          <w:p w14:paraId="72D7C84C" w14:textId="17CD1111" w:rsidR="008F5BFE" w:rsidRPr="008F5BFE" w:rsidRDefault="008F5BFE" w:rsidP="008F5BFE">
            <w:pPr>
              <w:rPr>
                <w:szCs w:val="22"/>
              </w:rPr>
            </w:pPr>
            <w:r w:rsidRPr="008F5BFE">
              <w:rPr>
                <w:szCs w:val="22"/>
              </w:rPr>
              <w:t>RELFYDESS is indicated in adult patients for the temporary improvement in the</w:t>
            </w:r>
            <w:r>
              <w:rPr>
                <w:szCs w:val="22"/>
              </w:rPr>
              <w:t xml:space="preserve"> </w:t>
            </w:r>
            <w:r w:rsidRPr="008F5BFE">
              <w:rPr>
                <w:szCs w:val="22"/>
              </w:rPr>
              <w:t>appearance of:</w:t>
            </w:r>
          </w:p>
          <w:p w14:paraId="5B2BEFDD" w14:textId="78DB05DA" w:rsidR="008F5BFE" w:rsidRPr="008F5BFE" w:rsidRDefault="008F5BFE" w:rsidP="008F5BFE">
            <w:pPr>
              <w:pStyle w:val="ListBullet"/>
            </w:pPr>
            <w:r w:rsidRPr="008F5BFE">
              <w:t>Moderate to severe glabellar lines at maximum frown</w:t>
            </w:r>
          </w:p>
          <w:p w14:paraId="6E143E2E" w14:textId="313434BB" w:rsidR="00324B33" w:rsidRPr="008F5BFE" w:rsidRDefault="008F5BFE" w:rsidP="00DD5E0C">
            <w:pPr>
              <w:pStyle w:val="ListBullet"/>
            </w:pPr>
            <w:r w:rsidRPr="008F5BFE">
              <w:t xml:space="preserve">Moderate to severe lateral canthal lines seen at </w:t>
            </w:r>
            <w:r w:rsidRPr="00DD5E0C">
              <w:t>maximum</w:t>
            </w:r>
            <w:r w:rsidRPr="008F5BFE">
              <w:t xml:space="preserve"> smile</w:t>
            </w:r>
            <w:r w:rsidR="00DD5E0C">
              <w:t>.</w:t>
            </w:r>
          </w:p>
        </w:tc>
      </w:tr>
      <w:tr w:rsidR="00324B33" w:rsidRPr="00BD5DBD" w14:paraId="5AFDEED3" w14:textId="77777777" w:rsidTr="0068302A">
        <w:tc>
          <w:tcPr>
            <w:tcW w:w="1253" w:type="pct"/>
          </w:tcPr>
          <w:p w14:paraId="03884BD1" w14:textId="73CB1097" w:rsidR="00324B33" w:rsidRPr="00BD5DBD" w:rsidRDefault="00324B33" w:rsidP="007452E8">
            <w:pPr>
              <w:rPr>
                <w:i/>
                <w:szCs w:val="22"/>
              </w:rPr>
            </w:pPr>
            <w:r w:rsidRPr="00BD5DBD">
              <w:rPr>
                <w:i/>
                <w:szCs w:val="22"/>
              </w:rPr>
              <w:t>Route of administration:</w:t>
            </w:r>
          </w:p>
        </w:tc>
        <w:tc>
          <w:tcPr>
            <w:tcW w:w="3747" w:type="pct"/>
          </w:tcPr>
          <w:p w14:paraId="1ED1357E" w14:textId="7E42D1CE" w:rsidR="00324B33" w:rsidRPr="00BD5DBD" w:rsidRDefault="00D44C2F" w:rsidP="007452E8">
            <w:pPr>
              <w:rPr>
                <w:szCs w:val="22"/>
              </w:rPr>
            </w:pPr>
            <w:r w:rsidRPr="00D44C2F">
              <w:rPr>
                <w:szCs w:val="22"/>
              </w:rPr>
              <w:t>Intramuscular</w:t>
            </w:r>
            <w:r>
              <w:rPr>
                <w:szCs w:val="22"/>
              </w:rPr>
              <w:t xml:space="preserve"> injection</w:t>
            </w:r>
          </w:p>
        </w:tc>
      </w:tr>
      <w:tr w:rsidR="00324B33" w:rsidRPr="00BD5DBD" w14:paraId="70D7E9FA" w14:textId="77777777" w:rsidTr="0068302A">
        <w:tc>
          <w:tcPr>
            <w:tcW w:w="1253" w:type="pct"/>
          </w:tcPr>
          <w:p w14:paraId="5ABFFC80" w14:textId="77777777" w:rsidR="00324B33" w:rsidRPr="00BD5DBD" w:rsidRDefault="00324B33" w:rsidP="007452E8">
            <w:pPr>
              <w:rPr>
                <w:i/>
                <w:szCs w:val="22"/>
              </w:rPr>
            </w:pPr>
            <w:r w:rsidRPr="00BD5DBD">
              <w:rPr>
                <w:i/>
                <w:szCs w:val="22"/>
              </w:rPr>
              <w:t>Dosage:</w:t>
            </w:r>
          </w:p>
        </w:tc>
        <w:tc>
          <w:tcPr>
            <w:tcW w:w="3747" w:type="pct"/>
          </w:tcPr>
          <w:tbl>
            <w:tblPr>
              <w:tblStyle w:val="TableGrid"/>
              <w:tblW w:w="6571" w:type="dxa"/>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ook w:val="04A0" w:firstRow="1" w:lastRow="0" w:firstColumn="1" w:lastColumn="0" w:noHBand="0" w:noVBand="1"/>
            </w:tblPr>
            <w:tblGrid>
              <w:gridCol w:w="1580"/>
              <w:gridCol w:w="1728"/>
              <w:gridCol w:w="3263"/>
            </w:tblGrid>
            <w:tr w:rsidR="00FF1BEA" w14:paraId="1B920FFA" w14:textId="77777777" w:rsidTr="0021664E">
              <w:tc>
                <w:tcPr>
                  <w:tcW w:w="1580" w:type="dxa"/>
                  <w:shd w:val="clear" w:color="auto" w:fill="DEEAF6"/>
                </w:tcPr>
                <w:p w14:paraId="12FBA2D1" w14:textId="4CFEC3B7" w:rsidR="00FF1BEA" w:rsidRPr="00415663" w:rsidRDefault="009043C4" w:rsidP="007452E8">
                  <w:pPr>
                    <w:rPr>
                      <w:b/>
                      <w:bCs/>
                      <w:color w:val="263287"/>
                      <w:szCs w:val="22"/>
                    </w:rPr>
                  </w:pPr>
                  <w:r w:rsidRPr="00415663">
                    <w:rPr>
                      <w:b/>
                      <w:bCs/>
                      <w:color w:val="263287"/>
                      <w:szCs w:val="22"/>
                    </w:rPr>
                    <w:t xml:space="preserve">Treatment(s) </w:t>
                  </w:r>
                </w:p>
              </w:tc>
              <w:tc>
                <w:tcPr>
                  <w:tcW w:w="1728" w:type="dxa"/>
                  <w:shd w:val="clear" w:color="auto" w:fill="DEEAF6"/>
                </w:tcPr>
                <w:p w14:paraId="5AA1F26F" w14:textId="1A8A285C" w:rsidR="00FF1BEA" w:rsidRPr="00415663" w:rsidRDefault="009043C4" w:rsidP="007452E8">
                  <w:pPr>
                    <w:rPr>
                      <w:b/>
                      <w:bCs/>
                      <w:color w:val="263287"/>
                      <w:szCs w:val="22"/>
                    </w:rPr>
                  </w:pPr>
                  <w:r w:rsidRPr="00415663">
                    <w:rPr>
                      <w:b/>
                      <w:bCs/>
                      <w:color w:val="263287"/>
                      <w:szCs w:val="22"/>
                    </w:rPr>
                    <w:t>Total Recommended Dose</w:t>
                  </w:r>
                </w:p>
              </w:tc>
              <w:tc>
                <w:tcPr>
                  <w:tcW w:w="3263" w:type="dxa"/>
                  <w:shd w:val="clear" w:color="auto" w:fill="DEEAF6"/>
                </w:tcPr>
                <w:p w14:paraId="11DE633F" w14:textId="18C55B94" w:rsidR="00FF1BEA" w:rsidRPr="00415663" w:rsidRDefault="009043C4" w:rsidP="007452E8">
                  <w:pPr>
                    <w:rPr>
                      <w:b/>
                      <w:bCs/>
                      <w:color w:val="263287"/>
                      <w:szCs w:val="22"/>
                    </w:rPr>
                  </w:pPr>
                  <w:r w:rsidRPr="00415663">
                    <w:rPr>
                      <w:b/>
                      <w:bCs/>
                      <w:color w:val="263287"/>
                      <w:szCs w:val="22"/>
                    </w:rPr>
                    <w:t>Dose per injection</w:t>
                  </w:r>
                </w:p>
              </w:tc>
            </w:tr>
            <w:tr w:rsidR="00FF1BEA" w14:paraId="4E3F3089" w14:textId="77777777" w:rsidTr="00415663">
              <w:tc>
                <w:tcPr>
                  <w:tcW w:w="1580" w:type="dxa"/>
                </w:tcPr>
                <w:p w14:paraId="4D7BA41D" w14:textId="58CADF15" w:rsidR="00FF1BEA" w:rsidRDefault="009043C4" w:rsidP="00415663">
                  <w:pPr>
                    <w:rPr>
                      <w:szCs w:val="22"/>
                    </w:rPr>
                  </w:pPr>
                  <w:r w:rsidRPr="009043C4">
                    <w:rPr>
                      <w:szCs w:val="22"/>
                    </w:rPr>
                    <w:t>Glabellar Lines</w:t>
                  </w:r>
                  <w:r w:rsidR="00DD5E0C">
                    <w:rPr>
                      <w:szCs w:val="22"/>
                    </w:rPr>
                    <w:t xml:space="preserve"> </w:t>
                  </w:r>
                  <w:r w:rsidRPr="009043C4">
                    <w:rPr>
                      <w:szCs w:val="22"/>
                    </w:rPr>
                    <w:t>(GL)</w:t>
                  </w:r>
                </w:p>
              </w:tc>
              <w:tc>
                <w:tcPr>
                  <w:tcW w:w="1728" w:type="dxa"/>
                </w:tcPr>
                <w:p w14:paraId="1B53D284" w14:textId="1AA25DFC" w:rsidR="00FF1BEA" w:rsidRDefault="009043C4" w:rsidP="00415663">
                  <w:pPr>
                    <w:rPr>
                      <w:szCs w:val="22"/>
                    </w:rPr>
                  </w:pPr>
                  <w:r w:rsidRPr="009043C4">
                    <w:rPr>
                      <w:szCs w:val="22"/>
                    </w:rPr>
                    <w:t>50 units/0.5 mL</w:t>
                  </w:r>
                </w:p>
              </w:tc>
              <w:tc>
                <w:tcPr>
                  <w:tcW w:w="3263" w:type="dxa"/>
                </w:tcPr>
                <w:p w14:paraId="79BFCD98" w14:textId="1D52F5CA" w:rsidR="00FF1BEA" w:rsidRDefault="00811FD4" w:rsidP="00415663">
                  <w:pPr>
                    <w:rPr>
                      <w:szCs w:val="22"/>
                    </w:rPr>
                  </w:pPr>
                  <w:r w:rsidRPr="00811FD4">
                    <w:rPr>
                      <w:szCs w:val="22"/>
                    </w:rPr>
                    <w:t>5 injections of 10 units/0.1 mL:</w:t>
                  </w:r>
                  <w:r w:rsidR="00DD5E0C">
                    <w:rPr>
                      <w:szCs w:val="22"/>
                    </w:rPr>
                    <w:t xml:space="preserve"> </w:t>
                  </w:r>
                  <w:r w:rsidRPr="00811FD4">
                    <w:rPr>
                      <w:szCs w:val="22"/>
                    </w:rPr>
                    <w:t>2 injections on each side at the corrugator</w:t>
                  </w:r>
                  <w:r w:rsidR="00415663">
                    <w:rPr>
                      <w:szCs w:val="22"/>
                    </w:rPr>
                    <w:t xml:space="preserve"> </w:t>
                  </w:r>
                  <w:r w:rsidRPr="00811FD4">
                    <w:rPr>
                      <w:szCs w:val="22"/>
                    </w:rPr>
                    <w:t>muscle and 1</w:t>
                  </w:r>
                  <w:r w:rsidR="00415663">
                    <w:rPr>
                      <w:szCs w:val="22"/>
                    </w:rPr>
                    <w:t xml:space="preserve"> </w:t>
                  </w:r>
                  <w:r w:rsidRPr="00811FD4">
                    <w:rPr>
                      <w:szCs w:val="22"/>
                    </w:rPr>
                    <w:t>injection at the procerus muscle</w:t>
                  </w:r>
                  <w:r w:rsidR="00DD5E0C">
                    <w:rPr>
                      <w:szCs w:val="22"/>
                    </w:rPr>
                    <w:t xml:space="preserve"> </w:t>
                  </w:r>
                  <w:r w:rsidRPr="00811FD4">
                    <w:rPr>
                      <w:szCs w:val="22"/>
                    </w:rPr>
                    <w:t>near the nasofrontal angle</w:t>
                  </w:r>
                </w:p>
              </w:tc>
            </w:tr>
            <w:tr w:rsidR="00FF1BEA" w14:paraId="5E7D50D8" w14:textId="77777777" w:rsidTr="00415663">
              <w:tc>
                <w:tcPr>
                  <w:tcW w:w="1580" w:type="dxa"/>
                </w:tcPr>
                <w:p w14:paraId="6935DC65" w14:textId="79DD1D24" w:rsidR="00FF1BEA" w:rsidRDefault="00811FD4" w:rsidP="00415663">
                  <w:pPr>
                    <w:rPr>
                      <w:szCs w:val="22"/>
                    </w:rPr>
                  </w:pPr>
                  <w:r w:rsidRPr="00811FD4">
                    <w:rPr>
                      <w:szCs w:val="22"/>
                    </w:rPr>
                    <w:t>Lateral Canthal Lines (LCL)</w:t>
                  </w:r>
                </w:p>
              </w:tc>
              <w:tc>
                <w:tcPr>
                  <w:tcW w:w="1728" w:type="dxa"/>
                </w:tcPr>
                <w:p w14:paraId="52550CB8" w14:textId="07991CEE" w:rsidR="00FF1BEA" w:rsidRDefault="00811FD4" w:rsidP="00415663">
                  <w:pPr>
                    <w:rPr>
                      <w:szCs w:val="22"/>
                    </w:rPr>
                  </w:pPr>
                  <w:r w:rsidRPr="00811FD4">
                    <w:rPr>
                      <w:szCs w:val="22"/>
                    </w:rPr>
                    <w:t>60 units/0.6 mL</w:t>
                  </w:r>
                </w:p>
              </w:tc>
              <w:tc>
                <w:tcPr>
                  <w:tcW w:w="3263" w:type="dxa"/>
                </w:tcPr>
                <w:p w14:paraId="23D5DC9E" w14:textId="6DEA5892" w:rsidR="00FF1BEA" w:rsidRDefault="00454E6D" w:rsidP="00272D13">
                  <w:pPr>
                    <w:rPr>
                      <w:szCs w:val="22"/>
                    </w:rPr>
                  </w:pPr>
                  <w:r w:rsidRPr="00454E6D">
                    <w:rPr>
                      <w:szCs w:val="22"/>
                    </w:rPr>
                    <w:t>6 injections of 10 units/0.1 mL:</w:t>
                  </w:r>
                  <w:r w:rsidR="00DD5E0C">
                    <w:rPr>
                      <w:szCs w:val="22"/>
                    </w:rPr>
                    <w:t xml:space="preserve"> </w:t>
                  </w:r>
                  <w:r w:rsidRPr="00454E6D">
                    <w:rPr>
                      <w:szCs w:val="22"/>
                    </w:rPr>
                    <w:t>3 injections on each side at the orbicularis oculi</w:t>
                  </w:r>
                  <w:r w:rsidR="00272D13">
                    <w:rPr>
                      <w:szCs w:val="22"/>
                    </w:rPr>
                    <w:t xml:space="preserve"> </w:t>
                  </w:r>
                  <w:r w:rsidRPr="00454E6D">
                    <w:rPr>
                      <w:szCs w:val="22"/>
                    </w:rPr>
                    <w:t>muscle</w:t>
                  </w:r>
                </w:p>
              </w:tc>
            </w:tr>
            <w:tr w:rsidR="00FF1BEA" w14:paraId="19DAC822" w14:textId="77777777" w:rsidTr="00415663">
              <w:tc>
                <w:tcPr>
                  <w:tcW w:w="1580" w:type="dxa"/>
                </w:tcPr>
                <w:p w14:paraId="08935832" w14:textId="354F1610" w:rsidR="00FF1BEA" w:rsidRDefault="00454E6D" w:rsidP="00272D13">
                  <w:pPr>
                    <w:rPr>
                      <w:szCs w:val="22"/>
                    </w:rPr>
                  </w:pPr>
                  <w:r w:rsidRPr="00454E6D">
                    <w:rPr>
                      <w:szCs w:val="22"/>
                    </w:rPr>
                    <w:t>Combined treatment of</w:t>
                  </w:r>
                  <w:r w:rsidR="00DD5E0C">
                    <w:rPr>
                      <w:szCs w:val="22"/>
                    </w:rPr>
                    <w:t xml:space="preserve"> </w:t>
                  </w:r>
                  <w:r w:rsidR="00272D13">
                    <w:rPr>
                      <w:szCs w:val="22"/>
                    </w:rPr>
                    <w:t>GL and LCL</w:t>
                  </w:r>
                </w:p>
              </w:tc>
              <w:tc>
                <w:tcPr>
                  <w:tcW w:w="1728" w:type="dxa"/>
                </w:tcPr>
                <w:p w14:paraId="17AB34F5" w14:textId="0774D34E" w:rsidR="00FF1BEA" w:rsidRDefault="00454E6D" w:rsidP="00415663">
                  <w:pPr>
                    <w:rPr>
                      <w:szCs w:val="22"/>
                    </w:rPr>
                  </w:pPr>
                  <w:r w:rsidRPr="00454E6D">
                    <w:rPr>
                      <w:szCs w:val="22"/>
                    </w:rPr>
                    <w:t>110 units/1.1 mL</w:t>
                  </w:r>
                </w:p>
              </w:tc>
              <w:tc>
                <w:tcPr>
                  <w:tcW w:w="3263" w:type="dxa"/>
                </w:tcPr>
                <w:p w14:paraId="1E1B56B9" w14:textId="18B51897" w:rsidR="00FF1BEA" w:rsidRDefault="00454E6D" w:rsidP="00415663">
                  <w:pPr>
                    <w:rPr>
                      <w:szCs w:val="22"/>
                    </w:rPr>
                  </w:pPr>
                  <w:r w:rsidRPr="00454E6D">
                    <w:rPr>
                      <w:szCs w:val="22"/>
                    </w:rPr>
                    <w:t>11 injections total of 10 units/0.1 mL for</w:t>
                  </w:r>
                  <w:r w:rsidR="00DD5E0C">
                    <w:rPr>
                      <w:szCs w:val="22"/>
                    </w:rPr>
                    <w:t xml:space="preserve"> </w:t>
                  </w:r>
                  <w:r w:rsidRPr="00454E6D">
                    <w:rPr>
                      <w:szCs w:val="22"/>
                    </w:rPr>
                    <w:t>combined GL and LCL</w:t>
                  </w:r>
                </w:p>
              </w:tc>
            </w:tr>
          </w:tbl>
          <w:p w14:paraId="3D0B2D5C" w14:textId="26450EF6" w:rsidR="00324B33" w:rsidRPr="00BD5DBD" w:rsidRDefault="00324B33" w:rsidP="00DD5E0C">
            <w:pPr>
              <w:spacing w:before="240"/>
            </w:pPr>
            <w:r w:rsidRPr="00BD5DBD">
              <w:t>For further information regarding dosage</w:t>
            </w:r>
            <w:r w:rsidR="00F5794B">
              <w:t xml:space="preserve">, </w:t>
            </w:r>
            <w:r w:rsidRPr="00BD5DBD">
              <w:t xml:space="preserve">refer to the </w:t>
            </w:r>
            <w:hyperlink r:id="rId20" w:history="1">
              <w:r w:rsidRPr="00543610">
                <w:rPr>
                  <w:rStyle w:val="Hyperlink"/>
                  <w:szCs w:val="22"/>
                </w:rPr>
                <w:t>Product Information</w:t>
              </w:r>
            </w:hyperlink>
            <w:r w:rsidRPr="00BD5DBD">
              <w:t>.</w:t>
            </w:r>
          </w:p>
        </w:tc>
      </w:tr>
      <w:tr w:rsidR="00286C95" w:rsidRPr="00BD5DBD" w14:paraId="7B7BB6AE" w14:textId="77777777" w:rsidTr="0068302A">
        <w:tc>
          <w:tcPr>
            <w:tcW w:w="1253" w:type="pct"/>
          </w:tcPr>
          <w:p w14:paraId="3A76AFF7" w14:textId="7C436DD9" w:rsidR="00286C95" w:rsidRPr="00F8083B" w:rsidRDefault="00286C95" w:rsidP="00286C95">
            <w:r w:rsidRPr="00BD5DBD">
              <w:rPr>
                <w:i/>
                <w:szCs w:val="22"/>
              </w:rPr>
              <w:lastRenderedPageBreak/>
              <w:t>Pregnancy category:</w:t>
            </w:r>
          </w:p>
        </w:tc>
        <w:tc>
          <w:tcPr>
            <w:tcW w:w="3747" w:type="pct"/>
          </w:tcPr>
          <w:p w14:paraId="38307CF0" w14:textId="77777777" w:rsidR="00286C95" w:rsidRPr="0068302A" w:rsidRDefault="00286C95" w:rsidP="00286C95">
            <w:pPr>
              <w:rPr>
                <w:b/>
                <w:bCs/>
              </w:rPr>
            </w:pPr>
            <w:r w:rsidRPr="0068302A">
              <w:rPr>
                <w:b/>
                <w:bCs/>
              </w:rPr>
              <w:t>Category B3</w:t>
            </w:r>
          </w:p>
          <w:p w14:paraId="3735DC5A" w14:textId="77777777" w:rsidR="00286C95" w:rsidRPr="00995FD3" w:rsidRDefault="00286C95" w:rsidP="00286C95">
            <w:r w:rsidRPr="00995FD3">
              <w:t xml:space="preserve">Drugs which have been taken by only a limited number of pregnant women and women of childbearing age, without an increase in the frequency of malformation or other direct or indirect harmful effects on the human </w:t>
            </w:r>
            <w:proofErr w:type="spellStart"/>
            <w:r w:rsidRPr="00995FD3">
              <w:t>fetus</w:t>
            </w:r>
            <w:proofErr w:type="spellEnd"/>
            <w:r w:rsidRPr="00995FD3">
              <w:t xml:space="preserve"> having been observed.</w:t>
            </w:r>
          </w:p>
          <w:p w14:paraId="1E0C895B" w14:textId="77777777" w:rsidR="00286C95" w:rsidRPr="00995FD3" w:rsidRDefault="00286C95" w:rsidP="00286C95">
            <w:r w:rsidRPr="00995FD3">
              <w:t xml:space="preserve">Studies in animals have shown evidence of an increased occurrence of </w:t>
            </w:r>
            <w:proofErr w:type="spellStart"/>
            <w:r w:rsidRPr="00995FD3">
              <w:t>fetal</w:t>
            </w:r>
            <w:proofErr w:type="spellEnd"/>
            <w:r w:rsidRPr="00995FD3">
              <w:t xml:space="preserve"> damage, the significance of which is considered uncertain in humans.</w:t>
            </w:r>
          </w:p>
          <w:p w14:paraId="76497789" w14:textId="3F5CD71B" w:rsidR="00286C95" w:rsidRPr="00BD5DBD" w:rsidRDefault="00286C95" w:rsidP="00DD5E0C">
            <w:r w:rsidRPr="00BD5DBD">
              <w:t xml:space="preserve">The use of any medicine during pregnancy requires careful consideration of both risks and benefits by the treating health professional. </w:t>
            </w:r>
            <w:r>
              <w:t xml:space="preserve">The </w:t>
            </w:r>
            <w:hyperlink r:id="rId21" w:history="1">
              <w:r w:rsidRPr="00065FDF">
                <w:rPr>
                  <w:rStyle w:val="Hyperlink"/>
                  <w:szCs w:val="22"/>
                </w:rPr>
                <w:t>pregnancy database</w:t>
              </w:r>
            </w:hyperlink>
            <w:r>
              <w:t xml:space="preserve"> </w:t>
            </w:r>
            <w:r w:rsidRPr="00BD5DBD">
              <w:t xml:space="preserve">must not be used as the sole basis of decision making in the use of medicines during pregnancy. The TGA does not provide advice on the use of medicines in pregnancy for specific cases. More information is available from </w:t>
            </w:r>
            <w:hyperlink r:id="rId22" w:history="1">
              <w:r w:rsidRPr="00C059D0">
                <w:rPr>
                  <w:rStyle w:val="Hyperlink"/>
                  <w:szCs w:val="22"/>
                </w:rPr>
                <w:t>obstetric drug information services</w:t>
              </w:r>
            </w:hyperlink>
            <w:r w:rsidRPr="00BD5DBD">
              <w:t xml:space="preserve"> in your </w:t>
            </w:r>
            <w:r>
              <w:t>s</w:t>
            </w:r>
            <w:r w:rsidRPr="00BD5DBD">
              <w:t xml:space="preserve">tate or </w:t>
            </w:r>
            <w:r>
              <w:t>t</w:t>
            </w:r>
            <w:r w:rsidRPr="00BD5DBD">
              <w:t>erritory.</w:t>
            </w:r>
          </w:p>
        </w:tc>
      </w:tr>
    </w:tbl>
    <w:p w14:paraId="51F2479F" w14:textId="05DCE9BB" w:rsidR="00324B33" w:rsidRDefault="00D972C7" w:rsidP="00DD5E0C">
      <w:pPr>
        <w:pStyle w:val="Heading3"/>
      </w:pPr>
      <w:bookmarkStart w:id="6" w:name="_Toc205297301"/>
      <w:r>
        <w:t>P</w:t>
      </w:r>
      <w:r w:rsidR="006D0E86" w:rsidRPr="006D0E86">
        <w:t xml:space="preserve">roposed </w:t>
      </w:r>
      <w:r w:rsidR="006D0E86" w:rsidRPr="00DD5E0C">
        <w:t>indication</w:t>
      </w:r>
      <w:bookmarkEnd w:id="6"/>
    </w:p>
    <w:p w14:paraId="59BF31D1" w14:textId="6E7DC047" w:rsidR="001500A8" w:rsidRDefault="00324B33" w:rsidP="00DD5E0C">
      <w:r w:rsidRPr="00065839">
        <w:t xml:space="preserve">This </w:t>
      </w:r>
      <w:proofErr w:type="spellStart"/>
      <w:r w:rsidRPr="00065839">
        <w:t>AusPAR</w:t>
      </w:r>
      <w:proofErr w:type="spellEnd"/>
      <w:r w:rsidRPr="00065839">
        <w:t xml:space="preserve"> describes the submission by </w:t>
      </w:r>
      <w:r w:rsidR="0068302A">
        <w:t>Ipsen Pty Ltd</w:t>
      </w:r>
      <w:r w:rsidRPr="00065839">
        <w:t xml:space="preserve"> (the sponsor) to register </w:t>
      </w:r>
      <w:r w:rsidR="0068302A" w:rsidRPr="0068302A">
        <w:t>RELFYDESS (</w:t>
      </w:r>
      <w:proofErr w:type="spellStart"/>
      <w:r w:rsidR="0068302A" w:rsidRPr="0068302A">
        <w:t>relabotulinumtoxinA</w:t>
      </w:r>
      <w:proofErr w:type="spellEnd"/>
      <w:r w:rsidR="0068302A" w:rsidRPr="0068302A">
        <w:t>)</w:t>
      </w:r>
      <w:r w:rsidRPr="00065839">
        <w:t xml:space="preserve"> for the following proposed indication</w:t>
      </w:r>
      <w:r w:rsidR="0068302A">
        <w:t>:</w:t>
      </w:r>
      <w:r w:rsidR="00D63760" w:rsidRPr="00065839">
        <w:rPr>
          <w:vertAlign w:val="superscript"/>
        </w:rPr>
        <w:footnoteReference w:id="1"/>
      </w:r>
    </w:p>
    <w:p w14:paraId="1F949AC1" w14:textId="77777777" w:rsidR="00FE2E4A" w:rsidRPr="00DD5E0C" w:rsidRDefault="00FE2E4A" w:rsidP="00DD5E0C">
      <w:pPr>
        <w:ind w:left="720"/>
        <w:rPr>
          <w:i/>
          <w:iCs/>
        </w:rPr>
      </w:pPr>
      <w:r w:rsidRPr="00DD5E0C">
        <w:rPr>
          <w:i/>
          <w:iCs/>
        </w:rPr>
        <w:t>Moderate to severe glabellar lines at maximum frown</w:t>
      </w:r>
    </w:p>
    <w:p w14:paraId="3E762C44" w14:textId="68B2CC65" w:rsidR="00FE2E4A" w:rsidRPr="00DD5E0C" w:rsidRDefault="00FE2E4A" w:rsidP="00DD5E0C">
      <w:pPr>
        <w:ind w:left="720"/>
        <w:rPr>
          <w:i/>
          <w:iCs/>
        </w:rPr>
      </w:pPr>
      <w:r w:rsidRPr="00DD5E0C">
        <w:rPr>
          <w:i/>
          <w:iCs/>
        </w:rPr>
        <w:t>Moderate to severe lateral canthal lines seen at maximum smile alone or in combination.</w:t>
      </w:r>
    </w:p>
    <w:p w14:paraId="1E63A2AE" w14:textId="158608E7" w:rsidR="00CB6813" w:rsidRDefault="0033169F" w:rsidP="00DD5E0C">
      <w:pPr>
        <w:pStyle w:val="Heading3"/>
      </w:pPr>
      <w:bookmarkStart w:id="7" w:name="_Toc314842485"/>
      <w:bookmarkStart w:id="8" w:name="_Toc247691504"/>
      <w:bookmarkStart w:id="9" w:name="_Toc205297302"/>
      <w:r w:rsidRPr="0033169F">
        <w:t xml:space="preserve">The </w:t>
      </w:r>
      <w:r w:rsidR="00CE451A" w:rsidRPr="00DD5E0C">
        <w:t>condition</w:t>
      </w:r>
      <w:bookmarkEnd w:id="9"/>
    </w:p>
    <w:p w14:paraId="7886F1C9" w14:textId="1950AAF0" w:rsidR="00CB6813" w:rsidRDefault="005238AE" w:rsidP="00DD5E0C">
      <w:r w:rsidRPr="005238AE">
        <w:t>Glabellar lines (GL) are caused by contraction of the corrugator muscles above the eyebrows and lateral canthal lines (LCL) are caused by basal tone or spasm of the lateral orbicularis oculi muscles at rest, and by a combination of the zygomaticus, elevator and orbicularis oculi groups at smiling.</w:t>
      </w:r>
    </w:p>
    <w:p w14:paraId="255E083A" w14:textId="3631BDC8" w:rsidR="00CB6813" w:rsidRDefault="00480A4C" w:rsidP="00DD5E0C">
      <w:pPr>
        <w:pStyle w:val="Heading3"/>
      </w:pPr>
      <w:bookmarkStart w:id="10" w:name="_Toc205297303"/>
      <w:r w:rsidRPr="00480A4C">
        <w:t xml:space="preserve">Current treatment </w:t>
      </w:r>
      <w:r w:rsidRPr="00DD5E0C">
        <w:t>option</w:t>
      </w:r>
      <w:r w:rsidR="005238AE" w:rsidRPr="00DD5E0C">
        <w:t>s</w:t>
      </w:r>
      <w:bookmarkEnd w:id="10"/>
    </w:p>
    <w:p w14:paraId="05835FCA" w14:textId="116C796C" w:rsidR="00C16153" w:rsidRDefault="00C16153" w:rsidP="00DD5E0C">
      <w:r>
        <w:t>Treatment of GL and/or LCL is performed for cosmetic reasons</w:t>
      </w:r>
      <w:r w:rsidR="005B41FE">
        <w:t xml:space="preserve">. </w:t>
      </w:r>
      <w:r>
        <w:t xml:space="preserve">Botulinum </w:t>
      </w:r>
      <w:r w:rsidR="009C302A">
        <w:t xml:space="preserve">toxin </w:t>
      </w:r>
      <w:r>
        <w:t>products registered in Australia for the treatment of GL and/or LCL include:</w:t>
      </w:r>
    </w:p>
    <w:p w14:paraId="1BFE6C6D" w14:textId="0B5BC89C" w:rsidR="00C16153" w:rsidRDefault="00C16153" w:rsidP="00DD5E0C">
      <w:pPr>
        <w:pStyle w:val="ListBullet"/>
      </w:pPr>
      <w:r>
        <w:t xml:space="preserve">BOTOX (botulinum </w:t>
      </w:r>
      <w:r w:rsidRPr="00DD5E0C">
        <w:t>toxin</w:t>
      </w:r>
      <w:r>
        <w:t xml:space="preserve"> type A, </w:t>
      </w:r>
      <w:proofErr w:type="spellStart"/>
      <w:r>
        <w:t>onabotulinumtoxinA</w:t>
      </w:r>
      <w:proofErr w:type="spellEnd"/>
      <w:r>
        <w:t xml:space="preserve">): for the temporary improvement in the appearance of upper facial </w:t>
      </w:r>
      <w:proofErr w:type="spellStart"/>
      <w:r>
        <w:t>rhytides</w:t>
      </w:r>
      <w:proofErr w:type="spellEnd"/>
      <w:r>
        <w:t xml:space="preserve"> (glabellar lines, crow’s feet and forehead lines) in adults.</w:t>
      </w:r>
    </w:p>
    <w:p w14:paraId="0A92533D" w14:textId="5B2BC823" w:rsidR="00C16153" w:rsidRDefault="00C16153" w:rsidP="00DD5E0C">
      <w:pPr>
        <w:pStyle w:val="ListBullet"/>
      </w:pPr>
      <w:r>
        <w:t>DYSPORT (</w:t>
      </w:r>
      <w:r w:rsidRPr="00DD5E0C">
        <w:t>clostridium</w:t>
      </w:r>
      <w:r>
        <w:t xml:space="preserve"> botulinum type A toxin - haemagglutinin complex): for the treatment of moderate to severe glabellar lines and/or lateral canthal lines (crow’s feet) in adults.</w:t>
      </w:r>
    </w:p>
    <w:p w14:paraId="2A900322" w14:textId="39A9BAC9" w:rsidR="00C16153" w:rsidRDefault="00C16153" w:rsidP="00DD5E0C">
      <w:pPr>
        <w:pStyle w:val="ListBullet"/>
      </w:pPr>
      <w:r>
        <w:t>XEOMIN (</w:t>
      </w:r>
      <w:proofErr w:type="spellStart"/>
      <w:r>
        <w:t>incobotulinumtoxinA</w:t>
      </w:r>
      <w:proofErr w:type="spellEnd"/>
      <w:r>
        <w:t xml:space="preserve">): for the treatment of upper facial lines in adults (glabellar frown lines, lateral periorbital lines (crow’s feet), horizontal </w:t>
      </w:r>
      <w:r w:rsidRPr="00DD5E0C">
        <w:t>forehead</w:t>
      </w:r>
      <w:r>
        <w:t xml:space="preserve"> lines).</w:t>
      </w:r>
    </w:p>
    <w:p w14:paraId="71D4FD20" w14:textId="1BACC6AA" w:rsidR="00C16153" w:rsidRDefault="00C16153" w:rsidP="00DD5E0C">
      <w:pPr>
        <w:pStyle w:val="ListBullet"/>
      </w:pPr>
      <w:r>
        <w:t>NUCEIVA (</w:t>
      </w:r>
      <w:proofErr w:type="spellStart"/>
      <w:r>
        <w:t>prabotulinumtoxinA</w:t>
      </w:r>
      <w:proofErr w:type="spellEnd"/>
      <w:r>
        <w:t xml:space="preserve">): for the </w:t>
      </w:r>
      <w:r w:rsidRPr="00DD5E0C">
        <w:t>temporary</w:t>
      </w:r>
      <w:r>
        <w:t xml:space="preserve"> improvement in the appearance of moderate to severe glabellar lines in adult patients.</w:t>
      </w:r>
    </w:p>
    <w:p w14:paraId="65520CCD" w14:textId="3409B8C9" w:rsidR="00C16153" w:rsidRDefault="00C16153" w:rsidP="00DD5E0C">
      <w:pPr>
        <w:pStyle w:val="ListBullet"/>
      </w:pPr>
      <w:r>
        <w:t>LETYBO (</w:t>
      </w:r>
      <w:proofErr w:type="spellStart"/>
      <w:r>
        <w:t>letibotulinumtoxinA</w:t>
      </w:r>
      <w:proofErr w:type="spellEnd"/>
      <w:r>
        <w:t xml:space="preserve">): indicated for the </w:t>
      </w:r>
      <w:r w:rsidRPr="00DD5E0C">
        <w:t>temporary</w:t>
      </w:r>
      <w:r>
        <w:t xml:space="preserve"> improvement in the appearance of moderate to severe glabellar frown lines </w:t>
      </w:r>
      <w:r w:rsidRPr="00DD5E0C">
        <w:t>in</w:t>
      </w:r>
      <w:r>
        <w:t xml:space="preserve"> </w:t>
      </w:r>
      <w:r w:rsidRPr="00DD5E0C">
        <w:t>adults</w:t>
      </w:r>
      <w:r>
        <w:t>.</w:t>
      </w:r>
    </w:p>
    <w:p w14:paraId="37C47E09" w14:textId="0777D564" w:rsidR="00CB6813" w:rsidRDefault="002F116C" w:rsidP="00DD5E0C">
      <w:pPr>
        <w:pStyle w:val="Heading3"/>
      </w:pPr>
      <w:bookmarkStart w:id="11" w:name="_Toc205297304"/>
      <w:r w:rsidRPr="002F116C">
        <w:t xml:space="preserve">Clinical </w:t>
      </w:r>
      <w:r w:rsidRPr="00DD5E0C">
        <w:t>rationale</w:t>
      </w:r>
      <w:bookmarkEnd w:id="11"/>
    </w:p>
    <w:p w14:paraId="344F1B55" w14:textId="47AE0E7E" w:rsidR="00220659" w:rsidRDefault="00220659" w:rsidP="00DD5E0C">
      <w:bookmarkStart w:id="12" w:name="_Toc103679291"/>
      <w:r w:rsidRPr="00220659">
        <w:t>The mechanism of action of botulinum toxin is well characterised</w:t>
      </w:r>
      <w:r w:rsidR="005B41FE">
        <w:t xml:space="preserve">. </w:t>
      </w:r>
      <w:r w:rsidRPr="00220659">
        <w:t>It is a neuromuscular blocking agent which, when injected into muscle, acts by blocking the release of acetylcholine from the presynaptic neuronal synapse. Return of muscle function depends on regrowth of the axon terminals and takes approximately 3 months.</w:t>
      </w:r>
    </w:p>
    <w:p w14:paraId="0D615854" w14:textId="7CF09348" w:rsidR="00324B33" w:rsidRPr="003F31A2" w:rsidRDefault="00324B33" w:rsidP="00DD5E0C">
      <w:pPr>
        <w:pStyle w:val="Heading3"/>
      </w:pPr>
      <w:bookmarkStart w:id="13" w:name="_Toc205297305"/>
      <w:r>
        <w:t>Regulatory status</w:t>
      </w:r>
      <w:bookmarkEnd w:id="7"/>
      <w:bookmarkEnd w:id="8"/>
      <w:bookmarkEnd w:id="12"/>
      <w:bookmarkEnd w:id="13"/>
    </w:p>
    <w:p w14:paraId="72C889D6" w14:textId="7E200950" w:rsidR="0017005C" w:rsidRPr="00BD5DBD" w:rsidRDefault="0017005C" w:rsidP="00DD5E0C">
      <w:pPr>
        <w:pStyle w:val="Heading4"/>
      </w:pPr>
      <w:bookmarkStart w:id="14" w:name="_Toc205297306"/>
      <w:r w:rsidRPr="00BD5DBD">
        <w:t>Australian regulatory</w:t>
      </w:r>
      <w:r>
        <w:t xml:space="preserve"> sta</w:t>
      </w:r>
      <w:r w:rsidR="0025785B">
        <w:t>t</w:t>
      </w:r>
      <w:r>
        <w:t>us</w:t>
      </w:r>
      <w:bookmarkEnd w:id="14"/>
    </w:p>
    <w:p w14:paraId="6A8633FA" w14:textId="461BC0B3" w:rsidR="00324B33" w:rsidRDefault="00324B33" w:rsidP="00DD5E0C">
      <w:r w:rsidRPr="00BD5DBD">
        <w:t xml:space="preserve">This product is considered a </w:t>
      </w:r>
      <w:r w:rsidR="008C754C" w:rsidRPr="00BD5DBD">
        <w:t xml:space="preserve">new </w:t>
      </w:r>
      <w:r w:rsidRPr="00BD5DBD">
        <w:t>biological entity for Australian regulatory purposes.</w:t>
      </w:r>
    </w:p>
    <w:p w14:paraId="546C1031" w14:textId="4EF98FA1" w:rsidR="0017005C" w:rsidRDefault="00131B1B" w:rsidP="00DD5E0C">
      <w:pPr>
        <w:pStyle w:val="Heading4"/>
      </w:pPr>
      <w:bookmarkStart w:id="15" w:name="_Toc205297307"/>
      <w:r>
        <w:t xml:space="preserve">International </w:t>
      </w:r>
      <w:r w:rsidR="0017005C" w:rsidRPr="00BD5DBD">
        <w:t>regulatory</w:t>
      </w:r>
      <w:r w:rsidR="0017005C">
        <w:t xml:space="preserve"> status</w:t>
      </w:r>
      <w:bookmarkEnd w:id="15"/>
    </w:p>
    <w:p w14:paraId="02E90E03" w14:textId="0F2B5AD1" w:rsidR="008F4A62" w:rsidRDefault="008F4A62" w:rsidP="00DD5E0C">
      <w:r w:rsidRPr="00BD5DBD">
        <w:t xml:space="preserve">At the time the TGA considered this submission, a similar submission was under consideration in </w:t>
      </w:r>
      <w:r w:rsidR="00892052">
        <w:t>The United States of America</w:t>
      </w:r>
      <w:r w:rsidRPr="00BD5DBD">
        <w:t xml:space="preserve"> (submitted </w:t>
      </w:r>
      <w:r w:rsidR="008422FF" w:rsidRPr="008422FF">
        <w:t>29</w:t>
      </w:r>
      <w:r w:rsidR="008422FF">
        <w:t xml:space="preserve"> </w:t>
      </w:r>
      <w:r w:rsidR="008422FF" w:rsidRPr="008422FF">
        <w:t>September</w:t>
      </w:r>
      <w:r w:rsidR="008422FF">
        <w:t xml:space="preserve"> </w:t>
      </w:r>
      <w:r w:rsidR="008422FF" w:rsidRPr="008422FF">
        <w:t>2022</w:t>
      </w:r>
      <w:r w:rsidRPr="00BD5DBD">
        <w:t>)</w:t>
      </w:r>
      <w:r w:rsidR="008422FF">
        <w:t xml:space="preserve">, </w:t>
      </w:r>
      <w:r w:rsidR="008422FF" w:rsidRPr="008422FF">
        <w:t>Canada</w:t>
      </w:r>
      <w:r w:rsidR="008422FF">
        <w:t xml:space="preserve"> </w:t>
      </w:r>
      <w:r w:rsidR="008422FF" w:rsidRPr="008422FF">
        <w:t>(submitted</w:t>
      </w:r>
      <w:r w:rsidR="008422FF">
        <w:t xml:space="preserve"> </w:t>
      </w:r>
      <w:r w:rsidR="0022653C" w:rsidRPr="0022653C">
        <w:t>8 February</w:t>
      </w:r>
      <w:r w:rsidR="0022653C">
        <w:t xml:space="preserve"> </w:t>
      </w:r>
      <w:r w:rsidR="0022653C" w:rsidRPr="0022653C">
        <w:t>2023</w:t>
      </w:r>
      <w:r w:rsidR="0022653C">
        <w:t>), the European Union (</w:t>
      </w:r>
      <w:r w:rsidR="0022653C" w:rsidRPr="0022653C">
        <w:t>submitted 24 July 2023</w:t>
      </w:r>
      <w:r w:rsidR="0022653C">
        <w:t>)</w:t>
      </w:r>
      <w:r w:rsidR="00484941">
        <w:t xml:space="preserve"> and </w:t>
      </w:r>
      <w:r w:rsidR="00484941" w:rsidRPr="00484941">
        <w:t>Switzerland</w:t>
      </w:r>
      <w:r w:rsidR="00484941">
        <w:t xml:space="preserve"> (submitted </w:t>
      </w:r>
      <w:r w:rsidR="00484941" w:rsidRPr="00484941">
        <w:t>29 October</w:t>
      </w:r>
      <w:r w:rsidR="00484941">
        <w:t xml:space="preserve"> </w:t>
      </w:r>
      <w:r w:rsidR="00484941" w:rsidRPr="00484941">
        <w:t>2023</w:t>
      </w:r>
      <w:r w:rsidR="00484941">
        <w:t>).</w:t>
      </w:r>
    </w:p>
    <w:p w14:paraId="24B41ACF" w14:textId="07EC54F6" w:rsidR="00490EDD" w:rsidRPr="0097008A" w:rsidRDefault="00490EDD" w:rsidP="00DD5E0C">
      <w:r w:rsidRPr="00121B0B">
        <w:t xml:space="preserve">Regarding terminology, during the clinical development phase, </w:t>
      </w:r>
      <w:proofErr w:type="spellStart"/>
      <w:r w:rsidRPr="00121B0B">
        <w:t>Relfydess</w:t>
      </w:r>
      <w:proofErr w:type="spellEnd"/>
      <w:r w:rsidRPr="00121B0B">
        <w:t xml:space="preserve"> was referred to as QM1114/QM1114</w:t>
      </w:r>
      <w:r w:rsidRPr="00121B0B">
        <w:noBreakHyphen/>
        <w:t xml:space="preserve">DP (the company code name) and this terminology has been used in certain documents such as the clinical study protocols, clinical study reports and the marketing authorization application documents. It contains the active substance botulinum toxin type A (known as in the EU) or </w:t>
      </w:r>
      <w:proofErr w:type="spellStart"/>
      <w:r w:rsidRPr="00121B0B">
        <w:t>relabotulinumtoxinA</w:t>
      </w:r>
      <w:proofErr w:type="spellEnd"/>
      <w:r w:rsidRPr="00121B0B">
        <w:t xml:space="preserve"> (United States Adopted Name [USAN] as known in Australia and used in </w:t>
      </w:r>
      <w:r w:rsidR="009F2BE7">
        <w:t>certain</w:t>
      </w:r>
      <w:r w:rsidRPr="00121B0B">
        <w:t xml:space="preserve"> scientific publications).</w:t>
      </w:r>
    </w:p>
    <w:p w14:paraId="6D92589C" w14:textId="09786CEF" w:rsidR="00324B33" w:rsidRDefault="00324B33" w:rsidP="00DD5E0C">
      <w:pPr>
        <w:pStyle w:val="Heading3"/>
      </w:pPr>
      <w:bookmarkStart w:id="16" w:name="_Toc504480011"/>
      <w:bookmarkStart w:id="17" w:name="_Toc103679293"/>
      <w:bookmarkStart w:id="18" w:name="_Toc205297308"/>
      <w:r>
        <w:t xml:space="preserve">Registration </w:t>
      </w:r>
      <w:r w:rsidRPr="00DD5E0C">
        <w:t>timeline</w:t>
      </w:r>
      <w:bookmarkEnd w:id="16"/>
      <w:bookmarkEnd w:id="17"/>
      <w:bookmarkEnd w:id="18"/>
    </w:p>
    <w:p w14:paraId="225E3D87" w14:textId="44D9381C" w:rsidR="00324B33" w:rsidRPr="00BD5DBD" w:rsidRDefault="00640626" w:rsidP="00DD5E0C">
      <w:r>
        <w:t>T</w:t>
      </w:r>
      <w:r w:rsidR="00324B33" w:rsidRPr="00BD5DBD">
        <w:t xml:space="preserve">able </w:t>
      </w:r>
      <w:r w:rsidR="009A605B">
        <w:t>1</w:t>
      </w:r>
      <w:r>
        <w:t xml:space="preserve"> </w:t>
      </w:r>
      <w:r w:rsidR="00324B33" w:rsidRPr="00BD5DBD">
        <w:t>captures the key steps and dates for this submission.</w:t>
      </w:r>
    </w:p>
    <w:p w14:paraId="6BB76942" w14:textId="49C62989" w:rsidR="00477C4E" w:rsidRPr="00BD5DBD" w:rsidRDefault="00477C4E" w:rsidP="00DD5E0C">
      <w:pPr>
        <w:rPr>
          <w:szCs w:val="22"/>
        </w:rPr>
      </w:pPr>
      <w:r w:rsidRPr="00BD5DBD">
        <w:rPr>
          <w:szCs w:val="22"/>
        </w:rPr>
        <w:t xml:space="preserve">This submission was evaluated under the </w:t>
      </w:r>
      <w:hyperlink r:id="rId23" w:history="1">
        <w:r w:rsidRPr="00BD5DBD">
          <w:rPr>
            <w:rStyle w:val="Hyperlink"/>
            <w:szCs w:val="22"/>
          </w:rPr>
          <w:t>standard prescription medicines registration process</w:t>
        </w:r>
      </w:hyperlink>
      <w:r w:rsidRPr="00BD5DBD">
        <w:rPr>
          <w:szCs w:val="22"/>
        </w:rPr>
        <w:t>.</w:t>
      </w:r>
    </w:p>
    <w:p w14:paraId="44628C5F" w14:textId="7ED7FDD9" w:rsidR="00324B33" w:rsidRDefault="00324B33" w:rsidP="00DD5E0C">
      <w:pPr>
        <w:pStyle w:val="TableTitle"/>
      </w:pPr>
      <w:r w:rsidRPr="002C1232">
        <w:t xml:space="preserve">Table </w:t>
      </w:r>
      <w:r w:rsidR="00420A8D">
        <w:t>1</w:t>
      </w:r>
      <w:r w:rsidRPr="002C1232">
        <w:t xml:space="preserve">: </w:t>
      </w:r>
      <w:r w:rsidRPr="00DD5E0C">
        <w:t>Timeline</w:t>
      </w:r>
      <w:r w:rsidRPr="002C1232">
        <w:t xml:space="preserve"> for </w:t>
      </w:r>
      <w:r w:rsidR="00640626" w:rsidRPr="00DD5E0C">
        <w:t>RELFYDESS</w:t>
      </w:r>
      <w:r w:rsidR="00640626">
        <w:t xml:space="preserve"> (</w:t>
      </w:r>
      <w:proofErr w:type="spellStart"/>
      <w:r w:rsidR="00640626" w:rsidRPr="00640626">
        <w:t>relabotulinumtoxinA</w:t>
      </w:r>
      <w:proofErr w:type="spellEnd"/>
      <w:r w:rsidR="00640626">
        <w:t>)</w:t>
      </w:r>
      <w:r w:rsidR="005042C7">
        <w:t xml:space="preserve">, </w:t>
      </w:r>
      <w:r w:rsidR="00640626">
        <w:t>s</w:t>
      </w:r>
      <w:r w:rsidRPr="002C1232">
        <w:t xml:space="preserve">ubmission </w:t>
      </w:r>
      <w:r w:rsidR="00640626" w:rsidRPr="00640626">
        <w:t>PM-2023-00708-1-1</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59D2A12" w14:textId="4F4E722F" w:rsidR="00324B33" w:rsidRPr="00E679D1" w:rsidRDefault="00324B33" w:rsidP="00133F91">
            <w:pPr>
              <w:ind w:left="71"/>
            </w:pPr>
            <w:r w:rsidRPr="00E679D1">
              <w:t>Submission dossier accepted and evaluation commenced</w:t>
            </w:r>
          </w:p>
        </w:tc>
        <w:tc>
          <w:tcPr>
            <w:tcW w:w="2977" w:type="dxa"/>
          </w:tcPr>
          <w:p w14:paraId="2963D9D8" w14:textId="530001CC" w:rsidR="00324B33" w:rsidRPr="00D01DDB" w:rsidRDefault="00B81D5A" w:rsidP="000D5A01">
            <w:pPr>
              <w:ind w:left="0"/>
              <w:cnfStyle w:val="000000000000" w:firstRow="0" w:lastRow="0" w:firstColumn="0" w:lastColumn="0" w:oddVBand="0" w:evenVBand="0" w:oddHBand="0" w:evenHBand="0" w:firstRowFirstColumn="0" w:firstRowLastColumn="0" w:lastRowFirstColumn="0" w:lastRowLastColumn="0"/>
              <w:rPr>
                <w:szCs w:val="22"/>
              </w:rPr>
            </w:pPr>
            <w:r>
              <w:rPr>
                <w:szCs w:val="22"/>
              </w:rPr>
              <w:t>31 March 2023</w:t>
            </w:r>
          </w:p>
        </w:tc>
      </w:tr>
      <w:tr w:rsidR="00803926" w:rsidRPr="00D01DDB" w14:paraId="16D13F79"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6858B45A" w14:textId="4A6E19A0" w:rsidR="00803926" w:rsidRPr="00E679D1" w:rsidDel="00C62B1C" w:rsidRDefault="00803926" w:rsidP="00133F91">
            <w:pPr>
              <w:ind w:left="71"/>
            </w:pPr>
            <w:r>
              <w:t>Evaluation completed</w:t>
            </w:r>
          </w:p>
        </w:tc>
        <w:tc>
          <w:tcPr>
            <w:tcW w:w="2977" w:type="dxa"/>
          </w:tcPr>
          <w:p w14:paraId="2E0BD403" w14:textId="45A8D041" w:rsidR="00803926" w:rsidRPr="00D01DDB" w:rsidRDefault="00086B71" w:rsidP="002C3D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1 November 2023</w:t>
            </w:r>
          </w:p>
        </w:tc>
      </w:tr>
      <w:tr w:rsidR="00324B33" w:rsidRPr="00D01DDB" w14:paraId="6E5D32FE"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E95C44C" w14:textId="01E94D32" w:rsidR="00324B33" w:rsidRPr="00E679D1" w:rsidRDefault="00324B33" w:rsidP="00133F91">
            <w:pPr>
              <w:ind w:left="71"/>
            </w:pPr>
            <w:r w:rsidRPr="00E679D1">
              <w:t>Registration decision (</w:t>
            </w:r>
            <w:r w:rsidR="00484941">
              <w:t>Approved</w:t>
            </w:r>
            <w:r w:rsidRPr="00E679D1">
              <w:t>)</w:t>
            </w:r>
          </w:p>
        </w:tc>
        <w:tc>
          <w:tcPr>
            <w:tcW w:w="2977" w:type="dxa"/>
          </w:tcPr>
          <w:p w14:paraId="62987ABD" w14:textId="1E244283" w:rsidR="00324B33" w:rsidRPr="00D01DDB" w:rsidRDefault="000D5A01" w:rsidP="002C3D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7 June 2024</w:t>
            </w:r>
          </w:p>
        </w:tc>
      </w:tr>
      <w:tr w:rsidR="00324B33" w:rsidRPr="00D01DDB" w14:paraId="6DDCDD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92FD19D" w14:textId="336B85B1" w:rsidR="00324B33" w:rsidRPr="00E679D1" w:rsidRDefault="00C00844" w:rsidP="00133F91">
            <w:pPr>
              <w:ind w:left="71"/>
            </w:pPr>
            <w:r>
              <w:t>R</w:t>
            </w:r>
            <w:r w:rsidR="0013132F" w:rsidRPr="00E679D1">
              <w:t xml:space="preserve">egistration </w:t>
            </w:r>
            <w:r w:rsidR="005C4B46" w:rsidRPr="00E679D1">
              <w:t xml:space="preserve">in </w:t>
            </w:r>
            <w:r w:rsidR="0013132F" w:rsidRPr="00E679D1">
              <w:t>the ARTG completed</w:t>
            </w:r>
          </w:p>
        </w:tc>
        <w:tc>
          <w:tcPr>
            <w:tcW w:w="2977" w:type="dxa"/>
          </w:tcPr>
          <w:p w14:paraId="5A8923FD" w14:textId="76F8BC70" w:rsidR="00324B33" w:rsidRPr="00D01DDB" w:rsidRDefault="000D5A01" w:rsidP="002C3D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1 July 2024</w:t>
            </w:r>
          </w:p>
        </w:tc>
      </w:tr>
      <w:tr w:rsidR="00324B33" w:rsidRPr="00D01DDB" w14:paraId="56D922E2"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133F91">
            <w:pPr>
              <w:ind w:left="71"/>
            </w:pPr>
            <w:r w:rsidRPr="00E679D1">
              <w:t>Number of working days from submission dossier acceptance to registration decision*</w:t>
            </w:r>
          </w:p>
        </w:tc>
        <w:tc>
          <w:tcPr>
            <w:tcW w:w="2977" w:type="dxa"/>
          </w:tcPr>
          <w:p w14:paraId="5BAF9FA1" w14:textId="53E3D017" w:rsidR="00324B33" w:rsidRPr="00D01DDB" w:rsidRDefault="00B22ED1" w:rsidP="00B22ED1">
            <w:pPr>
              <w:ind w:left="0"/>
              <w:cnfStyle w:val="000000000000" w:firstRow="0" w:lastRow="0" w:firstColumn="0" w:lastColumn="0" w:oddVBand="0" w:evenVBand="0" w:oddHBand="0" w:evenHBand="0" w:firstRowFirstColumn="0" w:firstRowLastColumn="0" w:lastRowFirstColumn="0" w:lastRowLastColumn="0"/>
              <w:rPr>
                <w:szCs w:val="22"/>
              </w:rPr>
            </w:pPr>
            <w:r>
              <w:rPr>
                <w:szCs w:val="22"/>
              </w:rPr>
              <w:t>458</w:t>
            </w:r>
          </w:p>
        </w:tc>
      </w:tr>
    </w:tbl>
    <w:p w14:paraId="7B02554C" w14:textId="77777777" w:rsidR="00433318" w:rsidRDefault="00433318" w:rsidP="005B41FE">
      <w:pPr>
        <w:pStyle w:val="TableDescription"/>
      </w:pPr>
      <w:r>
        <w:t>*</w:t>
      </w:r>
      <w:r w:rsidRPr="00BF3774">
        <w:t xml:space="preserve">Statutory </w:t>
      </w:r>
      <w:r>
        <w:t>timeframe for standard submissions is 255 working days</w:t>
      </w:r>
    </w:p>
    <w:p w14:paraId="220925F1" w14:textId="4FC984D9" w:rsidR="00C22214" w:rsidRPr="00792A32" w:rsidRDefault="00083763" w:rsidP="005B41FE">
      <w:pPr>
        <w:pStyle w:val="Heading2"/>
      </w:pPr>
      <w:bookmarkStart w:id="19" w:name="_Toc196046504"/>
      <w:bookmarkStart w:id="20" w:name="_Toc247691527"/>
      <w:bookmarkStart w:id="21" w:name="_Toc314842510"/>
      <w:bookmarkStart w:id="22" w:name="_Toc103679294"/>
      <w:bookmarkStart w:id="23" w:name="_Toc205297309"/>
      <w:r>
        <w:lastRenderedPageBreak/>
        <w:t xml:space="preserve">Assessment </w:t>
      </w:r>
      <w:r w:rsidR="00C22214" w:rsidRPr="005B41FE">
        <w:t>overview</w:t>
      </w:r>
      <w:bookmarkEnd w:id="19"/>
      <w:bookmarkEnd w:id="20"/>
      <w:bookmarkEnd w:id="21"/>
      <w:bookmarkEnd w:id="22"/>
      <w:bookmarkEnd w:id="23"/>
    </w:p>
    <w:p w14:paraId="37F5A1C0" w14:textId="24C35B4E" w:rsidR="00C22214" w:rsidRDefault="00095C6A" w:rsidP="005B41FE">
      <w:pPr>
        <w:pStyle w:val="Heading3"/>
      </w:pPr>
      <w:bookmarkStart w:id="24" w:name="_Toc247691528"/>
      <w:bookmarkStart w:id="25" w:name="_Toc314842511"/>
      <w:bookmarkStart w:id="26" w:name="_Toc103679295"/>
      <w:bookmarkStart w:id="27" w:name="_Toc205297310"/>
      <w:r>
        <w:t>Q</w:t>
      </w:r>
      <w:r w:rsidR="00C22214">
        <w:t>uality</w:t>
      </w:r>
      <w:bookmarkEnd w:id="24"/>
      <w:bookmarkEnd w:id="25"/>
      <w:bookmarkEnd w:id="26"/>
      <w:r w:rsidR="007E6443">
        <w:t xml:space="preserve"> evaluation</w:t>
      </w:r>
      <w:r>
        <w:t xml:space="preserve"> </w:t>
      </w:r>
      <w:r w:rsidRPr="005B41FE">
        <w:t>summary</w:t>
      </w:r>
      <w:bookmarkEnd w:id="27"/>
    </w:p>
    <w:p w14:paraId="6D73F0FE" w14:textId="66A147D7" w:rsidR="00C91E79" w:rsidRDefault="00C91E79" w:rsidP="005B41FE">
      <w:r>
        <w:t>RELFYDESS (</w:t>
      </w:r>
      <w:proofErr w:type="spellStart"/>
      <w:r>
        <w:t>relabotulinumtoxinA</w:t>
      </w:r>
      <w:proofErr w:type="spellEnd"/>
      <w:r>
        <w:t>) 100 units/mL is formulated as a ready-to-use solution for injection</w:t>
      </w:r>
      <w:r w:rsidR="005B41FE">
        <w:t xml:space="preserve">. </w:t>
      </w:r>
      <w:r>
        <w:t>All currently registered botulinum toxin type A products are formulated as a lyophilised powder and require reconstitution with sterile diluent prior to use.</w:t>
      </w:r>
    </w:p>
    <w:p w14:paraId="13F129ED" w14:textId="44DAD37B" w:rsidR="00C91E79" w:rsidRDefault="00C91E79" w:rsidP="005B41FE">
      <w:r>
        <w:t xml:space="preserve">The drug substance (DS) is a purified </w:t>
      </w:r>
      <w:r w:rsidRPr="007A1747">
        <w:rPr>
          <w:i/>
          <w:iCs/>
        </w:rPr>
        <w:t>Clostridium botulinum</w:t>
      </w:r>
      <w:r>
        <w:t xml:space="preserve"> type A1 neurotoxin with a molecular weight of approximately 150 </w:t>
      </w:r>
      <w:proofErr w:type="spellStart"/>
      <w:r>
        <w:t>kDa</w:t>
      </w:r>
      <w:proofErr w:type="spellEnd"/>
      <w:r>
        <w:t xml:space="preserve"> consisting of two protein subunits – a 100 </w:t>
      </w:r>
      <w:proofErr w:type="spellStart"/>
      <w:r>
        <w:t>kDa</w:t>
      </w:r>
      <w:proofErr w:type="spellEnd"/>
      <w:r>
        <w:t xml:space="preserve"> heavy chain and a 50 </w:t>
      </w:r>
      <w:proofErr w:type="spellStart"/>
      <w:r>
        <w:t>kDa</w:t>
      </w:r>
      <w:proofErr w:type="spellEnd"/>
      <w:r>
        <w:t xml:space="preserve"> light chain, connected by a disulphide bond of two cysteine residues. The DS is free from complexing proteins and animal or human derived proteins</w:t>
      </w:r>
      <w:r w:rsidR="005B41FE">
        <w:t xml:space="preserve">. </w:t>
      </w:r>
      <w:r>
        <w:t>The DS was well characterised for structure, physicochemical properties, purity, and biological activity using various analytical procedures</w:t>
      </w:r>
      <w:r w:rsidR="005B41FE">
        <w:t xml:space="preserve">. </w:t>
      </w:r>
      <w:r>
        <w:t>The process- and product-related impurities were characterised with appropriate analytical procedures and control</w:t>
      </w:r>
      <w:r w:rsidR="007A1747">
        <w:t>s</w:t>
      </w:r>
      <w:r>
        <w:t>.</w:t>
      </w:r>
    </w:p>
    <w:p w14:paraId="6F1B7D50" w14:textId="22D64F99" w:rsidR="00C91E79" w:rsidRDefault="00C91E79" w:rsidP="005B41FE">
      <w:r>
        <w:t>The drug product (DP) is supplied as a sterile, single-use preservative-free solution for intramuscular injection</w:t>
      </w:r>
      <w:r w:rsidR="005B41FE">
        <w:t xml:space="preserve">. </w:t>
      </w:r>
      <w:r>
        <w:t xml:space="preserve">Each vial of RELFYDESS contains </w:t>
      </w:r>
      <w:proofErr w:type="spellStart"/>
      <w:r>
        <w:t>relabotulinumtoxinA</w:t>
      </w:r>
      <w:proofErr w:type="spellEnd"/>
      <w:r>
        <w:t xml:space="preserve"> 150 units in 1.5 mL of solution for injection. The formulation also contains sodium acetate, sodium chloride, sodium phosphate, and polysorbate 20 in water for injections</w:t>
      </w:r>
      <w:r w:rsidR="005B41FE">
        <w:t xml:space="preserve">. </w:t>
      </w:r>
      <w:r>
        <w:t>No reconstitution is required</w:t>
      </w:r>
      <w:r w:rsidR="005B41FE">
        <w:t xml:space="preserve">. </w:t>
      </w:r>
      <w:r>
        <w:t xml:space="preserve">The physicochemical and biological properties of the DP relevant to the safety, clinical performance and manufacturability of the DP were identified and appropriately characterised or controlled in accordance with ICH guidelines. Overall, DP batches tested were comparable and there were no site- or scale-specific trends noted for any of the attributes tested. The compatibility of finished product was acceptably demonstrated by the extractables and </w:t>
      </w:r>
      <w:proofErr w:type="spellStart"/>
      <w:r>
        <w:t>leachables</w:t>
      </w:r>
      <w:proofErr w:type="spellEnd"/>
      <w:r>
        <w:t xml:space="preserve"> study and stability data. The release and stability specifications for the DS and DP are suitable for control of commercial lots.</w:t>
      </w:r>
    </w:p>
    <w:p w14:paraId="0CA354BC" w14:textId="2FF9DD95" w:rsidR="00C91E79" w:rsidRDefault="00C91E79" w:rsidP="005B41FE">
      <w:r>
        <w:t>All manufacturing sites responsible for all steps of the DS and DP manufacture are performed by previously authorised G</w:t>
      </w:r>
      <w:r w:rsidR="00FD3832">
        <w:t xml:space="preserve">ood </w:t>
      </w:r>
      <w:r>
        <w:t>M</w:t>
      </w:r>
      <w:r w:rsidR="00FD3832">
        <w:t xml:space="preserve">anufacturing </w:t>
      </w:r>
      <w:r>
        <w:t>P</w:t>
      </w:r>
      <w:r w:rsidR="00FD3832">
        <w:t>ractice</w:t>
      </w:r>
      <w:r>
        <w:t xml:space="preserve"> facilities, and all clearances are up to date</w:t>
      </w:r>
      <w:r w:rsidR="005B41FE">
        <w:t>.</w:t>
      </w:r>
    </w:p>
    <w:p w14:paraId="70F66EB6" w14:textId="20B70406" w:rsidR="00C91E79" w:rsidRDefault="00C91E79" w:rsidP="005B41FE">
      <w:r>
        <w:t xml:space="preserve">The proposed trade name RELFYDESS is acceptable. The Product Information </w:t>
      </w:r>
      <w:r w:rsidR="00FD3832">
        <w:t xml:space="preserve">(PI) </w:t>
      </w:r>
      <w:r>
        <w:t xml:space="preserve">is acceptable from </w:t>
      </w:r>
      <w:r w:rsidR="00FD3832">
        <w:t xml:space="preserve">a quality </w:t>
      </w:r>
      <w:r>
        <w:t>perspective</w:t>
      </w:r>
      <w:r w:rsidR="005B41FE">
        <w:t xml:space="preserve">. </w:t>
      </w:r>
      <w:r>
        <w:t xml:space="preserve">The </w:t>
      </w:r>
      <w:r w:rsidR="00FD3832">
        <w:t>p</w:t>
      </w:r>
      <w:r>
        <w:t xml:space="preserve">roduct </w:t>
      </w:r>
      <w:r w:rsidR="00FD3832">
        <w:t>l</w:t>
      </w:r>
      <w:r>
        <w:t>abels are in accordance with Therapeutic Goods Order No. 91 – Standard for labels of prescription and related medicines (TGO 91)</w:t>
      </w:r>
      <w:r w:rsidR="005B41FE">
        <w:t xml:space="preserve">. </w:t>
      </w:r>
      <w:r w:rsidR="00FD3832">
        <w:t xml:space="preserve">Requirements with respect to </w:t>
      </w:r>
      <w:r>
        <w:t>container safety, infectious disease/viral safety, endotoxins, and microbiology/sterility</w:t>
      </w:r>
      <w:r w:rsidR="00FD3832">
        <w:t xml:space="preserve"> have been met</w:t>
      </w:r>
      <w:r w:rsidR="005B41FE">
        <w:t>.</w:t>
      </w:r>
    </w:p>
    <w:p w14:paraId="2A7336D0" w14:textId="1B101C54" w:rsidR="00C91E79" w:rsidRPr="00C91E79" w:rsidRDefault="00C91E79" w:rsidP="005B41FE">
      <w:r>
        <w:t xml:space="preserve">There are no significant issues identified from the </w:t>
      </w:r>
      <w:r w:rsidR="008B4732">
        <w:t>q</w:t>
      </w:r>
      <w:r>
        <w:t xml:space="preserve">uality </w:t>
      </w:r>
      <w:r w:rsidR="008B4732">
        <w:t>e</w:t>
      </w:r>
      <w:r>
        <w:t>valuation of the submitted data that would indicate the product should not be registered</w:t>
      </w:r>
      <w:r w:rsidR="00FD3832">
        <w:t xml:space="preserve">. </w:t>
      </w:r>
      <w:r>
        <w:t xml:space="preserve">The manufacturing quality data submitted by the Sponsor support the registration of RELFYDESS </w:t>
      </w:r>
      <w:proofErr w:type="spellStart"/>
      <w:r>
        <w:t>relabotulinumtoxinA</w:t>
      </w:r>
      <w:proofErr w:type="spellEnd"/>
      <w:r w:rsidR="00FD3832">
        <w:t>.</w:t>
      </w:r>
    </w:p>
    <w:p w14:paraId="2BE90AAE" w14:textId="35796FD3" w:rsidR="00C22214" w:rsidRDefault="00C22214" w:rsidP="005B41FE">
      <w:pPr>
        <w:pStyle w:val="Heading3"/>
      </w:pPr>
      <w:bookmarkStart w:id="28" w:name="_Toc314842512"/>
      <w:bookmarkStart w:id="29" w:name="_Toc103679296"/>
      <w:bookmarkStart w:id="30" w:name="_Toc205297311"/>
      <w:r>
        <w:t>Nonclinical</w:t>
      </w:r>
      <w:bookmarkEnd w:id="28"/>
      <w:bookmarkEnd w:id="29"/>
      <w:r w:rsidR="007E6443">
        <w:t xml:space="preserve"> evaluation</w:t>
      </w:r>
      <w:r w:rsidR="00095C6A">
        <w:t xml:space="preserve"> </w:t>
      </w:r>
      <w:r w:rsidR="00095C6A" w:rsidRPr="005B41FE">
        <w:t>summary</w:t>
      </w:r>
      <w:bookmarkEnd w:id="30"/>
    </w:p>
    <w:p w14:paraId="65D961B0" w14:textId="4B60BBE5" w:rsidR="007117FE" w:rsidRPr="005F5D22" w:rsidRDefault="00246A17" w:rsidP="005B41FE">
      <w:pPr>
        <w:rPr>
          <w:lang w:val="en-US"/>
        </w:rPr>
      </w:pPr>
      <w:bookmarkStart w:id="31" w:name="_Toc247691530"/>
      <w:bookmarkStart w:id="32" w:name="_Toc314842513"/>
      <w:bookmarkStart w:id="33" w:name="_Toc103679297"/>
      <w:r>
        <w:t xml:space="preserve">The set of nonclinical studies submitted by the sponsor (2 in vivo pharmacodynamic and 4 toxicity studies) is adequate for this application given the extensive knowledge of the toxicity profile and clinical experience with </w:t>
      </w:r>
      <w:r w:rsidRPr="00246A17">
        <w:rPr>
          <w:i/>
          <w:iCs/>
        </w:rPr>
        <w:t>Clostridium botulinum</w:t>
      </w:r>
      <w:r>
        <w:t xml:space="preserve"> type A neurotoxin products</w:t>
      </w:r>
      <w:r w:rsidR="005B41FE">
        <w:t xml:space="preserve">. </w:t>
      </w:r>
      <w:proofErr w:type="spellStart"/>
      <w:r>
        <w:t>RelabotulinumtoxinA</w:t>
      </w:r>
      <w:proofErr w:type="spellEnd"/>
      <w:r>
        <w:t xml:space="preserve"> </w:t>
      </w:r>
      <w:r w:rsidR="007117FE">
        <w:t xml:space="preserve">is of the same serotype and </w:t>
      </w:r>
      <w:r>
        <w:t xml:space="preserve">has the same </w:t>
      </w:r>
      <w:r w:rsidR="005C711E">
        <w:t xml:space="preserve">amino acid </w:t>
      </w:r>
      <w:r>
        <w:t xml:space="preserve">sequence as </w:t>
      </w:r>
      <w:proofErr w:type="spellStart"/>
      <w:r>
        <w:t>onabotulinumtoxinA</w:t>
      </w:r>
      <w:proofErr w:type="spellEnd"/>
      <w:r>
        <w:t>, the active ingredient in BOTOX</w:t>
      </w:r>
      <w:r w:rsidR="008A1627">
        <w:t xml:space="preserve"> (</w:t>
      </w:r>
      <w:proofErr w:type="spellStart"/>
      <w:r>
        <w:t>OnabotulinumtoxinA</w:t>
      </w:r>
      <w:proofErr w:type="spellEnd"/>
      <w:r w:rsidR="008A1627">
        <w:t>)</w:t>
      </w:r>
      <w:r w:rsidR="007117FE">
        <w:t>, however</w:t>
      </w:r>
      <w:r w:rsidR="00A24ED2">
        <w:t xml:space="preserve"> </w:t>
      </w:r>
      <w:proofErr w:type="spellStart"/>
      <w:r w:rsidR="00A24ED2">
        <w:t>RelabotulinumtoxinA</w:t>
      </w:r>
      <w:proofErr w:type="spellEnd"/>
      <w:r w:rsidR="00A24ED2">
        <w:t xml:space="preserve"> does not have any complexing proteins</w:t>
      </w:r>
      <w:r w:rsidR="005F2E60">
        <w:t xml:space="preserve"> </w:t>
      </w:r>
      <w:r w:rsidR="007117FE" w:rsidRPr="005F5D22">
        <w:rPr>
          <w:lang w:val="en-US"/>
        </w:rPr>
        <w:t xml:space="preserve">and therefore a lower molecular weight </w:t>
      </w:r>
      <w:r w:rsidR="005F2E60">
        <w:rPr>
          <w:lang w:val="en-US"/>
        </w:rPr>
        <w:t xml:space="preserve">of </w:t>
      </w:r>
      <w:r w:rsidR="007117FE" w:rsidRPr="005F5D22">
        <w:rPr>
          <w:lang w:val="en-US"/>
        </w:rPr>
        <w:t>150kDa compared to approx</w:t>
      </w:r>
      <w:r w:rsidR="005F2E60">
        <w:rPr>
          <w:lang w:val="en-US"/>
        </w:rPr>
        <w:t>imately</w:t>
      </w:r>
      <w:r w:rsidR="007117FE" w:rsidRPr="005F5D22">
        <w:rPr>
          <w:lang w:val="en-US"/>
        </w:rPr>
        <w:t xml:space="preserve"> 900kDa</w:t>
      </w:r>
      <w:r w:rsidR="005F2E60">
        <w:rPr>
          <w:lang w:val="en-US"/>
        </w:rPr>
        <w:t xml:space="preserve"> of </w:t>
      </w:r>
      <w:proofErr w:type="spellStart"/>
      <w:r w:rsidR="005F2E60">
        <w:rPr>
          <w:lang w:val="en-US"/>
        </w:rPr>
        <w:t>OnabotulinumtoxinA</w:t>
      </w:r>
      <w:proofErr w:type="spellEnd"/>
      <w:r w:rsidR="005F2E60">
        <w:rPr>
          <w:lang w:val="en-US"/>
        </w:rPr>
        <w:t xml:space="preserve"> </w:t>
      </w:r>
      <w:r w:rsidR="005F5D22">
        <w:rPr>
          <w:lang w:val="en-US"/>
        </w:rPr>
        <w:t>including its complexing proteins</w:t>
      </w:r>
      <w:r w:rsidR="007117FE" w:rsidRPr="005F5D22">
        <w:rPr>
          <w:lang w:val="en-US"/>
        </w:rPr>
        <w:t>.</w:t>
      </w:r>
    </w:p>
    <w:p w14:paraId="0777ACDB" w14:textId="1A43CEB1" w:rsidR="00246A17" w:rsidRDefault="00AE6A09" w:rsidP="005B41FE">
      <w:r>
        <w:lastRenderedPageBreak/>
        <w:t xml:space="preserve">Two different Master Cell Banks </w:t>
      </w:r>
      <w:r w:rsidR="001B0139">
        <w:t xml:space="preserve">(MCBs) were used during the non-clinical testing. </w:t>
      </w:r>
      <w:r w:rsidR="00246A17">
        <w:t>100315 MCB</w:t>
      </w:r>
      <w:r w:rsidR="00565DC9">
        <w:t> </w:t>
      </w:r>
      <w:r w:rsidR="00246A17">
        <w:t xml:space="preserve">A was used in the single dose toxicity studies and </w:t>
      </w:r>
      <w:r w:rsidR="00565DC9">
        <w:t xml:space="preserve">subsequently it was replaced by </w:t>
      </w:r>
      <w:r w:rsidR="00246A17">
        <w:t xml:space="preserve">MCB QM01 </w:t>
      </w:r>
      <w:r w:rsidR="00565DC9">
        <w:t xml:space="preserve">that </w:t>
      </w:r>
      <w:r w:rsidR="00246A17">
        <w:t>was used in the repeat-dose toxicity study, local ocular tolerance study, and Phase I clinical study</w:t>
      </w:r>
      <w:r w:rsidR="005B41FE">
        <w:t xml:space="preserve">. </w:t>
      </w:r>
      <w:r w:rsidR="00246A17">
        <w:t xml:space="preserve">The </w:t>
      </w:r>
      <w:r w:rsidR="00FD3832">
        <w:t>quality</w:t>
      </w:r>
      <w:r w:rsidR="00246A17">
        <w:t xml:space="preserve"> evaluator has reviewed the analytical comparability data and confirmed the comparability of 100315 MCB A and MCB QM01.</w:t>
      </w:r>
    </w:p>
    <w:p w14:paraId="152F139F" w14:textId="2DB41A20" w:rsidR="00246A17" w:rsidRDefault="00246A17" w:rsidP="005B41FE">
      <w:r>
        <w:t xml:space="preserve">The set of toxicity studies submitted was </w:t>
      </w:r>
      <w:proofErr w:type="gramStart"/>
      <w:r>
        <w:t>similar to</w:t>
      </w:r>
      <w:proofErr w:type="gramEnd"/>
      <w:r>
        <w:t xml:space="preserve"> that for the registered </w:t>
      </w:r>
      <w:proofErr w:type="spellStart"/>
      <w:r>
        <w:t>botulinumtoxinA</w:t>
      </w:r>
      <w:proofErr w:type="spellEnd"/>
      <w:r>
        <w:t xml:space="preserve"> products</w:t>
      </w:r>
      <w:r w:rsidR="005B41FE">
        <w:t xml:space="preserve">. </w:t>
      </w:r>
      <w:r>
        <w:t xml:space="preserve">No new safety concerns are raised </w:t>
      </w:r>
      <w:proofErr w:type="gramStart"/>
      <w:r>
        <w:t>in regard to</w:t>
      </w:r>
      <w:proofErr w:type="gramEnd"/>
      <w:r>
        <w:t xml:space="preserve"> the formulation.</w:t>
      </w:r>
    </w:p>
    <w:p w14:paraId="4A1067DE" w14:textId="5D5141EC" w:rsidR="00246A17" w:rsidRDefault="00246A17" w:rsidP="005B41FE">
      <w:r>
        <w:t xml:space="preserve">Adverse embryofetal developmental effects, likely secondary to </w:t>
      </w:r>
      <w:proofErr w:type="spellStart"/>
      <w:r>
        <w:t>maternotoxicity</w:t>
      </w:r>
      <w:proofErr w:type="spellEnd"/>
      <w:r>
        <w:t>, have been reported in animal studies with other botulinum toxin A products</w:t>
      </w:r>
      <w:r w:rsidR="005B41FE">
        <w:t xml:space="preserve">. </w:t>
      </w:r>
      <w:r>
        <w:t xml:space="preserve">Therefore, </w:t>
      </w:r>
      <w:proofErr w:type="spellStart"/>
      <w:r>
        <w:t>relabotulinumtoxinA</w:t>
      </w:r>
      <w:proofErr w:type="spellEnd"/>
      <w:r>
        <w:t xml:space="preserve"> should be classified in the same pregnancy category as other botulinum toxin A products (Pregnancy Category B3).</w:t>
      </w:r>
    </w:p>
    <w:p w14:paraId="33C3EDDE" w14:textId="5DEFDF0B" w:rsidR="00E918F0" w:rsidRPr="00E918F0" w:rsidRDefault="00246A17" w:rsidP="005B41FE">
      <w:r>
        <w:t>There is no nonclinical objection to the registration of RELFYDESS.</w:t>
      </w:r>
    </w:p>
    <w:p w14:paraId="35B580A5" w14:textId="40B226DC" w:rsidR="00C22214" w:rsidRDefault="00C22214" w:rsidP="005B41FE">
      <w:pPr>
        <w:pStyle w:val="Heading3"/>
      </w:pPr>
      <w:bookmarkStart w:id="34" w:name="_Toc205297312"/>
      <w:r>
        <w:t>Clinical</w:t>
      </w:r>
      <w:bookmarkEnd w:id="31"/>
      <w:bookmarkEnd w:id="32"/>
      <w:bookmarkEnd w:id="33"/>
      <w:r w:rsidR="00095C6A">
        <w:t xml:space="preserve"> evaluation </w:t>
      </w:r>
      <w:r w:rsidR="00095C6A" w:rsidRPr="005B41FE">
        <w:t>summary</w:t>
      </w:r>
      <w:bookmarkEnd w:id="34"/>
    </w:p>
    <w:p w14:paraId="32B0DEDA" w14:textId="77777777" w:rsidR="00C22214" w:rsidRPr="00433318" w:rsidRDefault="00C22214" w:rsidP="005B41FE">
      <w:pPr>
        <w:pStyle w:val="Heading4"/>
      </w:pPr>
      <w:bookmarkStart w:id="35" w:name="_Toc98931928"/>
      <w:bookmarkStart w:id="36" w:name="_Toc205297313"/>
      <w:r>
        <w:t>Summary of clinical studies</w:t>
      </w:r>
      <w:bookmarkEnd w:id="35"/>
      <w:bookmarkEnd w:id="36"/>
    </w:p>
    <w:p w14:paraId="3E8C3061" w14:textId="77777777" w:rsidR="00AE0B91" w:rsidRDefault="00AE0B91" w:rsidP="005B41FE">
      <w:bookmarkStart w:id="37" w:name="_Toc314842514"/>
      <w:r>
        <w:t>The clinical dossier included six clinical trials:</w:t>
      </w:r>
    </w:p>
    <w:p w14:paraId="2328BC14" w14:textId="7A4C9AEE" w:rsidR="00AE0B91" w:rsidRDefault="00AE0B91" w:rsidP="005B41FE">
      <w:pPr>
        <w:pStyle w:val="ListBullet"/>
      </w:pPr>
      <w:r>
        <w:t xml:space="preserve">one Phase 1 dose-escalation </w:t>
      </w:r>
      <w:r w:rsidRPr="005B41FE">
        <w:t>study</w:t>
      </w:r>
      <w:r>
        <w:t>: 43QM1302.</w:t>
      </w:r>
    </w:p>
    <w:p w14:paraId="6CC40B1A" w14:textId="2DEA02E3" w:rsidR="00AE0B91" w:rsidRDefault="00AE0B91" w:rsidP="005B41FE">
      <w:pPr>
        <w:pStyle w:val="ListBullet"/>
      </w:pPr>
      <w:r>
        <w:t xml:space="preserve">one Phase 2 dose-finding </w:t>
      </w:r>
      <w:r w:rsidRPr="005B41FE">
        <w:t>study</w:t>
      </w:r>
      <w:r>
        <w:t>: 43QM1313.</w:t>
      </w:r>
    </w:p>
    <w:p w14:paraId="37EADB5B" w14:textId="3C1DF2F8" w:rsidR="00AE0B91" w:rsidRDefault="00AE0B91" w:rsidP="005B41FE">
      <w:pPr>
        <w:pStyle w:val="ListBullet"/>
      </w:pPr>
      <w:r>
        <w:t xml:space="preserve">three Phase 3, </w:t>
      </w:r>
      <w:r w:rsidRPr="005B41FE">
        <w:t>placebo</w:t>
      </w:r>
      <w:r>
        <w:t>-controlled, single treatment, efficacy and safety studies: 43QM1602, 43QM1901, 43QM1902.</w:t>
      </w:r>
    </w:p>
    <w:p w14:paraId="47EE1616" w14:textId="445FADFD" w:rsidR="00AE0B91" w:rsidRDefault="00AE0B91" w:rsidP="005B41FE">
      <w:pPr>
        <w:pStyle w:val="ListBullet"/>
      </w:pPr>
      <w:r>
        <w:t xml:space="preserve">one Phase 3, open label, single-arm, long-term, </w:t>
      </w:r>
      <w:r w:rsidRPr="005B41FE">
        <w:t>repeated</w:t>
      </w:r>
      <w:r>
        <w:t xml:space="preserve"> treatment study: 43QM1903.</w:t>
      </w:r>
    </w:p>
    <w:p w14:paraId="47BBA140" w14:textId="64927287" w:rsidR="00AE0B91" w:rsidRDefault="00AE0B91" w:rsidP="005B41FE">
      <w:r>
        <w:t>Integrated analyses of cardiac safety, immunogenicity, safety and efficacy were also included</w:t>
      </w:r>
      <w:r w:rsidR="005B41FE">
        <w:t xml:space="preserve">. </w:t>
      </w:r>
      <w:r>
        <w:t>The formulation used in the clinical trials was the same as the proposed commercial formulation</w:t>
      </w:r>
      <w:r w:rsidR="005B41FE">
        <w:t xml:space="preserve">. </w:t>
      </w:r>
      <w:r>
        <w:t>The clinical evaluator has no objection to the registration of RELFYDESS.</w:t>
      </w:r>
    </w:p>
    <w:p w14:paraId="5C92EC9A" w14:textId="1ACCC57E" w:rsidR="00D83A90" w:rsidRDefault="00D83A90" w:rsidP="00542556">
      <w:pPr>
        <w:pStyle w:val="Heading4"/>
      </w:pPr>
      <w:bookmarkStart w:id="38" w:name="_Toc205297314"/>
      <w:r>
        <w:t>Pharmacology</w:t>
      </w:r>
      <w:bookmarkEnd w:id="38"/>
    </w:p>
    <w:p w14:paraId="0B8BC8A9" w14:textId="0D606BDA" w:rsidR="00D83A90" w:rsidRDefault="00D83A90" w:rsidP="005B41FE">
      <w:pPr>
        <w:pStyle w:val="Heading5"/>
      </w:pPr>
      <w:r w:rsidRPr="005B41FE">
        <w:t>Pharmacokinetics</w:t>
      </w:r>
    </w:p>
    <w:p w14:paraId="0C9DA06A" w14:textId="43ADAEB2" w:rsidR="00D83A90" w:rsidRDefault="00D83A90" w:rsidP="005B41FE">
      <w:r>
        <w:t xml:space="preserve">There were no clinical </w:t>
      </w:r>
      <w:r w:rsidR="00542556">
        <w:t>pharmacokinetic (</w:t>
      </w:r>
      <w:r>
        <w:t>PK</w:t>
      </w:r>
      <w:r w:rsidR="00542556">
        <w:t>)</w:t>
      </w:r>
      <w:r>
        <w:t xml:space="preserve"> studies because the product is injected in nanogram amounts into the target muscle and is not systemically detectable</w:t>
      </w:r>
      <w:r w:rsidR="005B41FE">
        <w:t>.</w:t>
      </w:r>
    </w:p>
    <w:p w14:paraId="161FABA5" w14:textId="77777777" w:rsidR="00D83A90" w:rsidRDefault="00D83A90" w:rsidP="005B41FE">
      <w:pPr>
        <w:pStyle w:val="Heading5"/>
      </w:pPr>
      <w:r>
        <w:t xml:space="preserve">Dose finding </w:t>
      </w:r>
      <w:r w:rsidRPr="005B41FE">
        <w:t>studies</w:t>
      </w:r>
    </w:p>
    <w:p w14:paraId="5808A811" w14:textId="77777777" w:rsidR="00D83A90" w:rsidRDefault="00D83A90" w:rsidP="005B41FE">
      <w:r>
        <w:t>Dose selection for the pivotal studies was informed by findings from two dose finding studies: 43QM1302 and 43QM1313.</w:t>
      </w:r>
    </w:p>
    <w:p w14:paraId="5F2466D2" w14:textId="3634BD24" w:rsidR="00D83A90" w:rsidRDefault="00D83A90" w:rsidP="005B41FE">
      <w:r>
        <w:t xml:space="preserve">Study 43QM1302 was a Phase I, randomised, double-blind, placebo-controlled, single-treatment, dose escalation study of </w:t>
      </w:r>
      <w:proofErr w:type="spellStart"/>
      <w:r>
        <w:t>relabotulinumtoxinA</w:t>
      </w:r>
      <w:proofErr w:type="spellEnd"/>
      <w:r>
        <w:t xml:space="preserve"> in healthy adults with moderate to severe upper face wrinkles</w:t>
      </w:r>
      <w:r w:rsidR="005B41FE">
        <w:t xml:space="preserve">. </w:t>
      </w:r>
      <w:r>
        <w:t>The study evaluated four dose levels: 2 units/injection site, total dose 10 units; 5 units/injection site, total dose 25 units; 10 units/injection site, total dose 50 units; 15 units/injection site, total dose 75 units</w:t>
      </w:r>
      <w:r w:rsidR="005B41FE">
        <w:t xml:space="preserve">. </w:t>
      </w:r>
      <w:r>
        <w:t>Effect was similar for the dose range 10 to 75 units for GL, but adverse effects, including eyelid ptosis, were more apparent with 75 units</w:t>
      </w:r>
      <w:r w:rsidR="005B41FE">
        <w:t>.</w:t>
      </w:r>
    </w:p>
    <w:p w14:paraId="12896D8B" w14:textId="0054CEC7" w:rsidR="00D83A90" w:rsidRDefault="00D83A90" w:rsidP="005B41FE">
      <w:r>
        <w:t>Study 43QM1313 was a Phase II, randomised, double-blind, placebo-controlled, single-treatment, dose evaluation study in healthy adults with moderate to severe GL</w:t>
      </w:r>
      <w:r w:rsidR="005B41FE">
        <w:t xml:space="preserve">. </w:t>
      </w:r>
      <w:r>
        <w:t xml:space="preserve">The effect over </w:t>
      </w:r>
      <w:r>
        <w:lastRenderedPageBreak/>
        <w:t>time profiles were similar for the three dose levels (6 units/injection site, total dose 30 units; 9 units/injection site, total dose 45 units; 12 units/injection site, total dose 60 units)</w:t>
      </w:r>
      <w:r w:rsidR="005B41FE">
        <w:t xml:space="preserve">. </w:t>
      </w:r>
      <w:r>
        <w:t>The effect peaked at Day 14 and decreased through to Month 6</w:t>
      </w:r>
      <w:r w:rsidR="005B41FE">
        <w:t xml:space="preserve">. </w:t>
      </w:r>
      <w:r>
        <w:t>There was a noticeable decrease in effect from Month 3 post-dose, by which time effect had approximately halved.</w:t>
      </w:r>
    </w:p>
    <w:p w14:paraId="3D3C2C83" w14:textId="1B493177" w:rsidR="00D83A90" w:rsidRDefault="00D83A90" w:rsidP="005B41FE">
      <w:r>
        <w:t>Based on efficacy and safety findings from these studies, the dose selected for the treatment of GL in the pivotal studies was 50 units, comprising five injections of 10 units (0.1 mL)</w:t>
      </w:r>
      <w:r w:rsidR="005B41FE">
        <w:t xml:space="preserve">. </w:t>
      </w:r>
      <w:r>
        <w:t>10 units per injection was also selected for LCL, for a total dose of 60 units per treatment (3 injections on each side of the face).</w:t>
      </w:r>
    </w:p>
    <w:p w14:paraId="48846E36" w14:textId="77777777" w:rsidR="00D83A90" w:rsidRDefault="00D83A90" w:rsidP="00542556">
      <w:pPr>
        <w:pStyle w:val="Heading4"/>
      </w:pPr>
      <w:bookmarkStart w:id="39" w:name="_Toc205297315"/>
      <w:r>
        <w:t>Efficacy</w:t>
      </w:r>
      <w:bookmarkEnd w:id="39"/>
    </w:p>
    <w:p w14:paraId="1B84F88B" w14:textId="61FB5841" w:rsidR="00D83A90" w:rsidRDefault="00D83A90" w:rsidP="005B41FE">
      <w:r>
        <w:t>There were 3 pivotal efficacy studies (43QM1602, 43QM1901, 43QM1902) and two supportive efficacy studies (43QM1313, 43QM1903)</w:t>
      </w:r>
      <w:r w:rsidR="005B41FE">
        <w:t>.</w:t>
      </w:r>
    </w:p>
    <w:p w14:paraId="573FA7B0" w14:textId="77777777" w:rsidR="00D83A90" w:rsidRDefault="00D83A90" w:rsidP="005B41FE">
      <w:pPr>
        <w:pStyle w:val="Heading5"/>
      </w:pPr>
      <w:r>
        <w:t xml:space="preserve">Study </w:t>
      </w:r>
      <w:r w:rsidRPr="005B41FE">
        <w:t>43QM1602</w:t>
      </w:r>
      <w:r>
        <w:t xml:space="preserve"> (GL)</w:t>
      </w:r>
    </w:p>
    <w:p w14:paraId="4010F7CF" w14:textId="5A70514C" w:rsidR="00D83A90" w:rsidRDefault="00D83A90" w:rsidP="005B41FE">
      <w:r>
        <w:t xml:space="preserve">This was a Phase 3, randomised, double-blind, placebo-controlled study to evaluate the efficacy and safety of a single dose of </w:t>
      </w:r>
      <w:proofErr w:type="spellStart"/>
      <w:r>
        <w:t>relabotulinumtoxinA</w:t>
      </w:r>
      <w:proofErr w:type="spellEnd"/>
      <w:r>
        <w:t xml:space="preserve"> (RBTA) for the treatment of moderate to severe GL</w:t>
      </w:r>
      <w:r w:rsidR="005B41FE">
        <w:t xml:space="preserve">. </w:t>
      </w:r>
      <w:r>
        <w:t>The study was conducted at 10 centres (9 in USA, 1 in Canada) from February 2020 to January 2021</w:t>
      </w:r>
      <w:r w:rsidR="005B41FE">
        <w:t xml:space="preserve">. </w:t>
      </w:r>
      <w:r>
        <w:t xml:space="preserve">The primary efficacy objective was to evaluate a single dose of 50 U of RBTA compared to placebo for the treatment of moderate-to-severe glabellar lines using the validated </w:t>
      </w:r>
      <w:r w:rsidR="00071A3D">
        <w:t>G</w:t>
      </w:r>
      <w:r>
        <w:t xml:space="preserve">labellar </w:t>
      </w:r>
      <w:r w:rsidR="00071A3D">
        <w:t>L</w:t>
      </w:r>
      <w:r>
        <w:t xml:space="preserve">ines Investigator Live Assessment (GL-ILA) 4-Point </w:t>
      </w:r>
      <w:r w:rsidR="00071A3D">
        <w:t>p</w:t>
      </w:r>
      <w:r>
        <w:t xml:space="preserve">hotographic </w:t>
      </w:r>
      <w:r w:rsidR="00071A3D">
        <w:t>s</w:t>
      </w:r>
      <w:r>
        <w:t>cale at maximum frown.</w:t>
      </w:r>
    </w:p>
    <w:p w14:paraId="65FF971D" w14:textId="6D521D45" w:rsidR="00D83A90" w:rsidRDefault="00D83A90" w:rsidP="005B41FE">
      <w:r>
        <w:t xml:space="preserve">The study included male or female subjects 18 years of age or older with moderate-to-severe GL, assessed as grade 2 or 3 on the 4-Point Photographic Scale ranging from 0 [none] to 3 [severe] at maximum frown as assessed by the </w:t>
      </w:r>
      <w:r w:rsidR="00071A3D">
        <w:t>i</w:t>
      </w:r>
      <w:r>
        <w:t>nvestigator (GL-ILA) and grade 2 or 3 on the Static 4-Point Categorical Scale ranging from 0 [no wrinkles] to 3 [severe wrinkles] at maximum frown as assessed by the subject (GL-SLA)</w:t>
      </w:r>
      <w:r w:rsidR="005B41FE">
        <w:t xml:space="preserve">. </w:t>
      </w:r>
      <w:r>
        <w:t>Subjects with previous use of any botulinum toxin in facial areas within 9 months of study treatment were excluded.</w:t>
      </w:r>
    </w:p>
    <w:p w14:paraId="1955285A" w14:textId="54B5997F" w:rsidR="00D83A90" w:rsidRDefault="00D83A90" w:rsidP="005B41FE">
      <w:r>
        <w:t>Study treatment was a single dose of RBTA 50 units (0.5 mL) divided into 5 equal aliquots of 10 units (0.1 mL) or matching placebo injected by the Investigator into 5 sites in the glabellar region (Figure 1)</w:t>
      </w:r>
      <w:r w:rsidR="005B41FE">
        <w:t xml:space="preserve">. </w:t>
      </w:r>
      <w:r>
        <w:t>Prior to injection, the treatment area was cleaned with a suitable antiseptic solution</w:t>
      </w:r>
      <w:r w:rsidR="005B41FE">
        <w:t xml:space="preserve">. </w:t>
      </w:r>
      <w:r>
        <w:t>An appropriately sized syringe and needle (30-33 gauge) was used to administer treatment</w:t>
      </w:r>
      <w:r w:rsidR="005B41FE">
        <w:t>.</w:t>
      </w:r>
    </w:p>
    <w:p w14:paraId="72F9BEFD" w14:textId="2F58B63A" w:rsidR="00D83A90" w:rsidRDefault="00D83A90" w:rsidP="005B41FE">
      <w:pPr>
        <w:pStyle w:val="FigureTitle"/>
      </w:pPr>
      <w:r>
        <w:t>Figure 1</w:t>
      </w:r>
      <w:r w:rsidR="00B3518C">
        <w:t>:</w:t>
      </w:r>
      <w:r>
        <w:t xml:space="preserve"> Injection Sites for Treating </w:t>
      </w:r>
      <w:r w:rsidRPr="005B41FE">
        <w:t>Glabellar</w:t>
      </w:r>
      <w:r>
        <w:t xml:space="preserve"> Lines</w:t>
      </w:r>
    </w:p>
    <w:p w14:paraId="4EAFE713" w14:textId="4D409E7D" w:rsidR="00753FE5" w:rsidRDefault="00753FE5" w:rsidP="005B41FE">
      <w:r>
        <w:rPr>
          <w:noProof/>
        </w:rPr>
        <w:drawing>
          <wp:inline distT="0" distB="0" distL="0" distR="0" wp14:anchorId="430D1267" wp14:editId="4E492A3F">
            <wp:extent cx="2534834" cy="1381125"/>
            <wp:effectExtent l="0" t="0" r="0" b="0"/>
            <wp:docPr id="1" name="Picture 1" descr="Figure 1: Injection Sites for Treating Glabellar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njection Sites for Treating Glabellar Lines"/>
                    <pic:cNvPicPr/>
                  </pic:nvPicPr>
                  <pic:blipFill>
                    <a:blip r:embed="rId24"/>
                    <a:stretch>
                      <a:fillRect/>
                    </a:stretch>
                  </pic:blipFill>
                  <pic:spPr>
                    <a:xfrm>
                      <a:off x="0" y="0"/>
                      <a:ext cx="2554311" cy="1391737"/>
                    </a:xfrm>
                    <a:prstGeom prst="rect">
                      <a:avLst/>
                    </a:prstGeom>
                  </pic:spPr>
                </pic:pic>
              </a:graphicData>
            </a:graphic>
          </wp:inline>
        </w:drawing>
      </w:r>
    </w:p>
    <w:p w14:paraId="70BA478B" w14:textId="409BED5F" w:rsidR="00D83A90" w:rsidRDefault="00D83A90" w:rsidP="005B41FE">
      <w:r>
        <w:t>Following injection of study product, all subjects were monitored for safety and efficacy for 6 months</w:t>
      </w:r>
      <w:r w:rsidR="005B41FE">
        <w:t xml:space="preserve">. </w:t>
      </w:r>
      <w:r>
        <w:t>Study visits were conducted at screening, baseline, Days 7 and 14, and monthly (every 30 days) through Month 6 or premature discontinuation.</w:t>
      </w:r>
    </w:p>
    <w:p w14:paraId="355796DC" w14:textId="685877E8" w:rsidR="00D83A90" w:rsidRDefault="00D83A90" w:rsidP="005B41FE">
      <w:r>
        <w:t>340 subjects were screened, 300 were randomised (225 to RBTA and 75 to placebo), and 297 received study treatment (3 in the RBTA group did not receive study treatment)</w:t>
      </w:r>
      <w:r w:rsidR="005B41FE">
        <w:t xml:space="preserve">. </w:t>
      </w:r>
      <w:r>
        <w:t xml:space="preserve">210 (93.3%) in </w:t>
      </w:r>
      <w:r>
        <w:lastRenderedPageBreak/>
        <w:t>the RBTA group and 66 (88.0%) in the placebo group completed the study</w:t>
      </w:r>
      <w:r w:rsidR="005B41FE">
        <w:t xml:space="preserve">. </w:t>
      </w:r>
      <w:r>
        <w:t xml:space="preserve">Seven subjects (4 RBTA and 3 placebo) terminated the study prior to Month </w:t>
      </w:r>
      <w:proofErr w:type="gramStart"/>
      <w:r>
        <w:t>1</w:t>
      </w:r>
      <w:proofErr w:type="gramEnd"/>
      <w:r>
        <w:t xml:space="preserve"> and 6 subjects (4 RBTA and 2 placebo) had a Month 1 visit out of window or missed the Month 1 visit</w:t>
      </w:r>
      <w:r w:rsidR="005B41FE">
        <w:t xml:space="preserve">. </w:t>
      </w:r>
      <w:r>
        <w:t>Each of the Month 1 out of window visit deviations was due to COVID-19</w:t>
      </w:r>
      <w:r w:rsidR="005B41FE">
        <w:t xml:space="preserve">. </w:t>
      </w:r>
      <w:r>
        <w:t xml:space="preserve">These subjects were excluded from the </w:t>
      </w:r>
      <w:r w:rsidR="00504B89">
        <w:t>per protocol</w:t>
      </w:r>
      <w:r>
        <w:t xml:space="preserve"> analysis.</w:t>
      </w:r>
    </w:p>
    <w:p w14:paraId="7C433708" w14:textId="660ED6EB" w:rsidR="00D83A90" w:rsidRDefault="00D83A90" w:rsidP="005B41FE">
      <w:r>
        <w:t xml:space="preserve">The primary efficacy analysis was based on the </w:t>
      </w:r>
      <w:r w:rsidR="0003419F">
        <w:t>m</w:t>
      </w:r>
      <w:r w:rsidR="00BC06B1" w:rsidRPr="00BC06B1">
        <w:t xml:space="preserve">odified </w:t>
      </w:r>
      <w:r w:rsidR="0003419F">
        <w:t>i</w:t>
      </w:r>
      <w:r w:rsidR="00BC06B1" w:rsidRPr="00BC06B1">
        <w:t>ntention-to-</w:t>
      </w:r>
      <w:r w:rsidR="0003419F">
        <w:t>t</w:t>
      </w:r>
      <w:r w:rsidR="00BC06B1" w:rsidRPr="00BC06B1">
        <w:t>reat (</w:t>
      </w:r>
      <w:proofErr w:type="spellStart"/>
      <w:r w:rsidR="00BC06B1" w:rsidRPr="00BC06B1">
        <w:t>mITT</w:t>
      </w:r>
      <w:proofErr w:type="spellEnd"/>
      <w:r w:rsidR="00BC06B1" w:rsidRPr="00BC06B1">
        <w:t xml:space="preserve">) </w:t>
      </w:r>
      <w:r>
        <w:t>population and all secondary efficacy and exploratory variables were analysed based on the ITT population</w:t>
      </w:r>
      <w:r w:rsidR="005B41FE">
        <w:t xml:space="preserve">. </w:t>
      </w:r>
      <w:r>
        <w:t xml:space="preserve">The </w:t>
      </w:r>
      <w:proofErr w:type="spellStart"/>
      <w:r>
        <w:t>mITT</w:t>
      </w:r>
      <w:proofErr w:type="spellEnd"/>
      <w:r>
        <w:t xml:space="preserve"> population excluded subjects with a photographic and categorical scale Month 1 assessment via a remote visit</w:t>
      </w:r>
      <w:r w:rsidR="005B41FE">
        <w:t xml:space="preserve">. </w:t>
      </w:r>
      <w:r>
        <w:t xml:space="preserve">199 (88.4%) subjects in the RBTA group and 67 (89.3%) in the placebo were included in the </w:t>
      </w:r>
      <w:proofErr w:type="spellStart"/>
      <w:r>
        <w:t>mITT</w:t>
      </w:r>
      <w:proofErr w:type="spellEnd"/>
      <w:r>
        <w:t xml:space="preserve"> population</w:t>
      </w:r>
      <w:r w:rsidR="005B41FE">
        <w:t>.</w:t>
      </w:r>
    </w:p>
    <w:p w14:paraId="39A32831" w14:textId="165E8255" w:rsidR="00D83A90" w:rsidRDefault="00D83A90" w:rsidP="005B41FE">
      <w:r>
        <w:t xml:space="preserve">There were 268 (90.2%) females and 29 (9.8%) </w:t>
      </w:r>
      <w:proofErr w:type="gramStart"/>
      <w:r>
        <w:t>males</w:t>
      </w:r>
      <w:proofErr w:type="gramEnd"/>
      <w:r>
        <w:t xml:space="preserve"> and the age range was 21 to 81 years</w:t>
      </w:r>
      <w:r w:rsidR="005B41FE">
        <w:t xml:space="preserve">. </w:t>
      </w:r>
      <w:r>
        <w:t>The treatment groups were balanced in demographic and baseline characteristics</w:t>
      </w:r>
      <w:r w:rsidR="005B41FE">
        <w:t xml:space="preserve">. </w:t>
      </w:r>
      <w:r>
        <w:t>163 (54.9%) subjects reported prior botulinum toxin use</w:t>
      </w:r>
      <w:r w:rsidR="005B41FE">
        <w:t xml:space="preserve">. </w:t>
      </w:r>
      <w:r>
        <w:t>At baseline, 61 (20.5%) subjects were grade 2 (moderate) and 236 (79.5%) were grade 3 (severe) on the GL-ILA 4-point Photographic Scale at maximum frown, and 97 (32.7%) subjects were grade 2 (moderate) and 200 (67.3%) were grade 3 (severe) on the GL-SLA Static 4-point Categorical Scale at maximum frown.</w:t>
      </w:r>
    </w:p>
    <w:p w14:paraId="4349A410" w14:textId="59E61CA9" w:rsidR="00D83A90" w:rsidRDefault="00D83A90" w:rsidP="005B41FE">
      <w:r>
        <w:t>The primary efficacy endpoint was the responder rate at Month 1, with a responder defined as a subject who achieved a score of 0 or 1 on the GL-ILA 4-Point Photographic Scale at maximum frown at Month 1</w:t>
      </w:r>
      <w:r w:rsidR="005B41FE">
        <w:t xml:space="preserve">. </w:t>
      </w:r>
      <w:r>
        <w:t>The secondary efficacy endpoints were:</w:t>
      </w:r>
    </w:p>
    <w:p w14:paraId="7B27BF7E" w14:textId="6543D49D" w:rsidR="00D83A90" w:rsidRDefault="00D83A90" w:rsidP="005B41FE">
      <w:pPr>
        <w:pStyle w:val="ListBullet"/>
      </w:pPr>
      <w:r>
        <w:t xml:space="preserve">Facial Lines Treatment Satisfaction </w:t>
      </w:r>
      <w:r w:rsidRPr="005B41FE">
        <w:t>Questionnaire</w:t>
      </w:r>
      <w:r>
        <w:t xml:space="preserve"> (FLTSQ, Appearance Module) change from baseline in Rasch-transformed total scores at Month 1.</w:t>
      </w:r>
    </w:p>
    <w:p w14:paraId="3EEA4221" w14:textId="21985DF6" w:rsidR="00D83A90" w:rsidRDefault="00D83A90" w:rsidP="005B41FE">
      <w:pPr>
        <w:pStyle w:val="ListBullet"/>
      </w:pPr>
      <w:r>
        <w:t xml:space="preserve">time to onset of treatment response </w:t>
      </w:r>
      <w:r w:rsidRPr="005B41FE">
        <w:t>based</w:t>
      </w:r>
      <w:r>
        <w:t xml:space="preserve"> on the subject’s diary card.</w:t>
      </w:r>
    </w:p>
    <w:p w14:paraId="3BF7C17B" w14:textId="18B2FB51" w:rsidR="00D83A90" w:rsidRDefault="00D83A90" w:rsidP="00753FE5">
      <w:pPr>
        <w:pStyle w:val="ListBullet"/>
      </w:pPr>
      <w:r>
        <w:t>FACE-Q Psychological Function Scale change from baseline in Rasch-transformed total scores at Month 1.</w:t>
      </w:r>
    </w:p>
    <w:p w14:paraId="2AC66F31" w14:textId="6ED24BF8" w:rsidR="00D83A90" w:rsidRDefault="00D83A90" w:rsidP="005B41FE">
      <w:pPr>
        <w:pStyle w:val="ListBullet"/>
      </w:pPr>
      <w:r>
        <w:t xml:space="preserve">time to loss of a score of 0 or 1 on both the GL-ILA and GL-SLA at maximum frown. </w:t>
      </w:r>
    </w:p>
    <w:p w14:paraId="19A466AC" w14:textId="24D33F58" w:rsidR="00D83A90" w:rsidRDefault="00D83A90" w:rsidP="005B41FE">
      <w:pPr>
        <w:pStyle w:val="ListBullet"/>
      </w:pPr>
      <w:r>
        <w:t xml:space="preserve">percentage of subjects who achieved a score of 0 or 1 at each post-treatment visit using the GL-ILA at </w:t>
      </w:r>
      <w:r w:rsidRPr="005B41FE">
        <w:t>maximum</w:t>
      </w:r>
      <w:r>
        <w:t xml:space="preserve"> frown.</w:t>
      </w:r>
    </w:p>
    <w:p w14:paraId="53038CFB" w14:textId="77777777" w:rsidR="00D83A90" w:rsidRDefault="00D83A90" w:rsidP="005B41FE">
      <w:r>
        <w:t>There were also numerous exploratory endpoints which are described in the evaluation report.</w:t>
      </w:r>
    </w:p>
    <w:p w14:paraId="4A445160" w14:textId="2FB79937" w:rsidR="00D83A90" w:rsidRDefault="00D83A90" w:rsidP="005B41FE">
      <w:r>
        <w:t>The study met its primary endpoint</w:t>
      </w:r>
      <w:r w:rsidR="005B41FE">
        <w:t xml:space="preserve">. </w:t>
      </w:r>
      <w:r>
        <w:t>At Month 1, there were 192 (96.3%) responders in the RBTA group compared to 3 (4.5%) in the placebo group, a treatment difference of 91.8% (95% CI 86.17, 97.44, p &lt;0.001)</w:t>
      </w:r>
      <w:r w:rsidR="005B41FE">
        <w:t xml:space="preserve">. </w:t>
      </w:r>
      <w:r>
        <w:t>No significant subgroup effects were observed for age, study centre, Fitzpatrick skin type, baseline severity, or prior botulinum toxin use</w:t>
      </w:r>
      <w:r w:rsidR="005B41FE">
        <w:t xml:space="preserve">. </w:t>
      </w:r>
      <w:r>
        <w:t>The responder rate was higher in female than male subjects (97.7% vs 82.2%</w:t>
      </w:r>
      <w:proofErr w:type="gramStart"/>
      <w:r>
        <w:t>)</w:t>
      </w:r>
      <w:proofErr w:type="gramEnd"/>
      <w:r>
        <w:t xml:space="preserve"> but this was based on only 24 male subjects, of whom 18 received RBTA and 6 received placebo.</w:t>
      </w:r>
    </w:p>
    <w:p w14:paraId="39F2A1B3" w14:textId="77777777" w:rsidR="00D83A90" w:rsidRDefault="00D83A90" w:rsidP="005B41FE">
      <w:r>
        <w:t>The secondary efficacy outcomes were:</w:t>
      </w:r>
    </w:p>
    <w:p w14:paraId="2C3210FE" w14:textId="1B12AFDB" w:rsidR="00D83A90" w:rsidRDefault="00D83A90" w:rsidP="005B41FE">
      <w:pPr>
        <w:pStyle w:val="ListBullet"/>
      </w:pPr>
      <w:r>
        <w:t xml:space="preserve">The mean (SD) </w:t>
      </w:r>
      <w:proofErr w:type="gramStart"/>
      <w:r>
        <w:t>change</w:t>
      </w:r>
      <w:proofErr w:type="gramEnd"/>
      <w:r>
        <w:t xml:space="preserve"> from baseline in subject satisfaction at Month 1 using the FLTSQ was 34.5 (19.54) for RBTA and 1.8 (11.80) for placebo. </w:t>
      </w:r>
    </w:p>
    <w:p w14:paraId="17C2A642" w14:textId="5A67A09D" w:rsidR="00D83A90" w:rsidRDefault="00D83A90" w:rsidP="005B41FE">
      <w:pPr>
        <w:pStyle w:val="ListBullet"/>
      </w:pPr>
      <w:r>
        <w:t>The median number of days to treatment response based on the subject diary card was 2.0 days in the RBTA group and non-evaluable in the placebo group.</w:t>
      </w:r>
    </w:p>
    <w:p w14:paraId="2170FE7B" w14:textId="3A725F6D" w:rsidR="00D83A90" w:rsidRDefault="00D83A90" w:rsidP="005B41FE">
      <w:pPr>
        <w:pStyle w:val="ListBullet"/>
      </w:pPr>
      <w:r>
        <w:t xml:space="preserve">The mean (SD) </w:t>
      </w:r>
      <w:proofErr w:type="gramStart"/>
      <w:r>
        <w:t>change</w:t>
      </w:r>
      <w:proofErr w:type="gramEnd"/>
      <w:r>
        <w:t xml:space="preserve"> from baseline at Month 1 in psychological impact using the FACE-Q Psychological Function Scale was 13.5 (21.84) for RBTA </w:t>
      </w:r>
      <w:r w:rsidRPr="005B41FE">
        <w:t>and</w:t>
      </w:r>
      <w:r>
        <w:t xml:space="preserve"> 0.6 (23.46) for placebo.</w:t>
      </w:r>
    </w:p>
    <w:p w14:paraId="06DF799F" w14:textId="2027AC22" w:rsidR="00D83A90" w:rsidRDefault="00D83A90" w:rsidP="005B41FE">
      <w:pPr>
        <w:pStyle w:val="ListBullet"/>
      </w:pPr>
      <w:r>
        <w:t xml:space="preserve">The </w:t>
      </w:r>
      <w:r w:rsidR="00234AA7">
        <w:t>Kaplan-Meier (</w:t>
      </w:r>
      <w:r>
        <w:t>KM</w:t>
      </w:r>
      <w:r w:rsidR="00234AA7">
        <w:t>)</w:t>
      </w:r>
      <w:r>
        <w:t xml:space="preserve"> median (95% CI) duration of response using time to loss of a score of 0 or 1 on both the GL-ILA and GL-SLA at maximum </w:t>
      </w:r>
      <w:r w:rsidRPr="005B41FE">
        <w:t>frown</w:t>
      </w:r>
      <w:r>
        <w:t xml:space="preserve"> </w:t>
      </w:r>
      <w:r w:rsidRPr="005B41FE">
        <w:t>was</w:t>
      </w:r>
      <w:r>
        <w:t xml:space="preserve"> 168.0 (165.0 to 170.0) days in the RBTA group and 113 (29.0 to 167.0) days in the placebo group.</w:t>
      </w:r>
    </w:p>
    <w:p w14:paraId="4649806F" w14:textId="7EBC15D5" w:rsidR="00D83A90" w:rsidRDefault="00D83A90" w:rsidP="005B41FE">
      <w:pPr>
        <w:pStyle w:val="ListBullet"/>
      </w:pPr>
      <w:r>
        <w:lastRenderedPageBreak/>
        <w:t xml:space="preserve">There was a greater </w:t>
      </w:r>
      <w:r w:rsidRPr="005B41FE">
        <w:t>percentage</w:t>
      </w:r>
      <w:r>
        <w:t xml:space="preserve"> of subjects </w:t>
      </w:r>
      <w:r w:rsidRPr="005B41FE">
        <w:t>in</w:t>
      </w:r>
      <w:r>
        <w:t xml:space="preserve"> the RBTA group who achieved a score of 0 or 1 at each post-treatment visit using the GL-ILA at maximum frown from Day 7 through to Month 6 (Figure 2).</w:t>
      </w:r>
    </w:p>
    <w:p w14:paraId="0CD0FA98" w14:textId="54AFC57D" w:rsidR="00D83A90" w:rsidRDefault="00D83A90" w:rsidP="005B41FE">
      <w:pPr>
        <w:pStyle w:val="FigureTitle"/>
      </w:pPr>
      <w:r>
        <w:t>Figure 2</w:t>
      </w:r>
      <w:r w:rsidR="0086474D">
        <w:t>:</w:t>
      </w:r>
      <w:r>
        <w:t xml:space="preserve"> Responder Rate Based on the GL-ILA 4-Point Photographic Scale at Maximum Frown Over Time (Intention-to-Treat Population)</w:t>
      </w:r>
    </w:p>
    <w:p w14:paraId="6A6D9780" w14:textId="495D1CE5" w:rsidR="002D7CC6" w:rsidRDefault="002D7CC6" w:rsidP="005B41FE">
      <w:r>
        <w:rPr>
          <w:noProof/>
        </w:rPr>
        <w:drawing>
          <wp:inline distT="0" distB="0" distL="0" distR="0" wp14:anchorId="54F96EC4" wp14:editId="01CA938E">
            <wp:extent cx="6091971" cy="3053301"/>
            <wp:effectExtent l="0" t="0" r="4445" b="0"/>
            <wp:docPr id="2100404113" name="Picture 1" descr="Figure 2: Responder Rate Based on the GL-ILA 4-Point Photographic Scale at Maximum Frown Over Time (Intention-to-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04113" name="Picture 1" descr="Figure 2: Responder Rate Based on the GL-ILA 4-Point Photographic Scale at Maximum Frown Over Time (Intention-to-Treat Popul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4269" cy="3064477"/>
                    </a:xfrm>
                    <a:prstGeom prst="rect">
                      <a:avLst/>
                    </a:prstGeom>
                    <a:noFill/>
                  </pic:spPr>
                </pic:pic>
              </a:graphicData>
            </a:graphic>
          </wp:inline>
        </w:drawing>
      </w:r>
    </w:p>
    <w:p w14:paraId="19A4DC26" w14:textId="28433607" w:rsidR="00D83A90" w:rsidRDefault="00D83A90" w:rsidP="009F0008">
      <w:pPr>
        <w:pStyle w:val="Heading5"/>
      </w:pPr>
      <w:r>
        <w:t>Study 43QM1901 (LCL)</w:t>
      </w:r>
    </w:p>
    <w:p w14:paraId="649E6429" w14:textId="00041834" w:rsidR="00D83A90" w:rsidRDefault="00D83A90" w:rsidP="009F0008">
      <w:r>
        <w:t>This was a Phase 3, randomised, double-blind, placebo-controlled study to evaluate the efficacy and safety of a single dose of RBTA for the treatment of moderate-to-severe LCL</w:t>
      </w:r>
      <w:r w:rsidR="005B41FE">
        <w:t xml:space="preserve">. </w:t>
      </w:r>
      <w:r>
        <w:t>The study was conducted at 10 centres (8 in USA, 2 in Canada) from February 2020 to February 2021</w:t>
      </w:r>
      <w:r w:rsidR="005B41FE">
        <w:t xml:space="preserve">. </w:t>
      </w:r>
      <w:r>
        <w:t>The primary efficacy objective was to evaluate a single dose of 60 U of RBTA compared to placebo for the treatment of moderate-to-severe lateral canthal lines using the lateral canthal lines Investigator Live Assessment (LCL-ILA) 4-Point Photographic Scale at maximum smile.</w:t>
      </w:r>
    </w:p>
    <w:p w14:paraId="2B75683D" w14:textId="6CE4C92F" w:rsidR="00D83A90" w:rsidRDefault="00D83A90" w:rsidP="009F0008">
      <w:r>
        <w:t>The study included male or female subjects 18 years of age or older with moderate-to-severe bilaterally symmetrical LCL, grade 2 or 3 on the 4-Point Photographic Scale at maximum smile as assessed by the Investigator (LCL-ILA), and level 2 or 3 on the 4-Point Photographic Scale ranging from 0 [none] to 3 [severe] at maximum smile as assessed by the subject (LCL-SLA)</w:t>
      </w:r>
      <w:r w:rsidR="005B41FE">
        <w:t xml:space="preserve">. </w:t>
      </w:r>
      <w:r>
        <w:t>Subjects with previous use of any botulinum toxin in facial areas within 9 months of study treatment were excluded.</w:t>
      </w:r>
    </w:p>
    <w:p w14:paraId="522CC2DA" w14:textId="089C7694" w:rsidR="00D83A90" w:rsidRDefault="00D83A90" w:rsidP="009F0008">
      <w:r>
        <w:t>Study treatment was a single dose of RBTA 60 units (0.6 mL) divided into 6 equal aliquots of 10 units (0.1 mL) or matching placebo injected by the Investigator into 3 sites in the lateral canthal area on each side of the face (Figure 3)</w:t>
      </w:r>
      <w:r w:rsidR="005B41FE">
        <w:t xml:space="preserve">. </w:t>
      </w:r>
      <w:r>
        <w:t>Option 1 was used if lines were both above and below the lateral canthus and option 2 was used if lines were mainly below the lateral canthus</w:t>
      </w:r>
      <w:r w:rsidR="005B41FE">
        <w:t xml:space="preserve">. </w:t>
      </w:r>
      <w:r>
        <w:t>Prior to injection, the treatment area was cleaned with a suitable antiseptic solution</w:t>
      </w:r>
      <w:r w:rsidR="005B41FE">
        <w:t xml:space="preserve">. </w:t>
      </w:r>
      <w:r>
        <w:t>An appropriately sized syringe and needle (30-33 gauge) was used to administer treatment</w:t>
      </w:r>
      <w:r w:rsidR="005B41FE">
        <w:t>.</w:t>
      </w:r>
    </w:p>
    <w:p w14:paraId="1A3C051B" w14:textId="04BC0548" w:rsidR="00D83A90" w:rsidRDefault="00D83A90" w:rsidP="009F0008">
      <w:pPr>
        <w:pStyle w:val="FigureTitle"/>
      </w:pPr>
      <w:r>
        <w:lastRenderedPageBreak/>
        <w:t>Figure 3</w:t>
      </w:r>
      <w:r w:rsidR="0047445C">
        <w:t>:</w:t>
      </w:r>
      <w:r>
        <w:t xml:space="preserve"> Injection Sites for Treating Lateral </w:t>
      </w:r>
      <w:r w:rsidRPr="009F0008">
        <w:t>Canthal</w:t>
      </w:r>
      <w:r>
        <w:t xml:space="preserve"> Lines</w:t>
      </w:r>
    </w:p>
    <w:p w14:paraId="1337F116" w14:textId="64809DCF" w:rsidR="00D83A90" w:rsidRDefault="0047445C" w:rsidP="009F0008">
      <w:r>
        <w:rPr>
          <w:noProof/>
        </w:rPr>
        <w:drawing>
          <wp:inline distT="0" distB="0" distL="0" distR="0" wp14:anchorId="27E9E25E" wp14:editId="06CE3732">
            <wp:extent cx="4785818" cy="2188707"/>
            <wp:effectExtent l="0" t="0" r="0" b="2540"/>
            <wp:docPr id="424758234" name="Picture 1" descr="Figure 3: Injection Sites for Treating Lateral Canth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58234" name="Picture 1" descr="Figure 3: Injection Sites for Treating Lateral Canthal Lines"/>
                    <pic:cNvPicPr/>
                  </pic:nvPicPr>
                  <pic:blipFill>
                    <a:blip r:embed="rId26"/>
                    <a:stretch>
                      <a:fillRect/>
                    </a:stretch>
                  </pic:blipFill>
                  <pic:spPr>
                    <a:xfrm>
                      <a:off x="0" y="0"/>
                      <a:ext cx="4801042" cy="2195670"/>
                    </a:xfrm>
                    <a:prstGeom prst="rect">
                      <a:avLst/>
                    </a:prstGeom>
                  </pic:spPr>
                </pic:pic>
              </a:graphicData>
            </a:graphic>
          </wp:inline>
        </w:drawing>
      </w:r>
    </w:p>
    <w:p w14:paraId="64289F33" w14:textId="3C9CE1B8" w:rsidR="00D83A90" w:rsidRDefault="00D83A90" w:rsidP="009F0008">
      <w:r>
        <w:t>Following injection of study product, all subjects were monitored for safety and efficacy for 6 months</w:t>
      </w:r>
      <w:r w:rsidR="005B41FE">
        <w:t xml:space="preserve">. </w:t>
      </w:r>
      <w:r>
        <w:t>Study visits were conducted at screening, baseline, Days 7 and 14, and monthly (every 30 days) through Month 6 or premature discontinuation.</w:t>
      </w:r>
    </w:p>
    <w:p w14:paraId="057048F0" w14:textId="2547FE77" w:rsidR="00D83A90" w:rsidRDefault="00D83A90" w:rsidP="009F0008">
      <w:r>
        <w:t>314 subjects were screened, 303 were randomised and received treatment (230 in the RBTA group and 73 in the placebo group)</w:t>
      </w:r>
      <w:r w:rsidR="005B41FE">
        <w:t xml:space="preserve">. </w:t>
      </w:r>
      <w:r>
        <w:t>223 (97.0%) in the RBTA group and 67 (91.8%) in the placebo group completed the study</w:t>
      </w:r>
      <w:r w:rsidR="005B41FE">
        <w:t xml:space="preserve">. </w:t>
      </w:r>
      <w:r>
        <w:t>The most common protocol deviation was an out-of-window visit, and many of these were due to COVID-19</w:t>
      </w:r>
      <w:r w:rsidR="005B41FE">
        <w:t>.</w:t>
      </w:r>
    </w:p>
    <w:p w14:paraId="3FAAD7C2" w14:textId="689A71FC" w:rsidR="00D83A90" w:rsidRDefault="00D83A90" w:rsidP="009F0008">
      <w:r>
        <w:t xml:space="preserve">There were 263 (86.8%) females and 40 (13.2%) </w:t>
      </w:r>
      <w:proofErr w:type="gramStart"/>
      <w:r>
        <w:t>males</w:t>
      </w:r>
      <w:proofErr w:type="gramEnd"/>
      <w:r>
        <w:t xml:space="preserve"> and the age range was 24 to 75 years</w:t>
      </w:r>
      <w:r w:rsidR="005B41FE">
        <w:t xml:space="preserve">. </w:t>
      </w:r>
      <w:r>
        <w:t>The treatment groups were balanced in demographic and baseline characteristics</w:t>
      </w:r>
      <w:r w:rsidR="005B41FE">
        <w:t xml:space="preserve">. </w:t>
      </w:r>
      <w:r>
        <w:t>163 (54.9%) subjects reported prior botulinum toxin use</w:t>
      </w:r>
      <w:r w:rsidR="005B41FE">
        <w:t xml:space="preserve">. </w:t>
      </w:r>
      <w:r>
        <w:t>At baseline, 175 (57.8%) subjects were grade 2 (moderate) and 128 (42.2%) were grade 3 (severe) on the LCL-ILA 4-point Photographic Scale at maximum smile</w:t>
      </w:r>
      <w:r w:rsidR="005B41FE">
        <w:t>.</w:t>
      </w:r>
    </w:p>
    <w:p w14:paraId="18240CA3" w14:textId="4BCCB754" w:rsidR="00D83A90" w:rsidRDefault="00D83A90" w:rsidP="009F0008">
      <w:r>
        <w:t xml:space="preserve">The primary efficacy analysis was based on the </w:t>
      </w:r>
      <w:proofErr w:type="spellStart"/>
      <w:r>
        <w:t>mITT</w:t>
      </w:r>
      <w:proofErr w:type="spellEnd"/>
      <w:r>
        <w:t xml:space="preserve"> population and all secondary efficacy and exploratory variables were analysed based on the ITT population</w:t>
      </w:r>
      <w:r w:rsidR="005B41FE">
        <w:t xml:space="preserve">. </w:t>
      </w:r>
      <w:r>
        <w:t xml:space="preserve">The </w:t>
      </w:r>
      <w:proofErr w:type="spellStart"/>
      <w:r>
        <w:t>mITT</w:t>
      </w:r>
      <w:proofErr w:type="spellEnd"/>
      <w:r>
        <w:t xml:space="preserve"> population excluded subjects with a photographic and categorical scale Month 1 assessment via a remote visit</w:t>
      </w:r>
      <w:r w:rsidR="005B41FE">
        <w:t xml:space="preserve">. </w:t>
      </w:r>
      <w:r>
        <w:t xml:space="preserve">204 (88.7%) subjects in the RBTA group and 69 (94.5%) in the placebo were included in the </w:t>
      </w:r>
      <w:proofErr w:type="spellStart"/>
      <w:r>
        <w:t>mITT</w:t>
      </w:r>
      <w:proofErr w:type="spellEnd"/>
      <w:r>
        <w:t xml:space="preserve"> population</w:t>
      </w:r>
      <w:r w:rsidR="005B41FE">
        <w:t>.</w:t>
      </w:r>
    </w:p>
    <w:p w14:paraId="3A0596EB" w14:textId="5E61F204" w:rsidR="00D83A90" w:rsidRDefault="00D83A90" w:rsidP="009F0008">
      <w:r>
        <w:t>The primary efficacy endpoint was the responder rate at Month 1, with a responder defined as a subject who achieved a score of 0 or 1 on the LCL-ILA 4-Point Photographic Scale at maximum smile at Month 1 for both left and right sides</w:t>
      </w:r>
      <w:r w:rsidR="005B41FE">
        <w:t xml:space="preserve">. </w:t>
      </w:r>
      <w:r>
        <w:t>The secondary efficacy endpoints were:</w:t>
      </w:r>
    </w:p>
    <w:p w14:paraId="037B76B6" w14:textId="4BB47B91" w:rsidR="00D83A90" w:rsidRDefault="00D83A90" w:rsidP="009F0008">
      <w:pPr>
        <w:pStyle w:val="ListBullet"/>
      </w:pPr>
      <w:r w:rsidRPr="009F0008">
        <w:t>FLTSQ</w:t>
      </w:r>
      <w:r>
        <w:t xml:space="preserve"> (Appearance Module) change from baseline in Rasch-transformed total scores at Month 1.</w:t>
      </w:r>
    </w:p>
    <w:p w14:paraId="3285E694" w14:textId="6E854AF8" w:rsidR="00D83A90" w:rsidRDefault="00D83A90" w:rsidP="009F0008">
      <w:pPr>
        <w:pStyle w:val="ListBullet"/>
      </w:pPr>
      <w:r>
        <w:t xml:space="preserve">time to onset of treatment response </w:t>
      </w:r>
      <w:r w:rsidRPr="009F0008">
        <w:t>based</w:t>
      </w:r>
      <w:r>
        <w:t xml:space="preserve"> on the subject’s diary card.</w:t>
      </w:r>
    </w:p>
    <w:p w14:paraId="55EB9A06" w14:textId="4E2DA6F3" w:rsidR="00D83A90" w:rsidRDefault="00D83A90" w:rsidP="0047445C">
      <w:pPr>
        <w:pStyle w:val="ListBullet"/>
      </w:pPr>
      <w:r>
        <w:t>FACE-Q Psychological Function Scale change from baseline in Rasch-transformed total scores at Month 1.</w:t>
      </w:r>
    </w:p>
    <w:p w14:paraId="4A80C55A" w14:textId="3EB8D4F0" w:rsidR="00D83A90" w:rsidRDefault="00D83A90" w:rsidP="009F0008">
      <w:pPr>
        <w:pStyle w:val="ListBullet"/>
      </w:pPr>
      <w:r>
        <w:t xml:space="preserve">time to loss of a score of 0 or 1 on </w:t>
      </w:r>
      <w:r w:rsidRPr="009F0008">
        <w:t>both</w:t>
      </w:r>
      <w:r>
        <w:t xml:space="preserve"> the LCL-ILA and LCL-SLA at maximum smile. </w:t>
      </w:r>
    </w:p>
    <w:p w14:paraId="491FDA1F" w14:textId="18E2B132" w:rsidR="00D83A90" w:rsidRDefault="00D83A90" w:rsidP="009F0008">
      <w:pPr>
        <w:pStyle w:val="ListBullet"/>
      </w:pPr>
      <w:r>
        <w:t xml:space="preserve">percentage </w:t>
      </w:r>
      <w:r w:rsidRPr="009F0008">
        <w:t>of</w:t>
      </w:r>
      <w:r>
        <w:t xml:space="preserve"> subjects who achieved a score of 0 or 1 at each post-treatment visit using the LCL-ILA at maximum frown.</w:t>
      </w:r>
    </w:p>
    <w:p w14:paraId="1ECC7204" w14:textId="6B8759E3" w:rsidR="00D83A90" w:rsidRDefault="00D83A90" w:rsidP="009F0008">
      <w:r>
        <w:t>The study met its primary endpoint</w:t>
      </w:r>
      <w:r w:rsidR="005B41FE">
        <w:t xml:space="preserve">. </w:t>
      </w:r>
      <w:r>
        <w:t>At Month 1, there were 178 (87.2%) responders in the RBTA group compared to 8 (11.9%) in the placebo group, a treatment difference of 75.3% (95% CI 66.14, 84.41, p &lt;0.001)</w:t>
      </w:r>
      <w:r w:rsidR="005B41FE">
        <w:t xml:space="preserve">. </w:t>
      </w:r>
      <w:r>
        <w:t>No significant subgroup effects were observed for age, study centre, gender, Fitzpatrick skin type, baseline severity, or prior botulinum toxin use</w:t>
      </w:r>
      <w:r w:rsidR="005B41FE">
        <w:t>.</w:t>
      </w:r>
    </w:p>
    <w:p w14:paraId="243EB4FC" w14:textId="77777777" w:rsidR="00D83A90" w:rsidRDefault="00D83A90" w:rsidP="009F0008">
      <w:r>
        <w:lastRenderedPageBreak/>
        <w:t>The secondary efficacy outcomes were:</w:t>
      </w:r>
    </w:p>
    <w:p w14:paraId="14B1DD80" w14:textId="6DE707A8" w:rsidR="00D83A90" w:rsidRDefault="00D83A90" w:rsidP="009F0008">
      <w:pPr>
        <w:pStyle w:val="ListBullet"/>
      </w:pPr>
      <w:r>
        <w:t xml:space="preserve">The mean (SD) FLTSQ (Appearance Module) change from baseline in Rasch-transformed total scores at Month 1 was </w:t>
      </w:r>
      <w:r w:rsidRPr="009F0008">
        <w:t>29</w:t>
      </w:r>
      <w:r>
        <w:t>.0 (21.97) for RBTA and 2.0 (12.48) for placebo.</w:t>
      </w:r>
    </w:p>
    <w:p w14:paraId="068B2296" w14:textId="5509BBA0" w:rsidR="00D83A90" w:rsidRDefault="00D83A90" w:rsidP="009F0008">
      <w:pPr>
        <w:pStyle w:val="ListBullet"/>
      </w:pPr>
      <w:r>
        <w:t xml:space="preserve">The KM median (95% CI) </w:t>
      </w:r>
      <w:r w:rsidRPr="009F0008">
        <w:t>time</w:t>
      </w:r>
      <w:r>
        <w:t xml:space="preserve"> to onset based on the subject’s diary card was 2.0 (2.0 to 3.0) for RBTA, and not evaluable for placebo.</w:t>
      </w:r>
    </w:p>
    <w:p w14:paraId="22BA98FB" w14:textId="6BA7E096" w:rsidR="00D83A90" w:rsidRDefault="00D83A90" w:rsidP="009F0008">
      <w:pPr>
        <w:pStyle w:val="ListBullet"/>
      </w:pPr>
      <w:r>
        <w:t xml:space="preserve">The mean (SD) FACE-Q Psychological Function </w:t>
      </w:r>
      <w:r w:rsidRPr="009F0008">
        <w:t>change</w:t>
      </w:r>
      <w:r>
        <w:t xml:space="preserve"> from baseline in Rasch-transformed total scores at Month 1 was 14.0 (20.21) for RBTA and 0.9 (14.71) for placebo.</w:t>
      </w:r>
    </w:p>
    <w:p w14:paraId="6B8B8968" w14:textId="1EB2BDB4" w:rsidR="00D83A90" w:rsidRDefault="00D83A90" w:rsidP="009F0008">
      <w:pPr>
        <w:pStyle w:val="ListBullet"/>
      </w:pPr>
      <w:r>
        <w:t xml:space="preserve">The KM median (95% CI) time to loss of a grade/level </w:t>
      </w:r>
      <w:r w:rsidRPr="009F0008">
        <w:t>of</w:t>
      </w:r>
      <w:r>
        <w:t xml:space="preserve"> 0 or 1 </w:t>
      </w:r>
      <w:r w:rsidRPr="009F0008">
        <w:t>on</w:t>
      </w:r>
      <w:r>
        <w:t xml:space="preserve"> both the LCL-ILA and lateral canthal lines Subject Live Assessment (LCL-SLA) at maximum smile was 162 (140.0 to 168.0) days for RBTA and not estimable for placebo.</w:t>
      </w:r>
    </w:p>
    <w:p w14:paraId="63234BC5" w14:textId="7EC3DDB1" w:rsidR="00D83A90" w:rsidRDefault="00D83A90" w:rsidP="009F0008">
      <w:pPr>
        <w:pStyle w:val="ListBullet"/>
      </w:pPr>
      <w:r>
        <w:t>There was a greater percentage of subjects in the RBTA group who achieved a score of 0 or 1 at the same visit for both left and right sides at each post-treatment visit using the LCL-ILA at maximum frown at all study visits from Day 7 through to Month 6 (Figure 4).</w:t>
      </w:r>
    </w:p>
    <w:p w14:paraId="5C1EC178" w14:textId="2D8421CA" w:rsidR="00D83A90" w:rsidRDefault="00D83A90" w:rsidP="009F0008">
      <w:pPr>
        <w:pStyle w:val="FigureTitle"/>
      </w:pPr>
      <w:r>
        <w:t>Figure 4</w:t>
      </w:r>
      <w:r w:rsidR="0047445C">
        <w:t>:</w:t>
      </w:r>
      <w:r>
        <w:t xml:space="preserve"> Responder Rate Based on the LCL-ILA 4-Point Photographic Scale at Maximum Smile Over Time (</w:t>
      </w:r>
      <w:r w:rsidRPr="009F0008">
        <w:t>ITT</w:t>
      </w:r>
      <w:r>
        <w:t xml:space="preserve"> Population)</w:t>
      </w:r>
    </w:p>
    <w:p w14:paraId="21262744" w14:textId="4FBD2FD9" w:rsidR="00D3010F" w:rsidRDefault="00D3010F" w:rsidP="009F0008">
      <w:r>
        <w:rPr>
          <w:noProof/>
        </w:rPr>
        <w:drawing>
          <wp:inline distT="0" distB="0" distL="0" distR="0" wp14:anchorId="27E17100" wp14:editId="5AF745E6">
            <wp:extent cx="5842828" cy="2915588"/>
            <wp:effectExtent l="0" t="0" r="5715" b="0"/>
            <wp:docPr id="6" name="Picture 6" descr="Figure 4: Responder Rate Based on the LCL-ILA 4-Point Photographic Scale at Maximum Smile Over Tim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4: Responder Rate Based on the LCL-ILA 4-Point Photographic Scale at Maximum Smile Over Time (ITT Population)"/>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5847388" cy="2917863"/>
                    </a:xfrm>
                    <a:prstGeom prst="rect">
                      <a:avLst/>
                    </a:prstGeom>
                  </pic:spPr>
                </pic:pic>
              </a:graphicData>
            </a:graphic>
          </wp:inline>
        </w:drawing>
      </w:r>
    </w:p>
    <w:p w14:paraId="05C23288" w14:textId="1976AB19" w:rsidR="00D83A90" w:rsidRDefault="00D83A90" w:rsidP="004076B5">
      <w:pPr>
        <w:pStyle w:val="Heading5"/>
      </w:pPr>
      <w:r>
        <w:t xml:space="preserve">Study </w:t>
      </w:r>
      <w:r w:rsidRPr="004076B5">
        <w:t>43QM1902</w:t>
      </w:r>
      <w:r>
        <w:t xml:space="preserve"> (LCL &amp; GL)</w:t>
      </w:r>
    </w:p>
    <w:p w14:paraId="0619324C" w14:textId="384F018D" w:rsidR="00D83A90" w:rsidRDefault="00D83A90" w:rsidP="004076B5">
      <w:r>
        <w:t>This was a Phase 3, randomised, double-blind, placebo-controlled study to evaluate the efficacy and safety of a single dose of RBTA for the treatment of moderate-to-severe LCL and GL alone or in combination</w:t>
      </w:r>
      <w:r w:rsidR="005B41FE">
        <w:t xml:space="preserve">. </w:t>
      </w:r>
      <w:r>
        <w:t>The study was conducted at 12 centres (11 in USA and 1 in Canada) from February 2020 to March 2021.</w:t>
      </w:r>
    </w:p>
    <w:p w14:paraId="0FAB4B81" w14:textId="77777777" w:rsidR="00D83A90" w:rsidRDefault="00D83A90" w:rsidP="004076B5">
      <w:r>
        <w:t>The primary efficacy objective of this study was to evaluate the efficacy of a single dose of 60 U of RBTA in the lateral canthal lines and 50 U of RBTA in the glabellar lines, alone or in combination, compared to placebo for the treatment of moderate-to-severe LCL using the LCL-ILA at maximum smile and for the treatment of GL using the validated GL-ILA at maximum frown.</w:t>
      </w:r>
    </w:p>
    <w:p w14:paraId="397C48B0" w14:textId="4AD88AB3" w:rsidR="00D83A90" w:rsidRDefault="00D83A90" w:rsidP="004076B5">
      <w:r>
        <w:t>The study included male or female subjects ≥18 years with moderate-to-severe bilaterally symmetrical LCL (grade of 2 or 3 on the 4-Point Photographic Scale) at maximum smile as assessed by the Investigator (LCL-ILA), bilaterally symmetrical LCL graded as level 2 or 3 on the 4-Point Photographic Scale at maximum smile as assessed by the subject (LCL-SLA), moderate-</w:t>
      </w:r>
      <w:r>
        <w:lastRenderedPageBreak/>
        <w:t>to-severe GL (grade of 2 or 3 on the 4-Point Photographic Scale) at maximum frown as assessed by the Investigator (GL-ILA), and moderate-to-severe GL (grade of 2 or 3 on the Static 4-Point Categorical Scale) at maximum frown as assessed by the subject (GL-SLA)</w:t>
      </w:r>
      <w:r w:rsidR="005B41FE">
        <w:t xml:space="preserve">. </w:t>
      </w:r>
      <w:r>
        <w:t>Subjects with previous use of any botulinum toxin in facial areas within 9 months of study treatment were excluded.</w:t>
      </w:r>
    </w:p>
    <w:p w14:paraId="6FFD63F2" w14:textId="77777777" w:rsidR="00D83A90" w:rsidRDefault="00D83A90" w:rsidP="004076B5">
      <w:r>
        <w:t>Study treatments were:</w:t>
      </w:r>
    </w:p>
    <w:p w14:paraId="66F03D36" w14:textId="146F5EB7" w:rsidR="00D83A90" w:rsidRDefault="00D83A90" w:rsidP="004076B5">
      <w:pPr>
        <w:pStyle w:val="ListBullet"/>
      </w:pPr>
      <w:r>
        <w:t xml:space="preserve">RBTA 50 units in the GL </w:t>
      </w:r>
      <w:r w:rsidRPr="004076B5">
        <w:t>region</w:t>
      </w:r>
      <w:r>
        <w:t xml:space="preserve"> and placebo in the LCL areas.</w:t>
      </w:r>
    </w:p>
    <w:p w14:paraId="29693C07" w14:textId="5260E33F" w:rsidR="00D83A90" w:rsidRDefault="00D83A90" w:rsidP="00D3010F">
      <w:pPr>
        <w:pStyle w:val="ListBullet"/>
      </w:pPr>
      <w:r>
        <w:t>RBTA 60 units in the LCL areas and placebo in the GL region.</w:t>
      </w:r>
    </w:p>
    <w:p w14:paraId="4530923D" w14:textId="538AD261" w:rsidR="00D83A90" w:rsidRDefault="00D83A90" w:rsidP="00D3010F">
      <w:pPr>
        <w:pStyle w:val="ListBullet"/>
      </w:pPr>
      <w:r>
        <w:t>RBTA 60 units in the LCL areas and 50 units in the GL region.</w:t>
      </w:r>
    </w:p>
    <w:p w14:paraId="736702C0" w14:textId="4A304DBE" w:rsidR="00D83A90" w:rsidRDefault="00D83A90" w:rsidP="004076B5">
      <w:pPr>
        <w:pStyle w:val="ListBullet"/>
      </w:pPr>
      <w:r>
        <w:t xml:space="preserve">placebo in both the LCL areas and GL </w:t>
      </w:r>
      <w:r w:rsidRPr="004076B5">
        <w:t>region</w:t>
      </w:r>
      <w:r>
        <w:t>.</w:t>
      </w:r>
    </w:p>
    <w:p w14:paraId="51E182B9" w14:textId="2D7E7BD9" w:rsidR="00D83A90" w:rsidRDefault="00D83A90" w:rsidP="004076B5">
      <w:r>
        <w:t>Prior to injection, the treatment area was cleaned with a suitable antiseptic solution</w:t>
      </w:r>
      <w:r w:rsidR="005B41FE">
        <w:t xml:space="preserve">. </w:t>
      </w:r>
      <w:r>
        <w:t>An appropriately sized syringe and needle (30-33 gauge) was used to administer treatment</w:t>
      </w:r>
      <w:r w:rsidR="005B41FE">
        <w:t xml:space="preserve">. </w:t>
      </w:r>
      <w:r>
        <w:t>Study treatment was injected by the Investigator in the same manner as described in Studies 43QM1602 for GL and 43QM1901 for LCL</w:t>
      </w:r>
      <w:r w:rsidR="005B41FE">
        <w:t>.</w:t>
      </w:r>
    </w:p>
    <w:p w14:paraId="5360E087" w14:textId="74D052B7" w:rsidR="00D83A90" w:rsidRDefault="00D83A90" w:rsidP="004076B5">
      <w:r>
        <w:t>436 subjects were screened, 413 were randomised (121 to GL/LCL-placebo, 118 to LCL/GL-placebo, 115 to LCL/GL, and 59 to placebo only) and 412 received study treatment</w:t>
      </w:r>
      <w:r w:rsidR="005B41FE">
        <w:t xml:space="preserve">. </w:t>
      </w:r>
      <w:r>
        <w:t xml:space="preserve"> 386 (93.5%) subjects completed the study: 116 (95.9%) in the GL/LCL-placebo group, 111 (94.1%) in the GL-placebo/LCL group, 107 (93.0%) in the GL/LCL group and 52 (88.1%) in the placebo only group</w:t>
      </w:r>
      <w:r w:rsidR="005B41FE">
        <w:t xml:space="preserve">. </w:t>
      </w:r>
      <w:r>
        <w:t xml:space="preserve">In the </w:t>
      </w:r>
      <w:proofErr w:type="spellStart"/>
      <w:r>
        <w:t>mITT</w:t>
      </w:r>
      <w:proofErr w:type="spellEnd"/>
      <w:r>
        <w:t xml:space="preserve"> population as randomised, there were 106 subjects in the GL/LCL-placebo group, 117 in the GL-placebo/LCL group, 108 in the GL/LCL group, and 55 in the placebo only group</w:t>
      </w:r>
      <w:r w:rsidR="005B41FE">
        <w:t xml:space="preserve">. </w:t>
      </w:r>
      <w:r>
        <w:t>In the ITT population as randomised, there were 113 subjects in the GL/LCL-placebo group, 126 in the GL-placebo/LCL group, 115 in the GL/LCL group, and 58 in the placebo only group</w:t>
      </w:r>
      <w:r w:rsidR="005B41FE">
        <w:t>.</w:t>
      </w:r>
    </w:p>
    <w:p w14:paraId="46927568" w14:textId="6CEEFC11" w:rsidR="00D83A90" w:rsidRDefault="00D83A90" w:rsidP="004076B5">
      <w:r>
        <w:t xml:space="preserve">Overall, there were 368 (89.3%) females and 44 (10.7%) </w:t>
      </w:r>
      <w:proofErr w:type="gramStart"/>
      <w:r>
        <w:t>males</w:t>
      </w:r>
      <w:proofErr w:type="gramEnd"/>
      <w:r>
        <w:t xml:space="preserve"> and the age range was 23 to 78 years</w:t>
      </w:r>
      <w:r w:rsidR="005B41FE">
        <w:t xml:space="preserve">. </w:t>
      </w:r>
      <w:r>
        <w:t>The treatment groups were balanced in demographic and baseline characteristics</w:t>
      </w:r>
      <w:r w:rsidR="005B41FE">
        <w:t xml:space="preserve">. </w:t>
      </w:r>
      <w:r>
        <w:t>263 (63.8%) subjects reported prior botulinum toxin use</w:t>
      </w:r>
      <w:r w:rsidR="005B41FE">
        <w:t xml:space="preserve">. </w:t>
      </w:r>
      <w:r>
        <w:t>Of 286 subjects with GL, 86 (30.1%) were grade 2 (moderate) and 200 (69.9%) were grade 3 (severe) on the GL-ILA 4-point photographic scale at maximum frown</w:t>
      </w:r>
      <w:r w:rsidR="005B41FE">
        <w:t xml:space="preserve">. </w:t>
      </w:r>
      <w:r>
        <w:t>Of 299 subjects with LCL, 172 (57.5%) were grade 2 (moderate) and 127 (42.5%) were grade 3 (severe) on the LCL-ILA 4-point photographic scale at maximum smile on the left and right sides</w:t>
      </w:r>
      <w:r w:rsidR="005B41FE">
        <w:t>.</w:t>
      </w:r>
    </w:p>
    <w:p w14:paraId="7BAEF2DD" w14:textId="52E1D29E" w:rsidR="00D83A90" w:rsidRDefault="00D83A90" w:rsidP="004076B5">
      <w:r>
        <w:t>Pandemic-related study disruption impacted 11 study sites</w:t>
      </w:r>
      <w:r w:rsidR="005B41FE">
        <w:t xml:space="preserve">. </w:t>
      </w:r>
      <w:r>
        <w:t>There were 567 protocol deviations, of which 177 (31.2%) were related to COVID-19</w:t>
      </w:r>
      <w:r w:rsidR="005B41FE">
        <w:t xml:space="preserve">. </w:t>
      </w:r>
      <w:r>
        <w:t>The shelter-in-place mandate prevented in-clinic study visits from being conducted on 111 subjects (remote study visits conducted) and resulted in 6 missed study visits and 64 out-of-window visits for those subjects.</w:t>
      </w:r>
    </w:p>
    <w:p w14:paraId="01A8118F" w14:textId="77777777" w:rsidR="00D83A90" w:rsidRDefault="00D83A90" w:rsidP="004076B5">
      <w:r>
        <w:t>The two co-primary efficacy endpoints were:</w:t>
      </w:r>
    </w:p>
    <w:p w14:paraId="27B6456F" w14:textId="7CFBB148" w:rsidR="00D83A90" w:rsidRDefault="00D83A90" w:rsidP="004076B5">
      <w:pPr>
        <w:pStyle w:val="ListBullet"/>
      </w:pPr>
      <w:r>
        <w:t xml:space="preserve">Responder rate for GL-ILA 4-Point Photographic Scale at </w:t>
      </w:r>
      <w:r w:rsidRPr="004076B5">
        <w:t>maximum</w:t>
      </w:r>
      <w:r>
        <w:t xml:space="preserve"> frown at Month 1, with a responder defined as a subject who achieved a score of 0 or 1 on the GL-ILA scale at Month 1.</w:t>
      </w:r>
    </w:p>
    <w:p w14:paraId="16928CCB" w14:textId="7CC0F945" w:rsidR="00D83A90" w:rsidRDefault="00D83A90" w:rsidP="004076B5">
      <w:pPr>
        <w:pStyle w:val="ListBullet"/>
      </w:pPr>
      <w:r>
        <w:t>Responder rate for LCL-ILA 4-Point Photographic Scale at maximum smile at Month 1, with a responder defined as a subject who achieved a score of 0 or 1 on the LCL-ILA scale at Month 1 for both left and right sides.</w:t>
      </w:r>
    </w:p>
    <w:p w14:paraId="0F300215" w14:textId="77777777" w:rsidR="00D83A90" w:rsidRDefault="00D83A90" w:rsidP="004076B5">
      <w:r>
        <w:t>The secondary efficacy outcome measures were:</w:t>
      </w:r>
    </w:p>
    <w:p w14:paraId="3FCC8F8C" w14:textId="6E8606E3" w:rsidR="00D83A90" w:rsidRDefault="00D83A90" w:rsidP="004076B5">
      <w:pPr>
        <w:pStyle w:val="ListBullet"/>
      </w:pPr>
      <w:r>
        <w:t xml:space="preserve">FLTSQ (Appearance Module) change from baseline in </w:t>
      </w:r>
      <w:r w:rsidRPr="004076B5">
        <w:t>Rasch</w:t>
      </w:r>
      <w:r>
        <w:t>-transformed total scores at Month 1.</w:t>
      </w:r>
    </w:p>
    <w:p w14:paraId="25ABBAA0" w14:textId="27F4AD75" w:rsidR="00D83A90" w:rsidRDefault="00D83A90" w:rsidP="004076B5">
      <w:pPr>
        <w:pStyle w:val="ListBullet"/>
      </w:pPr>
      <w:r>
        <w:t xml:space="preserve">Time to onset of treatment response </w:t>
      </w:r>
      <w:r w:rsidRPr="004076B5">
        <w:t>based</w:t>
      </w:r>
      <w:r>
        <w:t xml:space="preserve"> on the subject’s diary card.</w:t>
      </w:r>
    </w:p>
    <w:p w14:paraId="4823564E" w14:textId="0C3F9F42" w:rsidR="00D83A90" w:rsidRDefault="00D83A90" w:rsidP="004076B5">
      <w:pPr>
        <w:pStyle w:val="ListBullet"/>
      </w:pPr>
      <w:r>
        <w:lastRenderedPageBreak/>
        <w:t xml:space="preserve">FACE-Q </w:t>
      </w:r>
      <w:r w:rsidRPr="004076B5">
        <w:t>Psychological</w:t>
      </w:r>
      <w:r>
        <w:t xml:space="preserve"> Function change from baseline in Rasch-transformed total scores at Month 1.</w:t>
      </w:r>
    </w:p>
    <w:p w14:paraId="0EB2C16F" w14:textId="04D19D48" w:rsidR="00D83A90" w:rsidRDefault="00D83A90" w:rsidP="004076B5">
      <w:pPr>
        <w:pStyle w:val="ListBullet"/>
      </w:pPr>
      <w:r>
        <w:t xml:space="preserve">Time to loss of score of 0 or 1 on both the GL-ILA and GL-SLA at </w:t>
      </w:r>
      <w:r w:rsidRPr="004076B5">
        <w:t>maximum</w:t>
      </w:r>
      <w:r>
        <w:t xml:space="preserve"> frown.</w:t>
      </w:r>
    </w:p>
    <w:p w14:paraId="7AB383A8" w14:textId="63559A40" w:rsidR="00D83A90" w:rsidRDefault="00D83A90" w:rsidP="00BB3895">
      <w:pPr>
        <w:pStyle w:val="ListBullet"/>
      </w:pPr>
      <w:r>
        <w:t>Time to loss of score/level of 0 or 1 on both the LCL-ILA and LCL-SLA at maximum smile.</w:t>
      </w:r>
    </w:p>
    <w:p w14:paraId="53CEB70C" w14:textId="608B9C81" w:rsidR="00D83A90" w:rsidRDefault="00D83A90" w:rsidP="00BB3895">
      <w:pPr>
        <w:pStyle w:val="ListBullet"/>
      </w:pPr>
      <w:r>
        <w:t>% of subjects who achieved a score of 0 or 1 at each post-treatment visit using the GL-ILA at maximum frown.</w:t>
      </w:r>
    </w:p>
    <w:p w14:paraId="3C511A4E" w14:textId="041F12E8" w:rsidR="00D83A90" w:rsidRDefault="00D83A90" w:rsidP="004076B5">
      <w:pPr>
        <w:pStyle w:val="ListBullet"/>
      </w:pPr>
      <w:r>
        <w:t xml:space="preserve">% of subjects who achieved a </w:t>
      </w:r>
      <w:r w:rsidRPr="004076B5">
        <w:t>score</w:t>
      </w:r>
      <w:r>
        <w:t xml:space="preserve"> of 0 or 1 at the same visit for both left and right sides </w:t>
      </w:r>
      <w:r w:rsidRPr="004076B5">
        <w:t>summarised</w:t>
      </w:r>
      <w:r>
        <w:t xml:space="preserve"> for each post-treatment visit using the LCL-ILA at maximum smile.</w:t>
      </w:r>
    </w:p>
    <w:p w14:paraId="39C936FA" w14:textId="068E9243" w:rsidR="00D83A90" w:rsidRDefault="00D83A90" w:rsidP="004076B5">
      <w:r>
        <w:t xml:space="preserve">The primary efficacy analysis was based on the </w:t>
      </w:r>
      <w:proofErr w:type="spellStart"/>
      <w:r>
        <w:t>mITT</w:t>
      </w:r>
      <w:proofErr w:type="spellEnd"/>
      <w:r>
        <w:t xml:space="preserve"> population as </w:t>
      </w:r>
      <w:proofErr w:type="gramStart"/>
      <w:r>
        <w:t>randomised</w:t>
      </w:r>
      <w:proofErr w:type="gramEnd"/>
      <w:r>
        <w:t xml:space="preserve"> and the secondary efficacy and exploratory analyses were based on the ITT population as randomised</w:t>
      </w:r>
      <w:r w:rsidR="005B41FE">
        <w:t xml:space="preserve">. </w:t>
      </w:r>
      <w:r>
        <w:t xml:space="preserve">The </w:t>
      </w:r>
      <w:proofErr w:type="spellStart"/>
      <w:r>
        <w:t>mITT</w:t>
      </w:r>
      <w:proofErr w:type="spellEnd"/>
      <w:r>
        <w:t xml:space="preserve"> population excluded subjects with a photographic and categorical scale Month 1 assessment via a remote visit</w:t>
      </w:r>
      <w:r w:rsidR="005B41FE">
        <w:t xml:space="preserve">. </w:t>
      </w:r>
      <w:r>
        <w:t>For the co-primary efficacy analyses, the responder rates were compared using the Cochran-Mantel-Haenszel test stratified by site at the 5% significance level (2-sided)</w:t>
      </w:r>
      <w:r w:rsidR="005B41FE">
        <w:t xml:space="preserve">. </w:t>
      </w:r>
      <w:r>
        <w:t>To control the type I error rate among the 4 primary efficacy comparisons, a fixed sequence testing procedure was used, which required no adjustment to the level of significance: 1. GL alone vs placebo on the GL scale, 2. GL and LCL vs placebo on the GL scale, 3. LCL alone vs placebo on the LCL scale, 4. GL and LCL vs placebo on the LCL scale.</w:t>
      </w:r>
    </w:p>
    <w:p w14:paraId="774EE6F0" w14:textId="6E3AEE00" w:rsidR="00D83A90" w:rsidRDefault="00D83A90" w:rsidP="004076B5">
      <w:r>
        <w:t xml:space="preserve">RBTA was superior to placebo for both co-primary endpoints (Table </w:t>
      </w:r>
      <w:r w:rsidR="00426C09">
        <w:t>2</w:t>
      </w:r>
      <w:r>
        <w:t xml:space="preserve"> for GL-ILA responder rate, Table </w:t>
      </w:r>
      <w:r w:rsidR="00426C09">
        <w:t>3</w:t>
      </w:r>
      <w:r>
        <w:t xml:space="preserve"> for LCL-ILA responder rate), for the treatment of GL/LCL alone and in combination.</w:t>
      </w:r>
    </w:p>
    <w:p w14:paraId="28FE8864" w14:textId="7AB4B2A2" w:rsidR="00D83A90" w:rsidRDefault="00D83A90" w:rsidP="004076B5">
      <w:pPr>
        <w:pStyle w:val="TableTitle"/>
      </w:pPr>
      <w:r>
        <w:t xml:space="preserve">Table </w:t>
      </w:r>
      <w:r w:rsidR="00426C09">
        <w:t>2</w:t>
      </w:r>
      <w:r w:rsidR="00B3518C">
        <w:t>:</w:t>
      </w:r>
      <w:r>
        <w:t xml:space="preserve"> Month 1 Responder Rate Based on the GL-ILA 4-Point Photographic Scale at Maximum Frown (Modified Intent-to-Treat Population as Actually </w:t>
      </w:r>
      <w:r w:rsidRPr="004076B5">
        <w:t>Randomised</w:t>
      </w:r>
      <w:r>
        <w:t>)</w:t>
      </w:r>
    </w:p>
    <w:p w14:paraId="2F72C0A3" w14:textId="6054E902" w:rsidR="00307951" w:rsidRDefault="00307951" w:rsidP="004076B5">
      <w:r>
        <w:rPr>
          <w:noProof/>
        </w:rPr>
        <w:drawing>
          <wp:inline distT="0" distB="0" distL="0" distR="0" wp14:anchorId="347BC99E" wp14:editId="2EC3C5CD">
            <wp:extent cx="5844344" cy="1192696"/>
            <wp:effectExtent l="0" t="0" r="4445" b="7620"/>
            <wp:docPr id="2" name="Picture 2" descr="Table 2: Month 1 Responder Rate Based on the GL-ILA 4-Point Photographic Scale at Maximum Frown (Modified Intent-to-Treat Population as Actually Random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2: Month 1 Responder Rate Based on the GL-ILA 4-Point Photographic Scale at Maximum Frown (Modified Intent-to-Treat Population as Actually Randomised)"/>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5924340" cy="1209021"/>
                    </a:xfrm>
                    <a:prstGeom prst="rect">
                      <a:avLst/>
                    </a:prstGeom>
                  </pic:spPr>
                </pic:pic>
              </a:graphicData>
            </a:graphic>
          </wp:inline>
        </w:drawing>
      </w:r>
    </w:p>
    <w:p w14:paraId="706295EA" w14:textId="7737F155" w:rsidR="00EF55A6" w:rsidRDefault="00EF55A6" w:rsidP="004076B5">
      <w:pPr>
        <w:pStyle w:val="TableDescription"/>
      </w:pPr>
      <w:r>
        <w:t>1</w:t>
      </w:r>
      <w:r w:rsidR="00F05931">
        <w:t>.</w:t>
      </w:r>
      <w:r>
        <w:t xml:space="preserve"> 95% </w:t>
      </w:r>
      <w:r w:rsidRPr="004076B5">
        <w:t>confidence</w:t>
      </w:r>
      <w:r>
        <w:t xml:space="preserve"> interval for responder rates and difference were calculated using the normal approximation (Wald) method. </w:t>
      </w:r>
    </w:p>
    <w:p w14:paraId="1B36608F" w14:textId="7E20824A" w:rsidR="00307951" w:rsidRDefault="00EF55A6" w:rsidP="004076B5">
      <w:pPr>
        <w:pStyle w:val="TableDescription"/>
      </w:pPr>
      <w:r>
        <w:t>2</w:t>
      </w:r>
      <w:r w:rsidR="00F05931">
        <w:t>.</w:t>
      </w:r>
      <w:r>
        <w:t xml:space="preserve"> Difference = QM1114-DP responder rate – placebo responder rate (where difference &gt;0 indicated a higher percentage of responders in the QM1114-DP group)</w:t>
      </w:r>
      <w:r w:rsidR="005B41FE">
        <w:t xml:space="preserve">. </w:t>
      </w:r>
      <w:r>
        <w:t>3 P-value was from the Cochran-Mantel-Haenszel test stratified by site.</w:t>
      </w:r>
    </w:p>
    <w:p w14:paraId="4AB8684D" w14:textId="0EB8090A" w:rsidR="00D83A90" w:rsidRDefault="00D83A90" w:rsidP="004076B5">
      <w:pPr>
        <w:pStyle w:val="TableTitle"/>
      </w:pPr>
      <w:r>
        <w:t xml:space="preserve">Table </w:t>
      </w:r>
      <w:r w:rsidR="00426C09">
        <w:t>3</w:t>
      </w:r>
      <w:r w:rsidR="00B3518C">
        <w:t>:</w:t>
      </w:r>
      <w:r>
        <w:t xml:space="preserve"> Month 1 </w:t>
      </w:r>
      <w:r w:rsidRPr="004076B5">
        <w:t>Responder</w:t>
      </w:r>
      <w:r>
        <w:t xml:space="preserve"> Rate Based on the LCL-ILA 4-Point Photographic Scale at Maximum Smile (Modified Intent-to-Treat Population as Actually Randomised)</w:t>
      </w:r>
    </w:p>
    <w:p w14:paraId="5B97699C" w14:textId="5ABB7BAF" w:rsidR="00D0148C" w:rsidRDefault="00D0148C" w:rsidP="004076B5">
      <w:r>
        <w:rPr>
          <w:noProof/>
        </w:rPr>
        <w:drawing>
          <wp:inline distT="0" distB="0" distL="0" distR="0" wp14:anchorId="6584C5A2" wp14:editId="120D29CB">
            <wp:extent cx="5833887" cy="1184744"/>
            <wp:effectExtent l="0" t="0" r="0" b="0"/>
            <wp:docPr id="7" name="Picture 7" descr="Table 3: Month 1 Responder Rate Based on the LCL-ILA 4-Point Photographic Scale at Maximum Smile (Modified Intent-to-Treat Population as Actually Random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3: Month 1 Responder Rate Based on the LCL-ILA 4-Point Photographic Scale at Maximum Smile (Modified Intent-to-Treat Population as Actually Randomised)"/>
                    <pic:cNvPicPr/>
                  </pic:nvPicPr>
                  <pic:blipFill>
                    <a:blip r:embed="rId31"/>
                    <a:stretch>
                      <a:fillRect/>
                    </a:stretch>
                  </pic:blipFill>
                  <pic:spPr>
                    <a:xfrm>
                      <a:off x="0" y="0"/>
                      <a:ext cx="5913902" cy="1200993"/>
                    </a:xfrm>
                    <a:prstGeom prst="rect">
                      <a:avLst/>
                    </a:prstGeom>
                  </pic:spPr>
                </pic:pic>
              </a:graphicData>
            </a:graphic>
          </wp:inline>
        </w:drawing>
      </w:r>
    </w:p>
    <w:p w14:paraId="79A79818" w14:textId="2AE068C8" w:rsidR="00D83A90" w:rsidRDefault="00D83A90" w:rsidP="004076B5">
      <w:pPr>
        <w:pStyle w:val="TableDescription"/>
      </w:pPr>
      <w:r>
        <w:t>1</w:t>
      </w:r>
      <w:r w:rsidR="00F05931">
        <w:t>.</w:t>
      </w:r>
      <w:r>
        <w:t xml:space="preserve"> 95% confidence interval for </w:t>
      </w:r>
      <w:r w:rsidRPr="004076B5">
        <w:t>responder</w:t>
      </w:r>
      <w:r>
        <w:t xml:space="preserve"> rates and difference were calculated using the normal approximation (Wald) </w:t>
      </w:r>
      <w:r w:rsidRPr="004076B5">
        <w:t>method</w:t>
      </w:r>
      <w:r>
        <w:t>.</w:t>
      </w:r>
    </w:p>
    <w:p w14:paraId="2D82BFB0" w14:textId="12941B0B" w:rsidR="00D83A90" w:rsidRDefault="00D83A90" w:rsidP="004076B5">
      <w:pPr>
        <w:pStyle w:val="TableDescription"/>
      </w:pPr>
      <w:r>
        <w:t>2</w:t>
      </w:r>
      <w:r w:rsidR="00F05931">
        <w:t>.</w:t>
      </w:r>
      <w:r>
        <w:t xml:space="preserve"> Difference = QM1114-DP responder rate – placebo responder rate (where difference &gt;0 indicated a higher percentage of responders in the QM1114-DP group)</w:t>
      </w:r>
      <w:r w:rsidR="005B41FE">
        <w:t xml:space="preserve">. </w:t>
      </w:r>
      <w:r>
        <w:t xml:space="preserve">3 P-value was from the </w:t>
      </w:r>
      <w:r w:rsidRPr="004076B5">
        <w:t>Cochran</w:t>
      </w:r>
      <w:r>
        <w:t>-Mantel-Haenszel test stratified by site.</w:t>
      </w:r>
    </w:p>
    <w:p w14:paraId="0C009D3B" w14:textId="77777777" w:rsidR="00D83A90" w:rsidRDefault="00D83A90" w:rsidP="004076B5">
      <w:r>
        <w:lastRenderedPageBreak/>
        <w:t>Subgroup analyses of the co-primary endpoints based on age, study site, skin type, gender, baseline severity, and prior botulinum toxin use generally showed similar treatment effects, noting that the size of some of the subgroups was small.</w:t>
      </w:r>
    </w:p>
    <w:p w14:paraId="0E9C8F31" w14:textId="77777777" w:rsidR="00D83A90" w:rsidRDefault="00D83A90" w:rsidP="004076B5">
      <w:r>
        <w:t>The results for the secondary efficacy outcome measures were:</w:t>
      </w:r>
    </w:p>
    <w:p w14:paraId="272E0B77" w14:textId="0A38B1E8" w:rsidR="00D83A90" w:rsidRDefault="00D83A90" w:rsidP="004076B5">
      <w:pPr>
        <w:pStyle w:val="ListBullet"/>
      </w:pPr>
      <w:r>
        <w:t xml:space="preserve">The mean (SD) GL FLTSQ (Appearance Module) change from baseline in Rasch-transformed total scores at Month 1 </w:t>
      </w:r>
      <w:r w:rsidRPr="004076B5">
        <w:t>was</w:t>
      </w:r>
      <w:r>
        <w:t xml:space="preserve"> 30.5 (22.70) for GL/LCL-placebo, 7.6 (20.34) for GL-placebo/LCL, 32.5 (22.56) for GL/LCL and 0.4 (9.69) for placebo only</w:t>
      </w:r>
      <w:r w:rsidR="005B41FE">
        <w:t>.</w:t>
      </w:r>
    </w:p>
    <w:p w14:paraId="2C7AA4B4" w14:textId="12F5AE39" w:rsidR="00D83A90" w:rsidRDefault="00D83A90" w:rsidP="004076B5">
      <w:pPr>
        <w:pStyle w:val="ListBullet"/>
      </w:pPr>
      <w:r>
        <w:t xml:space="preserve">The mean (SD) LCL FLTSQ (Appearance Module) change from baseline in Rasch-transformed total scores at Month 1 was 9.2 (21.66) for GL/LCL-placebo, 21.8 (25.72) for GL-placebo/LCL, 33.3 (24.11) for GL/LCL </w:t>
      </w:r>
      <w:r w:rsidRPr="004076B5">
        <w:t>and</w:t>
      </w:r>
      <w:r>
        <w:t xml:space="preserve"> 1.1 (14.34) for placebo only.</w:t>
      </w:r>
    </w:p>
    <w:p w14:paraId="780D6A60" w14:textId="30DC2F6B" w:rsidR="00D83A90" w:rsidRDefault="00D83A90" w:rsidP="004076B5">
      <w:pPr>
        <w:pStyle w:val="ListBullet"/>
      </w:pPr>
      <w:r>
        <w:t xml:space="preserve">The KM median (95% CI) time to onset of GL </w:t>
      </w:r>
      <w:r w:rsidRPr="004076B5">
        <w:t>treatment</w:t>
      </w:r>
      <w:r>
        <w:t xml:space="preserve"> response based on the subject’s diary card was 2.0 (2.0 to 3.0) days for GL/LCL-placebo, 3.0 (2.0 to 3.0) days for GL/LCL and was inestimable for placebo only.</w:t>
      </w:r>
    </w:p>
    <w:p w14:paraId="35B6CEAD" w14:textId="387033B1" w:rsidR="00D83A90" w:rsidRDefault="00D83A90" w:rsidP="004076B5">
      <w:pPr>
        <w:pStyle w:val="ListBullet"/>
      </w:pPr>
      <w:r>
        <w:t>The KM median (95% CI) time to onset of LCL treatment response based on the subject’s diary card was 3.0 (3.0 to 4.0) days for GL-placebo/LCL, 4.0 (3.0 to 4.0) days for GL/LCL and was inestimable for placebo only.</w:t>
      </w:r>
    </w:p>
    <w:p w14:paraId="4123889B" w14:textId="7F880DFA" w:rsidR="00D83A90" w:rsidRDefault="00D83A90" w:rsidP="00090815">
      <w:pPr>
        <w:pStyle w:val="ListBullet"/>
      </w:pPr>
      <w:r>
        <w:t>The mean (SD) FACE-Q Psychological Function change from baseline in Rasch-transformed total scores at Month 1 was 11.5 (21.16) for GL/LCL-placebo, 2.3 (20.92) for GL-placebo/LCL, 15.2 (23.09) for GL/LCL and -5.3 (21.18) for placebo only.</w:t>
      </w:r>
    </w:p>
    <w:p w14:paraId="0B3C8046" w14:textId="3EE5BA08" w:rsidR="00D83A90" w:rsidRDefault="00D83A90" w:rsidP="004076B5">
      <w:pPr>
        <w:pStyle w:val="ListBullet"/>
      </w:pPr>
      <w:r>
        <w:t xml:space="preserve">The KM median (95% CI) time to loss of score of 0 or 1 on both the GL-ILA and glabellar lines Subject Live Assessment (GL-SLA) at </w:t>
      </w:r>
      <w:r w:rsidRPr="004076B5">
        <w:t>maximum</w:t>
      </w:r>
      <w:r>
        <w:t xml:space="preserve"> frown was 139.0 (117.0 to 145.0) days for GL/LCL-placebo, 140.0 (115.0 to 165.0) days for GL/LCL and 71.0 (56.0 to 86.0) for placebo only.</w:t>
      </w:r>
    </w:p>
    <w:p w14:paraId="2B11A85D" w14:textId="48F06938" w:rsidR="00D83A90" w:rsidRDefault="00D83A90" w:rsidP="004076B5">
      <w:pPr>
        <w:pStyle w:val="ListBullet"/>
      </w:pPr>
      <w:r>
        <w:t>The KM median (95% CI) time to loss of score/level of 0 or 1 on both the LCL-ILA and lateral canthal lines Subject Live Assessment (LCL-SLA) at maximum smile was 140.0 (135.0 to 164.0) days for GL-placebo/LCL, 142.0 (136.0 to 166.0) days for GL/LCL and 84.0 (15.0 to NE) for placebo only.</w:t>
      </w:r>
    </w:p>
    <w:p w14:paraId="5F74D4B2" w14:textId="351E1307" w:rsidR="00D83A90" w:rsidRDefault="00D83A90" w:rsidP="004076B5">
      <w:pPr>
        <w:pStyle w:val="ListBullet"/>
      </w:pPr>
      <w:r>
        <w:t xml:space="preserve">There was a greater percentage of subjects who achieved a score of 0 or 1 at each post-treatment visit using the GL-ILA at maximum frown from Day 7 to Month 6 in the GL/LCL-placebo and GL/LCL groups compared with </w:t>
      </w:r>
      <w:r w:rsidRPr="004076B5">
        <w:t>placebo</w:t>
      </w:r>
      <w:r>
        <w:t xml:space="preserve"> only.</w:t>
      </w:r>
    </w:p>
    <w:p w14:paraId="2010937F" w14:textId="13D926D2" w:rsidR="00D83A90" w:rsidRDefault="00D83A90" w:rsidP="004076B5">
      <w:pPr>
        <w:pStyle w:val="ListBullet"/>
      </w:pPr>
      <w:r>
        <w:t xml:space="preserve">There was a greater percentage of subjects who achieved a score of 0 or 1 at the same visit for both left and right sides summarised for each post-treatment </w:t>
      </w:r>
      <w:r w:rsidRPr="004076B5">
        <w:t>visit</w:t>
      </w:r>
      <w:r>
        <w:t xml:space="preserve"> using the LCL-ILA at maximum smile from Day 7 to Month 5 GL-placebo/LCL and GL/LCL groups compared with placebo only.</w:t>
      </w:r>
    </w:p>
    <w:p w14:paraId="36F73904" w14:textId="77777777" w:rsidR="00D83A90" w:rsidRDefault="00D83A90" w:rsidP="004076B5">
      <w:pPr>
        <w:pStyle w:val="Heading5"/>
      </w:pPr>
      <w:r>
        <w:t xml:space="preserve">Study </w:t>
      </w:r>
      <w:r w:rsidRPr="004076B5">
        <w:t>43QM1903</w:t>
      </w:r>
    </w:p>
    <w:p w14:paraId="45532C0A" w14:textId="77A5B46F" w:rsidR="00D83A90" w:rsidRDefault="00D83A90" w:rsidP="004076B5">
      <w:r>
        <w:t>This was a Phase 3, open-label, multiple-dose, long-term trial to assess the safety of repeated injections of RBTA for the treatment of GL and/or LCL</w:t>
      </w:r>
      <w:r w:rsidR="005B41FE">
        <w:t xml:space="preserve">. </w:t>
      </w:r>
      <w:r>
        <w:t>The primary objective of the study was to evaluate safety, and efficacy outcomes were secondary objectives</w:t>
      </w:r>
      <w:r w:rsidR="005B41FE">
        <w:t xml:space="preserve">. </w:t>
      </w:r>
      <w:r>
        <w:t>The study was of one year duration and was conducted at 30 centres in the USA from January 2020 to May 2021.</w:t>
      </w:r>
    </w:p>
    <w:p w14:paraId="22CD5074" w14:textId="77777777" w:rsidR="00D83A90" w:rsidRDefault="00D83A90" w:rsidP="004076B5">
      <w:r>
        <w:t>The study included adult subjects with moderate-to-severe GL at maximum frown as assessed by GL-ILA and GL-SLA and moderate-to-severe bilaterally symmetrical LCL at maximum smile as assessed by LCL-ILA and LCL-SLA.</w:t>
      </w:r>
    </w:p>
    <w:p w14:paraId="39943D4B" w14:textId="08F435FC" w:rsidR="00D83A90" w:rsidRDefault="00D83A90" w:rsidP="004076B5">
      <w:r>
        <w:t xml:space="preserve">The study treatment was a total dose of up to 110 units of RBTA administered as 50 units of RBTA divided into 5 equal aliquots injected into the glabellar area (10 units [0.1 mL] per injection point) and/or 60 units of RBTA divided into 6 equal aliquots injected into the lateral </w:t>
      </w:r>
      <w:r>
        <w:lastRenderedPageBreak/>
        <w:t>canthal areas (10 units [0.1 mL] per injection point) at baseline</w:t>
      </w:r>
      <w:r w:rsidR="005B41FE">
        <w:t xml:space="preserve">. </w:t>
      </w:r>
      <w:r>
        <w:t>Subjects could receive up to four treatment cycles over the course of the study</w:t>
      </w:r>
      <w:r w:rsidR="005B41FE">
        <w:t xml:space="preserve">. </w:t>
      </w:r>
      <w:r>
        <w:t>Additional treatment (re-treatments) could be administered at any of the follow-up visits from Week 12 to Week 40, provided:</w:t>
      </w:r>
    </w:p>
    <w:p w14:paraId="07004735" w14:textId="756A7B39" w:rsidR="00D83A90" w:rsidRDefault="00D83A90" w:rsidP="004076B5">
      <w:pPr>
        <w:pStyle w:val="ListBullet"/>
      </w:pPr>
      <w:r>
        <w:t>it had been at least 12 weeks since the previous treatment.</w:t>
      </w:r>
    </w:p>
    <w:p w14:paraId="30B87161" w14:textId="56E03BE1" w:rsidR="00D83A90" w:rsidRDefault="00D83A90" w:rsidP="004076B5">
      <w:pPr>
        <w:pStyle w:val="ListBullet"/>
      </w:pPr>
      <w:r>
        <w:t>moderate or severe GL and/or LCL at maximum contraction (i.e. frown or smile, respectively) as assessed by the GL-ILA and LCL-SLA, respectively</w:t>
      </w:r>
      <w:r w:rsidR="005B41FE">
        <w:t xml:space="preserve">. </w:t>
      </w:r>
      <w:proofErr w:type="gramStart"/>
      <w:r>
        <w:t>In order to</w:t>
      </w:r>
      <w:proofErr w:type="gramEnd"/>
      <w:r>
        <w:t xml:space="preserve"> treat LCL, both sides were to meet severity criteria and be treated at the same visit.</w:t>
      </w:r>
    </w:p>
    <w:p w14:paraId="2EE267C3" w14:textId="5437B36D" w:rsidR="00D83A90" w:rsidRDefault="00D83A90" w:rsidP="004076B5">
      <w:pPr>
        <w:pStyle w:val="ListBullet"/>
      </w:pPr>
      <w:r>
        <w:t xml:space="preserve">there were no ongoing adverse </w:t>
      </w:r>
      <w:r w:rsidRPr="004076B5">
        <w:t>events</w:t>
      </w:r>
      <w:r>
        <w:t xml:space="preserve"> (AEs) assessed as related to the treatment, which could have excluded the subject from re-treatment.</w:t>
      </w:r>
    </w:p>
    <w:p w14:paraId="3EB36F4B" w14:textId="1934AE97" w:rsidR="00D83A90" w:rsidRDefault="00D83A90" w:rsidP="00090815">
      <w:pPr>
        <w:pStyle w:val="ListBullet"/>
      </w:pPr>
      <w:r>
        <w:t>the subject agreed to receive re-treatment.</w:t>
      </w:r>
    </w:p>
    <w:p w14:paraId="04C166B8" w14:textId="77777777" w:rsidR="00D83A90" w:rsidRDefault="00D83A90" w:rsidP="004076B5">
      <w:r>
        <w:t>Follow-up visits for treated subjects were conducted at Day 7 and Day 14 after each treatment. Follow-up visits that were not treatment-dependent were conducted at Week 4, 8, 12, 16, 20, 24, 28, 32, 36, 40, 44, 48, and 52.</w:t>
      </w:r>
    </w:p>
    <w:p w14:paraId="0A8E457D" w14:textId="0D85A788" w:rsidR="00D83A90" w:rsidRDefault="00D83A90" w:rsidP="004076B5">
      <w:r>
        <w:t>961 subjects were screened, 902 (93.9%) enrolled, and 416 (46.1%) completed to Week 52</w:t>
      </w:r>
      <w:r w:rsidR="005B41FE">
        <w:t xml:space="preserve">. </w:t>
      </w:r>
      <w:r>
        <w:t>Overall, 112 (12.4%) did not complete the study: 49 (5.4%) withdrew consent, 16 (1.8%) withdrew consent related to COVID-19, 36 (4.0%) were lost to follow-up, seven (0.8%) withdrew due to AEs and four (0.4%) for other reasons</w:t>
      </w:r>
      <w:r w:rsidR="005B41FE">
        <w:t xml:space="preserve">. </w:t>
      </w:r>
      <w:r>
        <w:t>There were 775 (85.9%) females, 127 (14.1%) males, and the age range was 20 to 81 years</w:t>
      </w:r>
      <w:r w:rsidR="005B41FE">
        <w:t xml:space="preserve">. </w:t>
      </w:r>
      <w:r>
        <w:t>There were 834 (92.5%) White subjects, 31 (3.4%) Black/African American and 17 (1.9%) Asian</w:t>
      </w:r>
      <w:r w:rsidR="005B41FE">
        <w:t xml:space="preserve">. </w:t>
      </w:r>
      <w:r>
        <w:t>440 (48.8%) subjects had prior botulinum toxin treatment</w:t>
      </w:r>
      <w:r w:rsidR="005B41FE">
        <w:t>.</w:t>
      </w:r>
    </w:p>
    <w:p w14:paraId="0F0C7912" w14:textId="46630828" w:rsidR="00D83A90" w:rsidRDefault="00D83A90" w:rsidP="004076B5">
      <w:r>
        <w:t>Responder rates over time based on GL-ILA (Figure 5), GL-SLA, LCL-ILA (Figure 6), and LCL-SLA generally showed similar response to Week 12 post-treatment with each treatment cycle</w:t>
      </w:r>
      <w:r w:rsidR="005B41FE">
        <w:t xml:space="preserve">. </w:t>
      </w:r>
      <w:r>
        <w:t>Treatment satisfaction as measured by FLTSQ was sustained for GL and LCL over each re-treatment cycle</w:t>
      </w:r>
      <w:r w:rsidR="005B41FE">
        <w:t xml:space="preserve">. </w:t>
      </w:r>
      <w:r>
        <w:t>The responder rate as assessed by the 7-Point Global Aesthetic Improvement Scale was similar across the re-treatment cycles.</w:t>
      </w:r>
    </w:p>
    <w:p w14:paraId="6C8D64E7" w14:textId="6F3816C9" w:rsidR="00D83A90" w:rsidRDefault="00D83A90" w:rsidP="004076B5">
      <w:pPr>
        <w:pStyle w:val="FigureTitle"/>
      </w:pPr>
      <w:r>
        <w:lastRenderedPageBreak/>
        <w:t>Figure 5</w:t>
      </w:r>
      <w:r w:rsidR="00B3518C">
        <w:t>:</w:t>
      </w:r>
      <w:r>
        <w:t xml:space="preserve"> Responder Rates Over Time </w:t>
      </w:r>
      <w:r w:rsidRPr="004076B5">
        <w:t>Using</w:t>
      </w:r>
      <w:r>
        <w:t xml:space="preserve"> the GL-ILA 4-Point Photographic Scale at Maximum Frown (Achieved a Score of 0 or 1) (FAS Population)</w:t>
      </w:r>
    </w:p>
    <w:p w14:paraId="0764E90F" w14:textId="471EAFAA" w:rsidR="00D83A90" w:rsidRDefault="0033728D" w:rsidP="00D83A90">
      <w:r>
        <w:rPr>
          <w:noProof/>
        </w:rPr>
        <w:drawing>
          <wp:inline distT="0" distB="0" distL="0" distR="0" wp14:anchorId="6AB58801" wp14:editId="42042940">
            <wp:extent cx="5669240" cy="3593989"/>
            <wp:effectExtent l="0" t="0" r="8255" b="6985"/>
            <wp:docPr id="8" name="Picture 8" descr="Figure 5: Responder Rates Over Time Using the GL-ILA 4-Point Photographic Scale at Maximum Frown (Achieved a Score of 0 or 1) (FAS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5: Responder Rates Over Time Using the GL-ILA 4-Point Photographic Scale at Maximum Frown (Achieved a Score of 0 or 1) (FAS Population)"/>
                    <pic:cNvPicPr/>
                  </pic:nvPicPr>
                  <pic:blipFill>
                    <a:blip r:embed="rId32"/>
                    <a:stretch>
                      <a:fillRect/>
                    </a:stretch>
                  </pic:blipFill>
                  <pic:spPr>
                    <a:xfrm>
                      <a:off x="0" y="0"/>
                      <a:ext cx="5755165" cy="3648461"/>
                    </a:xfrm>
                    <a:prstGeom prst="rect">
                      <a:avLst/>
                    </a:prstGeom>
                  </pic:spPr>
                </pic:pic>
              </a:graphicData>
            </a:graphic>
          </wp:inline>
        </w:drawing>
      </w:r>
    </w:p>
    <w:p w14:paraId="454D90BB" w14:textId="756CEFCA" w:rsidR="00D83A90" w:rsidRDefault="00D83A90" w:rsidP="004076B5">
      <w:pPr>
        <w:pStyle w:val="FigureTitle"/>
      </w:pPr>
      <w:r>
        <w:t>Figure 6</w:t>
      </w:r>
      <w:r w:rsidR="00B3518C">
        <w:t>:</w:t>
      </w:r>
      <w:r>
        <w:t xml:space="preserve"> Responder </w:t>
      </w:r>
      <w:r w:rsidRPr="004076B5">
        <w:t>Rates</w:t>
      </w:r>
      <w:r>
        <w:t xml:space="preserve"> Over Time Using the LCL-ILA 4-Point Photographic Scale at Maximum Smile (Achieved a Score of 0 or 1) (FAS Population)</w:t>
      </w:r>
    </w:p>
    <w:p w14:paraId="6E97059D" w14:textId="32BF4A4D" w:rsidR="00E67940" w:rsidRDefault="00E67940" w:rsidP="004076B5">
      <w:r>
        <w:rPr>
          <w:noProof/>
        </w:rPr>
        <w:drawing>
          <wp:inline distT="0" distB="0" distL="0" distR="0" wp14:anchorId="6F9245F5" wp14:editId="7C8E2C92">
            <wp:extent cx="5769341" cy="3490623"/>
            <wp:effectExtent l="0" t="0" r="3175" b="0"/>
            <wp:docPr id="9" name="Picture 9" descr="Figure 6: Responder Rates Over Time Using the LCL-ILA 4-Point Photographic Scale at Maximum Smile (Achieved a Score of 0 or 1) (FAS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6: Responder Rates Over Time Using the LCL-ILA 4-Point Photographic Scale at Maximum Smile (Achieved a Score of 0 or 1) (FAS Population)"/>
                    <pic:cNvPicPr/>
                  </pic:nvPicPr>
                  <pic:blipFill>
                    <a:blip r:embed="rId33"/>
                    <a:stretch>
                      <a:fillRect/>
                    </a:stretch>
                  </pic:blipFill>
                  <pic:spPr>
                    <a:xfrm>
                      <a:off x="0" y="0"/>
                      <a:ext cx="5843729" cy="3535630"/>
                    </a:xfrm>
                    <a:prstGeom prst="rect">
                      <a:avLst/>
                    </a:prstGeom>
                  </pic:spPr>
                </pic:pic>
              </a:graphicData>
            </a:graphic>
          </wp:inline>
        </w:drawing>
      </w:r>
    </w:p>
    <w:p w14:paraId="29561974" w14:textId="77777777" w:rsidR="00D83A90" w:rsidRDefault="00D83A90" w:rsidP="004076B5">
      <w:pPr>
        <w:pStyle w:val="Heading4"/>
      </w:pPr>
      <w:bookmarkStart w:id="40" w:name="_Toc205297316"/>
      <w:r w:rsidRPr="004076B5">
        <w:t>Safety</w:t>
      </w:r>
      <w:bookmarkEnd w:id="40"/>
    </w:p>
    <w:p w14:paraId="671B47C3" w14:textId="69E74C64" w:rsidR="00D83A90" w:rsidRDefault="00D83A90" w:rsidP="004076B5">
      <w:r>
        <w:t>The clinical development program for GL and LCL included 2059 unique subjects who received at least one treatment with RBTA of any dose (10 units to 140 units), including 1844 unique subjects who received RBTA 50 units or greater</w:t>
      </w:r>
      <w:r w:rsidR="005B41FE">
        <w:t xml:space="preserve">. </w:t>
      </w:r>
      <w:r>
        <w:t>Of these, 1394 were followed up for 6 months and 529 for 9 months</w:t>
      </w:r>
      <w:r w:rsidR="005B41FE">
        <w:t xml:space="preserve">. </w:t>
      </w:r>
      <w:r>
        <w:t>In the 5 double-blind, placebo-controlled studies, a total of 1220 (1218 unique) subjects have been treated including 945 (943 unique) subjects with RBTA and 275 subjects with placebo.</w:t>
      </w:r>
    </w:p>
    <w:p w14:paraId="1C9CEEC4" w14:textId="4554C4CA" w:rsidR="00D83A90" w:rsidRDefault="00D83A90" w:rsidP="004076B5">
      <w:r>
        <w:t xml:space="preserve">In the 50 U or Greater Placebo-Controlled Pool, 28.54% of RBTA subjects and 26.97% of placebo subjects experienced at least one </w:t>
      </w:r>
      <w:r w:rsidR="000B6025">
        <w:t>treatment-emergent adverse event (</w:t>
      </w:r>
      <w:r>
        <w:t>TEAE</w:t>
      </w:r>
      <w:r w:rsidR="000B6025">
        <w:t>)</w:t>
      </w:r>
      <w:r>
        <w:t xml:space="preserve">, and there were no TEAEs leading to discontinuation (Table </w:t>
      </w:r>
      <w:r w:rsidR="00426C09">
        <w:t>4</w:t>
      </w:r>
      <w:r>
        <w:t>)</w:t>
      </w:r>
      <w:r w:rsidR="005B41FE">
        <w:t xml:space="preserve">. </w:t>
      </w:r>
      <w:r>
        <w:t>Treatment-related TEAEs were reported more frequently in the RBTA group compared to placebo overall (12.24% of RBTA subjects vs 8.04% of placebo subjects) and in the GL only treatment pool (15.56% of RBTA subjects vs 7.55% of placebo subjects)</w:t>
      </w:r>
      <w:r w:rsidR="005B41FE">
        <w:t>.</w:t>
      </w:r>
    </w:p>
    <w:p w14:paraId="4B809065" w14:textId="6E98D4CA" w:rsidR="00D83A90" w:rsidRDefault="00D83A90" w:rsidP="004076B5">
      <w:r>
        <w:t xml:space="preserve">TEAEs by </w:t>
      </w:r>
      <w:r w:rsidR="008F4462">
        <w:t>system organ class</w:t>
      </w:r>
      <w:r>
        <w:t xml:space="preserve"> and PT in the 50 U or </w:t>
      </w:r>
      <w:r w:rsidR="009457A1">
        <w:t xml:space="preserve">greater </w:t>
      </w:r>
      <w:r>
        <w:t xml:space="preserve">Placebo-Controlled Pool are summarised in Table </w:t>
      </w:r>
      <w:r w:rsidR="00426C09">
        <w:t>5</w:t>
      </w:r>
      <w:r w:rsidR="005B41FE">
        <w:t xml:space="preserve">. </w:t>
      </w:r>
      <w:r>
        <w:t>The most frequently reported TEAE was headache (5.09% RBTA vs 3.15% placebo)</w:t>
      </w:r>
      <w:r w:rsidR="005B41FE">
        <w:t xml:space="preserve">. </w:t>
      </w:r>
      <w:r>
        <w:t>Eyelid ptosis was reported in 15 (1.73%) subjects in the RBTA group and none in the placebo group</w:t>
      </w:r>
      <w:r w:rsidR="005B41FE">
        <w:t xml:space="preserve">. </w:t>
      </w:r>
      <w:r>
        <w:t>Vision blurred was reported in 3 (0.34%) subjects in the RBTA group and none in the placebo group</w:t>
      </w:r>
      <w:r w:rsidR="005B41FE">
        <w:t xml:space="preserve">. </w:t>
      </w:r>
      <w:r>
        <w:t>In the 50 U or Greater Placebo-Controlled Pool, 1.19% of RBTA subjects and 1.25% of placebo subjects experienced at least one serious TEAE, and there were no deaths</w:t>
      </w:r>
      <w:r w:rsidR="005B41FE">
        <w:t xml:space="preserve">. </w:t>
      </w:r>
      <w:r>
        <w:t>In Study 43QM1903, there was one death from suicide on Day 55 which was not considered to be related to study drug.</w:t>
      </w:r>
    </w:p>
    <w:p w14:paraId="1E305F91" w14:textId="470BBF43" w:rsidR="00D83A90" w:rsidRDefault="00D83A90" w:rsidP="004076B5">
      <w:pPr>
        <w:pStyle w:val="TableTitle"/>
      </w:pPr>
      <w:r>
        <w:t xml:space="preserve">Table </w:t>
      </w:r>
      <w:r w:rsidR="00426C09">
        <w:t>4</w:t>
      </w:r>
      <w:r w:rsidR="00987E51">
        <w:t>:</w:t>
      </w:r>
      <w:r>
        <w:t xml:space="preserve"> Overall </w:t>
      </w:r>
      <w:r w:rsidRPr="004076B5">
        <w:t>Summary</w:t>
      </w:r>
      <w:r>
        <w:t xml:space="preserve"> of TEAEs (50 U or Greater Placebo-</w:t>
      </w:r>
      <w:r w:rsidRPr="004076B5">
        <w:t>Controlled</w:t>
      </w:r>
      <w:r>
        <w:t xml:space="preserve"> Pool – Safety Population)</w:t>
      </w:r>
    </w:p>
    <w:p w14:paraId="600708C7" w14:textId="08E8A345" w:rsidR="00987E51" w:rsidRDefault="00987E51" w:rsidP="004076B5">
      <w:r>
        <w:rPr>
          <w:noProof/>
        </w:rPr>
        <w:drawing>
          <wp:inline distT="0" distB="0" distL="0" distR="0" wp14:anchorId="5FCC53E6" wp14:editId="54FD7637">
            <wp:extent cx="5701234" cy="2162755"/>
            <wp:effectExtent l="0" t="0" r="0" b="9525"/>
            <wp:docPr id="14" name="Picture 14" descr="Table 4: Overall Summary of TEAEs (50 U or Greater Placebo-Controlled Pool –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 4: Overall Summary of TEAEs (50 U or Greater Placebo-Controlled Pool – Safety Population)"/>
                    <pic:cNvPicPr/>
                  </pic:nvPicPr>
                  <pic:blipFill>
                    <a:blip r:embed="rId34"/>
                    <a:stretch>
                      <a:fillRect/>
                    </a:stretch>
                  </pic:blipFill>
                  <pic:spPr>
                    <a:xfrm>
                      <a:off x="0" y="0"/>
                      <a:ext cx="5716878" cy="2168690"/>
                    </a:xfrm>
                    <a:prstGeom prst="rect">
                      <a:avLst/>
                    </a:prstGeom>
                  </pic:spPr>
                </pic:pic>
              </a:graphicData>
            </a:graphic>
          </wp:inline>
        </w:drawing>
      </w:r>
    </w:p>
    <w:p w14:paraId="62B88DC2" w14:textId="4E4A57F1" w:rsidR="00D83A90" w:rsidRDefault="00D83A90" w:rsidP="004076B5">
      <w:pPr>
        <w:pStyle w:val="TableTitle"/>
      </w:pPr>
      <w:r>
        <w:t xml:space="preserve">Table </w:t>
      </w:r>
      <w:r w:rsidR="00426C09">
        <w:t>5</w:t>
      </w:r>
      <w:r w:rsidR="00B3518C">
        <w:t>:</w:t>
      </w:r>
      <w:r>
        <w:t xml:space="preserve"> TEAEs </w:t>
      </w:r>
      <w:r w:rsidRPr="004076B5">
        <w:t>Experienced</w:t>
      </w:r>
      <w:r>
        <w:t xml:space="preserve"> by ≥2.0% and at Least 2 Subjects in any Treatment Group by </w:t>
      </w:r>
      <w:r w:rsidR="008F4462">
        <w:t>System Organ Class</w:t>
      </w:r>
      <w:r>
        <w:t xml:space="preserve"> and PT (50 U or Greater Placebo-Controlled Pool – Safety Population)</w:t>
      </w:r>
    </w:p>
    <w:p w14:paraId="5D233174" w14:textId="6F2E628D" w:rsidR="00D83A90" w:rsidRDefault="0084768F" w:rsidP="004076B5">
      <w:r>
        <w:rPr>
          <w:noProof/>
        </w:rPr>
        <w:drawing>
          <wp:inline distT="0" distB="0" distL="0" distR="0" wp14:anchorId="6187A193" wp14:editId="676EB71A">
            <wp:extent cx="5770334" cy="2798859"/>
            <wp:effectExtent l="0" t="0" r="1905" b="1905"/>
            <wp:docPr id="2054485033" name="Picture 2054485033" descr="Table 5: TEAEs Experienced by ≥2.0% and at Least 2 Subjects in any Treatment Group by System Organ Class and PT (50 U or Greater Placebo-Controlled Pool –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85033" name="Picture 2054485033" descr="Table 5: TEAEs Experienced by ≥2.0% and at Least 2 Subjects in any Treatment Group by System Organ Class and PT (50 U or Greater Placebo-Controlled Pool – Safety Population)"/>
                    <pic:cNvPicPr/>
                  </pic:nvPicPr>
                  <pic:blipFill>
                    <a:blip r:embed="rId35"/>
                    <a:stretch>
                      <a:fillRect/>
                    </a:stretch>
                  </pic:blipFill>
                  <pic:spPr>
                    <a:xfrm>
                      <a:off x="0" y="0"/>
                      <a:ext cx="5794484" cy="2810573"/>
                    </a:xfrm>
                    <a:prstGeom prst="rect">
                      <a:avLst/>
                    </a:prstGeom>
                  </pic:spPr>
                </pic:pic>
              </a:graphicData>
            </a:graphic>
          </wp:inline>
        </w:drawing>
      </w:r>
    </w:p>
    <w:p w14:paraId="1DF7A8C3" w14:textId="7B23F2DB" w:rsidR="00D83A90" w:rsidRDefault="00D83A90" w:rsidP="004076B5">
      <w:r>
        <w:t>In the open-label, multiple-dose, long-term Study 43QM1903, 960 TEAEs were reported in 396 (43.9%) subjects</w:t>
      </w:r>
      <w:r w:rsidR="005B41FE">
        <w:t xml:space="preserve">. </w:t>
      </w:r>
      <w:r>
        <w:t>The rate of TEAEs was similar across the treatment cycles</w:t>
      </w:r>
      <w:r w:rsidR="005B41FE">
        <w:t xml:space="preserve">. </w:t>
      </w:r>
      <w:r>
        <w:t>The most frequently reported TEAEs were injection site pain in 65 (7.2%) subjects, injection site bruising in 59 (6.5%) subjects, and headache in 54 (6.0%) subjects</w:t>
      </w:r>
      <w:r w:rsidR="005B41FE">
        <w:t xml:space="preserve">. </w:t>
      </w:r>
      <w:r>
        <w:t>Eyelid ptosis was reported in seven (0.8%) subjects, urticaria in 4 (0.4%) subjects, dry eye in 3 (0.3%) subjects, and vision blurred in two (0.2%) subjects.</w:t>
      </w:r>
    </w:p>
    <w:p w14:paraId="4111FF08" w14:textId="77777777" w:rsidR="00D83A90" w:rsidRDefault="00D83A90" w:rsidP="004076B5">
      <w:r>
        <w:t>The safety evaluation did not identify concerns in relation to laboratory findings, serious skin reactions, ECG findings, and cardiovascular safety.</w:t>
      </w:r>
    </w:p>
    <w:p w14:paraId="6A71A69A" w14:textId="10980411" w:rsidR="00D83A90" w:rsidRDefault="00D83A90" w:rsidP="004076B5">
      <w:r>
        <w:t xml:space="preserve">The Integrated Analysis of Immunogenicity included 1919 subjects treated with RBTA and 265 with placebo. Antidrug antibodies </w:t>
      </w:r>
      <w:r w:rsidR="008F4462">
        <w:t xml:space="preserve">(ADAs) </w:t>
      </w:r>
      <w:r>
        <w:t>were detected in 23 (1.4%) subjects treated with RBTA and one (0.4%) treated with placebo</w:t>
      </w:r>
      <w:r w:rsidR="005B41FE">
        <w:t xml:space="preserve">. </w:t>
      </w:r>
      <w:r>
        <w:t>None of the ADA positive subjects had a severe or serious immune-related TEAE.</w:t>
      </w:r>
    </w:p>
    <w:p w14:paraId="24CA162E" w14:textId="77777777" w:rsidR="00D83A90" w:rsidRDefault="00D83A90" w:rsidP="004076B5">
      <w:r>
        <w:t>Patient reported outcomes, including GL-SLA score, LCL-SLA score, FLTSQ score, and FACE-Q Psychological Function Scale, were evaluated in the pivotal trials.</w:t>
      </w:r>
    </w:p>
    <w:p w14:paraId="77C1A997" w14:textId="73FA590E" w:rsidR="00D83A90" w:rsidRDefault="00D83A90" w:rsidP="004076B5">
      <w:pPr>
        <w:pStyle w:val="Heading3"/>
      </w:pPr>
      <w:bookmarkStart w:id="41" w:name="_Toc205297317"/>
      <w:r>
        <w:t>Risk Management Plan (RMP) evaluation</w:t>
      </w:r>
      <w:r w:rsidR="001C3CF1">
        <w:t xml:space="preserve"> </w:t>
      </w:r>
      <w:r w:rsidR="001C3CF1" w:rsidRPr="004076B5">
        <w:t>summary</w:t>
      </w:r>
      <w:bookmarkEnd w:id="41"/>
    </w:p>
    <w:p w14:paraId="5B93FF9D" w14:textId="7F7650A4" w:rsidR="00D83A90" w:rsidRDefault="00D83A90" w:rsidP="004076B5">
      <w:r>
        <w:t>The risk management plan for this application is presented in Core-RMP version 1.0 (dated 14 December 2022; DLP 20 July 2022) and Australian Specific Annex version 2.0 (dated 15 November 2023)</w:t>
      </w:r>
      <w:r w:rsidR="005B41FE">
        <w:t xml:space="preserve">. </w:t>
      </w:r>
      <w:r>
        <w:t xml:space="preserve">The summary of safety concerns is acceptable (Table </w:t>
      </w:r>
      <w:r w:rsidR="00426C09">
        <w:t>6</w:t>
      </w:r>
      <w:r>
        <w:t>)</w:t>
      </w:r>
      <w:r w:rsidR="005B41FE">
        <w:t xml:space="preserve">. </w:t>
      </w:r>
      <w:r>
        <w:t>The proposed pharmacovigilance and risk minimisation plans are consistent with registered botulinum toxin products.</w:t>
      </w:r>
    </w:p>
    <w:p w14:paraId="57C20A51" w14:textId="61E1B6C2" w:rsidR="00D83A90" w:rsidRDefault="00D83A90" w:rsidP="004076B5">
      <w:pPr>
        <w:pStyle w:val="TableTitle"/>
      </w:pPr>
      <w:r>
        <w:lastRenderedPageBreak/>
        <w:t xml:space="preserve">Table </w:t>
      </w:r>
      <w:r w:rsidR="00426C09">
        <w:t>6</w:t>
      </w:r>
      <w:r w:rsidR="0003028B">
        <w:t>:</w:t>
      </w:r>
      <w:r>
        <w:t xml:space="preserve"> Summary of Safety Concerns</w:t>
      </w:r>
    </w:p>
    <w:tbl>
      <w:tblPr>
        <w:tblStyle w:val="TableTGAblue2023"/>
        <w:tblW w:w="9067" w:type="dxa"/>
        <w:tblLayout w:type="fixed"/>
        <w:tblLook w:val="04A0" w:firstRow="1" w:lastRow="0" w:firstColumn="1" w:lastColumn="0" w:noHBand="0" w:noVBand="1"/>
      </w:tblPr>
      <w:tblGrid>
        <w:gridCol w:w="1615"/>
        <w:gridCol w:w="2349"/>
        <w:gridCol w:w="1134"/>
        <w:gridCol w:w="1418"/>
        <w:gridCol w:w="1134"/>
        <w:gridCol w:w="1417"/>
      </w:tblGrid>
      <w:tr w:rsidR="0003028B" w:rsidRPr="007A1992" w14:paraId="22DEA15E" w14:textId="77777777" w:rsidTr="0089152F">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964" w:type="dxa"/>
            <w:gridSpan w:val="2"/>
            <w:vMerge w:val="restart"/>
          </w:tcPr>
          <w:p w14:paraId="541D9DCC" w14:textId="77777777" w:rsidR="0003028B" w:rsidRPr="00127A74" w:rsidRDefault="0003028B" w:rsidP="0003028B">
            <w:pPr>
              <w:ind w:left="115"/>
            </w:pPr>
            <w:r w:rsidRPr="00127A74">
              <w:t>Summary of safety concerns</w:t>
            </w:r>
          </w:p>
        </w:tc>
        <w:tc>
          <w:tcPr>
            <w:tcW w:w="2552" w:type="dxa"/>
            <w:gridSpan w:val="2"/>
          </w:tcPr>
          <w:p w14:paraId="0F3B8908" w14:textId="77777777" w:rsidR="0003028B" w:rsidRPr="00127A74" w:rsidRDefault="0003028B" w:rsidP="0003028B">
            <w:pPr>
              <w:ind w:left="115"/>
              <w:cnfStyle w:val="100000000000" w:firstRow="1" w:lastRow="0" w:firstColumn="0" w:lastColumn="0" w:oddVBand="0" w:evenVBand="0" w:oddHBand="0" w:evenHBand="0" w:firstRowFirstColumn="0" w:firstRowLastColumn="0" w:lastRowFirstColumn="0" w:lastRowLastColumn="0"/>
            </w:pPr>
            <w:r w:rsidRPr="00127A74">
              <w:t>Pharmacovigilance</w:t>
            </w:r>
          </w:p>
        </w:tc>
        <w:tc>
          <w:tcPr>
            <w:tcW w:w="2551" w:type="dxa"/>
            <w:gridSpan w:val="2"/>
          </w:tcPr>
          <w:p w14:paraId="7A04BD49" w14:textId="77777777" w:rsidR="0003028B" w:rsidRPr="00127A74" w:rsidRDefault="0003028B" w:rsidP="0003028B">
            <w:pPr>
              <w:ind w:left="115"/>
              <w:cnfStyle w:val="100000000000" w:firstRow="1" w:lastRow="0" w:firstColumn="0" w:lastColumn="0" w:oddVBand="0" w:evenVBand="0" w:oddHBand="0" w:evenHBand="0" w:firstRowFirstColumn="0" w:firstRowLastColumn="0" w:lastRowFirstColumn="0" w:lastRowLastColumn="0"/>
            </w:pPr>
            <w:r w:rsidRPr="00127A74">
              <w:t>Risk minimisation</w:t>
            </w:r>
          </w:p>
        </w:tc>
      </w:tr>
      <w:tr w:rsidR="0003028B" w:rsidRPr="007A1992" w14:paraId="0C3E2DFA" w14:textId="77777777" w:rsidTr="0089152F">
        <w:trPr>
          <w:trHeight w:val="150"/>
        </w:trPr>
        <w:tc>
          <w:tcPr>
            <w:cnfStyle w:val="001000000000" w:firstRow="0" w:lastRow="0" w:firstColumn="1" w:lastColumn="0" w:oddVBand="0" w:evenVBand="0" w:oddHBand="0" w:evenHBand="0" w:firstRowFirstColumn="0" w:firstRowLastColumn="0" w:lastRowFirstColumn="0" w:lastRowLastColumn="0"/>
            <w:tcW w:w="3964" w:type="dxa"/>
            <w:gridSpan w:val="2"/>
            <w:vMerge/>
          </w:tcPr>
          <w:p w14:paraId="51E152C3" w14:textId="77777777" w:rsidR="0003028B" w:rsidRPr="00127A74" w:rsidRDefault="0003028B" w:rsidP="0003028B">
            <w:pPr>
              <w:keepNext/>
              <w:ind w:left="115"/>
            </w:pPr>
          </w:p>
        </w:tc>
        <w:tc>
          <w:tcPr>
            <w:tcW w:w="1134" w:type="dxa"/>
            <w:shd w:val="clear" w:color="auto" w:fill="DEEAF6"/>
          </w:tcPr>
          <w:p w14:paraId="4C30E4D8" w14:textId="77777777" w:rsidR="0003028B" w:rsidRPr="00127A74" w:rsidRDefault="0003028B" w:rsidP="0003028B">
            <w:pPr>
              <w:keepNext/>
              <w:ind w:left="115"/>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Routine</w:t>
            </w:r>
          </w:p>
        </w:tc>
        <w:tc>
          <w:tcPr>
            <w:tcW w:w="1418" w:type="dxa"/>
            <w:shd w:val="clear" w:color="auto" w:fill="DEEAF6"/>
          </w:tcPr>
          <w:p w14:paraId="0AC822CA" w14:textId="77777777" w:rsidR="0003028B" w:rsidRPr="00127A74" w:rsidRDefault="0003028B" w:rsidP="0003028B">
            <w:pPr>
              <w:keepNext/>
              <w:ind w:left="115"/>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Additional</w:t>
            </w:r>
          </w:p>
        </w:tc>
        <w:tc>
          <w:tcPr>
            <w:tcW w:w="1134" w:type="dxa"/>
            <w:shd w:val="clear" w:color="auto" w:fill="DEEAF6"/>
          </w:tcPr>
          <w:p w14:paraId="3AEB5D93" w14:textId="77777777" w:rsidR="0003028B" w:rsidRPr="00127A74" w:rsidRDefault="0003028B" w:rsidP="0003028B">
            <w:pPr>
              <w:keepNext/>
              <w:ind w:left="115"/>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Routine</w:t>
            </w:r>
          </w:p>
        </w:tc>
        <w:tc>
          <w:tcPr>
            <w:tcW w:w="1417" w:type="dxa"/>
            <w:shd w:val="clear" w:color="auto" w:fill="DEEAF6"/>
          </w:tcPr>
          <w:p w14:paraId="7271A119" w14:textId="77777777" w:rsidR="0003028B" w:rsidRPr="00127A74" w:rsidRDefault="0003028B" w:rsidP="0003028B">
            <w:pPr>
              <w:keepNext/>
              <w:ind w:left="115"/>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Additional</w:t>
            </w:r>
          </w:p>
        </w:tc>
      </w:tr>
      <w:tr w:rsidR="0003028B" w:rsidRPr="007A1992" w14:paraId="6473A214" w14:textId="77777777" w:rsidTr="00F03151">
        <w:trPr>
          <w:trHeight w:val="137"/>
        </w:trPr>
        <w:tc>
          <w:tcPr>
            <w:cnfStyle w:val="001000000000" w:firstRow="0" w:lastRow="0" w:firstColumn="1" w:lastColumn="0" w:oddVBand="0" w:evenVBand="0" w:oddHBand="0" w:evenHBand="0" w:firstRowFirstColumn="0" w:firstRowLastColumn="0" w:lastRowFirstColumn="0" w:lastRowLastColumn="0"/>
            <w:tcW w:w="1615" w:type="dxa"/>
          </w:tcPr>
          <w:p w14:paraId="487686E4" w14:textId="77777777" w:rsidR="0003028B" w:rsidRPr="00127A74" w:rsidRDefault="0003028B" w:rsidP="0003028B">
            <w:pPr>
              <w:keepNext/>
              <w:ind w:left="115"/>
              <w:rPr>
                <w:b/>
                <w:bCs/>
              </w:rPr>
            </w:pPr>
            <w:r w:rsidRPr="00127A74">
              <w:rPr>
                <w:b/>
                <w:bCs/>
              </w:rPr>
              <w:t>Important identified risks</w:t>
            </w:r>
          </w:p>
        </w:tc>
        <w:tc>
          <w:tcPr>
            <w:tcW w:w="2349" w:type="dxa"/>
          </w:tcPr>
          <w:p w14:paraId="0621C614" w14:textId="05247102" w:rsidR="0003028B" w:rsidRPr="00127A74" w:rsidRDefault="0003028B" w:rsidP="0003028B">
            <w:pPr>
              <w:keepNext/>
              <w:ind w:left="115"/>
              <w:cnfStyle w:val="000000000000" w:firstRow="0" w:lastRow="0" w:firstColumn="0" w:lastColumn="0" w:oddVBand="0" w:evenVBand="0" w:oddHBand="0" w:evenHBand="0" w:firstRowFirstColumn="0" w:firstRowLastColumn="0" w:lastRowFirstColumn="0" w:lastRowLastColumn="0"/>
            </w:pPr>
            <w:r>
              <w:t>None</w:t>
            </w:r>
          </w:p>
        </w:tc>
        <w:tc>
          <w:tcPr>
            <w:tcW w:w="1134" w:type="dxa"/>
          </w:tcPr>
          <w:p w14:paraId="58B89A4C" w14:textId="62100B41" w:rsidR="0003028B" w:rsidRPr="00127A74" w:rsidRDefault="0003028B" w:rsidP="0003028B">
            <w:pPr>
              <w:keepNext/>
              <w:ind w:left="115"/>
              <w:cnfStyle w:val="000000000000" w:firstRow="0" w:lastRow="0" w:firstColumn="0" w:lastColumn="0" w:oddVBand="0" w:evenVBand="0" w:oddHBand="0" w:evenHBand="0" w:firstRowFirstColumn="0" w:firstRowLastColumn="0" w:lastRowFirstColumn="0" w:lastRowLastColumn="0"/>
            </w:pPr>
            <w:r>
              <w:t>-</w:t>
            </w:r>
          </w:p>
        </w:tc>
        <w:tc>
          <w:tcPr>
            <w:tcW w:w="1418" w:type="dxa"/>
          </w:tcPr>
          <w:p w14:paraId="3D0435D1" w14:textId="1C8C98ED" w:rsidR="0003028B" w:rsidRPr="00127A74" w:rsidRDefault="0003028B" w:rsidP="0003028B">
            <w:pPr>
              <w:keepNext/>
              <w:ind w:left="115"/>
              <w:cnfStyle w:val="000000000000" w:firstRow="0" w:lastRow="0" w:firstColumn="0" w:lastColumn="0" w:oddVBand="0" w:evenVBand="0" w:oddHBand="0" w:evenHBand="0" w:firstRowFirstColumn="0" w:firstRowLastColumn="0" w:lastRowFirstColumn="0" w:lastRowLastColumn="0"/>
            </w:pPr>
            <w:r>
              <w:t>-</w:t>
            </w:r>
          </w:p>
        </w:tc>
        <w:tc>
          <w:tcPr>
            <w:tcW w:w="1134" w:type="dxa"/>
          </w:tcPr>
          <w:p w14:paraId="65917574" w14:textId="58D38D8B" w:rsidR="0003028B" w:rsidRPr="00127A74" w:rsidRDefault="0003028B" w:rsidP="0003028B">
            <w:pPr>
              <w:keepNext/>
              <w:ind w:left="115"/>
              <w:cnfStyle w:val="000000000000" w:firstRow="0" w:lastRow="0" w:firstColumn="0" w:lastColumn="0" w:oddVBand="0" w:evenVBand="0" w:oddHBand="0" w:evenHBand="0" w:firstRowFirstColumn="0" w:firstRowLastColumn="0" w:lastRowFirstColumn="0" w:lastRowLastColumn="0"/>
            </w:pPr>
            <w:r>
              <w:t>-</w:t>
            </w:r>
          </w:p>
        </w:tc>
        <w:tc>
          <w:tcPr>
            <w:tcW w:w="1417" w:type="dxa"/>
          </w:tcPr>
          <w:p w14:paraId="1853DDE0" w14:textId="46E9F858" w:rsidR="0003028B" w:rsidRPr="00127A74" w:rsidRDefault="0003028B" w:rsidP="0003028B">
            <w:pPr>
              <w:keepNext/>
              <w:ind w:left="115"/>
              <w:cnfStyle w:val="000000000000" w:firstRow="0" w:lastRow="0" w:firstColumn="0" w:lastColumn="0" w:oddVBand="0" w:evenVBand="0" w:oddHBand="0" w:evenHBand="0" w:firstRowFirstColumn="0" w:firstRowLastColumn="0" w:lastRowFirstColumn="0" w:lastRowLastColumn="0"/>
            </w:pPr>
            <w:r>
              <w:t>-</w:t>
            </w:r>
          </w:p>
        </w:tc>
      </w:tr>
      <w:tr w:rsidR="0003028B" w:rsidRPr="007A1992" w14:paraId="59374A85" w14:textId="77777777" w:rsidTr="00F03151">
        <w:trPr>
          <w:trHeight w:val="159"/>
        </w:trPr>
        <w:tc>
          <w:tcPr>
            <w:cnfStyle w:val="001000000000" w:firstRow="0" w:lastRow="0" w:firstColumn="1" w:lastColumn="0" w:oddVBand="0" w:evenVBand="0" w:oddHBand="0" w:evenHBand="0" w:firstRowFirstColumn="0" w:firstRowLastColumn="0" w:lastRowFirstColumn="0" w:lastRowLastColumn="0"/>
            <w:tcW w:w="1615" w:type="dxa"/>
            <w:vMerge w:val="restart"/>
          </w:tcPr>
          <w:p w14:paraId="7B892560" w14:textId="77777777" w:rsidR="0003028B" w:rsidRPr="00127A74" w:rsidRDefault="0003028B" w:rsidP="0003028B">
            <w:pPr>
              <w:keepNext/>
              <w:ind w:left="115"/>
              <w:rPr>
                <w:b/>
                <w:bCs/>
              </w:rPr>
            </w:pPr>
            <w:r w:rsidRPr="00127A74">
              <w:rPr>
                <w:b/>
                <w:bCs/>
              </w:rPr>
              <w:t>Important potential risks</w:t>
            </w:r>
          </w:p>
        </w:tc>
        <w:tc>
          <w:tcPr>
            <w:tcW w:w="2349" w:type="dxa"/>
          </w:tcPr>
          <w:p w14:paraId="576BC743" w14:textId="7E5B58E7" w:rsidR="0003028B" w:rsidRPr="00127A74" w:rsidRDefault="00331B63" w:rsidP="0003028B">
            <w:pPr>
              <w:keepNext/>
              <w:ind w:left="115"/>
              <w:cnfStyle w:val="000000000000" w:firstRow="0" w:lastRow="0" w:firstColumn="0" w:lastColumn="0" w:oddVBand="0" w:evenVBand="0" w:oddHBand="0" w:evenHBand="0" w:firstRowFirstColumn="0" w:firstRowLastColumn="0" w:lastRowFirstColumn="0" w:lastRowLastColumn="0"/>
            </w:pPr>
            <w:r>
              <w:t>Distant spread of toxin</w:t>
            </w:r>
          </w:p>
        </w:tc>
        <w:tc>
          <w:tcPr>
            <w:tcW w:w="1134" w:type="dxa"/>
          </w:tcPr>
          <w:p w14:paraId="5CC84B0D" w14:textId="2CD8CCBB"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8" w:type="dxa"/>
          </w:tcPr>
          <w:p w14:paraId="0AF41947" w14:textId="1844CFC3"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c>
          <w:tcPr>
            <w:tcW w:w="1134" w:type="dxa"/>
          </w:tcPr>
          <w:p w14:paraId="517A6D51" w14:textId="56138F91"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7" w:type="dxa"/>
          </w:tcPr>
          <w:p w14:paraId="60C0A2ED" w14:textId="20E0097A"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r>
      <w:tr w:rsidR="0003028B" w:rsidRPr="007A1992" w14:paraId="54EA5906" w14:textId="77777777" w:rsidTr="00F03151">
        <w:trPr>
          <w:trHeight w:val="122"/>
        </w:trPr>
        <w:tc>
          <w:tcPr>
            <w:cnfStyle w:val="001000000000" w:firstRow="0" w:lastRow="0" w:firstColumn="1" w:lastColumn="0" w:oddVBand="0" w:evenVBand="0" w:oddHBand="0" w:evenHBand="0" w:firstRowFirstColumn="0" w:firstRowLastColumn="0" w:lastRowFirstColumn="0" w:lastRowLastColumn="0"/>
            <w:tcW w:w="1615" w:type="dxa"/>
            <w:vMerge/>
          </w:tcPr>
          <w:p w14:paraId="3932A3CA" w14:textId="77777777" w:rsidR="0003028B" w:rsidRPr="00127A74" w:rsidRDefault="0003028B" w:rsidP="0003028B">
            <w:pPr>
              <w:keepNext/>
              <w:ind w:left="115"/>
              <w:rPr>
                <w:b/>
                <w:bCs/>
              </w:rPr>
            </w:pPr>
          </w:p>
        </w:tc>
        <w:tc>
          <w:tcPr>
            <w:tcW w:w="2349" w:type="dxa"/>
          </w:tcPr>
          <w:p w14:paraId="66C23D32" w14:textId="1FA111C2" w:rsidR="0003028B" w:rsidRPr="00127A74" w:rsidRDefault="00331B63" w:rsidP="0003028B">
            <w:pPr>
              <w:keepNext/>
              <w:ind w:left="115"/>
              <w:cnfStyle w:val="000000000000" w:firstRow="0" w:lastRow="0" w:firstColumn="0" w:lastColumn="0" w:oddVBand="0" w:evenVBand="0" w:oddHBand="0" w:evenHBand="0" w:firstRowFirstColumn="0" w:firstRowLastColumn="0" w:lastRowFirstColumn="0" w:lastRowLastColumn="0"/>
            </w:pPr>
            <w:r>
              <w:t>Hypersensitivity</w:t>
            </w:r>
          </w:p>
        </w:tc>
        <w:tc>
          <w:tcPr>
            <w:tcW w:w="1134" w:type="dxa"/>
          </w:tcPr>
          <w:p w14:paraId="44B28593" w14:textId="2A7161EC"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8" w:type="dxa"/>
          </w:tcPr>
          <w:p w14:paraId="0FBB2D26" w14:textId="22E332A6"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c>
          <w:tcPr>
            <w:tcW w:w="1134" w:type="dxa"/>
          </w:tcPr>
          <w:p w14:paraId="1ABFCEFE" w14:textId="477788F0"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7" w:type="dxa"/>
          </w:tcPr>
          <w:p w14:paraId="4B74A4FD" w14:textId="4DD8516E"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r>
      <w:tr w:rsidR="0003028B" w:rsidRPr="007A1992" w14:paraId="3E481BD9" w14:textId="77777777" w:rsidTr="00F03151">
        <w:trPr>
          <w:trHeight w:val="112"/>
        </w:trPr>
        <w:tc>
          <w:tcPr>
            <w:cnfStyle w:val="001000000000" w:firstRow="0" w:lastRow="0" w:firstColumn="1" w:lastColumn="0" w:oddVBand="0" w:evenVBand="0" w:oddHBand="0" w:evenHBand="0" w:firstRowFirstColumn="0" w:firstRowLastColumn="0" w:lastRowFirstColumn="0" w:lastRowLastColumn="0"/>
            <w:tcW w:w="1615" w:type="dxa"/>
            <w:vMerge/>
          </w:tcPr>
          <w:p w14:paraId="3D661039" w14:textId="77777777" w:rsidR="0003028B" w:rsidRPr="00127A74" w:rsidRDefault="0003028B" w:rsidP="0003028B">
            <w:pPr>
              <w:keepNext/>
              <w:ind w:left="115"/>
              <w:rPr>
                <w:b/>
                <w:bCs/>
              </w:rPr>
            </w:pPr>
          </w:p>
        </w:tc>
        <w:tc>
          <w:tcPr>
            <w:tcW w:w="2349" w:type="dxa"/>
          </w:tcPr>
          <w:p w14:paraId="0F893AC5" w14:textId="2B396317" w:rsidR="0003028B" w:rsidRPr="00127A74" w:rsidRDefault="008076FC" w:rsidP="0003028B">
            <w:pPr>
              <w:keepNext/>
              <w:ind w:left="115"/>
              <w:cnfStyle w:val="000000000000" w:firstRow="0" w:lastRow="0" w:firstColumn="0" w:lastColumn="0" w:oddVBand="0" w:evenVBand="0" w:oddHBand="0" w:evenHBand="0" w:firstRowFirstColumn="0" w:firstRowLastColumn="0" w:lastRowFirstColumn="0" w:lastRowLastColumn="0"/>
            </w:pPr>
            <w:r>
              <w:t>Exacerbation of pre-existing or subclinical neuromuscular disorders*</w:t>
            </w:r>
          </w:p>
        </w:tc>
        <w:tc>
          <w:tcPr>
            <w:tcW w:w="1134" w:type="dxa"/>
          </w:tcPr>
          <w:p w14:paraId="1EA045CD" w14:textId="5AC65939"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8" w:type="dxa"/>
          </w:tcPr>
          <w:p w14:paraId="05A27FBA" w14:textId="011AD6BC"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c>
          <w:tcPr>
            <w:tcW w:w="1134" w:type="dxa"/>
          </w:tcPr>
          <w:p w14:paraId="460AA32A" w14:textId="4FCD422B"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7" w:type="dxa"/>
          </w:tcPr>
          <w:p w14:paraId="21225CA0" w14:textId="7EB8C711"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r>
      <w:tr w:rsidR="0003028B" w:rsidRPr="007A1992" w14:paraId="0284384F" w14:textId="77777777" w:rsidTr="00F03151">
        <w:trPr>
          <w:trHeight w:val="178"/>
        </w:trPr>
        <w:tc>
          <w:tcPr>
            <w:cnfStyle w:val="001000000000" w:firstRow="0" w:lastRow="0" w:firstColumn="1" w:lastColumn="0" w:oddVBand="0" w:evenVBand="0" w:oddHBand="0" w:evenHBand="0" w:firstRowFirstColumn="0" w:firstRowLastColumn="0" w:lastRowFirstColumn="0" w:lastRowLastColumn="0"/>
            <w:tcW w:w="1615" w:type="dxa"/>
            <w:vMerge w:val="restart"/>
          </w:tcPr>
          <w:p w14:paraId="6F6136BC" w14:textId="77777777" w:rsidR="0003028B" w:rsidRPr="00127A74" w:rsidRDefault="0003028B" w:rsidP="0003028B">
            <w:pPr>
              <w:keepNext/>
              <w:ind w:left="115"/>
              <w:rPr>
                <w:b/>
                <w:bCs/>
              </w:rPr>
            </w:pPr>
            <w:r w:rsidRPr="00127A74">
              <w:rPr>
                <w:b/>
                <w:bCs/>
              </w:rPr>
              <w:t>Missing information</w:t>
            </w:r>
          </w:p>
        </w:tc>
        <w:tc>
          <w:tcPr>
            <w:tcW w:w="2349" w:type="dxa"/>
          </w:tcPr>
          <w:p w14:paraId="7F7DC181" w14:textId="49A3980B" w:rsidR="0003028B" w:rsidRPr="00127A74" w:rsidRDefault="008076FC" w:rsidP="0003028B">
            <w:pPr>
              <w:keepNext/>
              <w:ind w:left="115"/>
              <w:cnfStyle w:val="000000000000" w:firstRow="0" w:lastRow="0" w:firstColumn="0" w:lastColumn="0" w:oddVBand="0" w:evenVBand="0" w:oddHBand="0" w:evenHBand="0" w:firstRowFirstColumn="0" w:firstRowLastColumn="0" w:lastRowFirstColumn="0" w:lastRowLastColumn="0"/>
            </w:pPr>
            <w:r>
              <w:t>Use in pregnancy</w:t>
            </w:r>
            <w:r w:rsidR="00F03151">
              <w:t>*</w:t>
            </w:r>
          </w:p>
        </w:tc>
        <w:tc>
          <w:tcPr>
            <w:tcW w:w="1134" w:type="dxa"/>
          </w:tcPr>
          <w:p w14:paraId="167571C5" w14:textId="0659CC48"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8" w:type="dxa"/>
          </w:tcPr>
          <w:p w14:paraId="329A4871" w14:textId="7DACA842"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c>
          <w:tcPr>
            <w:tcW w:w="1134" w:type="dxa"/>
          </w:tcPr>
          <w:p w14:paraId="63D9E187" w14:textId="10704371"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7" w:type="dxa"/>
          </w:tcPr>
          <w:p w14:paraId="38ADE703" w14:textId="11B9DCC7"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r>
      <w:tr w:rsidR="0003028B" w:rsidRPr="007A1992" w14:paraId="5D63C3FF" w14:textId="77777777" w:rsidTr="00F03151">
        <w:trPr>
          <w:trHeight w:val="103"/>
        </w:trPr>
        <w:tc>
          <w:tcPr>
            <w:cnfStyle w:val="001000000000" w:firstRow="0" w:lastRow="0" w:firstColumn="1" w:lastColumn="0" w:oddVBand="0" w:evenVBand="0" w:oddHBand="0" w:evenHBand="0" w:firstRowFirstColumn="0" w:firstRowLastColumn="0" w:lastRowFirstColumn="0" w:lastRowLastColumn="0"/>
            <w:tcW w:w="1615" w:type="dxa"/>
            <w:vMerge/>
          </w:tcPr>
          <w:p w14:paraId="2570D67D" w14:textId="77777777" w:rsidR="0003028B" w:rsidRPr="00127A74" w:rsidRDefault="0003028B" w:rsidP="0003028B">
            <w:pPr>
              <w:keepNext/>
              <w:ind w:left="115"/>
            </w:pPr>
          </w:p>
        </w:tc>
        <w:tc>
          <w:tcPr>
            <w:tcW w:w="2349" w:type="dxa"/>
          </w:tcPr>
          <w:p w14:paraId="74E13E32" w14:textId="0C19822C"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Long-term use*</w:t>
            </w:r>
          </w:p>
        </w:tc>
        <w:tc>
          <w:tcPr>
            <w:tcW w:w="1134" w:type="dxa"/>
          </w:tcPr>
          <w:p w14:paraId="001BEB45" w14:textId="3DFEA133"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8" w:type="dxa"/>
          </w:tcPr>
          <w:p w14:paraId="4A1D6725" w14:textId="63BFF47F"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c>
          <w:tcPr>
            <w:tcW w:w="1134" w:type="dxa"/>
          </w:tcPr>
          <w:p w14:paraId="650ACF4E" w14:textId="3DD7F508"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sym w:font="Wingdings 2" w:char="F050"/>
            </w:r>
          </w:p>
        </w:tc>
        <w:tc>
          <w:tcPr>
            <w:tcW w:w="1417" w:type="dxa"/>
          </w:tcPr>
          <w:p w14:paraId="6ABFDBE5" w14:textId="22576CAD" w:rsidR="0003028B" w:rsidRPr="00127A74" w:rsidRDefault="00F03151" w:rsidP="0003028B">
            <w:pPr>
              <w:keepNext/>
              <w:ind w:left="115"/>
              <w:cnfStyle w:val="000000000000" w:firstRow="0" w:lastRow="0" w:firstColumn="0" w:lastColumn="0" w:oddVBand="0" w:evenVBand="0" w:oddHBand="0" w:evenHBand="0" w:firstRowFirstColumn="0" w:firstRowLastColumn="0" w:lastRowFirstColumn="0" w:lastRowLastColumn="0"/>
            </w:pPr>
            <w:r>
              <w:t>-</w:t>
            </w:r>
          </w:p>
        </w:tc>
      </w:tr>
    </w:tbl>
    <w:p w14:paraId="29D0B9DE" w14:textId="29383D12" w:rsidR="00D83A90" w:rsidRDefault="007E6B42" w:rsidP="004076B5">
      <w:pPr>
        <w:pStyle w:val="Heading3"/>
      </w:pPr>
      <w:bookmarkStart w:id="42" w:name="_Toc205297318"/>
      <w:r w:rsidRPr="007E6B42">
        <w:t xml:space="preserve">Risk-benefit </w:t>
      </w:r>
      <w:r w:rsidRPr="004076B5">
        <w:t>analysis</w:t>
      </w:r>
      <w:bookmarkEnd w:id="42"/>
    </w:p>
    <w:p w14:paraId="4777354B" w14:textId="77777777" w:rsidR="00D83A90" w:rsidRDefault="00D83A90" w:rsidP="004076B5">
      <w:pPr>
        <w:pStyle w:val="Heading4"/>
      </w:pPr>
      <w:bookmarkStart w:id="43" w:name="_Toc205297319"/>
      <w:r w:rsidRPr="004076B5">
        <w:t>Efficacy</w:t>
      </w:r>
      <w:bookmarkEnd w:id="43"/>
    </w:p>
    <w:p w14:paraId="43445F34" w14:textId="395C48A6" w:rsidR="00D83A90" w:rsidRDefault="00D83A90" w:rsidP="004076B5">
      <w:r>
        <w:t>The efficacy of RBTA was demonstrated in 3 pivotal studies: one in adults with moderate-to-severe GL (Study 43QM1602), one in adults with moderate-to-severe LCL (Study 43QM1901), and one in adults with moderate-to-severe GL and LCL (Study 43QM1902)</w:t>
      </w:r>
      <w:r w:rsidR="005B41FE">
        <w:t xml:space="preserve">. </w:t>
      </w:r>
      <w:r>
        <w:t>Study 43QM1902 evaluated the treatment of GL and LCL alone and in combination</w:t>
      </w:r>
      <w:r w:rsidR="005B41FE">
        <w:t xml:space="preserve">. </w:t>
      </w:r>
      <w:r>
        <w:t>The dosing regimens used in the pivotal studies were the same as proposed for registration</w:t>
      </w:r>
      <w:r w:rsidR="005B41FE">
        <w:t xml:space="preserve">. </w:t>
      </w:r>
      <w:r>
        <w:t>The studies used well-defined clinician-reported and patient-reported measures of efficacy</w:t>
      </w:r>
      <w:r w:rsidR="005B41FE">
        <w:t xml:space="preserve">. </w:t>
      </w:r>
      <w:r>
        <w:t xml:space="preserve">Across the pivotal studies, there were numerous protocol deviations relating to the COVID-19 pandemic, but the evaluation concluded that the efficacy findings were </w:t>
      </w:r>
      <w:proofErr w:type="gramStart"/>
      <w:r>
        <w:t>robust</w:t>
      </w:r>
      <w:proofErr w:type="gramEnd"/>
      <w:r>
        <w:t xml:space="preserve"> and the protocol deviations did not meaningfully detract from the efficacy conclusions.</w:t>
      </w:r>
    </w:p>
    <w:p w14:paraId="31052961" w14:textId="62CBE8B3" w:rsidR="00D83A90" w:rsidRDefault="00D83A90" w:rsidP="004076B5">
      <w:r>
        <w:t>The efficacy of 50 U RBTA for the treatment of moderate-to-severe GL was confirmed in Studies 43QM1602 and 43QM1902</w:t>
      </w:r>
      <w:r w:rsidR="005B41FE">
        <w:t xml:space="preserve">. </w:t>
      </w:r>
      <w:r>
        <w:t>In Study 43QM1602, the GL-ILA responder rate at Month 1 (primary endpoint) was 96.3% in the RBTA group compared to 4.5% in the placebo group, a treatment difference of 91.8% (95% CI 86.17, 97.44, p &lt;0.001)</w:t>
      </w:r>
      <w:r w:rsidR="005B41FE">
        <w:t xml:space="preserve">. </w:t>
      </w:r>
      <w:r>
        <w:t>The study also demonstrated improvements in patient-reported measures of treatment satisfaction and psychological impact</w:t>
      </w:r>
      <w:r w:rsidR="005B41FE">
        <w:t xml:space="preserve">. </w:t>
      </w:r>
      <w:r>
        <w:t>The onset of effect was 2 days post-treatment and lasted for up to ∼6 months.</w:t>
      </w:r>
    </w:p>
    <w:p w14:paraId="2E113FC3" w14:textId="44A0AAF9" w:rsidR="00D83A90" w:rsidRDefault="00D83A90" w:rsidP="00A568AA">
      <w:r>
        <w:t>The efficacy of 60 U RBTA for the treatment of moderate-to-severe LCL was confirmed in Studies 43QM1901 and 43QM1902</w:t>
      </w:r>
      <w:r w:rsidR="005B41FE">
        <w:t xml:space="preserve">. </w:t>
      </w:r>
      <w:r>
        <w:t>In Study 43QM1901, the LCL-ILA responder rate at Month 1 (primary endpoint) was 87.2% in the RBTA group compared to 11.9% in the placebo group, a treatment difference of 75.3% (95% CI 66.14, 84.41, p &lt;0.001)</w:t>
      </w:r>
      <w:r w:rsidR="005B41FE">
        <w:t xml:space="preserve">. </w:t>
      </w:r>
      <w:r>
        <w:t>The study also demonstrated improvements in patient-reported measures of treatment satisfaction and psychological impact</w:t>
      </w:r>
      <w:r w:rsidR="005B41FE">
        <w:t xml:space="preserve">. </w:t>
      </w:r>
      <w:r>
        <w:t>The onset of effect was 2 days post-treatment and lasted for up to ∼6 months.</w:t>
      </w:r>
    </w:p>
    <w:p w14:paraId="66C7E74A" w14:textId="59BAA4DF" w:rsidR="00D83A90" w:rsidRDefault="00D83A90" w:rsidP="00A568AA">
      <w:r>
        <w:t>Study 43QM1902 confirmed the superiority of RBTA versus placebo for moderate-to-severe GL and LCL when treated alone and in combination</w:t>
      </w:r>
      <w:r w:rsidR="005B41FE">
        <w:t>.</w:t>
      </w:r>
    </w:p>
    <w:p w14:paraId="1E00FEB7" w14:textId="0ED0C802" w:rsidR="00D83A90" w:rsidRDefault="00D83A90" w:rsidP="00A568AA">
      <w:r>
        <w:lastRenderedPageBreak/>
        <w:t>The open-label long-term safety and efficacy study, 43QM1903, supports the efficacy of repeat treatments for GL and LCL over the course of one year</w:t>
      </w:r>
      <w:r w:rsidR="005B41FE">
        <w:t xml:space="preserve">. </w:t>
      </w:r>
      <w:r>
        <w:t xml:space="preserve">Although the study was </w:t>
      </w:r>
      <w:proofErr w:type="gramStart"/>
      <w:r>
        <w:t>open-label</w:t>
      </w:r>
      <w:proofErr w:type="gramEnd"/>
      <w:r>
        <w:t>, the outcome measures were objective and sufficiently sensitive to demonstrate the treatment benefit</w:t>
      </w:r>
      <w:r w:rsidR="005B41FE">
        <w:t xml:space="preserve">. </w:t>
      </w:r>
      <w:r>
        <w:t>Similar treatment effects were observed following each subsequent treatment (up to 4 treatment cycles over the course of 12 months), and subject satisfaction was found to be sustained</w:t>
      </w:r>
      <w:r w:rsidR="005B41FE">
        <w:t>.</w:t>
      </w:r>
    </w:p>
    <w:p w14:paraId="27387D7C" w14:textId="77777777" w:rsidR="00D83A90" w:rsidRDefault="00D83A90" w:rsidP="00A568AA">
      <w:pPr>
        <w:pStyle w:val="Heading4"/>
      </w:pPr>
      <w:bookmarkStart w:id="44" w:name="_Toc205297320"/>
      <w:r w:rsidRPr="00A568AA">
        <w:t>Safety</w:t>
      </w:r>
      <w:bookmarkEnd w:id="44"/>
    </w:p>
    <w:p w14:paraId="3D32D111" w14:textId="280E5C96" w:rsidR="00D83A90" w:rsidRDefault="00D83A90" w:rsidP="00A568AA">
      <w:r>
        <w:t xml:space="preserve">The safety profile of RBTA in the clinical trial program was consistent with the known safety profile of other </w:t>
      </w:r>
      <w:proofErr w:type="spellStart"/>
      <w:r>
        <w:t>botulinumtoxinA</w:t>
      </w:r>
      <w:proofErr w:type="spellEnd"/>
      <w:r>
        <w:t xml:space="preserve"> products.</w:t>
      </w:r>
    </w:p>
    <w:p w14:paraId="618B5CE7" w14:textId="6C4C241A" w:rsidR="00D83A90" w:rsidRDefault="00D83A90" w:rsidP="00A568AA">
      <w:r>
        <w:t>Overall, TEAEs were reported slightly more frequently in subjects treated with RBTA (28.54%) compared to placebo (26.97%)</w:t>
      </w:r>
      <w:r w:rsidR="005B41FE">
        <w:t xml:space="preserve">. </w:t>
      </w:r>
      <w:r>
        <w:t>There were few serious TEAEs, and these occurred at a similar rate for RBTA (1.19%) and placebo (1.25%)</w:t>
      </w:r>
      <w:r w:rsidR="005B41FE">
        <w:t xml:space="preserve">. </w:t>
      </w:r>
      <w:r>
        <w:t>The most frequently reported TEAEs with RBTA were headache (5.09% RBTA vs 3.15% placebo), injection site pain (2.90% RBTA vs 3.24% placebo), and injection site bruising (2.46% RBTA vs 1.85% placebo)</w:t>
      </w:r>
      <w:r w:rsidR="005B41FE">
        <w:t xml:space="preserve">. </w:t>
      </w:r>
      <w:r>
        <w:t>Eyelid ptosis was reported in 15 (1.73%) subjects in the RBTA group and none in the placebo group, and vision blurred was reported in 3 (0.34%) subjects in the RBTA group and none in the placebo group</w:t>
      </w:r>
      <w:r w:rsidR="005B41FE">
        <w:t xml:space="preserve">. </w:t>
      </w:r>
      <w:r>
        <w:t>Headache and eyelid ptosis were mostly reported after treatment for GL rather than LCL.</w:t>
      </w:r>
    </w:p>
    <w:p w14:paraId="3A78010E" w14:textId="12CFC066" w:rsidR="00D83A90" w:rsidRDefault="00D83A90" w:rsidP="00A568AA">
      <w:r>
        <w:t>Overall, the safety of RELFYDESS has been adequately characterised, though long-term safety data are limited</w:t>
      </w:r>
      <w:r w:rsidR="008F4462">
        <w:t>,</w:t>
      </w:r>
      <w:r>
        <w:t xml:space="preserve"> as the longest duration of treatment in the clinical development program was up to four treatment episodes over 12 months</w:t>
      </w:r>
      <w:r w:rsidR="005B41FE">
        <w:t>.</w:t>
      </w:r>
    </w:p>
    <w:p w14:paraId="4FF077C0" w14:textId="77777777" w:rsidR="00D83A90" w:rsidRDefault="00D83A90" w:rsidP="00A568AA">
      <w:pPr>
        <w:pStyle w:val="Heading4"/>
      </w:pPr>
      <w:bookmarkStart w:id="45" w:name="_Toc205297321"/>
      <w:r w:rsidRPr="00A568AA">
        <w:t>Uncertainties</w:t>
      </w:r>
      <w:r>
        <w:t xml:space="preserve"> and limitations of the data</w:t>
      </w:r>
      <w:bookmarkEnd w:id="45"/>
    </w:p>
    <w:p w14:paraId="572EE06F" w14:textId="20323A0B" w:rsidR="00D83A90" w:rsidRDefault="00D83A90" w:rsidP="00A568AA">
      <w:r>
        <w:t>Evidence of efficacy and safety of RELFYDESS is based on comparisons with placebo that indicate a high level of efficacy and acceptable safety profile</w:t>
      </w:r>
      <w:r w:rsidR="005B41FE">
        <w:t xml:space="preserve">. </w:t>
      </w:r>
      <w:r>
        <w:t xml:space="preserve">There are no data directly comparing the efficacy and safety of </w:t>
      </w:r>
      <w:proofErr w:type="spellStart"/>
      <w:r>
        <w:t>relabotulinumtoxinA</w:t>
      </w:r>
      <w:proofErr w:type="spellEnd"/>
      <w:r>
        <w:t xml:space="preserve"> to an active comparator, but the observed treatment effect versus placebo is considered adequate to establish efficacy.</w:t>
      </w:r>
    </w:p>
    <w:p w14:paraId="3C64DA71" w14:textId="2DADCD2A" w:rsidR="00D83A90" w:rsidRDefault="00D83A90" w:rsidP="00A568AA">
      <w:r>
        <w:t>Efficacy and safety beyond 12 months have not been evaluated in the clinical development program</w:t>
      </w:r>
      <w:r w:rsidR="005B41FE">
        <w:t>.</w:t>
      </w:r>
    </w:p>
    <w:p w14:paraId="307F236C" w14:textId="5BA0D35D" w:rsidR="00C22214" w:rsidRPr="002E238E" w:rsidRDefault="0046285C" w:rsidP="00A568AA">
      <w:pPr>
        <w:pStyle w:val="Heading2"/>
      </w:pPr>
      <w:bookmarkStart w:id="46" w:name="_Toc247691532"/>
      <w:bookmarkStart w:id="47" w:name="_Toc314842516"/>
      <w:bookmarkStart w:id="48" w:name="_Toc103679300"/>
      <w:bookmarkStart w:id="49" w:name="_Toc205297322"/>
      <w:bookmarkEnd w:id="37"/>
      <w:r w:rsidRPr="00A568AA">
        <w:t>Assessment</w:t>
      </w:r>
      <w:r w:rsidR="00190853">
        <w:t xml:space="preserve"> </w:t>
      </w:r>
      <w:r>
        <w:t>o</w:t>
      </w:r>
      <w:r w:rsidR="00C22214">
        <w:t>utcome</w:t>
      </w:r>
      <w:bookmarkEnd w:id="46"/>
      <w:bookmarkEnd w:id="47"/>
      <w:bookmarkEnd w:id="48"/>
      <w:bookmarkEnd w:id="49"/>
    </w:p>
    <w:p w14:paraId="4EF22939" w14:textId="11362FB8" w:rsidR="00C22214" w:rsidRDefault="00C22214" w:rsidP="00A568AA">
      <w:r w:rsidRPr="0017005C">
        <w:t xml:space="preserve">Based on a review of quality, safety, and efficacy, the TGA </w:t>
      </w:r>
      <w:r w:rsidR="00B46DFB">
        <w:t>decided to</w:t>
      </w:r>
      <w:r w:rsidRPr="0017005C">
        <w:t xml:space="preserve"> regist</w:t>
      </w:r>
      <w:r w:rsidR="00B46DFB">
        <w:t>er</w:t>
      </w:r>
      <w:r w:rsidRPr="0017005C">
        <w:t xml:space="preserve"> </w:t>
      </w:r>
      <w:r w:rsidR="006A0F39" w:rsidRPr="006A0F39">
        <w:t xml:space="preserve">RELFYDESS - </w:t>
      </w:r>
      <w:proofErr w:type="spellStart"/>
      <w:r w:rsidR="006A0F39" w:rsidRPr="006A0F39">
        <w:t>relabotulinumtoxinA</w:t>
      </w:r>
      <w:proofErr w:type="spellEnd"/>
      <w:r w:rsidRPr="0017005C">
        <w:t xml:space="preserve"> for the following indication</w:t>
      </w:r>
      <w:r w:rsidR="00D23D3E">
        <w:t>:</w:t>
      </w:r>
    </w:p>
    <w:p w14:paraId="76742E56" w14:textId="073104EA" w:rsidR="006A447D" w:rsidRPr="00A568AA" w:rsidRDefault="006A447D" w:rsidP="00A568AA">
      <w:pPr>
        <w:ind w:left="720"/>
        <w:rPr>
          <w:i/>
          <w:iCs/>
        </w:rPr>
      </w:pPr>
      <w:r w:rsidRPr="00A568AA">
        <w:rPr>
          <w:i/>
          <w:iCs/>
        </w:rPr>
        <w:t>RELFYDESS is indicated in adult patients for the temporary improvement in the appearance of:</w:t>
      </w:r>
    </w:p>
    <w:p w14:paraId="62227F71" w14:textId="27915FD0" w:rsidR="006A447D" w:rsidRPr="00A568AA" w:rsidRDefault="006A447D" w:rsidP="00A568AA">
      <w:pPr>
        <w:pStyle w:val="ListBullet3"/>
        <w:rPr>
          <w:i/>
          <w:iCs/>
        </w:rPr>
      </w:pPr>
      <w:r w:rsidRPr="00A568AA">
        <w:rPr>
          <w:i/>
          <w:iCs/>
        </w:rPr>
        <w:t>Moderate to severe glabellar lines at maximum frown</w:t>
      </w:r>
    </w:p>
    <w:p w14:paraId="29EC2D60" w14:textId="02045A02" w:rsidR="006A447D" w:rsidRPr="00A568AA" w:rsidRDefault="006A447D" w:rsidP="00A568AA">
      <w:pPr>
        <w:pStyle w:val="ListBullet3"/>
        <w:rPr>
          <w:i/>
          <w:iCs/>
        </w:rPr>
      </w:pPr>
      <w:r w:rsidRPr="00A568AA">
        <w:rPr>
          <w:i/>
          <w:iCs/>
        </w:rPr>
        <w:t>Moderate to severe lateral canthal lines seen at maximum smile</w:t>
      </w:r>
      <w:r w:rsidR="00A568AA">
        <w:rPr>
          <w:i/>
          <w:iCs/>
        </w:rPr>
        <w:t>.</w:t>
      </w:r>
    </w:p>
    <w:p w14:paraId="0D732DA4" w14:textId="66A74127" w:rsidR="00854D98" w:rsidRPr="00D23139" w:rsidRDefault="00854D98" w:rsidP="00A568AA">
      <w:pPr>
        <w:pStyle w:val="Heading4"/>
      </w:pPr>
      <w:bookmarkStart w:id="50" w:name="_Toc103679301"/>
      <w:bookmarkStart w:id="51" w:name="_Toc205297323"/>
      <w:r w:rsidRPr="00D23139">
        <w:t xml:space="preserve">Specific </w:t>
      </w:r>
      <w:r w:rsidRPr="00A568AA">
        <w:t>conditions</w:t>
      </w:r>
      <w:r w:rsidRPr="00D23139">
        <w:t xml:space="preserve"> of registration</w:t>
      </w:r>
      <w:bookmarkEnd w:id="50"/>
      <w:bookmarkEnd w:id="51"/>
    </w:p>
    <w:p w14:paraId="6184A98F" w14:textId="08DA569C" w:rsidR="006C787B" w:rsidRPr="006C787B" w:rsidRDefault="006C787B" w:rsidP="00A568AA">
      <w:r w:rsidRPr="006C787B">
        <w:t xml:space="preserve">RELFYDESS </w:t>
      </w:r>
      <w:proofErr w:type="spellStart"/>
      <w:r w:rsidRPr="006C787B">
        <w:t>relabotulinumtoxinA</w:t>
      </w:r>
      <w:proofErr w:type="spellEnd"/>
      <w:r w:rsidRPr="006C787B">
        <w:t xml:space="preserve"> is to be included in the Black Triangle Scheme. The PI</w:t>
      </w:r>
      <w:r>
        <w:t xml:space="preserve"> </w:t>
      </w:r>
      <w:r w:rsidRPr="006C787B">
        <w:t>and CMI for RELFYDESS must include the black triangle symbol and mandatory</w:t>
      </w:r>
      <w:r>
        <w:t xml:space="preserve"> </w:t>
      </w:r>
      <w:r w:rsidRPr="006C787B">
        <w:t>accompanying text for five years, which starts from the date that the sponsor notifies</w:t>
      </w:r>
      <w:r>
        <w:t xml:space="preserve"> </w:t>
      </w:r>
      <w:r w:rsidRPr="006C787B">
        <w:t>the TGA of supply of the product.</w:t>
      </w:r>
    </w:p>
    <w:p w14:paraId="6B01F120" w14:textId="6EC1AD29" w:rsidR="006C787B" w:rsidRDefault="006C787B" w:rsidP="00A568AA">
      <w:r w:rsidRPr="006C787B">
        <w:t xml:space="preserve">The </w:t>
      </w:r>
      <w:r w:rsidR="008F4462" w:rsidRPr="008F4462">
        <w:t xml:space="preserve">RELFYDESS </w:t>
      </w:r>
      <w:r w:rsidRPr="006C787B">
        <w:t>Core-RMP (version 1.0, dated 14 December</w:t>
      </w:r>
      <w:r>
        <w:t xml:space="preserve"> </w:t>
      </w:r>
      <w:r w:rsidRPr="006C787B">
        <w:t>2022, data lock point 20 July 2022), with Australian Specific Annex (version 2.0, dated</w:t>
      </w:r>
      <w:r>
        <w:t xml:space="preserve"> </w:t>
      </w:r>
      <w:r w:rsidRPr="006C787B">
        <w:t xml:space="preserve">15 November 2023), included with </w:t>
      </w:r>
      <w:r w:rsidRPr="006C787B">
        <w:lastRenderedPageBreak/>
        <w:t>submission. PM-2023-00708-1-1, and any</w:t>
      </w:r>
      <w:r>
        <w:t xml:space="preserve"> </w:t>
      </w:r>
      <w:r w:rsidRPr="006C787B">
        <w:t>subsequent revisions, as agreed with the TGA will be implemented in Australia.</w:t>
      </w:r>
    </w:p>
    <w:p w14:paraId="5CF57C55" w14:textId="595EDF40" w:rsidR="006C787B" w:rsidRPr="006C787B" w:rsidRDefault="006C787B" w:rsidP="00A568AA">
      <w:r w:rsidRPr="006C787B">
        <w:t>An obligatory component of risk management plans is routine pharmacovigilance.</w:t>
      </w:r>
      <w:r>
        <w:t xml:space="preserve"> </w:t>
      </w:r>
      <w:r w:rsidRPr="006C787B">
        <w:t>Routine pharmacovigilance includes the submission of periodic safety update reports</w:t>
      </w:r>
      <w:r>
        <w:t xml:space="preserve"> </w:t>
      </w:r>
      <w:r w:rsidRPr="006C787B">
        <w:t>(PSURs).</w:t>
      </w:r>
    </w:p>
    <w:p w14:paraId="29AC1452" w14:textId="566FFFCB" w:rsidR="0046324B" w:rsidRDefault="006C787B" w:rsidP="00A568AA">
      <w:r w:rsidRPr="006C787B">
        <w:t>Unless agreed separately between the supplier who is the recipient of the approval and</w:t>
      </w:r>
      <w:r>
        <w:t xml:space="preserve"> </w:t>
      </w:r>
      <w:r w:rsidRPr="006C787B">
        <w:t>the TGA, the first report must be submitted to TGA no later than 15 calendar months</w:t>
      </w:r>
      <w:r>
        <w:t xml:space="preserve"> </w:t>
      </w:r>
      <w:r w:rsidRPr="006C787B">
        <w:t>after the date of this approval letter. The subsequent reports must be submitted no less</w:t>
      </w:r>
      <w:r>
        <w:t xml:space="preserve"> </w:t>
      </w:r>
      <w:r w:rsidRPr="006C787B">
        <w:t>frequently than annually from the date of the first submitted report until the period</w:t>
      </w:r>
      <w:r>
        <w:t xml:space="preserve"> </w:t>
      </w:r>
      <w:r w:rsidRPr="006C787B">
        <w:t>covered by such reports is not less than three years from the date of this approval</w:t>
      </w:r>
      <w:r>
        <w:t xml:space="preserve"> </w:t>
      </w:r>
      <w:r w:rsidRPr="006C787B">
        <w:t>letter. The annual submission may be made up of two PSURs each covering six months.</w:t>
      </w:r>
      <w:r>
        <w:t xml:space="preserve"> </w:t>
      </w:r>
      <w:r w:rsidRPr="006C787B">
        <w:t xml:space="preserve">If the sponsor wishes, the </w:t>
      </w:r>
      <w:proofErr w:type="gramStart"/>
      <w:r w:rsidRPr="006C787B">
        <w:t>six monthly</w:t>
      </w:r>
      <w:proofErr w:type="gramEnd"/>
      <w:r w:rsidRPr="006C787B">
        <w:t xml:space="preserve"> reports may be submitted separately as they</w:t>
      </w:r>
      <w:r>
        <w:t xml:space="preserve"> </w:t>
      </w:r>
      <w:r w:rsidRPr="006C787B">
        <w:t>become available.</w:t>
      </w:r>
    </w:p>
    <w:p w14:paraId="64D745D0" w14:textId="53C4C8A2" w:rsidR="006C787B" w:rsidRPr="006C787B" w:rsidRDefault="006C787B" w:rsidP="00A568AA">
      <w:r w:rsidRPr="006C787B">
        <w:t>If the product is approved in the EU during the three years period, reports can be</w:t>
      </w:r>
      <w:r w:rsidR="0046324B">
        <w:t xml:space="preserve"> </w:t>
      </w:r>
      <w:r w:rsidRPr="006C787B">
        <w:t>provided in line with the published list of EU reference dates no less frequently than</w:t>
      </w:r>
      <w:r w:rsidR="0046324B">
        <w:t xml:space="preserve"> </w:t>
      </w:r>
      <w:r w:rsidRPr="006C787B">
        <w:t>annually from the date of the first submitted report until the period covered by such</w:t>
      </w:r>
      <w:r w:rsidR="0046324B">
        <w:t xml:space="preserve"> </w:t>
      </w:r>
      <w:r w:rsidRPr="006C787B">
        <w:t>reports is not less than three years from the date of this approval letter.</w:t>
      </w:r>
    </w:p>
    <w:p w14:paraId="2E136199" w14:textId="07AF71EB" w:rsidR="006C787B" w:rsidRPr="006C787B" w:rsidRDefault="006C787B" w:rsidP="00A568AA">
      <w:r w:rsidRPr="006C787B">
        <w:t>The reports are to at least meet the requirements for PSURs as described in the</w:t>
      </w:r>
      <w:r w:rsidR="0007037F">
        <w:t xml:space="preserve"> </w:t>
      </w:r>
      <w:r w:rsidRPr="006C787B">
        <w:t>European Medicines Agency’s Guideline on good pharmacovigilance practices (GVP)</w:t>
      </w:r>
      <w:r w:rsidR="0007037F">
        <w:t xml:space="preserve"> </w:t>
      </w:r>
      <w:r w:rsidRPr="006C787B">
        <w:t>Module VII-periodic safety update report (Rev 1), Part VII.B Structures and processes.</w:t>
      </w:r>
      <w:r w:rsidR="0007037F">
        <w:t xml:space="preserve"> </w:t>
      </w:r>
      <w:r w:rsidRPr="006C787B">
        <w:t>Note that submission of a PSUR does not constitute an application to vary the</w:t>
      </w:r>
      <w:r w:rsidR="0007037F">
        <w:t xml:space="preserve"> </w:t>
      </w:r>
      <w:r w:rsidRPr="006C787B">
        <w:t>registration. Each report must be submitted within ninety calendar days of the data</w:t>
      </w:r>
      <w:r w:rsidR="0007037F">
        <w:t xml:space="preserve"> </w:t>
      </w:r>
      <w:r w:rsidRPr="006C787B">
        <w:t>lock point for that report.</w:t>
      </w:r>
    </w:p>
    <w:p w14:paraId="6A17125E" w14:textId="03700576" w:rsidR="006C787B" w:rsidRPr="006C787B" w:rsidRDefault="006C787B" w:rsidP="00A568AA">
      <w:r w:rsidRPr="006C787B">
        <w:t>All relevant manufacturing sites require</w:t>
      </w:r>
      <w:r w:rsidR="0007037F">
        <w:t xml:space="preserve"> </w:t>
      </w:r>
      <w:r w:rsidRPr="006C787B">
        <w:t>approved and current GMP Clearances prior to Australian supply. A commitment is</w:t>
      </w:r>
      <w:r w:rsidR="0007037F">
        <w:t xml:space="preserve"> </w:t>
      </w:r>
      <w:r w:rsidRPr="006C787B">
        <w:t>required from the Sponsor that they maintain the validity of all manufacturer GMP</w:t>
      </w:r>
      <w:r w:rsidR="0007037F">
        <w:t xml:space="preserve"> </w:t>
      </w:r>
      <w:r w:rsidRPr="006C787B">
        <w:t>Clearances for the duration of product supply to Australia. Additionally, that</w:t>
      </w:r>
      <w:r w:rsidR="0007037F">
        <w:t xml:space="preserve"> </w:t>
      </w:r>
      <w:r w:rsidRPr="006C787B">
        <w:t>adherence to the conditions of GMP Clearance approval is upheld.</w:t>
      </w:r>
    </w:p>
    <w:p w14:paraId="22144BC9" w14:textId="26F4410B" w:rsidR="006C787B" w:rsidRPr="006C787B" w:rsidRDefault="006C787B" w:rsidP="00A568AA">
      <w:r w:rsidRPr="006C787B">
        <w:t>The Sponsor is</w:t>
      </w:r>
      <w:r w:rsidR="0007037F">
        <w:t xml:space="preserve"> </w:t>
      </w:r>
      <w:r w:rsidRPr="006C787B">
        <w:t>required to provide commitment to continue the ongoing stability studies presented</w:t>
      </w:r>
      <w:r w:rsidR="0007037F">
        <w:t xml:space="preserve"> </w:t>
      </w:r>
      <w:r w:rsidRPr="006C787B">
        <w:t>in the stability studies protocol. Additionally, 1 batch of DP per year for all relevant</w:t>
      </w:r>
      <w:r w:rsidR="0007037F">
        <w:t xml:space="preserve"> </w:t>
      </w:r>
      <w:r w:rsidRPr="006C787B">
        <w:t>products will be placed on long-term stability program and on accelerated stability</w:t>
      </w:r>
      <w:r w:rsidR="0007037F">
        <w:t xml:space="preserve"> </w:t>
      </w:r>
      <w:r w:rsidRPr="006C787B">
        <w:t>testing where significant changes are made to the manufacturing process. The</w:t>
      </w:r>
      <w:r w:rsidR="0007037F">
        <w:t xml:space="preserve"> </w:t>
      </w:r>
      <w:r w:rsidRPr="006C787B">
        <w:t>Sponsor should commit to communicate any out of specifications stability test results</w:t>
      </w:r>
      <w:r w:rsidR="006A716D">
        <w:t xml:space="preserve"> </w:t>
      </w:r>
      <w:r w:rsidRPr="006C787B">
        <w:t>to the TGA.</w:t>
      </w:r>
    </w:p>
    <w:p w14:paraId="0CA82B77" w14:textId="2245D177" w:rsidR="006C787B" w:rsidRPr="006C787B" w:rsidRDefault="006C787B" w:rsidP="00A568AA">
      <w:r w:rsidRPr="006C787B">
        <w:t>The Sponsor has</w:t>
      </w:r>
      <w:r w:rsidR="006A716D">
        <w:t xml:space="preserve"> </w:t>
      </w:r>
      <w:r w:rsidRPr="006C787B">
        <w:t>committed to perform a risk assessment based on sound QRM principles to qualify</w:t>
      </w:r>
      <w:r w:rsidR="006A716D">
        <w:t xml:space="preserve"> </w:t>
      </w:r>
      <w:r w:rsidRPr="006C787B">
        <w:t>the future commercial cold chain route (2-8°C) from the drug product (DP)</w:t>
      </w:r>
      <w:r w:rsidR="006A716D">
        <w:t xml:space="preserve"> </w:t>
      </w:r>
      <w:r w:rsidRPr="006C787B">
        <w:t>manufacturing/ storage site to Australia prior to the first commercial shipment to</w:t>
      </w:r>
      <w:r w:rsidR="006A716D">
        <w:t xml:space="preserve"> </w:t>
      </w:r>
      <w:r w:rsidRPr="006C787B">
        <w:t>Australia.</w:t>
      </w:r>
    </w:p>
    <w:p w14:paraId="17FB3722" w14:textId="07A167EE" w:rsidR="006C787B" w:rsidRPr="006C787B" w:rsidRDefault="006C787B" w:rsidP="00A568AA">
      <w:r w:rsidRPr="006C787B">
        <w:t>All batches of RELFYDESS supplied in Australia must comply with the product details</w:t>
      </w:r>
      <w:r w:rsidR="006A716D">
        <w:t xml:space="preserve"> </w:t>
      </w:r>
      <w:r w:rsidRPr="006C787B">
        <w:t>and specifications approved during evaluation and detailed in the Certified Product</w:t>
      </w:r>
      <w:r w:rsidR="006A716D">
        <w:t xml:space="preserve"> </w:t>
      </w:r>
      <w:r w:rsidRPr="006C787B">
        <w:t>Details (CPD).</w:t>
      </w:r>
    </w:p>
    <w:p w14:paraId="12924F03" w14:textId="32C8B3B2" w:rsidR="006C787B" w:rsidRPr="006C787B" w:rsidRDefault="006C787B" w:rsidP="00A568AA">
      <w:r w:rsidRPr="006C787B">
        <w:t>When requested by the TGA, the Sponsor should be prepared to provide product</w:t>
      </w:r>
      <w:r w:rsidR="00B00B99">
        <w:t xml:space="preserve"> </w:t>
      </w:r>
      <w:r w:rsidRPr="006C787B">
        <w:t>samples, specified reference materials and documentary evidence to enable the TGA</w:t>
      </w:r>
      <w:r w:rsidR="00B00B99">
        <w:t xml:space="preserve"> </w:t>
      </w:r>
      <w:r w:rsidRPr="006C787B">
        <w:t>to conduct laboratory testing on the Product.</w:t>
      </w:r>
    </w:p>
    <w:p w14:paraId="7C967F1B" w14:textId="75D18D3E" w:rsidR="00854D98" w:rsidRPr="00854D98" w:rsidRDefault="006C787B" w:rsidP="00A568AA">
      <w:r w:rsidRPr="006C787B">
        <w:t>An electronic copy of the Certified Product Details (CPD) as described in Guidance 7:</w:t>
      </w:r>
      <w:r w:rsidR="00B00B99">
        <w:t xml:space="preserve"> </w:t>
      </w:r>
      <w:r w:rsidRPr="006C787B">
        <w:t>Certified Product Details of the Australian Regulatory Guidelines for Prescription</w:t>
      </w:r>
      <w:r w:rsidR="00B00B99">
        <w:t xml:space="preserve"> </w:t>
      </w:r>
      <w:r w:rsidRPr="006C787B">
        <w:t xml:space="preserve">Medicines (ARGPM) </w:t>
      </w:r>
      <w:hyperlink r:id="rId36" w:history="1">
        <w:r w:rsidR="00B00B99" w:rsidRPr="00A31771">
          <w:rPr>
            <w:rStyle w:val="Hyperlink"/>
            <w:szCs w:val="22"/>
          </w:rPr>
          <w:t>https://www.tga.gov.au/guidance-7-certified-product-details</w:t>
        </w:r>
      </w:hyperlink>
      <w:r w:rsidR="00B00B99">
        <w:t xml:space="preserve"> </w:t>
      </w:r>
      <w:r w:rsidRPr="006C787B">
        <w:t>should be provided upon registration of the therapeutic good. In addition, an updated</w:t>
      </w:r>
      <w:r w:rsidR="00B00B99">
        <w:t xml:space="preserve"> </w:t>
      </w:r>
      <w:r w:rsidRPr="006C787B">
        <w:t>CPD, for the above products incorporating the approved changes is to be provided</w:t>
      </w:r>
      <w:r w:rsidR="00B00B99">
        <w:t xml:space="preserve"> </w:t>
      </w:r>
      <w:r w:rsidRPr="006C787B">
        <w:t>within one month of the date of approval letter. A template for preparation of CPD for</w:t>
      </w:r>
      <w:r w:rsidR="00B00B99">
        <w:t xml:space="preserve"> </w:t>
      </w:r>
      <w:r w:rsidRPr="006C787B">
        <w:t>biological prescription medicines and Vaccines can be obtained from the TGA website</w:t>
      </w:r>
      <w:r w:rsidR="00B00B99">
        <w:t xml:space="preserve"> </w:t>
      </w:r>
      <w:hyperlink r:id="rId37" w:history="1">
        <w:r w:rsidR="00B00B99" w:rsidRPr="00A31771">
          <w:rPr>
            <w:rStyle w:val="Hyperlink"/>
            <w:szCs w:val="22"/>
          </w:rPr>
          <w:t>https://www.tga.gov.au/form/certified-product-details-cpd-biological-prescriptionmedicines</w:t>
        </w:r>
      </w:hyperlink>
      <w:r w:rsidR="00B00B99">
        <w:t xml:space="preserve"> </w:t>
      </w:r>
      <w:r w:rsidRPr="006C787B">
        <w:t>].</w:t>
      </w:r>
      <w:r w:rsidR="0077295D">
        <w:t xml:space="preserve"> </w:t>
      </w:r>
      <w:r w:rsidRPr="006C787B">
        <w:t>The CPD should be sent as a single bookmarked PDF document to</w:t>
      </w:r>
      <w:r w:rsidR="0077295D">
        <w:t xml:space="preserve"> </w:t>
      </w:r>
      <w:r w:rsidRPr="006C787B">
        <w:t>Vaccines@health.gov.au as soon as possible after registration/approval of the product</w:t>
      </w:r>
      <w:r w:rsidR="0077295D">
        <w:t xml:space="preserve"> </w:t>
      </w:r>
      <w:r w:rsidRPr="006C787B">
        <w:t>or any subsequent changes as indicated above.</w:t>
      </w:r>
    </w:p>
    <w:p w14:paraId="0F9C1952" w14:textId="597561E2" w:rsidR="00BA657C" w:rsidRPr="00BA657C" w:rsidRDefault="00BA657C" w:rsidP="00A568AA">
      <w:pPr>
        <w:pStyle w:val="Heading2"/>
      </w:pPr>
      <w:bookmarkStart w:id="52" w:name="_Toc196738290"/>
      <w:bookmarkStart w:id="53" w:name="_Toc205297324"/>
      <w:r w:rsidRPr="00BA657C">
        <w:lastRenderedPageBreak/>
        <w:t>Product Information and Consumer Medicines Information</w:t>
      </w:r>
      <w:bookmarkEnd w:id="52"/>
      <w:bookmarkEnd w:id="53"/>
    </w:p>
    <w:p w14:paraId="5F276616" w14:textId="77777777" w:rsidR="004D0933" w:rsidRPr="004D0933" w:rsidRDefault="004D0933" w:rsidP="004D0933">
      <w:r w:rsidRPr="004D0933">
        <w:t xml:space="preserve">For the most recent Product Information (PI) and Consumer Medicines Information (CMI), please refer to the TGA </w:t>
      </w:r>
      <w:hyperlink r:id="rId38" w:history="1">
        <w:r w:rsidRPr="004D0933">
          <w:rPr>
            <w:rStyle w:val="Hyperlink"/>
          </w:rPr>
          <w:t>PI/CMI search facility</w:t>
        </w:r>
        <w:r w:rsidRPr="00A568AA">
          <w:t>.</w:t>
        </w:r>
      </w:hyperlink>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39"/>
          <w:footerReference w:type="default" r:id="rId4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2"/>
          <w:bookmarkEnd w:id="3"/>
          <w:p w14:paraId="7E090B86" w14:textId="77777777" w:rsidR="00F02AEC" w:rsidRPr="00215D48" w:rsidRDefault="00F02AEC" w:rsidP="007452E8">
            <w:pPr>
              <w:pStyle w:val="TGASignoff"/>
            </w:pPr>
            <w:r w:rsidRPr="00215D48">
              <w:lastRenderedPageBreak/>
              <w:t>Therapeutic Goods Administration</w:t>
            </w:r>
          </w:p>
        </w:tc>
      </w:tr>
      <w:tr w:rsidR="00F02AEC" w:rsidRPr="003C6B5C"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Pr="00BD1169" w:rsidRDefault="00F02AEC">
            <w:pPr>
              <w:pStyle w:val="Address"/>
              <w:jc w:val="center"/>
              <w:rPr>
                <w:sz w:val="22"/>
                <w:szCs w:val="22"/>
              </w:rPr>
            </w:pPr>
            <w:r w:rsidRPr="00BD1169">
              <w:t xml:space="preserve">Email: </w:t>
            </w:r>
            <w:hyperlink r:id="rId41" w:history="1">
              <w:r w:rsidRPr="00BD1169">
                <w:rPr>
                  <w:rStyle w:val="Hyperlink"/>
                </w:rPr>
                <w:t>info@tga.gov.au</w:t>
              </w:r>
            </w:hyperlink>
            <w:r w:rsidRPr="00BD1169">
              <w:t xml:space="preserve">  Phone: 1800 020 </w:t>
            </w:r>
            <w:proofErr w:type="gramStart"/>
            <w:r w:rsidRPr="00BD1169">
              <w:t>653  Fax</w:t>
            </w:r>
            <w:proofErr w:type="gramEnd"/>
            <w:r w:rsidRPr="00BD1169">
              <w:t>: 02 6203 1605</w:t>
            </w:r>
          </w:p>
          <w:p w14:paraId="4533D80F" w14:textId="1519D7A3" w:rsidR="00F02AEC" w:rsidRPr="00BD1169" w:rsidRDefault="00F02AEC">
            <w:pPr>
              <w:pStyle w:val="Address"/>
              <w:jc w:val="center"/>
              <w:rPr>
                <w:rStyle w:val="Hyperlink"/>
                <w:b/>
                <w:color w:val="auto"/>
                <w:sz w:val="22"/>
              </w:rPr>
            </w:pPr>
            <w:hyperlink r:id="rId42" w:history="1">
              <w:r w:rsidRPr="00BD1169">
                <w:rPr>
                  <w:rStyle w:val="Hyperlink"/>
                  <w:b/>
                </w:rPr>
                <w:t>https://www.tga.gov.au</w:t>
              </w:r>
            </w:hyperlink>
          </w:p>
        </w:tc>
      </w:tr>
    </w:tbl>
    <w:p w14:paraId="788B80FD" w14:textId="77777777" w:rsidR="007452E8" w:rsidRDefault="007452E8"/>
    <w:sectPr w:rsidR="007452E8" w:rsidSect="007452E8">
      <w:headerReference w:type="first" r:id="rId43"/>
      <w:footerReference w:type="first" r:id="rId4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54B6" w14:textId="77777777" w:rsidR="00D9569A" w:rsidRDefault="00D9569A" w:rsidP="00F02AEC">
      <w:pPr>
        <w:spacing w:after="0" w:line="240" w:lineRule="auto"/>
      </w:pPr>
      <w:r>
        <w:separator/>
      </w:r>
    </w:p>
  </w:endnote>
  <w:endnote w:type="continuationSeparator" w:id="0">
    <w:p w14:paraId="68B3B028" w14:textId="77777777" w:rsidR="00D9569A" w:rsidRDefault="00D9569A"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433D3DF3" w14:textId="56DE25A0" w:rsidR="00BF57EA" w:rsidRDefault="00050E8B" w:rsidP="007452E8">
          <w:pPr>
            <w:pStyle w:val="Footer"/>
          </w:pPr>
          <w:proofErr w:type="spellStart"/>
          <w:r w:rsidRPr="00050E8B">
            <w:t>AusPAR</w:t>
          </w:r>
          <w:proofErr w:type="spellEnd"/>
          <w:r w:rsidRPr="00050E8B">
            <w:t xml:space="preserve"> - RELFYDESS - </w:t>
          </w:r>
          <w:proofErr w:type="spellStart"/>
          <w:r w:rsidRPr="00050E8B">
            <w:t>relabotulinumtoxinA</w:t>
          </w:r>
          <w:proofErr w:type="spellEnd"/>
          <w:r w:rsidRPr="00050E8B">
            <w:t xml:space="preserve"> - Ipsen Pty Ltd - </w:t>
          </w:r>
          <w:r w:rsidR="00F25DDA" w:rsidRPr="00F25DDA">
            <w:t>PM-2023-00708-1-1</w:t>
          </w:r>
          <w:r w:rsidR="00F25DDA">
            <w:t xml:space="preserve"> - </w:t>
          </w:r>
          <w:r w:rsidRPr="00050E8B">
            <w:t>Type A</w:t>
          </w:r>
        </w:p>
        <w:p w14:paraId="3C421323" w14:textId="732771E3" w:rsidR="007452E8" w:rsidRPr="004A3084" w:rsidRDefault="007452E8" w:rsidP="007452E8">
          <w:pPr>
            <w:pStyle w:val="Footer"/>
          </w:pPr>
          <w:r w:rsidRPr="00487162">
            <w:t>Date of Finalisation</w:t>
          </w:r>
          <w:r w:rsidR="00BF57EA">
            <w:t>: 24 July 2025</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 xml:space="preserve"> NUMPAGES  </w:instrText>
              </w:r>
              <w:r>
                <w:fldChar w:fldCharType="separate"/>
              </w:r>
              <w:r w:rsidR="006D6B44">
                <w:rPr>
                  <w:noProof/>
                </w:rPr>
                <w:t>17</w:t>
              </w:r>
              <w:r>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05FB" w14:textId="77777777" w:rsidR="00D9569A" w:rsidRDefault="00D9569A" w:rsidP="00F02AEC">
      <w:pPr>
        <w:spacing w:after="0" w:line="240" w:lineRule="auto"/>
      </w:pPr>
      <w:r>
        <w:separator/>
      </w:r>
    </w:p>
  </w:footnote>
  <w:footnote w:type="continuationSeparator" w:id="0">
    <w:p w14:paraId="3B6DB229" w14:textId="77777777" w:rsidR="00D9569A" w:rsidRDefault="00D9569A" w:rsidP="00F02AEC">
      <w:pPr>
        <w:spacing w:after="0" w:line="240" w:lineRule="auto"/>
      </w:pPr>
      <w:r>
        <w:continuationSeparator/>
      </w:r>
    </w:p>
  </w:footnote>
  <w:footnote w:id="1">
    <w:p w14:paraId="68402A9B" w14:textId="42E6F8E0" w:rsidR="007452E8" w:rsidRPr="00A93DC6" w:rsidRDefault="007452E8" w:rsidP="00DD5E0C">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w:t>
      </w:r>
      <w:r w:rsidR="00FB236E" w:rsidRPr="00DD5E0C">
        <w:t>commenced</w:t>
      </w:r>
      <w:r w:rsidR="00FB236E">
        <w:rPr>
          <w:lang w:val="en-GB"/>
        </w:rPr>
        <w:t xml:space="preserve">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 xml:space="preserve">the Australian </w:t>
      </w:r>
      <w:r w:rsidR="00FB236E" w:rsidRPr="00DD5E0C">
        <w:t>Register</w:t>
      </w:r>
      <w:r w:rsidR="00FB236E">
        <w:rPr>
          <w:lang w:val="en-GB"/>
        </w:rPr>
        <w:t xml:space="preserve"> of Therapeutic Goods.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EF5FEC"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60288"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43C219A4"/>
    <w:multiLevelType w:val="hybridMultilevel"/>
    <w:tmpl w:val="E3189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2"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3"/>
  </w:num>
  <w:num w:numId="2" w16cid:durableId="1856573705">
    <w:abstractNumId w:val="0"/>
  </w:num>
  <w:num w:numId="3" w16cid:durableId="357703499">
    <w:abstractNumId w:val="2"/>
  </w:num>
  <w:num w:numId="4" w16cid:durableId="1869176708">
    <w:abstractNumId w:val="10"/>
  </w:num>
  <w:num w:numId="5" w16cid:durableId="1652950129">
    <w:abstractNumId w:val="5"/>
  </w:num>
  <w:num w:numId="6" w16cid:durableId="1053193207">
    <w:abstractNumId w:val="8"/>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9"/>
  </w:num>
  <w:num w:numId="9" w16cid:durableId="173421270">
    <w:abstractNumId w:val="1"/>
  </w:num>
  <w:num w:numId="10" w16cid:durableId="2108043357">
    <w:abstractNumId w:val="4"/>
  </w:num>
  <w:num w:numId="11" w16cid:durableId="1725904230">
    <w:abstractNumId w:val="7"/>
  </w:num>
  <w:num w:numId="12" w16cid:durableId="141579354">
    <w:abstractNumId w:val="11"/>
  </w:num>
  <w:num w:numId="13" w16cid:durableId="283735081">
    <w:abstractNumId w:val="12"/>
  </w:num>
  <w:num w:numId="14" w16cid:durableId="517698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1064C"/>
    <w:rsid w:val="0001384A"/>
    <w:rsid w:val="00021C13"/>
    <w:rsid w:val="0003028B"/>
    <w:rsid w:val="00032A0F"/>
    <w:rsid w:val="0003419F"/>
    <w:rsid w:val="000354EC"/>
    <w:rsid w:val="00040D8D"/>
    <w:rsid w:val="00046423"/>
    <w:rsid w:val="00047512"/>
    <w:rsid w:val="000477F5"/>
    <w:rsid w:val="00050E8B"/>
    <w:rsid w:val="0006104E"/>
    <w:rsid w:val="000640BD"/>
    <w:rsid w:val="00065839"/>
    <w:rsid w:val="00065FDF"/>
    <w:rsid w:val="0006693A"/>
    <w:rsid w:val="0007037F"/>
    <w:rsid w:val="00071A3D"/>
    <w:rsid w:val="00077844"/>
    <w:rsid w:val="00083763"/>
    <w:rsid w:val="0008652B"/>
    <w:rsid w:val="00086B71"/>
    <w:rsid w:val="00090510"/>
    <w:rsid w:val="00090815"/>
    <w:rsid w:val="000917AE"/>
    <w:rsid w:val="00094B81"/>
    <w:rsid w:val="00095C6A"/>
    <w:rsid w:val="000975AA"/>
    <w:rsid w:val="000A0028"/>
    <w:rsid w:val="000B6025"/>
    <w:rsid w:val="000B6B15"/>
    <w:rsid w:val="000C25A7"/>
    <w:rsid w:val="000D5A01"/>
    <w:rsid w:val="000D78EC"/>
    <w:rsid w:val="000D7934"/>
    <w:rsid w:val="000E2434"/>
    <w:rsid w:val="000E2597"/>
    <w:rsid w:val="000E504E"/>
    <w:rsid w:val="000E6746"/>
    <w:rsid w:val="000F7B51"/>
    <w:rsid w:val="00101BEE"/>
    <w:rsid w:val="00101CE6"/>
    <w:rsid w:val="00101FB1"/>
    <w:rsid w:val="0010558A"/>
    <w:rsid w:val="001101FF"/>
    <w:rsid w:val="00111989"/>
    <w:rsid w:val="00113F9F"/>
    <w:rsid w:val="00114025"/>
    <w:rsid w:val="00121B0B"/>
    <w:rsid w:val="0012473C"/>
    <w:rsid w:val="00127A74"/>
    <w:rsid w:val="0013132F"/>
    <w:rsid w:val="00131B1B"/>
    <w:rsid w:val="0013306D"/>
    <w:rsid w:val="00133C89"/>
    <w:rsid w:val="00133F91"/>
    <w:rsid w:val="0013528C"/>
    <w:rsid w:val="001442A2"/>
    <w:rsid w:val="001468CA"/>
    <w:rsid w:val="001500A8"/>
    <w:rsid w:val="00151973"/>
    <w:rsid w:val="001519AA"/>
    <w:rsid w:val="00154A4A"/>
    <w:rsid w:val="00155D85"/>
    <w:rsid w:val="00165D28"/>
    <w:rsid w:val="0017005C"/>
    <w:rsid w:val="00175CD8"/>
    <w:rsid w:val="001818DF"/>
    <w:rsid w:val="00182BD8"/>
    <w:rsid w:val="0018449E"/>
    <w:rsid w:val="00190853"/>
    <w:rsid w:val="001A76F9"/>
    <w:rsid w:val="001B0139"/>
    <w:rsid w:val="001B06FF"/>
    <w:rsid w:val="001B1703"/>
    <w:rsid w:val="001B5CA6"/>
    <w:rsid w:val="001C1C2E"/>
    <w:rsid w:val="001C31A1"/>
    <w:rsid w:val="001C3CF1"/>
    <w:rsid w:val="001C3FA2"/>
    <w:rsid w:val="001C5EE2"/>
    <w:rsid w:val="001C6D9E"/>
    <w:rsid w:val="001D0077"/>
    <w:rsid w:val="001E407B"/>
    <w:rsid w:val="001E7FC6"/>
    <w:rsid w:val="001F2502"/>
    <w:rsid w:val="001F70A5"/>
    <w:rsid w:val="0020235D"/>
    <w:rsid w:val="0020369B"/>
    <w:rsid w:val="00207B4D"/>
    <w:rsid w:val="00210F9B"/>
    <w:rsid w:val="002117B1"/>
    <w:rsid w:val="0021664E"/>
    <w:rsid w:val="00217CCE"/>
    <w:rsid w:val="002203B1"/>
    <w:rsid w:val="00220659"/>
    <w:rsid w:val="0022653C"/>
    <w:rsid w:val="00226F39"/>
    <w:rsid w:val="002334AD"/>
    <w:rsid w:val="00234AA7"/>
    <w:rsid w:val="00241B60"/>
    <w:rsid w:val="00246A17"/>
    <w:rsid w:val="00250DA5"/>
    <w:rsid w:val="00256193"/>
    <w:rsid w:val="0025785B"/>
    <w:rsid w:val="00257969"/>
    <w:rsid w:val="00265CD1"/>
    <w:rsid w:val="00272D13"/>
    <w:rsid w:val="00280048"/>
    <w:rsid w:val="0028489E"/>
    <w:rsid w:val="002848DE"/>
    <w:rsid w:val="00286C95"/>
    <w:rsid w:val="0028794E"/>
    <w:rsid w:val="00296DA0"/>
    <w:rsid w:val="0029733B"/>
    <w:rsid w:val="002A5841"/>
    <w:rsid w:val="002B1EDF"/>
    <w:rsid w:val="002B2061"/>
    <w:rsid w:val="002C1232"/>
    <w:rsid w:val="002C1E44"/>
    <w:rsid w:val="002C3300"/>
    <w:rsid w:val="002C3D86"/>
    <w:rsid w:val="002C5C92"/>
    <w:rsid w:val="002C5E29"/>
    <w:rsid w:val="002D0478"/>
    <w:rsid w:val="002D7127"/>
    <w:rsid w:val="002D7CC6"/>
    <w:rsid w:val="002E4532"/>
    <w:rsid w:val="002E4B9E"/>
    <w:rsid w:val="002F116C"/>
    <w:rsid w:val="002F599E"/>
    <w:rsid w:val="003008D8"/>
    <w:rsid w:val="00301D9A"/>
    <w:rsid w:val="00303959"/>
    <w:rsid w:val="00305753"/>
    <w:rsid w:val="00306E72"/>
    <w:rsid w:val="00307951"/>
    <w:rsid w:val="00312AC3"/>
    <w:rsid w:val="00313E92"/>
    <w:rsid w:val="00314430"/>
    <w:rsid w:val="003163BC"/>
    <w:rsid w:val="003212D9"/>
    <w:rsid w:val="0032351A"/>
    <w:rsid w:val="00324B33"/>
    <w:rsid w:val="00327488"/>
    <w:rsid w:val="0033169F"/>
    <w:rsid w:val="00331B63"/>
    <w:rsid w:val="00336FE1"/>
    <w:rsid w:val="0033728D"/>
    <w:rsid w:val="00342D56"/>
    <w:rsid w:val="003456E7"/>
    <w:rsid w:val="00346EC2"/>
    <w:rsid w:val="003477F9"/>
    <w:rsid w:val="0035444D"/>
    <w:rsid w:val="00356D62"/>
    <w:rsid w:val="00363EE3"/>
    <w:rsid w:val="003716A5"/>
    <w:rsid w:val="003735F3"/>
    <w:rsid w:val="00374729"/>
    <w:rsid w:val="00382DAD"/>
    <w:rsid w:val="00386798"/>
    <w:rsid w:val="00387298"/>
    <w:rsid w:val="00387984"/>
    <w:rsid w:val="00395140"/>
    <w:rsid w:val="003A2422"/>
    <w:rsid w:val="003A63CF"/>
    <w:rsid w:val="003B08D5"/>
    <w:rsid w:val="003B149C"/>
    <w:rsid w:val="003C0FDB"/>
    <w:rsid w:val="003C1192"/>
    <w:rsid w:val="003C55E2"/>
    <w:rsid w:val="003C63D5"/>
    <w:rsid w:val="003C6B5C"/>
    <w:rsid w:val="003C7AA8"/>
    <w:rsid w:val="003D71A1"/>
    <w:rsid w:val="003D7628"/>
    <w:rsid w:val="004076B5"/>
    <w:rsid w:val="00415663"/>
    <w:rsid w:val="0041688F"/>
    <w:rsid w:val="00420A8D"/>
    <w:rsid w:val="0042376F"/>
    <w:rsid w:val="004246B8"/>
    <w:rsid w:val="004248F1"/>
    <w:rsid w:val="00426C09"/>
    <w:rsid w:val="00433318"/>
    <w:rsid w:val="004411D9"/>
    <w:rsid w:val="004423E1"/>
    <w:rsid w:val="00442A56"/>
    <w:rsid w:val="004444B0"/>
    <w:rsid w:val="00450315"/>
    <w:rsid w:val="0045060B"/>
    <w:rsid w:val="00454E6D"/>
    <w:rsid w:val="004626FF"/>
    <w:rsid w:val="0046285C"/>
    <w:rsid w:val="0046324B"/>
    <w:rsid w:val="00470A52"/>
    <w:rsid w:val="00471BD5"/>
    <w:rsid w:val="0047445C"/>
    <w:rsid w:val="00477C4E"/>
    <w:rsid w:val="00477F07"/>
    <w:rsid w:val="00480A4C"/>
    <w:rsid w:val="00481503"/>
    <w:rsid w:val="00481D12"/>
    <w:rsid w:val="00484941"/>
    <w:rsid w:val="004854A6"/>
    <w:rsid w:val="00490EDD"/>
    <w:rsid w:val="00491A55"/>
    <w:rsid w:val="00494C3E"/>
    <w:rsid w:val="00497DF1"/>
    <w:rsid w:val="004A318E"/>
    <w:rsid w:val="004A45D4"/>
    <w:rsid w:val="004A57E8"/>
    <w:rsid w:val="004B3081"/>
    <w:rsid w:val="004B4A09"/>
    <w:rsid w:val="004C41CE"/>
    <w:rsid w:val="004C631B"/>
    <w:rsid w:val="004D0791"/>
    <w:rsid w:val="004D0933"/>
    <w:rsid w:val="004D2F00"/>
    <w:rsid w:val="004D31D8"/>
    <w:rsid w:val="004D35D1"/>
    <w:rsid w:val="004D5388"/>
    <w:rsid w:val="004E7F16"/>
    <w:rsid w:val="004F18EC"/>
    <w:rsid w:val="00500D68"/>
    <w:rsid w:val="005042C7"/>
    <w:rsid w:val="00504B89"/>
    <w:rsid w:val="005238AE"/>
    <w:rsid w:val="0053377D"/>
    <w:rsid w:val="00535DFE"/>
    <w:rsid w:val="005373B5"/>
    <w:rsid w:val="00537AB7"/>
    <w:rsid w:val="00542556"/>
    <w:rsid w:val="00543610"/>
    <w:rsid w:val="0054669B"/>
    <w:rsid w:val="00557684"/>
    <w:rsid w:val="005610D1"/>
    <w:rsid w:val="00562F42"/>
    <w:rsid w:val="00565739"/>
    <w:rsid w:val="00565DC9"/>
    <w:rsid w:val="0056766D"/>
    <w:rsid w:val="00575215"/>
    <w:rsid w:val="005775D0"/>
    <w:rsid w:val="00581138"/>
    <w:rsid w:val="0058575E"/>
    <w:rsid w:val="0058783C"/>
    <w:rsid w:val="005911AE"/>
    <w:rsid w:val="005926E2"/>
    <w:rsid w:val="0059313A"/>
    <w:rsid w:val="005A54EA"/>
    <w:rsid w:val="005B023F"/>
    <w:rsid w:val="005B02A2"/>
    <w:rsid w:val="005B1417"/>
    <w:rsid w:val="005B41FE"/>
    <w:rsid w:val="005B4398"/>
    <w:rsid w:val="005B69CF"/>
    <w:rsid w:val="005C3F07"/>
    <w:rsid w:val="005C4B46"/>
    <w:rsid w:val="005C5DC5"/>
    <w:rsid w:val="005C711E"/>
    <w:rsid w:val="005D2089"/>
    <w:rsid w:val="005D7514"/>
    <w:rsid w:val="005D7B2E"/>
    <w:rsid w:val="005E0FC6"/>
    <w:rsid w:val="005E1A7B"/>
    <w:rsid w:val="005E231F"/>
    <w:rsid w:val="005E28A0"/>
    <w:rsid w:val="005F2E60"/>
    <w:rsid w:val="005F5D22"/>
    <w:rsid w:val="00602D6E"/>
    <w:rsid w:val="00605C05"/>
    <w:rsid w:val="00611351"/>
    <w:rsid w:val="0061217D"/>
    <w:rsid w:val="006129AE"/>
    <w:rsid w:val="00623391"/>
    <w:rsid w:val="006277A1"/>
    <w:rsid w:val="00633BD7"/>
    <w:rsid w:val="00634580"/>
    <w:rsid w:val="00634884"/>
    <w:rsid w:val="006351D9"/>
    <w:rsid w:val="00637130"/>
    <w:rsid w:val="00637F0E"/>
    <w:rsid w:val="00640626"/>
    <w:rsid w:val="006423F2"/>
    <w:rsid w:val="006428C5"/>
    <w:rsid w:val="00650234"/>
    <w:rsid w:val="0066044B"/>
    <w:rsid w:val="006630AA"/>
    <w:rsid w:val="00663544"/>
    <w:rsid w:val="00666539"/>
    <w:rsid w:val="00666911"/>
    <w:rsid w:val="00672792"/>
    <w:rsid w:val="00675F81"/>
    <w:rsid w:val="0068143E"/>
    <w:rsid w:val="0068302A"/>
    <w:rsid w:val="0068507D"/>
    <w:rsid w:val="00691AF2"/>
    <w:rsid w:val="00692B80"/>
    <w:rsid w:val="00692CCD"/>
    <w:rsid w:val="00692D51"/>
    <w:rsid w:val="00694DD7"/>
    <w:rsid w:val="0069636B"/>
    <w:rsid w:val="006A0F39"/>
    <w:rsid w:val="006A1762"/>
    <w:rsid w:val="006A19CE"/>
    <w:rsid w:val="006A1F0B"/>
    <w:rsid w:val="006A277A"/>
    <w:rsid w:val="006A447D"/>
    <w:rsid w:val="006A5973"/>
    <w:rsid w:val="006A716D"/>
    <w:rsid w:val="006B04F3"/>
    <w:rsid w:val="006B2745"/>
    <w:rsid w:val="006B7126"/>
    <w:rsid w:val="006C6B86"/>
    <w:rsid w:val="006C787B"/>
    <w:rsid w:val="006D0E86"/>
    <w:rsid w:val="006D4553"/>
    <w:rsid w:val="006D4A35"/>
    <w:rsid w:val="006D6B44"/>
    <w:rsid w:val="006E0F71"/>
    <w:rsid w:val="006E27FE"/>
    <w:rsid w:val="00701110"/>
    <w:rsid w:val="00702E91"/>
    <w:rsid w:val="0070330F"/>
    <w:rsid w:val="00703624"/>
    <w:rsid w:val="007046ED"/>
    <w:rsid w:val="007072A1"/>
    <w:rsid w:val="0071060C"/>
    <w:rsid w:val="00710BC5"/>
    <w:rsid w:val="007117FE"/>
    <w:rsid w:val="007121CA"/>
    <w:rsid w:val="007129A0"/>
    <w:rsid w:val="0072003B"/>
    <w:rsid w:val="00721059"/>
    <w:rsid w:val="007211E6"/>
    <w:rsid w:val="007220C4"/>
    <w:rsid w:val="007305ED"/>
    <w:rsid w:val="00732361"/>
    <w:rsid w:val="007357B9"/>
    <w:rsid w:val="00741AB9"/>
    <w:rsid w:val="00742D03"/>
    <w:rsid w:val="00744216"/>
    <w:rsid w:val="007452E8"/>
    <w:rsid w:val="00746990"/>
    <w:rsid w:val="00747093"/>
    <w:rsid w:val="00750D70"/>
    <w:rsid w:val="00753FE5"/>
    <w:rsid w:val="007575D0"/>
    <w:rsid w:val="00765E73"/>
    <w:rsid w:val="007662E0"/>
    <w:rsid w:val="0077295D"/>
    <w:rsid w:val="00776E9C"/>
    <w:rsid w:val="007816D8"/>
    <w:rsid w:val="00784150"/>
    <w:rsid w:val="00793272"/>
    <w:rsid w:val="0079499A"/>
    <w:rsid w:val="00794B64"/>
    <w:rsid w:val="007967C3"/>
    <w:rsid w:val="007A0103"/>
    <w:rsid w:val="007A0A33"/>
    <w:rsid w:val="007A1747"/>
    <w:rsid w:val="007A7FB7"/>
    <w:rsid w:val="007B04DE"/>
    <w:rsid w:val="007B0AE6"/>
    <w:rsid w:val="007C0F0B"/>
    <w:rsid w:val="007C57BC"/>
    <w:rsid w:val="007D04CA"/>
    <w:rsid w:val="007D0A2B"/>
    <w:rsid w:val="007D12A1"/>
    <w:rsid w:val="007D2479"/>
    <w:rsid w:val="007D40E5"/>
    <w:rsid w:val="007D4138"/>
    <w:rsid w:val="007E4178"/>
    <w:rsid w:val="007E6443"/>
    <w:rsid w:val="007E6B42"/>
    <w:rsid w:val="007F0A77"/>
    <w:rsid w:val="007F1E37"/>
    <w:rsid w:val="007F50D3"/>
    <w:rsid w:val="007F6B1F"/>
    <w:rsid w:val="008013F0"/>
    <w:rsid w:val="00803926"/>
    <w:rsid w:val="00804897"/>
    <w:rsid w:val="008076FC"/>
    <w:rsid w:val="00811FD4"/>
    <w:rsid w:val="008329DB"/>
    <w:rsid w:val="00832BC7"/>
    <w:rsid w:val="008361C5"/>
    <w:rsid w:val="0083628F"/>
    <w:rsid w:val="00837AB9"/>
    <w:rsid w:val="008422FF"/>
    <w:rsid w:val="00844413"/>
    <w:rsid w:val="0084768F"/>
    <w:rsid w:val="00850637"/>
    <w:rsid w:val="00854D98"/>
    <w:rsid w:val="0085751E"/>
    <w:rsid w:val="00860156"/>
    <w:rsid w:val="00860B29"/>
    <w:rsid w:val="008622E8"/>
    <w:rsid w:val="008645EE"/>
    <w:rsid w:val="0086474D"/>
    <w:rsid w:val="00870144"/>
    <w:rsid w:val="0087072C"/>
    <w:rsid w:val="00871312"/>
    <w:rsid w:val="00873D7A"/>
    <w:rsid w:val="00877CB3"/>
    <w:rsid w:val="008804CF"/>
    <w:rsid w:val="00882D58"/>
    <w:rsid w:val="00882F19"/>
    <w:rsid w:val="00883D35"/>
    <w:rsid w:val="00884569"/>
    <w:rsid w:val="00887A51"/>
    <w:rsid w:val="0089038A"/>
    <w:rsid w:val="00890D9B"/>
    <w:rsid w:val="00891C6C"/>
    <w:rsid w:val="00892052"/>
    <w:rsid w:val="00893CCD"/>
    <w:rsid w:val="008964B3"/>
    <w:rsid w:val="008A1627"/>
    <w:rsid w:val="008B1CB5"/>
    <w:rsid w:val="008B4732"/>
    <w:rsid w:val="008C2D69"/>
    <w:rsid w:val="008C49C6"/>
    <w:rsid w:val="008C754C"/>
    <w:rsid w:val="008D56C9"/>
    <w:rsid w:val="008D56CA"/>
    <w:rsid w:val="008D6A54"/>
    <w:rsid w:val="008E2585"/>
    <w:rsid w:val="008E2D7A"/>
    <w:rsid w:val="008F3215"/>
    <w:rsid w:val="008F3BCE"/>
    <w:rsid w:val="008F4462"/>
    <w:rsid w:val="008F4A62"/>
    <w:rsid w:val="008F5BFE"/>
    <w:rsid w:val="008F7256"/>
    <w:rsid w:val="0090424C"/>
    <w:rsid w:val="009043C4"/>
    <w:rsid w:val="0090605E"/>
    <w:rsid w:val="009108CE"/>
    <w:rsid w:val="00915A9F"/>
    <w:rsid w:val="00930D58"/>
    <w:rsid w:val="00935AAA"/>
    <w:rsid w:val="009457A1"/>
    <w:rsid w:val="0095031E"/>
    <w:rsid w:val="00954297"/>
    <w:rsid w:val="00960A56"/>
    <w:rsid w:val="00966EF1"/>
    <w:rsid w:val="00967223"/>
    <w:rsid w:val="0097008A"/>
    <w:rsid w:val="009751F7"/>
    <w:rsid w:val="0098350E"/>
    <w:rsid w:val="00987E51"/>
    <w:rsid w:val="00990C12"/>
    <w:rsid w:val="0099404F"/>
    <w:rsid w:val="00996FA5"/>
    <w:rsid w:val="009A605B"/>
    <w:rsid w:val="009B40A9"/>
    <w:rsid w:val="009B5662"/>
    <w:rsid w:val="009C2211"/>
    <w:rsid w:val="009C302A"/>
    <w:rsid w:val="009C40E8"/>
    <w:rsid w:val="009C45C5"/>
    <w:rsid w:val="009D6091"/>
    <w:rsid w:val="009E6858"/>
    <w:rsid w:val="009E6F8C"/>
    <w:rsid w:val="009F0008"/>
    <w:rsid w:val="009F2BE7"/>
    <w:rsid w:val="009F405F"/>
    <w:rsid w:val="00A01C56"/>
    <w:rsid w:val="00A02C3D"/>
    <w:rsid w:val="00A04DB1"/>
    <w:rsid w:val="00A24ED2"/>
    <w:rsid w:val="00A32C50"/>
    <w:rsid w:val="00A358E7"/>
    <w:rsid w:val="00A4380B"/>
    <w:rsid w:val="00A51A2D"/>
    <w:rsid w:val="00A5596B"/>
    <w:rsid w:val="00A568AA"/>
    <w:rsid w:val="00A63C07"/>
    <w:rsid w:val="00A63D9B"/>
    <w:rsid w:val="00A63ED7"/>
    <w:rsid w:val="00A704DC"/>
    <w:rsid w:val="00A756AF"/>
    <w:rsid w:val="00A93DC6"/>
    <w:rsid w:val="00A9411A"/>
    <w:rsid w:val="00AA4A4B"/>
    <w:rsid w:val="00AA6682"/>
    <w:rsid w:val="00AA7396"/>
    <w:rsid w:val="00AB0613"/>
    <w:rsid w:val="00AB7C5C"/>
    <w:rsid w:val="00AB7CBF"/>
    <w:rsid w:val="00AD0111"/>
    <w:rsid w:val="00AD0B68"/>
    <w:rsid w:val="00AD4C72"/>
    <w:rsid w:val="00AD5451"/>
    <w:rsid w:val="00AE0B91"/>
    <w:rsid w:val="00AE1947"/>
    <w:rsid w:val="00AE6A09"/>
    <w:rsid w:val="00AE7D77"/>
    <w:rsid w:val="00AF1C8B"/>
    <w:rsid w:val="00AF299B"/>
    <w:rsid w:val="00AF7E43"/>
    <w:rsid w:val="00B00B99"/>
    <w:rsid w:val="00B02AE0"/>
    <w:rsid w:val="00B035BA"/>
    <w:rsid w:val="00B03F25"/>
    <w:rsid w:val="00B05326"/>
    <w:rsid w:val="00B14545"/>
    <w:rsid w:val="00B14E60"/>
    <w:rsid w:val="00B17BA2"/>
    <w:rsid w:val="00B22ED1"/>
    <w:rsid w:val="00B26DC3"/>
    <w:rsid w:val="00B30B9D"/>
    <w:rsid w:val="00B3518C"/>
    <w:rsid w:val="00B420BF"/>
    <w:rsid w:val="00B4574D"/>
    <w:rsid w:val="00B468E1"/>
    <w:rsid w:val="00B46BC0"/>
    <w:rsid w:val="00B46DFB"/>
    <w:rsid w:val="00B5141B"/>
    <w:rsid w:val="00B55681"/>
    <w:rsid w:val="00B57AAD"/>
    <w:rsid w:val="00B6374E"/>
    <w:rsid w:val="00B72B16"/>
    <w:rsid w:val="00B80408"/>
    <w:rsid w:val="00B81397"/>
    <w:rsid w:val="00B81D5A"/>
    <w:rsid w:val="00B852E6"/>
    <w:rsid w:val="00B925DB"/>
    <w:rsid w:val="00B95210"/>
    <w:rsid w:val="00B967FF"/>
    <w:rsid w:val="00B974B9"/>
    <w:rsid w:val="00BA3F6D"/>
    <w:rsid w:val="00BA4BE6"/>
    <w:rsid w:val="00BA4FC0"/>
    <w:rsid w:val="00BA61E0"/>
    <w:rsid w:val="00BA657C"/>
    <w:rsid w:val="00BA6909"/>
    <w:rsid w:val="00BA7F7D"/>
    <w:rsid w:val="00BB1C14"/>
    <w:rsid w:val="00BB3895"/>
    <w:rsid w:val="00BB6847"/>
    <w:rsid w:val="00BB7F8F"/>
    <w:rsid w:val="00BC06B1"/>
    <w:rsid w:val="00BC37A5"/>
    <w:rsid w:val="00BC716A"/>
    <w:rsid w:val="00BD07DF"/>
    <w:rsid w:val="00BD1169"/>
    <w:rsid w:val="00BD26F4"/>
    <w:rsid w:val="00BD5DBD"/>
    <w:rsid w:val="00BD5DF6"/>
    <w:rsid w:val="00BE0041"/>
    <w:rsid w:val="00BE640F"/>
    <w:rsid w:val="00BE6D2A"/>
    <w:rsid w:val="00BF4638"/>
    <w:rsid w:val="00BF5130"/>
    <w:rsid w:val="00BF57EA"/>
    <w:rsid w:val="00C00844"/>
    <w:rsid w:val="00C059D0"/>
    <w:rsid w:val="00C07551"/>
    <w:rsid w:val="00C07609"/>
    <w:rsid w:val="00C10616"/>
    <w:rsid w:val="00C1109F"/>
    <w:rsid w:val="00C12D65"/>
    <w:rsid w:val="00C133AB"/>
    <w:rsid w:val="00C16153"/>
    <w:rsid w:val="00C20B56"/>
    <w:rsid w:val="00C22214"/>
    <w:rsid w:val="00C25F9F"/>
    <w:rsid w:val="00C26F72"/>
    <w:rsid w:val="00C309A7"/>
    <w:rsid w:val="00C335AB"/>
    <w:rsid w:val="00C407AB"/>
    <w:rsid w:val="00C46ECF"/>
    <w:rsid w:val="00C52B7B"/>
    <w:rsid w:val="00C547CD"/>
    <w:rsid w:val="00C570FF"/>
    <w:rsid w:val="00C57CEA"/>
    <w:rsid w:val="00C60FEC"/>
    <w:rsid w:val="00C62B1C"/>
    <w:rsid w:val="00C6574E"/>
    <w:rsid w:val="00C663D1"/>
    <w:rsid w:val="00C707FD"/>
    <w:rsid w:val="00C76DEB"/>
    <w:rsid w:val="00C816C6"/>
    <w:rsid w:val="00C863A7"/>
    <w:rsid w:val="00C864AB"/>
    <w:rsid w:val="00C912F4"/>
    <w:rsid w:val="00C9156F"/>
    <w:rsid w:val="00C91E79"/>
    <w:rsid w:val="00C9581A"/>
    <w:rsid w:val="00C97D29"/>
    <w:rsid w:val="00CA449C"/>
    <w:rsid w:val="00CA4F86"/>
    <w:rsid w:val="00CB0550"/>
    <w:rsid w:val="00CB6813"/>
    <w:rsid w:val="00CE451A"/>
    <w:rsid w:val="00CF18E8"/>
    <w:rsid w:val="00CF6A13"/>
    <w:rsid w:val="00CF6A55"/>
    <w:rsid w:val="00CF6DC6"/>
    <w:rsid w:val="00CF6DCF"/>
    <w:rsid w:val="00D0148C"/>
    <w:rsid w:val="00D01DDB"/>
    <w:rsid w:val="00D078BE"/>
    <w:rsid w:val="00D10151"/>
    <w:rsid w:val="00D13F8A"/>
    <w:rsid w:val="00D16F60"/>
    <w:rsid w:val="00D22981"/>
    <w:rsid w:val="00D23D3E"/>
    <w:rsid w:val="00D3010F"/>
    <w:rsid w:val="00D3349B"/>
    <w:rsid w:val="00D424A8"/>
    <w:rsid w:val="00D43BE7"/>
    <w:rsid w:val="00D44C2F"/>
    <w:rsid w:val="00D55217"/>
    <w:rsid w:val="00D6036F"/>
    <w:rsid w:val="00D62877"/>
    <w:rsid w:val="00D63760"/>
    <w:rsid w:val="00D64227"/>
    <w:rsid w:val="00D64CD2"/>
    <w:rsid w:val="00D6703F"/>
    <w:rsid w:val="00D734EB"/>
    <w:rsid w:val="00D82713"/>
    <w:rsid w:val="00D83A90"/>
    <w:rsid w:val="00D86F00"/>
    <w:rsid w:val="00D918D5"/>
    <w:rsid w:val="00D94C8E"/>
    <w:rsid w:val="00D9569A"/>
    <w:rsid w:val="00D972C7"/>
    <w:rsid w:val="00DB1372"/>
    <w:rsid w:val="00DB192C"/>
    <w:rsid w:val="00DB1CF3"/>
    <w:rsid w:val="00DB5425"/>
    <w:rsid w:val="00DB634E"/>
    <w:rsid w:val="00DB72A6"/>
    <w:rsid w:val="00DC6611"/>
    <w:rsid w:val="00DD5AFB"/>
    <w:rsid w:val="00DD5E0C"/>
    <w:rsid w:val="00DE1344"/>
    <w:rsid w:val="00DF5BFE"/>
    <w:rsid w:val="00E0523F"/>
    <w:rsid w:val="00E16471"/>
    <w:rsid w:val="00E21428"/>
    <w:rsid w:val="00E23E50"/>
    <w:rsid w:val="00E26213"/>
    <w:rsid w:val="00E274DF"/>
    <w:rsid w:val="00E34D66"/>
    <w:rsid w:val="00E362C4"/>
    <w:rsid w:val="00E46CC2"/>
    <w:rsid w:val="00E47E0C"/>
    <w:rsid w:val="00E51813"/>
    <w:rsid w:val="00E52C0B"/>
    <w:rsid w:val="00E53D3F"/>
    <w:rsid w:val="00E5579B"/>
    <w:rsid w:val="00E57FF4"/>
    <w:rsid w:val="00E661ED"/>
    <w:rsid w:val="00E66F6C"/>
    <w:rsid w:val="00E67940"/>
    <w:rsid w:val="00E679D1"/>
    <w:rsid w:val="00E67C1C"/>
    <w:rsid w:val="00E82510"/>
    <w:rsid w:val="00E918F0"/>
    <w:rsid w:val="00E91F11"/>
    <w:rsid w:val="00E9706D"/>
    <w:rsid w:val="00EA3AF4"/>
    <w:rsid w:val="00EE4B01"/>
    <w:rsid w:val="00EE6A8F"/>
    <w:rsid w:val="00EF3F0B"/>
    <w:rsid w:val="00EF5583"/>
    <w:rsid w:val="00EF55A6"/>
    <w:rsid w:val="00EF5FEC"/>
    <w:rsid w:val="00F0289D"/>
    <w:rsid w:val="00F02AEC"/>
    <w:rsid w:val="00F03151"/>
    <w:rsid w:val="00F05931"/>
    <w:rsid w:val="00F07572"/>
    <w:rsid w:val="00F157FC"/>
    <w:rsid w:val="00F25DDA"/>
    <w:rsid w:val="00F30AF3"/>
    <w:rsid w:val="00F43CD1"/>
    <w:rsid w:val="00F45AE0"/>
    <w:rsid w:val="00F56BF6"/>
    <w:rsid w:val="00F5794B"/>
    <w:rsid w:val="00F60CF2"/>
    <w:rsid w:val="00F61DB3"/>
    <w:rsid w:val="00F657B4"/>
    <w:rsid w:val="00F7649F"/>
    <w:rsid w:val="00F8083B"/>
    <w:rsid w:val="00F82D1B"/>
    <w:rsid w:val="00F83E38"/>
    <w:rsid w:val="00F8568E"/>
    <w:rsid w:val="00F865A7"/>
    <w:rsid w:val="00FA0754"/>
    <w:rsid w:val="00FA1BC9"/>
    <w:rsid w:val="00FA49C3"/>
    <w:rsid w:val="00FB236E"/>
    <w:rsid w:val="00FB3F7B"/>
    <w:rsid w:val="00FB4C2A"/>
    <w:rsid w:val="00FC2107"/>
    <w:rsid w:val="00FC48FE"/>
    <w:rsid w:val="00FC6F56"/>
    <w:rsid w:val="00FD3832"/>
    <w:rsid w:val="00FE087C"/>
    <w:rsid w:val="00FE2E4A"/>
    <w:rsid w:val="00FE5A71"/>
    <w:rsid w:val="00FE78AF"/>
    <w:rsid w:val="00FE79A0"/>
    <w:rsid w:val="00FF0939"/>
    <w:rsid w:val="00FF1B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AA"/>
    <w:rPr>
      <w:rFonts w:ascii="Cambria" w:hAnsi="Cambria"/>
      <w:sz w:val="22"/>
    </w:rPr>
  </w:style>
  <w:style w:type="paragraph" w:styleId="Heading1">
    <w:name w:val="heading 1"/>
    <w:basedOn w:val="Normal"/>
    <w:next w:val="Normal"/>
    <w:link w:val="Heading1Char"/>
    <w:uiPriority w:val="9"/>
    <w:qFormat/>
    <w:rsid w:val="00313E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aliases w:val="Annotationmark"/>
    <w:basedOn w:val="DefaultParagraphFont"/>
    <w:uiPriority w:val="99"/>
    <w:unhideWhenUsed/>
    <w:rsid w:val="00E47E0C"/>
    <w:rPr>
      <w:sz w:val="16"/>
      <w:szCs w:val="16"/>
    </w:rPr>
  </w:style>
  <w:style w:type="paragraph" w:styleId="CommentText">
    <w:name w:val="annotation text"/>
    <w:aliases w:val="Comment Text Char1,Comment Text Char Char,Comment Text Char1 Char Char,Comment Text Char Char Char Char,Comment Text Char Char1,Annotationtext"/>
    <w:basedOn w:val="Normal"/>
    <w:link w:val="CommentTextChar"/>
    <w:uiPriority w:val="99"/>
    <w:unhideWhenUsed/>
    <w:qFormat/>
    <w:rsid w:val="00E47E0C"/>
    <w:pPr>
      <w:spacing w:line="240" w:lineRule="auto"/>
    </w:pPr>
  </w:style>
  <w:style w:type="character" w:customStyle="1" w:styleId="CommentTextChar">
    <w:name w:val="Comment Text Char"/>
    <w:aliases w:val="Comment Text Char1 Char,Comment Text Char Char Char,Comment Text Char1 Char Char Char,Comment Text Char Char Char Char Char,Comment Text Char Char1 Char,Annotation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313E92"/>
    <w:rPr>
      <w:rFonts w:asciiTheme="majorHAnsi" w:eastAsiaTheme="majorEastAsia" w:hAnsiTheme="majorHAnsi" w:cstheme="majorBidi"/>
      <w:color w:val="2F5496" w:themeColor="accent1" w:themeShade="BF"/>
      <w:sz w:val="32"/>
      <w:szCs w:val="32"/>
    </w:rPr>
  </w:style>
  <w:style w:type="paragraph" w:customStyle="1" w:styleId="CiteItBibliographyTitle">
    <w:name w:val="CiteIt Bibliography Title"/>
    <w:basedOn w:val="Normal"/>
    <w:link w:val="CiteItBibliographyTitleChar"/>
    <w:autoRedefine/>
    <w:qFormat/>
    <w:rsid w:val="00D10151"/>
    <w:pPr>
      <w:spacing w:after="160"/>
      <w:jc w:val="center"/>
    </w:pPr>
    <w:rPr>
      <w:rFonts w:ascii="Lato" w:hAnsi="Lato"/>
      <w:kern w:val="2"/>
      <w:sz w:val="32"/>
      <w:szCs w:val="22"/>
      <w:lang w:val="en-IN"/>
      <w14:ligatures w14:val="standardContextual"/>
    </w:rPr>
  </w:style>
  <w:style w:type="character" w:customStyle="1" w:styleId="CiteItBibliographyTitleChar">
    <w:name w:val="CiteIt Bibliography Title Char"/>
    <w:basedOn w:val="DefaultParagraphFont"/>
    <w:link w:val="CiteItBibliographyTitle"/>
    <w:rsid w:val="00D10151"/>
    <w:rPr>
      <w:rFonts w:ascii="Lato" w:hAnsi="Lato"/>
      <w:kern w:val="2"/>
      <w:sz w:val="32"/>
      <w:szCs w:val="22"/>
      <w:lang w:val="en-IN"/>
      <w14:ligatures w14:val="standardContextual"/>
    </w:rPr>
  </w:style>
  <w:style w:type="paragraph" w:customStyle="1" w:styleId="Bodytext0-12">
    <w:name w:val="Body text 0-12"/>
    <w:basedOn w:val="Normal"/>
    <w:link w:val="Bodytext0-12Char"/>
    <w:qFormat/>
    <w:rsid w:val="00490EDD"/>
    <w:pPr>
      <w:suppressAutoHyphens/>
      <w:spacing w:after="240" w:line="240" w:lineRule="auto"/>
      <w:jc w:val="both"/>
    </w:pPr>
    <w:rPr>
      <w:rFonts w:ascii="Times New Roman" w:eastAsiaTheme="minorEastAsia" w:hAnsi="Times New Roman" w:cs="Times New Roman"/>
      <w:color w:val="000000"/>
      <w:sz w:val="24"/>
      <w:szCs w:val="24"/>
      <w:lang w:val="en-US"/>
    </w:rPr>
  </w:style>
  <w:style w:type="character" w:customStyle="1" w:styleId="Bodytext0-12Char">
    <w:name w:val="Body text 0-12 Char"/>
    <w:basedOn w:val="DefaultParagraphFont"/>
    <w:link w:val="Bodytext0-12"/>
    <w:rsid w:val="00490EDD"/>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1573">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144154662">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537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resources/artg/405864" TargetMode="External"/><Relationship Id="rId26" Type="http://schemas.openxmlformats.org/officeDocument/2006/relationships/image" Target="media/image6.png"/><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ga.gov.au/products/medicines/find-information-about-medicine/prescribing-medicines-pregnancy-database" TargetMode="External"/><Relationship Id="rId34" Type="http://schemas.openxmlformats.org/officeDocument/2006/relationships/image" Target="media/image12.png"/><Relationship Id="rId42" Type="http://schemas.openxmlformats.org/officeDocument/2006/relationships/hyperlink" Target="https://www.tga.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image" Target="media/image5.png"/><Relationship Id="rId33" Type="http://schemas.openxmlformats.org/officeDocument/2006/relationships/image" Target="media/image11.png"/><Relationship Id="rId38" Type="http://schemas.openxmlformats.org/officeDocument/2006/relationships/hyperlink" Target="https://www.ebs.tga.gov.a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ebs.tga.gov.au/" TargetMode="External"/><Relationship Id="rId29" Type="http://schemas.openxmlformats.org/officeDocument/2006/relationships/image" Target="media/image8.png"/><Relationship Id="rId41"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image" Target="media/image10.png"/><Relationship Id="rId37" Type="http://schemas.openxmlformats.org/officeDocument/2006/relationships/hyperlink" Target="https://www.tga.gov.au/form/certified-product-details-cpd-biological-prescriptionmedicines"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how-we-regulate/supply-therapeutic-good-0/supply-prescription-medicine/application-process/prescription-medicines-registration-process" TargetMode="External"/><Relationship Id="rId28" Type="http://schemas.microsoft.com/office/2007/relationships/hdphoto" Target="media/hdphoto1.wdp"/><Relationship Id="rId36" Type="http://schemas.openxmlformats.org/officeDocument/2006/relationships/hyperlink" Target="https://www.tga.gov.au/guidance-7-certified-product-details" TargetMode="External"/><Relationship Id="rId10" Type="http://schemas.openxmlformats.org/officeDocument/2006/relationships/endnotes" Target="endnotes.xml"/><Relationship Id="rId19" Type="http://schemas.openxmlformats.org/officeDocument/2006/relationships/hyperlink" Target="https://www.tga.gov.au/black-triangle-scheme" TargetMode="External"/><Relationship Id="rId31" Type="http://schemas.openxmlformats.org/officeDocument/2006/relationships/image" Target="media/image9.png"/><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obstetric-drug-information-services" TargetMode="External"/><Relationship Id="rId27" Type="http://schemas.openxmlformats.org/officeDocument/2006/relationships/image" Target="media/image7.png"/><Relationship Id="rId30" Type="http://schemas.microsoft.com/office/2007/relationships/hdphoto" Target="media/hdphoto2.wdp"/><Relationship Id="rId35" Type="http://schemas.openxmlformats.org/officeDocument/2006/relationships/image" Target="media/image13.png"/><Relationship Id="rId43"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9E629F5A5ECD4E88E23923C7740678" ma:contentTypeVersion="17" ma:contentTypeDescription="Crée un document." ma:contentTypeScope="" ma:versionID="38811933541801dae3886b50c17dfa77">
  <xsd:schema xmlns:xsd="http://www.w3.org/2001/XMLSchema" xmlns:xs="http://www.w3.org/2001/XMLSchema" xmlns:p="http://schemas.microsoft.com/office/2006/metadata/properties" xmlns:ns2="bace00c9-5766-43a2-ba28-1825eea1cd61" xmlns:ns3="fae5703a-610b-40f4-8a64-16760a2d79fd" targetNamespace="http://schemas.microsoft.com/office/2006/metadata/properties" ma:root="true" ma:fieldsID="ed9473024a5a85a96019ac12068c2e3d" ns2:_="" ns3:_="">
    <xsd:import namespace="bace00c9-5766-43a2-ba28-1825eea1cd61"/>
    <xsd:import namespace="fae5703a-610b-40f4-8a64-16760a2d7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e00c9-5766-43a2-ba28-1825eea1c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5703a-610b-40f4-8a64-16760a2d79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2d5c13-5b34-4c43-a451-5e48da9331e6}" ma:internalName="TaxCatchAll" ma:showField="CatchAllData" ma:web="fae5703a-610b-40f4-8a64-16760a2d79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e5703a-610b-40f4-8a64-16760a2d79fd" xsi:nil="true"/>
    <lcf76f155ced4ddcb4097134ff3c332f xmlns="bace00c9-5766-43a2-ba28-1825eea1cd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4356-3CF6-4A80-B5FF-931277884D3C}">
  <ds:schemaRefs>
    <ds:schemaRef ds:uri="http://schemas.microsoft.com/sharepoint/v3/contenttype/forms"/>
  </ds:schemaRefs>
</ds:datastoreItem>
</file>

<file path=customXml/itemProps2.xml><?xml version="1.0" encoding="utf-8"?>
<ds:datastoreItem xmlns:ds="http://schemas.openxmlformats.org/officeDocument/2006/customXml" ds:itemID="{DD9133BB-4617-4DE8-A48C-7F8EDB67A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e00c9-5766-43a2-ba28-1825eea1cd61"/>
    <ds:schemaRef ds:uri="fae5703a-610b-40f4-8a64-16760a2d7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FC86A-9BAC-4239-9906-0D3CBACFA223}">
  <ds:schemaRefs>
    <ds:schemaRef ds:uri="http://schemas.microsoft.com/office/2006/metadata/properties"/>
    <ds:schemaRef ds:uri="http://schemas.microsoft.com/office/infopath/2007/PartnerControls"/>
    <ds:schemaRef ds:uri="fae5703a-610b-40f4-8a64-16760a2d79fd"/>
    <ds:schemaRef ds:uri="bace00c9-5766-43a2-ba28-1825eea1cd61"/>
  </ds:schemaRefs>
</ds:datastoreItem>
</file>

<file path=customXml/itemProps4.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26</Pages>
  <Words>7533</Words>
  <Characters>49118</Characters>
  <Application>Microsoft Office Word</Application>
  <DocSecurity>0</DocSecurity>
  <Lines>1889</Lines>
  <Paragraphs>1317</Paragraphs>
  <ScaleCrop>false</ScaleCrop>
  <HeadingPairs>
    <vt:vector size="2" baseType="variant">
      <vt:variant>
        <vt:lpstr>Title</vt:lpstr>
      </vt:variant>
      <vt:variant>
        <vt:i4>1</vt:i4>
      </vt:variant>
    </vt:vector>
  </HeadingPairs>
  <TitlesOfParts>
    <vt:vector size="1" baseType="lpstr">
      <vt:lpstr>Australian Public Assessment Report for RELFYDESS</vt:lpstr>
    </vt:vector>
  </TitlesOfParts>
  <Company>Department of Health, Disability and Ageing</Company>
  <LinksUpToDate>false</LinksUpToDate>
  <CharactersWithSpaces>55334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RELFYDESS</dc:title>
  <dc:subject>Prescription medicines</dc:subject>
  <dc:creator>Therapeutic Goods Administration</dc:creator>
  <cp:keywords/>
  <dc:description/>
  <dcterms:created xsi:type="dcterms:W3CDTF">2025-08-05T03:55:00Z</dcterms:created>
  <dcterms:modified xsi:type="dcterms:W3CDTF">2025-08-05T04:42:00Z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0x010100FA9E629F5A5ECD4E88E23923C7740678</vt:lpwstr>
  </property>
  <property fmtid="{D5CDD505-2E9C-101B-9397-08002B2CF9AE}" pid="3" name="BibliographyTitle">
    <vt:lpwstr>References</vt:lpwstr>
  </property>
  <property fmtid="{D5CDD505-2E9C-101B-9397-08002B2CF9AE}" pid="4" name="SelectedBibliographyStyleName">
    <vt:lpwstr>Vancouver</vt:lpwstr>
  </property>
  <property fmtid="{D5CDD505-2E9C-101B-9397-08002B2CF9AE}" pid="5" name="MSIP_Label_d49813b8-4339-4c24-8562-18d913ab2374_Enabled">
    <vt:lpwstr>true</vt:lpwstr>
  </property>
  <property fmtid="{D5CDD505-2E9C-101B-9397-08002B2CF9AE}" pid="6" name="MSIP_Label_d49813b8-4339-4c24-8562-18d913ab2374_SetDate">
    <vt:lpwstr>2025-07-16T14:08:37Z</vt:lpwstr>
  </property>
  <property fmtid="{D5CDD505-2E9C-101B-9397-08002B2CF9AE}" pid="7" name="MSIP_Label_d49813b8-4339-4c24-8562-18d913ab2374_Method">
    <vt:lpwstr>Privileged</vt:lpwstr>
  </property>
  <property fmtid="{D5CDD505-2E9C-101B-9397-08002B2CF9AE}" pid="8" name="MSIP_Label_d49813b8-4339-4c24-8562-18d913ab2374_Name">
    <vt:lpwstr>Confidential</vt:lpwstr>
  </property>
  <property fmtid="{D5CDD505-2E9C-101B-9397-08002B2CF9AE}" pid="9" name="MSIP_Label_d49813b8-4339-4c24-8562-18d913ab2374_SiteId">
    <vt:lpwstr>97c2d53f-39c0-4201-9dce-14fe95f05da6</vt:lpwstr>
  </property>
  <property fmtid="{D5CDD505-2E9C-101B-9397-08002B2CF9AE}" pid="10" name="MSIP_Label_d49813b8-4339-4c24-8562-18d913ab2374_ActionId">
    <vt:lpwstr>2382dfcc-ad88-467a-8956-653edc257a9f</vt:lpwstr>
  </property>
  <property fmtid="{D5CDD505-2E9C-101B-9397-08002B2CF9AE}" pid="11" name="MSIP_Label_d49813b8-4339-4c24-8562-18d913ab2374_ContentBits">
    <vt:lpwstr>0</vt:lpwstr>
  </property>
  <property fmtid="{D5CDD505-2E9C-101B-9397-08002B2CF9AE}" pid="12" name="MediaServiceImageTags">
    <vt:lpwstr/>
  </property>
</Properties>
</file>