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01F2857F" w:rsidR="00F02AEC" w:rsidRPr="00215D48" w:rsidRDefault="00346EC2" w:rsidP="007452E8">
            <w:pPr>
              <w:pStyle w:val="Title"/>
            </w:pPr>
            <w:r w:rsidRPr="00346EC2">
              <w:t xml:space="preserve">Australian Public Assessment Report for </w:t>
            </w:r>
            <w:bookmarkStart w:id="0" w:name="_Hlk206418021"/>
            <w:r w:rsidR="00995885">
              <w:t>Pyrazinamide</w:t>
            </w:r>
            <w:r w:rsidR="00635FA6">
              <w:t xml:space="preserve"> AFT</w:t>
            </w:r>
            <w:bookmarkEnd w:id="0"/>
          </w:p>
        </w:tc>
      </w:tr>
      <w:tr w:rsidR="00F02AEC" w:rsidRPr="00215D48" w14:paraId="318A40A3" w14:textId="77777777" w:rsidTr="00346EC2">
        <w:trPr>
          <w:trHeight w:val="995"/>
        </w:trPr>
        <w:tc>
          <w:tcPr>
            <w:tcW w:w="8720" w:type="dxa"/>
          </w:tcPr>
          <w:p w14:paraId="1AA7C701" w14:textId="1BEFE71E" w:rsidR="00F02AEC" w:rsidRPr="00215D48" w:rsidRDefault="00346EC2" w:rsidP="007452E8">
            <w:pPr>
              <w:pStyle w:val="Subtitle"/>
              <w:ind w:left="0"/>
            </w:pPr>
            <w:r w:rsidRPr="00346EC2">
              <w:t>Active ingredient:</w:t>
            </w:r>
            <w:r w:rsidR="00635FA6">
              <w:t xml:space="preserve"> </w:t>
            </w:r>
            <w:r w:rsidR="00680AA3">
              <w:t>Pyrazinamide</w:t>
            </w:r>
            <w:r w:rsidRPr="00346EC2">
              <w:t xml:space="preserve"> </w:t>
            </w:r>
          </w:p>
        </w:tc>
      </w:tr>
      <w:tr w:rsidR="00346EC2" w:rsidRPr="00215D48" w14:paraId="362CCAE4" w14:textId="77777777" w:rsidTr="007452E8">
        <w:trPr>
          <w:trHeight w:val="1916"/>
        </w:trPr>
        <w:tc>
          <w:tcPr>
            <w:tcW w:w="8720" w:type="dxa"/>
          </w:tcPr>
          <w:p w14:paraId="709C45C0" w14:textId="020F74D2" w:rsidR="00346EC2" w:rsidRPr="00215D48" w:rsidRDefault="00346EC2" w:rsidP="007C6D17">
            <w:pPr>
              <w:pStyle w:val="Subtitle"/>
              <w:ind w:left="0"/>
            </w:pPr>
            <w:r w:rsidRPr="00346EC2">
              <w:t>Sponsor:</w:t>
            </w:r>
            <w:r w:rsidR="00680AA3">
              <w:t xml:space="preserve"> </w:t>
            </w:r>
            <w:bookmarkStart w:id="1" w:name="_Hlk206418113"/>
            <w:r w:rsidR="00680AA3">
              <w:t>AFT Pharmaceuticals Pty Ltd</w:t>
            </w:r>
            <w:bookmarkEnd w:id="1"/>
          </w:p>
        </w:tc>
      </w:tr>
      <w:tr w:rsidR="00F02AEC" w:rsidRPr="00215D48" w14:paraId="37F2AA1F" w14:textId="77777777" w:rsidTr="007452E8">
        <w:tc>
          <w:tcPr>
            <w:tcW w:w="8720" w:type="dxa"/>
          </w:tcPr>
          <w:p w14:paraId="1FDE8DCD" w14:textId="489DD610" w:rsidR="00F02AEC" w:rsidRPr="00215D48" w:rsidRDefault="00BF5042" w:rsidP="007452E8">
            <w:pPr>
              <w:pStyle w:val="Date"/>
            </w:pPr>
            <w:r>
              <w:t>August</w:t>
            </w:r>
            <w:r w:rsidR="00680AA3">
              <w:t xml:space="preserve"> 2025</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96829F4" w:rsidR="00175CD8" w:rsidRPr="00346EC2" w:rsidRDefault="00F02AEC" w:rsidP="00346EC2">
      <w:pPr>
        <w:pStyle w:val="LegalCopy"/>
        <w:rPr>
          <w:rFonts w:cs="Arial"/>
        </w:rPr>
      </w:pPr>
      <w:r w:rsidRPr="00215D48">
        <w:rPr>
          <w:rFonts w:cs="Arial"/>
        </w:rPr>
        <w:t>© Commonwealth of Australia 20</w:t>
      </w:r>
      <w:r>
        <w:rPr>
          <w:rFonts w:cs="Arial"/>
        </w:rPr>
        <w:t>2</w:t>
      </w:r>
      <w:r w:rsidR="00210F9B">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68C9894D" w14:textId="06CBD4C1" w:rsidR="00516D3B"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05388650" w:history="1">
            <w:r w:rsidR="00516D3B" w:rsidRPr="00A503F7">
              <w:rPr>
                <w:rStyle w:val="Hyperlink"/>
                <w:noProof/>
              </w:rPr>
              <w:t>List of abbreviations</w:t>
            </w:r>
            <w:r w:rsidR="00516D3B">
              <w:rPr>
                <w:noProof/>
                <w:webHidden/>
              </w:rPr>
              <w:tab/>
            </w:r>
            <w:r w:rsidR="00516D3B">
              <w:rPr>
                <w:noProof/>
                <w:webHidden/>
              </w:rPr>
              <w:fldChar w:fldCharType="begin"/>
            </w:r>
            <w:r w:rsidR="00516D3B">
              <w:rPr>
                <w:noProof/>
                <w:webHidden/>
              </w:rPr>
              <w:instrText xml:space="preserve"> PAGEREF _Toc205388650 \h </w:instrText>
            </w:r>
            <w:r w:rsidR="00516D3B">
              <w:rPr>
                <w:noProof/>
                <w:webHidden/>
              </w:rPr>
            </w:r>
            <w:r w:rsidR="00516D3B">
              <w:rPr>
                <w:noProof/>
                <w:webHidden/>
              </w:rPr>
              <w:fldChar w:fldCharType="separate"/>
            </w:r>
            <w:r w:rsidR="00516D3B">
              <w:rPr>
                <w:noProof/>
                <w:webHidden/>
              </w:rPr>
              <w:t>4</w:t>
            </w:r>
            <w:r w:rsidR="00516D3B">
              <w:rPr>
                <w:noProof/>
                <w:webHidden/>
              </w:rPr>
              <w:fldChar w:fldCharType="end"/>
            </w:r>
          </w:hyperlink>
        </w:p>
        <w:p w14:paraId="16A54D14" w14:textId="233057A0" w:rsidR="00516D3B" w:rsidRDefault="00516D3B">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5388651" w:history="1">
            <w:r w:rsidRPr="00A503F7">
              <w:rPr>
                <w:rStyle w:val="Hyperlink"/>
                <w:noProof/>
              </w:rPr>
              <w:t>Product submission</w:t>
            </w:r>
            <w:r>
              <w:rPr>
                <w:noProof/>
                <w:webHidden/>
              </w:rPr>
              <w:tab/>
            </w:r>
            <w:r>
              <w:rPr>
                <w:noProof/>
                <w:webHidden/>
              </w:rPr>
              <w:fldChar w:fldCharType="begin"/>
            </w:r>
            <w:r>
              <w:rPr>
                <w:noProof/>
                <w:webHidden/>
              </w:rPr>
              <w:instrText xml:space="preserve"> PAGEREF _Toc205388651 \h </w:instrText>
            </w:r>
            <w:r>
              <w:rPr>
                <w:noProof/>
                <w:webHidden/>
              </w:rPr>
            </w:r>
            <w:r>
              <w:rPr>
                <w:noProof/>
                <w:webHidden/>
              </w:rPr>
              <w:fldChar w:fldCharType="separate"/>
            </w:r>
            <w:r>
              <w:rPr>
                <w:noProof/>
                <w:webHidden/>
              </w:rPr>
              <w:t>6</w:t>
            </w:r>
            <w:r>
              <w:rPr>
                <w:noProof/>
                <w:webHidden/>
              </w:rPr>
              <w:fldChar w:fldCharType="end"/>
            </w:r>
          </w:hyperlink>
        </w:p>
        <w:p w14:paraId="5E8AC6A4" w14:textId="27563F73" w:rsidR="00516D3B" w:rsidRDefault="00516D3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5388652" w:history="1">
            <w:r w:rsidRPr="00A503F7">
              <w:rPr>
                <w:rStyle w:val="Hyperlink"/>
                <w:noProof/>
                <w:lang w:eastAsia="en-AU"/>
              </w:rPr>
              <w:t>Submission details</w:t>
            </w:r>
            <w:r>
              <w:rPr>
                <w:noProof/>
                <w:webHidden/>
              </w:rPr>
              <w:tab/>
            </w:r>
            <w:r>
              <w:rPr>
                <w:noProof/>
                <w:webHidden/>
              </w:rPr>
              <w:fldChar w:fldCharType="begin"/>
            </w:r>
            <w:r>
              <w:rPr>
                <w:noProof/>
                <w:webHidden/>
              </w:rPr>
              <w:instrText xml:space="preserve"> PAGEREF _Toc205388652 \h </w:instrText>
            </w:r>
            <w:r>
              <w:rPr>
                <w:noProof/>
                <w:webHidden/>
              </w:rPr>
            </w:r>
            <w:r>
              <w:rPr>
                <w:noProof/>
                <w:webHidden/>
              </w:rPr>
              <w:fldChar w:fldCharType="separate"/>
            </w:r>
            <w:r>
              <w:rPr>
                <w:noProof/>
                <w:webHidden/>
              </w:rPr>
              <w:t>6</w:t>
            </w:r>
            <w:r>
              <w:rPr>
                <w:noProof/>
                <w:webHidden/>
              </w:rPr>
              <w:fldChar w:fldCharType="end"/>
            </w:r>
          </w:hyperlink>
        </w:p>
        <w:p w14:paraId="0CF35B45" w14:textId="7A56CEFE" w:rsidR="00516D3B" w:rsidRDefault="00516D3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5388653" w:history="1">
            <w:r w:rsidRPr="00A503F7">
              <w:rPr>
                <w:rStyle w:val="Hyperlink"/>
                <w:noProof/>
              </w:rPr>
              <w:t>Product background</w:t>
            </w:r>
            <w:r>
              <w:rPr>
                <w:noProof/>
                <w:webHidden/>
              </w:rPr>
              <w:tab/>
            </w:r>
            <w:r>
              <w:rPr>
                <w:noProof/>
                <w:webHidden/>
              </w:rPr>
              <w:fldChar w:fldCharType="begin"/>
            </w:r>
            <w:r>
              <w:rPr>
                <w:noProof/>
                <w:webHidden/>
              </w:rPr>
              <w:instrText xml:space="preserve"> PAGEREF _Toc205388653 \h </w:instrText>
            </w:r>
            <w:r>
              <w:rPr>
                <w:noProof/>
                <w:webHidden/>
              </w:rPr>
            </w:r>
            <w:r>
              <w:rPr>
                <w:noProof/>
                <w:webHidden/>
              </w:rPr>
              <w:fldChar w:fldCharType="separate"/>
            </w:r>
            <w:r>
              <w:rPr>
                <w:noProof/>
                <w:webHidden/>
              </w:rPr>
              <w:t>7</w:t>
            </w:r>
            <w:r>
              <w:rPr>
                <w:noProof/>
                <w:webHidden/>
              </w:rPr>
              <w:fldChar w:fldCharType="end"/>
            </w:r>
          </w:hyperlink>
        </w:p>
        <w:p w14:paraId="6F0129CD" w14:textId="667D912C" w:rsidR="00516D3B" w:rsidRDefault="00516D3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5388654" w:history="1">
            <w:r w:rsidRPr="00A503F7">
              <w:rPr>
                <w:rStyle w:val="Hyperlink"/>
                <w:noProof/>
              </w:rPr>
              <w:t>Disease or condition</w:t>
            </w:r>
            <w:r>
              <w:rPr>
                <w:noProof/>
                <w:webHidden/>
              </w:rPr>
              <w:tab/>
            </w:r>
            <w:r>
              <w:rPr>
                <w:noProof/>
                <w:webHidden/>
              </w:rPr>
              <w:fldChar w:fldCharType="begin"/>
            </w:r>
            <w:r>
              <w:rPr>
                <w:noProof/>
                <w:webHidden/>
              </w:rPr>
              <w:instrText xml:space="preserve"> PAGEREF _Toc205388654 \h </w:instrText>
            </w:r>
            <w:r>
              <w:rPr>
                <w:noProof/>
                <w:webHidden/>
              </w:rPr>
            </w:r>
            <w:r>
              <w:rPr>
                <w:noProof/>
                <w:webHidden/>
              </w:rPr>
              <w:fldChar w:fldCharType="separate"/>
            </w:r>
            <w:r>
              <w:rPr>
                <w:noProof/>
                <w:webHidden/>
              </w:rPr>
              <w:t>7</w:t>
            </w:r>
            <w:r>
              <w:rPr>
                <w:noProof/>
                <w:webHidden/>
              </w:rPr>
              <w:fldChar w:fldCharType="end"/>
            </w:r>
          </w:hyperlink>
        </w:p>
        <w:p w14:paraId="1AAD7F1B" w14:textId="3332AD75" w:rsidR="00516D3B" w:rsidRDefault="00516D3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5388655" w:history="1">
            <w:r w:rsidRPr="00A503F7">
              <w:rPr>
                <w:rStyle w:val="Hyperlink"/>
                <w:noProof/>
              </w:rPr>
              <w:t>Current treatment options</w:t>
            </w:r>
            <w:r>
              <w:rPr>
                <w:noProof/>
                <w:webHidden/>
              </w:rPr>
              <w:tab/>
            </w:r>
            <w:r>
              <w:rPr>
                <w:noProof/>
                <w:webHidden/>
              </w:rPr>
              <w:fldChar w:fldCharType="begin"/>
            </w:r>
            <w:r>
              <w:rPr>
                <w:noProof/>
                <w:webHidden/>
              </w:rPr>
              <w:instrText xml:space="preserve"> PAGEREF _Toc205388655 \h </w:instrText>
            </w:r>
            <w:r>
              <w:rPr>
                <w:noProof/>
                <w:webHidden/>
              </w:rPr>
            </w:r>
            <w:r>
              <w:rPr>
                <w:noProof/>
                <w:webHidden/>
              </w:rPr>
              <w:fldChar w:fldCharType="separate"/>
            </w:r>
            <w:r>
              <w:rPr>
                <w:noProof/>
                <w:webHidden/>
              </w:rPr>
              <w:t>7</w:t>
            </w:r>
            <w:r>
              <w:rPr>
                <w:noProof/>
                <w:webHidden/>
              </w:rPr>
              <w:fldChar w:fldCharType="end"/>
            </w:r>
          </w:hyperlink>
        </w:p>
        <w:p w14:paraId="0CF1FC5D" w14:textId="27776D8A" w:rsidR="00516D3B" w:rsidRDefault="00516D3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5388656" w:history="1">
            <w:r w:rsidRPr="00A503F7">
              <w:rPr>
                <w:rStyle w:val="Hyperlink"/>
                <w:noProof/>
              </w:rPr>
              <w:t>Clinical rationale</w:t>
            </w:r>
            <w:r>
              <w:rPr>
                <w:noProof/>
                <w:webHidden/>
              </w:rPr>
              <w:tab/>
            </w:r>
            <w:r>
              <w:rPr>
                <w:noProof/>
                <w:webHidden/>
              </w:rPr>
              <w:fldChar w:fldCharType="begin"/>
            </w:r>
            <w:r>
              <w:rPr>
                <w:noProof/>
                <w:webHidden/>
              </w:rPr>
              <w:instrText xml:space="preserve"> PAGEREF _Toc205388656 \h </w:instrText>
            </w:r>
            <w:r>
              <w:rPr>
                <w:noProof/>
                <w:webHidden/>
              </w:rPr>
            </w:r>
            <w:r>
              <w:rPr>
                <w:noProof/>
                <w:webHidden/>
              </w:rPr>
              <w:fldChar w:fldCharType="separate"/>
            </w:r>
            <w:r>
              <w:rPr>
                <w:noProof/>
                <w:webHidden/>
              </w:rPr>
              <w:t>8</w:t>
            </w:r>
            <w:r>
              <w:rPr>
                <w:noProof/>
                <w:webHidden/>
              </w:rPr>
              <w:fldChar w:fldCharType="end"/>
            </w:r>
          </w:hyperlink>
        </w:p>
        <w:p w14:paraId="3A6B2F30" w14:textId="6843A92F" w:rsidR="00516D3B" w:rsidRDefault="00516D3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5388657" w:history="1">
            <w:r w:rsidRPr="00A503F7">
              <w:rPr>
                <w:rStyle w:val="Hyperlink"/>
                <w:noProof/>
              </w:rPr>
              <w:t>Regulatory status</w:t>
            </w:r>
            <w:r>
              <w:rPr>
                <w:noProof/>
                <w:webHidden/>
              </w:rPr>
              <w:tab/>
            </w:r>
            <w:r>
              <w:rPr>
                <w:noProof/>
                <w:webHidden/>
              </w:rPr>
              <w:fldChar w:fldCharType="begin"/>
            </w:r>
            <w:r>
              <w:rPr>
                <w:noProof/>
                <w:webHidden/>
              </w:rPr>
              <w:instrText xml:space="preserve"> PAGEREF _Toc205388657 \h </w:instrText>
            </w:r>
            <w:r>
              <w:rPr>
                <w:noProof/>
                <w:webHidden/>
              </w:rPr>
            </w:r>
            <w:r>
              <w:rPr>
                <w:noProof/>
                <w:webHidden/>
              </w:rPr>
              <w:fldChar w:fldCharType="separate"/>
            </w:r>
            <w:r>
              <w:rPr>
                <w:noProof/>
                <w:webHidden/>
              </w:rPr>
              <w:t>8</w:t>
            </w:r>
            <w:r>
              <w:rPr>
                <w:noProof/>
                <w:webHidden/>
              </w:rPr>
              <w:fldChar w:fldCharType="end"/>
            </w:r>
          </w:hyperlink>
        </w:p>
        <w:p w14:paraId="3CFE0F24" w14:textId="4F9ECB3A" w:rsidR="00516D3B" w:rsidRDefault="00516D3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5388658" w:history="1">
            <w:r w:rsidRPr="00A503F7">
              <w:rPr>
                <w:rStyle w:val="Hyperlink"/>
                <w:noProof/>
              </w:rPr>
              <w:t>Australian regulatory status</w:t>
            </w:r>
            <w:r>
              <w:rPr>
                <w:noProof/>
                <w:webHidden/>
              </w:rPr>
              <w:tab/>
            </w:r>
            <w:r>
              <w:rPr>
                <w:noProof/>
                <w:webHidden/>
              </w:rPr>
              <w:fldChar w:fldCharType="begin"/>
            </w:r>
            <w:r>
              <w:rPr>
                <w:noProof/>
                <w:webHidden/>
              </w:rPr>
              <w:instrText xml:space="preserve"> PAGEREF _Toc205388658 \h </w:instrText>
            </w:r>
            <w:r>
              <w:rPr>
                <w:noProof/>
                <w:webHidden/>
              </w:rPr>
            </w:r>
            <w:r>
              <w:rPr>
                <w:noProof/>
                <w:webHidden/>
              </w:rPr>
              <w:fldChar w:fldCharType="separate"/>
            </w:r>
            <w:r>
              <w:rPr>
                <w:noProof/>
                <w:webHidden/>
              </w:rPr>
              <w:t>8</w:t>
            </w:r>
            <w:r>
              <w:rPr>
                <w:noProof/>
                <w:webHidden/>
              </w:rPr>
              <w:fldChar w:fldCharType="end"/>
            </w:r>
          </w:hyperlink>
        </w:p>
        <w:p w14:paraId="7997B596" w14:textId="5B1669C7" w:rsidR="00516D3B" w:rsidRDefault="00516D3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5388659" w:history="1">
            <w:r w:rsidRPr="00A503F7">
              <w:rPr>
                <w:rStyle w:val="Hyperlink"/>
                <w:noProof/>
              </w:rPr>
              <w:t>International regulatory status</w:t>
            </w:r>
            <w:r>
              <w:rPr>
                <w:noProof/>
                <w:webHidden/>
              </w:rPr>
              <w:tab/>
            </w:r>
            <w:r>
              <w:rPr>
                <w:noProof/>
                <w:webHidden/>
              </w:rPr>
              <w:fldChar w:fldCharType="begin"/>
            </w:r>
            <w:r>
              <w:rPr>
                <w:noProof/>
                <w:webHidden/>
              </w:rPr>
              <w:instrText xml:space="preserve"> PAGEREF _Toc205388659 \h </w:instrText>
            </w:r>
            <w:r>
              <w:rPr>
                <w:noProof/>
                <w:webHidden/>
              </w:rPr>
            </w:r>
            <w:r>
              <w:rPr>
                <w:noProof/>
                <w:webHidden/>
              </w:rPr>
              <w:fldChar w:fldCharType="separate"/>
            </w:r>
            <w:r>
              <w:rPr>
                <w:noProof/>
                <w:webHidden/>
              </w:rPr>
              <w:t>9</w:t>
            </w:r>
            <w:r>
              <w:rPr>
                <w:noProof/>
                <w:webHidden/>
              </w:rPr>
              <w:fldChar w:fldCharType="end"/>
            </w:r>
          </w:hyperlink>
        </w:p>
        <w:p w14:paraId="4C1E2FB5" w14:textId="38BBBA0E" w:rsidR="00516D3B" w:rsidRDefault="00516D3B">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5388660" w:history="1">
            <w:r w:rsidRPr="00A503F7">
              <w:rPr>
                <w:rStyle w:val="Hyperlink"/>
                <w:noProof/>
              </w:rPr>
              <w:t>Registration timeline</w:t>
            </w:r>
            <w:r>
              <w:rPr>
                <w:noProof/>
                <w:webHidden/>
              </w:rPr>
              <w:tab/>
            </w:r>
            <w:r>
              <w:rPr>
                <w:noProof/>
                <w:webHidden/>
              </w:rPr>
              <w:fldChar w:fldCharType="begin"/>
            </w:r>
            <w:r>
              <w:rPr>
                <w:noProof/>
                <w:webHidden/>
              </w:rPr>
              <w:instrText xml:space="preserve"> PAGEREF _Toc205388660 \h </w:instrText>
            </w:r>
            <w:r>
              <w:rPr>
                <w:noProof/>
                <w:webHidden/>
              </w:rPr>
            </w:r>
            <w:r>
              <w:rPr>
                <w:noProof/>
                <w:webHidden/>
              </w:rPr>
              <w:fldChar w:fldCharType="separate"/>
            </w:r>
            <w:r>
              <w:rPr>
                <w:noProof/>
                <w:webHidden/>
              </w:rPr>
              <w:t>9</w:t>
            </w:r>
            <w:r>
              <w:rPr>
                <w:noProof/>
                <w:webHidden/>
              </w:rPr>
              <w:fldChar w:fldCharType="end"/>
            </w:r>
          </w:hyperlink>
        </w:p>
        <w:p w14:paraId="3D19021A" w14:textId="10D40EB0" w:rsidR="00516D3B" w:rsidRDefault="00516D3B">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5388661" w:history="1">
            <w:r w:rsidRPr="00A503F7">
              <w:rPr>
                <w:rStyle w:val="Hyperlink"/>
                <w:noProof/>
              </w:rPr>
              <w:t>Assessment overview</w:t>
            </w:r>
            <w:r>
              <w:rPr>
                <w:noProof/>
                <w:webHidden/>
              </w:rPr>
              <w:tab/>
            </w:r>
            <w:r>
              <w:rPr>
                <w:noProof/>
                <w:webHidden/>
              </w:rPr>
              <w:fldChar w:fldCharType="begin"/>
            </w:r>
            <w:r>
              <w:rPr>
                <w:noProof/>
                <w:webHidden/>
              </w:rPr>
              <w:instrText xml:space="preserve"> PAGEREF _Toc205388661 \h </w:instrText>
            </w:r>
            <w:r>
              <w:rPr>
                <w:noProof/>
                <w:webHidden/>
              </w:rPr>
            </w:r>
            <w:r>
              <w:rPr>
                <w:noProof/>
                <w:webHidden/>
              </w:rPr>
              <w:fldChar w:fldCharType="separate"/>
            </w:r>
            <w:r>
              <w:rPr>
                <w:noProof/>
                <w:webHidden/>
              </w:rPr>
              <w:t>9</w:t>
            </w:r>
            <w:r>
              <w:rPr>
                <w:noProof/>
                <w:webHidden/>
              </w:rPr>
              <w:fldChar w:fldCharType="end"/>
            </w:r>
          </w:hyperlink>
        </w:p>
        <w:p w14:paraId="03728700" w14:textId="7C5D1485" w:rsidR="00516D3B" w:rsidRDefault="00516D3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5388662" w:history="1">
            <w:r w:rsidRPr="00A503F7">
              <w:rPr>
                <w:rStyle w:val="Hyperlink"/>
                <w:noProof/>
              </w:rPr>
              <w:t>Quality evaluation summary</w:t>
            </w:r>
            <w:r>
              <w:rPr>
                <w:noProof/>
                <w:webHidden/>
              </w:rPr>
              <w:tab/>
            </w:r>
            <w:r>
              <w:rPr>
                <w:noProof/>
                <w:webHidden/>
              </w:rPr>
              <w:fldChar w:fldCharType="begin"/>
            </w:r>
            <w:r>
              <w:rPr>
                <w:noProof/>
                <w:webHidden/>
              </w:rPr>
              <w:instrText xml:space="preserve"> PAGEREF _Toc205388662 \h </w:instrText>
            </w:r>
            <w:r>
              <w:rPr>
                <w:noProof/>
                <w:webHidden/>
              </w:rPr>
            </w:r>
            <w:r>
              <w:rPr>
                <w:noProof/>
                <w:webHidden/>
              </w:rPr>
              <w:fldChar w:fldCharType="separate"/>
            </w:r>
            <w:r>
              <w:rPr>
                <w:noProof/>
                <w:webHidden/>
              </w:rPr>
              <w:t>9</w:t>
            </w:r>
            <w:r>
              <w:rPr>
                <w:noProof/>
                <w:webHidden/>
              </w:rPr>
              <w:fldChar w:fldCharType="end"/>
            </w:r>
          </w:hyperlink>
        </w:p>
        <w:p w14:paraId="5BB1BF86" w14:textId="22F6220C" w:rsidR="00516D3B" w:rsidRDefault="00516D3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5388663" w:history="1">
            <w:r w:rsidRPr="00A503F7">
              <w:rPr>
                <w:rStyle w:val="Hyperlink"/>
                <w:noProof/>
              </w:rPr>
              <w:t>Nonclinical evaluation summary</w:t>
            </w:r>
            <w:r>
              <w:rPr>
                <w:noProof/>
                <w:webHidden/>
              </w:rPr>
              <w:tab/>
            </w:r>
            <w:r>
              <w:rPr>
                <w:noProof/>
                <w:webHidden/>
              </w:rPr>
              <w:fldChar w:fldCharType="begin"/>
            </w:r>
            <w:r>
              <w:rPr>
                <w:noProof/>
                <w:webHidden/>
              </w:rPr>
              <w:instrText xml:space="preserve"> PAGEREF _Toc205388663 \h </w:instrText>
            </w:r>
            <w:r>
              <w:rPr>
                <w:noProof/>
                <w:webHidden/>
              </w:rPr>
            </w:r>
            <w:r>
              <w:rPr>
                <w:noProof/>
                <w:webHidden/>
              </w:rPr>
              <w:fldChar w:fldCharType="separate"/>
            </w:r>
            <w:r>
              <w:rPr>
                <w:noProof/>
                <w:webHidden/>
              </w:rPr>
              <w:t>10</w:t>
            </w:r>
            <w:r>
              <w:rPr>
                <w:noProof/>
                <w:webHidden/>
              </w:rPr>
              <w:fldChar w:fldCharType="end"/>
            </w:r>
          </w:hyperlink>
        </w:p>
        <w:p w14:paraId="4D0D5E2E" w14:textId="2193F6AA" w:rsidR="00516D3B" w:rsidRDefault="00516D3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5388664" w:history="1">
            <w:r w:rsidRPr="00A503F7">
              <w:rPr>
                <w:rStyle w:val="Hyperlink"/>
                <w:noProof/>
              </w:rPr>
              <w:t>Clinical evaluation summary</w:t>
            </w:r>
            <w:r>
              <w:rPr>
                <w:noProof/>
                <w:webHidden/>
              </w:rPr>
              <w:tab/>
            </w:r>
            <w:r>
              <w:rPr>
                <w:noProof/>
                <w:webHidden/>
              </w:rPr>
              <w:fldChar w:fldCharType="begin"/>
            </w:r>
            <w:r>
              <w:rPr>
                <w:noProof/>
                <w:webHidden/>
              </w:rPr>
              <w:instrText xml:space="preserve"> PAGEREF _Toc205388664 \h </w:instrText>
            </w:r>
            <w:r>
              <w:rPr>
                <w:noProof/>
                <w:webHidden/>
              </w:rPr>
            </w:r>
            <w:r>
              <w:rPr>
                <w:noProof/>
                <w:webHidden/>
              </w:rPr>
              <w:fldChar w:fldCharType="separate"/>
            </w:r>
            <w:r>
              <w:rPr>
                <w:noProof/>
                <w:webHidden/>
              </w:rPr>
              <w:t>11</w:t>
            </w:r>
            <w:r>
              <w:rPr>
                <w:noProof/>
                <w:webHidden/>
              </w:rPr>
              <w:fldChar w:fldCharType="end"/>
            </w:r>
          </w:hyperlink>
        </w:p>
        <w:p w14:paraId="14E2F723" w14:textId="462471B4" w:rsidR="00516D3B" w:rsidRDefault="00516D3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5388665" w:history="1">
            <w:r w:rsidRPr="00A503F7">
              <w:rPr>
                <w:rStyle w:val="Hyperlink"/>
                <w:noProof/>
              </w:rPr>
              <w:t>Summary of clinical studies</w:t>
            </w:r>
            <w:r>
              <w:rPr>
                <w:noProof/>
                <w:webHidden/>
              </w:rPr>
              <w:tab/>
            </w:r>
            <w:r>
              <w:rPr>
                <w:noProof/>
                <w:webHidden/>
              </w:rPr>
              <w:fldChar w:fldCharType="begin"/>
            </w:r>
            <w:r>
              <w:rPr>
                <w:noProof/>
                <w:webHidden/>
              </w:rPr>
              <w:instrText xml:space="preserve"> PAGEREF _Toc205388665 \h </w:instrText>
            </w:r>
            <w:r>
              <w:rPr>
                <w:noProof/>
                <w:webHidden/>
              </w:rPr>
            </w:r>
            <w:r>
              <w:rPr>
                <w:noProof/>
                <w:webHidden/>
              </w:rPr>
              <w:fldChar w:fldCharType="separate"/>
            </w:r>
            <w:r>
              <w:rPr>
                <w:noProof/>
                <w:webHidden/>
              </w:rPr>
              <w:t>11</w:t>
            </w:r>
            <w:r>
              <w:rPr>
                <w:noProof/>
                <w:webHidden/>
              </w:rPr>
              <w:fldChar w:fldCharType="end"/>
            </w:r>
          </w:hyperlink>
        </w:p>
        <w:p w14:paraId="622FA6D2" w14:textId="2908FEB4" w:rsidR="00516D3B" w:rsidRDefault="00516D3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5388666" w:history="1">
            <w:r w:rsidRPr="00A503F7">
              <w:rPr>
                <w:rStyle w:val="Hyperlink"/>
                <w:noProof/>
              </w:rPr>
              <w:t>Pharmacology</w:t>
            </w:r>
            <w:r>
              <w:rPr>
                <w:noProof/>
                <w:webHidden/>
              </w:rPr>
              <w:tab/>
            </w:r>
            <w:r>
              <w:rPr>
                <w:noProof/>
                <w:webHidden/>
              </w:rPr>
              <w:fldChar w:fldCharType="begin"/>
            </w:r>
            <w:r>
              <w:rPr>
                <w:noProof/>
                <w:webHidden/>
              </w:rPr>
              <w:instrText xml:space="preserve"> PAGEREF _Toc205388666 \h </w:instrText>
            </w:r>
            <w:r>
              <w:rPr>
                <w:noProof/>
                <w:webHidden/>
              </w:rPr>
            </w:r>
            <w:r>
              <w:rPr>
                <w:noProof/>
                <w:webHidden/>
              </w:rPr>
              <w:fldChar w:fldCharType="separate"/>
            </w:r>
            <w:r>
              <w:rPr>
                <w:noProof/>
                <w:webHidden/>
              </w:rPr>
              <w:t>13</w:t>
            </w:r>
            <w:r>
              <w:rPr>
                <w:noProof/>
                <w:webHidden/>
              </w:rPr>
              <w:fldChar w:fldCharType="end"/>
            </w:r>
          </w:hyperlink>
        </w:p>
        <w:p w14:paraId="591FAD77" w14:textId="3F0D42C3" w:rsidR="00516D3B" w:rsidRDefault="00516D3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5388667" w:history="1">
            <w:r w:rsidRPr="00A503F7">
              <w:rPr>
                <w:rStyle w:val="Hyperlink"/>
                <w:noProof/>
              </w:rPr>
              <w:t>Efficacy</w:t>
            </w:r>
            <w:r>
              <w:rPr>
                <w:noProof/>
                <w:webHidden/>
              </w:rPr>
              <w:tab/>
            </w:r>
            <w:r>
              <w:rPr>
                <w:noProof/>
                <w:webHidden/>
              </w:rPr>
              <w:fldChar w:fldCharType="begin"/>
            </w:r>
            <w:r>
              <w:rPr>
                <w:noProof/>
                <w:webHidden/>
              </w:rPr>
              <w:instrText xml:space="preserve"> PAGEREF _Toc205388667 \h </w:instrText>
            </w:r>
            <w:r>
              <w:rPr>
                <w:noProof/>
                <w:webHidden/>
              </w:rPr>
            </w:r>
            <w:r>
              <w:rPr>
                <w:noProof/>
                <w:webHidden/>
              </w:rPr>
              <w:fldChar w:fldCharType="separate"/>
            </w:r>
            <w:r>
              <w:rPr>
                <w:noProof/>
                <w:webHidden/>
              </w:rPr>
              <w:t>20</w:t>
            </w:r>
            <w:r>
              <w:rPr>
                <w:noProof/>
                <w:webHidden/>
              </w:rPr>
              <w:fldChar w:fldCharType="end"/>
            </w:r>
          </w:hyperlink>
        </w:p>
        <w:p w14:paraId="2F4E8CA4" w14:textId="40698A74" w:rsidR="00516D3B" w:rsidRDefault="00516D3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5388668" w:history="1">
            <w:r w:rsidRPr="00A503F7">
              <w:rPr>
                <w:rStyle w:val="Hyperlink"/>
                <w:noProof/>
              </w:rPr>
              <w:t>Safety</w:t>
            </w:r>
            <w:r>
              <w:rPr>
                <w:noProof/>
                <w:webHidden/>
              </w:rPr>
              <w:tab/>
            </w:r>
            <w:r>
              <w:rPr>
                <w:noProof/>
                <w:webHidden/>
              </w:rPr>
              <w:fldChar w:fldCharType="begin"/>
            </w:r>
            <w:r>
              <w:rPr>
                <w:noProof/>
                <w:webHidden/>
              </w:rPr>
              <w:instrText xml:space="preserve"> PAGEREF _Toc205388668 \h </w:instrText>
            </w:r>
            <w:r>
              <w:rPr>
                <w:noProof/>
                <w:webHidden/>
              </w:rPr>
            </w:r>
            <w:r>
              <w:rPr>
                <w:noProof/>
                <w:webHidden/>
              </w:rPr>
              <w:fldChar w:fldCharType="separate"/>
            </w:r>
            <w:r>
              <w:rPr>
                <w:noProof/>
                <w:webHidden/>
              </w:rPr>
              <w:t>21</w:t>
            </w:r>
            <w:r>
              <w:rPr>
                <w:noProof/>
                <w:webHidden/>
              </w:rPr>
              <w:fldChar w:fldCharType="end"/>
            </w:r>
          </w:hyperlink>
        </w:p>
        <w:p w14:paraId="73764452" w14:textId="65533BFE" w:rsidR="00516D3B" w:rsidRDefault="00516D3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5388669" w:history="1">
            <w:r w:rsidRPr="00A503F7">
              <w:rPr>
                <w:rStyle w:val="Hyperlink"/>
                <w:noProof/>
                <w:lang w:eastAsia="en-AU"/>
              </w:rPr>
              <w:t>Risk management plan</w:t>
            </w:r>
            <w:r>
              <w:rPr>
                <w:noProof/>
                <w:webHidden/>
              </w:rPr>
              <w:tab/>
            </w:r>
            <w:r>
              <w:rPr>
                <w:noProof/>
                <w:webHidden/>
              </w:rPr>
              <w:fldChar w:fldCharType="begin"/>
            </w:r>
            <w:r>
              <w:rPr>
                <w:noProof/>
                <w:webHidden/>
              </w:rPr>
              <w:instrText xml:space="preserve"> PAGEREF _Toc205388669 \h </w:instrText>
            </w:r>
            <w:r>
              <w:rPr>
                <w:noProof/>
                <w:webHidden/>
              </w:rPr>
            </w:r>
            <w:r>
              <w:rPr>
                <w:noProof/>
                <w:webHidden/>
              </w:rPr>
              <w:fldChar w:fldCharType="separate"/>
            </w:r>
            <w:r>
              <w:rPr>
                <w:noProof/>
                <w:webHidden/>
              </w:rPr>
              <w:t>21</w:t>
            </w:r>
            <w:r>
              <w:rPr>
                <w:noProof/>
                <w:webHidden/>
              </w:rPr>
              <w:fldChar w:fldCharType="end"/>
            </w:r>
          </w:hyperlink>
        </w:p>
        <w:p w14:paraId="1B27E857" w14:textId="13A72304" w:rsidR="00516D3B" w:rsidRDefault="00516D3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5388670" w:history="1">
            <w:r w:rsidRPr="00A503F7">
              <w:rPr>
                <w:rStyle w:val="Hyperlink"/>
                <w:noProof/>
              </w:rPr>
              <w:t>Risk-benefit assessment</w:t>
            </w:r>
            <w:r>
              <w:rPr>
                <w:noProof/>
                <w:webHidden/>
              </w:rPr>
              <w:tab/>
            </w:r>
            <w:r>
              <w:rPr>
                <w:noProof/>
                <w:webHidden/>
              </w:rPr>
              <w:fldChar w:fldCharType="begin"/>
            </w:r>
            <w:r>
              <w:rPr>
                <w:noProof/>
                <w:webHidden/>
              </w:rPr>
              <w:instrText xml:space="preserve"> PAGEREF _Toc205388670 \h </w:instrText>
            </w:r>
            <w:r>
              <w:rPr>
                <w:noProof/>
                <w:webHidden/>
              </w:rPr>
            </w:r>
            <w:r>
              <w:rPr>
                <w:noProof/>
                <w:webHidden/>
              </w:rPr>
              <w:fldChar w:fldCharType="separate"/>
            </w:r>
            <w:r>
              <w:rPr>
                <w:noProof/>
                <w:webHidden/>
              </w:rPr>
              <w:t>23</w:t>
            </w:r>
            <w:r>
              <w:rPr>
                <w:noProof/>
                <w:webHidden/>
              </w:rPr>
              <w:fldChar w:fldCharType="end"/>
            </w:r>
          </w:hyperlink>
        </w:p>
        <w:p w14:paraId="65091078" w14:textId="5BA5ED5E" w:rsidR="00516D3B" w:rsidRDefault="00516D3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5388671" w:history="1">
            <w:r w:rsidRPr="00A503F7">
              <w:rPr>
                <w:rStyle w:val="Hyperlink"/>
                <w:noProof/>
              </w:rPr>
              <w:t>Delegate’s considerations</w:t>
            </w:r>
            <w:r>
              <w:rPr>
                <w:noProof/>
                <w:webHidden/>
              </w:rPr>
              <w:tab/>
            </w:r>
            <w:r>
              <w:rPr>
                <w:noProof/>
                <w:webHidden/>
              </w:rPr>
              <w:fldChar w:fldCharType="begin"/>
            </w:r>
            <w:r>
              <w:rPr>
                <w:noProof/>
                <w:webHidden/>
              </w:rPr>
              <w:instrText xml:space="preserve"> PAGEREF _Toc205388671 \h </w:instrText>
            </w:r>
            <w:r>
              <w:rPr>
                <w:noProof/>
                <w:webHidden/>
              </w:rPr>
            </w:r>
            <w:r>
              <w:rPr>
                <w:noProof/>
                <w:webHidden/>
              </w:rPr>
              <w:fldChar w:fldCharType="separate"/>
            </w:r>
            <w:r>
              <w:rPr>
                <w:noProof/>
                <w:webHidden/>
              </w:rPr>
              <w:t>23</w:t>
            </w:r>
            <w:r>
              <w:rPr>
                <w:noProof/>
                <w:webHidden/>
              </w:rPr>
              <w:fldChar w:fldCharType="end"/>
            </w:r>
          </w:hyperlink>
        </w:p>
        <w:p w14:paraId="27C9B4A5" w14:textId="3F47BA75" w:rsidR="00516D3B" w:rsidRDefault="00516D3B">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5388672" w:history="1">
            <w:r w:rsidRPr="00A503F7">
              <w:rPr>
                <w:rStyle w:val="Hyperlink"/>
                <w:noProof/>
              </w:rPr>
              <w:t>Assessment outcome</w:t>
            </w:r>
            <w:r>
              <w:rPr>
                <w:noProof/>
                <w:webHidden/>
              </w:rPr>
              <w:tab/>
            </w:r>
            <w:r>
              <w:rPr>
                <w:noProof/>
                <w:webHidden/>
              </w:rPr>
              <w:fldChar w:fldCharType="begin"/>
            </w:r>
            <w:r>
              <w:rPr>
                <w:noProof/>
                <w:webHidden/>
              </w:rPr>
              <w:instrText xml:space="preserve"> PAGEREF _Toc205388672 \h </w:instrText>
            </w:r>
            <w:r>
              <w:rPr>
                <w:noProof/>
                <w:webHidden/>
              </w:rPr>
            </w:r>
            <w:r>
              <w:rPr>
                <w:noProof/>
                <w:webHidden/>
              </w:rPr>
              <w:fldChar w:fldCharType="separate"/>
            </w:r>
            <w:r>
              <w:rPr>
                <w:noProof/>
                <w:webHidden/>
              </w:rPr>
              <w:t>23</w:t>
            </w:r>
            <w:r>
              <w:rPr>
                <w:noProof/>
                <w:webHidden/>
              </w:rPr>
              <w:fldChar w:fldCharType="end"/>
            </w:r>
          </w:hyperlink>
        </w:p>
        <w:p w14:paraId="0023EABF" w14:textId="6055B105" w:rsidR="00516D3B" w:rsidRDefault="00516D3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5388673" w:history="1">
            <w:r w:rsidRPr="00A503F7">
              <w:rPr>
                <w:rStyle w:val="Hyperlink"/>
                <w:noProof/>
              </w:rPr>
              <w:t>Specific conditions of registration</w:t>
            </w:r>
            <w:r>
              <w:rPr>
                <w:noProof/>
                <w:webHidden/>
              </w:rPr>
              <w:tab/>
            </w:r>
            <w:r>
              <w:rPr>
                <w:noProof/>
                <w:webHidden/>
              </w:rPr>
              <w:fldChar w:fldCharType="begin"/>
            </w:r>
            <w:r>
              <w:rPr>
                <w:noProof/>
                <w:webHidden/>
              </w:rPr>
              <w:instrText xml:space="preserve"> PAGEREF _Toc205388673 \h </w:instrText>
            </w:r>
            <w:r>
              <w:rPr>
                <w:noProof/>
                <w:webHidden/>
              </w:rPr>
            </w:r>
            <w:r>
              <w:rPr>
                <w:noProof/>
                <w:webHidden/>
              </w:rPr>
              <w:fldChar w:fldCharType="separate"/>
            </w:r>
            <w:r>
              <w:rPr>
                <w:noProof/>
                <w:webHidden/>
              </w:rPr>
              <w:t>23</w:t>
            </w:r>
            <w:r>
              <w:rPr>
                <w:noProof/>
                <w:webHidden/>
              </w:rPr>
              <w:fldChar w:fldCharType="end"/>
            </w:r>
          </w:hyperlink>
        </w:p>
        <w:p w14:paraId="7CF15BD4" w14:textId="6C4B2F79" w:rsidR="00516D3B" w:rsidRDefault="00516D3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5388674" w:history="1">
            <w:r w:rsidRPr="00A503F7">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_Toc205388674 \h </w:instrText>
            </w:r>
            <w:r>
              <w:rPr>
                <w:noProof/>
                <w:webHidden/>
              </w:rPr>
            </w:r>
            <w:r>
              <w:rPr>
                <w:noProof/>
                <w:webHidden/>
              </w:rPr>
              <w:fldChar w:fldCharType="separate"/>
            </w:r>
            <w:r>
              <w:rPr>
                <w:noProof/>
                <w:webHidden/>
              </w:rPr>
              <w:t>24</w:t>
            </w:r>
            <w:r>
              <w:rPr>
                <w:noProof/>
                <w:webHidden/>
              </w:rPr>
              <w:fldChar w:fldCharType="end"/>
            </w:r>
          </w:hyperlink>
        </w:p>
        <w:p w14:paraId="77659F2D" w14:textId="525CC7EE"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2" w:name="_Toc98931917"/>
      <w:bookmarkStart w:id="3" w:name="_Toc103679287"/>
      <w:bookmarkStart w:id="4" w:name="_Toc205388650"/>
      <w:bookmarkStart w:id="5" w:name="_Toc323739589"/>
      <w:bookmarkStart w:id="6" w:name="_Toc356305216"/>
      <w:r>
        <w:lastRenderedPageBreak/>
        <w:t>List of abbreviations</w:t>
      </w:r>
      <w:bookmarkEnd w:id="2"/>
      <w:bookmarkEnd w:id="3"/>
      <w:bookmarkEnd w:id="4"/>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34584D" w:rsidRPr="00D01DDB" w14:paraId="002723B7" w14:textId="77777777" w:rsidTr="00BD5DBD">
        <w:trPr>
          <w:trHeight w:val="447"/>
        </w:trPr>
        <w:tc>
          <w:tcPr>
            <w:cnfStyle w:val="001000000000" w:firstRow="0" w:lastRow="0" w:firstColumn="1" w:lastColumn="0" w:oddVBand="0" w:evenVBand="0" w:oddHBand="0" w:evenHBand="0" w:firstRowFirstColumn="0" w:firstRowLastColumn="0" w:lastRowFirstColumn="0" w:lastRowLastColumn="0"/>
            <w:tcW w:w="1200" w:type="pct"/>
          </w:tcPr>
          <w:p w14:paraId="006F1360" w14:textId="1F809050" w:rsidR="0034584D" w:rsidRPr="00D01DDB" w:rsidRDefault="0034584D" w:rsidP="00324B33">
            <w:pPr>
              <w:rPr>
                <w:szCs w:val="22"/>
              </w:rPr>
            </w:pPr>
            <w:r w:rsidRPr="0034584D">
              <w:rPr>
                <w:szCs w:val="22"/>
              </w:rPr>
              <w:t>2HRZE/4HR</w:t>
            </w:r>
          </w:p>
        </w:tc>
        <w:tc>
          <w:tcPr>
            <w:tcW w:w="3800" w:type="pct"/>
          </w:tcPr>
          <w:p w14:paraId="404708BD" w14:textId="1BA439AF" w:rsidR="0034584D" w:rsidRPr="00D01DDB" w:rsidRDefault="00E0430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I</w:t>
            </w:r>
            <w:r w:rsidRPr="00E0430E">
              <w:rPr>
                <w:szCs w:val="22"/>
              </w:rPr>
              <w:t>soniazid, rifampicin, pyrazinamide and ethambutol, for 2 months followed by isoniazid and rifampicin for 4 months </w:t>
            </w:r>
          </w:p>
        </w:tc>
      </w:tr>
      <w:tr w:rsidR="00324B33"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7A94E9E" w:rsidR="00324B33" w:rsidRPr="00D01DDB" w:rsidRDefault="00324B33" w:rsidP="00324B33">
            <w:pPr>
              <w:rPr>
                <w:szCs w:val="22"/>
              </w:rPr>
            </w:pPr>
            <w:r w:rsidRPr="00D01DDB">
              <w:rPr>
                <w:szCs w:val="22"/>
              </w:rPr>
              <w:t>ACM</w:t>
            </w:r>
          </w:p>
        </w:tc>
        <w:tc>
          <w:tcPr>
            <w:tcW w:w="3800" w:type="pct"/>
          </w:tcPr>
          <w:p w14:paraId="4F24A873" w14:textId="0539B5FB"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324B33" w:rsidRPr="00D01DDB" w14:paraId="35340A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8B9F80" w14:textId="287DC0CA" w:rsidR="00324B33" w:rsidRPr="00D01DDB" w:rsidRDefault="00324B33" w:rsidP="00324B33">
            <w:pPr>
              <w:rPr>
                <w:szCs w:val="22"/>
              </w:rPr>
            </w:pPr>
            <w:r w:rsidRPr="00D01DDB">
              <w:rPr>
                <w:szCs w:val="22"/>
              </w:rPr>
              <w:t>ACV</w:t>
            </w:r>
          </w:p>
        </w:tc>
        <w:tc>
          <w:tcPr>
            <w:tcW w:w="3800" w:type="pct"/>
          </w:tcPr>
          <w:p w14:paraId="5072E244" w14:textId="7B59D1A8"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Vaccines</w:t>
            </w:r>
          </w:p>
        </w:tc>
      </w:tr>
      <w:tr w:rsidR="00D30839" w:rsidRPr="00D01DDB" w14:paraId="2056D90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FA3766B" w14:textId="61E4F8C5" w:rsidR="00D30839" w:rsidRPr="00D01DDB" w:rsidRDefault="00D30839" w:rsidP="00324B33">
            <w:pPr>
              <w:rPr>
                <w:szCs w:val="22"/>
              </w:rPr>
            </w:pPr>
            <w:r>
              <w:rPr>
                <w:szCs w:val="22"/>
              </w:rPr>
              <w:t>ALT</w:t>
            </w:r>
          </w:p>
        </w:tc>
        <w:tc>
          <w:tcPr>
            <w:tcW w:w="3800" w:type="pct"/>
          </w:tcPr>
          <w:p w14:paraId="6D02D29E" w14:textId="2DD4D090" w:rsidR="00D30839" w:rsidRPr="00D01DDB" w:rsidRDefault="00B9516E" w:rsidP="00324B33">
            <w:pPr>
              <w:cnfStyle w:val="000000000000" w:firstRow="0" w:lastRow="0" w:firstColumn="0" w:lastColumn="0" w:oddVBand="0" w:evenVBand="0" w:oddHBand="0" w:evenHBand="0" w:firstRowFirstColumn="0" w:firstRowLastColumn="0" w:lastRowFirstColumn="0" w:lastRowLastColumn="0"/>
              <w:rPr>
                <w:szCs w:val="22"/>
              </w:rPr>
            </w:pPr>
            <w:r w:rsidRPr="00B9516E">
              <w:rPr>
                <w:szCs w:val="22"/>
              </w:rPr>
              <w:t>Alanine aminotransferase</w:t>
            </w:r>
          </w:p>
        </w:tc>
      </w:tr>
      <w:tr w:rsidR="00324B33"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24B33" w:rsidRPr="00D01DDB" w:rsidRDefault="00324B33" w:rsidP="00324B33">
            <w:pPr>
              <w:rPr>
                <w:szCs w:val="22"/>
              </w:rPr>
            </w:pPr>
            <w:r w:rsidRPr="00D01DDB">
              <w:rPr>
                <w:szCs w:val="22"/>
              </w:rPr>
              <w:t>ARTG</w:t>
            </w:r>
          </w:p>
        </w:tc>
        <w:tc>
          <w:tcPr>
            <w:tcW w:w="3800" w:type="pct"/>
          </w:tcPr>
          <w:p w14:paraId="228A203A" w14:textId="47EBCFA3"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324B33"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24B33" w:rsidRPr="00D01DDB" w:rsidRDefault="00324B33" w:rsidP="00324B33">
            <w:pPr>
              <w:rPr>
                <w:szCs w:val="22"/>
              </w:rPr>
            </w:pPr>
            <w:r w:rsidRPr="00D01DDB">
              <w:rPr>
                <w:szCs w:val="22"/>
              </w:rPr>
              <w:t>ASA</w:t>
            </w:r>
          </w:p>
        </w:tc>
        <w:tc>
          <w:tcPr>
            <w:tcW w:w="3800" w:type="pct"/>
          </w:tcPr>
          <w:p w14:paraId="4E6F5284" w14:textId="21C063B1"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sidR="00873D7A">
              <w:rPr>
                <w:szCs w:val="22"/>
              </w:rPr>
              <w:noBreakHyphen/>
            </w:r>
            <w:r w:rsidRPr="00D01DDB">
              <w:rPr>
                <w:szCs w:val="22"/>
              </w:rPr>
              <w:t>specific annex</w:t>
            </w:r>
          </w:p>
        </w:tc>
      </w:tr>
      <w:tr w:rsidR="00D30839" w:rsidRPr="00D01DDB" w14:paraId="07C671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92F8CE3" w14:textId="4F2FDC11" w:rsidR="00D30839" w:rsidRPr="00D01DDB" w:rsidRDefault="00D30839" w:rsidP="00324B33">
            <w:pPr>
              <w:rPr>
                <w:szCs w:val="22"/>
              </w:rPr>
            </w:pPr>
            <w:r>
              <w:rPr>
                <w:szCs w:val="22"/>
              </w:rPr>
              <w:t>AST</w:t>
            </w:r>
          </w:p>
        </w:tc>
        <w:tc>
          <w:tcPr>
            <w:tcW w:w="3800" w:type="pct"/>
          </w:tcPr>
          <w:p w14:paraId="103CCE63" w14:textId="1FB38198" w:rsidR="00D30839" w:rsidRPr="00D01DDB" w:rsidRDefault="001A72F5" w:rsidP="00324B33">
            <w:pPr>
              <w:cnfStyle w:val="000000000000" w:firstRow="0" w:lastRow="0" w:firstColumn="0" w:lastColumn="0" w:oddVBand="0" w:evenVBand="0" w:oddHBand="0" w:evenHBand="0" w:firstRowFirstColumn="0" w:firstRowLastColumn="0" w:lastRowFirstColumn="0" w:lastRowLastColumn="0"/>
              <w:rPr>
                <w:szCs w:val="22"/>
              </w:rPr>
            </w:pPr>
            <w:r w:rsidRPr="001A72F5">
              <w:rPr>
                <w:szCs w:val="22"/>
              </w:rPr>
              <w:t>Aspartate aminotransferase</w:t>
            </w:r>
          </w:p>
        </w:tc>
      </w:tr>
      <w:tr w:rsidR="005B082F" w:rsidRPr="00D01DDB" w14:paraId="7E413B2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CAF7AC" w14:textId="2B8DEB05" w:rsidR="005B082F" w:rsidRDefault="005B082F" w:rsidP="00324B33">
            <w:pPr>
              <w:rPr>
                <w:szCs w:val="22"/>
              </w:rPr>
            </w:pPr>
            <w:r>
              <w:rPr>
                <w:szCs w:val="22"/>
              </w:rPr>
              <w:t>AT</w:t>
            </w:r>
          </w:p>
        </w:tc>
        <w:tc>
          <w:tcPr>
            <w:tcW w:w="3800" w:type="pct"/>
          </w:tcPr>
          <w:p w14:paraId="4E8C7A6B" w14:textId="66048D5E" w:rsidR="005B082F" w:rsidRPr="001A72F5" w:rsidRDefault="005B082F" w:rsidP="005B082F">
            <w:pPr>
              <w:cnfStyle w:val="000000000000" w:firstRow="0" w:lastRow="0" w:firstColumn="0" w:lastColumn="0" w:oddVBand="0" w:evenVBand="0" w:oddHBand="0" w:evenHBand="0" w:firstRowFirstColumn="0" w:firstRowLastColumn="0" w:lastRowFirstColumn="0" w:lastRowLastColumn="0"/>
            </w:pPr>
            <w:r w:rsidRPr="005B082F">
              <w:t>Aminotransferases</w:t>
            </w:r>
          </w:p>
        </w:tc>
      </w:tr>
      <w:tr w:rsidR="004E3C03" w:rsidRPr="00D01DDB" w14:paraId="72A5FC6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9629A3" w14:textId="3BF21E2A" w:rsidR="004E3C03" w:rsidRDefault="004E3C03" w:rsidP="00324B33">
            <w:pPr>
              <w:rPr>
                <w:szCs w:val="22"/>
              </w:rPr>
            </w:pPr>
            <w:r>
              <w:rPr>
                <w:szCs w:val="22"/>
              </w:rPr>
              <w:t>AUC</w:t>
            </w:r>
          </w:p>
        </w:tc>
        <w:tc>
          <w:tcPr>
            <w:tcW w:w="3800" w:type="pct"/>
          </w:tcPr>
          <w:p w14:paraId="01C80CF6" w14:textId="478ED65D" w:rsidR="004E3C03" w:rsidRPr="001A72F5" w:rsidRDefault="00E766B4" w:rsidP="00324B33">
            <w:pPr>
              <w:cnfStyle w:val="000000000000" w:firstRow="0" w:lastRow="0" w:firstColumn="0" w:lastColumn="0" w:oddVBand="0" w:evenVBand="0" w:oddHBand="0" w:evenHBand="0" w:firstRowFirstColumn="0" w:firstRowLastColumn="0" w:lastRowFirstColumn="0" w:lastRowLastColumn="0"/>
              <w:rPr>
                <w:szCs w:val="22"/>
              </w:rPr>
            </w:pPr>
            <w:r w:rsidRPr="00E766B4">
              <w:rPr>
                <w:szCs w:val="22"/>
              </w:rPr>
              <w:t>Area under the concentration-time curve</w:t>
            </w:r>
          </w:p>
        </w:tc>
      </w:tr>
      <w:tr w:rsidR="008036B3" w:rsidRPr="00D01DDB" w14:paraId="09ED459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21CA952" w14:textId="6E944417" w:rsidR="008036B3" w:rsidRDefault="008036B3" w:rsidP="00324B33">
            <w:pPr>
              <w:rPr>
                <w:szCs w:val="22"/>
              </w:rPr>
            </w:pPr>
            <w:r w:rsidRPr="008036B3">
              <w:rPr>
                <w:szCs w:val="22"/>
              </w:rPr>
              <w:t>AUC</w:t>
            </w:r>
            <w:r w:rsidRPr="008036B3">
              <w:rPr>
                <w:szCs w:val="22"/>
                <w:vertAlign w:val="subscript"/>
              </w:rPr>
              <w:t>0-24</w:t>
            </w:r>
          </w:p>
        </w:tc>
        <w:tc>
          <w:tcPr>
            <w:tcW w:w="3800" w:type="pct"/>
          </w:tcPr>
          <w:p w14:paraId="50989DDF" w14:textId="54FAB79F" w:rsidR="008036B3" w:rsidRPr="001A72F5" w:rsidRDefault="009765A8" w:rsidP="00324B33">
            <w:pPr>
              <w:cnfStyle w:val="000000000000" w:firstRow="0" w:lastRow="0" w:firstColumn="0" w:lastColumn="0" w:oddVBand="0" w:evenVBand="0" w:oddHBand="0" w:evenHBand="0" w:firstRowFirstColumn="0" w:firstRowLastColumn="0" w:lastRowFirstColumn="0" w:lastRowLastColumn="0"/>
              <w:rPr>
                <w:szCs w:val="22"/>
              </w:rPr>
            </w:pPr>
            <w:r w:rsidRPr="009765A8">
              <w:rPr>
                <w:szCs w:val="22"/>
              </w:rPr>
              <w:t>Area under the concentration time curve from time zero to 24 hours</w:t>
            </w:r>
          </w:p>
        </w:tc>
      </w:tr>
      <w:tr w:rsidR="008D3A14" w:rsidRPr="00D01DDB" w14:paraId="1390F4E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07292B" w14:textId="2F2551A1" w:rsidR="008D3A14" w:rsidRPr="00D01DDB" w:rsidRDefault="008D3A14" w:rsidP="00324B33">
            <w:pPr>
              <w:rPr>
                <w:szCs w:val="22"/>
              </w:rPr>
            </w:pPr>
            <w:r>
              <w:rPr>
                <w:szCs w:val="22"/>
              </w:rPr>
              <w:t xml:space="preserve">BCG </w:t>
            </w:r>
          </w:p>
        </w:tc>
        <w:tc>
          <w:tcPr>
            <w:tcW w:w="3800" w:type="pct"/>
          </w:tcPr>
          <w:p w14:paraId="2EC34092" w14:textId="45B9678D" w:rsidR="008D3A14" w:rsidRPr="00D01DDB" w:rsidRDefault="00D34D25" w:rsidP="00324B33">
            <w:pPr>
              <w:cnfStyle w:val="000000000000" w:firstRow="0" w:lastRow="0" w:firstColumn="0" w:lastColumn="0" w:oddVBand="0" w:evenVBand="0" w:oddHBand="0" w:evenHBand="0" w:firstRowFirstColumn="0" w:firstRowLastColumn="0" w:lastRowFirstColumn="0" w:lastRowLastColumn="0"/>
              <w:rPr>
                <w:szCs w:val="22"/>
              </w:rPr>
            </w:pPr>
            <w:r w:rsidRPr="00D34D25">
              <w:rPr>
                <w:szCs w:val="22"/>
              </w:rPr>
              <w:t>Bacille Calmette-Guérin vaccine</w:t>
            </w:r>
          </w:p>
        </w:tc>
      </w:tr>
      <w:tr w:rsidR="00AC5AE7" w:rsidRPr="00D01DDB" w14:paraId="3E08686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CE73487" w14:textId="77B4506D" w:rsidR="00AC5AE7" w:rsidRDefault="0081634B" w:rsidP="00324B33">
            <w:pPr>
              <w:rPr>
                <w:szCs w:val="22"/>
              </w:rPr>
            </w:pPr>
            <w:r>
              <w:rPr>
                <w:szCs w:val="22"/>
              </w:rPr>
              <w:t>CE</w:t>
            </w:r>
          </w:p>
        </w:tc>
        <w:tc>
          <w:tcPr>
            <w:tcW w:w="3800" w:type="pct"/>
          </w:tcPr>
          <w:p w14:paraId="5CD6F882" w14:textId="5F15BD13" w:rsidR="00AC5AE7" w:rsidRPr="00D34D25" w:rsidRDefault="0081634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Clinical Evaluator</w:t>
            </w:r>
          </w:p>
        </w:tc>
      </w:tr>
      <w:tr w:rsidR="00CB4848" w:rsidRPr="00D01DDB" w14:paraId="3806FE2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54E59B" w14:textId="7F51DFE8" w:rsidR="00CB4848" w:rsidRDefault="00CB4848" w:rsidP="00324B33">
            <w:pPr>
              <w:rPr>
                <w:szCs w:val="22"/>
              </w:rPr>
            </w:pPr>
            <w:r w:rsidRPr="00CB4848">
              <w:rPr>
                <w:szCs w:val="22"/>
              </w:rPr>
              <w:t>C</w:t>
            </w:r>
            <w:r w:rsidRPr="00CB4848">
              <w:rPr>
                <w:szCs w:val="22"/>
                <w:vertAlign w:val="subscript"/>
              </w:rPr>
              <w:t>max</w:t>
            </w:r>
          </w:p>
        </w:tc>
        <w:tc>
          <w:tcPr>
            <w:tcW w:w="3800" w:type="pct"/>
          </w:tcPr>
          <w:p w14:paraId="1FF93F88" w14:textId="0EA8D22A" w:rsidR="00CB4848" w:rsidRPr="00D34D25" w:rsidRDefault="00657B0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Maximum concentration</w:t>
            </w:r>
          </w:p>
        </w:tc>
      </w:tr>
      <w:tr w:rsidR="00395140"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D01DDB" w:rsidRDefault="00395140" w:rsidP="00324B33">
            <w:pPr>
              <w:rPr>
                <w:szCs w:val="22"/>
              </w:rPr>
            </w:pPr>
            <w:r w:rsidRPr="00D01DDB">
              <w:rPr>
                <w:szCs w:val="22"/>
              </w:rPr>
              <w:t>CMI</w:t>
            </w:r>
          </w:p>
        </w:tc>
        <w:tc>
          <w:tcPr>
            <w:tcW w:w="3800" w:type="pct"/>
          </w:tcPr>
          <w:p w14:paraId="5D8C9DF5" w14:textId="60C23379"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687461" w:rsidRPr="00D01DDB" w14:paraId="3FCA291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1D17767" w14:textId="299B2D3C" w:rsidR="00687461" w:rsidRPr="00D01DDB" w:rsidRDefault="00687461" w:rsidP="00324B33">
            <w:pPr>
              <w:rPr>
                <w:szCs w:val="22"/>
              </w:rPr>
            </w:pPr>
            <w:r>
              <w:rPr>
                <w:szCs w:val="22"/>
              </w:rPr>
              <w:t>CNS</w:t>
            </w:r>
          </w:p>
        </w:tc>
        <w:tc>
          <w:tcPr>
            <w:tcW w:w="3800" w:type="pct"/>
          </w:tcPr>
          <w:p w14:paraId="1BDE720D" w14:textId="76048DC3" w:rsidR="00687461" w:rsidRPr="00D01DDB" w:rsidRDefault="0068746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w:t>
            </w:r>
            <w:r w:rsidRPr="00687461">
              <w:rPr>
                <w:szCs w:val="22"/>
              </w:rPr>
              <w:t xml:space="preserve">entral nervous system </w:t>
            </w:r>
          </w:p>
        </w:tc>
      </w:tr>
      <w:tr w:rsidR="00E2083F" w:rsidRPr="00D01DDB" w14:paraId="20A668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03C38A7" w14:textId="7281F450" w:rsidR="00E2083F" w:rsidRDefault="00E2083F" w:rsidP="00E2083F">
            <w:pPr>
              <w:rPr>
                <w:szCs w:val="22"/>
              </w:rPr>
            </w:pPr>
            <w:r>
              <w:rPr>
                <w:szCs w:val="22"/>
              </w:rPr>
              <w:t>CSF</w:t>
            </w:r>
          </w:p>
        </w:tc>
        <w:tc>
          <w:tcPr>
            <w:tcW w:w="3800" w:type="pct"/>
          </w:tcPr>
          <w:p w14:paraId="415623C1" w14:textId="7E8688AF" w:rsidR="00E2083F" w:rsidRDefault="00E2083F" w:rsidP="00E2083F">
            <w:pPr>
              <w:cnfStyle w:val="000000000000" w:firstRow="0" w:lastRow="0" w:firstColumn="0" w:lastColumn="0" w:oddVBand="0" w:evenVBand="0" w:oddHBand="0" w:evenHBand="0" w:firstRowFirstColumn="0" w:firstRowLastColumn="0" w:lastRowFirstColumn="0" w:lastRowLastColumn="0"/>
              <w:rPr>
                <w:szCs w:val="22"/>
              </w:rPr>
            </w:pPr>
            <w:r>
              <w:rPr>
                <w:szCs w:val="22"/>
              </w:rPr>
              <w:t>C</w:t>
            </w:r>
            <w:r w:rsidRPr="004C02A9">
              <w:rPr>
                <w:szCs w:val="22"/>
              </w:rPr>
              <w:t>erebrospinal fluid</w:t>
            </w:r>
          </w:p>
        </w:tc>
      </w:tr>
      <w:tr w:rsidR="00E2083F" w:rsidRPr="00D01DDB"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0D6731AA" w:rsidR="00E2083F" w:rsidRPr="00D01DDB" w:rsidRDefault="00E2083F" w:rsidP="00E2083F">
            <w:pPr>
              <w:rPr>
                <w:szCs w:val="22"/>
              </w:rPr>
            </w:pPr>
            <w:r w:rsidRPr="00D01DDB">
              <w:rPr>
                <w:szCs w:val="22"/>
              </w:rPr>
              <w:t>DLP</w:t>
            </w:r>
          </w:p>
        </w:tc>
        <w:tc>
          <w:tcPr>
            <w:tcW w:w="3800" w:type="pct"/>
          </w:tcPr>
          <w:p w14:paraId="26109D0B" w14:textId="4AE8F60A" w:rsidR="00E2083F" w:rsidRPr="00D01DDB" w:rsidRDefault="00E2083F" w:rsidP="00E2083F">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E2083F" w:rsidRPr="00D01DDB" w14:paraId="47984CC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23D9208" w14:textId="38C748FD" w:rsidR="00E2083F" w:rsidRPr="00D01DDB" w:rsidRDefault="00E2083F" w:rsidP="00E2083F">
            <w:pPr>
              <w:rPr>
                <w:szCs w:val="22"/>
              </w:rPr>
            </w:pPr>
            <w:r w:rsidRPr="00CB4848">
              <w:rPr>
                <w:szCs w:val="22"/>
              </w:rPr>
              <w:t>DNA</w:t>
            </w:r>
          </w:p>
        </w:tc>
        <w:tc>
          <w:tcPr>
            <w:tcW w:w="3800" w:type="pct"/>
          </w:tcPr>
          <w:p w14:paraId="2F180583" w14:textId="640CA40C" w:rsidR="00E2083F" w:rsidRPr="00D01DDB" w:rsidRDefault="00E2083F" w:rsidP="00E2083F">
            <w:pPr>
              <w:cnfStyle w:val="000000000000" w:firstRow="0" w:lastRow="0" w:firstColumn="0" w:lastColumn="0" w:oddVBand="0" w:evenVBand="0" w:oddHBand="0" w:evenHBand="0" w:firstRowFirstColumn="0" w:firstRowLastColumn="0" w:lastRowFirstColumn="0" w:lastRowLastColumn="0"/>
              <w:rPr>
                <w:szCs w:val="22"/>
              </w:rPr>
            </w:pPr>
            <w:r w:rsidRPr="00907706">
              <w:rPr>
                <w:szCs w:val="22"/>
              </w:rPr>
              <w:t>Deoxyribonucleic acid</w:t>
            </w:r>
          </w:p>
        </w:tc>
      </w:tr>
      <w:tr w:rsidR="00E2083F" w:rsidRPr="00D01DDB" w14:paraId="0236CE8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82A4761" w14:textId="1A43DCE7" w:rsidR="00E2083F" w:rsidRPr="00D01DDB" w:rsidRDefault="00E2083F" w:rsidP="00E2083F">
            <w:pPr>
              <w:rPr>
                <w:szCs w:val="22"/>
              </w:rPr>
            </w:pPr>
            <w:r>
              <w:rPr>
                <w:szCs w:val="22"/>
              </w:rPr>
              <w:t>ETH</w:t>
            </w:r>
          </w:p>
        </w:tc>
        <w:tc>
          <w:tcPr>
            <w:tcW w:w="3800" w:type="pct"/>
          </w:tcPr>
          <w:p w14:paraId="39014EBF" w14:textId="4E5B1705" w:rsidR="00E2083F" w:rsidRPr="00D01DDB" w:rsidRDefault="00E2083F" w:rsidP="00E2083F">
            <w:pPr>
              <w:cnfStyle w:val="000000000000" w:firstRow="0" w:lastRow="0" w:firstColumn="0" w:lastColumn="0" w:oddVBand="0" w:evenVBand="0" w:oddHBand="0" w:evenHBand="0" w:firstRowFirstColumn="0" w:firstRowLastColumn="0" w:lastRowFirstColumn="0" w:lastRowLastColumn="0"/>
              <w:rPr>
                <w:szCs w:val="22"/>
              </w:rPr>
            </w:pPr>
            <w:r>
              <w:rPr>
                <w:szCs w:val="22"/>
              </w:rPr>
              <w:t>E</w:t>
            </w:r>
            <w:r w:rsidRPr="00CC5344">
              <w:rPr>
                <w:szCs w:val="22"/>
              </w:rPr>
              <w:t>thambutol</w:t>
            </w:r>
          </w:p>
        </w:tc>
      </w:tr>
      <w:tr w:rsidR="00E2083F" w:rsidRPr="00D01DDB" w14:paraId="3B1AC33A" w14:textId="77777777" w:rsidTr="000A55CE">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1E364C54" w14:textId="020A8123" w:rsidR="00E2083F" w:rsidRPr="00D01DDB" w:rsidRDefault="00E2083F" w:rsidP="00E2083F">
            <w:pPr>
              <w:rPr>
                <w:szCs w:val="22"/>
              </w:rPr>
            </w:pPr>
            <w:r>
              <w:t>FDC</w:t>
            </w:r>
          </w:p>
        </w:tc>
        <w:tc>
          <w:tcPr>
            <w:tcW w:w="3800" w:type="pct"/>
            <w:shd w:val="clear" w:color="auto" w:fill="auto"/>
          </w:tcPr>
          <w:p w14:paraId="241B01A4" w14:textId="6808D75B" w:rsidR="00E2083F" w:rsidRPr="00D01DDB" w:rsidRDefault="00E2083F" w:rsidP="00E2083F">
            <w:pPr>
              <w:cnfStyle w:val="000000000000" w:firstRow="0" w:lastRow="0" w:firstColumn="0" w:lastColumn="0" w:oddVBand="0" w:evenVBand="0" w:oddHBand="0" w:evenHBand="0" w:firstRowFirstColumn="0" w:firstRowLastColumn="0" w:lastRowFirstColumn="0" w:lastRowLastColumn="0"/>
              <w:rPr>
                <w:szCs w:val="22"/>
              </w:rPr>
            </w:pPr>
            <w:r>
              <w:rPr>
                <w:lang w:eastAsia="ja-JP"/>
              </w:rPr>
              <w:t xml:space="preserve">Fixed dose combination </w:t>
            </w:r>
          </w:p>
        </w:tc>
      </w:tr>
      <w:tr w:rsidR="00E2083F" w:rsidRPr="00D01DDB" w14:paraId="3405251A" w14:textId="77777777" w:rsidTr="000A55CE">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1EF90185" w14:textId="6F080FA1" w:rsidR="00E2083F" w:rsidRDefault="00E2083F" w:rsidP="00E2083F">
            <w:r>
              <w:t>HIV</w:t>
            </w:r>
          </w:p>
        </w:tc>
        <w:tc>
          <w:tcPr>
            <w:tcW w:w="3800" w:type="pct"/>
            <w:shd w:val="clear" w:color="auto" w:fill="auto"/>
          </w:tcPr>
          <w:p w14:paraId="51BBFDD1" w14:textId="35D6A505" w:rsidR="00E2083F" w:rsidRDefault="00E2083F" w:rsidP="00E2083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H</w:t>
            </w:r>
            <w:r w:rsidRPr="00960C8B">
              <w:rPr>
                <w:lang w:eastAsia="ja-JP"/>
              </w:rPr>
              <w:t>uman immunodeficiency virus</w:t>
            </w:r>
            <w:r>
              <w:rPr>
                <w:lang w:eastAsia="ja-JP"/>
              </w:rPr>
              <w:t>es</w:t>
            </w:r>
          </w:p>
        </w:tc>
      </w:tr>
      <w:tr w:rsidR="00E2083F" w:rsidRPr="00D01DDB" w14:paraId="655490EC" w14:textId="77777777" w:rsidTr="000A55CE">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3C73B132" w14:textId="779C89ED" w:rsidR="00E2083F" w:rsidRDefault="00E2083F" w:rsidP="00E2083F">
            <w:r>
              <w:t>HPLC</w:t>
            </w:r>
          </w:p>
        </w:tc>
        <w:tc>
          <w:tcPr>
            <w:tcW w:w="3800" w:type="pct"/>
            <w:shd w:val="clear" w:color="auto" w:fill="auto"/>
          </w:tcPr>
          <w:p w14:paraId="3D61A06F" w14:textId="4348738A" w:rsidR="00E2083F" w:rsidRDefault="00E2083F" w:rsidP="00E2083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H</w:t>
            </w:r>
            <w:r w:rsidRPr="00F26534">
              <w:rPr>
                <w:lang w:eastAsia="ja-JP"/>
              </w:rPr>
              <w:t>igh-</w:t>
            </w:r>
            <w:r>
              <w:rPr>
                <w:lang w:eastAsia="ja-JP"/>
              </w:rPr>
              <w:t>p</w:t>
            </w:r>
            <w:r w:rsidRPr="00F26534">
              <w:rPr>
                <w:lang w:eastAsia="ja-JP"/>
              </w:rPr>
              <w:t xml:space="preserve">erformance </w:t>
            </w:r>
            <w:r>
              <w:rPr>
                <w:lang w:eastAsia="ja-JP"/>
              </w:rPr>
              <w:t>l</w:t>
            </w:r>
            <w:r w:rsidRPr="00F26534">
              <w:rPr>
                <w:lang w:eastAsia="ja-JP"/>
              </w:rPr>
              <w:t xml:space="preserve">iquid </w:t>
            </w:r>
            <w:r>
              <w:rPr>
                <w:lang w:eastAsia="ja-JP"/>
              </w:rPr>
              <w:t>c</w:t>
            </w:r>
            <w:r w:rsidRPr="00F26534">
              <w:rPr>
                <w:lang w:eastAsia="ja-JP"/>
              </w:rPr>
              <w:t>hromatography</w:t>
            </w:r>
          </w:p>
        </w:tc>
      </w:tr>
      <w:tr w:rsidR="00E2083F" w:rsidRPr="00D01DDB" w14:paraId="2D761C52" w14:textId="77777777" w:rsidTr="000A55CE">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1D2E0042" w14:textId="5CA3EE2A" w:rsidR="00E2083F" w:rsidRDefault="00E2083F" w:rsidP="00E2083F">
            <w:r>
              <w:t>INH</w:t>
            </w:r>
          </w:p>
        </w:tc>
        <w:tc>
          <w:tcPr>
            <w:tcW w:w="3800" w:type="pct"/>
            <w:shd w:val="clear" w:color="auto" w:fill="auto"/>
          </w:tcPr>
          <w:p w14:paraId="08CCA22C" w14:textId="412BF9AE" w:rsidR="00E2083F" w:rsidRDefault="00E2083F" w:rsidP="00E2083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I</w:t>
            </w:r>
            <w:r w:rsidRPr="00CC5344">
              <w:rPr>
                <w:lang w:eastAsia="ja-JP"/>
              </w:rPr>
              <w:t>soniazid</w:t>
            </w:r>
          </w:p>
        </w:tc>
      </w:tr>
      <w:tr w:rsidR="00E2083F" w:rsidRPr="00D01DDB" w14:paraId="1812CBF4" w14:textId="77777777" w:rsidTr="000A55CE">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042995B8" w14:textId="695D6E5E" w:rsidR="00E2083F" w:rsidRDefault="00E2083F" w:rsidP="00E2083F">
            <w:r>
              <w:t>LF</w:t>
            </w:r>
          </w:p>
        </w:tc>
        <w:tc>
          <w:tcPr>
            <w:tcW w:w="3800" w:type="pct"/>
            <w:shd w:val="clear" w:color="auto" w:fill="auto"/>
          </w:tcPr>
          <w:p w14:paraId="4A6176AE" w14:textId="405FF38D" w:rsidR="00E2083F" w:rsidRDefault="00E2083F" w:rsidP="00E2083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Loose formulation </w:t>
            </w:r>
          </w:p>
        </w:tc>
      </w:tr>
      <w:tr w:rsidR="00E2083F" w:rsidRPr="00D01DDB" w14:paraId="399B98F6" w14:textId="77777777" w:rsidTr="000A55CE">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29028252" w14:textId="04CD064F" w:rsidR="00E2083F" w:rsidRDefault="00E2083F" w:rsidP="00E2083F">
            <w:r>
              <w:t>MDR</w:t>
            </w:r>
          </w:p>
        </w:tc>
        <w:tc>
          <w:tcPr>
            <w:tcW w:w="3800" w:type="pct"/>
            <w:shd w:val="clear" w:color="auto" w:fill="auto"/>
          </w:tcPr>
          <w:p w14:paraId="604E5EE6" w14:textId="4877C13E" w:rsidR="00E2083F" w:rsidRDefault="00E2083F" w:rsidP="00E2083F">
            <w:pPr>
              <w:cnfStyle w:val="000000000000" w:firstRow="0" w:lastRow="0" w:firstColumn="0" w:lastColumn="0" w:oddVBand="0" w:evenVBand="0" w:oddHBand="0" w:evenHBand="0" w:firstRowFirstColumn="0" w:firstRowLastColumn="0" w:lastRowFirstColumn="0" w:lastRowLastColumn="0"/>
              <w:rPr>
                <w:lang w:eastAsia="ja-JP"/>
              </w:rPr>
            </w:pPr>
            <w:r>
              <w:t>Multi-drug resistant</w:t>
            </w:r>
          </w:p>
        </w:tc>
      </w:tr>
      <w:tr w:rsidR="009A4FA2" w:rsidRPr="00D01DDB" w14:paraId="56B2CD03" w14:textId="77777777" w:rsidTr="000A55CE">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080EAA87" w14:textId="702D47C4" w:rsidR="009A4FA2" w:rsidRDefault="009A4FA2" w:rsidP="00E2083F">
            <w:r>
              <w:t>MIC</w:t>
            </w:r>
          </w:p>
        </w:tc>
        <w:tc>
          <w:tcPr>
            <w:tcW w:w="3800" w:type="pct"/>
            <w:shd w:val="clear" w:color="auto" w:fill="auto"/>
          </w:tcPr>
          <w:p w14:paraId="35B0B23E" w14:textId="7DCB70B5" w:rsidR="009A4FA2" w:rsidRDefault="009A4FA2" w:rsidP="00E2083F">
            <w:pPr>
              <w:cnfStyle w:val="000000000000" w:firstRow="0" w:lastRow="0" w:firstColumn="0" w:lastColumn="0" w:oddVBand="0" w:evenVBand="0" w:oddHBand="0" w:evenHBand="0" w:firstRowFirstColumn="0" w:firstRowLastColumn="0" w:lastRowFirstColumn="0" w:lastRowLastColumn="0"/>
            </w:pPr>
            <w:r>
              <w:t>M</w:t>
            </w:r>
            <w:r w:rsidRPr="009A4FA2">
              <w:t>inimum inhibitory concentration</w:t>
            </w:r>
          </w:p>
        </w:tc>
      </w:tr>
      <w:tr w:rsidR="00E2083F" w:rsidRPr="00D01DDB" w14:paraId="1DE4AC09" w14:textId="77777777" w:rsidTr="000A55CE">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77844766" w14:textId="08C167F6" w:rsidR="00E2083F" w:rsidRDefault="00E2083F" w:rsidP="00E2083F">
            <w:r>
              <w:t>PAS</w:t>
            </w:r>
          </w:p>
        </w:tc>
        <w:tc>
          <w:tcPr>
            <w:tcW w:w="3800" w:type="pct"/>
            <w:shd w:val="clear" w:color="auto" w:fill="auto"/>
          </w:tcPr>
          <w:p w14:paraId="28B409B2" w14:textId="147D7720" w:rsidR="00E2083F" w:rsidRDefault="00E2083F" w:rsidP="00E2083F">
            <w:pPr>
              <w:cnfStyle w:val="000000000000" w:firstRow="0" w:lastRow="0" w:firstColumn="0" w:lastColumn="0" w:oddVBand="0" w:evenVBand="0" w:oddHBand="0" w:evenHBand="0" w:firstRowFirstColumn="0" w:firstRowLastColumn="0" w:lastRowFirstColumn="0" w:lastRowLastColumn="0"/>
            </w:pPr>
            <w:r w:rsidRPr="000530C5">
              <w:t>Para-</w:t>
            </w:r>
            <w:proofErr w:type="spellStart"/>
            <w:r w:rsidRPr="000530C5">
              <w:t>aminosalicylic</w:t>
            </w:r>
            <w:proofErr w:type="spellEnd"/>
            <w:r w:rsidRPr="000530C5">
              <w:t xml:space="preserve"> acid</w:t>
            </w:r>
          </w:p>
        </w:tc>
      </w:tr>
      <w:tr w:rsidR="00E2083F" w:rsidRPr="00D01DDB" w14:paraId="10ECFF7D" w14:textId="77777777" w:rsidTr="000A55CE">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38A9337C" w14:textId="262AA1C6" w:rsidR="00E2083F" w:rsidRDefault="00E2083F" w:rsidP="00E2083F">
            <w:r>
              <w:t>PD</w:t>
            </w:r>
          </w:p>
        </w:tc>
        <w:tc>
          <w:tcPr>
            <w:tcW w:w="3800" w:type="pct"/>
            <w:shd w:val="clear" w:color="auto" w:fill="auto"/>
          </w:tcPr>
          <w:p w14:paraId="4E28DE82" w14:textId="3B9D6E20" w:rsidR="00E2083F" w:rsidRPr="000530C5" w:rsidRDefault="00E2083F" w:rsidP="00E2083F">
            <w:pPr>
              <w:cnfStyle w:val="000000000000" w:firstRow="0" w:lastRow="0" w:firstColumn="0" w:lastColumn="0" w:oddVBand="0" w:evenVBand="0" w:oddHBand="0" w:evenHBand="0" w:firstRowFirstColumn="0" w:firstRowLastColumn="0" w:lastRowFirstColumn="0" w:lastRowLastColumn="0"/>
            </w:pPr>
            <w:r>
              <w:t>Pharmacodynamics</w:t>
            </w:r>
          </w:p>
        </w:tc>
      </w:tr>
      <w:tr w:rsidR="00E2083F"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E2083F" w:rsidRPr="00D01DDB" w:rsidRDefault="00E2083F" w:rsidP="00E2083F">
            <w:pPr>
              <w:rPr>
                <w:szCs w:val="22"/>
              </w:rPr>
            </w:pPr>
            <w:r w:rsidRPr="00D01DDB">
              <w:rPr>
                <w:szCs w:val="22"/>
              </w:rPr>
              <w:t>PI</w:t>
            </w:r>
          </w:p>
        </w:tc>
        <w:tc>
          <w:tcPr>
            <w:tcW w:w="3800" w:type="pct"/>
          </w:tcPr>
          <w:p w14:paraId="354B5DB5" w14:textId="3DAE38C1" w:rsidR="00E2083F" w:rsidRPr="00D01DDB" w:rsidRDefault="00E2083F" w:rsidP="00E2083F">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E2083F" w:rsidRPr="00D01DDB" w14:paraId="62763D0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1F8D61D" w14:textId="4D158988" w:rsidR="00E2083F" w:rsidRPr="00D01DDB" w:rsidRDefault="00E2083F" w:rsidP="00E2083F">
            <w:pPr>
              <w:rPr>
                <w:szCs w:val="22"/>
              </w:rPr>
            </w:pPr>
            <w:r>
              <w:rPr>
                <w:szCs w:val="22"/>
              </w:rPr>
              <w:t>PK</w:t>
            </w:r>
          </w:p>
        </w:tc>
        <w:tc>
          <w:tcPr>
            <w:tcW w:w="3800" w:type="pct"/>
          </w:tcPr>
          <w:p w14:paraId="423ABD20" w14:textId="364DBDCD" w:rsidR="00E2083F" w:rsidRPr="00D01DDB" w:rsidRDefault="00E2083F" w:rsidP="00E2083F">
            <w:pPr>
              <w:cnfStyle w:val="000000000000" w:firstRow="0" w:lastRow="0" w:firstColumn="0" w:lastColumn="0" w:oddVBand="0" w:evenVBand="0" w:oddHBand="0" w:evenHBand="0" w:firstRowFirstColumn="0" w:firstRowLastColumn="0" w:lastRowFirstColumn="0" w:lastRowLastColumn="0"/>
            </w:pPr>
            <w:r w:rsidRPr="0049162A">
              <w:t>Pharmacokinetics</w:t>
            </w:r>
          </w:p>
        </w:tc>
      </w:tr>
      <w:tr w:rsidR="00E2083F" w:rsidRPr="00D01DDB" w14:paraId="10566A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28C90DA" w14:textId="22D0B334" w:rsidR="00E2083F" w:rsidRPr="00D01DDB" w:rsidRDefault="00E2083F" w:rsidP="00E2083F">
            <w:pPr>
              <w:rPr>
                <w:szCs w:val="22"/>
              </w:rPr>
            </w:pPr>
            <w:r>
              <w:rPr>
                <w:szCs w:val="22"/>
              </w:rPr>
              <w:t>POA</w:t>
            </w:r>
          </w:p>
        </w:tc>
        <w:tc>
          <w:tcPr>
            <w:tcW w:w="3800" w:type="pct"/>
          </w:tcPr>
          <w:p w14:paraId="059DC335" w14:textId="3EF8969B" w:rsidR="00E2083F" w:rsidRPr="00D01DDB" w:rsidRDefault="00E2083F" w:rsidP="00E2083F">
            <w:pPr>
              <w:cnfStyle w:val="000000000000" w:firstRow="0" w:lastRow="0" w:firstColumn="0" w:lastColumn="0" w:oddVBand="0" w:evenVBand="0" w:oddHBand="0" w:evenHBand="0" w:firstRowFirstColumn="0" w:firstRowLastColumn="0" w:lastRowFirstColumn="0" w:lastRowLastColumn="0"/>
              <w:rPr>
                <w:szCs w:val="22"/>
              </w:rPr>
            </w:pPr>
            <w:proofErr w:type="spellStart"/>
            <w:r>
              <w:rPr>
                <w:szCs w:val="22"/>
              </w:rPr>
              <w:t>P</w:t>
            </w:r>
            <w:r w:rsidRPr="009A4458">
              <w:rPr>
                <w:szCs w:val="22"/>
              </w:rPr>
              <w:t>yrazinoic</w:t>
            </w:r>
            <w:proofErr w:type="spellEnd"/>
            <w:r w:rsidRPr="009A4458">
              <w:rPr>
                <w:szCs w:val="22"/>
              </w:rPr>
              <w:t xml:space="preserve"> acid (POA)</w:t>
            </w:r>
          </w:p>
        </w:tc>
      </w:tr>
      <w:tr w:rsidR="00E2083F" w:rsidRPr="00D01DDB" w14:paraId="3D3C70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FC5D65" w14:textId="2915A0B8" w:rsidR="00E2083F" w:rsidRPr="00D01DDB" w:rsidRDefault="00E2083F" w:rsidP="00E2083F">
            <w:pPr>
              <w:rPr>
                <w:szCs w:val="22"/>
              </w:rPr>
            </w:pPr>
            <w:r w:rsidRPr="00D01DDB">
              <w:rPr>
                <w:szCs w:val="22"/>
              </w:rPr>
              <w:lastRenderedPageBreak/>
              <w:t>PSUR</w:t>
            </w:r>
          </w:p>
        </w:tc>
        <w:tc>
          <w:tcPr>
            <w:tcW w:w="3800" w:type="pct"/>
          </w:tcPr>
          <w:p w14:paraId="4A97D112" w14:textId="3DC38D82" w:rsidR="00E2083F" w:rsidRPr="00D01DDB" w:rsidRDefault="00E2083F" w:rsidP="00E2083F">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E2083F" w:rsidRPr="00D01DDB" w14:paraId="3450660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BC5DD2E" w14:textId="13270B4A" w:rsidR="00E2083F" w:rsidRPr="00D01DDB" w:rsidRDefault="00E2083F" w:rsidP="00E2083F">
            <w:pPr>
              <w:rPr>
                <w:szCs w:val="22"/>
              </w:rPr>
            </w:pPr>
            <w:r>
              <w:rPr>
                <w:szCs w:val="22"/>
              </w:rPr>
              <w:t>PZA</w:t>
            </w:r>
          </w:p>
        </w:tc>
        <w:tc>
          <w:tcPr>
            <w:tcW w:w="3800" w:type="pct"/>
          </w:tcPr>
          <w:p w14:paraId="60C302D4" w14:textId="5844CEBE" w:rsidR="00E2083F" w:rsidRPr="00D01DDB" w:rsidRDefault="00E2083F" w:rsidP="00E2083F">
            <w:pPr>
              <w:cnfStyle w:val="000000000000" w:firstRow="0" w:lastRow="0" w:firstColumn="0" w:lastColumn="0" w:oddVBand="0" w:evenVBand="0" w:oddHBand="0" w:evenHBand="0" w:firstRowFirstColumn="0" w:firstRowLastColumn="0" w:lastRowFirstColumn="0" w:lastRowLastColumn="0"/>
              <w:rPr>
                <w:szCs w:val="22"/>
              </w:rPr>
            </w:pPr>
            <w:r w:rsidRPr="002F32F1">
              <w:rPr>
                <w:szCs w:val="22"/>
              </w:rPr>
              <w:t xml:space="preserve">Pyrazinamide </w:t>
            </w:r>
          </w:p>
        </w:tc>
      </w:tr>
      <w:tr w:rsidR="00E2083F" w:rsidRPr="00D01DDB" w14:paraId="65D154C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B5F0044" w14:textId="5073782E" w:rsidR="00E2083F" w:rsidRDefault="00E2083F" w:rsidP="00E2083F">
            <w:pPr>
              <w:rPr>
                <w:szCs w:val="22"/>
              </w:rPr>
            </w:pPr>
            <w:r>
              <w:rPr>
                <w:szCs w:val="22"/>
              </w:rPr>
              <w:t>RIF</w:t>
            </w:r>
          </w:p>
        </w:tc>
        <w:tc>
          <w:tcPr>
            <w:tcW w:w="3800" w:type="pct"/>
          </w:tcPr>
          <w:p w14:paraId="069A3AE0" w14:textId="3453704B" w:rsidR="00E2083F" w:rsidRPr="002F32F1" w:rsidRDefault="00E2083F" w:rsidP="00E2083F">
            <w:pPr>
              <w:cnfStyle w:val="000000000000" w:firstRow="0" w:lastRow="0" w:firstColumn="0" w:lastColumn="0" w:oddVBand="0" w:evenVBand="0" w:oddHBand="0" w:evenHBand="0" w:firstRowFirstColumn="0" w:firstRowLastColumn="0" w:lastRowFirstColumn="0" w:lastRowLastColumn="0"/>
              <w:rPr>
                <w:szCs w:val="22"/>
              </w:rPr>
            </w:pPr>
            <w:r>
              <w:rPr>
                <w:szCs w:val="22"/>
              </w:rPr>
              <w:t>R</w:t>
            </w:r>
            <w:r w:rsidRPr="00CC5344">
              <w:rPr>
                <w:szCs w:val="22"/>
              </w:rPr>
              <w:t>ifampicin</w:t>
            </w:r>
          </w:p>
        </w:tc>
      </w:tr>
      <w:tr w:rsidR="00E2083F"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E2083F" w:rsidRPr="00D01DDB" w:rsidRDefault="00E2083F" w:rsidP="00E2083F">
            <w:pPr>
              <w:rPr>
                <w:szCs w:val="22"/>
              </w:rPr>
            </w:pPr>
            <w:r w:rsidRPr="00D01DDB">
              <w:rPr>
                <w:szCs w:val="22"/>
              </w:rPr>
              <w:t>RMP</w:t>
            </w:r>
          </w:p>
        </w:tc>
        <w:tc>
          <w:tcPr>
            <w:tcW w:w="3800" w:type="pct"/>
          </w:tcPr>
          <w:p w14:paraId="2C862F75" w14:textId="2355E842" w:rsidR="00E2083F" w:rsidRPr="00D01DDB" w:rsidRDefault="00E2083F" w:rsidP="00E2083F">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E2083F" w:rsidRPr="00D01DDB" w14:paraId="2E9A1B7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8DA2E31" w14:textId="691D4407" w:rsidR="00E2083F" w:rsidRDefault="00E2083F" w:rsidP="00E2083F">
            <w:pPr>
              <w:rPr>
                <w:szCs w:val="22"/>
              </w:rPr>
            </w:pPr>
            <w:r w:rsidRPr="00B50E46">
              <w:rPr>
                <w:szCs w:val="22"/>
              </w:rPr>
              <w:t>T</w:t>
            </w:r>
            <w:r w:rsidRPr="00B50E46">
              <w:rPr>
                <w:szCs w:val="22"/>
                <w:vertAlign w:val="subscript"/>
              </w:rPr>
              <w:t>1/2β</w:t>
            </w:r>
          </w:p>
        </w:tc>
        <w:tc>
          <w:tcPr>
            <w:tcW w:w="3800" w:type="pct"/>
          </w:tcPr>
          <w:p w14:paraId="152B0637" w14:textId="6B495D3B" w:rsidR="00E2083F" w:rsidRPr="00871B7F" w:rsidRDefault="00E2083F" w:rsidP="00E2083F">
            <w:pPr>
              <w:cnfStyle w:val="000000000000" w:firstRow="0" w:lastRow="0" w:firstColumn="0" w:lastColumn="0" w:oddVBand="0" w:evenVBand="0" w:oddHBand="0" w:evenHBand="0" w:firstRowFirstColumn="0" w:firstRowLastColumn="0" w:lastRowFirstColumn="0" w:lastRowLastColumn="0"/>
              <w:rPr>
                <w:szCs w:val="22"/>
              </w:rPr>
            </w:pPr>
            <w:r>
              <w:rPr>
                <w:szCs w:val="22"/>
              </w:rPr>
              <w:t>Elimination half-life</w:t>
            </w:r>
          </w:p>
        </w:tc>
      </w:tr>
      <w:tr w:rsidR="00E2083F" w:rsidRPr="00D01DDB" w14:paraId="5019C2F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1565B5A" w14:textId="1FF2B96A" w:rsidR="00E2083F" w:rsidRPr="00D01DDB" w:rsidRDefault="00E2083F" w:rsidP="00E2083F">
            <w:pPr>
              <w:rPr>
                <w:szCs w:val="22"/>
              </w:rPr>
            </w:pPr>
            <w:r>
              <w:rPr>
                <w:szCs w:val="22"/>
              </w:rPr>
              <w:t>TB</w:t>
            </w:r>
          </w:p>
        </w:tc>
        <w:tc>
          <w:tcPr>
            <w:tcW w:w="3800" w:type="pct"/>
          </w:tcPr>
          <w:p w14:paraId="28FB69E2" w14:textId="671B3C63" w:rsidR="00E2083F" w:rsidRPr="00D01DDB" w:rsidRDefault="00E2083F" w:rsidP="00E2083F">
            <w:pPr>
              <w:cnfStyle w:val="000000000000" w:firstRow="0" w:lastRow="0" w:firstColumn="0" w:lastColumn="0" w:oddVBand="0" w:evenVBand="0" w:oddHBand="0" w:evenHBand="0" w:firstRowFirstColumn="0" w:firstRowLastColumn="0" w:lastRowFirstColumn="0" w:lastRowLastColumn="0"/>
              <w:rPr>
                <w:szCs w:val="22"/>
              </w:rPr>
            </w:pPr>
            <w:r w:rsidRPr="00871B7F">
              <w:rPr>
                <w:szCs w:val="22"/>
              </w:rPr>
              <w:t>Tuberculosis</w:t>
            </w:r>
          </w:p>
        </w:tc>
      </w:tr>
      <w:tr w:rsidR="00E2083F" w:rsidRPr="00D01DDB" w14:paraId="7651D190" w14:textId="77777777" w:rsidTr="00C0581A">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59918496" w14:textId="24645EC2" w:rsidR="00E2083F" w:rsidRDefault="00E2083F" w:rsidP="00E2083F">
            <w:pPr>
              <w:rPr>
                <w:szCs w:val="22"/>
              </w:rPr>
            </w:pPr>
            <w:r>
              <w:rPr>
                <w:lang w:eastAsia="ja-JP"/>
              </w:rPr>
              <w:t>TBM</w:t>
            </w:r>
          </w:p>
        </w:tc>
        <w:tc>
          <w:tcPr>
            <w:tcW w:w="3800" w:type="pct"/>
            <w:shd w:val="clear" w:color="auto" w:fill="auto"/>
          </w:tcPr>
          <w:p w14:paraId="3E985DC3" w14:textId="3993F6F8" w:rsidR="00E2083F" w:rsidRPr="00871B7F" w:rsidRDefault="00E2083F" w:rsidP="00E2083F">
            <w:pPr>
              <w:cnfStyle w:val="000000000000" w:firstRow="0" w:lastRow="0" w:firstColumn="0" w:lastColumn="0" w:oddVBand="0" w:evenVBand="0" w:oddHBand="0" w:evenHBand="0" w:firstRowFirstColumn="0" w:firstRowLastColumn="0" w:lastRowFirstColumn="0" w:lastRowLastColumn="0"/>
              <w:rPr>
                <w:szCs w:val="22"/>
              </w:rPr>
            </w:pPr>
            <w:r>
              <w:rPr>
                <w:lang w:eastAsia="ja-JP"/>
              </w:rPr>
              <w:t>Tuberculous meningitis</w:t>
            </w:r>
          </w:p>
        </w:tc>
      </w:tr>
      <w:tr w:rsidR="00E2083F"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E2083F" w:rsidRPr="00D01DDB" w:rsidRDefault="00E2083F" w:rsidP="00E2083F">
            <w:pPr>
              <w:rPr>
                <w:szCs w:val="22"/>
              </w:rPr>
            </w:pPr>
            <w:r w:rsidRPr="00D01DDB">
              <w:rPr>
                <w:szCs w:val="22"/>
              </w:rPr>
              <w:t>TGA</w:t>
            </w:r>
          </w:p>
        </w:tc>
        <w:tc>
          <w:tcPr>
            <w:tcW w:w="3800" w:type="pct"/>
          </w:tcPr>
          <w:p w14:paraId="29EA6BA3" w14:textId="6F99059F" w:rsidR="00E2083F" w:rsidRPr="00D01DDB" w:rsidRDefault="00E2083F" w:rsidP="00E2083F">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E2083F" w:rsidRPr="00D01DDB" w14:paraId="6D78823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642DAA1" w14:textId="30C6765E" w:rsidR="00E2083F" w:rsidRPr="00D01DDB" w:rsidRDefault="00E2083F" w:rsidP="00E2083F">
            <w:pPr>
              <w:rPr>
                <w:szCs w:val="22"/>
              </w:rPr>
            </w:pPr>
            <w:proofErr w:type="spellStart"/>
            <w:r>
              <w:rPr>
                <w:szCs w:val="22"/>
              </w:rPr>
              <w:t>T</w:t>
            </w:r>
            <w:r w:rsidRPr="00927BC0">
              <w:rPr>
                <w:szCs w:val="22"/>
                <w:vertAlign w:val="subscript"/>
              </w:rPr>
              <w:t>max</w:t>
            </w:r>
            <w:proofErr w:type="spellEnd"/>
          </w:p>
        </w:tc>
        <w:tc>
          <w:tcPr>
            <w:tcW w:w="3800" w:type="pct"/>
          </w:tcPr>
          <w:p w14:paraId="1DCA1AF2" w14:textId="2EC45825" w:rsidR="00E2083F" w:rsidRPr="00D01DDB" w:rsidRDefault="00E2083F" w:rsidP="00E2083F">
            <w:pPr>
              <w:cnfStyle w:val="000000000000" w:firstRow="0" w:lastRow="0" w:firstColumn="0" w:lastColumn="0" w:oddVBand="0" w:evenVBand="0" w:oddHBand="0" w:evenHBand="0" w:firstRowFirstColumn="0" w:firstRowLastColumn="0" w:lastRowFirstColumn="0" w:lastRowLastColumn="0"/>
              <w:rPr>
                <w:szCs w:val="22"/>
              </w:rPr>
            </w:pPr>
            <w:r w:rsidRPr="003D1942">
              <w:rPr>
                <w:szCs w:val="22"/>
              </w:rPr>
              <w:t>Time after administration of a drug when the maximum plasma concentration is reached</w:t>
            </w:r>
          </w:p>
        </w:tc>
      </w:tr>
      <w:tr w:rsidR="00E2083F" w:rsidRPr="00D01DDB" w14:paraId="7B7CF8C4" w14:textId="77777777" w:rsidTr="00200F3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5EF01298" w14:textId="0C114919" w:rsidR="00E2083F" w:rsidRPr="00D01DDB" w:rsidRDefault="00E2083F" w:rsidP="00E2083F">
            <w:pPr>
              <w:rPr>
                <w:szCs w:val="22"/>
              </w:rPr>
            </w:pPr>
            <w:r>
              <w:rPr>
                <w:lang w:eastAsia="ja-JP"/>
              </w:rPr>
              <w:t>TTCC</w:t>
            </w:r>
          </w:p>
        </w:tc>
        <w:tc>
          <w:tcPr>
            <w:tcW w:w="3800" w:type="pct"/>
            <w:shd w:val="clear" w:color="auto" w:fill="auto"/>
          </w:tcPr>
          <w:p w14:paraId="3B064B21" w14:textId="0E2DF53D" w:rsidR="00E2083F" w:rsidRPr="00D01DDB" w:rsidRDefault="00E2083F" w:rsidP="00E2083F">
            <w:pPr>
              <w:cnfStyle w:val="000000000000" w:firstRow="0" w:lastRow="0" w:firstColumn="0" w:lastColumn="0" w:oddVBand="0" w:evenVBand="0" w:oddHBand="0" w:evenHBand="0" w:firstRowFirstColumn="0" w:firstRowLastColumn="0" w:lastRowFirstColumn="0" w:lastRowLastColumn="0"/>
              <w:rPr>
                <w:szCs w:val="22"/>
              </w:rPr>
            </w:pPr>
            <w:r>
              <w:rPr>
                <w:lang w:eastAsia="ja-JP"/>
              </w:rPr>
              <w:t>Time to culture conversion</w:t>
            </w:r>
          </w:p>
        </w:tc>
      </w:tr>
      <w:tr w:rsidR="00E2083F" w:rsidRPr="00D01DDB" w14:paraId="4BDC33D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819C5F" w14:textId="5B257E75" w:rsidR="00E2083F" w:rsidRPr="00D01DDB" w:rsidRDefault="00E2083F" w:rsidP="00E2083F">
            <w:pPr>
              <w:rPr>
                <w:szCs w:val="22"/>
              </w:rPr>
            </w:pPr>
            <w:r>
              <w:rPr>
                <w:szCs w:val="22"/>
              </w:rPr>
              <w:t>WHO</w:t>
            </w:r>
          </w:p>
        </w:tc>
        <w:tc>
          <w:tcPr>
            <w:tcW w:w="3800" w:type="pct"/>
          </w:tcPr>
          <w:p w14:paraId="4458E485" w14:textId="1275A5FA" w:rsidR="00E2083F" w:rsidRPr="00D01DDB" w:rsidRDefault="00E2083F" w:rsidP="00E2083F">
            <w:pPr>
              <w:cnfStyle w:val="000000000000" w:firstRow="0" w:lastRow="0" w:firstColumn="0" w:lastColumn="0" w:oddVBand="0" w:evenVBand="0" w:oddHBand="0" w:evenHBand="0" w:firstRowFirstColumn="0" w:firstRowLastColumn="0" w:lastRowFirstColumn="0" w:lastRowLastColumn="0"/>
              <w:rPr>
                <w:szCs w:val="22"/>
              </w:rPr>
            </w:pPr>
            <w:r>
              <w:rPr>
                <w:szCs w:val="22"/>
              </w:rPr>
              <w:t>World Health Organisation</w:t>
            </w:r>
          </w:p>
        </w:tc>
      </w:tr>
    </w:tbl>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7" w:name="_Toc103679288"/>
      <w:bookmarkStart w:id="8" w:name="_Toc205388651"/>
      <w:r>
        <w:lastRenderedPageBreak/>
        <w:t>Product submission</w:t>
      </w:r>
      <w:bookmarkEnd w:id="7"/>
      <w:bookmarkEnd w:id="8"/>
    </w:p>
    <w:p w14:paraId="21D559DF" w14:textId="77777777" w:rsidR="00324B33" w:rsidRDefault="00324B33" w:rsidP="00324B33">
      <w:pPr>
        <w:pStyle w:val="Heading3"/>
        <w:rPr>
          <w:lang w:eastAsia="en-AU"/>
        </w:rPr>
      </w:pPr>
      <w:bookmarkStart w:id="9" w:name="_Toc247691502"/>
      <w:bookmarkStart w:id="10" w:name="_Toc314842483"/>
      <w:bookmarkStart w:id="11" w:name="_Toc103679289"/>
      <w:bookmarkStart w:id="12" w:name="_Toc205388652"/>
      <w:r>
        <w:rPr>
          <w:lang w:eastAsia="en-AU"/>
        </w:rPr>
        <w:t>Submission details</w:t>
      </w:r>
      <w:bookmarkEnd w:id="9"/>
      <w:bookmarkEnd w:id="10"/>
      <w:bookmarkEnd w:id="11"/>
      <w:bookmarkEnd w:id="12"/>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4481EADE" w:rsidR="00324B33" w:rsidRPr="00BD5DBD" w:rsidRDefault="00324B33" w:rsidP="007452E8">
            <w:pPr>
              <w:rPr>
                <w:i/>
                <w:szCs w:val="22"/>
              </w:rPr>
            </w:pPr>
            <w:r w:rsidRPr="00BD5DBD">
              <w:rPr>
                <w:i/>
                <w:szCs w:val="22"/>
              </w:rPr>
              <w:t>Type of submission:</w:t>
            </w:r>
          </w:p>
        </w:tc>
        <w:tc>
          <w:tcPr>
            <w:tcW w:w="3423" w:type="pct"/>
          </w:tcPr>
          <w:p w14:paraId="4F07C303" w14:textId="49489DF0" w:rsidR="00324B33" w:rsidRPr="00BD5DBD" w:rsidRDefault="00324B33" w:rsidP="007452E8">
            <w:pPr>
              <w:rPr>
                <w:szCs w:val="22"/>
              </w:rPr>
            </w:pPr>
            <w:r w:rsidRPr="00BD5DBD">
              <w:rPr>
                <w:szCs w:val="22"/>
              </w:rPr>
              <w:t xml:space="preserve">New chemical entity </w:t>
            </w:r>
          </w:p>
        </w:tc>
      </w:tr>
      <w:tr w:rsidR="00324B33" w:rsidRPr="00BD5DBD" w14:paraId="13482B61" w14:textId="77777777" w:rsidTr="00F865A7">
        <w:tc>
          <w:tcPr>
            <w:tcW w:w="1577" w:type="pct"/>
          </w:tcPr>
          <w:p w14:paraId="2C427FCF" w14:textId="02F0938B" w:rsidR="00324B33" w:rsidRPr="00BD5DBD" w:rsidRDefault="00324B33" w:rsidP="007452E8">
            <w:pPr>
              <w:rPr>
                <w:i/>
                <w:szCs w:val="22"/>
              </w:rPr>
            </w:pPr>
            <w:r w:rsidRPr="00BD5DBD">
              <w:rPr>
                <w:i/>
                <w:szCs w:val="22"/>
              </w:rPr>
              <w:t>Product name:</w:t>
            </w:r>
          </w:p>
        </w:tc>
        <w:tc>
          <w:tcPr>
            <w:tcW w:w="3423" w:type="pct"/>
          </w:tcPr>
          <w:p w14:paraId="0E2DEF76" w14:textId="28CBE567" w:rsidR="00324B33" w:rsidRPr="00BD5DBD" w:rsidRDefault="00812821" w:rsidP="007452E8">
            <w:pPr>
              <w:rPr>
                <w:szCs w:val="22"/>
              </w:rPr>
            </w:pPr>
            <w:r>
              <w:rPr>
                <w:szCs w:val="22"/>
              </w:rPr>
              <w:t>Pyrazinamide AFT</w:t>
            </w:r>
          </w:p>
        </w:tc>
      </w:tr>
      <w:tr w:rsidR="00324B33" w:rsidRPr="00BD5DBD" w14:paraId="01255B5B" w14:textId="77777777" w:rsidTr="00F865A7">
        <w:tc>
          <w:tcPr>
            <w:tcW w:w="1577" w:type="pct"/>
          </w:tcPr>
          <w:p w14:paraId="52B4F3D7" w14:textId="274CFF90" w:rsidR="00324B33" w:rsidRPr="00BD5DBD" w:rsidRDefault="00324B33" w:rsidP="007452E8">
            <w:pPr>
              <w:rPr>
                <w:i/>
                <w:szCs w:val="22"/>
              </w:rPr>
            </w:pPr>
            <w:r w:rsidRPr="00BD5DBD">
              <w:rPr>
                <w:i/>
                <w:szCs w:val="22"/>
              </w:rPr>
              <w:t>Active ingredient:</w:t>
            </w:r>
          </w:p>
        </w:tc>
        <w:tc>
          <w:tcPr>
            <w:tcW w:w="3423" w:type="pct"/>
          </w:tcPr>
          <w:p w14:paraId="02FB6383" w14:textId="7B8E8486" w:rsidR="00324B33" w:rsidRPr="00BD5DBD" w:rsidRDefault="00DC20B8" w:rsidP="007452E8">
            <w:pPr>
              <w:rPr>
                <w:szCs w:val="22"/>
              </w:rPr>
            </w:pPr>
            <w:r>
              <w:rPr>
                <w:szCs w:val="22"/>
              </w:rPr>
              <w:t>Pyrazinamide</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77BE2C6F" w:rsidR="00324B33" w:rsidRPr="00BD5DBD" w:rsidRDefault="00324B33" w:rsidP="007452E8">
            <w:pPr>
              <w:rPr>
                <w:szCs w:val="22"/>
              </w:rPr>
            </w:pPr>
            <w:r w:rsidRPr="00BD5DBD">
              <w:rPr>
                <w:szCs w:val="22"/>
              </w:rPr>
              <w:t xml:space="preserve">Approved </w:t>
            </w:r>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72A8C373" w:rsidR="00AE1947" w:rsidRPr="00BD5DBD" w:rsidRDefault="001344C6" w:rsidP="00602658">
            <w:pPr>
              <w:rPr>
                <w:szCs w:val="22"/>
              </w:rPr>
            </w:pPr>
            <w:r>
              <w:rPr>
                <w:szCs w:val="22"/>
              </w:rPr>
              <w:t>30</w:t>
            </w:r>
            <w:r w:rsidR="007D6556">
              <w:rPr>
                <w:szCs w:val="22"/>
              </w:rPr>
              <w:t xml:space="preserve"> April </w:t>
            </w:r>
            <w:r w:rsidR="000409A5">
              <w:rPr>
                <w:szCs w:val="22"/>
              </w:rPr>
              <w:t>2025</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0606592D" w:rsidR="00324B33" w:rsidRPr="00BD5DBD" w:rsidRDefault="00D12CB4" w:rsidP="007452E8">
            <w:pPr>
              <w:rPr>
                <w:szCs w:val="22"/>
              </w:rPr>
            </w:pPr>
            <w:r>
              <w:rPr>
                <w:szCs w:val="22"/>
              </w:rPr>
              <w:t>2 May 2025</w:t>
            </w:r>
          </w:p>
        </w:tc>
      </w:tr>
      <w:tr w:rsidR="00324B33" w:rsidRPr="00BD5DBD" w14:paraId="547E08D7" w14:textId="77777777" w:rsidTr="00F865A7">
        <w:tc>
          <w:tcPr>
            <w:tcW w:w="1577" w:type="pct"/>
          </w:tcPr>
          <w:p w14:paraId="5030EF30" w14:textId="41651D93" w:rsidR="00324B33" w:rsidRPr="00BD5DBD" w:rsidRDefault="00324B33" w:rsidP="007452E8">
            <w:pPr>
              <w:rPr>
                <w:i/>
                <w:szCs w:val="22"/>
              </w:rPr>
            </w:pPr>
            <w:r w:rsidRPr="00BD5DBD">
              <w:rPr>
                <w:i/>
                <w:szCs w:val="22"/>
              </w:rPr>
              <w:t>ARTG numbe</w:t>
            </w:r>
            <w:r w:rsidR="0075673C">
              <w:rPr>
                <w:i/>
                <w:szCs w:val="22"/>
              </w:rPr>
              <w:t>r</w:t>
            </w:r>
            <w:r w:rsidRPr="00BD5DBD">
              <w:rPr>
                <w:i/>
                <w:szCs w:val="22"/>
              </w:rPr>
              <w:t>:</w:t>
            </w:r>
          </w:p>
        </w:tc>
        <w:tc>
          <w:tcPr>
            <w:tcW w:w="3423" w:type="pct"/>
          </w:tcPr>
          <w:p w14:paraId="0054E912" w14:textId="4F3D07F2" w:rsidR="00324B33" w:rsidRPr="00BD5DBD" w:rsidRDefault="0075673C" w:rsidP="007452E8">
            <w:pPr>
              <w:rPr>
                <w:szCs w:val="22"/>
              </w:rPr>
            </w:pPr>
            <w:r>
              <w:rPr>
                <w:szCs w:val="22"/>
              </w:rPr>
              <w:t>413090</w:t>
            </w:r>
          </w:p>
        </w:tc>
      </w:tr>
      <w:tr w:rsidR="00324B33" w:rsidRPr="00BD5DBD" w14:paraId="7618393F" w14:textId="77777777" w:rsidTr="00F865A7">
        <w:tc>
          <w:tcPr>
            <w:tcW w:w="1577" w:type="pct"/>
          </w:tcPr>
          <w:p w14:paraId="6C24CEB6" w14:textId="6A7FE944" w:rsidR="00E47E0C" w:rsidRPr="00BD5DBD" w:rsidRDefault="00324B33" w:rsidP="007452E8">
            <w:pPr>
              <w:rPr>
                <w:rStyle w:val="Hyperlink"/>
                <w:i/>
                <w:szCs w:val="22"/>
              </w:rPr>
            </w:pPr>
            <w:r w:rsidRPr="00BD5DBD">
              <w:rPr>
                <w:rFonts w:ascii="Wingdings 3" w:hAnsi="Wingdings 3"/>
                <w:szCs w:val="22"/>
                <w:lang w:eastAsia="en-AU"/>
              </w:rPr>
              <w:t></w:t>
            </w:r>
            <w:hyperlink r:id="rId15"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53C24854" w14:textId="77777777" w:rsidR="00324B33" w:rsidRDefault="00324B33" w:rsidP="007452E8">
            <w:pPr>
              <w:rPr>
                <w:szCs w:val="22"/>
              </w:rPr>
            </w:pPr>
            <w:r w:rsidRPr="00BD5DBD">
              <w:rPr>
                <w:szCs w:val="22"/>
              </w:rPr>
              <w:t>Yes</w:t>
            </w:r>
          </w:p>
          <w:p w14:paraId="6FF3C6A2" w14:textId="6D795D6B" w:rsidR="00897466" w:rsidRPr="000B0935" w:rsidRDefault="00897466" w:rsidP="00897466">
            <w:pPr>
              <w:rPr>
                <w:i/>
                <w:iCs/>
                <w:szCs w:val="22"/>
              </w:rPr>
            </w:pPr>
            <w:r w:rsidRPr="00897466">
              <w:rPr>
                <w:i/>
                <w:iCs/>
                <w:szCs w:val="22"/>
              </w:rPr>
              <w:t>The</w:t>
            </w:r>
            <w:r w:rsidRPr="000B0935">
              <w:rPr>
                <w:i/>
                <w:iCs/>
                <w:szCs w:val="22"/>
              </w:rPr>
              <w:t xml:space="preserve"> </w:t>
            </w:r>
            <w:r w:rsidRPr="00897466">
              <w:rPr>
                <w:i/>
                <w:iCs/>
                <w:szCs w:val="22"/>
              </w:rPr>
              <w:t>PI and CMI for Pyrazinamide-AFT must include the black triangle symbol and</w:t>
            </w:r>
            <w:r w:rsidRPr="000B0935">
              <w:rPr>
                <w:i/>
                <w:iCs/>
                <w:szCs w:val="22"/>
              </w:rPr>
              <w:t xml:space="preserve"> </w:t>
            </w:r>
            <w:r w:rsidRPr="00897466">
              <w:rPr>
                <w:i/>
                <w:iCs/>
                <w:szCs w:val="22"/>
              </w:rPr>
              <w:t>mandatory accompanying text for five years, which starts from the date of first supply</w:t>
            </w:r>
            <w:r w:rsidRPr="000B0935">
              <w:rPr>
                <w:i/>
                <w:iCs/>
                <w:szCs w:val="22"/>
              </w:rPr>
              <w:t xml:space="preserve"> of the product.</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293ACAAF" w14:textId="77777777" w:rsidR="00324B33" w:rsidRDefault="009C7130" w:rsidP="007452E8">
            <w:pPr>
              <w:rPr>
                <w:szCs w:val="22"/>
              </w:rPr>
            </w:pPr>
            <w:r>
              <w:rPr>
                <w:szCs w:val="22"/>
              </w:rPr>
              <w:t>AFT Pharmaceuticals Pty Ltd</w:t>
            </w:r>
          </w:p>
          <w:p w14:paraId="3BA8A228" w14:textId="77777777" w:rsidR="00367484" w:rsidRDefault="00367484" w:rsidP="00367484">
            <w:pPr>
              <w:rPr>
                <w:szCs w:val="22"/>
                <w:lang w:val="en-NZ"/>
              </w:rPr>
            </w:pPr>
            <w:r w:rsidRPr="00367484">
              <w:rPr>
                <w:szCs w:val="22"/>
                <w:lang w:val="en-NZ"/>
              </w:rPr>
              <w:t xml:space="preserve">Suite 301, 113 Wicks Road, </w:t>
            </w:r>
          </w:p>
          <w:p w14:paraId="6F4477DE" w14:textId="77777777" w:rsidR="00367484" w:rsidRDefault="00367484" w:rsidP="00367484">
            <w:pPr>
              <w:rPr>
                <w:szCs w:val="22"/>
                <w:lang w:val="en-NZ"/>
              </w:rPr>
            </w:pPr>
            <w:r w:rsidRPr="00367484">
              <w:rPr>
                <w:szCs w:val="22"/>
                <w:lang w:val="en-NZ"/>
              </w:rPr>
              <w:t xml:space="preserve">North Ryde, </w:t>
            </w:r>
          </w:p>
          <w:p w14:paraId="68DD94B0" w14:textId="494D09DA" w:rsidR="009C7130" w:rsidRPr="00BD5DBD" w:rsidRDefault="00367484" w:rsidP="00367484">
            <w:pPr>
              <w:rPr>
                <w:szCs w:val="22"/>
              </w:rPr>
            </w:pPr>
            <w:r w:rsidRPr="00367484">
              <w:rPr>
                <w:szCs w:val="22"/>
                <w:lang w:val="en-NZ"/>
              </w:rPr>
              <w:t>NSW 2113</w:t>
            </w:r>
          </w:p>
        </w:tc>
      </w:tr>
      <w:tr w:rsidR="00324B33" w:rsidRPr="00BD5DBD" w14:paraId="5322B989" w14:textId="77777777" w:rsidTr="00F865A7">
        <w:tc>
          <w:tcPr>
            <w:tcW w:w="1577" w:type="pct"/>
          </w:tcPr>
          <w:p w14:paraId="24F217E3" w14:textId="7AA0509E" w:rsidR="00324B33" w:rsidRPr="00BD5DBD" w:rsidRDefault="00324B33" w:rsidP="007452E8">
            <w:pPr>
              <w:rPr>
                <w:i/>
                <w:szCs w:val="22"/>
              </w:rPr>
            </w:pPr>
            <w:r w:rsidRPr="00BD5DBD">
              <w:rPr>
                <w:i/>
                <w:szCs w:val="22"/>
              </w:rPr>
              <w:t>Dose form:</w:t>
            </w:r>
          </w:p>
        </w:tc>
        <w:tc>
          <w:tcPr>
            <w:tcW w:w="3423" w:type="pct"/>
          </w:tcPr>
          <w:p w14:paraId="768B254C" w14:textId="28458F14" w:rsidR="00324B33" w:rsidRPr="00BD5DBD" w:rsidRDefault="009D69C3" w:rsidP="007452E8">
            <w:pPr>
              <w:rPr>
                <w:szCs w:val="22"/>
              </w:rPr>
            </w:pPr>
            <w:r>
              <w:rPr>
                <w:szCs w:val="22"/>
              </w:rPr>
              <w:t>500 mg tablet</w:t>
            </w:r>
          </w:p>
        </w:tc>
      </w:tr>
      <w:tr w:rsidR="00324B33" w:rsidRPr="00BD5DBD" w14:paraId="176B6773" w14:textId="77777777" w:rsidTr="00F865A7">
        <w:tc>
          <w:tcPr>
            <w:tcW w:w="1577" w:type="pct"/>
          </w:tcPr>
          <w:p w14:paraId="71846159" w14:textId="274D074C" w:rsidR="00324B33" w:rsidRPr="00BD5DBD" w:rsidRDefault="00324B33" w:rsidP="007452E8">
            <w:pPr>
              <w:rPr>
                <w:i/>
                <w:szCs w:val="22"/>
              </w:rPr>
            </w:pPr>
            <w:r w:rsidRPr="00BD5DBD">
              <w:rPr>
                <w:i/>
                <w:szCs w:val="22"/>
              </w:rPr>
              <w:t>Pack size:</w:t>
            </w:r>
          </w:p>
        </w:tc>
        <w:tc>
          <w:tcPr>
            <w:tcW w:w="3423" w:type="pct"/>
          </w:tcPr>
          <w:p w14:paraId="7E978F8F" w14:textId="246E1604" w:rsidR="00324B33" w:rsidRPr="00BD5DBD" w:rsidRDefault="00430CF6" w:rsidP="007452E8">
            <w:pPr>
              <w:rPr>
                <w:szCs w:val="22"/>
              </w:rPr>
            </w:pPr>
            <w:r>
              <w:rPr>
                <w:szCs w:val="22"/>
              </w:rPr>
              <w:t xml:space="preserve">HDPE </w:t>
            </w:r>
            <w:r w:rsidR="00312E31" w:rsidRPr="00312E31">
              <w:rPr>
                <w:szCs w:val="22"/>
              </w:rPr>
              <w:t>bottles of 100 tablets</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E143E2E" w14:textId="5D8636F0" w:rsidR="00324B33" w:rsidRPr="00BD5DBD" w:rsidRDefault="00A56F1F" w:rsidP="00A56F1F">
            <w:pPr>
              <w:rPr>
                <w:szCs w:val="22"/>
              </w:rPr>
            </w:pPr>
            <w:r w:rsidRPr="00A56F1F">
              <w:rPr>
                <w:i/>
                <w:iCs/>
                <w:szCs w:val="22"/>
              </w:rPr>
              <w:t>Pyrazinamide-AFT is indicated in adult patients of more than 12 years of age with active</w:t>
            </w:r>
            <w:r>
              <w:rPr>
                <w:i/>
                <w:iCs/>
                <w:szCs w:val="22"/>
              </w:rPr>
              <w:t xml:space="preserve"> </w:t>
            </w:r>
            <w:r w:rsidRPr="00A56F1F">
              <w:rPr>
                <w:i/>
                <w:iCs/>
                <w:szCs w:val="22"/>
              </w:rPr>
              <w:t>drug-sensitive tuberculosis caused by Mycobacterium tuberculosis. Pyrazinamide-AFT is</w:t>
            </w:r>
            <w:r>
              <w:rPr>
                <w:i/>
                <w:iCs/>
                <w:szCs w:val="22"/>
              </w:rPr>
              <w:t xml:space="preserve"> </w:t>
            </w:r>
            <w:r w:rsidRPr="00A56F1F">
              <w:rPr>
                <w:i/>
                <w:iCs/>
                <w:szCs w:val="22"/>
              </w:rPr>
              <w:t xml:space="preserve">an anti-tuberculosis agent used in combination with other anti- </w:t>
            </w:r>
            <w:r>
              <w:rPr>
                <w:i/>
                <w:iCs/>
                <w:szCs w:val="22"/>
              </w:rPr>
              <w:t>t</w:t>
            </w:r>
            <w:r w:rsidRPr="00A56F1F">
              <w:rPr>
                <w:i/>
                <w:iCs/>
                <w:szCs w:val="22"/>
              </w:rPr>
              <w:t>uberculosis agents and</w:t>
            </w:r>
            <w:r>
              <w:rPr>
                <w:i/>
                <w:iCs/>
                <w:szCs w:val="22"/>
              </w:rPr>
              <w:t xml:space="preserve"> </w:t>
            </w:r>
            <w:r w:rsidRPr="00A56F1F">
              <w:rPr>
                <w:i/>
                <w:iCs/>
                <w:szCs w:val="22"/>
              </w:rPr>
              <w:t>is commonly used in the first 2 months of treatment.</w:t>
            </w:r>
          </w:p>
        </w:tc>
      </w:tr>
      <w:tr w:rsidR="00324B33" w:rsidRPr="00BD5DBD" w14:paraId="5AFDEED3" w14:textId="77777777" w:rsidTr="00F865A7">
        <w:tc>
          <w:tcPr>
            <w:tcW w:w="1577" w:type="pct"/>
          </w:tcPr>
          <w:p w14:paraId="03884BD1" w14:textId="43AAC481" w:rsidR="00324B33" w:rsidRPr="00BD5DBD" w:rsidRDefault="00324B33" w:rsidP="007452E8">
            <w:pPr>
              <w:rPr>
                <w:i/>
                <w:szCs w:val="22"/>
              </w:rPr>
            </w:pPr>
            <w:r w:rsidRPr="00BD5DBD">
              <w:rPr>
                <w:i/>
                <w:szCs w:val="22"/>
              </w:rPr>
              <w:t>Route of administration:</w:t>
            </w:r>
          </w:p>
        </w:tc>
        <w:tc>
          <w:tcPr>
            <w:tcW w:w="3423" w:type="pct"/>
          </w:tcPr>
          <w:p w14:paraId="1ED1357E" w14:textId="76957E6A" w:rsidR="00324B33" w:rsidRPr="00BD5DBD" w:rsidRDefault="00843701" w:rsidP="007452E8">
            <w:pPr>
              <w:rPr>
                <w:szCs w:val="22"/>
              </w:rPr>
            </w:pPr>
            <w:r>
              <w:rPr>
                <w:szCs w:val="22"/>
              </w:rPr>
              <w:t>Oral</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2266D650" w14:textId="66F4A28C" w:rsidR="00290FC2" w:rsidRDefault="00290FC2" w:rsidP="007452E8">
            <w:pPr>
              <w:rPr>
                <w:szCs w:val="22"/>
              </w:rPr>
            </w:pPr>
            <w:r w:rsidRPr="00290FC2">
              <w:rPr>
                <w:szCs w:val="22"/>
              </w:rPr>
              <w:t>15 to 30 mg/kg once daily</w:t>
            </w:r>
          </w:p>
          <w:p w14:paraId="3D0B2D5C" w14:textId="63CDE270" w:rsidR="00324B33" w:rsidRPr="00BD5DBD" w:rsidRDefault="00324B33" w:rsidP="007452E8">
            <w:pPr>
              <w:rPr>
                <w:szCs w:val="22"/>
              </w:rPr>
            </w:pPr>
            <w:r w:rsidRPr="00BD5DBD">
              <w:rPr>
                <w:szCs w:val="22"/>
              </w:rPr>
              <w:t xml:space="preserve">For further information regarding dosage, </w:t>
            </w:r>
            <w:r w:rsidR="006B7126">
              <w:rPr>
                <w:szCs w:val="22"/>
              </w:rPr>
              <w:t xml:space="preserve">such as dosage modifications to manage adverse reactions, </w:t>
            </w:r>
            <w:r w:rsidRPr="00BD5DBD">
              <w:rPr>
                <w:szCs w:val="22"/>
              </w:rPr>
              <w:t>refer to the Product Information</w:t>
            </w:r>
            <w:r w:rsidR="0070267C">
              <w:rPr>
                <w:szCs w:val="22"/>
              </w:rPr>
              <w:t xml:space="preserve"> (PI)</w:t>
            </w:r>
            <w:r w:rsidRPr="00BD5DBD">
              <w:rPr>
                <w:szCs w:val="22"/>
              </w:rPr>
              <w:t>.</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t>Pregnancy category:</w:t>
            </w:r>
          </w:p>
        </w:tc>
        <w:tc>
          <w:tcPr>
            <w:tcW w:w="3423" w:type="pct"/>
          </w:tcPr>
          <w:p w14:paraId="39535DEA" w14:textId="77777777" w:rsidR="006D17E3" w:rsidRPr="006D17E3" w:rsidRDefault="006D17E3" w:rsidP="006D17E3">
            <w:pPr>
              <w:rPr>
                <w:szCs w:val="22"/>
              </w:rPr>
            </w:pPr>
            <w:r w:rsidRPr="006D17E3">
              <w:rPr>
                <w:szCs w:val="22"/>
              </w:rPr>
              <w:t>Category B2</w:t>
            </w:r>
          </w:p>
          <w:p w14:paraId="4817F4F4" w14:textId="68B9036E" w:rsidR="00000E6E" w:rsidRPr="00BD5DBD" w:rsidRDefault="006D17E3" w:rsidP="006D17E3">
            <w:pPr>
              <w:rPr>
                <w:szCs w:val="22"/>
              </w:rPr>
            </w:pPr>
            <w:r w:rsidRPr="006D17E3">
              <w:rPr>
                <w:szCs w:val="22"/>
              </w:rPr>
              <w:t>There are no well-controlled studies in pregnant women. Pyrazinamide-AFT should be</w:t>
            </w:r>
            <w:r>
              <w:rPr>
                <w:szCs w:val="22"/>
              </w:rPr>
              <w:t xml:space="preserve"> </w:t>
            </w:r>
            <w:r w:rsidRPr="006D17E3">
              <w:rPr>
                <w:szCs w:val="22"/>
              </w:rPr>
              <w:t>used during pregnancy only if the potential benefit justifies the potential risk to the foetus.</w:t>
            </w:r>
          </w:p>
          <w:p w14:paraId="76497789" w14:textId="634DC28C"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6"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w:t>
            </w:r>
            <w:r w:rsidRPr="00BD5DBD">
              <w:rPr>
                <w:szCs w:val="22"/>
              </w:rPr>
              <w:lastRenderedPageBreak/>
              <w:t xml:space="preserve">medicines in pregnancy for specific cases. More information is available from </w:t>
            </w:r>
            <w:hyperlink r:id="rId17"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3" w:name="_Toc247691503"/>
      <w:bookmarkStart w:id="14" w:name="_Toc314842484"/>
      <w:bookmarkStart w:id="15" w:name="_Toc103679290"/>
      <w:bookmarkStart w:id="16" w:name="_Toc205388653"/>
      <w:r>
        <w:lastRenderedPageBreak/>
        <w:t>Product background</w:t>
      </w:r>
      <w:bookmarkEnd w:id="13"/>
      <w:bookmarkEnd w:id="14"/>
      <w:bookmarkEnd w:id="15"/>
      <w:bookmarkEnd w:id="16"/>
    </w:p>
    <w:p w14:paraId="59BF31D1" w14:textId="0598B443" w:rsidR="001500A8" w:rsidRDefault="00324B33" w:rsidP="00065839">
      <w:r w:rsidRPr="00065839">
        <w:t xml:space="preserve">This AusPAR describes the submission by </w:t>
      </w:r>
      <w:r w:rsidR="00DB1AC4">
        <w:t>AFT Pharmaceuticals Pty Ltd</w:t>
      </w:r>
      <w:r w:rsidRPr="00065839">
        <w:t xml:space="preserve"> to register </w:t>
      </w:r>
      <w:r w:rsidR="00C44434">
        <w:t>Pyrazinamide</w:t>
      </w:r>
      <w:r w:rsidR="00E956C9">
        <w:t xml:space="preserve"> AFT</w:t>
      </w:r>
      <w:r w:rsidR="00DB1AC4">
        <w:t xml:space="preserve"> (</w:t>
      </w:r>
      <w:r w:rsidR="00E956C9">
        <w:t>pyrazinamide) 500 mg tablet</w:t>
      </w:r>
      <w:r w:rsidR="0013247A">
        <w:t xml:space="preserve"> </w:t>
      </w:r>
      <w:r w:rsidRPr="00065839">
        <w:t>for the following proposed indication:</w:t>
      </w:r>
      <w:r w:rsidR="00D63760" w:rsidRPr="00065839">
        <w:rPr>
          <w:vertAlign w:val="superscript"/>
        </w:rPr>
        <w:footnoteReference w:id="1"/>
      </w:r>
    </w:p>
    <w:p w14:paraId="34D57357" w14:textId="59C5B391" w:rsidR="008F36F6" w:rsidRDefault="008F36F6" w:rsidP="008F36F6">
      <w:pPr>
        <w:ind w:left="720"/>
        <w:rPr>
          <w:i/>
          <w:iCs/>
        </w:rPr>
      </w:pPr>
      <w:r w:rsidRPr="008F36F6">
        <w:rPr>
          <w:i/>
          <w:iCs/>
        </w:rPr>
        <w:t>Pyrazinamide-AFT is indicated in patients with active tuberculosis caused by</w:t>
      </w:r>
      <w:r>
        <w:rPr>
          <w:i/>
          <w:iCs/>
        </w:rPr>
        <w:t xml:space="preserve"> </w:t>
      </w:r>
      <w:r w:rsidRPr="008F36F6">
        <w:rPr>
          <w:i/>
          <w:iCs/>
        </w:rPr>
        <w:t>Mycobacterium tuberculosis.</w:t>
      </w:r>
    </w:p>
    <w:p w14:paraId="3487E442" w14:textId="0C0897B0" w:rsidR="00CD3CAA" w:rsidRPr="008F36F6" w:rsidRDefault="00CD3CAA" w:rsidP="00CD3CAA">
      <w:r w:rsidRPr="00CD3CAA">
        <w:t xml:space="preserve">Pyrazinamide is a mainstay of tuberculosis treatment and has been in use since the 1950s. There is, however, no presentation of pyrazinamide currently included in the ARTG and </w:t>
      </w:r>
      <w:r w:rsidR="001C487F">
        <w:t xml:space="preserve">a lack of evidence to </w:t>
      </w:r>
      <w:r w:rsidRPr="00CD3CAA">
        <w:t xml:space="preserve">determine whether </w:t>
      </w:r>
      <w:r w:rsidR="00E01564">
        <w:t xml:space="preserve">it </w:t>
      </w:r>
      <w:r w:rsidRPr="00CD3CAA">
        <w:t>has been on the ARTG in recent history.</w:t>
      </w:r>
    </w:p>
    <w:p w14:paraId="1E63A2AE" w14:textId="5FCD6C6F" w:rsidR="00CB6813" w:rsidRDefault="00005DFC" w:rsidP="00CB6813">
      <w:pPr>
        <w:pStyle w:val="Heading4"/>
      </w:pPr>
      <w:bookmarkStart w:id="17" w:name="_Toc205388654"/>
      <w:bookmarkStart w:id="18" w:name="_Toc314842485"/>
      <w:bookmarkStart w:id="19" w:name="_Toc247691504"/>
      <w:r>
        <w:t>D</w:t>
      </w:r>
      <w:r w:rsidR="00CB6813" w:rsidRPr="00C12D65">
        <w:t>isease</w:t>
      </w:r>
      <w:r w:rsidR="006428C5">
        <w:t xml:space="preserve"> or condition</w:t>
      </w:r>
      <w:bookmarkEnd w:id="17"/>
    </w:p>
    <w:p w14:paraId="6DA9E21F" w14:textId="77777777" w:rsidR="0093274F" w:rsidRDefault="00681FF9" w:rsidP="00681FF9">
      <w:r>
        <w:t>Tuberculosis (</w:t>
      </w:r>
      <w:r w:rsidRPr="00681FF9">
        <w:t>TB</w:t>
      </w:r>
      <w:r>
        <w:t>)</w:t>
      </w:r>
      <w:r w:rsidRPr="00681FF9">
        <w:t xml:space="preserve"> is a complex communicable disease that has many presentations, although </w:t>
      </w:r>
      <w:proofErr w:type="gramStart"/>
      <w:r w:rsidRPr="00681FF9">
        <w:t>the majority of</w:t>
      </w:r>
      <w:proofErr w:type="gramEnd"/>
      <w:r w:rsidRPr="00681FF9">
        <w:t xml:space="preserve"> disease is pulmonary in origin. The rate of endemic transmission in Australia is low but movement of people from areas of greater TB burden, as well as reactivation of latent TB in older Australians who were exposed to disease earlier in life, means a baseline prevalence of TB is maintained. </w:t>
      </w:r>
    </w:p>
    <w:p w14:paraId="19B68C2E" w14:textId="60976282" w:rsidR="00681FF9" w:rsidRDefault="00681FF9" w:rsidP="00681FF9">
      <w:r w:rsidRPr="00681FF9">
        <w:t>Most TB diagnosed in Australia is sensitive to therapy with isoniazid, rifampicin, ethambutol and pyrazinamide, on which a protocol of 4-6 months treatment achieves both non-contagious levels of TB bacteria and eventual cure. Resistant strains of TB can emerge with interrupted treatment, treatment complicated by other medical conditions (e.g. immunosuppression) or when resistant strains are imported to Australia.</w:t>
      </w:r>
    </w:p>
    <w:p w14:paraId="255E083A" w14:textId="77777777" w:rsidR="00CB6813" w:rsidRDefault="00CB6813" w:rsidP="00CB6813">
      <w:pPr>
        <w:pStyle w:val="Heading4"/>
      </w:pPr>
      <w:bookmarkStart w:id="20" w:name="_Toc205388655"/>
      <w:r>
        <w:t>Current treatment options</w:t>
      </w:r>
      <w:bookmarkEnd w:id="20"/>
    </w:p>
    <w:p w14:paraId="5057AA69" w14:textId="75D5A834" w:rsidR="007960D4" w:rsidRDefault="003A5E4D" w:rsidP="003A5E4D">
      <w:r w:rsidRPr="003A5E4D">
        <w:t>According to recent state guidelines for healthcare providers (</w:t>
      </w:r>
      <w:r w:rsidR="00B0351B">
        <w:t>such as the</w:t>
      </w:r>
      <w:r w:rsidRPr="003A5E4D">
        <w:t xml:space="preserve"> </w:t>
      </w:r>
      <w:r w:rsidR="0070267C">
        <w:t>‘</w:t>
      </w:r>
      <w:r w:rsidRPr="003A5E4D">
        <w:t>Management, control and prevention of tuberculosis</w:t>
      </w:r>
      <w:r w:rsidR="0070267C">
        <w:t>’</w:t>
      </w:r>
      <w:r w:rsidRPr="003A5E4D">
        <w:t>, Department of Health and Human Services, Victorian Government, 2015</w:t>
      </w:r>
      <w:r w:rsidR="00B0351B">
        <w:rPr>
          <w:rStyle w:val="FootnoteReference"/>
        </w:rPr>
        <w:footnoteReference w:id="2"/>
      </w:r>
      <w:r w:rsidRPr="003A5E4D">
        <w:t xml:space="preserve">), the initial phase of TB treatment in patients for whom no drug resistance is suspected is the use of 4 antibiotics: </w:t>
      </w:r>
    </w:p>
    <w:p w14:paraId="6318676C" w14:textId="13DE0AC4" w:rsidR="007960D4" w:rsidRDefault="003A5E4D" w:rsidP="007960D4">
      <w:pPr>
        <w:pStyle w:val="ListBullet"/>
      </w:pPr>
      <w:r w:rsidRPr="003A5E4D">
        <w:t>isoniazid (H) 300</w:t>
      </w:r>
      <w:r w:rsidR="006E2EC7">
        <w:t xml:space="preserve"> </w:t>
      </w:r>
      <w:r w:rsidRPr="003A5E4D">
        <w:t>mg orally daily (in a child 10</w:t>
      </w:r>
      <w:r w:rsidR="006E2EC7">
        <w:t xml:space="preserve"> </w:t>
      </w:r>
      <w:r w:rsidRPr="003A5E4D">
        <w:t>mg/kg up to 300</w:t>
      </w:r>
      <w:r w:rsidR="006E2EC7">
        <w:t xml:space="preserve"> </w:t>
      </w:r>
      <w:r w:rsidRPr="003A5E4D">
        <w:t xml:space="preserve">mg) </w:t>
      </w:r>
    </w:p>
    <w:p w14:paraId="73925B9E" w14:textId="484FC769" w:rsidR="007960D4" w:rsidRDefault="003A5E4D" w:rsidP="007960D4">
      <w:pPr>
        <w:pStyle w:val="ListBullet"/>
      </w:pPr>
      <w:r w:rsidRPr="003A5E4D">
        <w:t>rifampicin (R): 600</w:t>
      </w:r>
      <w:r w:rsidR="006E2EC7">
        <w:t xml:space="preserve"> </w:t>
      </w:r>
      <w:r w:rsidRPr="003A5E4D">
        <w:t>mg orally daily (in adult &lt;50</w:t>
      </w:r>
      <w:r w:rsidR="006E2EC7">
        <w:t xml:space="preserve"> </w:t>
      </w:r>
      <w:r w:rsidRPr="003A5E4D">
        <w:t>kg, and in child 10</w:t>
      </w:r>
      <w:r w:rsidR="006E2EC7">
        <w:t xml:space="preserve"> </w:t>
      </w:r>
      <w:r w:rsidRPr="003A5E4D">
        <w:t>mg/kg up to 600</w:t>
      </w:r>
      <w:r w:rsidR="006E2EC7">
        <w:t xml:space="preserve"> </w:t>
      </w:r>
      <w:r w:rsidRPr="003A5E4D">
        <w:t xml:space="preserve">mg) </w:t>
      </w:r>
    </w:p>
    <w:p w14:paraId="174EC7F0" w14:textId="37A1E88D" w:rsidR="007960D4" w:rsidRDefault="003A5E4D" w:rsidP="00074537">
      <w:pPr>
        <w:pStyle w:val="ListBullet"/>
      </w:pPr>
      <w:r w:rsidRPr="003A5E4D">
        <w:t>ethambutol (E): 15</w:t>
      </w:r>
      <w:r w:rsidR="006E2EC7">
        <w:t xml:space="preserve"> </w:t>
      </w:r>
      <w:r w:rsidRPr="003A5E4D">
        <w:t>mg/kg orally daily (up to 1200</w:t>
      </w:r>
      <w:r w:rsidR="006E2EC7">
        <w:t xml:space="preserve"> </w:t>
      </w:r>
      <w:r w:rsidRPr="003A5E4D">
        <w:t xml:space="preserve">mg; in adults and children 6 years or older) </w:t>
      </w:r>
    </w:p>
    <w:p w14:paraId="3A0EC5FF" w14:textId="70EB2500" w:rsidR="00074537" w:rsidRDefault="003A5E4D" w:rsidP="00074537">
      <w:pPr>
        <w:pStyle w:val="ListBullet"/>
      </w:pPr>
      <w:r w:rsidRPr="003A5E4D">
        <w:t>pyrazinamide (Z) 25</w:t>
      </w:r>
      <w:r w:rsidR="006E2EC7">
        <w:t xml:space="preserve"> </w:t>
      </w:r>
      <w:r w:rsidRPr="003A5E4D">
        <w:t>mg/kg (up to 2</w:t>
      </w:r>
      <w:r w:rsidR="006E2EC7">
        <w:t xml:space="preserve"> </w:t>
      </w:r>
      <w:r w:rsidRPr="003A5E4D">
        <w:t>g) orally daily, with pyridoxine 25</w:t>
      </w:r>
      <w:r w:rsidR="006E2EC7">
        <w:t xml:space="preserve"> </w:t>
      </w:r>
      <w:r w:rsidRPr="003A5E4D">
        <w:t xml:space="preserve">mg orally daily. </w:t>
      </w:r>
    </w:p>
    <w:p w14:paraId="0A06138A" w14:textId="74D21223" w:rsidR="003A5E4D" w:rsidRPr="003A5E4D" w:rsidRDefault="003A5E4D" w:rsidP="00074537">
      <w:pPr>
        <w:pStyle w:val="ListBullet"/>
        <w:numPr>
          <w:ilvl w:val="0"/>
          <w:numId w:val="0"/>
        </w:numPr>
      </w:pPr>
      <w:r w:rsidRPr="003A5E4D">
        <w:t xml:space="preserve">The duration of the initial phase is for a minimum of 2 months or at least until sputum is culture negative for pulmonary TB and, in culture-positive cases, until drug susceptibilities are known, whichever is longer. </w:t>
      </w:r>
    </w:p>
    <w:p w14:paraId="2628404B" w14:textId="77777777" w:rsidR="003A5E4D" w:rsidRPr="003A5E4D" w:rsidRDefault="003A5E4D" w:rsidP="003A5E4D">
      <w:r w:rsidRPr="003A5E4D">
        <w:lastRenderedPageBreak/>
        <w:t>For drug-sensitive TB, treatment is continued after the initial phase for at least another 4 months with rifampicin and isoniazid, for a total treatment course of 6 months (2HRZE/4HR). In patients who have drug-sensitive TB who have not responded well to the intensive initial phase, the initial phase can be extended e.g., to a total of 3 months of pyrazinamide.</w:t>
      </w:r>
    </w:p>
    <w:p w14:paraId="71375433" w14:textId="2063F499" w:rsidR="003A5E4D" w:rsidRPr="003A5E4D" w:rsidRDefault="003A5E4D" w:rsidP="003A5E4D">
      <w:r w:rsidRPr="003A5E4D">
        <w:t xml:space="preserve">For drug resistant TB, with isoniazid-resistant TB, the recommended regimen is 2 months of the initial standard regimen followed by 7 months of rifampicin, pyrazinamide and ethambutol.  For </w:t>
      </w:r>
      <w:r w:rsidR="0054743E">
        <w:t>multi-drug resistant (</w:t>
      </w:r>
      <w:r w:rsidRPr="003A5E4D">
        <w:t>MDR</w:t>
      </w:r>
      <w:r w:rsidR="0054743E">
        <w:t>)</w:t>
      </w:r>
      <w:r w:rsidRPr="003A5E4D">
        <w:t xml:space="preserve"> TB, second line anti-TB drugs are used and include fluoroquinolones, amikacin, </w:t>
      </w:r>
      <w:proofErr w:type="spellStart"/>
      <w:r w:rsidRPr="00670277">
        <w:t>prothionamide</w:t>
      </w:r>
      <w:proofErr w:type="spellEnd"/>
      <w:r w:rsidRPr="00670277">
        <w:t xml:space="preserve"> and PAS</w:t>
      </w:r>
      <w:r w:rsidR="00390005" w:rsidRPr="00670277">
        <w:t xml:space="preserve"> (</w:t>
      </w:r>
      <w:r w:rsidR="00BF5042">
        <w:t>p</w:t>
      </w:r>
      <w:r w:rsidR="00D72229" w:rsidRPr="00670277">
        <w:t>ara-</w:t>
      </w:r>
      <w:proofErr w:type="spellStart"/>
      <w:r w:rsidR="00D72229" w:rsidRPr="00670277">
        <w:t>aminosalicylic</w:t>
      </w:r>
      <w:proofErr w:type="spellEnd"/>
      <w:r w:rsidR="00D72229" w:rsidRPr="00670277">
        <w:t xml:space="preserve"> acid)</w:t>
      </w:r>
      <w:r w:rsidRPr="00670277">
        <w:t>. Regimens are for at least 18 to 24 months in duration.</w:t>
      </w:r>
      <w:r w:rsidRPr="003A5E4D">
        <w:t xml:space="preserve"> </w:t>
      </w:r>
    </w:p>
    <w:p w14:paraId="0070FF7D" w14:textId="55F5FC31" w:rsidR="003A5E4D" w:rsidRPr="003A5E4D" w:rsidRDefault="003A5E4D" w:rsidP="003A5E4D">
      <w:r w:rsidRPr="003A5E4D">
        <w:t xml:space="preserve">In patients with disseminated, </w:t>
      </w:r>
      <w:r w:rsidR="00F94743">
        <w:t>central nervous system (CNS)</w:t>
      </w:r>
      <w:r w:rsidRPr="003A5E4D">
        <w:t xml:space="preserve"> or skeletal TB (extra-pulmonary TB), it is recommended that treatment be for 9-12 months, 12 months and at least 6-9 months, respectively. However</w:t>
      </w:r>
      <w:r w:rsidR="00501711">
        <w:t>,</w:t>
      </w:r>
      <w:r w:rsidRPr="003A5E4D">
        <w:t xml:space="preserve"> it is noted in the Victorian guidelines that there were no good prospective data supporting these recommended durations.</w:t>
      </w:r>
    </w:p>
    <w:p w14:paraId="37C47E09" w14:textId="14D3762D" w:rsidR="00CB6813" w:rsidRDefault="00CB6813" w:rsidP="00CB6813">
      <w:pPr>
        <w:pStyle w:val="Heading4"/>
      </w:pPr>
      <w:bookmarkStart w:id="21" w:name="_Toc205388656"/>
      <w:r>
        <w:t>C</w:t>
      </w:r>
      <w:r w:rsidRPr="00DE1344">
        <w:t>linical rational</w:t>
      </w:r>
      <w:r w:rsidR="0025785B">
        <w:t>e</w:t>
      </w:r>
      <w:bookmarkEnd w:id="21"/>
    </w:p>
    <w:p w14:paraId="69587CF9" w14:textId="3CAC3296" w:rsidR="00BA7544" w:rsidRPr="00BA7544" w:rsidRDefault="00BA7544" w:rsidP="00DF2D5A">
      <w:r w:rsidRPr="00BA7544">
        <w:t xml:space="preserve">Pyrazinamide (PZA) is a prodrug that is converted to the active form </w:t>
      </w:r>
      <w:proofErr w:type="spellStart"/>
      <w:r w:rsidRPr="00BA7544">
        <w:t>pyrazinoic</w:t>
      </w:r>
      <w:proofErr w:type="spellEnd"/>
      <w:r w:rsidRPr="00BA7544">
        <w:t xml:space="preserve"> acid</w:t>
      </w:r>
      <w:r>
        <w:t xml:space="preserve"> </w:t>
      </w:r>
      <w:r w:rsidRPr="00BA7544">
        <w:t xml:space="preserve">(POA) by </w:t>
      </w:r>
      <w:proofErr w:type="spellStart"/>
      <w:r w:rsidRPr="00BA7544">
        <w:t>pyrazinamidase</w:t>
      </w:r>
      <w:proofErr w:type="spellEnd"/>
      <w:r w:rsidRPr="00BA7544">
        <w:t>/</w:t>
      </w:r>
      <w:proofErr w:type="spellStart"/>
      <w:r w:rsidRPr="00BA7544">
        <w:t>nicotinamidase</w:t>
      </w:r>
      <w:proofErr w:type="spellEnd"/>
      <w:r w:rsidRPr="00BA7544">
        <w:t xml:space="preserve"> encoded by the </w:t>
      </w:r>
      <w:proofErr w:type="spellStart"/>
      <w:r w:rsidRPr="00BA7544">
        <w:t>pncA</w:t>
      </w:r>
      <w:proofErr w:type="spellEnd"/>
      <w:r w:rsidRPr="00BA7544">
        <w:t xml:space="preserve"> gene in M</w:t>
      </w:r>
      <w:r w:rsidR="005F0378">
        <w:t>ycobacteri</w:t>
      </w:r>
      <w:r w:rsidR="005F19BA">
        <w:t>um</w:t>
      </w:r>
      <w:r w:rsidRPr="00BA7544">
        <w:t xml:space="preserve"> tuberculosis.</w:t>
      </w:r>
      <w:r>
        <w:t xml:space="preserve"> </w:t>
      </w:r>
      <w:r w:rsidRPr="00BA7544">
        <w:t xml:space="preserve">PZA is generally active only at an acid </w:t>
      </w:r>
      <w:proofErr w:type="spellStart"/>
      <w:r w:rsidRPr="00BA7544">
        <w:t>pH.</w:t>
      </w:r>
      <w:proofErr w:type="spellEnd"/>
      <w:r w:rsidRPr="00BA7544">
        <w:t xml:space="preserve"> The precise mechanism of action is unknown.</w:t>
      </w:r>
    </w:p>
    <w:p w14:paraId="473C77C9" w14:textId="77777777" w:rsidR="005F19BA" w:rsidRDefault="00BA7544" w:rsidP="00DF2D5A">
      <w:r w:rsidRPr="00BA7544">
        <w:t xml:space="preserve">Possible mechanisms of antibacterial activity include: </w:t>
      </w:r>
    </w:p>
    <w:p w14:paraId="459C3281" w14:textId="24A16ED9" w:rsidR="005F19BA" w:rsidRPr="003B5D26" w:rsidRDefault="00BA7544" w:rsidP="003B5D26">
      <w:pPr>
        <w:pStyle w:val="Numberbullet0"/>
      </w:pPr>
      <w:r w:rsidRPr="003B5D26">
        <w:t>activation of the sigma factor</w:t>
      </w:r>
      <w:r w:rsidR="005F19BA" w:rsidRPr="003B5D26">
        <w:t xml:space="preserve"> </w:t>
      </w:r>
      <w:r w:rsidRPr="003B5D26">
        <w:t>(</w:t>
      </w:r>
      <w:proofErr w:type="spellStart"/>
      <w:r w:rsidRPr="003B5D26">
        <w:t>SigE</w:t>
      </w:r>
      <w:proofErr w:type="spellEnd"/>
      <w:r w:rsidRPr="003B5D26">
        <w:t xml:space="preserve">)-dependent cell envelope stress response, </w:t>
      </w:r>
    </w:p>
    <w:p w14:paraId="7A1D1178" w14:textId="77777777" w:rsidR="005F19BA" w:rsidRPr="003B5D26" w:rsidRDefault="00BA7544" w:rsidP="003B5D26">
      <w:pPr>
        <w:pStyle w:val="Numberbullet0"/>
      </w:pPr>
      <w:r w:rsidRPr="003B5D26">
        <w:t xml:space="preserve">binding of POA to </w:t>
      </w:r>
      <w:proofErr w:type="spellStart"/>
      <w:r w:rsidRPr="003B5D26">
        <w:t>asparate</w:t>
      </w:r>
      <w:proofErr w:type="spellEnd"/>
      <w:r w:rsidR="005F19BA" w:rsidRPr="003B5D26">
        <w:t xml:space="preserve"> </w:t>
      </w:r>
      <w:r w:rsidRPr="003B5D26">
        <w:t>decarboxylase (</w:t>
      </w:r>
      <w:proofErr w:type="spellStart"/>
      <w:r w:rsidRPr="003B5D26">
        <w:t>PanD</w:t>
      </w:r>
      <w:proofErr w:type="spellEnd"/>
      <w:r w:rsidRPr="003B5D26">
        <w:t xml:space="preserve">), and </w:t>
      </w:r>
    </w:p>
    <w:p w14:paraId="3206DBE5" w14:textId="77777777" w:rsidR="00DF2D5A" w:rsidRPr="003B5D26" w:rsidRDefault="00BA7544" w:rsidP="003B5D26">
      <w:pPr>
        <w:pStyle w:val="Numberbullet0"/>
      </w:pPr>
      <w:r w:rsidRPr="003B5D26">
        <w:t>POA binding to ribosomal protein S1 (</w:t>
      </w:r>
      <w:proofErr w:type="spellStart"/>
      <w:r w:rsidRPr="003B5D26">
        <w:t>RpsA</w:t>
      </w:r>
      <w:proofErr w:type="spellEnd"/>
      <w:r w:rsidRPr="003B5D26">
        <w:t>) of M.</w:t>
      </w:r>
      <w:r w:rsidR="005F19BA" w:rsidRPr="003B5D26">
        <w:t xml:space="preserve"> </w:t>
      </w:r>
      <w:r w:rsidRPr="003B5D26">
        <w:t xml:space="preserve">tuberculosis. </w:t>
      </w:r>
    </w:p>
    <w:p w14:paraId="29F732CF" w14:textId="117AE098" w:rsidR="00BA7544" w:rsidRPr="00BA7544" w:rsidRDefault="00BA7544" w:rsidP="00DF2D5A">
      <w:r w:rsidRPr="00BA7544">
        <w:t>Inhibition of fatty acid synthesis may also contribute to the activity of POA.</w:t>
      </w:r>
    </w:p>
    <w:p w14:paraId="4603B0AE" w14:textId="6F7BADDB" w:rsidR="006B2631" w:rsidRPr="006B2631" w:rsidRDefault="00BA7544" w:rsidP="006B2631">
      <w:r w:rsidRPr="00BA7544">
        <w:t>Resistance develops rapidly if pyrazinamide is used as sole antitubercular agent. Loss of</w:t>
      </w:r>
      <w:r w:rsidR="00DF2D5A">
        <w:t xml:space="preserve"> </w:t>
      </w:r>
      <w:proofErr w:type="spellStart"/>
      <w:r w:rsidRPr="00BA7544">
        <w:t>pyrazinamidase</w:t>
      </w:r>
      <w:proofErr w:type="spellEnd"/>
      <w:r w:rsidRPr="00BA7544">
        <w:t xml:space="preserve"> activity, mutations in </w:t>
      </w:r>
      <w:proofErr w:type="spellStart"/>
      <w:r w:rsidRPr="00BA7544">
        <w:t>pncA</w:t>
      </w:r>
      <w:proofErr w:type="spellEnd"/>
      <w:r w:rsidRPr="00BA7544">
        <w:t xml:space="preserve">, </w:t>
      </w:r>
      <w:proofErr w:type="spellStart"/>
      <w:r w:rsidRPr="00BA7544">
        <w:t>RpsA</w:t>
      </w:r>
      <w:proofErr w:type="spellEnd"/>
      <w:r w:rsidRPr="00BA7544">
        <w:t xml:space="preserve"> or pan D genes may confer PZA</w:t>
      </w:r>
      <w:r w:rsidR="00DF2D5A">
        <w:t xml:space="preserve"> </w:t>
      </w:r>
      <w:r w:rsidRPr="00BA7544">
        <w:t>resistance.</w:t>
      </w:r>
      <w:r w:rsidR="00335804">
        <w:t xml:space="preserve"> </w:t>
      </w:r>
      <w:r w:rsidR="006B2631" w:rsidRPr="006B2631">
        <w:t>Pyrazinamide is readily absorbed from the gastro-intestinal tract with peak serum</w:t>
      </w:r>
      <w:r w:rsidR="00335804">
        <w:t xml:space="preserve"> </w:t>
      </w:r>
      <w:r w:rsidR="006B2631" w:rsidRPr="006B2631">
        <w:t>concentration being reached about 2 hours after taking the dose. Plasma concentrations</w:t>
      </w:r>
      <w:r w:rsidR="00335804">
        <w:t xml:space="preserve"> </w:t>
      </w:r>
      <w:r w:rsidR="006B2631" w:rsidRPr="006B2631">
        <w:t xml:space="preserve">of </w:t>
      </w:r>
      <w:proofErr w:type="spellStart"/>
      <w:r w:rsidR="006B2631" w:rsidRPr="006B2631">
        <w:t>pyrazinoic</w:t>
      </w:r>
      <w:proofErr w:type="spellEnd"/>
      <w:r w:rsidR="006B2631" w:rsidRPr="006B2631">
        <w:t xml:space="preserve"> acid, which is the major metabolite, are generally greater than those of</w:t>
      </w:r>
      <w:r w:rsidR="008A1ACD">
        <w:t xml:space="preserve"> </w:t>
      </w:r>
      <w:r w:rsidR="006B2631" w:rsidRPr="006B2631">
        <w:t>pyrazinamide and peak 4-8 hours after dosing.</w:t>
      </w:r>
    </w:p>
    <w:p w14:paraId="60032766" w14:textId="64E808DA" w:rsidR="006B2631" w:rsidRPr="006B2631" w:rsidRDefault="006B2631" w:rsidP="006B2631">
      <w:r w:rsidRPr="006B2631">
        <w:t>Pyrazinamide is widely distributed in body tissues and fluids including the liver, lungs</w:t>
      </w:r>
      <w:r w:rsidR="008A1ACD">
        <w:t xml:space="preserve"> </w:t>
      </w:r>
      <w:r w:rsidRPr="006B2631">
        <w:t xml:space="preserve">and CSF. It is not known </w:t>
      </w:r>
      <w:r w:rsidR="00E02898">
        <w:t>i</w:t>
      </w:r>
      <w:r w:rsidRPr="006B2631">
        <w:t>f pyrazinamide crosses the placenta</w:t>
      </w:r>
      <w:r w:rsidR="008C23C8">
        <w:t>,</w:t>
      </w:r>
      <w:r w:rsidRPr="006B2631">
        <w:t xml:space="preserve"> but it is excreted in breast</w:t>
      </w:r>
      <w:r w:rsidR="008A1ACD">
        <w:t xml:space="preserve"> </w:t>
      </w:r>
      <w:r w:rsidRPr="006B2631">
        <w:t>milk.</w:t>
      </w:r>
      <w:r w:rsidR="009E1B0E">
        <w:t xml:space="preserve"> </w:t>
      </w:r>
      <w:r w:rsidRPr="006B2631">
        <w:t xml:space="preserve">Pyrazinamide is metabolised primarily in the liver by hydrolysis to </w:t>
      </w:r>
      <w:proofErr w:type="spellStart"/>
      <w:r w:rsidRPr="006B2631">
        <w:t>pyrazinoic</w:t>
      </w:r>
      <w:proofErr w:type="spellEnd"/>
      <w:r w:rsidRPr="006B2631">
        <w:t xml:space="preserve"> acid which</w:t>
      </w:r>
      <w:r w:rsidR="009E1B0E">
        <w:t xml:space="preserve"> </w:t>
      </w:r>
      <w:r w:rsidRPr="006B2631">
        <w:t>is subsequently hydroxylated to the major excretory product 5-hydroxypyrazinoic acid.</w:t>
      </w:r>
      <w:r w:rsidR="009E1B0E">
        <w:t xml:space="preserve"> </w:t>
      </w:r>
      <w:r w:rsidRPr="006B2631">
        <w:t>It is excreted via the kidney mainly by glomerular filtration. Approximately 70% of a dose</w:t>
      </w:r>
      <w:r w:rsidR="009E1B0E">
        <w:t xml:space="preserve"> </w:t>
      </w:r>
      <w:r w:rsidRPr="006B2631">
        <w:t>appears in the urine within 24 hours (mainly as metabolites with 4-14% as</w:t>
      </w:r>
      <w:r w:rsidR="009E1B0E">
        <w:t xml:space="preserve"> </w:t>
      </w:r>
      <w:r w:rsidRPr="006B2631">
        <w:t>pyrazinamide)</w:t>
      </w:r>
      <w:r w:rsidR="00643DDF">
        <w:t>.</w:t>
      </w:r>
    </w:p>
    <w:p w14:paraId="3131ABAA" w14:textId="3542950F" w:rsidR="006B2631" w:rsidRPr="002A26AA" w:rsidRDefault="006B2631" w:rsidP="006B2631">
      <w:r w:rsidRPr="006B2631">
        <w:t>The plasma half-life is 9-10 hours in patients with normal renal and hepatic function. The</w:t>
      </w:r>
      <w:r w:rsidR="009E1B0E">
        <w:t xml:space="preserve"> </w:t>
      </w:r>
      <w:r w:rsidRPr="006B2631">
        <w:t>plasma half-life may be prolonged in patients with impaired renal or hepatic function.</w:t>
      </w:r>
    </w:p>
    <w:p w14:paraId="0D615854" w14:textId="77777777" w:rsidR="00324B33" w:rsidRPr="003F31A2" w:rsidRDefault="00324B33" w:rsidP="00324B33">
      <w:pPr>
        <w:pStyle w:val="Heading3"/>
      </w:pPr>
      <w:bookmarkStart w:id="22" w:name="_Toc103679291"/>
      <w:bookmarkStart w:id="23" w:name="_Toc205388657"/>
      <w:r>
        <w:t>Regulatory status</w:t>
      </w:r>
      <w:bookmarkEnd w:id="18"/>
      <w:bookmarkEnd w:id="19"/>
      <w:bookmarkEnd w:id="22"/>
      <w:bookmarkEnd w:id="23"/>
    </w:p>
    <w:p w14:paraId="72C889D6" w14:textId="7E200950" w:rsidR="0017005C" w:rsidRPr="00BD5DBD" w:rsidRDefault="0017005C" w:rsidP="00741AB9">
      <w:pPr>
        <w:pStyle w:val="Heading4"/>
      </w:pPr>
      <w:bookmarkStart w:id="24" w:name="_Toc205388658"/>
      <w:r w:rsidRPr="00BD5DBD">
        <w:t>Australian regulatory</w:t>
      </w:r>
      <w:r>
        <w:t xml:space="preserve"> sta</w:t>
      </w:r>
      <w:r w:rsidR="0025785B">
        <w:t>t</w:t>
      </w:r>
      <w:r>
        <w:t>us</w:t>
      </w:r>
      <w:bookmarkEnd w:id="24"/>
    </w:p>
    <w:p w14:paraId="6A8633FA" w14:textId="70115C86" w:rsidR="00324B33" w:rsidRDefault="00324B33" w:rsidP="00324B33">
      <w:pPr>
        <w:rPr>
          <w:szCs w:val="22"/>
        </w:rPr>
      </w:pPr>
      <w:r w:rsidRPr="00BD5DBD">
        <w:rPr>
          <w:szCs w:val="22"/>
        </w:rPr>
        <w:t>This product is considered a new chemical</w:t>
      </w:r>
      <w:r w:rsidR="008C754C" w:rsidRPr="00BD5DBD">
        <w:rPr>
          <w:szCs w:val="22"/>
        </w:rPr>
        <w:t xml:space="preserve"> entity</w:t>
      </w:r>
      <w:r w:rsidRPr="00BD5DBD">
        <w:rPr>
          <w:szCs w:val="22"/>
        </w:rPr>
        <w:t xml:space="preserve"> for Australian regulatory purposes.</w:t>
      </w:r>
    </w:p>
    <w:p w14:paraId="546C1031" w14:textId="4EF98FA1" w:rsidR="0017005C" w:rsidRDefault="00131B1B" w:rsidP="0017005C">
      <w:pPr>
        <w:pStyle w:val="Heading4"/>
      </w:pPr>
      <w:bookmarkStart w:id="25" w:name="_Toc205388659"/>
      <w:r>
        <w:lastRenderedPageBreak/>
        <w:t xml:space="preserve">International </w:t>
      </w:r>
      <w:r w:rsidR="0017005C" w:rsidRPr="00BD5DBD">
        <w:t>regulatory</w:t>
      </w:r>
      <w:r w:rsidR="0017005C">
        <w:t xml:space="preserve"> status</w:t>
      </w:r>
      <w:bookmarkEnd w:id="25"/>
    </w:p>
    <w:p w14:paraId="74F3251F" w14:textId="2B77B171" w:rsidR="003D6ABA" w:rsidRDefault="003D6ABA" w:rsidP="003D6ABA">
      <w:r>
        <w:t>Pyrazinamide 500mg tablets are available in many regulatory jurisdictions including the US, Canada</w:t>
      </w:r>
      <w:r w:rsidR="00697D4F" w:rsidRPr="00697D4F">
        <w:t>, UK</w:t>
      </w:r>
      <w:r w:rsidR="00612EEE">
        <w:t xml:space="preserve"> </w:t>
      </w:r>
      <w:r w:rsidR="00697D4F" w:rsidRPr="00697D4F">
        <w:t>and New Zealand</w:t>
      </w:r>
      <w:r>
        <w:t>. It has been in routine clinical use for several decades.</w:t>
      </w:r>
    </w:p>
    <w:p w14:paraId="6D92589C" w14:textId="09786CEF" w:rsidR="00324B33" w:rsidRDefault="00324B33" w:rsidP="00324B33">
      <w:pPr>
        <w:pStyle w:val="Heading2"/>
      </w:pPr>
      <w:bookmarkStart w:id="26" w:name="_Toc504480011"/>
      <w:bookmarkStart w:id="27" w:name="_Toc103679293"/>
      <w:bookmarkStart w:id="28" w:name="_Toc205388660"/>
      <w:r>
        <w:t>Registration timeline</w:t>
      </w:r>
      <w:bookmarkEnd w:id="26"/>
      <w:bookmarkEnd w:id="27"/>
      <w:bookmarkEnd w:id="28"/>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18" w:history="1">
        <w:r w:rsidRPr="00BD5DBD">
          <w:rPr>
            <w:rStyle w:val="Hyperlink"/>
            <w:szCs w:val="22"/>
          </w:rPr>
          <w:t>standard prescription medicines registration process</w:t>
        </w:r>
      </w:hyperlink>
      <w:r w:rsidRPr="00BD5DBD">
        <w:rPr>
          <w:szCs w:val="22"/>
        </w:rPr>
        <w:t>.</w:t>
      </w:r>
    </w:p>
    <w:p w14:paraId="44628C5F" w14:textId="430C91E3" w:rsidR="00324B33" w:rsidRDefault="00324B33" w:rsidP="002C1232">
      <w:pPr>
        <w:pStyle w:val="TableTitle"/>
      </w:pPr>
      <w:r w:rsidRPr="002C1232">
        <w:t xml:space="preserve">Table </w:t>
      </w:r>
      <w:r w:rsidR="008B1CB5">
        <w:fldChar w:fldCharType="begin"/>
      </w:r>
      <w:r w:rsidR="008B1CB5">
        <w:instrText xml:space="preserve"> SEQ Table \* ARABIC </w:instrText>
      </w:r>
      <w:r w:rsidR="008B1CB5">
        <w:fldChar w:fldCharType="separate"/>
      </w:r>
      <w:r w:rsidR="008B1CB5" w:rsidRPr="002C1232">
        <w:t>2</w:t>
      </w:r>
      <w:r w:rsidR="008B1CB5">
        <w:fldChar w:fldCharType="end"/>
      </w:r>
      <w:r w:rsidRPr="002C1232">
        <w:t xml:space="preserve">: Timeline for </w:t>
      </w:r>
      <w:r w:rsidR="00CB1B0D">
        <w:t>s</w:t>
      </w:r>
      <w:r w:rsidRPr="002C1232">
        <w:t>ubmission PM-202</w:t>
      </w:r>
      <w:r w:rsidR="001C1694">
        <w:t>3</w:t>
      </w:r>
      <w:r w:rsidRPr="002C1232">
        <w:t>-</w:t>
      </w:r>
      <w:r w:rsidR="00F73BBE">
        <w:t>03087</w:t>
      </w:r>
      <w:r w:rsidRPr="002C1232">
        <w:t>-1-</w:t>
      </w:r>
      <w:r w:rsidR="00F73BBE">
        <w:t>2</w:t>
      </w:r>
    </w:p>
    <w:tbl>
      <w:tblPr>
        <w:tblStyle w:val="TableTGAblue2023"/>
        <w:tblW w:w="8642" w:type="dxa"/>
        <w:tblLook w:val="04A0" w:firstRow="1" w:lastRow="0" w:firstColumn="1" w:lastColumn="0" w:noHBand="0" w:noVBand="1"/>
      </w:tblPr>
      <w:tblGrid>
        <w:gridCol w:w="6232"/>
        <w:gridCol w:w="2410"/>
      </w:tblGrid>
      <w:tr w:rsidR="00324B33" w:rsidRPr="00D01DDB" w14:paraId="6C59BE9C" w14:textId="77777777" w:rsidTr="006954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6D80E78" w14:textId="3EC0CCAF" w:rsidR="00324B33" w:rsidRPr="00D01DDB" w:rsidRDefault="00324B33" w:rsidP="00324B33">
            <w:pPr>
              <w:rPr>
                <w:szCs w:val="22"/>
              </w:rPr>
            </w:pPr>
            <w:r w:rsidRPr="00D01DDB">
              <w:rPr>
                <w:szCs w:val="22"/>
              </w:rPr>
              <w:t>Description</w:t>
            </w:r>
          </w:p>
        </w:tc>
        <w:tc>
          <w:tcPr>
            <w:tcW w:w="2410"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1398460B" w14:textId="77777777" w:rsidTr="00695482">
        <w:tc>
          <w:tcPr>
            <w:cnfStyle w:val="001000000000" w:firstRow="0" w:lastRow="0" w:firstColumn="1" w:lastColumn="0" w:oddVBand="0" w:evenVBand="0" w:oddHBand="0" w:evenHBand="0" w:firstRowFirstColumn="0" w:firstRowLastColumn="0" w:lastRowFirstColumn="0" w:lastRowLastColumn="0"/>
            <w:tcW w:w="6232" w:type="dxa"/>
          </w:tcPr>
          <w:p w14:paraId="1106CC1E" w14:textId="56269E33" w:rsidR="00324B33" w:rsidRPr="00E679D1" w:rsidRDefault="00324B33" w:rsidP="00E679D1">
            <w:r w:rsidRPr="00E679D1">
              <w:t>Designation (Orphan)</w:t>
            </w:r>
          </w:p>
        </w:tc>
        <w:tc>
          <w:tcPr>
            <w:tcW w:w="2410" w:type="dxa"/>
          </w:tcPr>
          <w:p w14:paraId="4CD143CF" w14:textId="4E05F155" w:rsidR="00324B33" w:rsidRPr="00D01DDB" w:rsidRDefault="007E2D6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27 April 2023</w:t>
            </w:r>
          </w:p>
        </w:tc>
      </w:tr>
      <w:tr w:rsidR="00324B33" w:rsidRPr="00D01DDB" w14:paraId="23610C53" w14:textId="77777777" w:rsidTr="00695482">
        <w:tc>
          <w:tcPr>
            <w:cnfStyle w:val="001000000000" w:firstRow="0" w:lastRow="0" w:firstColumn="1" w:lastColumn="0" w:oddVBand="0" w:evenVBand="0" w:oddHBand="0" w:evenHBand="0" w:firstRowFirstColumn="0" w:firstRowLastColumn="0" w:lastRowFirstColumn="0" w:lastRowLastColumn="0"/>
            <w:tcW w:w="6232" w:type="dxa"/>
          </w:tcPr>
          <w:p w14:paraId="759D2A12" w14:textId="0D705F83" w:rsidR="00324B33" w:rsidRPr="00E679D1" w:rsidRDefault="00324B33" w:rsidP="00E679D1">
            <w:r w:rsidRPr="00E679D1">
              <w:t>Submission dossier accepted and first round evaluation commenced</w:t>
            </w:r>
          </w:p>
        </w:tc>
        <w:tc>
          <w:tcPr>
            <w:tcW w:w="2410" w:type="dxa"/>
          </w:tcPr>
          <w:p w14:paraId="2963D9D8" w14:textId="084098DF" w:rsidR="00324B33" w:rsidRPr="00D01DDB" w:rsidRDefault="00C5336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8 September 2023</w:t>
            </w:r>
          </w:p>
        </w:tc>
      </w:tr>
      <w:tr w:rsidR="00803926" w:rsidRPr="00D01DDB" w14:paraId="16D13F79" w14:textId="77777777" w:rsidTr="00695482">
        <w:tc>
          <w:tcPr>
            <w:cnfStyle w:val="001000000000" w:firstRow="0" w:lastRow="0" w:firstColumn="1" w:lastColumn="0" w:oddVBand="0" w:evenVBand="0" w:oddHBand="0" w:evenHBand="0" w:firstRowFirstColumn="0" w:firstRowLastColumn="0" w:lastRowFirstColumn="0" w:lastRowLastColumn="0"/>
            <w:tcW w:w="6232" w:type="dxa"/>
          </w:tcPr>
          <w:p w14:paraId="6858B45A" w14:textId="615A218B" w:rsidR="00803926" w:rsidRPr="00E679D1" w:rsidDel="00C62B1C" w:rsidRDefault="00803926" w:rsidP="00E679D1">
            <w:r>
              <w:t>Evaluation completed</w:t>
            </w:r>
            <w:r w:rsidR="005775D0">
              <w:t xml:space="preserve"> (End of round </w:t>
            </w:r>
            <w:r w:rsidR="00C00844">
              <w:t>2)</w:t>
            </w:r>
          </w:p>
        </w:tc>
        <w:tc>
          <w:tcPr>
            <w:tcW w:w="2410" w:type="dxa"/>
          </w:tcPr>
          <w:p w14:paraId="2E0BD403" w14:textId="4698C0F4" w:rsidR="00803926" w:rsidRPr="00D01DDB" w:rsidRDefault="0031459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January 2025</w:t>
            </w:r>
          </w:p>
        </w:tc>
      </w:tr>
      <w:tr w:rsidR="00324B33" w:rsidRPr="00D01DDB" w14:paraId="6E5D32FE" w14:textId="77777777" w:rsidTr="00695482">
        <w:tc>
          <w:tcPr>
            <w:cnfStyle w:val="001000000000" w:firstRow="0" w:lastRow="0" w:firstColumn="1" w:lastColumn="0" w:oddVBand="0" w:evenVBand="0" w:oddHBand="0" w:evenHBand="0" w:firstRowFirstColumn="0" w:firstRowLastColumn="0" w:lastRowFirstColumn="0" w:lastRowLastColumn="0"/>
            <w:tcW w:w="6232" w:type="dxa"/>
          </w:tcPr>
          <w:p w14:paraId="4E95C44C" w14:textId="7A91C710" w:rsidR="00324B33" w:rsidRPr="00E679D1" w:rsidRDefault="00324B33" w:rsidP="00E679D1">
            <w:r w:rsidRPr="00E679D1">
              <w:t>Registration decision (Outcome)</w:t>
            </w:r>
          </w:p>
        </w:tc>
        <w:tc>
          <w:tcPr>
            <w:tcW w:w="2410" w:type="dxa"/>
          </w:tcPr>
          <w:p w14:paraId="62987ABD" w14:textId="17BBBD52" w:rsidR="00324B33" w:rsidRPr="00D01DDB" w:rsidRDefault="006D525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April 2025</w:t>
            </w:r>
          </w:p>
        </w:tc>
      </w:tr>
      <w:tr w:rsidR="00324B33" w:rsidRPr="00D01DDB" w14:paraId="6DDCDDA4" w14:textId="77777777" w:rsidTr="00695482">
        <w:tc>
          <w:tcPr>
            <w:cnfStyle w:val="001000000000" w:firstRow="0" w:lastRow="0" w:firstColumn="1" w:lastColumn="0" w:oddVBand="0" w:evenVBand="0" w:oddHBand="0" w:evenHBand="0" w:firstRowFirstColumn="0" w:firstRowLastColumn="0" w:lastRowFirstColumn="0" w:lastRowLastColumn="0"/>
            <w:tcW w:w="6232" w:type="dxa"/>
          </w:tcPr>
          <w:p w14:paraId="192FD19D" w14:textId="7F00A355" w:rsidR="00324B33" w:rsidRPr="00E679D1" w:rsidRDefault="0013132F" w:rsidP="007311B9">
            <w:pPr>
              <w:ind w:left="0"/>
            </w:pPr>
            <w:r w:rsidRPr="00E679D1">
              <w:t xml:space="preserve"> </w:t>
            </w:r>
            <w:r w:rsidR="00C00844">
              <w:t>R</w:t>
            </w:r>
            <w:r w:rsidRPr="00E679D1">
              <w:t xml:space="preserve">egistration </w:t>
            </w:r>
            <w:r w:rsidR="005C4B46" w:rsidRPr="00E679D1">
              <w:t xml:space="preserve">in </w:t>
            </w:r>
            <w:r w:rsidRPr="00E679D1">
              <w:t>the ARTG completed</w:t>
            </w:r>
          </w:p>
        </w:tc>
        <w:tc>
          <w:tcPr>
            <w:tcW w:w="2410" w:type="dxa"/>
          </w:tcPr>
          <w:p w14:paraId="5A8923FD" w14:textId="7B113A65" w:rsidR="00324B33" w:rsidRPr="00D01DDB" w:rsidRDefault="00B125B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 May 2025</w:t>
            </w:r>
          </w:p>
        </w:tc>
      </w:tr>
      <w:tr w:rsidR="00324B33" w:rsidRPr="00D01DDB" w14:paraId="56D922E2" w14:textId="77777777" w:rsidTr="00695482">
        <w:tc>
          <w:tcPr>
            <w:cnfStyle w:val="001000000000" w:firstRow="0" w:lastRow="0" w:firstColumn="1" w:lastColumn="0" w:oddVBand="0" w:evenVBand="0" w:oddHBand="0" w:evenHBand="0" w:firstRowFirstColumn="0" w:firstRowLastColumn="0" w:lastRowFirstColumn="0" w:lastRowLastColumn="0"/>
            <w:tcW w:w="6232" w:type="dxa"/>
          </w:tcPr>
          <w:p w14:paraId="787FD8DD" w14:textId="0E0CF97F" w:rsidR="00324B33" w:rsidRPr="00E679D1" w:rsidRDefault="00324B33" w:rsidP="00E679D1">
            <w:r w:rsidRPr="00E679D1">
              <w:t>Number of working days from submission dossier acceptance to registration decision*</w:t>
            </w:r>
          </w:p>
        </w:tc>
        <w:tc>
          <w:tcPr>
            <w:tcW w:w="2410" w:type="dxa"/>
          </w:tcPr>
          <w:p w14:paraId="5BAF9FA1" w14:textId="0F8A5BB3" w:rsidR="00324B33" w:rsidRPr="00D01DDB" w:rsidRDefault="00B125B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196</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49165110" w:rsidR="00C22214" w:rsidRPr="00792A32" w:rsidRDefault="00E359FB" w:rsidP="00C22214">
      <w:pPr>
        <w:pStyle w:val="Heading2"/>
      </w:pPr>
      <w:bookmarkStart w:id="29" w:name="_Toc205388661"/>
      <w:bookmarkStart w:id="30" w:name="_Toc196046504"/>
      <w:bookmarkStart w:id="31" w:name="_Toc247691527"/>
      <w:bookmarkStart w:id="32" w:name="_Toc314842510"/>
      <w:bookmarkStart w:id="33" w:name="_Toc103679294"/>
      <w:r>
        <w:t>A</w:t>
      </w:r>
      <w:r w:rsidR="00083763">
        <w:t xml:space="preserve">ssessment </w:t>
      </w:r>
      <w:r w:rsidR="00C22214" w:rsidRPr="00006FAB">
        <w:t>overview</w:t>
      </w:r>
      <w:bookmarkEnd w:id="29"/>
      <w:r w:rsidR="00C22214" w:rsidRPr="00006FAB">
        <w:t xml:space="preserve"> </w:t>
      </w:r>
      <w:bookmarkEnd w:id="30"/>
      <w:bookmarkEnd w:id="31"/>
      <w:bookmarkEnd w:id="32"/>
      <w:bookmarkEnd w:id="33"/>
    </w:p>
    <w:p w14:paraId="540151FC" w14:textId="77777777" w:rsidR="00C22214" w:rsidRDefault="00C22214" w:rsidP="00BD5DBD">
      <w:pPr>
        <w:rPr>
          <w:szCs w:val="22"/>
        </w:rPr>
      </w:pPr>
      <w:bookmarkStart w:id="34" w:name="_Toc247691528"/>
      <w:bookmarkStart w:id="35" w:name="_Toc314842511"/>
      <w:r w:rsidRPr="00BD5DBD">
        <w:rPr>
          <w:szCs w:val="22"/>
        </w:rPr>
        <w:t>A summary of the TGA’s assessment for this submission is provided below.</w:t>
      </w:r>
    </w:p>
    <w:p w14:paraId="04ED10F1" w14:textId="77777777" w:rsidR="00591931" w:rsidRPr="00591931" w:rsidRDefault="00591931" w:rsidP="00591931">
      <w:pPr>
        <w:rPr>
          <w:szCs w:val="22"/>
        </w:rPr>
      </w:pPr>
      <w:r w:rsidRPr="00591931">
        <w:rPr>
          <w:szCs w:val="22"/>
        </w:rPr>
        <w:t>This application was evaluated as a Literature Based Submission (LBS) supported by published literature. This is appropriate given the age of the medicine and the lack of a modern regulatory dossier.</w:t>
      </w:r>
    </w:p>
    <w:p w14:paraId="37F5A1C0" w14:textId="331DF492" w:rsidR="00C22214" w:rsidRDefault="00EE438B" w:rsidP="00C22214">
      <w:pPr>
        <w:pStyle w:val="Heading3"/>
      </w:pPr>
      <w:bookmarkStart w:id="36" w:name="_Toc103679295"/>
      <w:bookmarkStart w:id="37" w:name="_Toc205388662"/>
      <w:r>
        <w:t>Q</w:t>
      </w:r>
      <w:r w:rsidR="00C22214">
        <w:t>uality</w:t>
      </w:r>
      <w:bookmarkEnd w:id="34"/>
      <w:bookmarkEnd w:id="35"/>
      <w:bookmarkEnd w:id="36"/>
      <w:r w:rsidR="007E6443">
        <w:t xml:space="preserve"> e</w:t>
      </w:r>
      <w:r w:rsidR="00F469E0">
        <w:t>v</w:t>
      </w:r>
      <w:r w:rsidR="007E6443">
        <w:t>aluation</w:t>
      </w:r>
      <w:r w:rsidR="00095C6A">
        <w:t xml:space="preserve"> summary</w:t>
      </w:r>
      <w:bookmarkEnd w:id="37"/>
    </w:p>
    <w:p w14:paraId="42531962" w14:textId="77777777" w:rsidR="008038EF" w:rsidRDefault="00A70B59" w:rsidP="00F32C18">
      <w:r w:rsidRPr="00F32C18">
        <w:t xml:space="preserve">The precise mechanism of action has not been fully determined but partly depends on </w:t>
      </w:r>
      <w:r w:rsidR="00BB00ED" w:rsidRPr="00F32C18">
        <w:t>the c</w:t>
      </w:r>
      <w:r w:rsidRPr="00F32C18">
        <w:t xml:space="preserve">onversion of pyrazinamide to </w:t>
      </w:r>
      <w:proofErr w:type="spellStart"/>
      <w:r w:rsidRPr="00F32C18">
        <w:t>pyrazinoic</w:t>
      </w:r>
      <w:proofErr w:type="spellEnd"/>
      <w:r w:rsidRPr="00F32C18">
        <w:t xml:space="preserve"> acid. Pyrazinamide is bactericidal against Mycobacterium tuberculosis. Pyrazinamide has no activity against other Mycobacteria.</w:t>
      </w:r>
      <w:r w:rsidRPr="00A70B59">
        <w:t xml:space="preserve"> Susceptible strains of </w:t>
      </w:r>
      <w:r w:rsidRPr="00A70B59">
        <w:rPr>
          <w:i/>
          <w:iCs/>
        </w:rPr>
        <w:t>Mycobacterium tuberculosis</w:t>
      </w:r>
      <w:r w:rsidRPr="00A70B59">
        <w:t xml:space="preserve"> produce </w:t>
      </w:r>
      <w:proofErr w:type="spellStart"/>
      <w:r w:rsidRPr="00A70B59">
        <w:t>pyrazinamidase</w:t>
      </w:r>
      <w:proofErr w:type="spellEnd"/>
      <w:r w:rsidRPr="00A70B59">
        <w:t xml:space="preserve"> which deaminates pyrazinamide to </w:t>
      </w:r>
      <w:proofErr w:type="spellStart"/>
      <w:r w:rsidRPr="00A70B59">
        <w:t>pyrazinoic</w:t>
      </w:r>
      <w:proofErr w:type="spellEnd"/>
      <w:r w:rsidRPr="00A70B59">
        <w:t xml:space="preserve"> acid.  </w:t>
      </w:r>
    </w:p>
    <w:p w14:paraId="35E35C09" w14:textId="2DA70AE7" w:rsidR="00140B4D" w:rsidRPr="00140B4D" w:rsidRDefault="000B7B8D" w:rsidP="00F32C18">
      <w:r w:rsidRPr="000B7B8D">
        <w:t>Pyrazinamide-AFT is presented as a white to off-white colour round tablet. Each tablet contains 500</w:t>
      </w:r>
      <w:r w:rsidR="00C4144B">
        <w:t xml:space="preserve"> </w:t>
      </w:r>
      <w:r w:rsidRPr="000B7B8D">
        <w:t>mg pyrazinamide.</w:t>
      </w:r>
      <w:r w:rsidR="008038EF">
        <w:t xml:space="preserve"> </w:t>
      </w:r>
      <w:r w:rsidR="00140B4D" w:rsidRPr="00140B4D">
        <w:t>Pyrazinamide is proposed to be administered as 15 – 30</w:t>
      </w:r>
      <w:r w:rsidR="00C4144B">
        <w:t xml:space="preserve"> </w:t>
      </w:r>
      <w:r w:rsidR="00140B4D" w:rsidRPr="00140B4D">
        <w:t>mg/kg once daily orally. It is proposed that 3</w:t>
      </w:r>
      <w:r w:rsidR="00C4144B">
        <w:t xml:space="preserve"> </w:t>
      </w:r>
      <w:r w:rsidR="00140B4D" w:rsidRPr="00140B4D">
        <w:t xml:space="preserve">g/day should not be exceeded. </w:t>
      </w:r>
    </w:p>
    <w:p w14:paraId="59F87E4F" w14:textId="7C5A127C" w:rsidR="00140B4D" w:rsidRPr="00140B4D" w:rsidRDefault="00140B4D" w:rsidP="00F32C18">
      <w:r w:rsidRPr="00140B4D">
        <w:t>Alternatively, a twice weekly dosing regimen (50-75</w:t>
      </w:r>
      <w:r w:rsidR="00C4144B">
        <w:t xml:space="preserve"> </w:t>
      </w:r>
      <w:r w:rsidRPr="00140B4D">
        <w:t xml:space="preserve">mg/kg twice weekly) has been proposed to promote compliance. Pyrazinamide is to be given with at least 1 other anti-tuberculous medicine. </w:t>
      </w:r>
    </w:p>
    <w:p w14:paraId="3CDB51BC" w14:textId="34F4BC58" w:rsidR="00A70B59" w:rsidRDefault="00125AA9" w:rsidP="00F32C18">
      <w:pPr>
        <w:rPr>
          <w:rFonts w:cs="Cambria"/>
          <w:sz w:val="24"/>
          <w:szCs w:val="24"/>
        </w:rPr>
      </w:pPr>
      <w:r w:rsidRPr="0096557F">
        <w:t>Pyrazinamide</w:t>
      </w:r>
      <w:r w:rsidR="009B58DE" w:rsidRPr="0096557F">
        <w:t xml:space="preserve">-AFT presents in a </w:t>
      </w:r>
      <w:r w:rsidRPr="0096557F">
        <w:t>HDPE bottle</w:t>
      </w:r>
      <w:r w:rsidR="009B58DE" w:rsidRPr="0096557F">
        <w:t xml:space="preserve"> </w:t>
      </w:r>
      <w:r w:rsidRPr="0096557F">
        <w:t>of 100 tablets.</w:t>
      </w:r>
      <w:r w:rsidR="009B58DE" w:rsidRPr="0096557F">
        <w:t xml:space="preserve"> </w:t>
      </w:r>
      <w:r w:rsidR="00F62C47" w:rsidRPr="0096557F">
        <w:t xml:space="preserve">The expiry date can be found on the packaging, with storage recommended for </w:t>
      </w:r>
      <w:r w:rsidR="00455B3F" w:rsidRPr="0096557F">
        <w:t>12 months</w:t>
      </w:r>
      <w:r w:rsidR="00F32C18" w:rsidRPr="0096557F">
        <w:t xml:space="preserve">, </w:t>
      </w:r>
      <w:r w:rsidR="00F62C47" w:rsidRPr="0096557F">
        <w:t xml:space="preserve">at </w:t>
      </w:r>
      <w:r w:rsidR="0090716E" w:rsidRPr="0096557F">
        <w:t>below 30 °C.</w:t>
      </w:r>
      <w:r w:rsidR="00F32C18" w:rsidRPr="00F32C18">
        <w:rPr>
          <w:rFonts w:cs="Cambria"/>
          <w:sz w:val="24"/>
          <w:szCs w:val="24"/>
        </w:rPr>
        <w:t xml:space="preserve"> </w:t>
      </w:r>
    </w:p>
    <w:p w14:paraId="31017147" w14:textId="314E8A37" w:rsidR="00513F11" w:rsidRDefault="00513F11" w:rsidP="00F32C18">
      <w:pPr>
        <w:rPr>
          <w:rFonts w:cs="Cambria"/>
          <w:sz w:val="24"/>
          <w:szCs w:val="24"/>
        </w:rPr>
      </w:pPr>
      <w:r w:rsidRPr="00513F11">
        <w:rPr>
          <w:rFonts w:cs="Cambria"/>
          <w:sz w:val="24"/>
          <w:szCs w:val="24"/>
        </w:rPr>
        <w:lastRenderedPageBreak/>
        <w:t>The module 3 evaluator has raised no concerns with registration of this product.</w:t>
      </w:r>
    </w:p>
    <w:p w14:paraId="2BE90AAE" w14:textId="5FDFB203" w:rsidR="00C22214" w:rsidRDefault="00513F11" w:rsidP="00C22214">
      <w:pPr>
        <w:pStyle w:val="Heading3"/>
      </w:pPr>
      <w:bookmarkStart w:id="38" w:name="_Toc314842512"/>
      <w:bookmarkStart w:id="39" w:name="_Toc103679296"/>
      <w:bookmarkStart w:id="40" w:name="_Toc205388663"/>
      <w:r>
        <w:t>N</w:t>
      </w:r>
      <w:r w:rsidR="00C22214">
        <w:t>onclinical</w:t>
      </w:r>
      <w:bookmarkEnd w:id="38"/>
      <w:bookmarkEnd w:id="39"/>
      <w:r w:rsidR="007E6443">
        <w:t xml:space="preserve"> evaluation</w:t>
      </w:r>
      <w:r w:rsidR="00095C6A">
        <w:t xml:space="preserve"> summary</w:t>
      </w:r>
      <w:bookmarkEnd w:id="40"/>
    </w:p>
    <w:p w14:paraId="3FF6E345" w14:textId="3DF2A8D5" w:rsidR="002B73CD" w:rsidRDefault="002B73CD" w:rsidP="002B73CD">
      <w:r>
        <w:t xml:space="preserve">There are no data on secondary pharmacology or safety pharmacology. Repeat dose toxicity, reproductive and developmental toxicity were not adequately assessed. </w:t>
      </w:r>
      <w:r w:rsidR="00B0351B" w:rsidRPr="00B0351B">
        <w:t>The</w:t>
      </w:r>
      <w:r w:rsidR="00B0351B">
        <w:t>refore, the</w:t>
      </w:r>
      <w:r w:rsidR="00B0351B" w:rsidRPr="00B0351B">
        <w:t xml:space="preserve"> submitted Module 4 dossier was </w:t>
      </w:r>
      <w:r w:rsidR="00E62434">
        <w:t>deemed</w:t>
      </w:r>
      <w:r w:rsidR="00E62434" w:rsidRPr="00B0351B">
        <w:t xml:space="preserve"> </w:t>
      </w:r>
      <w:r w:rsidR="00B0351B" w:rsidRPr="00B0351B">
        <w:t xml:space="preserve">inadequate. </w:t>
      </w:r>
      <w:r>
        <w:t xml:space="preserve">However, as a literature-based submission, the </w:t>
      </w:r>
      <w:r w:rsidR="005D5E71">
        <w:t>s</w:t>
      </w:r>
      <w:r>
        <w:t xml:space="preserve">ponsor has provided most available relevant published studies. Reproductive toxicity and carcinogenicity studies conducted by the National Institute of Health were not provided by the </w:t>
      </w:r>
      <w:r w:rsidR="00ED2DC0">
        <w:t>s</w:t>
      </w:r>
      <w:r>
        <w:t xml:space="preserve">ponsor, but they were sourced by the TGA evaluator. </w:t>
      </w:r>
    </w:p>
    <w:p w14:paraId="601283BD" w14:textId="6DA79C5A" w:rsidR="002B73CD" w:rsidRDefault="002B73CD" w:rsidP="002B73CD">
      <w:pPr>
        <w:rPr>
          <w:szCs w:val="22"/>
        </w:rPr>
      </w:pPr>
      <w:r>
        <w:t>Pyrazinamide (PZA) is a prodrug that is converted to the active f</w:t>
      </w:r>
      <w:r w:rsidR="0072584D">
        <w:t>or</w:t>
      </w:r>
      <w:r>
        <w:t xml:space="preserve">m </w:t>
      </w:r>
      <w:proofErr w:type="spellStart"/>
      <w:r>
        <w:t>pyrazinoic</w:t>
      </w:r>
      <w:proofErr w:type="spellEnd"/>
      <w:r>
        <w:t xml:space="preserve"> acid (POA) by </w:t>
      </w:r>
      <w:proofErr w:type="spellStart"/>
      <w:r>
        <w:t>pyrazinamidase</w:t>
      </w:r>
      <w:proofErr w:type="spellEnd"/>
      <w:r>
        <w:t xml:space="preserve"> /</w:t>
      </w:r>
      <w:proofErr w:type="spellStart"/>
      <w:r>
        <w:t>nicotinamidase</w:t>
      </w:r>
      <w:proofErr w:type="spellEnd"/>
      <w:r>
        <w:t xml:space="preserve">. PZA is generally active </w:t>
      </w:r>
      <w:r w:rsidRPr="005B082F">
        <w:t xml:space="preserve">only at an acid </w:t>
      </w:r>
      <w:proofErr w:type="spellStart"/>
      <w:r w:rsidRPr="005B082F">
        <w:t>pH.</w:t>
      </w:r>
      <w:proofErr w:type="spellEnd"/>
      <w:r w:rsidRPr="005B082F">
        <w:t xml:space="preserve"> The </w:t>
      </w:r>
      <w:r w:rsidR="004115D9">
        <w:t>minimum inhib</w:t>
      </w:r>
      <w:r w:rsidR="001C3378">
        <w:t xml:space="preserve">itory </w:t>
      </w:r>
      <w:r w:rsidR="001C3378" w:rsidRPr="001C3378">
        <w:t>concentration (</w:t>
      </w:r>
      <w:r w:rsidRPr="001C3378">
        <w:t>MIC</w:t>
      </w:r>
      <w:r w:rsidR="001C3378" w:rsidRPr="001C3378">
        <w:t>)</w:t>
      </w:r>
      <w:r w:rsidRPr="001C3378">
        <w:t xml:space="preserve"> against</w:t>
      </w:r>
      <w:r>
        <w:t xml:space="preserve"> </w:t>
      </w:r>
      <w:r>
        <w:rPr>
          <w:i/>
          <w:iCs/>
        </w:rPr>
        <w:t xml:space="preserve">M. </w:t>
      </w:r>
      <w:r>
        <w:rPr>
          <w:i/>
          <w:iCs/>
          <w:szCs w:val="22"/>
        </w:rPr>
        <w:t xml:space="preserve">tuberculosis </w:t>
      </w:r>
      <w:r>
        <w:rPr>
          <w:szCs w:val="22"/>
        </w:rPr>
        <w:t xml:space="preserve">varied widely in various cell cultures and assay conditions and ranged from &lt;6.25 </w:t>
      </w:r>
      <w:proofErr w:type="spellStart"/>
      <w:r>
        <w:rPr>
          <w:szCs w:val="22"/>
        </w:rPr>
        <w:t>μg</w:t>
      </w:r>
      <w:proofErr w:type="spellEnd"/>
      <w:r>
        <w:rPr>
          <w:szCs w:val="22"/>
        </w:rPr>
        <w:t xml:space="preserve">/mL to 128 </w:t>
      </w:r>
      <w:proofErr w:type="spellStart"/>
      <w:r>
        <w:rPr>
          <w:szCs w:val="22"/>
        </w:rPr>
        <w:t>μg</w:t>
      </w:r>
      <w:proofErr w:type="spellEnd"/>
      <w:r>
        <w:rPr>
          <w:szCs w:val="22"/>
        </w:rPr>
        <w:t>/</w:t>
      </w:r>
      <w:proofErr w:type="spellStart"/>
      <w:r>
        <w:rPr>
          <w:szCs w:val="22"/>
        </w:rPr>
        <w:t>mL.</w:t>
      </w:r>
      <w:proofErr w:type="spellEnd"/>
      <w:r>
        <w:rPr>
          <w:szCs w:val="22"/>
        </w:rPr>
        <w:t xml:space="preserve"> Nutrient-starved conditions enhanced the activity of PZA in cell cultures. </w:t>
      </w:r>
    </w:p>
    <w:p w14:paraId="4154D602" w14:textId="77777777" w:rsidR="002B73CD" w:rsidRDefault="002B73CD" w:rsidP="002B73CD">
      <w:pPr>
        <w:rPr>
          <w:szCs w:val="22"/>
        </w:rPr>
      </w:pPr>
      <w:r>
        <w:rPr>
          <w:i/>
          <w:iCs/>
          <w:szCs w:val="22"/>
        </w:rPr>
        <w:t xml:space="preserve">In vivo </w:t>
      </w:r>
      <w:r>
        <w:rPr>
          <w:szCs w:val="22"/>
        </w:rPr>
        <w:t xml:space="preserve">studies in a range of animal models of TB showed combinations of PZA with a range of drugs including the commonly used first line anti-TB drugs (isoniazid [INH], rifampicin [RIF], ethambutol [ETH]) was effective in sterilising affected tissues. Combination of RIF/PZA/INH drug treatment and BCG vaccination was more effective than drug treatment alone in reducing disease reactivation in guinea pigs infected with </w:t>
      </w:r>
      <w:r>
        <w:rPr>
          <w:i/>
          <w:iCs/>
          <w:szCs w:val="22"/>
        </w:rPr>
        <w:t>M. tuberculosis</w:t>
      </w:r>
      <w:r>
        <w:rPr>
          <w:szCs w:val="22"/>
        </w:rPr>
        <w:t xml:space="preserve">. Since PZA has been extensively used in clinical settings, its efficacy and dosing would be appropriately determined by the extensive clinical data available. </w:t>
      </w:r>
    </w:p>
    <w:p w14:paraId="6EA2D73A" w14:textId="77777777" w:rsidR="002B73CD" w:rsidRDefault="002B73CD" w:rsidP="002B73CD">
      <w:pPr>
        <w:rPr>
          <w:szCs w:val="22"/>
        </w:rPr>
      </w:pPr>
      <w:r>
        <w:rPr>
          <w:szCs w:val="22"/>
        </w:rPr>
        <w:t xml:space="preserve">Combination of clarithromycin and PZA was found to be synergistic against </w:t>
      </w:r>
      <w:r>
        <w:rPr>
          <w:i/>
          <w:iCs/>
          <w:szCs w:val="22"/>
        </w:rPr>
        <w:t xml:space="preserve">M. tuberculosis </w:t>
      </w:r>
      <w:r>
        <w:rPr>
          <w:szCs w:val="22"/>
        </w:rPr>
        <w:t xml:space="preserve">in human macrophages with MICs 4-8-fold lower for this combination than they were for either drug alone. </w:t>
      </w:r>
    </w:p>
    <w:p w14:paraId="7827B75D" w14:textId="77777777" w:rsidR="002B73CD" w:rsidRDefault="002B73CD" w:rsidP="002B73CD">
      <w:pPr>
        <w:rPr>
          <w:szCs w:val="22"/>
        </w:rPr>
      </w:pPr>
      <w:r>
        <w:rPr>
          <w:szCs w:val="22"/>
        </w:rPr>
        <w:t xml:space="preserve">Pharmacokinetic profiles available in mice and rats (species used in the repeat-dose toxicity studies) were incomplete. PZA was well absorbed in mice. No absorption data was available for rats, but excretion data indicate that PZA is orally bioavailable in rats. Metabolites and excretion profiles in rats (no data for mice) were </w:t>
      </w:r>
      <w:proofErr w:type="gramStart"/>
      <w:r>
        <w:rPr>
          <w:szCs w:val="22"/>
        </w:rPr>
        <w:t>similar to</w:t>
      </w:r>
      <w:proofErr w:type="gramEnd"/>
      <w:r>
        <w:rPr>
          <w:szCs w:val="22"/>
        </w:rPr>
        <w:t xml:space="preserve"> humans making it an appropriate species for the assessment of PZA toxicity. </w:t>
      </w:r>
    </w:p>
    <w:p w14:paraId="26B26F2F" w14:textId="77777777" w:rsidR="002B73CD" w:rsidRDefault="002B73CD" w:rsidP="002B73CD">
      <w:pPr>
        <w:rPr>
          <w:szCs w:val="22"/>
        </w:rPr>
      </w:pPr>
      <w:r>
        <w:rPr>
          <w:szCs w:val="22"/>
        </w:rPr>
        <w:t xml:space="preserve">PZA and its active metabolite, POA are converted to 5-hydroxyPZA and 5-hydroxyPOA, respectively, by xanthine oxidase. Drugs that affect xanthine oxidase activity such as caffeine and allopurinol may affect PZA metabolism. Pyrazinamide inhibited the expression of hepatic transporters, BSEP and OATP1A1 in rats. It may reduce the elimination of drugs that are cleared by BSEP-mediated biliary excretion or OATP1A1 substrates that are predominantly cleared by hepatic metabolism. </w:t>
      </w:r>
    </w:p>
    <w:p w14:paraId="2660366B" w14:textId="342D8041" w:rsidR="002B73CD" w:rsidRDefault="002B73CD" w:rsidP="003D680D">
      <w:r>
        <w:t xml:space="preserve">Repeat-dose toxicity via the </w:t>
      </w:r>
      <w:r w:rsidR="0028082C">
        <w:t>oral</w:t>
      </w:r>
      <w:r>
        <w:t xml:space="preserve"> route of PZA on its own was examined in mice (2 x 1 week study) and rats (9 x 1–13-week studies). These studies concentrated on hepatotoxicity. Effects of PZA on other organs were not investigated, which is considered a major deficiency. Clinical doses of PZA in rats caused liver hepatotoxicity. Metabolites POA and 5-OHPOA were more potent than PZA in the induction of hepatotoxicity, based on histopathological and serum biochemical analysis (including ALT, AST, bilirubin and bile acid), liver oxidative stress in rats and cytotoxicity in HepG2 cells </w:t>
      </w:r>
      <w:r>
        <w:rPr>
          <w:i/>
          <w:iCs/>
        </w:rPr>
        <w:t>in vitro</w:t>
      </w:r>
      <w:r>
        <w:t xml:space="preserve">. Hepatic toxicity of PZA was alleviated by </w:t>
      </w:r>
      <w:proofErr w:type="spellStart"/>
      <w:r>
        <w:t>obeticholic</w:t>
      </w:r>
      <w:proofErr w:type="spellEnd"/>
      <w:r>
        <w:t xml:space="preserve"> acid, a FXR agonist approved for the treatment of primary biliary cholangitis. </w:t>
      </w:r>
    </w:p>
    <w:p w14:paraId="54146044" w14:textId="77777777" w:rsidR="002B73CD" w:rsidRDefault="002B73CD" w:rsidP="003D680D">
      <w:r>
        <w:t xml:space="preserve">Based on the study findings, PZA </w:t>
      </w:r>
      <w:proofErr w:type="gramStart"/>
      <w:r>
        <w:t>is considered to be</w:t>
      </w:r>
      <w:proofErr w:type="gramEnd"/>
      <w:r>
        <w:t xml:space="preserve"> genotoxic. PZA increased bone marrow micronuclei in mice (after a single IP dose of PZA). Chromosomal aberrations of bone marrow cells and DNA damage of spleen cells were increased in rats treated with PZA in combination with INH and RIF. In another rat study, micronuclei in blood cells were not increased following </w:t>
      </w:r>
      <w:r>
        <w:lastRenderedPageBreak/>
        <w:t xml:space="preserve">treatment with PZA or PZA in combination with other anti-TB drugs, but DNA damage was evident in liver, kidney and blood cells. PZA was not mutagenic in the Ames assay. </w:t>
      </w:r>
    </w:p>
    <w:p w14:paraId="2CBDEFCA" w14:textId="77777777" w:rsidR="002B73CD" w:rsidRDefault="002B73CD" w:rsidP="003D680D">
      <w:r>
        <w:t xml:space="preserve">PZA was not carcinogenic in rats or male mice. No conclusion was possible for female mice due to insufficient numbers of surviving control mice in the 78-week carcinogenicity study. </w:t>
      </w:r>
    </w:p>
    <w:p w14:paraId="508E5682" w14:textId="39831D48" w:rsidR="002B73CD" w:rsidRDefault="002B73CD" w:rsidP="00FA3F5B">
      <w:pPr>
        <w:rPr>
          <w:szCs w:val="22"/>
        </w:rPr>
      </w:pPr>
      <w:r>
        <w:t xml:space="preserve">Effects on fertility and early embryonic were not adequately assessed. In female rats, subclinical doses of PZA elicited significant disruption of endocrine balance (reduced levels of luteinizing hormones, prolactin and estrogen), and induced ovarian and uterine oxidative stress (increased oxidative stress markers) and histopathology of reproductive organs (including erosion of uterine mucosa, and congestion and underdeveloped follicles in ovaries). In male mice, subclinical doses of PZA caused histological lesions in testes (such as irregular seminiferous tubules, reduction of seminiferous epithelium, necrotic spermatogenic cells, and degeneration of Sertoli cells). Decreased testis volume and spermatogonia numbers, epithelium desquamation </w:t>
      </w:r>
      <w:r>
        <w:rPr>
          <w:szCs w:val="22"/>
        </w:rPr>
        <w:t xml:space="preserve">and exfoliation were seen in rats. Testis and epididymis DNA fragmentation were reported in male rats treated with PZA. Male rats dosed with PZA, INH, RIF and ETH at 217, 62, 74.4 and 155 mg/kg/day PO, respectively, had significantly lower fertility index and increased pre- and post-implantation losses than the control group. Considering the effects on male and female reproductive organs, and the significant decrease in fertility in the combination study, both male and female fertility and early embryonic development may be affected in patients. </w:t>
      </w:r>
    </w:p>
    <w:p w14:paraId="7F999B01" w14:textId="77777777" w:rsidR="002B73CD" w:rsidRDefault="002B73CD" w:rsidP="00FA3F5B">
      <w:pPr>
        <w:rPr>
          <w:szCs w:val="22"/>
        </w:rPr>
      </w:pPr>
      <w:r>
        <w:rPr>
          <w:szCs w:val="22"/>
        </w:rPr>
        <w:t xml:space="preserve">In mice, embryofetal development was unaltered by PZA at PO doses up to 3000 mg/kg/day (9 times the maximum recommended clinical dose per body surface area) administered during organogenesis, but visceral and skeletal malformations were not examined in the study. Effects of embryofetal development has not been adequately assessed in nonclinical studies. </w:t>
      </w:r>
    </w:p>
    <w:p w14:paraId="42DC7724" w14:textId="77777777" w:rsidR="002B73CD" w:rsidRDefault="002B73CD" w:rsidP="003D680D">
      <w:pPr>
        <w:rPr>
          <w:szCs w:val="22"/>
        </w:rPr>
      </w:pPr>
      <w:r>
        <w:rPr>
          <w:szCs w:val="22"/>
        </w:rPr>
        <w:t xml:space="preserve">The non-clinical evaluator concluded that: </w:t>
      </w:r>
    </w:p>
    <w:p w14:paraId="581A63B0" w14:textId="4892D03C" w:rsidR="002B73CD" w:rsidRDefault="002B73CD" w:rsidP="00513B54">
      <w:pPr>
        <w:pStyle w:val="ListBullet"/>
      </w:pPr>
      <w:r>
        <w:t xml:space="preserve">Primary pharmacology studies support the proposed mode of action and clinical use for the treatment of TB. </w:t>
      </w:r>
    </w:p>
    <w:p w14:paraId="076F4BD4" w14:textId="77777777" w:rsidR="002B73CD" w:rsidRDefault="002B73CD" w:rsidP="003D680D">
      <w:pPr>
        <w:pStyle w:val="ListBullet"/>
      </w:pPr>
      <w:r>
        <w:t xml:space="preserve">Pyrazinamide may cause liver toxicity in humans based on animal studies. </w:t>
      </w:r>
    </w:p>
    <w:p w14:paraId="37DD8222" w14:textId="77777777" w:rsidR="00C46D50" w:rsidRDefault="002B73CD" w:rsidP="005178F1">
      <w:pPr>
        <w:pStyle w:val="ListBullet"/>
      </w:pPr>
      <w:proofErr w:type="gramStart"/>
      <w:r w:rsidRPr="00580E6C">
        <w:t>A number of</w:t>
      </w:r>
      <w:proofErr w:type="gramEnd"/>
      <w:r w:rsidRPr="00580E6C">
        <w:t xml:space="preserve"> major deficiencies in the submitted nonclinical data were identified: </w:t>
      </w:r>
    </w:p>
    <w:p w14:paraId="7A67F3A4" w14:textId="77777777" w:rsidR="00C46D50" w:rsidRDefault="002B73CD" w:rsidP="005178F1">
      <w:pPr>
        <w:pStyle w:val="ListBullet2"/>
      </w:pPr>
      <w:r w:rsidRPr="00580E6C">
        <w:t xml:space="preserve">the absence of secondary and safety pharmacology data </w:t>
      </w:r>
    </w:p>
    <w:p w14:paraId="2ED9882C" w14:textId="77777777" w:rsidR="00C46D50" w:rsidRDefault="002B73CD" w:rsidP="005178F1">
      <w:pPr>
        <w:pStyle w:val="ListBullet2"/>
      </w:pPr>
      <w:r w:rsidRPr="00580E6C">
        <w:t xml:space="preserve">repeat dose toxicity investigation limited to liver toxicity </w:t>
      </w:r>
    </w:p>
    <w:p w14:paraId="0816C0B0" w14:textId="00FAC162" w:rsidR="002B73CD" w:rsidRDefault="002B73CD" w:rsidP="005178F1">
      <w:pPr>
        <w:pStyle w:val="ListBullet2"/>
      </w:pPr>
      <w:r>
        <w:t xml:space="preserve">absence of adequate embryofetal developmental studies (visceral and skeletal malformations were not examined) </w:t>
      </w:r>
    </w:p>
    <w:p w14:paraId="61BA4FD7" w14:textId="7D8D38C5" w:rsidR="002B73CD" w:rsidRPr="0090058A" w:rsidRDefault="002B73CD" w:rsidP="008F368B">
      <w:pPr>
        <w:pStyle w:val="ListBullet"/>
      </w:pPr>
      <w:r>
        <w:t xml:space="preserve">The major deficiencies of </w:t>
      </w:r>
      <w:r w:rsidRPr="0090058A">
        <w:t>nonclinical toxicology data may be overcome</w:t>
      </w:r>
      <w:r w:rsidR="0090058A" w:rsidRPr="0090058A">
        <w:t xml:space="preserve"> </w:t>
      </w:r>
      <w:r w:rsidRPr="0090058A">
        <w:t xml:space="preserve">by the long history of clinical use and available clinical data on safety and efficacy. </w:t>
      </w:r>
    </w:p>
    <w:p w14:paraId="66D36221" w14:textId="055BC16E" w:rsidR="002B73CD" w:rsidRPr="008F368B" w:rsidRDefault="002B73CD" w:rsidP="008F368B">
      <w:pPr>
        <w:pStyle w:val="ListBullet"/>
        <w:rPr>
          <w:color w:val="auto"/>
          <w:szCs w:val="22"/>
        </w:rPr>
      </w:pPr>
      <w:r>
        <w:rPr>
          <w:color w:val="auto"/>
          <w:szCs w:val="22"/>
        </w:rPr>
        <w:t>The Risk Management Plan should include the mutagenic potential of PZA</w:t>
      </w:r>
      <w:r w:rsidR="008F368B">
        <w:rPr>
          <w:color w:val="auto"/>
          <w:szCs w:val="22"/>
        </w:rPr>
        <w:t>.</w:t>
      </w:r>
    </w:p>
    <w:p w14:paraId="333959C9" w14:textId="77777777" w:rsidR="001F2F66" w:rsidRDefault="001F2F66" w:rsidP="00100588">
      <w:pPr>
        <w:pStyle w:val="Heading3"/>
      </w:pPr>
      <w:bookmarkStart w:id="41" w:name="_Toc205388664"/>
      <w:r>
        <w:t>Clinical evaluation summary</w:t>
      </w:r>
      <w:bookmarkEnd w:id="41"/>
    </w:p>
    <w:p w14:paraId="3A363462" w14:textId="77777777" w:rsidR="001F2F66" w:rsidRDefault="001F2F66" w:rsidP="00100588">
      <w:pPr>
        <w:pStyle w:val="Heading4"/>
      </w:pPr>
      <w:bookmarkStart w:id="42" w:name="_Toc205388665"/>
      <w:r>
        <w:t>Summary of clinical studies</w:t>
      </w:r>
      <w:bookmarkEnd w:id="42"/>
    </w:p>
    <w:p w14:paraId="18B190EF" w14:textId="77777777" w:rsidR="00100588" w:rsidRDefault="001F2F66" w:rsidP="00100588">
      <w:r>
        <w:t>A total of 68 publications were submitted as clinical data following a structured search of online databased which found 278 potential studies.</w:t>
      </w:r>
    </w:p>
    <w:p w14:paraId="182D99F6" w14:textId="77777777" w:rsidR="00D65A01" w:rsidRDefault="00063D1C" w:rsidP="00D65A01">
      <w:pPr>
        <w:pStyle w:val="TableTitle"/>
      </w:pPr>
      <w:r>
        <w:lastRenderedPageBreak/>
        <w:t xml:space="preserve">Table 3: </w:t>
      </w:r>
      <w:r w:rsidR="00EE3196" w:rsidRPr="00EE3196">
        <w:t>Studies submitted in support of application PM-2023-03087-1-2</w:t>
      </w:r>
    </w:p>
    <w:p w14:paraId="56F39261" w14:textId="5DDDCE0A" w:rsidR="004D3767" w:rsidRDefault="004D3767" w:rsidP="00695482">
      <w:r>
        <w:rPr>
          <w:noProof/>
        </w:rPr>
        <w:drawing>
          <wp:inline distT="0" distB="0" distL="0" distR="0" wp14:anchorId="213645E1" wp14:editId="3C00F31B">
            <wp:extent cx="5372247" cy="7898860"/>
            <wp:effectExtent l="0" t="0" r="0" b="6985"/>
            <wp:docPr id="2067508913" name="Picture 1" descr="Table 3: Studies submitted in support of application PM-2023-0308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08913" name="Picture 1" descr="Table 3: Studies submitted in support of application PM-2023-03087-1-2"/>
                    <pic:cNvPicPr/>
                  </pic:nvPicPr>
                  <pic:blipFill>
                    <a:blip r:embed="rId19"/>
                    <a:stretch>
                      <a:fillRect/>
                    </a:stretch>
                  </pic:blipFill>
                  <pic:spPr>
                    <a:xfrm>
                      <a:off x="0" y="0"/>
                      <a:ext cx="5394590" cy="7931711"/>
                    </a:xfrm>
                    <a:prstGeom prst="rect">
                      <a:avLst/>
                    </a:prstGeom>
                  </pic:spPr>
                </pic:pic>
              </a:graphicData>
            </a:graphic>
          </wp:inline>
        </w:drawing>
      </w:r>
    </w:p>
    <w:p w14:paraId="255BF51E" w14:textId="7129CB66" w:rsidR="00D65A01" w:rsidRDefault="00507357" w:rsidP="00D65A01">
      <w:pPr>
        <w:pStyle w:val="TableTitle"/>
      </w:pPr>
      <w:r>
        <w:rPr>
          <w:noProof/>
        </w:rPr>
        <w:lastRenderedPageBreak/>
        <w:drawing>
          <wp:inline distT="0" distB="0" distL="0" distR="0" wp14:anchorId="6B6CFF43" wp14:editId="7A0A844B">
            <wp:extent cx="5476673" cy="6617393"/>
            <wp:effectExtent l="0" t="0" r="0" b="0"/>
            <wp:docPr id="1543265725" name="Picture 1" descr="Table 3: Studies submitted in support of application PM-2023-0308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65725" name="Picture 1" descr="Table 3: Studies submitted in support of application PM-2023-03087-1-2"/>
                    <pic:cNvPicPr/>
                  </pic:nvPicPr>
                  <pic:blipFill>
                    <a:blip r:embed="rId20"/>
                    <a:stretch>
                      <a:fillRect/>
                    </a:stretch>
                  </pic:blipFill>
                  <pic:spPr>
                    <a:xfrm>
                      <a:off x="0" y="0"/>
                      <a:ext cx="5557713" cy="6715313"/>
                    </a:xfrm>
                    <a:prstGeom prst="rect">
                      <a:avLst/>
                    </a:prstGeom>
                  </pic:spPr>
                </pic:pic>
              </a:graphicData>
            </a:graphic>
          </wp:inline>
        </w:drawing>
      </w:r>
    </w:p>
    <w:p w14:paraId="5788DF66" w14:textId="77777777" w:rsidR="00E6682F" w:rsidRDefault="00E6682F" w:rsidP="009E314C">
      <w:pPr>
        <w:pStyle w:val="Heading4"/>
      </w:pPr>
      <w:bookmarkStart w:id="43" w:name="_Toc205388666"/>
      <w:r>
        <w:t>Pharmacology</w:t>
      </w:r>
      <w:bookmarkEnd w:id="43"/>
      <w:r>
        <w:t xml:space="preserve"> </w:t>
      </w:r>
    </w:p>
    <w:p w14:paraId="38EF38B4" w14:textId="61E24107" w:rsidR="00E6682F" w:rsidRDefault="00E6682F" w:rsidP="00E6682F">
      <w:r>
        <w:t>The Delegate note</w:t>
      </w:r>
      <w:r w:rsidR="00C4144B">
        <w:t>d</w:t>
      </w:r>
      <w:r>
        <w:t xml:space="preserve"> that the pharmacology of pyrazinamide is relatively well understood given the duration of its clinical use. </w:t>
      </w:r>
    </w:p>
    <w:p w14:paraId="640E7509" w14:textId="098DB081" w:rsidR="009553F9" w:rsidRPr="009553F9" w:rsidRDefault="009553F9" w:rsidP="009553F9">
      <w:pPr>
        <w:pStyle w:val="Heading5"/>
      </w:pPr>
      <w:bookmarkStart w:id="44" w:name="_Toc163724600"/>
      <w:r w:rsidRPr="009553F9">
        <w:t>Pharmacokinetics</w:t>
      </w:r>
      <w:bookmarkEnd w:id="44"/>
    </w:p>
    <w:p w14:paraId="6C24768E" w14:textId="09E38A18" w:rsidR="009D04BA" w:rsidRDefault="000B0BC2" w:rsidP="009D04BA">
      <w:r w:rsidRPr="000B0BC2">
        <w:t xml:space="preserve">An appropriate and thorough search of literature-based studies was provided. </w:t>
      </w:r>
      <w:r w:rsidR="00081D51">
        <w:t xml:space="preserve">Table 4 </w:t>
      </w:r>
      <w:r w:rsidR="009D04BA" w:rsidRPr="009D04BA">
        <w:t>summarises studies with</w:t>
      </w:r>
      <w:r w:rsidR="00A836F7">
        <w:t xml:space="preserve"> pharmacokinetic (</w:t>
      </w:r>
      <w:r w:rsidR="009D04BA" w:rsidRPr="009D04BA">
        <w:t>PK</w:t>
      </w:r>
      <w:r w:rsidR="00A836F7">
        <w:t>)</w:t>
      </w:r>
      <w:r w:rsidR="009D04BA" w:rsidRPr="009D04BA">
        <w:t xml:space="preserve"> data. </w:t>
      </w:r>
      <w:r w:rsidR="00AE6664">
        <w:t xml:space="preserve">Individual studies are </w:t>
      </w:r>
      <w:r w:rsidR="00C632ED">
        <w:t xml:space="preserve">described </w:t>
      </w:r>
      <w:r w:rsidR="005E4000">
        <w:t xml:space="preserve">further </w:t>
      </w:r>
      <w:r w:rsidR="00C632ED">
        <w:t>below.</w:t>
      </w:r>
    </w:p>
    <w:p w14:paraId="5C74862D" w14:textId="408BB712" w:rsidR="00C97C87" w:rsidRDefault="00C97C87" w:rsidP="00484C26">
      <w:pPr>
        <w:pStyle w:val="TableTitle"/>
      </w:pPr>
      <w:r>
        <w:lastRenderedPageBreak/>
        <w:t xml:space="preserve">Table 4: </w:t>
      </w:r>
      <w:r w:rsidR="000B0BC2">
        <w:t xml:space="preserve">Pharmacokinetic parameter of pyrazinamide observed </w:t>
      </w:r>
      <w:r w:rsidR="00484C26">
        <w:t>in humans (values are in blood/plasma /serum unless specified)</w:t>
      </w:r>
    </w:p>
    <w:p w14:paraId="44A8196E" w14:textId="271779B0" w:rsidR="008F73CB" w:rsidRDefault="0028418D" w:rsidP="00695482">
      <w:r>
        <w:rPr>
          <w:noProof/>
        </w:rPr>
        <w:drawing>
          <wp:inline distT="0" distB="0" distL="0" distR="0" wp14:anchorId="4AA41873" wp14:editId="05F4EFD8">
            <wp:extent cx="6174105" cy="8375514"/>
            <wp:effectExtent l="0" t="0" r="0" b="6985"/>
            <wp:docPr id="955829815" name="Picture 1" descr="Table 4: Pharmacokinetic parameter of pyrazinamide observed in humans (values are in blood/plasma /serum unless spec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29815" name="Picture 1" descr="Table 4: Pharmacokinetic parameter of pyrazinamide observed in humans (values are in blood/plasma /serum unless specified)"/>
                    <pic:cNvPicPr/>
                  </pic:nvPicPr>
                  <pic:blipFill>
                    <a:blip r:embed="rId21"/>
                    <a:stretch>
                      <a:fillRect/>
                    </a:stretch>
                  </pic:blipFill>
                  <pic:spPr>
                    <a:xfrm>
                      <a:off x="0" y="0"/>
                      <a:ext cx="6192172" cy="8400022"/>
                    </a:xfrm>
                    <a:prstGeom prst="rect">
                      <a:avLst/>
                    </a:prstGeom>
                  </pic:spPr>
                </pic:pic>
              </a:graphicData>
            </a:graphic>
          </wp:inline>
        </w:drawing>
      </w:r>
    </w:p>
    <w:p w14:paraId="57372D21" w14:textId="5B6DF839" w:rsidR="00912B09" w:rsidRPr="00912B09" w:rsidRDefault="00912B09" w:rsidP="00912B09">
      <w:proofErr w:type="spellStart"/>
      <w:r w:rsidRPr="00912B09">
        <w:lastRenderedPageBreak/>
        <w:t>Panjasawatwong</w:t>
      </w:r>
      <w:proofErr w:type="spellEnd"/>
      <w:r w:rsidRPr="00912B09">
        <w:t xml:space="preserve"> et al. (2021)</w:t>
      </w:r>
      <w:r w:rsidR="00D36728" w:rsidRPr="00DF2AE1">
        <w:rPr>
          <w:rStyle w:val="FootnoteReference"/>
        </w:rPr>
        <w:footnoteReference w:id="3"/>
      </w:r>
      <w:r w:rsidRPr="00912B09">
        <w:t xml:space="preserve"> assessed the population PK of isoniazid, rifampicin, pyrazinamide and ethambutol in Vietnamese children with tuberculous meningitis (TBM) </w:t>
      </w:r>
      <w:r w:rsidR="001F640A" w:rsidRPr="00DF2AE1">
        <w:t>to</w:t>
      </w:r>
      <w:r w:rsidRPr="00912B09">
        <w:t xml:space="preserve"> provide an optimal dosing for such patients. A total of 100 children with TBM were treated with an 8</w:t>
      </w:r>
      <w:r w:rsidR="003A7CFF">
        <w:t>-</w:t>
      </w:r>
      <w:r w:rsidRPr="00912B09">
        <w:t xml:space="preserve">month anti-TB regimen. Non-linear mixed-effects modelling was used to evaluate the PK properties of the drugs. The PK properties of rifampicin and pyrazinamide in plasma were described by 1-compartment disposition models whilst those of isoniazid and ethambutol were described by 2-compartment disposition models. Whilst CSF penetration of rifampicin was relatively poor, this was good with isoniazid and pyrazinamide. It was found that recommended doses of isoniazid and pyrazinamide but not ethambutol and rifampicin were adequate to achieve target exposures. </w:t>
      </w:r>
    </w:p>
    <w:p w14:paraId="7ACB2486" w14:textId="3168EDE8" w:rsidR="00912B09" w:rsidRDefault="00912B09" w:rsidP="00912B09">
      <w:r w:rsidRPr="00912B09">
        <w:t>For pyrazinamide, the population PK parameter estimates at steady state in this target population are shown in Table</w:t>
      </w:r>
      <w:r w:rsidR="00063D1C" w:rsidRPr="000462BC">
        <w:t xml:space="preserve"> 5</w:t>
      </w:r>
      <w:r w:rsidRPr="00912B09">
        <w:t>. Thus</w:t>
      </w:r>
      <w:r w:rsidR="008F6EA0">
        <w:t>,</w:t>
      </w:r>
      <w:r w:rsidRPr="00912B09">
        <w:t xml:space="preserve"> AUC</w:t>
      </w:r>
      <w:r w:rsidRPr="00912B09">
        <w:rPr>
          <w:vertAlign w:val="subscript"/>
        </w:rPr>
        <w:t>0-24</w:t>
      </w:r>
      <w:r w:rsidRPr="00912B09">
        <w:t xml:space="preserve"> in plasma CSF (median [range]) was 288 (108-569) and 266 (98.9-522) mg x h/L, respectively. C</w:t>
      </w:r>
      <w:r w:rsidRPr="00912B09">
        <w:rPr>
          <w:vertAlign w:val="subscript"/>
        </w:rPr>
        <w:t xml:space="preserve">max </w:t>
      </w:r>
      <w:r w:rsidRPr="00912B09">
        <w:t xml:space="preserve">was similarly slightly greater in plasma vs. CSF at 42.5 (29.8-92.7) and 31.3 (19.4-72.2) mg/L, respectively. Half-life in plasma and CSF were the same, at 5.12 (3.01-14.5) hours for both groups. </w:t>
      </w:r>
    </w:p>
    <w:p w14:paraId="5E1716F2" w14:textId="77777777" w:rsidR="0045685F" w:rsidRPr="0045685F" w:rsidRDefault="00063D1C" w:rsidP="00BB1F48">
      <w:pPr>
        <w:pStyle w:val="TableTitle"/>
      </w:pPr>
      <w:r>
        <w:t xml:space="preserve">Table 5: </w:t>
      </w:r>
      <w:r w:rsidR="0045685F" w:rsidRPr="0045685F">
        <w:t xml:space="preserve">Population PK parameter estimates and post hoc secondary PK parameters from the final population PK model of pyrazinamide in children with </w:t>
      </w:r>
      <w:proofErr w:type="spellStart"/>
      <w:r w:rsidR="0045685F" w:rsidRPr="0045685F">
        <w:t>TBM</w:t>
      </w:r>
      <w:r w:rsidR="0045685F" w:rsidRPr="0045685F">
        <w:rPr>
          <w:vertAlign w:val="superscript"/>
        </w:rPr>
        <w:t>a</w:t>
      </w:r>
      <w:proofErr w:type="spellEnd"/>
    </w:p>
    <w:p w14:paraId="38222FF4" w14:textId="129679E3" w:rsidR="00063D1C" w:rsidRPr="00912B09" w:rsidRDefault="00063D1C" w:rsidP="00695482">
      <w:r w:rsidRPr="00DF5658">
        <w:rPr>
          <w:noProof/>
        </w:rPr>
        <w:drawing>
          <wp:inline distT="0" distB="0" distL="0" distR="0" wp14:anchorId="31CEAF90" wp14:editId="1207FD24">
            <wp:extent cx="6058482" cy="3832698"/>
            <wp:effectExtent l="0" t="0" r="0" b="0"/>
            <wp:docPr id="122217485" name="Picture 1" descr="Table 5: Population PK parameter estimates and post hoc secondary PK parameters from the final population PK model of pyrazinamide in children with TB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7485" name="Picture 1" descr="Table 5: Population PK parameter estimates and post hoc secondary PK parameters from the final population PK model of pyrazinamide in children with TBMa"/>
                    <pic:cNvPicPr/>
                  </pic:nvPicPr>
                  <pic:blipFill>
                    <a:blip r:embed="rId22"/>
                    <a:stretch>
                      <a:fillRect/>
                    </a:stretch>
                  </pic:blipFill>
                  <pic:spPr>
                    <a:xfrm>
                      <a:off x="0" y="0"/>
                      <a:ext cx="6062324" cy="3835128"/>
                    </a:xfrm>
                    <a:prstGeom prst="rect">
                      <a:avLst/>
                    </a:prstGeom>
                  </pic:spPr>
                </pic:pic>
              </a:graphicData>
            </a:graphic>
          </wp:inline>
        </w:drawing>
      </w:r>
    </w:p>
    <w:p w14:paraId="5E452B34" w14:textId="3B0DC898" w:rsidR="00912B09" w:rsidRPr="00912B09" w:rsidRDefault="00912B09" w:rsidP="00912B09">
      <w:r w:rsidRPr="00912B09">
        <w:t>The PK of isoniazid, rifampicin and pyrazinamide was studied in 24 healthy males as part of a randomised, cross-over, phase I study of 2 dosage forms (Peloquin et al. 1997)</w:t>
      </w:r>
      <w:r w:rsidR="00AA2626" w:rsidRPr="00DF2AE1">
        <w:rPr>
          <w:rStyle w:val="FootnoteReference"/>
        </w:rPr>
        <w:footnoteReference w:id="4"/>
      </w:r>
      <w:r w:rsidRPr="00912B09">
        <w:t>. Single doses of isoniazid, rifampicin and pyrazinamide of 250</w:t>
      </w:r>
      <w:r w:rsidR="00C4144B">
        <w:t xml:space="preserve"> </w:t>
      </w:r>
      <w:r w:rsidRPr="00912B09">
        <w:t>mg, 600</w:t>
      </w:r>
      <w:r w:rsidR="00C4144B">
        <w:t xml:space="preserve"> </w:t>
      </w:r>
      <w:r w:rsidRPr="00912B09">
        <w:t>mg and 1500</w:t>
      </w:r>
      <w:r w:rsidR="00C4144B">
        <w:t xml:space="preserve"> </w:t>
      </w:r>
      <w:r w:rsidRPr="00912B09">
        <w:t xml:space="preserve">mg, respectively were administered. Plasma was collected for 36 hours and measured by HPLC. Population PK modelling was conducted. The data were analysed by non-compartmental and non-parametric </w:t>
      </w:r>
      <w:r w:rsidRPr="00912B09">
        <w:lastRenderedPageBreak/>
        <w:t>modelling methods. Fast and slow acetylators of isoniazid had median concentrations in plasma (C</w:t>
      </w:r>
      <w:r w:rsidRPr="00CB4848">
        <w:rPr>
          <w:vertAlign w:val="subscript"/>
        </w:rPr>
        <w:t>max</w:t>
      </w:r>
      <w:r w:rsidRPr="00912B09">
        <w:t>) of 2.44 and 3.64 µg/ml, respectively occurring 1.0 hours post-dose.  Pyrazinamide produced a median C</w:t>
      </w:r>
      <w:r w:rsidRPr="00927BC0">
        <w:rPr>
          <w:vertAlign w:val="subscript"/>
        </w:rPr>
        <w:t>max</w:t>
      </w:r>
      <w:r w:rsidRPr="00912B09">
        <w:t xml:space="preserve"> of 28.80 µg/ml, a </w:t>
      </w:r>
      <w:proofErr w:type="spellStart"/>
      <w:r w:rsidRPr="00912B09">
        <w:t>T</w:t>
      </w:r>
      <w:r w:rsidRPr="00927BC0">
        <w:rPr>
          <w:vertAlign w:val="subscript"/>
        </w:rPr>
        <w:t>max</w:t>
      </w:r>
      <w:proofErr w:type="spellEnd"/>
      <w:r w:rsidRPr="00912B09">
        <w:t xml:space="preserve"> of 1.0 hours and a T</w:t>
      </w:r>
      <w:r w:rsidRPr="00912B09">
        <w:rPr>
          <w:vertAlign w:val="subscript"/>
        </w:rPr>
        <w:t>½</w:t>
      </w:r>
      <w:r w:rsidRPr="00912B09">
        <w:t xml:space="preserve"> of 10.0 hours.</w:t>
      </w:r>
    </w:p>
    <w:p w14:paraId="7017884A" w14:textId="51EC6185" w:rsidR="00AC17ED" w:rsidRDefault="00912B09" w:rsidP="00912B09">
      <w:r w:rsidRPr="00912B09">
        <w:t>Mukherjee et al. (2019)</w:t>
      </w:r>
      <w:r w:rsidR="007F2BCA">
        <w:rPr>
          <w:rStyle w:val="FootnoteReference"/>
        </w:rPr>
        <w:footnoteReference w:id="5"/>
      </w:r>
      <w:r w:rsidRPr="00912B09">
        <w:t xml:space="preserve"> was a review article of the PK of first-line anti-tuberculosis drugs. Relevant PK studies on pyrazinamide in children are summarised in Table </w:t>
      </w:r>
      <w:r w:rsidR="0071779B" w:rsidRPr="0071779B">
        <w:t>6</w:t>
      </w:r>
      <w:r w:rsidRPr="00912B09">
        <w:t xml:space="preserve">.  </w:t>
      </w:r>
    </w:p>
    <w:p w14:paraId="18CA7419" w14:textId="3C7C5626" w:rsidR="00675605" w:rsidRDefault="00675605" w:rsidP="00675605">
      <w:pPr>
        <w:pStyle w:val="TableTitle"/>
      </w:pPr>
      <w:bookmarkStart w:id="45" w:name="_Ref156973146"/>
      <w:bookmarkStart w:id="46" w:name="_Toc157089901"/>
      <w:r w:rsidRPr="00675605">
        <w:t xml:space="preserve">Table </w:t>
      </w:r>
      <w:r>
        <w:t>6</w:t>
      </w:r>
      <w:r w:rsidRPr="00675605">
        <w:t>:</w:t>
      </w:r>
      <w:r>
        <w:t xml:space="preserve"> </w:t>
      </w:r>
      <w:r w:rsidRPr="00675605">
        <w:t>Summary of PK studies on pyrazinamide in children</w:t>
      </w:r>
      <w:bookmarkEnd w:id="45"/>
      <w:bookmarkEnd w:id="46"/>
      <w:r w:rsidRPr="00675605">
        <w:t xml:space="preserve"> </w:t>
      </w:r>
    </w:p>
    <w:p w14:paraId="7FE5DF3C" w14:textId="6CF76463" w:rsidR="00EA5958" w:rsidRPr="00675605" w:rsidRDefault="00EA5958" w:rsidP="00695482">
      <w:r>
        <w:rPr>
          <w:noProof/>
        </w:rPr>
        <w:drawing>
          <wp:inline distT="0" distB="0" distL="0" distR="0" wp14:anchorId="3D3DF917" wp14:editId="03F7E340">
            <wp:extent cx="6303524" cy="3034665"/>
            <wp:effectExtent l="0" t="0" r="2540" b="0"/>
            <wp:docPr id="1331581984" name="Picture 1" descr="Table 6: Summary of PK studies on pyrazinamide in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81984" name="Picture 1" descr="Table 6: Summary of PK studies on pyrazinamide in childre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1842" cy="3043484"/>
                    </a:xfrm>
                    <a:prstGeom prst="rect">
                      <a:avLst/>
                    </a:prstGeom>
                    <a:noFill/>
                  </pic:spPr>
                </pic:pic>
              </a:graphicData>
            </a:graphic>
          </wp:inline>
        </w:drawing>
      </w:r>
    </w:p>
    <w:p w14:paraId="1E9753EB" w14:textId="13347CA0" w:rsidR="00912B09" w:rsidRPr="00912B09" w:rsidRDefault="00912B09" w:rsidP="00912B09">
      <w:r w:rsidRPr="00912B09">
        <w:t>In a study by Graham et al</w:t>
      </w:r>
      <w:r w:rsidR="00D71F73">
        <w:t>. (2006)</w:t>
      </w:r>
      <w:r w:rsidR="006C7636">
        <w:rPr>
          <w:rStyle w:val="FootnoteReference"/>
        </w:rPr>
        <w:footnoteReference w:id="6"/>
      </w:r>
      <w:r w:rsidRPr="00912B09">
        <w:t xml:space="preserve"> a group of 27 Malawian children with TB received 3 times weekly anti-tuberculosis drugs, with a mean dose of 33 (range 25-48) mg/kg/dose of pyrazinamide. The mean (SD) C</w:t>
      </w:r>
      <w:r w:rsidRPr="00912B09">
        <w:rPr>
          <w:vertAlign w:val="subscript"/>
        </w:rPr>
        <w:t>max</w:t>
      </w:r>
      <w:r w:rsidRPr="00912B09">
        <w:t xml:space="preserve"> achieved was 36.6 (19.7) µg/ml and 9 (33%) of children had a concentration of &lt;20</w:t>
      </w:r>
      <w:r w:rsidR="00E761DF">
        <w:t xml:space="preserve"> </w:t>
      </w:r>
      <w:r w:rsidRPr="00912B09">
        <w:t>µg/ml. The mean (SD) AUC</w:t>
      </w:r>
      <w:r w:rsidRPr="00912B09">
        <w:rPr>
          <w:vertAlign w:val="subscript"/>
        </w:rPr>
        <w:t>0-24</w:t>
      </w:r>
      <w:r w:rsidRPr="00912B09">
        <w:t xml:space="preserve"> was 376 (328) µg x h/ml. In view of subtherapeutic levels of pyrazinamide being seen in some children despite increases in doses, in the PHATISA study</w:t>
      </w:r>
      <w:r w:rsidR="0051741D">
        <w:rPr>
          <w:rStyle w:val="FootnoteReference"/>
        </w:rPr>
        <w:footnoteReference w:id="7"/>
      </w:r>
      <w:r w:rsidRPr="00912B09">
        <w:t xml:space="preserve"> involving 31 children &lt;10 years of age, suboptimal C</w:t>
      </w:r>
      <w:r w:rsidRPr="00912B09">
        <w:rPr>
          <w:vertAlign w:val="subscript"/>
        </w:rPr>
        <w:t xml:space="preserve">max </w:t>
      </w:r>
      <w:r w:rsidRPr="00912B09">
        <w:t>and AUC of pyrazinamide was seen in 45% and 19%, respectively. The lower systemic exposure seen in the study by Graham et al. (2006)</w:t>
      </w:r>
      <w:r w:rsidR="00CF5E6C" w:rsidRPr="00CF5E6C">
        <w:rPr>
          <w:vertAlign w:val="superscript"/>
        </w:rPr>
        <w:t>5</w:t>
      </w:r>
      <w:r w:rsidRPr="00912B09">
        <w:t xml:space="preserve"> in children suggests a higher metabolism compared to adults, as seen in other publications</w:t>
      </w:r>
      <w:r w:rsidR="00FD2E15">
        <w:t>.</w:t>
      </w:r>
      <w:r w:rsidR="00FD2E15">
        <w:rPr>
          <w:rStyle w:val="FootnoteReference"/>
        </w:rPr>
        <w:footnoteReference w:id="8"/>
      </w:r>
      <w:r w:rsidRPr="00912B09">
        <w:t xml:space="preserve"> </w:t>
      </w:r>
    </w:p>
    <w:p w14:paraId="2E7B12AC" w14:textId="020635E9" w:rsidR="00912B09" w:rsidRPr="00912B09" w:rsidRDefault="00912B09" w:rsidP="00912B09">
      <w:r w:rsidRPr="00912B09">
        <w:t>In the paper by Zhang et al. (2021),</w:t>
      </w:r>
      <w:r w:rsidR="00D46C11">
        <w:rPr>
          <w:rStyle w:val="FootnoteReference"/>
        </w:rPr>
        <w:footnoteReference w:id="9"/>
      </w:r>
      <w:r w:rsidRPr="00912B09">
        <w:t xml:space="preserve"> pyrazinamide PK-PD and PK-toxicity analyses were performed from extraction of the TB trials consortium (TBTC) studies 27 and 28 and pan-African consortium for the evaluation of anti-TB antibiotics (</w:t>
      </w:r>
      <w:proofErr w:type="spellStart"/>
      <w:r w:rsidRPr="00912B09">
        <w:t>PanACEA</w:t>
      </w:r>
      <w:proofErr w:type="spellEnd"/>
      <w:r w:rsidRPr="00912B09">
        <w:t xml:space="preserve">) multi-arm, multi-stage </w:t>
      </w:r>
      <w:r w:rsidRPr="00912B09">
        <w:lastRenderedPageBreak/>
        <w:t>TB (MAMS-TB), multicentre phase 2 trials, in which patients received rifampicin (10-35</w:t>
      </w:r>
      <w:r w:rsidR="00E761DF">
        <w:t xml:space="preserve"> </w:t>
      </w:r>
      <w:r w:rsidRPr="00912B09">
        <w:t>mg/kg), pyrazinamide (20-30</w:t>
      </w:r>
      <w:r w:rsidR="00CF5E6C">
        <w:t xml:space="preserve"> </w:t>
      </w:r>
      <w:r w:rsidRPr="00912B09">
        <w:t>mg/kg) and 2 companion drugs.</w:t>
      </w:r>
    </w:p>
    <w:p w14:paraId="42882215" w14:textId="77777777" w:rsidR="00912B09" w:rsidRPr="00912B09" w:rsidRDefault="00912B09" w:rsidP="00912B09">
      <w:r w:rsidRPr="00912B09">
        <w:t>It was found that in the TBTC studies (n=77), higher pyrazinamide C</w:t>
      </w:r>
      <w:r w:rsidRPr="00912B09">
        <w:rPr>
          <w:vertAlign w:val="subscript"/>
        </w:rPr>
        <w:t>max</w:t>
      </w:r>
      <w:r w:rsidRPr="00912B09">
        <w:t xml:space="preserve"> was associated with shorter time to culture conversion (TTCC) and higher probability of 2-months, culture conversion (p&lt;0.001). In the </w:t>
      </w:r>
      <w:proofErr w:type="spellStart"/>
      <w:r w:rsidRPr="00912B09">
        <w:t>PanACEA</w:t>
      </w:r>
      <w:proofErr w:type="spellEnd"/>
      <w:r w:rsidRPr="00912B09">
        <w:t xml:space="preserve"> MAMS-TB (n=363), TTCC decreased as pyrazinamide C</w:t>
      </w:r>
      <w:r w:rsidRPr="00912B09">
        <w:rPr>
          <w:vertAlign w:val="subscript"/>
        </w:rPr>
        <w:t>max</w:t>
      </w:r>
      <w:r w:rsidRPr="00912B09">
        <w:t xml:space="preserve"> increased and varied by rifampicin AUC (p&lt;0.01). </w:t>
      </w:r>
    </w:p>
    <w:p w14:paraId="7B90520C" w14:textId="2A94BCE3" w:rsidR="00912B09" w:rsidRPr="00B27185" w:rsidRDefault="00912B09" w:rsidP="00B27185">
      <w:pPr>
        <w:rPr>
          <w:b/>
          <w:bCs/>
        </w:rPr>
      </w:pPr>
      <w:r w:rsidRPr="00B27185">
        <w:rPr>
          <w:b/>
          <w:bCs/>
        </w:rPr>
        <w:t xml:space="preserve">Diabetes </w:t>
      </w:r>
      <w:r w:rsidR="00367526">
        <w:rPr>
          <w:b/>
          <w:bCs/>
        </w:rPr>
        <w:t>e</w:t>
      </w:r>
      <w:r w:rsidRPr="00B27185">
        <w:rPr>
          <w:b/>
          <w:bCs/>
        </w:rPr>
        <w:t>ffect on PK</w:t>
      </w:r>
    </w:p>
    <w:p w14:paraId="6AA88F11" w14:textId="676C5F0C" w:rsidR="00912B09" w:rsidRPr="00912B09" w:rsidRDefault="00912B09" w:rsidP="00912B09">
      <w:r w:rsidRPr="00912B09">
        <w:t xml:space="preserve">In </w:t>
      </w:r>
      <w:proofErr w:type="spellStart"/>
      <w:r w:rsidRPr="00912B09">
        <w:t>Alfarisi</w:t>
      </w:r>
      <w:proofErr w:type="spellEnd"/>
      <w:r w:rsidRPr="00912B09">
        <w:t xml:space="preserve"> et al. (2018)</w:t>
      </w:r>
      <w:r w:rsidR="00AF4E8C">
        <w:rPr>
          <w:rStyle w:val="FootnoteReference"/>
        </w:rPr>
        <w:footnoteReference w:id="10"/>
      </w:r>
      <w:r w:rsidRPr="00912B09">
        <w:t xml:space="preserve"> an assessment of the effect of diabetes mellitus and HbA1c values on the PK of anti-TB drugs was assessed in newly diagnosed TB patients with and without diabetes mellitus starting a fixed dose, 3 times weekly treatment regimen. PK sampling pre-dose and 0.5, </w:t>
      </w:r>
      <w:r w:rsidR="00DF2AE1" w:rsidRPr="00912B09">
        <w:t>2- and 6-hours</w:t>
      </w:r>
      <w:r w:rsidRPr="00912B09">
        <w:t xml:space="preserve"> post-dose was conducted. Of 243 patients studied, 101 had diabetes. Univariate analysis showed significant reductions in C</w:t>
      </w:r>
      <w:r w:rsidRPr="00912B09">
        <w:rPr>
          <w:vertAlign w:val="subscript"/>
        </w:rPr>
        <w:t>max</w:t>
      </w:r>
      <w:r w:rsidRPr="00912B09">
        <w:t xml:space="preserve"> of pyrazinamide (and isoniazid) with diabetes with increasing HbA1c values. After adjusting for age, sex and weight, diabetes was associated with reduced pyrazinamide concentrations (adjusted GMR = 0.74, p=0.03). Thus, diabetes/higher HbA1c patients increased the risk of not achieving therapeutic targets for pyrazinamide but not rifampicin or isoniazid. </w:t>
      </w:r>
    </w:p>
    <w:p w14:paraId="5F8570FE" w14:textId="77777777" w:rsidR="00912B09" w:rsidRPr="00912B09" w:rsidRDefault="00912B09" w:rsidP="00912B09">
      <w:pPr>
        <w:rPr>
          <w:b/>
          <w:bCs/>
        </w:rPr>
      </w:pPr>
      <w:r w:rsidRPr="00912B09">
        <w:rPr>
          <w:b/>
          <w:bCs/>
        </w:rPr>
        <w:t>HIV and PK</w:t>
      </w:r>
    </w:p>
    <w:p w14:paraId="1D4C96BE" w14:textId="7FDD19FD" w:rsidR="00912B09" w:rsidRPr="00912B09" w:rsidRDefault="00912B09" w:rsidP="00912B09">
      <w:r w:rsidRPr="00912B09">
        <w:t xml:space="preserve">In the article </w:t>
      </w:r>
      <w:r w:rsidRPr="003207DA">
        <w:t xml:space="preserve">by </w:t>
      </w:r>
      <w:proofErr w:type="spellStart"/>
      <w:r w:rsidRPr="003207DA">
        <w:t>Vinnard</w:t>
      </w:r>
      <w:proofErr w:type="spellEnd"/>
      <w:r w:rsidRPr="003207DA">
        <w:t xml:space="preserve"> et al. (2017</w:t>
      </w:r>
      <w:r w:rsidRPr="00912B09">
        <w:t>)</w:t>
      </w:r>
      <w:r w:rsidR="006615E4">
        <w:rPr>
          <w:rStyle w:val="FootnoteReference"/>
        </w:rPr>
        <w:footnoteReference w:id="11"/>
      </w:r>
      <w:r w:rsidRPr="00912B09">
        <w:t xml:space="preserve"> a prospective cohort study of pyrazinamide PK in HIV/TB patients in Botswana was provided. A total of 40 HIV/TB patients completed the first PK sampling visit and 24 had a second visit following anti-retroviral therapy initiation. It was found that with compartmental PK modelling, the pyrazinamide concentration vs. time data were best described by a 1-compartment model with first-order elimination and a combined additive and proportional residual error model. HIV-associated immune activation (expression of CD38 and HLA-DR on CD8 positive T-cells) was adversely related to pyrazinamide clearance with increase in immune activation being associated with decreased pyrazinamide clearance.</w:t>
      </w:r>
    </w:p>
    <w:p w14:paraId="1E3FC207" w14:textId="77777777" w:rsidR="00912B09" w:rsidRPr="00912B09" w:rsidRDefault="00912B09" w:rsidP="00912B09">
      <w:pPr>
        <w:rPr>
          <w:b/>
          <w:bCs/>
        </w:rPr>
      </w:pPr>
      <w:r w:rsidRPr="00912B09">
        <w:rPr>
          <w:b/>
          <w:bCs/>
        </w:rPr>
        <w:t>Ofloxacin interactions</w:t>
      </w:r>
    </w:p>
    <w:p w14:paraId="0F035991" w14:textId="6957ABEB" w:rsidR="00912B09" w:rsidRDefault="00912B09" w:rsidP="00912B09">
      <w:r w:rsidRPr="00912B09">
        <w:t xml:space="preserve">The report </w:t>
      </w:r>
      <w:r w:rsidRPr="003207DA">
        <w:t>by Gurumurthy et al. (</w:t>
      </w:r>
      <w:r w:rsidRPr="00912B09">
        <w:t>2002)</w:t>
      </w:r>
      <w:r w:rsidR="00E059C2">
        <w:rPr>
          <w:rStyle w:val="FootnoteReference"/>
        </w:rPr>
        <w:footnoteReference w:id="12"/>
      </w:r>
      <w:r w:rsidRPr="00912B09">
        <w:t xml:space="preserve"> assessed the bioavailability of ofloxacin following single oral administration together with rifampicin, isoniazid or pyrazinamide or combination of the 3 drugs. This study was undertaken in 12 healthy </w:t>
      </w:r>
      <w:r w:rsidR="006A49A0">
        <w:t>male</w:t>
      </w:r>
      <w:r w:rsidR="00877FDE">
        <w:t xml:space="preserve"> </w:t>
      </w:r>
      <w:r w:rsidRPr="00912B09">
        <w:t xml:space="preserve">volunteers on 4 different occasions at weekly intervals, in India. A partially balanced, incomplete blocked design was applied where the drugs were given to the healthy volunteers a week apart at random. These data are summarised in Figures </w:t>
      </w:r>
      <w:r w:rsidR="00A408B6" w:rsidRPr="002D1980">
        <w:t>1</w:t>
      </w:r>
      <w:r w:rsidRPr="00912B09">
        <w:t xml:space="preserve"> </w:t>
      </w:r>
      <w:r w:rsidR="002D1980" w:rsidRPr="002D1980">
        <w:t>&amp; 2</w:t>
      </w:r>
      <w:r w:rsidRPr="00912B09">
        <w:t xml:space="preserve">. Similarly, Figure </w:t>
      </w:r>
      <w:r w:rsidR="007015FA" w:rsidRPr="007015FA">
        <w:t>3</w:t>
      </w:r>
      <w:r w:rsidRPr="00912B09">
        <w:t xml:space="preserve"> reveals the mean plasma concentration-time profiles of pyrazinamide given alone or in combination. The PK parameters are summarised in Table </w:t>
      </w:r>
      <w:r w:rsidR="007F73BD" w:rsidRPr="007F73BD">
        <w:t>7</w:t>
      </w:r>
      <w:r w:rsidRPr="00912B09">
        <w:t xml:space="preserve"> and the PK of pyrazinamide when given alone or in combination is summarised in Table </w:t>
      </w:r>
      <w:r w:rsidR="007F73BD" w:rsidRPr="007F73BD">
        <w:t>8</w:t>
      </w:r>
      <w:r w:rsidRPr="00912B09">
        <w:t>.  Plasma concentrations of each drug as well as urinary excretion of the drugs together with their primary metabolites was determined. The results confirmed that the bioavailability of ofloxacin was not affected when given with the other 3 tuberculosis drugs. Similarly</w:t>
      </w:r>
      <w:r w:rsidR="00257BBC">
        <w:t>,</w:t>
      </w:r>
      <w:r w:rsidRPr="00912B09">
        <w:t xml:space="preserve"> the </w:t>
      </w:r>
      <w:r w:rsidRPr="00912B09">
        <w:lastRenderedPageBreak/>
        <w:t xml:space="preserve">bioavailability of other anti-TB drugs, rifampicin, isoniazid or pyrazinamide, was not affected when given with ofloxacin. </w:t>
      </w:r>
    </w:p>
    <w:p w14:paraId="7B314ADB" w14:textId="5AECFA75" w:rsidR="00A408B6" w:rsidRPr="00A408B6" w:rsidRDefault="00A408B6" w:rsidP="00FA1D03">
      <w:pPr>
        <w:pStyle w:val="FigureTitle"/>
      </w:pPr>
      <w:bookmarkStart w:id="47" w:name="_Ref156973151"/>
      <w:bookmarkStart w:id="48" w:name="_Toc157089902"/>
      <w:r w:rsidRPr="00A408B6">
        <w:t xml:space="preserve">Figure </w:t>
      </w:r>
      <w:r>
        <w:t>1</w:t>
      </w:r>
      <w:r w:rsidRPr="00A408B6">
        <w:t>:</w:t>
      </w:r>
      <w:r w:rsidR="002D1980">
        <w:t xml:space="preserve"> </w:t>
      </w:r>
      <w:r w:rsidRPr="00A408B6">
        <w:t>Mean plasma concentration – time profiles of ofloxacin when given alone and in combinations</w:t>
      </w:r>
      <w:bookmarkEnd w:id="47"/>
      <w:bookmarkEnd w:id="48"/>
    </w:p>
    <w:p w14:paraId="13DB5ACF" w14:textId="4021227B" w:rsidR="00257BBC" w:rsidRDefault="00257BBC" w:rsidP="00695482">
      <w:bookmarkStart w:id="49" w:name="_Ref156973152"/>
      <w:bookmarkStart w:id="50" w:name="_Toc157089903"/>
      <w:r>
        <w:rPr>
          <w:noProof/>
        </w:rPr>
        <w:drawing>
          <wp:inline distT="0" distB="0" distL="0" distR="0" wp14:anchorId="52349E7A" wp14:editId="12C7E6D6">
            <wp:extent cx="3048000" cy="2017589"/>
            <wp:effectExtent l="0" t="0" r="0" b="1905"/>
            <wp:docPr id="266756965" name="Picture 1" descr="Figure 1: Mean plasma concentration – time profiles of ofloxacin when given alone and in comb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56965" name="Picture 1" descr="Figure 1: Mean plasma concentration – time profiles of ofloxacin when given alone and in combinations"/>
                    <pic:cNvPicPr/>
                  </pic:nvPicPr>
                  <pic:blipFill>
                    <a:blip r:embed="rId24"/>
                    <a:stretch>
                      <a:fillRect/>
                    </a:stretch>
                  </pic:blipFill>
                  <pic:spPr>
                    <a:xfrm>
                      <a:off x="0" y="0"/>
                      <a:ext cx="3057883" cy="2024131"/>
                    </a:xfrm>
                    <a:prstGeom prst="rect">
                      <a:avLst/>
                    </a:prstGeom>
                  </pic:spPr>
                </pic:pic>
              </a:graphicData>
            </a:graphic>
          </wp:inline>
        </w:drawing>
      </w:r>
    </w:p>
    <w:p w14:paraId="140A70BA" w14:textId="61377D7B" w:rsidR="00901C7A" w:rsidRPr="00901C7A" w:rsidRDefault="00901C7A" w:rsidP="00FA1D03">
      <w:pPr>
        <w:pStyle w:val="FigureTitle"/>
      </w:pPr>
      <w:r w:rsidRPr="00901C7A">
        <w:t xml:space="preserve">Figure </w:t>
      </w:r>
      <w:r>
        <w:t>2</w:t>
      </w:r>
      <w:r w:rsidRPr="00901C7A">
        <w:t>:</w:t>
      </w:r>
      <w:r>
        <w:t xml:space="preserve"> </w:t>
      </w:r>
      <w:r w:rsidRPr="00901C7A">
        <w:t>Urinary excretion of ofloxacin</w:t>
      </w:r>
      <w:bookmarkEnd w:id="49"/>
      <w:bookmarkEnd w:id="50"/>
      <w:r w:rsidRPr="00901C7A">
        <w:t xml:space="preserve"> </w:t>
      </w:r>
    </w:p>
    <w:p w14:paraId="406324C9" w14:textId="0885C3AB" w:rsidR="00986A14" w:rsidRDefault="00986A14" w:rsidP="00695482">
      <w:r>
        <w:rPr>
          <w:noProof/>
        </w:rPr>
        <w:drawing>
          <wp:inline distT="0" distB="0" distL="0" distR="0" wp14:anchorId="0EB0323E" wp14:editId="128DE43D">
            <wp:extent cx="3406140" cy="2145788"/>
            <wp:effectExtent l="0" t="0" r="3810" b="6985"/>
            <wp:docPr id="1302915069" name="Picture 1" descr="Figure 2: Urinary excretion of ofloxac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15069" name="Picture 1" descr="Figure 2: Urinary excretion of ofloxacin "/>
                    <pic:cNvPicPr/>
                  </pic:nvPicPr>
                  <pic:blipFill>
                    <a:blip r:embed="rId25"/>
                    <a:stretch>
                      <a:fillRect/>
                    </a:stretch>
                  </pic:blipFill>
                  <pic:spPr>
                    <a:xfrm>
                      <a:off x="0" y="0"/>
                      <a:ext cx="3411752" cy="2149323"/>
                    </a:xfrm>
                    <a:prstGeom prst="rect">
                      <a:avLst/>
                    </a:prstGeom>
                  </pic:spPr>
                </pic:pic>
              </a:graphicData>
            </a:graphic>
          </wp:inline>
        </w:drawing>
      </w:r>
    </w:p>
    <w:p w14:paraId="764C61C7" w14:textId="3A4A826A" w:rsidR="007015FA" w:rsidRPr="007015FA" w:rsidRDefault="007015FA" w:rsidP="00FA1D03">
      <w:pPr>
        <w:pStyle w:val="FigureTitle"/>
      </w:pPr>
      <w:bookmarkStart w:id="51" w:name="_Ref156973159"/>
      <w:bookmarkStart w:id="52" w:name="_Toc157089904"/>
      <w:r w:rsidRPr="007015FA">
        <w:t xml:space="preserve">Figure </w:t>
      </w:r>
      <w:r>
        <w:t>3</w:t>
      </w:r>
      <w:r w:rsidRPr="007015FA">
        <w:t>:</w:t>
      </w:r>
      <w:r>
        <w:t xml:space="preserve"> </w:t>
      </w:r>
      <w:r w:rsidRPr="007015FA">
        <w:t>Mean plasma concentration-time profiles of pyrazinamide when given alone and in combinations</w:t>
      </w:r>
      <w:bookmarkEnd w:id="51"/>
      <w:bookmarkEnd w:id="52"/>
    </w:p>
    <w:p w14:paraId="69CF4694" w14:textId="4FD38843" w:rsidR="001D0EF2" w:rsidRDefault="001D0EF2" w:rsidP="00912B09">
      <w:r>
        <w:rPr>
          <w:noProof/>
        </w:rPr>
        <w:drawing>
          <wp:inline distT="0" distB="0" distL="0" distR="0" wp14:anchorId="011F4CC8" wp14:editId="19FA48C2">
            <wp:extent cx="3343489" cy="2377440"/>
            <wp:effectExtent l="0" t="0" r="9525" b="3810"/>
            <wp:docPr id="261494673" name="Picture 1" descr="Figure 3: Mean plasma concentration-time profiles of pyrazinamide when given alone and in comb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94673" name="Picture 1" descr="Figure 3: Mean plasma concentration-time profiles of pyrazinamide when given alone and in combinations"/>
                    <pic:cNvPicPr/>
                  </pic:nvPicPr>
                  <pic:blipFill>
                    <a:blip r:embed="rId26"/>
                    <a:stretch>
                      <a:fillRect/>
                    </a:stretch>
                  </pic:blipFill>
                  <pic:spPr>
                    <a:xfrm>
                      <a:off x="0" y="0"/>
                      <a:ext cx="3348206" cy="2380794"/>
                    </a:xfrm>
                    <a:prstGeom prst="rect">
                      <a:avLst/>
                    </a:prstGeom>
                  </pic:spPr>
                </pic:pic>
              </a:graphicData>
            </a:graphic>
          </wp:inline>
        </w:drawing>
      </w:r>
    </w:p>
    <w:p w14:paraId="22BD2367" w14:textId="402B5872" w:rsidR="00DE4F8C" w:rsidRDefault="00DE4F8C" w:rsidP="00DE4F8C">
      <w:pPr>
        <w:pStyle w:val="TableTitle"/>
      </w:pPr>
      <w:bookmarkStart w:id="53" w:name="_Ref156973164"/>
      <w:bookmarkStart w:id="54" w:name="_Toc157089905"/>
      <w:r>
        <w:lastRenderedPageBreak/>
        <w:t xml:space="preserve">Table </w:t>
      </w:r>
      <w:r w:rsidR="00085205">
        <w:t>7</w:t>
      </w:r>
      <w:r>
        <w:t>:</w:t>
      </w:r>
      <w:r w:rsidR="00085205">
        <w:t xml:space="preserve"> </w:t>
      </w:r>
      <w:r>
        <w:t>PKs of ofloxacin in plasma when given alone and in combinations</w:t>
      </w:r>
      <w:bookmarkEnd w:id="53"/>
      <w:bookmarkEnd w:id="54"/>
    </w:p>
    <w:p w14:paraId="24593EAA" w14:textId="0EC5BD81" w:rsidR="00085205" w:rsidRDefault="00085205" w:rsidP="00695482">
      <w:r>
        <w:rPr>
          <w:noProof/>
        </w:rPr>
        <w:drawing>
          <wp:inline distT="0" distB="0" distL="0" distR="0" wp14:anchorId="5303A4C0" wp14:editId="47CA6A4C">
            <wp:extent cx="5402580" cy="1590367"/>
            <wp:effectExtent l="0" t="0" r="7620" b="0"/>
            <wp:docPr id="449616960" name="Picture 1" descr="Table 7: PKs of ofloxacin in plasma when given alone and in comb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16960" name="Picture 1" descr="Table 7: PKs of ofloxacin in plasma when given alone and in combinations"/>
                    <pic:cNvPicPr/>
                  </pic:nvPicPr>
                  <pic:blipFill>
                    <a:blip r:embed="rId27"/>
                    <a:stretch>
                      <a:fillRect/>
                    </a:stretch>
                  </pic:blipFill>
                  <pic:spPr>
                    <a:xfrm>
                      <a:off x="0" y="0"/>
                      <a:ext cx="5418074" cy="1594928"/>
                    </a:xfrm>
                    <a:prstGeom prst="rect">
                      <a:avLst/>
                    </a:prstGeom>
                  </pic:spPr>
                </pic:pic>
              </a:graphicData>
            </a:graphic>
          </wp:inline>
        </w:drawing>
      </w:r>
    </w:p>
    <w:p w14:paraId="30D41DF7" w14:textId="18397476" w:rsidR="00D85209" w:rsidRPr="00FA1D03" w:rsidRDefault="00D85209" w:rsidP="00FA1D03">
      <w:pPr>
        <w:pStyle w:val="TableTitle"/>
      </w:pPr>
      <w:bookmarkStart w:id="55" w:name="_Ref156973166"/>
      <w:bookmarkStart w:id="56" w:name="_Toc157089906"/>
      <w:r w:rsidRPr="00FA1D03">
        <w:t>Table 8: PKs of pyrazinamide in plasma when given alone and in combinations</w:t>
      </w:r>
      <w:bookmarkEnd w:id="55"/>
      <w:bookmarkEnd w:id="56"/>
    </w:p>
    <w:p w14:paraId="18142362" w14:textId="66EE6DA0" w:rsidR="00DE4F8C" w:rsidRDefault="0058111C" w:rsidP="00695482">
      <w:r>
        <w:rPr>
          <w:noProof/>
        </w:rPr>
        <w:drawing>
          <wp:inline distT="0" distB="0" distL="0" distR="0" wp14:anchorId="63F07ECC" wp14:editId="05B10E25">
            <wp:extent cx="5295900" cy="1815955"/>
            <wp:effectExtent l="0" t="0" r="0" b="0"/>
            <wp:docPr id="575689123" name="Picture 1" descr="Table 8: PKs of pyrazinamide in plasma when given alone and in comb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89123" name="Picture 1" descr="Table 8: PKs of pyrazinamide in plasma when given alone and in combinations"/>
                    <pic:cNvPicPr/>
                  </pic:nvPicPr>
                  <pic:blipFill>
                    <a:blip r:embed="rId28"/>
                    <a:stretch>
                      <a:fillRect/>
                    </a:stretch>
                  </pic:blipFill>
                  <pic:spPr>
                    <a:xfrm>
                      <a:off x="0" y="0"/>
                      <a:ext cx="5310162" cy="1820845"/>
                    </a:xfrm>
                    <a:prstGeom prst="rect">
                      <a:avLst/>
                    </a:prstGeom>
                  </pic:spPr>
                </pic:pic>
              </a:graphicData>
            </a:graphic>
          </wp:inline>
        </w:drawing>
      </w:r>
    </w:p>
    <w:p w14:paraId="0E8FCD0C" w14:textId="77777777" w:rsidR="00912B09" w:rsidRPr="00912B09" w:rsidRDefault="00912B09" w:rsidP="00912B09">
      <w:pPr>
        <w:rPr>
          <w:b/>
          <w:bCs/>
        </w:rPr>
      </w:pPr>
      <w:r w:rsidRPr="00912B09">
        <w:rPr>
          <w:b/>
          <w:bCs/>
        </w:rPr>
        <w:t>Single dose PK</w:t>
      </w:r>
    </w:p>
    <w:p w14:paraId="3DB9EFC5" w14:textId="12C54F80" w:rsidR="00912B09" w:rsidRPr="00912B09" w:rsidRDefault="00912B09" w:rsidP="00912B09">
      <w:r w:rsidRPr="00912B09">
        <w:t>The study by Lacroix et al. (1989)</w:t>
      </w:r>
      <w:r w:rsidR="00F224A8">
        <w:rPr>
          <w:rStyle w:val="FootnoteReference"/>
        </w:rPr>
        <w:footnoteReference w:id="13"/>
      </w:r>
      <w:r w:rsidRPr="00912B09">
        <w:t xml:space="preserve"> described plasma and urine PK parameters of pyrazinamide and its metabolites after a single oral dose of 27</w:t>
      </w:r>
      <w:r w:rsidR="00F224A8">
        <w:t xml:space="preserve"> </w:t>
      </w:r>
      <w:r w:rsidRPr="00912B09">
        <w:t xml:space="preserve">mg/kg in 9 healthy subjects. Pyrazinamide was found to be rapidly absorbed with a </w:t>
      </w:r>
      <w:proofErr w:type="spellStart"/>
      <w:r w:rsidRPr="00912B09">
        <w:t>T</w:t>
      </w:r>
      <w:r w:rsidRPr="00912B09">
        <w:rPr>
          <w:vertAlign w:val="subscript"/>
        </w:rPr>
        <w:t>max</w:t>
      </w:r>
      <w:proofErr w:type="spellEnd"/>
      <w:r w:rsidRPr="00912B09">
        <w:t xml:space="preserve"> </w:t>
      </w:r>
      <w:r w:rsidRPr="00912B09">
        <w:rPr>
          <w:u w:val="single"/>
        </w:rPr>
        <w:t>&lt;</w:t>
      </w:r>
      <w:r w:rsidRPr="00912B09">
        <w:t>1 hour and an elimination T</w:t>
      </w:r>
      <w:r w:rsidRPr="00912B09">
        <w:rPr>
          <w:vertAlign w:val="subscript"/>
        </w:rPr>
        <w:t>1/2β</w:t>
      </w:r>
      <w:r w:rsidRPr="00912B09">
        <w:t xml:space="preserve"> of 9.6 hours. Similar elimination rates of the metabolites (</w:t>
      </w:r>
      <w:proofErr w:type="spellStart"/>
      <w:r w:rsidRPr="00912B09">
        <w:t>pyrazinoic</w:t>
      </w:r>
      <w:proofErr w:type="spellEnd"/>
      <w:r w:rsidRPr="00912B09">
        <w:t xml:space="preserve"> acid, 5-hydroxy-pyrazinamide, 5-hydroxy-pyrazinoic acid and </w:t>
      </w:r>
      <w:proofErr w:type="spellStart"/>
      <w:r w:rsidRPr="00912B09">
        <w:t>pyrazinuric</w:t>
      </w:r>
      <w:proofErr w:type="spellEnd"/>
      <w:r w:rsidRPr="00912B09">
        <w:t xml:space="preserve"> acid) were seen.</w:t>
      </w:r>
    </w:p>
    <w:p w14:paraId="21302B11" w14:textId="77777777" w:rsidR="00912B09" w:rsidRPr="00912B09" w:rsidRDefault="00912B09" w:rsidP="00912B09">
      <w:pPr>
        <w:rPr>
          <w:b/>
          <w:bCs/>
        </w:rPr>
      </w:pPr>
      <w:r w:rsidRPr="00912B09">
        <w:rPr>
          <w:b/>
          <w:bCs/>
        </w:rPr>
        <w:t>CSF PK</w:t>
      </w:r>
    </w:p>
    <w:p w14:paraId="4FF0DE20" w14:textId="74B81BD4" w:rsidR="00912B09" w:rsidRPr="00912B09" w:rsidRDefault="00912B09" w:rsidP="00912B09">
      <w:r w:rsidRPr="00912B09">
        <w:t>In the publication by Holdiness (1985),</w:t>
      </w:r>
      <w:r w:rsidR="002E4E1A" w:rsidRPr="002E4E1A">
        <w:rPr>
          <w:rStyle w:val="FootnoteReference"/>
        </w:rPr>
        <w:footnoteReference w:id="14"/>
      </w:r>
      <w:r w:rsidRPr="00912B09">
        <w:t xml:space="preserve"> this publication reviewed CSF PK of anti-TB drugs and quoted at that time penetration of pyrazinamide in CSF in only 1 case of active meningitis</w:t>
      </w:r>
      <w:r w:rsidR="0086033D">
        <w:t>.</w:t>
      </w:r>
      <w:r w:rsidR="0086033D">
        <w:rPr>
          <w:rStyle w:val="FootnoteReference"/>
        </w:rPr>
        <w:footnoteReference w:id="15"/>
      </w:r>
      <w:r w:rsidRPr="00912B09">
        <w:t xml:space="preserve"> </w:t>
      </w:r>
    </w:p>
    <w:p w14:paraId="66865F3E" w14:textId="7CC8DD06" w:rsidR="00912B09" w:rsidRPr="00912B09" w:rsidRDefault="00912B09" w:rsidP="00877813">
      <w:pPr>
        <w:pStyle w:val="Heading6"/>
      </w:pPr>
      <w:bookmarkStart w:id="57" w:name="_Toc163724602"/>
      <w:r w:rsidRPr="00912B09">
        <w:t xml:space="preserve">Evaluator’s </w:t>
      </w:r>
      <w:r w:rsidR="0016745A">
        <w:t>o</w:t>
      </w:r>
      <w:r w:rsidRPr="00912B09">
        <w:t xml:space="preserve">verall </w:t>
      </w:r>
      <w:r w:rsidR="0016745A">
        <w:t>c</w:t>
      </w:r>
      <w:r w:rsidRPr="00912B09">
        <w:t>onclusion of PKs</w:t>
      </w:r>
      <w:bookmarkEnd w:id="57"/>
    </w:p>
    <w:p w14:paraId="4C00C3C3" w14:textId="62808F2F" w:rsidR="00912B09" w:rsidRPr="00912B09" w:rsidRDefault="003207DA" w:rsidP="00695482">
      <w:pPr>
        <w:pStyle w:val="ListBullet"/>
      </w:pPr>
      <w:r>
        <w:t>The</w:t>
      </w:r>
      <w:r w:rsidR="00912B09" w:rsidRPr="00912B09">
        <w:t xml:space="preserve"> literature-based submission provided </w:t>
      </w:r>
      <w:proofErr w:type="gramStart"/>
      <w:r w:rsidR="00912B09" w:rsidRPr="00912B09">
        <w:t>a number of</w:t>
      </w:r>
      <w:proofErr w:type="gramEnd"/>
      <w:r w:rsidR="00912B09" w:rsidRPr="00912B09">
        <w:t xml:space="preserve"> studies in healthy subjects and patients with TB, examining PK after 15-35</w:t>
      </w:r>
      <w:r w:rsidR="00877813">
        <w:t xml:space="preserve"> </w:t>
      </w:r>
      <w:r w:rsidR="00912B09" w:rsidRPr="00912B09">
        <w:t>mg/kg oral pyrazinamide (n=4-23 subjects per study). C</w:t>
      </w:r>
      <w:r w:rsidR="00912B09" w:rsidRPr="00912B09">
        <w:rPr>
          <w:vertAlign w:val="subscript"/>
        </w:rPr>
        <w:t>max</w:t>
      </w:r>
      <w:r w:rsidR="00912B09" w:rsidRPr="00912B09">
        <w:t xml:space="preserve"> ranged from 21.1-51.97 µg/mL, AUC ~200-500 µ</w:t>
      </w:r>
      <w:proofErr w:type="spellStart"/>
      <w:r w:rsidR="00912B09" w:rsidRPr="00912B09">
        <w:t>g.h</w:t>
      </w:r>
      <w:proofErr w:type="spellEnd"/>
      <w:r w:rsidR="00912B09" w:rsidRPr="00912B09">
        <w:t xml:space="preserve">/mL, </w:t>
      </w:r>
      <w:proofErr w:type="spellStart"/>
      <w:r w:rsidR="00912B09" w:rsidRPr="00912B09">
        <w:t>T</w:t>
      </w:r>
      <w:r w:rsidR="00912B09" w:rsidRPr="00912B09">
        <w:rPr>
          <w:vertAlign w:val="subscript"/>
        </w:rPr>
        <w:t>max</w:t>
      </w:r>
      <w:proofErr w:type="spellEnd"/>
      <w:r w:rsidR="00912B09" w:rsidRPr="00912B09">
        <w:t xml:space="preserve"> ~1-4 hours and T</w:t>
      </w:r>
      <w:r w:rsidR="00912B09" w:rsidRPr="00063EB2">
        <w:rPr>
          <w:vertAlign w:val="subscript"/>
        </w:rPr>
        <w:t>½</w:t>
      </w:r>
      <w:r w:rsidR="00912B09" w:rsidRPr="00912B09">
        <w:t xml:space="preserve"> ~5-10 hours.</w:t>
      </w:r>
    </w:p>
    <w:p w14:paraId="5462DB71" w14:textId="77777777" w:rsidR="00912B09" w:rsidRPr="00912B09" w:rsidRDefault="00912B09" w:rsidP="00695482">
      <w:pPr>
        <w:pStyle w:val="ListBullet"/>
      </w:pPr>
      <w:r w:rsidRPr="00912B09">
        <w:t>Diabetes mellitus was associated with reduced pyrazinamide exposure.</w:t>
      </w:r>
    </w:p>
    <w:p w14:paraId="6F896274" w14:textId="77777777" w:rsidR="00912B09" w:rsidRPr="00912B09" w:rsidRDefault="00912B09" w:rsidP="00695482">
      <w:pPr>
        <w:pStyle w:val="ListBullet"/>
      </w:pPr>
      <w:r w:rsidRPr="00912B09">
        <w:t>In HIV patients with TB, increase in immune activation was associated with reduced pyrazinamide clearance.</w:t>
      </w:r>
    </w:p>
    <w:p w14:paraId="3B8C497D" w14:textId="77777777" w:rsidR="00EF599E" w:rsidRDefault="00EF599E" w:rsidP="00E6682F"/>
    <w:p w14:paraId="4C5F1367" w14:textId="4E0BF3EF" w:rsidR="00E6682F" w:rsidRDefault="00E6682F" w:rsidP="00E6682F">
      <w:r>
        <w:lastRenderedPageBreak/>
        <w:t>In summary, after a 15-35</w:t>
      </w:r>
      <w:r w:rsidR="00877813">
        <w:t xml:space="preserve"> </w:t>
      </w:r>
      <w:r>
        <w:t>mg/kg dose C</w:t>
      </w:r>
      <w:r w:rsidRPr="00877813">
        <w:rPr>
          <w:vertAlign w:val="subscript"/>
        </w:rPr>
        <w:t>max</w:t>
      </w:r>
      <w:r>
        <w:t xml:space="preserve"> ranged from 21.1-51.2 micrograms/mL, with a </w:t>
      </w:r>
      <w:proofErr w:type="spellStart"/>
      <w:r>
        <w:t>T</w:t>
      </w:r>
      <w:r w:rsidRPr="00877813">
        <w:rPr>
          <w:vertAlign w:val="subscript"/>
        </w:rPr>
        <w:t>max</w:t>
      </w:r>
      <w:proofErr w:type="spellEnd"/>
      <w:r>
        <w:t xml:space="preserve"> of 1-4 hours and a plasma half-life of 5-10 hours. </w:t>
      </w:r>
    </w:p>
    <w:p w14:paraId="0AFEFCF4" w14:textId="287C81E4" w:rsidR="009F5F22" w:rsidRDefault="00E6682F" w:rsidP="009E314C">
      <w:r>
        <w:t>The Delegate note</w:t>
      </w:r>
      <w:r w:rsidR="003207DA">
        <w:t>d</w:t>
      </w:r>
      <w:r>
        <w:t xml:space="preserve"> (as per US FDA labelling) that pyrazinamide is well absorbed and metabolized in the lever with a single major excretory product, 5-hydrozypyrazinoic acid. Approximately 70% of the dose is excreted (as transformed) in urine. The plasma half-life may be prolonged in patients with impaired hepatic or renal function.</w:t>
      </w:r>
    </w:p>
    <w:p w14:paraId="270B7796" w14:textId="686CE256" w:rsidR="008C40ED" w:rsidRDefault="00385597" w:rsidP="009E314C">
      <w:r>
        <w:t xml:space="preserve">No data is provided for Pharmacodynamics. </w:t>
      </w:r>
    </w:p>
    <w:p w14:paraId="7C75E48F" w14:textId="77777777" w:rsidR="009E314C" w:rsidRDefault="009E314C" w:rsidP="009E314C">
      <w:pPr>
        <w:pStyle w:val="Heading4"/>
      </w:pPr>
      <w:bookmarkStart w:id="58" w:name="_Toc205388667"/>
      <w:r>
        <w:t>Efficacy</w:t>
      </w:r>
      <w:bookmarkEnd w:id="58"/>
      <w:r>
        <w:t xml:space="preserve"> </w:t>
      </w:r>
    </w:p>
    <w:p w14:paraId="3EF5E4E1" w14:textId="20C07E2F" w:rsidR="00711D00" w:rsidRPr="00711D00" w:rsidRDefault="00711D00" w:rsidP="00711D00">
      <w:pPr>
        <w:rPr>
          <w:szCs w:val="22"/>
        </w:rPr>
      </w:pPr>
      <w:r w:rsidRPr="00711D00">
        <w:rPr>
          <w:szCs w:val="22"/>
        </w:rPr>
        <w:t>The use of pyrazinamide in combination with other anti-tuberculous agents in the treatment of active tuberculosis was solely supported by the literature-based submission provided by the sponsor, as described above. The search was carried out to identify clinical studies assessing efficacy and safety, from Medline and EMBASE databases using the TGA-approved search strategy and selection criteria.</w:t>
      </w:r>
    </w:p>
    <w:p w14:paraId="78A7340E" w14:textId="6302249F" w:rsidR="00711D00" w:rsidRPr="00711D00" w:rsidRDefault="00711D00" w:rsidP="00711D00">
      <w:pPr>
        <w:rPr>
          <w:szCs w:val="22"/>
        </w:rPr>
      </w:pPr>
      <w:r w:rsidRPr="00711D00">
        <w:rPr>
          <w:szCs w:val="22"/>
        </w:rPr>
        <w:t>Most studies reported after 2000 were conducted after seeking ethics approval. It was also difficult to blind investigators or patients in most studies technically because of comparison of single vs. multiple dose or combined treatments vs. separate drugs. The studies covered ranged from 13 years of age upwards to 89 years of age</w:t>
      </w:r>
      <w:r w:rsidR="00B45EBE">
        <w:rPr>
          <w:szCs w:val="22"/>
        </w:rPr>
        <w:t xml:space="preserve">. </w:t>
      </w:r>
      <w:r w:rsidRPr="00711D00">
        <w:rPr>
          <w:szCs w:val="22"/>
        </w:rPr>
        <w:t xml:space="preserve">They were from a large range of geographic locations, although ethnicity was not specified. </w:t>
      </w:r>
    </w:p>
    <w:p w14:paraId="4184FD4A" w14:textId="77777777" w:rsidR="00711D00" w:rsidRPr="00711D00" w:rsidRDefault="00711D00" w:rsidP="00711D00">
      <w:pPr>
        <w:rPr>
          <w:szCs w:val="22"/>
        </w:rPr>
      </w:pPr>
      <w:r w:rsidRPr="00711D00">
        <w:rPr>
          <w:szCs w:val="22"/>
        </w:rPr>
        <w:t>All studies used conventional oral formulations of pyrazinamide, as proposed. All studies furthermore investigated oral pyrazinamide in combination with other anti-tuberculous agents, as proposed. The main study outcome in most of the studies was absence of bacteriological response or a negative culture or disappearance of clinical symptoms at the end of treatment. This is an appropriate endpoint.</w:t>
      </w:r>
    </w:p>
    <w:p w14:paraId="51CE31D1" w14:textId="77777777" w:rsidR="009E314C" w:rsidRDefault="009E314C" w:rsidP="009E314C">
      <w:pPr>
        <w:rPr>
          <w:szCs w:val="22"/>
        </w:rPr>
      </w:pPr>
      <w:r>
        <w:rPr>
          <w:szCs w:val="22"/>
        </w:rPr>
        <w:t xml:space="preserve">The efficacy of pyrazinamide was supported by the submission of published versions of study reports. The studies mostly examined the efficacy of pyrazinamide in the proposed dosage but in combination with other anti-TB medications, which the CE has noted is standard clinical practice. </w:t>
      </w:r>
    </w:p>
    <w:p w14:paraId="6E5A001B" w14:textId="77777777" w:rsidR="009E314C" w:rsidRDefault="009E314C" w:rsidP="009E314C">
      <w:pPr>
        <w:rPr>
          <w:szCs w:val="22"/>
        </w:rPr>
      </w:pPr>
      <w:r>
        <w:rPr>
          <w:szCs w:val="22"/>
        </w:rPr>
        <w:t xml:space="preserve">As pyrazinamide is a standard component of initial TB treatment protocols the submitted literature does not provide evidence of its efficacy versus protocols that do not include it. However, the submitted studies have demonstrated the efficacy of pyrazinamide in a range of combination protocols and treatment durations (e.g. 6 months vs 4 months daily therapy). </w:t>
      </w:r>
    </w:p>
    <w:p w14:paraId="2A837845" w14:textId="77777777" w:rsidR="00617E51" w:rsidRPr="00617E51" w:rsidRDefault="00617E51" w:rsidP="006214C9">
      <w:pPr>
        <w:pStyle w:val="Heading5"/>
      </w:pPr>
      <w:bookmarkStart w:id="59" w:name="_Ref271126605"/>
      <w:bookmarkStart w:id="60" w:name="_Toc272414657"/>
      <w:bookmarkStart w:id="61" w:name="_Toc290888508"/>
      <w:bookmarkStart w:id="62" w:name="_Toc416353724"/>
      <w:bookmarkStart w:id="63" w:name="_Toc421005272"/>
      <w:bookmarkStart w:id="64" w:name="_Toc432079154"/>
      <w:bookmarkStart w:id="65" w:name="_Toc432080727"/>
      <w:bookmarkStart w:id="66" w:name="_Toc163724616"/>
      <w:r w:rsidRPr="00617E51">
        <w:t>Evaluator’s conclusions on clinical efficacy</w:t>
      </w:r>
      <w:bookmarkEnd w:id="59"/>
      <w:bookmarkEnd w:id="60"/>
      <w:bookmarkEnd w:id="61"/>
      <w:bookmarkEnd w:id="62"/>
      <w:bookmarkEnd w:id="63"/>
      <w:bookmarkEnd w:id="64"/>
      <w:bookmarkEnd w:id="65"/>
      <w:bookmarkEnd w:id="66"/>
    </w:p>
    <w:p w14:paraId="10A9C935" w14:textId="77777777" w:rsidR="00617E51" w:rsidRPr="00617E51" w:rsidRDefault="00617E51" w:rsidP="00891D6D">
      <w:pPr>
        <w:pStyle w:val="ListBullet"/>
      </w:pPr>
      <w:r w:rsidRPr="00617E51">
        <w:t>Pyrazinamide is a component of an initial anti-TB regimen used in accord with guidelines promoted through Australian states as well as the WHO.</w:t>
      </w:r>
    </w:p>
    <w:p w14:paraId="5C98BD6F" w14:textId="77777777" w:rsidR="00617E51" w:rsidRPr="00617E51" w:rsidRDefault="00617E51" w:rsidP="00891D6D">
      <w:pPr>
        <w:pStyle w:val="ListBullet"/>
      </w:pPr>
      <w:r w:rsidRPr="00617E51">
        <w:t xml:space="preserve">A range of randomised, literature-based trials in the current submission involving pyrazinamide in combination with other anti-TB treatments, usually as a regimen in the first 2 months of treatment, has shown it is an efficacious component of treatment of pulmonary TB, due to </w:t>
      </w:r>
      <w:r w:rsidRPr="00617E51">
        <w:rPr>
          <w:i/>
          <w:iCs/>
        </w:rPr>
        <w:t>Mycobacterium tuberculosis.</w:t>
      </w:r>
      <w:r w:rsidRPr="00617E51">
        <w:t xml:space="preserve"> </w:t>
      </w:r>
    </w:p>
    <w:p w14:paraId="6AA83A97" w14:textId="77777777" w:rsidR="00617E51" w:rsidRPr="00617E51" w:rsidRDefault="00617E51" w:rsidP="00891D6D">
      <w:pPr>
        <w:pStyle w:val="ListBullet"/>
      </w:pPr>
      <w:r w:rsidRPr="00617E51">
        <w:t>When used as part of a multi-modal drug combination, pyrazinamide is associated with microbiological, clinical and radiological clearance in up to 80-100% of cases.</w:t>
      </w:r>
    </w:p>
    <w:p w14:paraId="52DCA8F1" w14:textId="77777777" w:rsidR="00617E51" w:rsidRPr="00617E51" w:rsidRDefault="00617E51" w:rsidP="00891D6D">
      <w:pPr>
        <w:pStyle w:val="ListBullet"/>
      </w:pPr>
      <w:r w:rsidRPr="00617E51">
        <w:t xml:space="preserve">The bulk of data for pyrazinamide use in this fashion is in patients &gt;12 years of age. There </w:t>
      </w:r>
      <w:proofErr w:type="gramStart"/>
      <w:r w:rsidRPr="00617E51">
        <w:t>are</w:t>
      </w:r>
      <w:proofErr w:type="gramEnd"/>
      <w:r w:rsidRPr="00617E51">
        <w:t xml:space="preserve"> a lack of data in childhood use. </w:t>
      </w:r>
    </w:p>
    <w:p w14:paraId="764A0994" w14:textId="77777777" w:rsidR="00617E51" w:rsidRPr="00617E51" w:rsidRDefault="00617E51" w:rsidP="00891D6D">
      <w:pPr>
        <w:pStyle w:val="ListBullet"/>
      </w:pPr>
      <w:r w:rsidRPr="00617E51">
        <w:lastRenderedPageBreak/>
        <w:t>The use of pyrazinamide as part of a treatment regimen for extra-pulmonary TB is less well documented but in relevant studies does show some efficacy.</w:t>
      </w:r>
    </w:p>
    <w:p w14:paraId="115E5F6A" w14:textId="77777777" w:rsidR="00617E51" w:rsidRPr="00617E51" w:rsidRDefault="00617E51" w:rsidP="00891D6D">
      <w:pPr>
        <w:pStyle w:val="ListBullet"/>
      </w:pPr>
      <w:r w:rsidRPr="00617E51">
        <w:t>The efficacy of pyrazinamide is best demonstrated in patients with drug-sensitive TB. The use of pyrazinamide in MDR TB is not well documented.</w:t>
      </w:r>
    </w:p>
    <w:p w14:paraId="0C521C0E" w14:textId="77777777" w:rsidR="009E314C" w:rsidRDefault="009E314C" w:rsidP="009E314C">
      <w:pPr>
        <w:pStyle w:val="Heading4"/>
      </w:pPr>
      <w:bookmarkStart w:id="67" w:name="_Toc205388668"/>
      <w:r>
        <w:t>Safety</w:t>
      </w:r>
      <w:bookmarkEnd w:id="67"/>
      <w:r>
        <w:t xml:space="preserve"> </w:t>
      </w:r>
    </w:p>
    <w:p w14:paraId="450AEB4D" w14:textId="2FD6709A" w:rsidR="009E314C" w:rsidRDefault="002464D5" w:rsidP="002464D5">
      <w:r w:rsidRPr="002464D5">
        <w:t xml:space="preserve">The current submission, being literature-based, presented a range of RCT studies which were uneven in terms of safety reporting. </w:t>
      </w:r>
      <w:r w:rsidR="00C56003">
        <w:t>Furthermore, t</w:t>
      </w:r>
      <w:r w:rsidR="009E314C">
        <w:t xml:space="preserve">he safety of pyrazinamide per se was not examined in the studies presented as the medicine was used in combination with other potentially toxic medications (e.g. ethambutol, isoniazid). Individual publications generally do not provide a statistical analysis of adverse events to the same degree of detail as do primary clinical trial reports. </w:t>
      </w:r>
    </w:p>
    <w:p w14:paraId="4EF1B4E0" w14:textId="35C6D7B1" w:rsidR="009E314C" w:rsidRDefault="009E314C" w:rsidP="002464D5">
      <w:r>
        <w:t>The toxicity of pyrazinamide is, however, relatively well understood given its decades of use in the treatment of TB. The most frequently reported adverse effect is hepatotoxicity with increases in AT</w:t>
      </w:r>
      <w:r w:rsidR="00E47F0B">
        <w:t xml:space="preserve"> (</w:t>
      </w:r>
      <w:r w:rsidR="00E47F0B" w:rsidRPr="00E47F0B">
        <w:t>aminotransferases</w:t>
      </w:r>
      <w:r w:rsidR="00E47F0B">
        <w:t>)</w:t>
      </w:r>
      <w:r>
        <w:t>, jaundice or potential hepatitis</w:t>
      </w:r>
      <w:r w:rsidR="008904ED">
        <w:t xml:space="preserve">, </w:t>
      </w:r>
      <w:r w:rsidR="000F5086" w:rsidRPr="000F5086">
        <w:t>as well as other gastrointestinal changes such as nausea and vomiting</w:t>
      </w:r>
      <w:r>
        <w:t>. This may be dose related</w:t>
      </w:r>
      <w:r w:rsidR="00885095">
        <w:t>,</w:t>
      </w:r>
      <w:r>
        <w:t xml:space="preserve"> </w:t>
      </w:r>
      <w:r w:rsidR="005B082F">
        <w:t>with</w:t>
      </w:r>
      <w:r>
        <w:t xml:space="preserve"> hepatotoxicity </w:t>
      </w:r>
      <w:r w:rsidR="005B082F">
        <w:t>occurring</w:t>
      </w:r>
      <w:r>
        <w:t xml:space="preserve"> in about 15% of patients, </w:t>
      </w:r>
      <w:r w:rsidR="005B082F">
        <w:t>and</w:t>
      </w:r>
      <w:r>
        <w:t xml:space="preserve"> jaundice in 2-3%. </w:t>
      </w:r>
    </w:p>
    <w:p w14:paraId="29B4CF4A" w14:textId="65165C4F" w:rsidR="009E314C" w:rsidRDefault="009E314C" w:rsidP="002464D5">
      <w:r>
        <w:t>Pyrazinamide inhibits renal excretion of urates and frequently results in hyperuricaemia and symptomatic gout</w:t>
      </w:r>
      <w:r w:rsidR="002A2F79">
        <w:t xml:space="preserve">. </w:t>
      </w:r>
      <w:r>
        <w:t xml:space="preserve">Non-gouty polyarthralgia can occur in up to 40% of patients. </w:t>
      </w:r>
    </w:p>
    <w:p w14:paraId="18812287" w14:textId="77777777" w:rsidR="009E314C" w:rsidRDefault="009E314C" w:rsidP="002464D5">
      <w:r>
        <w:t xml:space="preserve">Anaemia and hypersensitivity have rarely occurred. </w:t>
      </w:r>
    </w:p>
    <w:p w14:paraId="359EDA6C" w14:textId="1AD8200C" w:rsidR="009F5F22" w:rsidRDefault="009E314C" w:rsidP="002464D5">
      <w:r>
        <w:t>Generally</w:t>
      </w:r>
      <w:r w:rsidR="00845486">
        <w:t>,</w:t>
      </w:r>
      <w:r>
        <w:t xml:space="preserve"> the medication is well tolerated in the context of supervised administration, and TB being a severe and potentially </w:t>
      </w:r>
      <w:r w:rsidR="00845486">
        <w:t>life-threatening</w:t>
      </w:r>
      <w:r>
        <w:t xml:space="preserve"> infection.</w:t>
      </w:r>
    </w:p>
    <w:p w14:paraId="6A1DFBC2" w14:textId="4B59D7E0" w:rsidR="006214C9" w:rsidRPr="006214C9" w:rsidRDefault="006214C9" w:rsidP="006214C9">
      <w:pPr>
        <w:pStyle w:val="Heading5"/>
      </w:pPr>
      <w:r w:rsidRPr="006214C9">
        <w:t xml:space="preserve">Evaluator’s conclusions on clinical </w:t>
      </w:r>
      <w:r w:rsidR="00E24ABB">
        <w:t>safety</w:t>
      </w:r>
    </w:p>
    <w:p w14:paraId="4464F28B" w14:textId="77777777" w:rsidR="00891D6D" w:rsidRPr="00891D6D" w:rsidRDefault="00891D6D" w:rsidP="00891D6D">
      <w:pPr>
        <w:pStyle w:val="ListBullet"/>
      </w:pPr>
      <w:r w:rsidRPr="00891D6D">
        <w:t>Pyrazinamide when used in combination for initial induction treatment of TB (usually 2 months) is associated with varying degrees of hepatotoxicity, but other gastrointestinal side effects such as anorexia, nausea and vomiting in addition to hyperuricaemia, as highlighted in the literature-based survey, are described in up to &gt;25-50% of patients.</w:t>
      </w:r>
    </w:p>
    <w:p w14:paraId="6FB98DFE" w14:textId="77777777" w:rsidR="00891D6D" w:rsidRPr="00891D6D" w:rsidRDefault="00891D6D" w:rsidP="00891D6D">
      <w:pPr>
        <w:pStyle w:val="ListBullet"/>
      </w:pPr>
      <w:r w:rsidRPr="00891D6D">
        <w:t>Liver function should be closely monitored during treatment which may also include other anti-TB drugs used in combination treatment and may necessitate withdrawal of treatment.</w:t>
      </w:r>
    </w:p>
    <w:p w14:paraId="2858B006" w14:textId="77777777" w:rsidR="00C22214" w:rsidRDefault="00C22214" w:rsidP="00C22214">
      <w:pPr>
        <w:pStyle w:val="Heading3"/>
        <w:rPr>
          <w:lang w:eastAsia="en-AU"/>
        </w:rPr>
      </w:pPr>
      <w:bookmarkStart w:id="68" w:name="_Toc314842514"/>
      <w:bookmarkStart w:id="69" w:name="_Toc103679298"/>
      <w:bookmarkStart w:id="70" w:name="_Toc205388669"/>
      <w:r>
        <w:rPr>
          <w:lang w:eastAsia="en-AU"/>
        </w:rPr>
        <w:t>Risk management plan</w:t>
      </w:r>
      <w:bookmarkEnd w:id="68"/>
      <w:bookmarkEnd w:id="69"/>
      <w:bookmarkEnd w:id="70"/>
    </w:p>
    <w:p w14:paraId="39F3CD1D" w14:textId="7B577518" w:rsidR="0072003B" w:rsidRPr="00BD5DBD" w:rsidRDefault="00FD0A2A" w:rsidP="006F2B31">
      <w:pPr>
        <w:rPr>
          <w:szCs w:val="22"/>
        </w:rPr>
      </w:pPr>
      <w:bookmarkStart w:id="71" w:name="_Toc247691531"/>
      <w:bookmarkStart w:id="72" w:name="_Toc314842515"/>
      <w:r w:rsidRPr="00FD0A2A">
        <w:rPr>
          <w:szCs w:val="22"/>
        </w:rPr>
        <w:t>The summary of safety concerns and their associated risk monitoring and mitigation strategies are summarised in Table 9.</w:t>
      </w:r>
      <w:r>
        <w:rPr>
          <w:szCs w:val="22"/>
        </w:rPr>
        <w:t xml:space="preserve"> </w:t>
      </w:r>
      <w:r w:rsidR="0072003B" w:rsidRPr="00BD5DBD">
        <w:rPr>
          <w:szCs w:val="22"/>
        </w:rPr>
        <w:t>The TGA</w:t>
      </w:r>
      <w:r w:rsidR="00C07551" w:rsidRPr="00BD5DBD">
        <w:rPr>
          <w:szCs w:val="22"/>
        </w:rPr>
        <w:t xml:space="preserve"> may</w:t>
      </w:r>
      <w:r w:rsidR="0072003B" w:rsidRPr="00BD5DBD">
        <w:rPr>
          <w:szCs w:val="22"/>
        </w:rPr>
        <w:t xml:space="preserve"> request an updated RMP at any stage of a product's </w:t>
      </w:r>
      <w:r w:rsidR="001D2B44" w:rsidRPr="00BD5DBD">
        <w:rPr>
          <w:szCs w:val="22"/>
        </w:rPr>
        <w:t>life cycle</w:t>
      </w:r>
      <w:r w:rsidR="0072003B" w:rsidRPr="00BD5DBD">
        <w:rPr>
          <w:szCs w:val="22"/>
        </w:rPr>
        <w:t>, during both the pre-approval and post-approval phases.</w:t>
      </w:r>
    </w:p>
    <w:p w14:paraId="56B51A93" w14:textId="6A73897C" w:rsidR="006A277A" w:rsidRDefault="00C22214" w:rsidP="00C22214">
      <w:pPr>
        <w:pStyle w:val="TableTitle"/>
      </w:pPr>
      <w:bookmarkStart w:id="73" w:name="_Ref97629131"/>
      <w:r>
        <w:t xml:space="preserve">Table </w:t>
      </w:r>
      <w:bookmarkEnd w:id="73"/>
      <w:r w:rsidR="00FD0A2A">
        <w:t>9</w:t>
      </w:r>
      <w:r>
        <w:t>: Summary of safety concerns</w:t>
      </w:r>
    </w:p>
    <w:tbl>
      <w:tblPr>
        <w:tblStyle w:val="TableTGAblue2023"/>
        <w:tblW w:w="9209" w:type="dxa"/>
        <w:tblLayout w:type="fixed"/>
        <w:tblLook w:val="04A0" w:firstRow="1" w:lastRow="0" w:firstColumn="1" w:lastColumn="0" w:noHBand="0" w:noVBand="1"/>
      </w:tblPr>
      <w:tblGrid>
        <w:gridCol w:w="1980"/>
        <w:gridCol w:w="2126"/>
        <w:gridCol w:w="1134"/>
        <w:gridCol w:w="1418"/>
        <w:gridCol w:w="1134"/>
        <w:gridCol w:w="1417"/>
      </w:tblGrid>
      <w:tr w:rsidR="00127A74" w:rsidRPr="007A1992" w14:paraId="359A0C59" w14:textId="77777777" w:rsidTr="004A789F">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106" w:type="dxa"/>
            <w:gridSpan w:val="2"/>
            <w:vMerge w:val="restart"/>
          </w:tcPr>
          <w:p w14:paraId="24B1F090" w14:textId="77777777" w:rsidR="00127A74" w:rsidRPr="00127A74" w:rsidRDefault="00127A74" w:rsidP="00127A74">
            <w:r w:rsidRPr="00127A74">
              <w:t>Summary of safety concerns</w:t>
            </w:r>
          </w:p>
        </w:tc>
        <w:tc>
          <w:tcPr>
            <w:tcW w:w="2552" w:type="dxa"/>
            <w:gridSpan w:val="2"/>
          </w:tcPr>
          <w:p w14:paraId="596694C9" w14:textId="77777777" w:rsidR="00127A74" w:rsidRPr="00127A74" w:rsidRDefault="00127A74" w:rsidP="004A789F">
            <w:pPr>
              <w:jc w:val="center"/>
              <w:cnfStyle w:val="100000000000" w:firstRow="1" w:lastRow="0" w:firstColumn="0" w:lastColumn="0" w:oddVBand="0" w:evenVBand="0" w:oddHBand="0" w:evenHBand="0" w:firstRowFirstColumn="0" w:firstRowLastColumn="0" w:lastRowFirstColumn="0" w:lastRowLastColumn="0"/>
            </w:pPr>
            <w:r w:rsidRPr="00127A74">
              <w:t>Pharmacovigilance</w:t>
            </w:r>
          </w:p>
        </w:tc>
        <w:tc>
          <w:tcPr>
            <w:tcW w:w="2551" w:type="dxa"/>
            <w:gridSpan w:val="2"/>
          </w:tcPr>
          <w:p w14:paraId="4F66CB82" w14:textId="77777777" w:rsidR="00127A74" w:rsidRPr="00127A74" w:rsidRDefault="00127A74" w:rsidP="004A789F">
            <w:pPr>
              <w:jc w:val="center"/>
              <w:cnfStyle w:val="100000000000" w:firstRow="1" w:lastRow="0" w:firstColumn="0" w:lastColumn="0" w:oddVBand="0" w:evenVBand="0" w:oddHBand="0" w:evenHBand="0" w:firstRowFirstColumn="0" w:firstRowLastColumn="0" w:lastRowFirstColumn="0" w:lastRowLastColumn="0"/>
            </w:pPr>
            <w:r w:rsidRPr="00127A74">
              <w:t>Risk minimisation</w:t>
            </w:r>
          </w:p>
        </w:tc>
      </w:tr>
      <w:tr w:rsidR="00127A74" w:rsidRPr="007A1992" w14:paraId="12411E68" w14:textId="77777777" w:rsidTr="004A789F">
        <w:trPr>
          <w:trHeight w:val="150"/>
        </w:trPr>
        <w:tc>
          <w:tcPr>
            <w:cnfStyle w:val="001000000000" w:firstRow="0" w:lastRow="0" w:firstColumn="1" w:lastColumn="0" w:oddVBand="0" w:evenVBand="0" w:oddHBand="0" w:evenHBand="0" w:firstRowFirstColumn="0" w:firstRowLastColumn="0" w:lastRowFirstColumn="0" w:lastRowLastColumn="0"/>
            <w:tcW w:w="4106" w:type="dxa"/>
            <w:gridSpan w:val="2"/>
            <w:vMerge/>
          </w:tcPr>
          <w:p w14:paraId="71D88F2A" w14:textId="77777777" w:rsidR="00127A74" w:rsidRPr="00127A74" w:rsidRDefault="00127A74" w:rsidP="00127A74"/>
        </w:tc>
        <w:tc>
          <w:tcPr>
            <w:tcW w:w="1134" w:type="dxa"/>
            <w:shd w:val="clear" w:color="auto" w:fill="DEEAF6"/>
          </w:tcPr>
          <w:p w14:paraId="1BF9407C"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8" w:type="dxa"/>
            <w:shd w:val="clear" w:color="auto" w:fill="DEEAF6"/>
          </w:tcPr>
          <w:p w14:paraId="442BA332"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c>
          <w:tcPr>
            <w:tcW w:w="1134" w:type="dxa"/>
            <w:shd w:val="clear" w:color="auto" w:fill="DEEAF6"/>
          </w:tcPr>
          <w:p w14:paraId="5920A04F"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7" w:type="dxa"/>
            <w:shd w:val="clear" w:color="auto" w:fill="DEEAF6"/>
          </w:tcPr>
          <w:p w14:paraId="53B2ED29"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r>
      <w:tr w:rsidR="00127A74" w:rsidRPr="007A1992" w14:paraId="05599231" w14:textId="77777777" w:rsidTr="004A789F">
        <w:trPr>
          <w:trHeight w:val="137"/>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67382D75" w14:textId="77777777" w:rsidR="00127A74" w:rsidRPr="00127A74" w:rsidRDefault="00127A74" w:rsidP="00127A74">
            <w:pPr>
              <w:rPr>
                <w:b/>
                <w:bCs/>
              </w:rPr>
            </w:pPr>
            <w:r w:rsidRPr="00127A74">
              <w:rPr>
                <w:b/>
                <w:bCs/>
              </w:rPr>
              <w:t>Important identified risks</w:t>
            </w:r>
          </w:p>
        </w:tc>
        <w:tc>
          <w:tcPr>
            <w:tcW w:w="2126" w:type="dxa"/>
          </w:tcPr>
          <w:p w14:paraId="7134CBC0" w14:textId="63270361" w:rsidR="00127A74" w:rsidRPr="00127A74" w:rsidRDefault="00B1126B" w:rsidP="00127A74">
            <w:pPr>
              <w:cnfStyle w:val="000000000000" w:firstRow="0" w:lastRow="0" w:firstColumn="0" w:lastColumn="0" w:oddVBand="0" w:evenVBand="0" w:oddHBand="0" w:evenHBand="0" w:firstRowFirstColumn="0" w:firstRowLastColumn="0" w:lastRowFirstColumn="0" w:lastRowLastColumn="0"/>
            </w:pPr>
            <w:r w:rsidRPr="00B1126B">
              <w:t>Severe liver disorders</w:t>
            </w:r>
          </w:p>
        </w:tc>
        <w:tc>
          <w:tcPr>
            <w:tcW w:w="1134" w:type="dxa"/>
          </w:tcPr>
          <w:p w14:paraId="11797452" w14:textId="61613F17" w:rsidR="00127A74" w:rsidRPr="00127A74" w:rsidRDefault="00380C90" w:rsidP="00380C90">
            <w:pPr>
              <w:jc w:val="center"/>
              <w:cnfStyle w:val="000000000000" w:firstRow="0" w:lastRow="0" w:firstColumn="0" w:lastColumn="0" w:oddVBand="0" w:evenVBand="0" w:oddHBand="0" w:evenHBand="0" w:firstRowFirstColumn="0" w:firstRowLastColumn="0" w:lastRowFirstColumn="0" w:lastRowLastColumn="0"/>
            </w:pPr>
            <w:r w:rsidRPr="006D0189">
              <w:rPr>
                <w:rFonts w:ascii="Segoe UI Symbol" w:hAnsi="Segoe UI Symbol" w:cs="Segoe UI Symbol"/>
              </w:rPr>
              <w:t>✓</w:t>
            </w:r>
          </w:p>
        </w:tc>
        <w:tc>
          <w:tcPr>
            <w:tcW w:w="1418" w:type="dxa"/>
          </w:tcPr>
          <w:p w14:paraId="7B703318" w14:textId="01037262" w:rsidR="00127A74" w:rsidRPr="00127A74" w:rsidRDefault="00380C90" w:rsidP="00380C90">
            <w:pPr>
              <w:jc w:val="center"/>
              <w:cnfStyle w:val="000000000000" w:firstRow="0" w:lastRow="0" w:firstColumn="0" w:lastColumn="0" w:oddVBand="0" w:evenVBand="0" w:oddHBand="0" w:evenHBand="0" w:firstRowFirstColumn="0" w:firstRowLastColumn="0" w:lastRowFirstColumn="0" w:lastRowLastColumn="0"/>
            </w:pPr>
            <w:r>
              <w:t>_</w:t>
            </w:r>
          </w:p>
        </w:tc>
        <w:tc>
          <w:tcPr>
            <w:tcW w:w="1134" w:type="dxa"/>
          </w:tcPr>
          <w:p w14:paraId="1A652099" w14:textId="4549FBDD" w:rsidR="00127A74" w:rsidRPr="00127A74" w:rsidRDefault="00380C90" w:rsidP="00380C90">
            <w:pPr>
              <w:jc w:val="center"/>
              <w:cnfStyle w:val="000000000000" w:firstRow="0" w:lastRow="0" w:firstColumn="0" w:lastColumn="0" w:oddVBand="0" w:evenVBand="0" w:oddHBand="0" w:evenHBand="0" w:firstRowFirstColumn="0" w:firstRowLastColumn="0" w:lastRowFirstColumn="0" w:lastRowLastColumn="0"/>
            </w:pPr>
            <w:r w:rsidRPr="006D0189">
              <w:rPr>
                <w:rFonts w:ascii="Segoe UI Symbol" w:hAnsi="Segoe UI Symbol" w:cs="Segoe UI Symbol"/>
              </w:rPr>
              <w:t>✓</w:t>
            </w:r>
          </w:p>
        </w:tc>
        <w:tc>
          <w:tcPr>
            <w:tcW w:w="1417" w:type="dxa"/>
          </w:tcPr>
          <w:p w14:paraId="34A0513E" w14:textId="684B98AE" w:rsidR="00127A74" w:rsidRPr="00127A74" w:rsidRDefault="00380C90" w:rsidP="00380C90">
            <w:pPr>
              <w:jc w:val="center"/>
              <w:cnfStyle w:val="000000000000" w:firstRow="0" w:lastRow="0" w:firstColumn="0" w:lastColumn="0" w:oddVBand="0" w:evenVBand="0" w:oddHBand="0" w:evenHBand="0" w:firstRowFirstColumn="0" w:firstRowLastColumn="0" w:lastRowFirstColumn="0" w:lastRowLastColumn="0"/>
            </w:pPr>
            <w:r>
              <w:t>_</w:t>
            </w:r>
          </w:p>
        </w:tc>
      </w:tr>
      <w:tr w:rsidR="00B1126B" w:rsidRPr="007A1992" w14:paraId="3B513B31" w14:textId="77777777" w:rsidTr="004A789F">
        <w:trPr>
          <w:trHeight w:val="605"/>
        </w:trPr>
        <w:tc>
          <w:tcPr>
            <w:cnfStyle w:val="001000000000" w:firstRow="0" w:lastRow="0" w:firstColumn="1" w:lastColumn="0" w:oddVBand="0" w:evenVBand="0" w:oddHBand="0" w:evenHBand="0" w:firstRowFirstColumn="0" w:firstRowLastColumn="0" w:lastRowFirstColumn="0" w:lastRowLastColumn="0"/>
            <w:tcW w:w="1980" w:type="dxa"/>
            <w:vMerge/>
          </w:tcPr>
          <w:p w14:paraId="584A0D09" w14:textId="77777777" w:rsidR="00B1126B" w:rsidRPr="00127A74" w:rsidRDefault="00B1126B" w:rsidP="00127A74">
            <w:pPr>
              <w:rPr>
                <w:b/>
                <w:bCs/>
              </w:rPr>
            </w:pPr>
          </w:p>
        </w:tc>
        <w:tc>
          <w:tcPr>
            <w:tcW w:w="2126" w:type="dxa"/>
          </w:tcPr>
          <w:p w14:paraId="2BE2E4B1" w14:textId="421D1D51" w:rsidR="00E1154E" w:rsidRPr="00127A74" w:rsidRDefault="00380C90" w:rsidP="0082012A">
            <w:pPr>
              <w:cnfStyle w:val="000000000000" w:firstRow="0" w:lastRow="0" w:firstColumn="0" w:lastColumn="0" w:oddVBand="0" w:evenVBand="0" w:oddHBand="0" w:evenHBand="0" w:firstRowFirstColumn="0" w:firstRowLastColumn="0" w:lastRowFirstColumn="0" w:lastRowLastColumn="0"/>
            </w:pPr>
            <w:r>
              <w:t>Porphyria</w:t>
            </w:r>
          </w:p>
        </w:tc>
        <w:tc>
          <w:tcPr>
            <w:tcW w:w="1134" w:type="dxa"/>
          </w:tcPr>
          <w:p w14:paraId="3A6C2CA6" w14:textId="19F37DB8" w:rsidR="00B1126B" w:rsidRPr="00127A74" w:rsidRDefault="00380C90" w:rsidP="00380C90">
            <w:pPr>
              <w:jc w:val="center"/>
              <w:cnfStyle w:val="000000000000" w:firstRow="0" w:lastRow="0" w:firstColumn="0" w:lastColumn="0" w:oddVBand="0" w:evenVBand="0" w:oddHBand="0" w:evenHBand="0" w:firstRowFirstColumn="0" w:firstRowLastColumn="0" w:lastRowFirstColumn="0" w:lastRowLastColumn="0"/>
            </w:pPr>
            <w:r w:rsidRPr="006D0189">
              <w:rPr>
                <w:rFonts w:ascii="Segoe UI Symbol" w:hAnsi="Segoe UI Symbol" w:cs="Segoe UI Symbol"/>
              </w:rPr>
              <w:t>✓</w:t>
            </w:r>
          </w:p>
        </w:tc>
        <w:tc>
          <w:tcPr>
            <w:tcW w:w="1418" w:type="dxa"/>
          </w:tcPr>
          <w:p w14:paraId="62F9A7AE" w14:textId="7C47C488" w:rsidR="00B1126B" w:rsidRPr="00127A74" w:rsidRDefault="00380C90" w:rsidP="00380C90">
            <w:pPr>
              <w:jc w:val="center"/>
              <w:cnfStyle w:val="000000000000" w:firstRow="0" w:lastRow="0" w:firstColumn="0" w:lastColumn="0" w:oddVBand="0" w:evenVBand="0" w:oddHBand="0" w:evenHBand="0" w:firstRowFirstColumn="0" w:firstRowLastColumn="0" w:lastRowFirstColumn="0" w:lastRowLastColumn="0"/>
            </w:pPr>
            <w:r>
              <w:t>_</w:t>
            </w:r>
          </w:p>
        </w:tc>
        <w:tc>
          <w:tcPr>
            <w:tcW w:w="1134" w:type="dxa"/>
          </w:tcPr>
          <w:p w14:paraId="1EA2B413" w14:textId="17827DA1" w:rsidR="00B1126B" w:rsidRPr="00127A74" w:rsidRDefault="00380C90" w:rsidP="00380C90">
            <w:pPr>
              <w:jc w:val="center"/>
              <w:cnfStyle w:val="000000000000" w:firstRow="0" w:lastRow="0" w:firstColumn="0" w:lastColumn="0" w:oddVBand="0" w:evenVBand="0" w:oddHBand="0" w:evenHBand="0" w:firstRowFirstColumn="0" w:firstRowLastColumn="0" w:lastRowFirstColumn="0" w:lastRowLastColumn="0"/>
            </w:pPr>
            <w:r w:rsidRPr="006D0189">
              <w:rPr>
                <w:rFonts w:ascii="Segoe UI Symbol" w:hAnsi="Segoe UI Symbol" w:cs="Segoe UI Symbol"/>
              </w:rPr>
              <w:t>✓</w:t>
            </w:r>
          </w:p>
        </w:tc>
        <w:tc>
          <w:tcPr>
            <w:tcW w:w="1417" w:type="dxa"/>
          </w:tcPr>
          <w:p w14:paraId="62E30C06" w14:textId="372D3995" w:rsidR="00B1126B" w:rsidRPr="00127A74" w:rsidRDefault="00380C90" w:rsidP="00380C90">
            <w:pPr>
              <w:jc w:val="center"/>
              <w:cnfStyle w:val="000000000000" w:firstRow="0" w:lastRow="0" w:firstColumn="0" w:lastColumn="0" w:oddVBand="0" w:evenVBand="0" w:oddHBand="0" w:evenHBand="0" w:firstRowFirstColumn="0" w:firstRowLastColumn="0" w:lastRowFirstColumn="0" w:lastRowLastColumn="0"/>
            </w:pPr>
            <w:r>
              <w:t>_</w:t>
            </w:r>
          </w:p>
        </w:tc>
      </w:tr>
      <w:tr w:rsidR="00127A74" w:rsidRPr="007A1992" w14:paraId="176B93B3" w14:textId="77777777" w:rsidTr="004A789F">
        <w:trPr>
          <w:trHeight w:val="159"/>
        </w:trPr>
        <w:tc>
          <w:tcPr>
            <w:cnfStyle w:val="001000000000" w:firstRow="0" w:lastRow="0" w:firstColumn="1" w:lastColumn="0" w:oddVBand="0" w:evenVBand="0" w:oddHBand="0" w:evenHBand="0" w:firstRowFirstColumn="0" w:firstRowLastColumn="0" w:lastRowFirstColumn="0" w:lastRowLastColumn="0"/>
            <w:tcW w:w="1980" w:type="dxa"/>
          </w:tcPr>
          <w:p w14:paraId="77F0DB3E" w14:textId="77777777" w:rsidR="00127A74" w:rsidRPr="00127A74" w:rsidRDefault="00127A74" w:rsidP="00127A74">
            <w:pPr>
              <w:rPr>
                <w:b/>
                <w:bCs/>
              </w:rPr>
            </w:pPr>
            <w:r w:rsidRPr="00127A74">
              <w:rPr>
                <w:b/>
                <w:bCs/>
              </w:rPr>
              <w:lastRenderedPageBreak/>
              <w:t>Important potential risks</w:t>
            </w:r>
          </w:p>
        </w:tc>
        <w:tc>
          <w:tcPr>
            <w:tcW w:w="2126" w:type="dxa"/>
          </w:tcPr>
          <w:p w14:paraId="6E17E14A" w14:textId="5C65F469" w:rsidR="00127A74" w:rsidRPr="00127A74" w:rsidRDefault="00380C90" w:rsidP="00127A74">
            <w:pPr>
              <w:cnfStyle w:val="000000000000" w:firstRow="0" w:lastRow="0" w:firstColumn="0" w:lastColumn="0" w:oddVBand="0" w:evenVBand="0" w:oddHBand="0" w:evenHBand="0" w:firstRowFirstColumn="0" w:firstRowLastColumn="0" w:lastRowFirstColumn="0" w:lastRowLastColumn="0"/>
            </w:pPr>
            <w:r w:rsidRPr="006D0189">
              <w:t>Interaction with other medicinal products</w:t>
            </w:r>
          </w:p>
        </w:tc>
        <w:tc>
          <w:tcPr>
            <w:tcW w:w="1134" w:type="dxa"/>
          </w:tcPr>
          <w:p w14:paraId="252AD92F" w14:textId="66E28620" w:rsidR="00127A74" w:rsidRPr="00127A74" w:rsidRDefault="000C6674" w:rsidP="000C6674">
            <w:pPr>
              <w:jc w:val="center"/>
              <w:cnfStyle w:val="000000000000" w:firstRow="0" w:lastRow="0" w:firstColumn="0" w:lastColumn="0" w:oddVBand="0" w:evenVBand="0" w:oddHBand="0" w:evenHBand="0" w:firstRowFirstColumn="0" w:firstRowLastColumn="0" w:lastRowFirstColumn="0" w:lastRowLastColumn="0"/>
            </w:pPr>
            <w:r w:rsidRPr="006D0189">
              <w:rPr>
                <w:rFonts w:ascii="Segoe UI Symbol" w:hAnsi="Segoe UI Symbol" w:cs="Segoe UI Symbol"/>
              </w:rPr>
              <w:t>✓</w:t>
            </w:r>
          </w:p>
        </w:tc>
        <w:tc>
          <w:tcPr>
            <w:tcW w:w="1418" w:type="dxa"/>
          </w:tcPr>
          <w:p w14:paraId="77DA98F1" w14:textId="09C3F380" w:rsidR="00127A74" w:rsidRPr="00127A74" w:rsidRDefault="00121BF0" w:rsidP="000C6674">
            <w:pPr>
              <w:jc w:val="center"/>
              <w:cnfStyle w:val="000000000000" w:firstRow="0" w:lastRow="0" w:firstColumn="0" w:lastColumn="0" w:oddVBand="0" w:evenVBand="0" w:oddHBand="0" w:evenHBand="0" w:firstRowFirstColumn="0" w:firstRowLastColumn="0" w:lastRowFirstColumn="0" w:lastRowLastColumn="0"/>
            </w:pPr>
            <w:r>
              <w:t>_</w:t>
            </w:r>
          </w:p>
        </w:tc>
        <w:tc>
          <w:tcPr>
            <w:tcW w:w="1134" w:type="dxa"/>
          </w:tcPr>
          <w:p w14:paraId="182A5096" w14:textId="3D69043B" w:rsidR="00127A74" w:rsidRPr="00127A74" w:rsidRDefault="000C6674" w:rsidP="000C6674">
            <w:pPr>
              <w:jc w:val="center"/>
              <w:cnfStyle w:val="000000000000" w:firstRow="0" w:lastRow="0" w:firstColumn="0" w:lastColumn="0" w:oddVBand="0" w:evenVBand="0" w:oddHBand="0" w:evenHBand="0" w:firstRowFirstColumn="0" w:firstRowLastColumn="0" w:lastRowFirstColumn="0" w:lastRowLastColumn="0"/>
            </w:pPr>
            <w:r w:rsidRPr="006D0189">
              <w:rPr>
                <w:rFonts w:ascii="Segoe UI Symbol" w:hAnsi="Segoe UI Symbol" w:cs="Segoe UI Symbol"/>
              </w:rPr>
              <w:t>✓</w:t>
            </w:r>
          </w:p>
        </w:tc>
        <w:tc>
          <w:tcPr>
            <w:tcW w:w="1417" w:type="dxa"/>
          </w:tcPr>
          <w:p w14:paraId="2A6247DC" w14:textId="3D611EF0" w:rsidR="00127A74" w:rsidRPr="00127A74" w:rsidRDefault="00121BF0" w:rsidP="000C6674">
            <w:pPr>
              <w:jc w:val="center"/>
              <w:cnfStyle w:val="000000000000" w:firstRow="0" w:lastRow="0" w:firstColumn="0" w:lastColumn="0" w:oddVBand="0" w:evenVBand="0" w:oddHBand="0" w:evenHBand="0" w:firstRowFirstColumn="0" w:firstRowLastColumn="0" w:lastRowFirstColumn="0" w:lastRowLastColumn="0"/>
            </w:pPr>
            <w:r>
              <w:t>_</w:t>
            </w:r>
          </w:p>
        </w:tc>
      </w:tr>
      <w:tr w:rsidR="00127A74" w:rsidRPr="007A1992" w14:paraId="74C5E610" w14:textId="77777777" w:rsidTr="004A789F">
        <w:trPr>
          <w:trHeight w:val="178"/>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262C65E3" w14:textId="77777777" w:rsidR="00127A74" w:rsidRPr="00127A74" w:rsidRDefault="00127A74" w:rsidP="00127A74">
            <w:pPr>
              <w:rPr>
                <w:b/>
                <w:bCs/>
              </w:rPr>
            </w:pPr>
            <w:r w:rsidRPr="00127A74">
              <w:rPr>
                <w:b/>
                <w:bCs/>
              </w:rPr>
              <w:t>Missing information</w:t>
            </w:r>
          </w:p>
        </w:tc>
        <w:tc>
          <w:tcPr>
            <w:tcW w:w="2126" w:type="dxa"/>
          </w:tcPr>
          <w:p w14:paraId="104D79CD" w14:textId="0700FBF4" w:rsidR="00127A74" w:rsidRPr="00127A74" w:rsidRDefault="00DD3F1A" w:rsidP="00127A74">
            <w:pPr>
              <w:cnfStyle w:val="000000000000" w:firstRow="0" w:lastRow="0" w:firstColumn="0" w:lastColumn="0" w:oddVBand="0" w:evenVBand="0" w:oddHBand="0" w:evenHBand="0" w:firstRowFirstColumn="0" w:firstRowLastColumn="0" w:lastRowFirstColumn="0" w:lastRowLastColumn="0"/>
            </w:pPr>
            <w:r>
              <w:t>Use in children and adolescent</w:t>
            </w:r>
          </w:p>
        </w:tc>
        <w:tc>
          <w:tcPr>
            <w:tcW w:w="1134" w:type="dxa"/>
          </w:tcPr>
          <w:p w14:paraId="07467A21" w14:textId="47C91B9A" w:rsidR="00127A74" w:rsidRPr="00127A74" w:rsidRDefault="00E1154E" w:rsidP="00E1154E">
            <w:pPr>
              <w:jc w:val="center"/>
              <w:cnfStyle w:val="000000000000" w:firstRow="0" w:lastRow="0" w:firstColumn="0" w:lastColumn="0" w:oddVBand="0" w:evenVBand="0" w:oddHBand="0" w:evenHBand="0" w:firstRowFirstColumn="0" w:firstRowLastColumn="0" w:lastRowFirstColumn="0" w:lastRowLastColumn="0"/>
            </w:pPr>
            <w:r w:rsidRPr="006D0189">
              <w:rPr>
                <w:rFonts w:ascii="Segoe UI Symbol" w:hAnsi="Segoe UI Symbol" w:cs="Segoe UI Symbol"/>
              </w:rPr>
              <w:t>✓</w:t>
            </w:r>
          </w:p>
        </w:tc>
        <w:tc>
          <w:tcPr>
            <w:tcW w:w="1418" w:type="dxa"/>
          </w:tcPr>
          <w:p w14:paraId="35C7F07F" w14:textId="19B9B865" w:rsidR="00127A74" w:rsidRPr="00127A74" w:rsidRDefault="00E1154E" w:rsidP="00E1154E">
            <w:pPr>
              <w:jc w:val="center"/>
              <w:cnfStyle w:val="000000000000" w:firstRow="0" w:lastRow="0" w:firstColumn="0" w:lastColumn="0" w:oddVBand="0" w:evenVBand="0" w:oddHBand="0" w:evenHBand="0" w:firstRowFirstColumn="0" w:firstRowLastColumn="0" w:lastRowFirstColumn="0" w:lastRowLastColumn="0"/>
            </w:pPr>
            <w:r>
              <w:t>_</w:t>
            </w:r>
          </w:p>
        </w:tc>
        <w:tc>
          <w:tcPr>
            <w:tcW w:w="1134" w:type="dxa"/>
          </w:tcPr>
          <w:p w14:paraId="52620DEE" w14:textId="002F042C" w:rsidR="00127A74" w:rsidRPr="00127A74" w:rsidRDefault="00E1154E" w:rsidP="00E1154E">
            <w:pPr>
              <w:jc w:val="center"/>
              <w:cnfStyle w:val="000000000000" w:firstRow="0" w:lastRow="0" w:firstColumn="0" w:lastColumn="0" w:oddVBand="0" w:evenVBand="0" w:oddHBand="0" w:evenHBand="0" w:firstRowFirstColumn="0" w:firstRowLastColumn="0" w:lastRowFirstColumn="0" w:lastRowLastColumn="0"/>
            </w:pPr>
            <w:r w:rsidRPr="006D0189">
              <w:rPr>
                <w:rFonts w:ascii="Segoe UI Symbol" w:hAnsi="Segoe UI Symbol" w:cs="Segoe UI Symbol"/>
              </w:rPr>
              <w:t>✓</w:t>
            </w:r>
          </w:p>
        </w:tc>
        <w:tc>
          <w:tcPr>
            <w:tcW w:w="1417" w:type="dxa"/>
          </w:tcPr>
          <w:p w14:paraId="16BD3C7B" w14:textId="322C84CA" w:rsidR="00127A74" w:rsidRPr="00127A74" w:rsidRDefault="00E1154E" w:rsidP="00E1154E">
            <w:pPr>
              <w:jc w:val="center"/>
              <w:cnfStyle w:val="000000000000" w:firstRow="0" w:lastRow="0" w:firstColumn="0" w:lastColumn="0" w:oddVBand="0" w:evenVBand="0" w:oddHBand="0" w:evenHBand="0" w:firstRowFirstColumn="0" w:firstRowLastColumn="0" w:lastRowFirstColumn="0" w:lastRowLastColumn="0"/>
            </w:pPr>
            <w:r>
              <w:t>_</w:t>
            </w:r>
          </w:p>
        </w:tc>
      </w:tr>
      <w:tr w:rsidR="00127A74" w:rsidRPr="007A1992" w14:paraId="0E5AEFE4" w14:textId="77777777" w:rsidTr="004A789F">
        <w:trPr>
          <w:trHeight w:val="103"/>
        </w:trPr>
        <w:tc>
          <w:tcPr>
            <w:cnfStyle w:val="001000000000" w:firstRow="0" w:lastRow="0" w:firstColumn="1" w:lastColumn="0" w:oddVBand="0" w:evenVBand="0" w:oddHBand="0" w:evenHBand="0" w:firstRowFirstColumn="0" w:firstRowLastColumn="0" w:lastRowFirstColumn="0" w:lastRowLastColumn="0"/>
            <w:tcW w:w="1980" w:type="dxa"/>
            <w:vMerge/>
          </w:tcPr>
          <w:p w14:paraId="6717FA88" w14:textId="77777777" w:rsidR="00127A74" w:rsidRPr="00127A74" w:rsidRDefault="00127A74" w:rsidP="00127A74"/>
        </w:tc>
        <w:tc>
          <w:tcPr>
            <w:tcW w:w="2126" w:type="dxa"/>
          </w:tcPr>
          <w:p w14:paraId="1DF32407" w14:textId="7EC89148" w:rsidR="00127A74" w:rsidRPr="00127A74" w:rsidRDefault="00E1154E" w:rsidP="00127A74">
            <w:pPr>
              <w:cnfStyle w:val="000000000000" w:firstRow="0" w:lastRow="0" w:firstColumn="0" w:lastColumn="0" w:oddVBand="0" w:evenVBand="0" w:oddHBand="0" w:evenHBand="0" w:firstRowFirstColumn="0" w:firstRowLastColumn="0" w:lastRowFirstColumn="0" w:lastRowLastColumn="0"/>
            </w:pPr>
            <w:r>
              <w:t>Use in pregnant women</w:t>
            </w:r>
          </w:p>
        </w:tc>
        <w:tc>
          <w:tcPr>
            <w:tcW w:w="1134" w:type="dxa"/>
          </w:tcPr>
          <w:p w14:paraId="13B9D43F" w14:textId="456991A4" w:rsidR="00127A74" w:rsidRPr="00127A74" w:rsidRDefault="00E1154E" w:rsidP="00E1154E">
            <w:pPr>
              <w:jc w:val="center"/>
              <w:cnfStyle w:val="000000000000" w:firstRow="0" w:lastRow="0" w:firstColumn="0" w:lastColumn="0" w:oddVBand="0" w:evenVBand="0" w:oddHBand="0" w:evenHBand="0" w:firstRowFirstColumn="0" w:firstRowLastColumn="0" w:lastRowFirstColumn="0" w:lastRowLastColumn="0"/>
            </w:pPr>
            <w:r w:rsidRPr="006D0189">
              <w:rPr>
                <w:rFonts w:ascii="Segoe UI Symbol" w:hAnsi="Segoe UI Symbol" w:cs="Segoe UI Symbol"/>
              </w:rPr>
              <w:t>✓</w:t>
            </w:r>
          </w:p>
        </w:tc>
        <w:tc>
          <w:tcPr>
            <w:tcW w:w="1418" w:type="dxa"/>
          </w:tcPr>
          <w:p w14:paraId="5B103519" w14:textId="04E3CC98" w:rsidR="00127A74" w:rsidRPr="00127A74" w:rsidRDefault="00E1154E" w:rsidP="00E1154E">
            <w:pPr>
              <w:jc w:val="center"/>
              <w:cnfStyle w:val="000000000000" w:firstRow="0" w:lastRow="0" w:firstColumn="0" w:lastColumn="0" w:oddVBand="0" w:evenVBand="0" w:oddHBand="0" w:evenHBand="0" w:firstRowFirstColumn="0" w:firstRowLastColumn="0" w:lastRowFirstColumn="0" w:lastRowLastColumn="0"/>
            </w:pPr>
            <w:r>
              <w:t>_</w:t>
            </w:r>
          </w:p>
        </w:tc>
        <w:tc>
          <w:tcPr>
            <w:tcW w:w="1134" w:type="dxa"/>
          </w:tcPr>
          <w:p w14:paraId="17D1F379" w14:textId="7DB2F224" w:rsidR="00127A74" w:rsidRPr="00127A74" w:rsidRDefault="00E1154E" w:rsidP="00E1154E">
            <w:pPr>
              <w:jc w:val="center"/>
              <w:cnfStyle w:val="000000000000" w:firstRow="0" w:lastRow="0" w:firstColumn="0" w:lastColumn="0" w:oddVBand="0" w:evenVBand="0" w:oddHBand="0" w:evenHBand="0" w:firstRowFirstColumn="0" w:firstRowLastColumn="0" w:lastRowFirstColumn="0" w:lastRowLastColumn="0"/>
            </w:pPr>
            <w:r w:rsidRPr="006D0189">
              <w:rPr>
                <w:rFonts w:ascii="Segoe UI Symbol" w:hAnsi="Segoe UI Symbol" w:cs="Segoe UI Symbol"/>
              </w:rPr>
              <w:t>✓</w:t>
            </w:r>
          </w:p>
        </w:tc>
        <w:tc>
          <w:tcPr>
            <w:tcW w:w="1417" w:type="dxa"/>
          </w:tcPr>
          <w:p w14:paraId="6C76384E" w14:textId="70EEFB3E" w:rsidR="00127A74" w:rsidRPr="00127A74" w:rsidRDefault="00E1154E" w:rsidP="00E1154E">
            <w:pPr>
              <w:jc w:val="center"/>
              <w:cnfStyle w:val="000000000000" w:firstRow="0" w:lastRow="0" w:firstColumn="0" w:lastColumn="0" w:oddVBand="0" w:evenVBand="0" w:oddHBand="0" w:evenHBand="0" w:firstRowFirstColumn="0" w:firstRowLastColumn="0" w:lastRowFirstColumn="0" w:lastRowLastColumn="0"/>
            </w:pPr>
            <w:r>
              <w:t>_</w:t>
            </w:r>
          </w:p>
        </w:tc>
      </w:tr>
    </w:tbl>
    <w:p w14:paraId="09408D27" w14:textId="77777777" w:rsidR="004A5291" w:rsidRDefault="004A5291" w:rsidP="003B149C"/>
    <w:p w14:paraId="572AE83D" w14:textId="77777777" w:rsidR="00FC400F" w:rsidRPr="004254DA" w:rsidRDefault="00FC400F" w:rsidP="00FC400F">
      <w:pPr>
        <w:pStyle w:val="Heading5"/>
      </w:pPr>
      <w:r w:rsidRPr="004254DA">
        <w:t>RMP evaluator recommendations regarding conditions of registration</w:t>
      </w:r>
    </w:p>
    <w:p w14:paraId="7FF340F6" w14:textId="731910E6" w:rsidR="009730EC" w:rsidRDefault="009730EC" w:rsidP="000B4C09">
      <w:pPr>
        <w:pStyle w:val="ListBullet"/>
      </w:pPr>
      <w:r>
        <w:t>Pyrazinamide-AFT (pyrazinamide) is to be included in the Black Triangle Scheme. The PI and CMI for Pyrazinamide-AFT must include the black triangle symbol and</w:t>
      </w:r>
      <w:r w:rsidR="00A31B6D">
        <w:t xml:space="preserve"> </w:t>
      </w:r>
      <w:r>
        <w:t>mandatory accompanying text for five years, which starts from the date of first supply</w:t>
      </w:r>
      <w:r w:rsidR="00A31B6D">
        <w:t xml:space="preserve"> </w:t>
      </w:r>
      <w:r w:rsidRPr="00A31B6D">
        <w:rPr>
          <w:rFonts w:cs="Cambria"/>
          <w:szCs w:val="22"/>
        </w:rPr>
        <w:t>of the product.</w:t>
      </w:r>
    </w:p>
    <w:p w14:paraId="6C57E892" w14:textId="587E3C0B" w:rsidR="009461FF" w:rsidRDefault="009461FF" w:rsidP="00FC015D">
      <w:pPr>
        <w:pStyle w:val="ListBullet"/>
      </w:pPr>
      <w:r w:rsidRPr="009461FF">
        <w:t xml:space="preserve">The Pyrazinamide-AFT AU-Risk Management Plan (RMP) version 0.3 </w:t>
      </w:r>
      <w:r w:rsidR="00EB5FDF">
        <w:t>(</w:t>
      </w:r>
      <w:r w:rsidRPr="009461FF">
        <w:t>dated 19 February 2024, data lock point 19 February 2024), included with submission PM-2023-03087-1-2, to be revised to the satisfaction of the TGA, and any subsequent revisions, will be implemented in Australia.</w:t>
      </w:r>
    </w:p>
    <w:p w14:paraId="5A50B142" w14:textId="77777777" w:rsidR="006951D4" w:rsidRDefault="006951D4" w:rsidP="00697106">
      <w:pPr>
        <w:pStyle w:val="ListBullet"/>
      </w:pPr>
      <w:r>
        <w:t xml:space="preserve">An obligatory component of risk management plans is routine pharmacovigilance. Routine pharmacovigilance includes the submission of periodic safety update reports (PSURs). </w:t>
      </w:r>
    </w:p>
    <w:p w14:paraId="64AD0D10" w14:textId="659EEAA4" w:rsidR="006951D4" w:rsidRDefault="006951D4" w:rsidP="00BF5042">
      <w:pPr>
        <w:ind w:left="360"/>
      </w:pPr>
      <w:r>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six</w:t>
      </w:r>
      <w:r w:rsidR="003B76EF">
        <w:t>-</w:t>
      </w:r>
      <w:r>
        <w:t xml:space="preserve">monthly reports may be submitted separately as they become available. </w:t>
      </w:r>
    </w:p>
    <w:p w14:paraId="5DDB01B7" w14:textId="77777777" w:rsidR="006951D4" w:rsidRDefault="006951D4" w:rsidP="00BF5042">
      <w:pPr>
        <w:ind w:left="360"/>
      </w:pPr>
      <w:r>
        <w:t xml:space="preserve">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this approval letter. </w:t>
      </w:r>
    </w:p>
    <w:p w14:paraId="737B67D3" w14:textId="35DDC0B1" w:rsidR="006951D4" w:rsidRDefault="006951D4" w:rsidP="00BF5042">
      <w:pPr>
        <w:ind w:left="360"/>
        <w:rPr>
          <w:i/>
          <w:color w:val="007099"/>
          <w:szCs w:val="22"/>
        </w:rPr>
      </w:pPr>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be submitted within ninety calendar days of the data lock point for that report.</w:t>
      </w:r>
    </w:p>
    <w:p w14:paraId="456C7934" w14:textId="62B90336" w:rsidR="00FA1BC9" w:rsidRDefault="00FA1BC9" w:rsidP="00FA1BC9">
      <w:pPr>
        <w:rPr>
          <w:szCs w:val="22"/>
        </w:rPr>
      </w:pPr>
      <w:bookmarkStart w:id="74" w:name="_Toc103679299"/>
      <w:r w:rsidRPr="00BD5DBD">
        <w:rPr>
          <w:szCs w:val="22"/>
        </w:rPr>
        <w:t xml:space="preserve">Further information regarding the TGA’s risk management approach can be found in </w:t>
      </w:r>
      <w:hyperlink r:id="rId29" w:history="1">
        <w:r w:rsidRPr="00BD5DBD">
          <w:rPr>
            <w:rStyle w:val="Hyperlink"/>
            <w:szCs w:val="22"/>
          </w:rPr>
          <w:t>risk management plans for medicines and biologicals</w:t>
        </w:r>
      </w:hyperlink>
      <w:r w:rsidRPr="00BD5DBD">
        <w:rPr>
          <w:szCs w:val="22"/>
        </w:rPr>
        <w:t xml:space="preserve"> and </w:t>
      </w:r>
      <w:hyperlink r:id="rId30" w:history="1">
        <w:r w:rsidRPr="00BD5DBD">
          <w:rPr>
            <w:rStyle w:val="Hyperlink"/>
            <w:szCs w:val="22"/>
          </w:rPr>
          <w:t>the TGA's risk management approach</w:t>
        </w:r>
      </w:hyperlink>
      <w:r w:rsidRPr="00BD5DBD">
        <w:rPr>
          <w:szCs w:val="22"/>
        </w:rPr>
        <w:t xml:space="preserve">. Information on the </w:t>
      </w:r>
      <w:hyperlink r:id="rId31" w:history="1">
        <w:r w:rsidRPr="00BD5DBD">
          <w:rPr>
            <w:rStyle w:val="Hyperlink"/>
            <w:szCs w:val="22"/>
          </w:rPr>
          <w:t>Australia</w:t>
        </w:r>
        <w:r w:rsidR="00C57CEA">
          <w:rPr>
            <w:rStyle w:val="Hyperlink"/>
            <w:szCs w:val="22"/>
          </w:rPr>
          <w:t>-</w:t>
        </w:r>
        <w:r w:rsidRPr="00BD5DBD">
          <w:rPr>
            <w:rStyle w:val="Hyperlink"/>
            <w:szCs w:val="22"/>
          </w:rPr>
          <w:t>specific annex</w:t>
        </w:r>
      </w:hyperlink>
      <w:r w:rsidRPr="00BD5DBD">
        <w:rPr>
          <w:szCs w:val="22"/>
        </w:rPr>
        <w:t xml:space="preserve"> (</w:t>
      </w:r>
      <w:hyperlink r:id="rId32" w:history="1">
        <w:r w:rsidRPr="00BD5DBD">
          <w:rPr>
            <w:rStyle w:val="Hyperlink"/>
            <w:szCs w:val="22"/>
          </w:rPr>
          <w:t>ASA</w:t>
        </w:r>
      </w:hyperlink>
      <w:r w:rsidRPr="00BD5DBD">
        <w:rPr>
          <w:szCs w:val="22"/>
        </w:rPr>
        <w:t>) can be found on the TGA website.</w:t>
      </w:r>
    </w:p>
    <w:p w14:paraId="74A4F87F" w14:textId="2C4971CF" w:rsidR="00C22214" w:rsidRDefault="00C22214" w:rsidP="00C22214">
      <w:pPr>
        <w:pStyle w:val="Heading3"/>
      </w:pPr>
      <w:bookmarkStart w:id="75" w:name="_Toc205388670"/>
      <w:r>
        <w:lastRenderedPageBreak/>
        <w:t>Risk-benefit a</w:t>
      </w:r>
      <w:bookmarkEnd w:id="71"/>
      <w:bookmarkEnd w:id="72"/>
      <w:bookmarkEnd w:id="74"/>
      <w:r w:rsidR="00D973E1">
        <w:t>ssessment</w:t>
      </w:r>
      <w:bookmarkEnd w:id="75"/>
    </w:p>
    <w:p w14:paraId="77DE2655" w14:textId="77777777" w:rsidR="00C22214" w:rsidRDefault="00C22214" w:rsidP="00C22214">
      <w:pPr>
        <w:pStyle w:val="Heading4"/>
      </w:pPr>
      <w:bookmarkStart w:id="76" w:name="_Toc98931932"/>
      <w:bookmarkStart w:id="77" w:name="_Toc205388671"/>
      <w:r>
        <w:t>Delegate’s considerations</w:t>
      </w:r>
      <w:bookmarkEnd w:id="76"/>
      <w:bookmarkEnd w:id="77"/>
    </w:p>
    <w:p w14:paraId="7C3CE8AD" w14:textId="4A5C227D" w:rsidR="00C70F4F" w:rsidRDefault="005D67BB" w:rsidP="00A23A41">
      <w:pPr>
        <w:rPr>
          <w:szCs w:val="22"/>
        </w:rPr>
      </w:pPr>
      <w:r w:rsidRPr="005D67BB">
        <w:t>Pyrazinamide was one of the first successful treatments for TB</w:t>
      </w:r>
      <w:r w:rsidR="00C70F4F">
        <w:t>;</w:t>
      </w:r>
      <w:r w:rsidRPr="005D67BB">
        <w:t xml:space="preserve"> developed and </w:t>
      </w:r>
      <w:proofErr w:type="gramStart"/>
      <w:r w:rsidRPr="005D67BB">
        <w:t>enter</w:t>
      </w:r>
      <w:r w:rsidR="00FC70C5">
        <w:t>ing into</w:t>
      </w:r>
      <w:proofErr w:type="gramEnd"/>
      <w:r w:rsidRPr="005D67BB">
        <w:t xml:space="preserve"> clinical practice in 1952. In combination with rifampicin, ethambutol and isoniazid it remains the most common medication used for the initial treatment of drug-susceptible TB</w:t>
      </w:r>
      <w:r w:rsidR="00C70F4F">
        <w:t>,</w:t>
      </w:r>
      <w:r w:rsidRPr="005D67BB">
        <w:t xml:space="preserve"> and this is reflected in Australian</w:t>
      </w:r>
      <w:r w:rsidR="003207DA">
        <w:rPr>
          <w:rStyle w:val="FootnoteReference"/>
        </w:rPr>
        <w:footnoteReference w:id="16"/>
      </w:r>
      <w:r w:rsidRPr="005D67BB">
        <w:rPr>
          <w:vertAlign w:val="superscript"/>
        </w:rPr>
        <w:t xml:space="preserve"> </w:t>
      </w:r>
      <w:r w:rsidR="00717BCD">
        <w:rPr>
          <w:vertAlign w:val="superscript"/>
        </w:rPr>
        <w:t xml:space="preserve"> </w:t>
      </w:r>
      <w:r w:rsidR="005C2028">
        <w:rPr>
          <w:sz w:val="14"/>
          <w:szCs w:val="14"/>
        </w:rPr>
        <w:t xml:space="preserve"> </w:t>
      </w:r>
      <w:r w:rsidR="005C2028" w:rsidRPr="006678F8">
        <w:t xml:space="preserve">and </w:t>
      </w:r>
      <w:r w:rsidR="00C70F4F">
        <w:t>World Health Organisation (</w:t>
      </w:r>
      <w:r w:rsidR="005C2028" w:rsidRPr="006678F8">
        <w:t>WHO</w:t>
      </w:r>
      <w:r w:rsidR="00C70F4F">
        <w:t>)</w:t>
      </w:r>
      <w:r w:rsidR="00566BC5">
        <w:rPr>
          <w:rStyle w:val="FootnoteReference"/>
        </w:rPr>
        <w:footnoteReference w:id="17"/>
      </w:r>
      <w:r w:rsidR="005C2028">
        <w:rPr>
          <w:sz w:val="14"/>
          <w:szCs w:val="14"/>
        </w:rPr>
        <w:t xml:space="preserve"> </w:t>
      </w:r>
      <w:r w:rsidR="005C2028">
        <w:rPr>
          <w:szCs w:val="22"/>
        </w:rPr>
        <w:t xml:space="preserve">treatment guidelines. </w:t>
      </w:r>
    </w:p>
    <w:p w14:paraId="697E8F16" w14:textId="3943E861" w:rsidR="005D67BB" w:rsidRPr="005D67BB" w:rsidRDefault="005C2028" w:rsidP="00A23A41">
      <w:r>
        <w:rPr>
          <w:szCs w:val="22"/>
        </w:rPr>
        <w:t xml:space="preserve">The Delegate has considered this application in the </w:t>
      </w:r>
      <w:r w:rsidR="005D67BB" w:rsidRPr="005D67BB">
        <w:t>context of this nearly 90</w:t>
      </w:r>
      <w:r w:rsidR="003B3072">
        <w:t>-</w:t>
      </w:r>
      <w:r w:rsidR="005D67BB" w:rsidRPr="005D67BB">
        <w:t xml:space="preserve">year history of clinical use, which provides a significant amount of ‘real world’ information about the safety and efficacy of pyrazinamide. However, the age of this medication also precludes basing an approval decision on a modern regulatory dossier. </w:t>
      </w:r>
      <w:proofErr w:type="gramStart"/>
      <w:r w:rsidR="005D67BB" w:rsidRPr="005D67BB">
        <w:t>In particular, there</w:t>
      </w:r>
      <w:proofErr w:type="gramEnd"/>
      <w:r w:rsidR="005D67BB" w:rsidRPr="005D67BB">
        <w:t xml:space="preserve"> is a lack of controlled trials demonstrating the absolute efficacy of pyrazinamide in comparison to treatment protocols that do not include it for first line treatment of drug susceptible TB. </w:t>
      </w:r>
    </w:p>
    <w:p w14:paraId="62CC80C0" w14:textId="371EEE4B" w:rsidR="005D67BB" w:rsidRPr="005D67BB" w:rsidRDefault="005D67BB" w:rsidP="00A23A41">
      <w:r w:rsidRPr="005D67BB">
        <w:t xml:space="preserve">The </w:t>
      </w:r>
      <w:r w:rsidR="007E1852">
        <w:t>clinical</w:t>
      </w:r>
      <w:r w:rsidR="00A24420">
        <w:t xml:space="preserve"> evaluator</w:t>
      </w:r>
      <w:r w:rsidRPr="005D67BB">
        <w:t xml:space="preserve"> has noted that there is a paucity of data supporting the use of pyrazinamide in children in this submission. That being so, TB does rarely occur </w:t>
      </w:r>
      <w:r w:rsidR="002826BE">
        <w:t xml:space="preserve">in </w:t>
      </w:r>
      <w:r w:rsidRPr="005D67BB">
        <w:t>children and pyrazinamide is generally recommended for use. The Delegate feels that it is appropriate to provide an advisory regarding the lack of robust data for use in children, while acknowledging that clinical practice does include this use of necessity to treat TB.</w:t>
      </w:r>
    </w:p>
    <w:p w14:paraId="307F236C" w14:textId="7FD19BD3" w:rsidR="00C22214" w:rsidRPr="00D616FE" w:rsidRDefault="0046285C" w:rsidP="00D616FE">
      <w:pPr>
        <w:pStyle w:val="Heading2"/>
      </w:pPr>
      <w:bookmarkStart w:id="78" w:name="_Toc247691532"/>
      <w:bookmarkStart w:id="79" w:name="_Toc314842516"/>
      <w:bookmarkStart w:id="80" w:name="_Toc103679300"/>
      <w:bookmarkStart w:id="81" w:name="_Toc205388672"/>
      <w:r w:rsidRPr="00D616FE">
        <w:t>Assessment</w:t>
      </w:r>
      <w:r w:rsidR="00190853" w:rsidRPr="00D616FE">
        <w:t xml:space="preserve"> </w:t>
      </w:r>
      <w:r w:rsidRPr="00D616FE">
        <w:t>o</w:t>
      </w:r>
      <w:r w:rsidR="00C22214" w:rsidRPr="00D616FE">
        <w:t>utcome</w:t>
      </w:r>
      <w:bookmarkEnd w:id="78"/>
      <w:bookmarkEnd w:id="79"/>
      <w:bookmarkEnd w:id="80"/>
      <w:bookmarkEnd w:id="81"/>
    </w:p>
    <w:p w14:paraId="4EF22939" w14:textId="040F198D" w:rsidR="00C22214" w:rsidRPr="0017005C"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7876E9">
        <w:t xml:space="preserve">Pyrazinamide AFT </w:t>
      </w:r>
      <w:r w:rsidRPr="0017005C">
        <w:t>(</w:t>
      </w:r>
      <w:r w:rsidR="00DF4BD0">
        <w:t>pyrazinamide</w:t>
      </w:r>
      <w:r w:rsidRPr="0017005C">
        <w:t xml:space="preserve">) </w:t>
      </w:r>
      <w:r w:rsidR="00086AFB">
        <w:t>500 mg tablet</w:t>
      </w:r>
      <w:r w:rsidRPr="0017005C">
        <w:t xml:space="preserve"> indicated for:</w:t>
      </w:r>
    </w:p>
    <w:p w14:paraId="41D47E3B" w14:textId="09302CB1" w:rsidR="0028246B" w:rsidRDefault="0028246B" w:rsidP="0028246B">
      <w:pPr>
        <w:ind w:left="720"/>
      </w:pPr>
      <w:r w:rsidRPr="0028246B">
        <w:rPr>
          <w:i/>
          <w:iCs/>
        </w:rPr>
        <w:t>Pyrazinamide-AFT is indicated in adult patients of more than 12 years of age with active</w:t>
      </w:r>
      <w:r>
        <w:rPr>
          <w:i/>
          <w:iCs/>
        </w:rPr>
        <w:t xml:space="preserve"> </w:t>
      </w:r>
      <w:r w:rsidRPr="0028246B">
        <w:rPr>
          <w:i/>
          <w:iCs/>
        </w:rPr>
        <w:t>drug-sensitive tuberculosis caused by Mycobacterium tuberculosis. Pyrazinamide-AFT is</w:t>
      </w:r>
      <w:r>
        <w:rPr>
          <w:i/>
          <w:iCs/>
        </w:rPr>
        <w:t xml:space="preserve"> </w:t>
      </w:r>
      <w:r w:rsidRPr="0028246B">
        <w:rPr>
          <w:i/>
          <w:iCs/>
        </w:rPr>
        <w:t>an anti-tuberculosis agent used in combination with other anti- tuberculosis agents and</w:t>
      </w:r>
      <w:r>
        <w:rPr>
          <w:i/>
          <w:iCs/>
        </w:rPr>
        <w:t xml:space="preserve"> </w:t>
      </w:r>
      <w:r w:rsidRPr="0028246B">
        <w:rPr>
          <w:i/>
          <w:iCs/>
        </w:rPr>
        <w:t>is commonly used in the first 2 months of treatment.</w:t>
      </w:r>
    </w:p>
    <w:p w14:paraId="0D732DA4" w14:textId="74882685" w:rsidR="00854D98" w:rsidRPr="00D23139" w:rsidRDefault="00854D98" w:rsidP="00D616FE">
      <w:pPr>
        <w:pStyle w:val="Heading3"/>
      </w:pPr>
      <w:bookmarkStart w:id="82" w:name="_Toc205388673"/>
      <w:bookmarkStart w:id="83" w:name="_Toc103679301"/>
      <w:r w:rsidRPr="00D23139">
        <w:t>Specific conditions of registration</w:t>
      </w:r>
      <w:bookmarkEnd w:id="82"/>
      <w:r w:rsidRPr="00D23139">
        <w:t xml:space="preserve"> </w:t>
      </w:r>
      <w:bookmarkEnd w:id="83"/>
    </w:p>
    <w:p w14:paraId="21B6F53A" w14:textId="3CC9D41A" w:rsidR="004D091A" w:rsidRPr="004D091A" w:rsidRDefault="004D091A" w:rsidP="0075701C">
      <w:pPr>
        <w:pStyle w:val="ListBullet"/>
      </w:pPr>
      <w:r w:rsidRPr="004D091A">
        <w:t>Pyrazinamide-AFT (pyrazinamide) is to be included in the Black Triangle Scheme. The</w:t>
      </w:r>
      <w:r>
        <w:t xml:space="preserve"> </w:t>
      </w:r>
      <w:r w:rsidRPr="004D091A">
        <w:t>PI and CMI for Pyrazinamide-AFT must include the black triangle symbol and</w:t>
      </w:r>
      <w:r>
        <w:t xml:space="preserve"> </w:t>
      </w:r>
      <w:r w:rsidRPr="004D091A">
        <w:t>mandatory accompanying text for five years, which starts from the date of first supply</w:t>
      </w:r>
      <w:r>
        <w:t xml:space="preserve"> </w:t>
      </w:r>
      <w:r w:rsidRPr="004D091A">
        <w:t>of the product.</w:t>
      </w:r>
    </w:p>
    <w:p w14:paraId="56C81D57" w14:textId="68BCD369" w:rsidR="0075701C" w:rsidRPr="00C1305A" w:rsidRDefault="0075701C" w:rsidP="0075701C">
      <w:pPr>
        <w:pStyle w:val="ListBullet"/>
      </w:pPr>
      <w:r w:rsidRPr="00C1305A">
        <w:t xml:space="preserve">The Pyrazinamide-AFT AU-Risk Management Plan (RMP) version 0.3 </w:t>
      </w:r>
      <w:r>
        <w:t>(</w:t>
      </w:r>
      <w:r w:rsidRPr="00C1305A">
        <w:t>dated 19</w:t>
      </w:r>
      <w:r>
        <w:t xml:space="preserve"> </w:t>
      </w:r>
      <w:r w:rsidRPr="00C1305A">
        <w:t>February 2024, data lock point 19 February 2024), included with submission PM-2023-03087-1-2, and any subsequent revisions, as agreed with the TGA will be implemented</w:t>
      </w:r>
      <w:r>
        <w:t xml:space="preserve"> </w:t>
      </w:r>
      <w:r w:rsidRPr="00C1305A">
        <w:t>in Australia.</w:t>
      </w:r>
    </w:p>
    <w:p w14:paraId="103701F7" w14:textId="77777777" w:rsidR="004C5E19" w:rsidRDefault="0075701C" w:rsidP="00226FF7">
      <w:pPr>
        <w:pStyle w:val="ListBullet"/>
      </w:pPr>
      <w:r w:rsidRPr="00C1305A">
        <w:t>An obligatory component of risk management plans is routine pharmacovigilance.</w:t>
      </w:r>
      <w:r>
        <w:t xml:space="preserve"> </w:t>
      </w:r>
      <w:r w:rsidRPr="00C1305A">
        <w:t>Routine pharmacovigilance includes the submission of periodic safety update reports</w:t>
      </w:r>
      <w:r>
        <w:t xml:space="preserve"> </w:t>
      </w:r>
      <w:r w:rsidRPr="00C1305A">
        <w:t>(PSURs).</w:t>
      </w:r>
      <w:r>
        <w:t xml:space="preserve"> </w:t>
      </w:r>
      <w:r w:rsidRPr="00C1305A">
        <w:t>Unless agreed separately between the supplier who is the recipient of the approval and</w:t>
      </w:r>
      <w:r>
        <w:t xml:space="preserve"> </w:t>
      </w:r>
      <w:r w:rsidRPr="00C1305A">
        <w:t>the TGA, the first report must be submitted to TGA no later than 15 calendar months</w:t>
      </w:r>
      <w:r>
        <w:t xml:space="preserve"> </w:t>
      </w:r>
      <w:r w:rsidRPr="00C1305A">
        <w:t>after the date of this approval letter. The subsequent reports must be submitted no less</w:t>
      </w:r>
      <w:r w:rsidR="004B4ED1">
        <w:t xml:space="preserve"> </w:t>
      </w:r>
      <w:r w:rsidRPr="00C1305A">
        <w:t>frequently than annually from the date of the first submitted report until the period</w:t>
      </w:r>
      <w:r w:rsidR="004B4ED1">
        <w:t xml:space="preserve"> </w:t>
      </w:r>
      <w:r w:rsidRPr="00C1305A">
        <w:t xml:space="preserve">covered by such </w:t>
      </w:r>
      <w:r w:rsidRPr="00C1305A">
        <w:lastRenderedPageBreak/>
        <w:t>reports is not less than three years from the date of this approval</w:t>
      </w:r>
      <w:r w:rsidR="004B4ED1">
        <w:t xml:space="preserve"> </w:t>
      </w:r>
      <w:r w:rsidRPr="00C1305A">
        <w:t>letter. The annual submission may be made up of two PSURs each covering six months</w:t>
      </w:r>
      <w:r w:rsidR="004B4ED1">
        <w:t>.</w:t>
      </w:r>
      <w:r w:rsidR="004C5E19">
        <w:t xml:space="preserve"> </w:t>
      </w:r>
      <w:r w:rsidRPr="00C1305A">
        <w:t>If the sponsor wishes, the six</w:t>
      </w:r>
      <w:r w:rsidR="004B4ED1">
        <w:t>-</w:t>
      </w:r>
      <w:r w:rsidRPr="00C1305A">
        <w:t>monthly reports may be submitted separately as they</w:t>
      </w:r>
      <w:r w:rsidR="004B4ED1">
        <w:t xml:space="preserve"> </w:t>
      </w:r>
      <w:r w:rsidRPr="00C1305A">
        <w:t>become available.</w:t>
      </w:r>
      <w:r w:rsidR="004B4ED1">
        <w:t xml:space="preserve"> </w:t>
      </w:r>
    </w:p>
    <w:p w14:paraId="3B599C6B" w14:textId="58C94227" w:rsidR="0075701C" w:rsidRPr="00C1305A" w:rsidRDefault="0075701C" w:rsidP="004C5E19">
      <w:pPr>
        <w:ind w:left="360"/>
      </w:pPr>
      <w:r w:rsidRPr="00C1305A">
        <w:t>If the product is approved in the EU during the three years period, reports can be</w:t>
      </w:r>
      <w:r w:rsidR="004C5E19">
        <w:t xml:space="preserve"> </w:t>
      </w:r>
      <w:r w:rsidRPr="00C1305A">
        <w:t>provided in line with the published list of EU reference dates no less frequently than</w:t>
      </w:r>
      <w:r w:rsidR="004C5E19">
        <w:t xml:space="preserve"> </w:t>
      </w:r>
      <w:r w:rsidRPr="00C1305A">
        <w:t>annually from the date of the first submitted report until the period covered by such</w:t>
      </w:r>
      <w:r w:rsidR="004C5E19">
        <w:t xml:space="preserve"> </w:t>
      </w:r>
      <w:r w:rsidRPr="00C1305A">
        <w:t>reports is not less than three years from the date of this approval letter.</w:t>
      </w:r>
    </w:p>
    <w:p w14:paraId="0C6ECF17" w14:textId="63C1A02C" w:rsidR="0075701C" w:rsidRPr="00C1305A" w:rsidRDefault="0075701C" w:rsidP="004C5E19">
      <w:pPr>
        <w:ind w:left="360"/>
      </w:pPr>
      <w:r w:rsidRPr="00C1305A">
        <w:t>The reports are to at least meet the requirements for PSURs as described in the</w:t>
      </w:r>
      <w:r w:rsidR="004C5E19">
        <w:t xml:space="preserve"> </w:t>
      </w:r>
      <w:r w:rsidRPr="00C1305A">
        <w:t>European Medicines Agency’s Guideline on good pharmacovigilance practices (GVP)</w:t>
      </w:r>
      <w:r w:rsidR="004C5E19">
        <w:t xml:space="preserve"> </w:t>
      </w:r>
      <w:r w:rsidRPr="00C1305A">
        <w:t>Module VII-periodic safety update report (Rev 1), Part VII.B Structures and processes.</w:t>
      </w:r>
    </w:p>
    <w:p w14:paraId="2C35DBF8" w14:textId="39073AB3" w:rsidR="004D091A" w:rsidRDefault="002A7963" w:rsidP="00C5614C">
      <w:pPr>
        <w:ind w:left="360"/>
      </w:pPr>
      <w:r w:rsidRPr="002A7963">
        <w:t>Note that submission of a PSUR does not constitute an application to vary the</w:t>
      </w:r>
      <w:r w:rsidR="00C5614C">
        <w:t xml:space="preserve"> </w:t>
      </w:r>
      <w:r w:rsidRPr="002A7963">
        <w:t>registration. Each report must be submitted within ninety calendar days of the data</w:t>
      </w:r>
      <w:r w:rsidR="00C5614C">
        <w:t xml:space="preserve"> </w:t>
      </w:r>
      <w:r w:rsidRPr="002A7963">
        <w:t>lock point for that report.</w:t>
      </w:r>
    </w:p>
    <w:p w14:paraId="0F9C1952" w14:textId="628CB648" w:rsidR="00BA657C" w:rsidRPr="00BA657C" w:rsidRDefault="00BA657C" w:rsidP="00695482">
      <w:pPr>
        <w:pStyle w:val="Heading2"/>
      </w:pPr>
      <w:bookmarkStart w:id="84" w:name="_Toc196738290"/>
      <w:bookmarkStart w:id="85" w:name="_Toc205388674"/>
      <w:r w:rsidRPr="00BA657C">
        <w:t>Product Information and Consumer Medicine Information</w:t>
      </w:r>
      <w:bookmarkEnd w:id="84"/>
      <w:bookmarkEnd w:id="85"/>
    </w:p>
    <w:p w14:paraId="5F276616" w14:textId="1F830DDA" w:rsidR="004D0933" w:rsidRPr="004D0933" w:rsidRDefault="004D0933" w:rsidP="004D0933">
      <w:bookmarkStart w:id="86" w:name="_Hlk200021736"/>
      <w:r w:rsidRPr="004D0933">
        <w:t xml:space="preserve">For the most recent Product Information (PI) and Consumer Medicine Information (CMI), please refer to the TGA </w:t>
      </w:r>
      <w:hyperlink r:id="rId33" w:history="1">
        <w:r w:rsidRPr="004D0933">
          <w:rPr>
            <w:rStyle w:val="Hyperlink"/>
          </w:rPr>
          <w:t>PI/CMI search facility.</w:t>
        </w:r>
      </w:hyperlink>
    </w:p>
    <w:bookmarkEnd w:id="86"/>
    <w:p w14:paraId="40740B65" w14:textId="38238456" w:rsidR="00C22214" w:rsidRPr="008B4DA3" w:rsidRDefault="00C22214" w:rsidP="008A2BD7"/>
    <w:p w14:paraId="53357BF3" w14:textId="276457B5" w:rsidR="00C22214" w:rsidRDefault="00C22214" w:rsidP="00C22214">
      <w:pPr>
        <w:rPr>
          <w:lang w:eastAsia="ja-JP"/>
        </w:rPr>
        <w:sectPr w:rsidR="00C22214" w:rsidSect="007452E8">
          <w:headerReference w:type="default" r:id="rId34"/>
          <w:footerReference w:type="default" r:id="rId35"/>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5"/>
          <w:bookmarkEnd w:id="6"/>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36"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37" w:history="1">
              <w:r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38"/>
      <w:footerReference w:type="first" r:id="rId39"/>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642BF" w14:textId="77777777" w:rsidR="009A4BD1" w:rsidRDefault="009A4BD1" w:rsidP="00F02AEC">
      <w:pPr>
        <w:spacing w:after="0" w:line="240" w:lineRule="auto"/>
      </w:pPr>
      <w:r>
        <w:separator/>
      </w:r>
    </w:p>
  </w:endnote>
  <w:endnote w:type="continuationSeparator" w:id="0">
    <w:p w14:paraId="306C7B85" w14:textId="77777777" w:rsidR="009A4BD1" w:rsidRDefault="009A4BD1"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w:t>
              </w:r>
              <w:r>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25F70767" w:rsidR="007452E8" w:rsidRPr="004A3084" w:rsidRDefault="007452E8" w:rsidP="007452E8">
          <w:pPr>
            <w:pStyle w:val="Footer"/>
          </w:pPr>
          <w:r w:rsidRPr="00487162">
            <w:t>AusPA</w:t>
          </w:r>
          <w:r>
            <w:t xml:space="preserve">R </w:t>
          </w:r>
          <w:r w:rsidR="00546A6F">
            <w:t>–</w:t>
          </w:r>
          <w:r>
            <w:t xml:space="preserve"> </w:t>
          </w:r>
          <w:r w:rsidR="00546A6F">
            <w:t>Pyrazinamide AFT</w:t>
          </w:r>
          <w:r>
            <w:t xml:space="preserve"> -</w:t>
          </w:r>
          <w:r w:rsidRPr="00460036">
            <w:t xml:space="preserve"> </w:t>
          </w:r>
          <w:r w:rsidR="00DA3DF7">
            <w:t>pyrazinamide</w:t>
          </w:r>
          <w:r w:rsidRPr="00460036">
            <w:t xml:space="preserve"> </w:t>
          </w:r>
          <w:r w:rsidR="00DA3DF7">
            <w:t>–</w:t>
          </w:r>
          <w:r>
            <w:t xml:space="preserve"> </w:t>
          </w:r>
          <w:r w:rsidR="00DA3DF7">
            <w:t>AFT Pharmaceuticals</w:t>
          </w:r>
          <w:r>
            <w:t xml:space="preserve"> - PM-202</w:t>
          </w:r>
          <w:r w:rsidR="00DA3DF7">
            <w:t>3</w:t>
          </w:r>
          <w:r w:rsidRPr="00487162">
            <w:t>-</w:t>
          </w:r>
          <w:r w:rsidR="004B6D22">
            <w:t>03087</w:t>
          </w:r>
          <w:r w:rsidRPr="00487162">
            <w:t>-</w:t>
          </w:r>
          <w:r w:rsidR="004B6D22">
            <w:t>1</w:t>
          </w:r>
          <w:r w:rsidRPr="00487162">
            <w:t>-</w:t>
          </w:r>
          <w:r w:rsidR="004B6D22">
            <w:t>2</w:t>
          </w:r>
          <w:r>
            <w:br/>
          </w:r>
          <w:r w:rsidR="00621E3D">
            <w:t>Final</w:t>
          </w:r>
          <w:r w:rsidR="004B6D22">
            <w:t xml:space="preserve"> </w:t>
          </w:r>
          <w:r w:rsidR="00C4144B">
            <w:t>August</w:t>
          </w:r>
          <w:r w:rsidR="004B6D22">
            <w:t xml:space="preserve"> 2025</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6D6B44">
                <w:fldChar w:fldCharType="begin"/>
              </w:r>
              <w:r w:rsidR="006D6B44">
                <w:instrText xml:space="preserve"> NUMPAGES  </w:instrText>
              </w:r>
              <w:r w:rsidR="006D6B44">
                <w:fldChar w:fldCharType="separate"/>
              </w:r>
              <w:r w:rsidR="006D6B44">
                <w:rPr>
                  <w:noProof/>
                </w:rPr>
                <w:t>17</w:t>
              </w:r>
              <w:r w:rsidR="006D6B44">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0D5E1D" w14:textId="77777777" w:rsidR="009A4BD1" w:rsidRDefault="009A4BD1" w:rsidP="00F02AEC">
      <w:pPr>
        <w:spacing w:after="0" w:line="240" w:lineRule="auto"/>
      </w:pPr>
      <w:r>
        <w:separator/>
      </w:r>
    </w:p>
  </w:footnote>
  <w:footnote w:type="continuationSeparator" w:id="0">
    <w:p w14:paraId="474BF9CB" w14:textId="77777777" w:rsidR="009A4BD1" w:rsidRDefault="009A4BD1" w:rsidP="00F02AEC">
      <w:pPr>
        <w:spacing w:after="0" w:line="240" w:lineRule="auto"/>
      </w:pPr>
      <w:r>
        <w:continuationSeparator/>
      </w:r>
    </w:p>
  </w:footnote>
  <w:footnote w:id="1">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20A2C875" w14:textId="0D0B5022" w:rsidR="00B0351B" w:rsidRDefault="00B0351B">
      <w:pPr>
        <w:pStyle w:val="FootnoteText"/>
      </w:pPr>
      <w:r>
        <w:rPr>
          <w:rStyle w:val="FootnoteReference"/>
        </w:rPr>
        <w:footnoteRef/>
      </w:r>
      <w:r>
        <w:t xml:space="preserve"> Department of Health &amp; Human Services (2015) </w:t>
      </w:r>
      <w:r w:rsidRPr="00B0351B">
        <w:t>Management, control and prevention of tuberculosis’, Victorian Government</w:t>
      </w:r>
      <w:r>
        <w:t xml:space="preserve">. </w:t>
      </w:r>
      <w:hyperlink r:id="rId1" w:history="1">
        <w:r w:rsidRPr="007A114F">
          <w:rPr>
            <w:rStyle w:val="Hyperlink"/>
          </w:rPr>
          <w:t>https://www.health.vic.gov.au/sites/default/files/migrated/files/collections/policies-and-guidelines/t/tb-guidelines-2015.pdf</w:t>
        </w:r>
      </w:hyperlink>
      <w:r>
        <w:t xml:space="preserve"> </w:t>
      </w:r>
    </w:p>
  </w:footnote>
  <w:footnote w:id="3">
    <w:p w14:paraId="24D8864A" w14:textId="2F8C5AD1" w:rsidR="00D36728" w:rsidRDefault="00D36728">
      <w:pPr>
        <w:pStyle w:val="FootnoteText"/>
      </w:pPr>
      <w:r>
        <w:rPr>
          <w:rStyle w:val="FootnoteReference"/>
        </w:rPr>
        <w:footnoteRef/>
      </w:r>
      <w:r>
        <w:t xml:space="preserve"> </w:t>
      </w:r>
      <w:r w:rsidR="00283574" w:rsidRPr="00283574">
        <w:rPr>
          <w:sz w:val="16"/>
          <w:szCs w:val="16"/>
        </w:rPr>
        <w:t>Panjasawatwong NWattanakul THoglund RMBang ND, Pouplin TNosoongnoen W, Ngo VN, Day JN, Tarning J 2020. Population Pharmacokinetic Properties of Antituberculosis Drugs in Vietnamese Children with Tuberculous Meningitis. Antimicrob Agents Chemother 65:10.1128/aac.00487-20.</w:t>
      </w:r>
      <w:r w:rsidR="00283574">
        <w:rPr>
          <w:sz w:val="16"/>
          <w:szCs w:val="16"/>
        </w:rPr>
        <w:t xml:space="preserve"> </w:t>
      </w:r>
      <w:hyperlink r:id="rId2" w:history="1">
        <w:r w:rsidR="00283574" w:rsidRPr="00283574">
          <w:rPr>
            <w:rStyle w:val="Hyperlink"/>
            <w:color w:val="333F48"/>
            <w:sz w:val="16"/>
            <w:szCs w:val="16"/>
            <w:u w:val="none"/>
          </w:rPr>
          <w:t>https://doi.org/10.1128/aac.00487-20</w:t>
        </w:r>
      </w:hyperlink>
    </w:p>
  </w:footnote>
  <w:footnote w:id="4">
    <w:p w14:paraId="72E2A364" w14:textId="130566EF" w:rsidR="00AA2626" w:rsidRDefault="00AA2626">
      <w:pPr>
        <w:pStyle w:val="FootnoteText"/>
      </w:pPr>
      <w:r>
        <w:rPr>
          <w:rStyle w:val="FootnoteReference"/>
        </w:rPr>
        <w:footnoteRef/>
      </w:r>
      <w:r>
        <w:t xml:space="preserve"> </w:t>
      </w:r>
      <w:r w:rsidRPr="00AA2626">
        <w:t>Peloquin, C. A., Jaresko, G. S., Yong, C. L., Keung, A. C., Bulpitt, A. E., &amp; Jelliffe, R. W. (1997). Population pharmacokinetic modeling of isoniazid, rifampin, and pyrazinamide. </w:t>
      </w:r>
      <w:r w:rsidRPr="00AA2626">
        <w:rPr>
          <w:i/>
          <w:iCs/>
        </w:rPr>
        <w:t>Antimicrobial agents and chemotherapy</w:t>
      </w:r>
      <w:r w:rsidRPr="00AA2626">
        <w:t>, </w:t>
      </w:r>
      <w:r w:rsidRPr="00AA2626">
        <w:rPr>
          <w:i/>
          <w:iCs/>
        </w:rPr>
        <w:t>41</w:t>
      </w:r>
      <w:r w:rsidRPr="00AA2626">
        <w:t xml:space="preserve">(12), 2670–2679. </w:t>
      </w:r>
      <w:hyperlink r:id="rId3" w:history="1">
        <w:r w:rsidR="00B10BB7" w:rsidRPr="002D6DE5">
          <w:rPr>
            <w:rStyle w:val="Hyperlink"/>
          </w:rPr>
          <w:t>https://doi.org/10.1128/AAC.41.12.2670</w:t>
        </w:r>
      </w:hyperlink>
      <w:r w:rsidR="00B10BB7">
        <w:t xml:space="preserve"> </w:t>
      </w:r>
    </w:p>
  </w:footnote>
  <w:footnote w:id="5">
    <w:p w14:paraId="724B1F84" w14:textId="2F014C97" w:rsidR="007F2BCA" w:rsidRDefault="007F2BCA">
      <w:pPr>
        <w:pStyle w:val="FootnoteText"/>
      </w:pPr>
      <w:r>
        <w:rPr>
          <w:rStyle w:val="FootnoteReference"/>
        </w:rPr>
        <w:footnoteRef/>
      </w:r>
      <w:r>
        <w:t xml:space="preserve"> </w:t>
      </w:r>
      <w:r w:rsidRPr="007F2BCA">
        <w:t>Mukherjee, A., Lodha, R., &amp; Kabra, S. K. (2019). Pharmacokinetics of First-Line Anti-Tubercular Drugs. </w:t>
      </w:r>
      <w:r w:rsidRPr="007F2BCA">
        <w:rPr>
          <w:i/>
          <w:iCs/>
        </w:rPr>
        <w:t>Indian journal of pediatrics</w:t>
      </w:r>
      <w:r w:rsidRPr="007F2BCA">
        <w:t>, </w:t>
      </w:r>
      <w:r w:rsidRPr="007F2BCA">
        <w:rPr>
          <w:i/>
          <w:iCs/>
        </w:rPr>
        <w:t>86</w:t>
      </w:r>
      <w:r w:rsidRPr="007F2BCA">
        <w:t xml:space="preserve">(5), 468–478. </w:t>
      </w:r>
      <w:hyperlink r:id="rId4" w:history="1">
        <w:r w:rsidR="00B10BB7" w:rsidRPr="002D6DE5">
          <w:rPr>
            <w:rStyle w:val="Hyperlink"/>
          </w:rPr>
          <w:t>https://doi.org/10.1007/s12098-019-02911-w</w:t>
        </w:r>
      </w:hyperlink>
      <w:r w:rsidR="00B10BB7">
        <w:t xml:space="preserve"> </w:t>
      </w:r>
    </w:p>
  </w:footnote>
  <w:footnote w:id="6">
    <w:p w14:paraId="20428C5E" w14:textId="40C209E6" w:rsidR="006C7636" w:rsidRPr="00D46C11" w:rsidRDefault="006C7636">
      <w:pPr>
        <w:pStyle w:val="FootnoteText"/>
        <w:rPr>
          <w:sz w:val="16"/>
          <w:szCs w:val="16"/>
        </w:rPr>
      </w:pPr>
      <w:r>
        <w:rPr>
          <w:rStyle w:val="FootnoteReference"/>
        </w:rPr>
        <w:footnoteRef/>
      </w:r>
      <w:r>
        <w:t xml:space="preserve"> </w:t>
      </w:r>
      <w:r w:rsidRPr="00D46C11">
        <w:rPr>
          <w:sz w:val="16"/>
          <w:szCs w:val="16"/>
        </w:rPr>
        <w:t>Graham SM</w:t>
      </w:r>
      <w:r w:rsidR="00F36650" w:rsidRPr="00D46C11">
        <w:rPr>
          <w:sz w:val="16"/>
          <w:szCs w:val="16"/>
        </w:rPr>
        <w:t xml:space="preserve">, </w:t>
      </w:r>
      <w:r w:rsidRPr="00D46C11">
        <w:rPr>
          <w:sz w:val="16"/>
          <w:szCs w:val="16"/>
        </w:rPr>
        <w:t>Bell DJ</w:t>
      </w:r>
      <w:r w:rsidR="00F36650" w:rsidRPr="00D46C11">
        <w:rPr>
          <w:sz w:val="16"/>
          <w:szCs w:val="16"/>
        </w:rPr>
        <w:t xml:space="preserve">, </w:t>
      </w:r>
      <w:r w:rsidRPr="00D46C11">
        <w:rPr>
          <w:sz w:val="16"/>
          <w:szCs w:val="16"/>
        </w:rPr>
        <w:t>Nyirongo S, Hartkoorn R, Ward SA, Molyneux EM.2006.Low Levels of Pyrazinamide and Ethambutol in Children with Tuberculosis and Impact of Age, Nutritional Status, and Human Immunodeficiency Virus Infection. Antimicrob Agents Chemother</w:t>
      </w:r>
      <w:r w:rsidR="00E761DF">
        <w:rPr>
          <w:sz w:val="16"/>
          <w:szCs w:val="16"/>
        </w:rPr>
        <w:t xml:space="preserve"> </w:t>
      </w:r>
      <w:r w:rsidRPr="00D46C11">
        <w:rPr>
          <w:sz w:val="16"/>
          <w:szCs w:val="16"/>
        </w:rPr>
        <w:t>50</w:t>
      </w:r>
      <w:r w:rsidR="00E761DF">
        <w:rPr>
          <w:sz w:val="16"/>
          <w:szCs w:val="16"/>
        </w:rPr>
        <w:t xml:space="preserve">. </w:t>
      </w:r>
      <w:hyperlink r:id="rId5" w:history="1">
        <w:r w:rsidR="00E761DF" w:rsidRPr="002D6DE5">
          <w:rPr>
            <w:rStyle w:val="Hyperlink"/>
            <w:sz w:val="16"/>
            <w:szCs w:val="16"/>
          </w:rPr>
          <w:t>https://doi.org/10.1128/aac.50.2.407-413.2006</w:t>
        </w:r>
      </w:hyperlink>
      <w:r w:rsidR="00E761DF">
        <w:rPr>
          <w:sz w:val="16"/>
          <w:szCs w:val="16"/>
        </w:rPr>
        <w:t xml:space="preserve"> </w:t>
      </w:r>
    </w:p>
  </w:footnote>
  <w:footnote w:id="7">
    <w:p w14:paraId="03E276D8" w14:textId="75CAC885" w:rsidR="0051741D" w:rsidRPr="00D46C11" w:rsidRDefault="0051741D">
      <w:pPr>
        <w:pStyle w:val="FootnoteText"/>
        <w:rPr>
          <w:sz w:val="16"/>
          <w:szCs w:val="16"/>
        </w:rPr>
      </w:pPr>
      <w:r w:rsidRPr="00D46C11">
        <w:rPr>
          <w:rStyle w:val="FootnoteReference"/>
          <w:sz w:val="16"/>
          <w:szCs w:val="16"/>
        </w:rPr>
        <w:footnoteRef/>
      </w:r>
      <w:r w:rsidRPr="00D46C11">
        <w:rPr>
          <w:sz w:val="16"/>
          <w:szCs w:val="16"/>
        </w:rPr>
        <w:t xml:space="preserve"> Hiruy </w:t>
      </w:r>
      <w:r w:rsidR="00F36650" w:rsidRPr="00D46C11">
        <w:rPr>
          <w:sz w:val="16"/>
          <w:szCs w:val="16"/>
        </w:rPr>
        <w:t>H.,</w:t>
      </w:r>
      <w:r w:rsidR="00345A6E" w:rsidRPr="00D46C11">
        <w:rPr>
          <w:sz w:val="16"/>
          <w:szCs w:val="16"/>
        </w:rPr>
        <w:t xml:space="preserve"> </w:t>
      </w:r>
      <w:r w:rsidRPr="00D46C11">
        <w:rPr>
          <w:sz w:val="16"/>
          <w:szCs w:val="16"/>
        </w:rPr>
        <w:t>Rogers</w:t>
      </w:r>
      <w:r w:rsidR="00F36650" w:rsidRPr="00D46C11">
        <w:rPr>
          <w:sz w:val="16"/>
          <w:szCs w:val="16"/>
        </w:rPr>
        <w:t xml:space="preserve"> Z.,</w:t>
      </w:r>
      <w:r w:rsidRPr="00D46C11">
        <w:rPr>
          <w:sz w:val="16"/>
          <w:szCs w:val="16"/>
        </w:rPr>
        <w:t xml:space="preserve"> Mbowane </w:t>
      </w:r>
      <w:r w:rsidR="00345A6E" w:rsidRPr="00D46C11">
        <w:rPr>
          <w:sz w:val="16"/>
          <w:szCs w:val="16"/>
        </w:rPr>
        <w:t>C</w:t>
      </w:r>
      <w:r w:rsidR="004053F3" w:rsidRPr="00D46C11">
        <w:rPr>
          <w:sz w:val="16"/>
          <w:szCs w:val="16"/>
        </w:rPr>
        <w:t>.</w:t>
      </w:r>
      <w:r w:rsidR="00345A6E" w:rsidRPr="00D46C11">
        <w:rPr>
          <w:sz w:val="16"/>
          <w:szCs w:val="16"/>
        </w:rPr>
        <w:t>,</w:t>
      </w:r>
      <w:r w:rsidRPr="00D46C11">
        <w:rPr>
          <w:sz w:val="16"/>
          <w:szCs w:val="16"/>
        </w:rPr>
        <w:t xml:space="preserve"> Adamson</w:t>
      </w:r>
      <w:r w:rsidR="006B31F1" w:rsidRPr="00D46C11">
        <w:rPr>
          <w:sz w:val="16"/>
          <w:szCs w:val="16"/>
        </w:rPr>
        <w:t xml:space="preserve"> </w:t>
      </w:r>
      <w:r w:rsidR="004053F3" w:rsidRPr="00D46C11">
        <w:rPr>
          <w:sz w:val="16"/>
          <w:szCs w:val="16"/>
        </w:rPr>
        <w:t>J.,</w:t>
      </w:r>
      <w:r w:rsidR="006B31F1" w:rsidRPr="00D46C11">
        <w:rPr>
          <w:sz w:val="16"/>
          <w:szCs w:val="16"/>
        </w:rPr>
        <w:t xml:space="preserve"> </w:t>
      </w:r>
      <w:r w:rsidRPr="00D46C11">
        <w:rPr>
          <w:sz w:val="16"/>
          <w:szCs w:val="16"/>
        </w:rPr>
        <w:t>Ngotho</w:t>
      </w:r>
      <w:r w:rsidR="006B31F1" w:rsidRPr="00D46C11">
        <w:rPr>
          <w:sz w:val="16"/>
          <w:szCs w:val="16"/>
        </w:rPr>
        <w:t xml:space="preserve"> L.,</w:t>
      </w:r>
      <w:r w:rsidRPr="00D46C11">
        <w:rPr>
          <w:sz w:val="16"/>
          <w:szCs w:val="16"/>
        </w:rPr>
        <w:t xml:space="preserve"> Karim,</w:t>
      </w:r>
      <w:r w:rsidR="006B31F1" w:rsidRPr="00D46C11">
        <w:rPr>
          <w:sz w:val="16"/>
          <w:szCs w:val="16"/>
        </w:rPr>
        <w:t xml:space="preserve"> F.,</w:t>
      </w:r>
      <w:r w:rsidRPr="00D46C11">
        <w:rPr>
          <w:sz w:val="16"/>
          <w:szCs w:val="16"/>
        </w:rPr>
        <w:t xml:space="preserve"> Gumbo</w:t>
      </w:r>
      <w:r w:rsidR="006B31F1" w:rsidRPr="00D46C11">
        <w:rPr>
          <w:sz w:val="16"/>
          <w:szCs w:val="16"/>
        </w:rPr>
        <w:t xml:space="preserve"> T.</w:t>
      </w:r>
      <w:r w:rsidRPr="00D46C11">
        <w:rPr>
          <w:sz w:val="16"/>
          <w:szCs w:val="16"/>
        </w:rPr>
        <w:t>, Bishai</w:t>
      </w:r>
      <w:r w:rsidR="006B31F1" w:rsidRPr="00D46C11">
        <w:rPr>
          <w:sz w:val="16"/>
          <w:szCs w:val="16"/>
        </w:rPr>
        <w:t xml:space="preserve"> W.</w:t>
      </w:r>
      <w:r w:rsidRPr="00D46C11">
        <w:rPr>
          <w:sz w:val="16"/>
          <w:szCs w:val="16"/>
        </w:rPr>
        <w:t>, Jeena</w:t>
      </w:r>
      <w:r w:rsidR="006B31F1" w:rsidRPr="00D46C11">
        <w:rPr>
          <w:sz w:val="16"/>
          <w:szCs w:val="16"/>
        </w:rPr>
        <w:t xml:space="preserve"> P.</w:t>
      </w:r>
      <w:r w:rsidRPr="00D46C11">
        <w:rPr>
          <w:sz w:val="16"/>
          <w:szCs w:val="16"/>
        </w:rPr>
        <w:t xml:space="preserve"> Subtherapeutic concentrations of first-line anti-TB drugs in South African children treated according to current guidelines: the PHATISA study, </w:t>
      </w:r>
      <w:r w:rsidRPr="00D46C11">
        <w:rPr>
          <w:i/>
          <w:iCs/>
          <w:sz w:val="16"/>
          <w:szCs w:val="16"/>
        </w:rPr>
        <w:t>Journal of Antimicrobial Chemotherapy</w:t>
      </w:r>
      <w:r w:rsidRPr="00D46C11">
        <w:rPr>
          <w:sz w:val="16"/>
          <w:szCs w:val="16"/>
        </w:rPr>
        <w:t>, Volume 70, Issue 4, April 2015, Pages 1115–1123</w:t>
      </w:r>
      <w:r w:rsidR="006B31F1" w:rsidRPr="00D46C11">
        <w:rPr>
          <w:sz w:val="16"/>
          <w:szCs w:val="16"/>
        </w:rPr>
        <w:t xml:space="preserve">. </w:t>
      </w:r>
      <w:r w:rsidRPr="00D46C11">
        <w:rPr>
          <w:sz w:val="16"/>
          <w:szCs w:val="16"/>
        </w:rPr>
        <w:t> </w:t>
      </w:r>
      <w:hyperlink r:id="rId6" w:history="1">
        <w:r w:rsidRPr="00D46C11">
          <w:rPr>
            <w:rStyle w:val="Hyperlink"/>
            <w:sz w:val="16"/>
            <w:szCs w:val="16"/>
          </w:rPr>
          <w:t>https://doi.org/10.1093/jac/dku478</w:t>
        </w:r>
      </w:hyperlink>
    </w:p>
  </w:footnote>
  <w:footnote w:id="8">
    <w:p w14:paraId="61FC7B86" w14:textId="25E67AFE" w:rsidR="00FD2E15" w:rsidRPr="00D46C11" w:rsidRDefault="00FD2E15">
      <w:pPr>
        <w:pStyle w:val="FootnoteText"/>
        <w:rPr>
          <w:sz w:val="16"/>
          <w:szCs w:val="16"/>
        </w:rPr>
      </w:pPr>
      <w:r w:rsidRPr="00D46C11">
        <w:rPr>
          <w:rStyle w:val="FootnoteReference"/>
          <w:sz w:val="16"/>
          <w:szCs w:val="16"/>
        </w:rPr>
        <w:footnoteRef/>
      </w:r>
      <w:r w:rsidRPr="00D46C11">
        <w:rPr>
          <w:sz w:val="16"/>
          <w:szCs w:val="16"/>
        </w:rPr>
        <w:t xml:space="preserve"> </w:t>
      </w:r>
      <w:r w:rsidR="000B523E" w:rsidRPr="00D46C11">
        <w:rPr>
          <w:sz w:val="16"/>
          <w:szCs w:val="16"/>
        </w:rPr>
        <w:t>Ramachandran, G., Kumar, A. K., Kannan, T., Bhavani, P. K., Kumar, S. R., Gangadevi, N. P., Banurekha, V. V., Sudha, V., Venkatesh, S., Ravichandran, N., Kalpana, S., Mathevan, G., Sanjeeva, G. N., Agarwal, D., &amp; Swaminathan, S. (2016). Low Serum Concentrations of Rifampicin and Pyrazinamide Associated with Poor Treatment Outcomes in Children with Tuberculosis Related to HIV Status. </w:t>
      </w:r>
      <w:r w:rsidR="000B523E" w:rsidRPr="00D46C11">
        <w:rPr>
          <w:i/>
          <w:iCs/>
          <w:sz w:val="16"/>
          <w:szCs w:val="16"/>
        </w:rPr>
        <w:t>The Pediatric infectious disease journal</w:t>
      </w:r>
      <w:r w:rsidR="000B523E" w:rsidRPr="00D46C11">
        <w:rPr>
          <w:sz w:val="16"/>
          <w:szCs w:val="16"/>
        </w:rPr>
        <w:t>, </w:t>
      </w:r>
      <w:r w:rsidR="000B523E" w:rsidRPr="00D46C11">
        <w:rPr>
          <w:i/>
          <w:iCs/>
          <w:sz w:val="16"/>
          <w:szCs w:val="16"/>
        </w:rPr>
        <w:t>35</w:t>
      </w:r>
      <w:r w:rsidR="000B523E" w:rsidRPr="00D46C11">
        <w:rPr>
          <w:sz w:val="16"/>
          <w:szCs w:val="16"/>
        </w:rPr>
        <w:t xml:space="preserve">(5), 530–534. </w:t>
      </w:r>
      <w:hyperlink r:id="rId7" w:history="1">
        <w:r w:rsidR="000B523E" w:rsidRPr="00D46C11">
          <w:rPr>
            <w:rStyle w:val="Hyperlink"/>
            <w:sz w:val="16"/>
            <w:szCs w:val="16"/>
          </w:rPr>
          <w:t>https://doi.org/10.1097/INF.0000000000001069</w:t>
        </w:r>
      </w:hyperlink>
      <w:r w:rsidR="000B523E" w:rsidRPr="00D46C11">
        <w:rPr>
          <w:sz w:val="16"/>
          <w:szCs w:val="16"/>
        </w:rPr>
        <w:t xml:space="preserve"> </w:t>
      </w:r>
    </w:p>
  </w:footnote>
  <w:footnote w:id="9">
    <w:p w14:paraId="06DCC280" w14:textId="4845275C" w:rsidR="00D46C11" w:rsidRPr="00D46C11" w:rsidRDefault="00D46C11">
      <w:pPr>
        <w:pStyle w:val="FootnoteText"/>
        <w:rPr>
          <w:sz w:val="16"/>
          <w:szCs w:val="16"/>
        </w:rPr>
      </w:pPr>
      <w:r w:rsidRPr="00D46C11">
        <w:rPr>
          <w:rStyle w:val="FootnoteReference"/>
          <w:sz w:val="16"/>
          <w:szCs w:val="16"/>
        </w:rPr>
        <w:footnoteRef/>
      </w:r>
      <w:r w:rsidRPr="00D46C11">
        <w:rPr>
          <w:sz w:val="16"/>
          <w:szCs w:val="16"/>
        </w:rPr>
        <w:t xml:space="preserve"> Zhang, A., Teng, L., &amp; Alterovitz, G. (2021). An explainable machine learning platform for pyrazinamide resistance prediction and genetic feature identification of Mycobacterium tuberculosis. </w:t>
      </w:r>
      <w:r w:rsidRPr="00D46C11">
        <w:rPr>
          <w:i/>
          <w:iCs/>
          <w:sz w:val="16"/>
          <w:szCs w:val="16"/>
        </w:rPr>
        <w:t>Journal of the American Medical Informatics Association : JAMIA</w:t>
      </w:r>
      <w:r w:rsidRPr="00D46C11">
        <w:rPr>
          <w:sz w:val="16"/>
          <w:szCs w:val="16"/>
        </w:rPr>
        <w:t>, </w:t>
      </w:r>
      <w:r w:rsidRPr="00D46C11">
        <w:rPr>
          <w:i/>
          <w:iCs/>
          <w:sz w:val="16"/>
          <w:szCs w:val="16"/>
        </w:rPr>
        <w:t>28</w:t>
      </w:r>
      <w:r w:rsidRPr="00D46C11">
        <w:rPr>
          <w:sz w:val="16"/>
          <w:szCs w:val="16"/>
        </w:rPr>
        <w:t xml:space="preserve">(3), 533–540. </w:t>
      </w:r>
      <w:hyperlink r:id="rId8" w:history="1">
        <w:r w:rsidR="00E761DF" w:rsidRPr="002D6DE5">
          <w:rPr>
            <w:rStyle w:val="Hyperlink"/>
            <w:sz w:val="16"/>
            <w:szCs w:val="16"/>
          </w:rPr>
          <w:t>https://doi.org/10.1093/jamia/ocaa233</w:t>
        </w:r>
      </w:hyperlink>
      <w:r w:rsidR="00E761DF">
        <w:rPr>
          <w:sz w:val="16"/>
          <w:szCs w:val="16"/>
        </w:rPr>
        <w:t xml:space="preserve"> </w:t>
      </w:r>
    </w:p>
  </w:footnote>
  <w:footnote w:id="10">
    <w:p w14:paraId="0AC66889" w14:textId="57C169AF" w:rsidR="00AF4E8C" w:rsidRPr="006615E4" w:rsidRDefault="00AF4E8C">
      <w:pPr>
        <w:pStyle w:val="FootnoteText"/>
        <w:rPr>
          <w:sz w:val="16"/>
          <w:szCs w:val="16"/>
        </w:rPr>
      </w:pPr>
      <w:r>
        <w:rPr>
          <w:rStyle w:val="FootnoteReference"/>
        </w:rPr>
        <w:footnoteRef/>
      </w:r>
      <w:r>
        <w:t xml:space="preserve"> </w:t>
      </w:r>
      <w:r w:rsidRPr="006615E4">
        <w:rPr>
          <w:sz w:val="16"/>
          <w:szCs w:val="16"/>
        </w:rPr>
        <w:t>Alfarisi O, Mave VGaikwad S, Sahasrabudhe T, Ramachandran G, Kumar H, Gupte NKulkarni V, Deshmukh S, Atre S, Raskar S, Lokhande R, Barthwal M, Kakrani A, Chon S, Gupta AGolub JE, Dooley KE.2018.Effect of Diabetes Mellitus on the Pharmacokinetics and Pharmacodynamics of Tuberculosis Treatment. Antimicrob Agents Chemother</w:t>
      </w:r>
      <w:r w:rsidR="006615E4">
        <w:rPr>
          <w:sz w:val="16"/>
          <w:szCs w:val="16"/>
        </w:rPr>
        <w:t xml:space="preserve"> </w:t>
      </w:r>
      <w:r w:rsidRPr="006615E4">
        <w:rPr>
          <w:sz w:val="16"/>
          <w:szCs w:val="16"/>
        </w:rPr>
        <w:t>62:10.1128/aac.01383-18</w:t>
      </w:r>
      <w:r w:rsidR="006615E4">
        <w:rPr>
          <w:sz w:val="16"/>
          <w:szCs w:val="16"/>
        </w:rPr>
        <w:t xml:space="preserve">. </w:t>
      </w:r>
      <w:hyperlink r:id="rId9" w:history="1">
        <w:r w:rsidR="006615E4" w:rsidRPr="002D6DE5">
          <w:rPr>
            <w:rStyle w:val="Hyperlink"/>
            <w:sz w:val="16"/>
            <w:szCs w:val="16"/>
          </w:rPr>
          <w:t>https://doi.org/10.1128/aac.01383-18</w:t>
        </w:r>
      </w:hyperlink>
      <w:r w:rsidR="006615E4">
        <w:rPr>
          <w:sz w:val="16"/>
          <w:szCs w:val="16"/>
        </w:rPr>
        <w:t xml:space="preserve"> </w:t>
      </w:r>
    </w:p>
  </w:footnote>
  <w:footnote w:id="11">
    <w:p w14:paraId="603AF8BE" w14:textId="3060A570" w:rsidR="006615E4" w:rsidRPr="006615E4" w:rsidRDefault="006615E4">
      <w:pPr>
        <w:pStyle w:val="FootnoteText"/>
        <w:rPr>
          <w:sz w:val="16"/>
          <w:szCs w:val="16"/>
        </w:rPr>
      </w:pPr>
      <w:r w:rsidRPr="006615E4">
        <w:rPr>
          <w:rStyle w:val="FootnoteReference"/>
          <w:sz w:val="16"/>
          <w:szCs w:val="16"/>
        </w:rPr>
        <w:footnoteRef/>
      </w:r>
      <w:r w:rsidRPr="006615E4">
        <w:rPr>
          <w:sz w:val="16"/>
          <w:szCs w:val="16"/>
        </w:rPr>
        <w:t xml:space="preserve"> Vinnard C, Ravimohan S, Tamuhla N, Pasipanodya J, Srivastava S, Modongo C, et al. (2017) Pyrazinamide clearance is impaired among HIV/tuberculosis patients with high levels of systemic immune activation. PLoS ONE 12(11): e0187624. </w:t>
      </w:r>
      <w:hyperlink r:id="rId10" w:history="1">
        <w:r w:rsidRPr="002D6DE5">
          <w:rPr>
            <w:rStyle w:val="Hyperlink"/>
            <w:sz w:val="16"/>
            <w:szCs w:val="16"/>
          </w:rPr>
          <w:t>https://doi.org/10.1371/journal.pone.0187624</w:t>
        </w:r>
      </w:hyperlink>
      <w:r>
        <w:rPr>
          <w:sz w:val="16"/>
          <w:szCs w:val="16"/>
        </w:rPr>
        <w:t xml:space="preserve"> </w:t>
      </w:r>
    </w:p>
  </w:footnote>
  <w:footnote w:id="12">
    <w:p w14:paraId="236730EA" w14:textId="5430935B" w:rsidR="00E059C2" w:rsidRDefault="00E059C2">
      <w:pPr>
        <w:pStyle w:val="FootnoteText"/>
      </w:pPr>
      <w:r>
        <w:rPr>
          <w:rStyle w:val="FootnoteReference"/>
        </w:rPr>
        <w:footnoteRef/>
      </w:r>
      <w:r>
        <w:t xml:space="preserve"> </w:t>
      </w:r>
      <w:r w:rsidRPr="00E059C2">
        <w:rPr>
          <w:sz w:val="16"/>
          <w:szCs w:val="16"/>
        </w:rPr>
        <w:t>Gurumurthy, Prema and Hemanth Kumar, A K and Rajasekharan, A and Rehman, Fathima and Sekar, L and Narayanan, P R (2002) </w:t>
      </w:r>
      <w:r w:rsidRPr="00E059C2">
        <w:rPr>
          <w:i/>
          <w:iCs/>
          <w:sz w:val="16"/>
          <w:szCs w:val="16"/>
        </w:rPr>
        <w:t>The Pharmacokinetics of ofloxacin, rifampicin, isoniazid and pyrazinmide when administered alone and in combination.</w:t>
      </w:r>
      <w:r w:rsidRPr="00E059C2">
        <w:rPr>
          <w:sz w:val="16"/>
          <w:szCs w:val="16"/>
        </w:rPr>
        <w:t> Biomedicine, 22 (3&amp;4). pp. 13-26. ISSN 0970 2067</w:t>
      </w:r>
      <w:r>
        <w:rPr>
          <w:sz w:val="16"/>
          <w:szCs w:val="16"/>
        </w:rPr>
        <w:t xml:space="preserve"> </w:t>
      </w:r>
      <w:hyperlink r:id="rId11" w:history="1">
        <w:r w:rsidR="006A49A0" w:rsidRPr="002D6DE5">
          <w:rPr>
            <w:rStyle w:val="Hyperlink"/>
            <w:sz w:val="16"/>
            <w:szCs w:val="16"/>
          </w:rPr>
          <w:t>https://eprints.nirt.res.in/569/1/200221.pdf</w:t>
        </w:r>
      </w:hyperlink>
      <w:r w:rsidR="006A49A0">
        <w:rPr>
          <w:sz w:val="16"/>
          <w:szCs w:val="16"/>
        </w:rPr>
        <w:t xml:space="preserve"> </w:t>
      </w:r>
    </w:p>
  </w:footnote>
  <w:footnote w:id="13">
    <w:p w14:paraId="16A86463" w14:textId="3C75C6CA" w:rsidR="00F224A8" w:rsidRPr="00F224A8" w:rsidRDefault="00F224A8">
      <w:pPr>
        <w:pStyle w:val="FootnoteText"/>
        <w:rPr>
          <w:sz w:val="16"/>
          <w:szCs w:val="16"/>
        </w:rPr>
      </w:pPr>
      <w:r>
        <w:rPr>
          <w:rStyle w:val="FootnoteReference"/>
        </w:rPr>
        <w:footnoteRef/>
      </w:r>
      <w:r>
        <w:t xml:space="preserve"> </w:t>
      </w:r>
      <w:r w:rsidRPr="00F224A8">
        <w:rPr>
          <w:sz w:val="16"/>
          <w:szCs w:val="16"/>
        </w:rPr>
        <w:t>Lacroix, C., Phan Hoang, T., Nouveau, J. </w:t>
      </w:r>
      <w:r w:rsidRPr="00F224A8">
        <w:rPr>
          <w:i/>
          <w:iCs/>
          <w:sz w:val="16"/>
          <w:szCs w:val="16"/>
        </w:rPr>
        <w:t>et al.</w:t>
      </w:r>
      <w:r w:rsidRPr="00F224A8">
        <w:rPr>
          <w:sz w:val="16"/>
          <w:szCs w:val="16"/>
        </w:rPr>
        <w:t> Pharmacokinetics of pyrazinamide and its metabolites in healthy subjects. </w:t>
      </w:r>
      <w:r w:rsidRPr="00F224A8">
        <w:rPr>
          <w:i/>
          <w:iCs/>
          <w:sz w:val="16"/>
          <w:szCs w:val="16"/>
        </w:rPr>
        <w:t>Eur J Clin Pharmacol</w:t>
      </w:r>
      <w:r w:rsidRPr="00F224A8">
        <w:rPr>
          <w:sz w:val="16"/>
          <w:szCs w:val="16"/>
        </w:rPr>
        <w:t> </w:t>
      </w:r>
      <w:r w:rsidRPr="00F224A8">
        <w:rPr>
          <w:b/>
          <w:bCs/>
          <w:sz w:val="16"/>
          <w:szCs w:val="16"/>
        </w:rPr>
        <w:t>36</w:t>
      </w:r>
      <w:r w:rsidRPr="00F224A8">
        <w:rPr>
          <w:sz w:val="16"/>
          <w:szCs w:val="16"/>
        </w:rPr>
        <w:t xml:space="preserve">, 395–400 (1989). </w:t>
      </w:r>
      <w:hyperlink r:id="rId12" w:history="1">
        <w:r w:rsidRPr="002D6DE5">
          <w:rPr>
            <w:rStyle w:val="Hyperlink"/>
            <w:sz w:val="16"/>
            <w:szCs w:val="16"/>
          </w:rPr>
          <w:t>https://doi.org/10.1007/BF00558302</w:t>
        </w:r>
      </w:hyperlink>
      <w:r>
        <w:rPr>
          <w:sz w:val="16"/>
          <w:szCs w:val="16"/>
        </w:rPr>
        <w:t xml:space="preserve"> </w:t>
      </w:r>
    </w:p>
  </w:footnote>
  <w:footnote w:id="14">
    <w:p w14:paraId="6E3CC35F" w14:textId="3AC817CB" w:rsidR="002E4E1A" w:rsidRDefault="002E4E1A">
      <w:pPr>
        <w:pStyle w:val="FootnoteText"/>
      </w:pPr>
      <w:r>
        <w:rPr>
          <w:rStyle w:val="FootnoteReference"/>
        </w:rPr>
        <w:footnoteRef/>
      </w:r>
      <w:r>
        <w:t xml:space="preserve"> </w:t>
      </w:r>
      <w:r w:rsidRPr="002E4E1A">
        <w:t>Holdiness M. R. (1984). Clinical pharmacokinetics of the antituberculosis drugs. </w:t>
      </w:r>
      <w:r w:rsidRPr="002E4E1A">
        <w:rPr>
          <w:i/>
          <w:iCs/>
        </w:rPr>
        <w:t>Clinical pharmacokinetics</w:t>
      </w:r>
      <w:r w:rsidRPr="002E4E1A">
        <w:t>, </w:t>
      </w:r>
      <w:r w:rsidRPr="002E4E1A">
        <w:rPr>
          <w:i/>
          <w:iCs/>
        </w:rPr>
        <w:t>9</w:t>
      </w:r>
      <w:r w:rsidRPr="002E4E1A">
        <w:t>(6), 511–544. https://doi.org/10.2165/00003088-198409060-00003</w:t>
      </w:r>
    </w:p>
  </w:footnote>
  <w:footnote w:id="15">
    <w:p w14:paraId="480EA8DF" w14:textId="515F3F64" w:rsidR="0086033D" w:rsidRDefault="0086033D">
      <w:pPr>
        <w:pStyle w:val="FootnoteText"/>
      </w:pPr>
      <w:r>
        <w:rPr>
          <w:rStyle w:val="FootnoteReference"/>
        </w:rPr>
        <w:footnoteRef/>
      </w:r>
      <w:r>
        <w:t xml:space="preserve"> </w:t>
      </w:r>
      <w:r w:rsidR="005F21F4" w:rsidRPr="00C51BA3">
        <w:rPr>
          <w:sz w:val="16"/>
          <w:szCs w:val="16"/>
        </w:rPr>
        <w:t xml:space="preserve">Forgan-Smith R, Ellard G.A, Newton D, Mitchison </w:t>
      </w:r>
      <w:r w:rsidR="00330C37" w:rsidRPr="00C51BA3">
        <w:rPr>
          <w:sz w:val="16"/>
          <w:szCs w:val="16"/>
        </w:rPr>
        <w:t>D.A. Pyrazinamide and other drugs in Tubercul</w:t>
      </w:r>
      <w:r w:rsidR="00E010D7" w:rsidRPr="00C51BA3">
        <w:rPr>
          <w:sz w:val="16"/>
          <w:szCs w:val="16"/>
        </w:rPr>
        <w:t>ous Meningitis. Lancet 1973; 302</w:t>
      </w:r>
      <w:r w:rsidR="00C51BA3" w:rsidRPr="00C51BA3">
        <w:rPr>
          <w:sz w:val="16"/>
          <w:szCs w:val="16"/>
        </w:rPr>
        <w:t xml:space="preserve">:374 </w:t>
      </w:r>
      <w:hyperlink r:id="rId13" w:history="1">
        <w:r w:rsidR="00C51BA3" w:rsidRPr="00C51BA3">
          <w:rPr>
            <w:rStyle w:val="Hyperlink"/>
            <w:sz w:val="16"/>
            <w:szCs w:val="16"/>
          </w:rPr>
          <w:t>https://doi.org/10.1016/S0140-6736(73)93211-X</w:t>
        </w:r>
      </w:hyperlink>
      <w:r w:rsidR="00C51BA3">
        <w:t xml:space="preserve"> </w:t>
      </w:r>
    </w:p>
  </w:footnote>
  <w:footnote w:id="16">
    <w:p w14:paraId="1ABD30E0" w14:textId="6510992A" w:rsidR="00566BC5" w:rsidRDefault="003207DA" w:rsidP="00566BC5">
      <w:pPr>
        <w:pStyle w:val="FootnoteText"/>
      </w:pPr>
      <w:r>
        <w:rPr>
          <w:rStyle w:val="FootnoteReference"/>
        </w:rPr>
        <w:footnoteRef/>
      </w:r>
      <w:r>
        <w:t xml:space="preserve"> </w:t>
      </w:r>
      <w:r w:rsidR="00566BC5" w:rsidRPr="00566BC5">
        <w:rPr>
          <w:sz w:val="16"/>
          <w:szCs w:val="16"/>
        </w:rPr>
        <w:t xml:space="preserve">CDNA National Guidelines for Public Health Units: Tuberculosis, CDNA (2022) </w:t>
      </w:r>
      <w:hyperlink r:id="rId14" w:history="1">
        <w:r w:rsidR="00566BC5" w:rsidRPr="007A114F">
          <w:rPr>
            <w:rStyle w:val="Hyperlink"/>
            <w:sz w:val="16"/>
            <w:szCs w:val="16"/>
          </w:rPr>
          <w:t>https://www.health.gov.au/sites/default/files/documents/2022/06/tuberculosis-cdna-national-guidelines-for-public-health-units.pdf</w:t>
        </w:r>
      </w:hyperlink>
    </w:p>
  </w:footnote>
  <w:footnote w:id="17">
    <w:p w14:paraId="0E3CB6E6" w14:textId="67E6B451" w:rsidR="00566BC5" w:rsidRPr="00566BC5" w:rsidRDefault="00566BC5" w:rsidP="00566BC5">
      <w:pPr>
        <w:pStyle w:val="FootnoteText"/>
        <w:rPr>
          <w:sz w:val="16"/>
          <w:szCs w:val="16"/>
        </w:rPr>
      </w:pPr>
      <w:r>
        <w:rPr>
          <w:rStyle w:val="FootnoteReference"/>
        </w:rPr>
        <w:footnoteRef/>
      </w:r>
      <w:r>
        <w:t xml:space="preserve"> </w:t>
      </w:r>
      <w:r w:rsidRPr="00566BC5">
        <w:rPr>
          <w:sz w:val="16"/>
          <w:szCs w:val="16"/>
        </w:rPr>
        <w:t xml:space="preserve">WHO consolidated guidelines on tuberculosis module 4: drug susceptible tuberculosis treatment, WHO (2022) </w:t>
      </w:r>
    </w:p>
    <w:p w14:paraId="4BA3FDCA" w14:textId="4F5CC39F" w:rsidR="00566BC5" w:rsidRDefault="00566BC5" w:rsidP="00566BC5">
      <w:pPr>
        <w:pStyle w:val="FootnoteText"/>
      </w:pPr>
      <w:hyperlink r:id="rId15" w:history="1">
        <w:r w:rsidRPr="007A114F">
          <w:rPr>
            <w:rStyle w:val="Hyperlink"/>
            <w:sz w:val="16"/>
            <w:szCs w:val="16"/>
          </w:rPr>
          <w:t>https://iris.who.int/bitstream/handle/10665/353829/9789240048126-eng.pdf?sequence=1</w:t>
        </w:r>
      </w:hyperlink>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695482"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60288"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506B19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171DF5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F56419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5"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8"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2E680CF5"/>
    <w:multiLevelType w:val="hybridMultilevel"/>
    <w:tmpl w:val="7280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33063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2"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3"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4"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8003F70"/>
    <w:multiLevelType w:val="hybridMultilevel"/>
    <w:tmpl w:val="D1D21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7" w15:restartNumberingAfterBreak="0">
    <w:nsid w:val="5A4285F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CA0146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62A40368"/>
    <w:multiLevelType w:val="hybridMultilevel"/>
    <w:tmpl w:val="B3F41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04D7C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D5AAB0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6"/>
  </w:num>
  <w:num w:numId="2" w16cid:durableId="1856573705">
    <w:abstractNumId w:val="3"/>
  </w:num>
  <w:num w:numId="3" w16cid:durableId="357703499">
    <w:abstractNumId w:val="5"/>
  </w:num>
  <w:num w:numId="4" w16cid:durableId="1869176708">
    <w:abstractNumId w:val="14"/>
  </w:num>
  <w:num w:numId="5" w16cid:durableId="1652950129">
    <w:abstractNumId w:val="8"/>
  </w:num>
  <w:num w:numId="6" w16cid:durableId="1053193207">
    <w:abstractNumId w:val="12"/>
  </w:num>
  <w:num w:numId="7" w16cid:durableId="201135927">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3"/>
  </w:num>
  <w:num w:numId="9" w16cid:durableId="173421270">
    <w:abstractNumId w:val="4"/>
  </w:num>
  <w:num w:numId="10" w16cid:durableId="2108043357">
    <w:abstractNumId w:val="7"/>
  </w:num>
  <w:num w:numId="11" w16cid:durableId="1725904230">
    <w:abstractNumId w:val="11"/>
  </w:num>
  <w:num w:numId="12" w16cid:durableId="141579354">
    <w:abstractNumId w:val="16"/>
  </w:num>
  <w:num w:numId="13" w16cid:durableId="283735081">
    <w:abstractNumId w:val="22"/>
  </w:num>
  <w:num w:numId="14" w16cid:durableId="48385432">
    <w:abstractNumId w:val="0"/>
  </w:num>
  <w:num w:numId="15" w16cid:durableId="1942568782">
    <w:abstractNumId w:val="18"/>
  </w:num>
  <w:num w:numId="16" w16cid:durableId="1457868788">
    <w:abstractNumId w:val="20"/>
  </w:num>
  <w:num w:numId="17" w16cid:durableId="572400761">
    <w:abstractNumId w:val="10"/>
  </w:num>
  <w:num w:numId="18" w16cid:durableId="1882553193">
    <w:abstractNumId w:val="1"/>
  </w:num>
  <w:num w:numId="19" w16cid:durableId="1149053773">
    <w:abstractNumId w:val="2"/>
  </w:num>
  <w:num w:numId="20" w16cid:durableId="1584146726">
    <w:abstractNumId w:val="21"/>
  </w:num>
  <w:num w:numId="21" w16cid:durableId="1417628974">
    <w:abstractNumId w:val="17"/>
  </w:num>
  <w:num w:numId="22" w16cid:durableId="1355155987">
    <w:abstractNumId w:val="9"/>
  </w:num>
  <w:num w:numId="23" w16cid:durableId="2038389491">
    <w:abstractNumId w:val="15"/>
  </w:num>
  <w:num w:numId="24" w16cid:durableId="4090872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05DFC"/>
    <w:rsid w:val="0001064C"/>
    <w:rsid w:val="0001384A"/>
    <w:rsid w:val="00021C13"/>
    <w:rsid w:val="00031623"/>
    <w:rsid w:val="00032A0F"/>
    <w:rsid w:val="00036828"/>
    <w:rsid w:val="000409A5"/>
    <w:rsid w:val="00040D8D"/>
    <w:rsid w:val="000462BC"/>
    <w:rsid w:val="00046423"/>
    <w:rsid w:val="000477F5"/>
    <w:rsid w:val="000530C5"/>
    <w:rsid w:val="0006104E"/>
    <w:rsid w:val="00063D1C"/>
    <w:rsid w:val="00063EB2"/>
    <w:rsid w:val="000640BD"/>
    <w:rsid w:val="00065839"/>
    <w:rsid w:val="00065FDF"/>
    <w:rsid w:val="0006693A"/>
    <w:rsid w:val="000707D9"/>
    <w:rsid w:val="00074537"/>
    <w:rsid w:val="00077844"/>
    <w:rsid w:val="00081D51"/>
    <w:rsid w:val="00083763"/>
    <w:rsid w:val="00085205"/>
    <w:rsid w:val="00086AFB"/>
    <w:rsid w:val="00090510"/>
    <w:rsid w:val="000917AE"/>
    <w:rsid w:val="00094B81"/>
    <w:rsid w:val="00095C6A"/>
    <w:rsid w:val="000975AA"/>
    <w:rsid w:val="000A3077"/>
    <w:rsid w:val="000B0935"/>
    <w:rsid w:val="000B0BC2"/>
    <w:rsid w:val="000B523E"/>
    <w:rsid w:val="000B6B15"/>
    <w:rsid w:val="000B7B8D"/>
    <w:rsid w:val="000C25A7"/>
    <w:rsid w:val="000C6674"/>
    <w:rsid w:val="000D0721"/>
    <w:rsid w:val="000D78EC"/>
    <w:rsid w:val="000D7934"/>
    <w:rsid w:val="000E2434"/>
    <w:rsid w:val="000E2597"/>
    <w:rsid w:val="000E504E"/>
    <w:rsid w:val="000E6746"/>
    <w:rsid w:val="000F117A"/>
    <w:rsid w:val="000F5086"/>
    <w:rsid w:val="000F7B51"/>
    <w:rsid w:val="00100588"/>
    <w:rsid w:val="00101BEE"/>
    <w:rsid w:val="00101CE6"/>
    <w:rsid w:val="00101FB1"/>
    <w:rsid w:val="0010558A"/>
    <w:rsid w:val="0010797E"/>
    <w:rsid w:val="001101FF"/>
    <w:rsid w:val="00111989"/>
    <w:rsid w:val="00113F9F"/>
    <w:rsid w:val="00114025"/>
    <w:rsid w:val="00121BF0"/>
    <w:rsid w:val="0012473C"/>
    <w:rsid w:val="00125899"/>
    <w:rsid w:val="00125AA9"/>
    <w:rsid w:val="00127A74"/>
    <w:rsid w:val="0013132F"/>
    <w:rsid w:val="00131B1B"/>
    <w:rsid w:val="0013247A"/>
    <w:rsid w:val="0013306D"/>
    <w:rsid w:val="001344C6"/>
    <w:rsid w:val="0013528C"/>
    <w:rsid w:val="00140B4D"/>
    <w:rsid w:val="001442A2"/>
    <w:rsid w:val="001468CA"/>
    <w:rsid w:val="00146A58"/>
    <w:rsid w:val="001500A8"/>
    <w:rsid w:val="0015336E"/>
    <w:rsid w:val="00155D85"/>
    <w:rsid w:val="00165D28"/>
    <w:rsid w:val="0016745A"/>
    <w:rsid w:val="0017005C"/>
    <w:rsid w:val="00175CD8"/>
    <w:rsid w:val="00175D10"/>
    <w:rsid w:val="00182BD8"/>
    <w:rsid w:val="00190853"/>
    <w:rsid w:val="00191AEA"/>
    <w:rsid w:val="00192BD7"/>
    <w:rsid w:val="001A72F5"/>
    <w:rsid w:val="001A76F9"/>
    <w:rsid w:val="001B06FF"/>
    <w:rsid w:val="001B1703"/>
    <w:rsid w:val="001C1694"/>
    <w:rsid w:val="001C1C2E"/>
    <w:rsid w:val="001C31A1"/>
    <w:rsid w:val="001C3378"/>
    <w:rsid w:val="001C3FA2"/>
    <w:rsid w:val="001C487F"/>
    <w:rsid w:val="001C5EE2"/>
    <w:rsid w:val="001D0077"/>
    <w:rsid w:val="001D0EF2"/>
    <w:rsid w:val="001D1B7C"/>
    <w:rsid w:val="001D2B44"/>
    <w:rsid w:val="001D38F5"/>
    <w:rsid w:val="001E407B"/>
    <w:rsid w:val="001E7FC6"/>
    <w:rsid w:val="001F09EB"/>
    <w:rsid w:val="001F133A"/>
    <w:rsid w:val="001F2502"/>
    <w:rsid w:val="001F2F66"/>
    <w:rsid w:val="001F640A"/>
    <w:rsid w:val="001F70A5"/>
    <w:rsid w:val="0020235D"/>
    <w:rsid w:val="00202C7B"/>
    <w:rsid w:val="0020369B"/>
    <w:rsid w:val="00207B4D"/>
    <w:rsid w:val="00210F9B"/>
    <w:rsid w:val="002117B1"/>
    <w:rsid w:val="00212D13"/>
    <w:rsid w:val="002144F9"/>
    <w:rsid w:val="00217CCE"/>
    <w:rsid w:val="002203B1"/>
    <w:rsid w:val="00223F88"/>
    <w:rsid w:val="00226F39"/>
    <w:rsid w:val="00226FF7"/>
    <w:rsid w:val="0023323C"/>
    <w:rsid w:val="002334AD"/>
    <w:rsid w:val="00241B60"/>
    <w:rsid w:val="002438DA"/>
    <w:rsid w:val="00245385"/>
    <w:rsid w:val="002464D5"/>
    <w:rsid w:val="0025785B"/>
    <w:rsid w:val="00257969"/>
    <w:rsid w:val="00257BBC"/>
    <w:rsid w:val="00265CD1"/>
    <w:rsid w:val="00271703"/>
    <w:rsid w:val="00277362"/>
    <w:rsid w:val="00280048"/>
    <w:rsid w:val="0028082C"/>
    <w:rsid w:val="0028246B"/>
    <w:rsid w:val="002826BE"/>
    <w:rsid w:val="00283574"/>
    <w:rsid w:val="0028418D"/>
    <w:rsid w:val="0028489E"/>
    <w:rsid w:val="002848DE"/>
    <w:rsid w:val="00285E80"/>
    <w:rsid w:val="0028794E"/>
    <w:rsid w:val="00290FC2"/>
    <w:rsid w:val="0029733B"/>
    <w:rsid w:val="002A2340"/>
    <w:rsid w:val="002A26AA"/>
    <w:rsid w:val="002A2F79"/>
    <w:rsid w:val="002A5841"/>
    <w:rsid w:val="002A7963"/>
    <w:rsid w:val="002B0859"/>
    <w:rsid w:val="002B1EDF"/>
    <w:rsid w:val="002B2061"/>
    <w:rsid w:val="002B33C3"/>
    <w:rsid w:val="002B4617"/>
    <w:rsid w:val="002B73CD"/>
    <w:rsid w:val="002C1232"/>
    <w:rsid w:val="002C1E44"/>
    <w:rsid w:val="002C5C92"/>
    <w:rsid w:val="002C5E29"/>
    <w:rsid w:val="002D0478"/>
    <w:rsid w:val="002D1980"/>
    <w:rsid w:val="002D61B6"/>
    <w:rsid w:val="002D7127"/>
    <w:rsid w:val="002E4B81"/>
    <w:rsid w:val="002E4E1A"/>
    <w:rsid w:val="002F32F1"/>
    <w:rsid w:val="002F599E"/>
    <w:rsid w:val="002F744E"/>
    <w:rsid w:val="003008D8"/>
    <w:rsid w:val="00301D9A"/>
    <w:rsid w:val="00303959"/>
    <w:rsid w:val="00304D6C"/>
    <w:rsid w:val="00306E72"/>
    <w:rsid w:val="00307DD2"/>
    <w:rsid w:val="00312AC3"/>
    <w:rsid w:val="00312E31"/>
    <w:rsid w:val="00314430"/>
    <w:rsid w:val="00314599"/>
    <w:rsid w:val="003163BC"/>
    <w:rsid w:val="003207DA"/>
    <w:rsid w:val="003212D9"/>
    <w:rsid w:val="0032351A"/>
    <w:rsid w:val="00324B33"/>
    <w:rsid w:val="00327488"/>
    <w:rsid w:val="00330C37"/>
    <w:rsid w:val="00335804"/>
    <w:rsid w:val="00336B3B"/>
    <w:rsid w:val="00336FE1"/>
    <w:rsid w:val="00337BD8"/>
    <w:rsid w:val="00342D56"/>
    <w:rsid w:val="00344D9F"/>
    <w:rsid w:val="003456E7"/>
    <w:rsid w:val="0034584D"/>
    <w:rsid w:val="00345A6E"/>
    <w:rsid w:val="00346EC2"/>
    <w:rsid w:val="003477F9"/>
    <w:rsid w:val="0035444D"/>
    <w:rsid w:val="00356D62"/>
    <w:rsid w:val="00363EE3"/>
    <w:rsid w:val="00367484"/>
    <w:rsid w:val="00367526"/>
    <w:rsid w:val="00372D22"/>
    <w:rsid w:val="003735F3"/>
    <w:rsid w:val="00374729"/>
    <w:rsid w:val="00380C90"/>
    <w:rsid w:val="00385597"/>
    <w:rsid w:val="00387298"/>
    <w:rsid w:val="00387984"/>
    <w:rsid w:val="00390005"/>
    <w:rsid w:val="00395140"/>
    <w:rsid w:val="003A0C26"/>
    <w:rsid w:val="003A1ABC"/>
    <w:rsid w:val="003A2422"/>
    <w:rsid w:val="003A5E4D"/>
    <w:rsid w:val="003A7CFF"/>
    <w:rsid w:val="003B149C"/>
    <w:rsid w:val="003B3072"/>
    <w:rsid w:val="003B5D26"/>
    <w:rsid w:val="003B76EF"/>
    <w:rsid w:val="003C0FDB"/>
    <w:rsid w:val="003C1192"/>
    <w:rsid w:val="003C55E2"/>
    <w:rsid w:val="003C63D5"/>
    <w:rsid w:val="003C6F98"/>
    <w:rsid w:val="003C743B"/>
    <w:rsid w:val="003C7AA8"/>
    <w:rsid w:val="003D1942"/>
    <w:rsid w:val="003D680D"/>
    <w:rsid w:val="003D6ABA"/>
    <w:rsid w:val="003D71A1"/>
    <w:rsid w:val="003E4D36"/>
    <w:rsid w:val="00403B2D"/>
    <w:rsid w:val="004053F3"/>
    <w:rsid w:val="0041037D"/>
    <w:rsid w:val="004115D9"/>
    <w:rsid w:val="0041688F"/>
    <w:rsid w:val="0042376F"/>
    <w:rsid w:val="004246B8"/>
    <w:rsid w:val="004248F1"/>
    <w:rsid w:val="00430CF6"/>
    <w:rsid w:val="00433318"/>
    <w:rsid w:val="0044051F"/>
    <w:rsid w:val="004411D9"/>
    <w:rsid w:val="00442A56"/>
    <w:rsid w:val="00442CB0"/>
    <w:rsid w:val="0044303E"/>
    <w:rsid w:val="004444B0"/>
    <w:rsid w:val="00450015"/>
    <w:rsid w:val="0045060B"/>
    <w:rsid w:val="004511B5"/>
    <w:rsid w:val="00455B3F"/>
    <w:rsid w:val="0045685F"/>
    <w:rsid w:val="004626FF"/>
    <w:rsid w:val="0046285C"/>
    <w:rsid w:val="004702DF"/>
    <w:rsid w:val="00470A52"/>
    <w:rsid w:val="00471BD5"/>
    <w:rsid w:val="0047520F"/>
    <w:rsid w:val="00477C4E"/>
    <w:rsid w:val="00477F07"/>
    <w:rsid w:val="00480572"/>
    <w:rsid w:val="00481503"/>
    <w:rsid w:val="00481D12"/>
    <w:rsid w:val="00484C26"/>
    <w:rsid w:val="004854A6"/>
    <w:rsid w:val="0049162A"/>
    <w:rsid w:val="00491A55"/>
    <w:rsid w:val="00494C3E"/>
    <w:rsid w:val="00497DF1"/>
    <w:rsid w:val="004A318E"/>
    <w:rsid w:val="004A45D4"/>
    <w:rsid w:val="004A5291"/>
    <w:rsid w:val="004A57E8"/>
    <w:rsid w:val="004A789F"/>
    <w:rsid w:val="004B3081"/>
    <w:rsid w:val="004B4A09"/>
    <w:rsid w:val="004B4ED1"/>
    <w:rsid w:val="004B6D22"/>
    <w:rsid w:val="004C02A9"/>
    <w:rsid w:val="004C41CE"/>
    <w:rsid w:val="004C5E19"/>
    <w:rsid w:val="004C631B"/>
    <w:rsid w:val="004D091A"/>
    <w:rsid w:val="004D0933"/>
    <w:rsid w:val="004D156A"/>
    <w:rsid w:val="004D2F00"/>
    <w:rsid w:val="004D31D8"/>
    <w:rsid w:val="004D35D1"/>
    <w:rsid w:val="004D3767"/>
    <w:rsid w:val="004D5388"/>
    <w:rsid w:val="004E3C03"/>
    <w:rsid w:val="004E7F16"/>
    <w:rsid w:val="004F18EC"/>
    <w:rsid w:val="004F41EB"/>
    <w:rsid w:val="004F5B87"/>
    <w:rsid w:val="00500D68"/>
    <w:rsid w:val="00501711"/>
    <w:rsid w:val="00507357"/>
    <w:rsid w:val="00513F11"/>
    <w:rsid w:val="005141A8"/>
    <w:rsid w:val="005161A5"/>
    <w:rsid w:val="00516D3B"/>
    <w:rsid w:val="0051741D"/>
    <w:rsid w:val="005178F1"/>
    <w:rsid w:val="00525159"/>
    <w:rsid w:val="0053377D"/>
    <w:rsid w:val="00535DFE"/>
    <w:rsid w:val="005373B5"/>
    <w:rsid w:val="00537AB7"/>
    <w:rsid w:val="0054669B"/>
    <w:rsid w:val="00546A6F"/>
    <w:rsid w:val="0054743E"/>
    <w:rsid w:val="00557684"/>
    <w:rsid w:val="00560EC1"/>
    <w:rsid w:val="005610D1"/>
    <w:rsid w:val="00562F42"/>
    <w:rsid w:val="00565739"/>
    <w:rsid w:val="00566361"/>
    <w:rsid w:val="00566BC5"/>
    <w:rsid w:val="0056766D"/>
    <w:rsid w:val="00575215"/>
    <w:rsid w:val="005775D0"/>
    <w:rsid w:val="00580E6C"/>
    <w:rsid w:val="0058111C"/>
    <w:rsid w:val="00581138"/>
    <w:rsid w:val="0058575E"/>
    <w:rsid w:val="0058783C"/>
    <w:rsid w:val="005911AE"/>
    <w:rsid w:val="00591931"/>
    <w:rsid w:val="005926E2"/>
    <w:rsid w:val="0059313A"/>
    <w:rsid w:val="00596D7D"/>
    <w:rsid w:val="005A54EA"/>
    <w:rsid w:val="005B023F"/>
    <w:rsid w:val="005B02A2"/>
    <w:rsid w:val="005B082F"/>
    <w:rsid w:val="005B1417"/>
    <w:rsid w:val="005B69CF"/>
    <w:rsid w:val="005C2028"/>
    <w:rsid w:val="005C3F07"/>
    <w:rsid w:val="005C4B46"/>
    <w:rsid w:val="005C5DC5"/>
    <w:rsid w:val="005D0E1E"/>
    <w:rsid w:val="005D2089"/>
    <w:rsid w:val="005D5E71"/>
    <w:rsid w:val="005D67BB"/>
    <w:rsid w:val="005D7514"/>
    <w:rsid w:val="005E077B"/>
    <w:rsid w:val="005E0FC6"/>
    <w:rsid w:val="005E1A7B"/>
    <w:rsid w:val="005E231F"/>
    <w:rsid w:val="005E4000"/>
    <w:rsid w:val="005F0378"/>
    <w:rsid w:val="005F19BA"/>
    <w:rsid w:val="005F21F4"/>
    <w:rsid w:val="005F2399"/>
    <w:rsid w:val="00602D6E"/>
    <w:rsid w:val="00605C05"/>
    <w:rsid w:val="00611351"/>
    <w:rsid w:val="0061217D"/>
    <w:rsid w:val="006129AE"/>
    <w:rsid w:val="00612EEE"/>
    <w:rsid w:val="00617E51"/>
    <w:rsid w:val="006214C9"/>
    <w:rsid w:val="00621E3D"/>
    <w:rsid w:val="00627001"/>
    <w:rsid w:val="006277A1"/>
    <w:rsid w:val="00627FD9"/>
    <w:rsid w:val="006308D6"/>
    <w:rsid w:val="00633BD7"/>
    <w:rsid w:val="00634580"/>
    <w:rsid w:val="00634884"/>
    <w:rsid w:val="006351D9"/>
    <w:rsid w:val="00635FA6"/>
    <w:rsid w:val="00637130"/>
    <w:rsid w:val="00637F0E"/>
    <w:rsid w:val="006423F2"/>
    <w:rsid w:val="006428C5"/>
    <w:rsid w:val="0064307A"/>
    <w:rsid w:val="00643DDF"/>
    <w:rsid w:val="00650234"/>
    <w:rsid w:val="00652B21"/>
    <w:rsid w:val="00652C81"/>
    <w:rsid w:val="00657B03"/>
    <w:rsid w:val="0066044B"/>
    <w:rsid w:val="0066085F"/>
    <w:rsid w:val="006615E4"/>
    <w:rsid w:val="006630AA"/>
    <w:rsid w:val="00663544"/>
    <w:rsid w:val="00666539"/>
    <w:rsid w:val="00666911"/>
    <w:rsid w:val="006678F8"/>
    <w:rsid w:val="00670277"/>
    <w:rsid w:val="00675605"/>
    <w:rsid w:val="00675F81"/>
    <w:rsid w:val="00680AA3"/>
    <w:rsid w:val="0068143E"/>
    <w:rsid w:val="00681FF9"/>
    <w:rsid w:val="0068507D"/>
    <w:rsid w:val="00687461"/>
    <w:rsid w:val="00691AF2"/>
    <w:rsid w:val="00692B80"/>
    <w:rsid w:val="00692CCD"/>
    <w:rsid w:val="00692D51"/>
    <w:rsid w:val="00694DD7"/>
    <w:rsid w:val="006951D4"/>
    <w:rsid w:val="00695482"/>
    <w:rsid w:val="0069636B"/>
    <w:rsid w:val="00697106"/>
    <w:rsid w:val="00697D4F"/>
    <w:rsid w:val="006A1762"/>
    <w:rsid w:val="006A19CE"/>
    <w:rsid w:val="006A1F0B"/>
    <w:rsid w:val="006A277A"/>
    <w:rsid w:val="006A49A0"/>
    <w:rsid w:val="006A5973"/>
    <w:rsid w:val="006B04F3"/>
    <w:rsid w:val="006B2631"/>
    <w:rsid w:val="006B31F1"/>
    <w:rsid w:val="006B6529"/>
    <w:rsid w:val="006B7126"/>
    <w:rsid w:val="006C6B86"/>
    <w:rsid w:val="006C7636"/>
    <w:rsid w:val="006D0189"/>
    <w:rsid w:val="006D17E3"/>
    <w:rsid w:val="006D4553"/>
    <w:rsid w:val="006D4A35"/>
    <w:rsid w:val="006D4D09"/>
    <w:rsid w:val="006D5252"/>
    <w:rsid w:val="006D6B44"/>
    <w:rsid w:val="006E0F71"/>
    <w:rsid w:val="006E27FE"/>
    <w:rsid w:val="006E2EC7"/>
    <w:rsid w:val="006F01EA"/>
    <w:rsid w:val="006F2B31"/>
    <w:rsid w:val="00701110"/>
    <w:rsid w:val="007015FA"/>
    <w:rsid w:val="0070267C"/>
    <w:rsid w:val="00702E91"/>
    <w:rsid w:val="0070330F"/>
    <w:rsid w:val="00703624"/>
    <w:rsid w:val="00703D08"/>
    <w:rsid w:val="007046ED"/>
    <w:rsid w:val="0070541F"/>
    <w:rsid w:val="007072A1"/>
    <w:rsid w:val="0071060C"/>
    <w:rsid w:val="00710BC5"/>
    <w:rsid w:val="00711D00"/>
    <w:rsid w:val="007121CA"/>
    <w:rsid w:val="0071779B"/>
    <w:rsid w:val="00717BCD"/>
    <w:rsid w:val="0072003B"/>
    <w:rsid w:val="00721059"/>
    <w:rsid w:val="007211E6"/>
    <w:rsid w:val="007220C4"/>
    <w:rsid w:val="0072584D"/>
    <w:rsid w:val="007300AC"/>
    <w:rsid w:val="007305ED"/>
    <w:rsid w:val="007311B9"/>
    <w:rsid w:val="00732361"/>
    <w:rsid w:val="007357B9"/>
    <w:rsid w:val="00741AB9"/>
    <w:rsid w:val="00742D03"/>
    <w:rsid w:val="00744216"/>
    <w:rsid w:val="007452E8"/>
    <w:rsid w:val="00746990"/>
    <w:rsid w:val="00747093"/>
    <w:rsid w:val="00750D70"/>
    <w:rsid w:val="0075673C"/>
    <w:rsid w:val="0075701C"/>
    <w:rsid w:val="007575D0"/>
    <w:rsid w:val="007662E0"/>
    <w:rsid w:val="00776E9C"/>
    <w:rsid w:val="007816D8"/>
    <w:rsid w:val="00784150"/>
    <w:rsid w:val="007876E9"/>
    <w:rsid w:val="00793272"/>
    <w:rsid w:val="0079499A"/>
    <w:rsid w:val="00794B64"/>
    <w:rsid w:val="007960D4"/>
    <w:rsid w:val="007967C3"/>
    <w:rsid w:val="007A0A33"/>
    <w:rsid w:val="007B04DE"/>
    <w:rsid w:val="007B0AE6"/>
    <w:rsid w:val="007C0F0B"/>
    <w:rsid w:val="007C57BC"/>
    <w:rsid w:val="007C6D17"/>
    <w:rsid w:val="007D04CA"/>
    <w:rsid w:val="007D0A2B"/>
    <w:rsid w:val="007D12A1"/>
    <w:rsid w:val="007D40E5"/>
    <w:rsid w:val="007D4138"/>
    <w:rsid w:val="007D6556"/>
    <w:rsid w:val="007D6F65"/>
    <w:rsid w:val="007E1852"/>
    <w:rsid w:val="007E2D64"/>
    <w:rsid w:val="007E4178"/>
    <w:rsid w:val="007E6443"/>
    <w:rsid w:val="007F0A77"/>
    <w:rsid w:val="007F1E37"/>
    <w:rsid w:val="007F2BCA"/>
    <w:rsid w:val="007F3E76"/>
    <w:rsid w:val="007F50D3"/>
    <w:rsid w:val="007F6B1F"/>
    <w:rsid w:val="007F73BD"/>
    <w:rsid w:val="008013F0"/>
    <w:rsid w:val="008036B3"/>
    <w:rsid w:val="008038EF"/>
    <w:rsid w:val="00803926"/>
    <w:rsid w:val="00804897"/>
    <w:rsid w:val="00805659"/>
    <w:rsid w:val="00807E19"/>
    <w:rsid w:val="00812821"/>
    <w:rsid w:val="00815500"/>
    <w:rsid w:val="0081634B"/>
    <w:rsid w:val="0082012A"/>
    <w:rsid w:val="008329DB"/>
    <w:rsid w:val="0083564E"/>
    <w:rsid w:val="008361C5"/>
    <w:rsid w:val="0083628F"/>
    <w:rsid w:val="00837AB9"/>
    <w:rsid w:val="00843701"/>
    <w:rsid w:val="00844002"/>
    <w:rsid w:val="00845486"/>
    <w:rsid w:val="00850637"/>
    <w:rsid w:val="00854D98"/>
    <w:rsid w:val="0085751E"/>
    <w:rsid w:val="0086033D"/>
    <w:rsid w:val="00860B29"/>
    <w:rsid w:val="008622E8"/>
    <w:rsid w:val="008645EE"/>
    <w:rsid w:val="00870144"/>
    <w:rsid w:val="0087072C"/>
    <w:rsid w:val="00871312"/>
    <w:rsid w:val="00871B7F"/>
    <w:rsid w:val="00873D7A"/>
    <w:rsid w:val="00877813"/>
    <w:rsid w:val="00877CB3"/>
    <w:rsid w:val="00877FDE"/>
    <w:rsid w:val="008804CF"/>
    <w:rsid w:val="00882D58"/>
    <w:rsid w:val="00882F19"/>
    <w:rsid w:val="00883D35"/>
    <w:rsid w:val="00884569"/>
    <w:rsid w:val="00885095"/>
    <w:rsid w:val="00887A51"/>
    <w:rsid w:val="0089038A"/>
    <w:rsid w:val="008904ED"/>
    <w:rsid w:val="00890D9B"/>
    <w:rsid w:val="00891C6C"/>
    <w:rsid w:val="00891D6D"/>
    <w:rsid w:val="00893CCD"/>
    <w:rsid w:val="008964B3"/>
    <w:rsid w:val="00897466"/>
    <w:rsid w:val="008A1ACD"/>
    <w:rsid w:val="008A2BD7"/>
    <w:rsid w:val="008B1CB5"/>
    <w:rsid w:val="008C23C8"/>
    <w:rsid w:val="008C2B29"/>
    <w:rsid w:val="008C2D69"/>
    <w:rsid w:val="008C40ED"/>
    <w:rsid w:val="008C49C6"/>
    <w:rsid w:val="008C754C"/>
    <w:rsid w:val="008D3A14"/>
    <w:rsid w:val="008D41C3"/>
    <w:rsid w:val="008D56C9"/>
    <w:rsid w:val="008D56CA"/>
    <w:rsid w:val="008D6A54"/>
    <w:rsid w:val="008E2585"/>
    <w:rsid w:val="008E2D7A"/>
    <w:rsid w:val="008E32E3"/>
    <w:rsid w:val="008F3215"/>
    <w:rsid w:val="008F368B"/>
    <w:rsid w:val="008F36F6"/>
    <w:rsid w:val="008F4A62"/>
    <w:rsid w:val="008F6EA0"/>
    <w:rsid w:val="008F7256"/>
    <w:rsid w:val="008F73CB"/>
    <w:rsid w:val="0090058A"/>
    <w:rsid w:val="00901C7A"/>
    <w:rsid w:val="0090424C"/>
    <w:rsid w:val="0090605E"/>
    <w:rsid w:val="00906C74"/>
    <w:rsid w:val="0090716E"/>
    <w:rsid w:val="00907706"/>
    <w:rsid w:val="009108CE"/>
    <w:rsid w:val="00910E76"/>
    <w:rsid w:val="00911679"/>
    <w:rsid w:val="00912867"/>
    <w:rsid w:val="00912B09"/>
    <w:rsid w:val="00912E6F"/>
    <w:rsid w:val="00915A9F"/>
    <w:rsid w:val="00915BA4"/>
    <w:rsid w:val="00927BC0"/>
    <w:rsid w:val="00930D58"/>
    <w:rsid w:val="0093274F"/>
    <w:rsid w:val="00935AAA"/>
    <w:rsid w:val="009461FF"/>
    <w:rsid w:val="0094635B"/>
    <w:rsid w:val="0095031E"/>
    <w:rsid w:val="0095401C"/>
    <w:rsid w:val="00954297"/>
    <w:rsid w:val="009553F9"/>
    <w:rsid w:val="00960A56"/>
    <w:rsid w:val="00960C8B"/>
    <w:rsid w:val="00963C75"/>
    <w:rsid w:val="0096539C"/>
    <w:rsid w:val="0096557F"/>
    <w:rsid w:val="00966EF1"/>
    <w:rsid w:val="00967223"/>
    <w:rsid w:val="009730EC"/>
    <w:rsid w:val="009751F7"/>
    <w:rsid w:val="009765A8"/>
    <w:rsid w:val="00980A85"/>
    <w:rsid w:val="009814B8"/>
    <w:rsid w:val="0098168B"/>
    <w:rsid w:val="0098350E"/>
    <w:rsid w:val="00986A14"/>
    <w:rsid w:val="00990C12"/>
    <w:rsid w:val="0099275D"/>
    <w:rsid w:val="0099404F"/>
    <w:rsid w:val="00995885"/>
    <w:rsid w:val="00996FA5"/>
    <w:rsid w:val="009A4458"/>
    <w:rsid w:val="009A4BD1"/>
    <w:rsid w:val="009A4FA2"/>
    <w:rsid w:val="009B1BAE"/>
    <w:rsid w:val="009B5662"/>
    <w:rsid w:val="009B58DE"/>
    <w:rsid w:val="009C2211"/>
    <w:rsid w:val="009C40E8"/>
    <w:rsid w:val="009C45C5"/>
    <w:rsid w:val="009C7130"/>
    <w:rsid w:val="009D04BA"/>
    <w:rsid w:val="009D2ED8"/>
    <w:rsid w:val="009D69C3"/>
    <w:rsid w:val="009E077B"/>
    <w:rsid w:val="009E137A"/>
    <w:rsid w:val="009E1B0E"/>
    <w:rsid w:val="009E314C"/>
    <w:rsid w:val="009E4358"/>
    <w:rsid w:val="009E6858"/>
    <w:rsid w:val="009E6F8C"/>
    <w:rsid w:val="009E79FA"/>
    <w:rsid w:val="009F405F"/>
    <w:rsid w:val="009F5F22"/>
    <w:rsid w:val="009F78EC"/>
    <w:rsid w:val="00A01C56"/>
    <w:rsid w:val="00A044C1"/>
    <w:rsid w:val="00A11EE7"/>
    <w:rsid w:val="00A23A41"/>
    <w:rsid w:val="00A24420"/>
    <w:rsid w:val="00A24892"/>
    <w:rsid w:val="00A31B6D"/>
    <w:rsid w:val="00A32C50"/>
    <w:rsid w:val="00A358E7"/>
    <w:rsid w:val="00A3623A"/>
    <w:rsid w:val="00A408B6"/>
    <w:rsid w:val="00A4380B"/>
    <w:rsid w:val="00A51A2D"/>
    <w:rsid w:val="00A5596B"/>
    <w:rsid w:val="00A56F1F"/>
    <w:rsid w:val="00A63C07"/>
    <w:rsid w:val="00A63D9B"/>
    <w:rsid w:val="00A6637E"/>
    <w:rsid w:val="00A7018D"/>
    <w:rsid w:val="00A704DC"/>
    <w:rsid w:val="00A70B59"/>
    <w:rsid w:val="00A8045B"/>
    <w:rsid w:val="00A82DB0"/>
    <w:rsid w:val="00A836F7"/>
    <w:rsid w:val="00A93DC6"/>
    <w:rsid w:val="00A9411A"/>
    <w:rsid w:val="00AA2626"/>
    <w:rsid w:val="00AA4A4B"/>
    <w:rsid w:val="00AA6682"/>
    <w:rsid w:val="00AB0613"/>
    <w:rsid w:val="00AB59BB"/>
    <w:rsid w:val="00AB61C4"/>
    <w:rsid w:val="00AB7C5C"/>
    <w:rsid w:val="00AB7CBF"/>
    <w:rsid w:val="00AC17ED"/>
    <w:rsid w:val="00AC5AE7"/>
    <w:rsid w:val="00AD0111"/>
    <w:rsid w:val="00AD0B68"/>
    <w:rsid w:val="00AD40C3"/>
    <w:rsid w:val="00AD4C72"/>
    <w:rsid w:val="00AD5451"/>
    <w:rsid w:val="00AE1947"/>
    <w:rsid w:val="00AE625E"/>
    <w:rsid w:val="00AE6664"/>
    <w:rsid w:val="00AF1C8B"/>
    <w:rsid w:val="00AF299B"/>
    <w:rsid w:val="00AF4E8C"/>
    <w:rsid w:val="00AF7E43"/>
    <w:rsid w:val="00B02AE0"/>
    <w:rsid w:val="00B0351B"/>
    <w:rsid w:val="00B03F25"/>
    <w:rsid w:val="00B05326"/>
    <w:rsid w:val="00B10BB7"/>
    <w:rsid w:val="00B1126B"/>
    <w:rsid w:val="00B125BA"/>
    <w:rsid w:val="00B14545"/>
    <w:rsid w:val="00B14E60"/>
    <w:rsid w:val="00B17BA2"/>
    <w:rsid w:val="00B26DC3"/>
    <w:rsid w:val="00B27185"/>
    <w:rsid w:val="00B30B9D"/>
    <w:rsid w:val="00B41F3F"/>
    <w:rsid w:val="00B42F28"/>
    <w:rsid w:val="00B4574D"/>
    <w:rsid w:val="00B45EBE"/>
    <w:rsid w:val="00B468E1"/>
    <w:rsid w:val="00B46BC0"/>
    <w:rsid w:val="00B46DFB"/>
    <w:rsid w:val="00B47975"/>
    <w:rsid w:val="00B50E46"/>
    <w:rsid w:val="00B5141B"/>
    <w:rsid w:val="00B55681"/>
    <w:rsid w:val="00B57AAD"/>
    <w:rsid w:val="00B6374E"/>
    <w:rsid w:val="00B716D2"/>
    <w:rsid w:val="00B72B16"/>
    <w:rsid w:val="00B80408"/>
    <w:rsid w:val="00B81397"/>
    <w:rsid w:val="00B87CE3"/>
    <w:rsid w:val="00B925DB"/>
    <w:rsid w:val="00B9516E"/>
    <w:rsid w:val="00B967FF"/>
    <w:rsid w:val="00B974B9"/>
    <w:rsid w:val="00BA3F6D"/>
    <w:rsid w:val="00BA4BE6"/>
    <w:rsid w:val="00BA4FC0"/>
    <w:rsid w:val="00BA61E0"/>
    <w:rsid w:val="00BA657C"/>
    <w:rsid w:val="00BA6744"/>
    <w:rsid w:val="00BA7544"/>
    <w:rsid w:val="00BA7F7D"/>
    <w:rsid w:val="00BB00ED"/>
    <w:rsid w:val="00BB1C14"/>
    <w:rsid w:val="00BB1F48"/>
    <w:rsid w:val="00BB6847"/>
    <w:rsid w:val="00BB7F8F"/>
    <w:rsid w:val="00BC2ED7"/>
    <w:rsid w:val="00BC716A"/>
    <w:rsid w:val="00BD07DF"/>
    <w:rsid w:val="00BD26F4"/>
    <w:rsid w:val="00BD5DBD"/>
    <w:rsid w:val="00BD5DF6"/>
    <w:rsid w:val="00BD6A10"/>
    <w:rsid w:val="00BE0041"/>
    <w:rsid w:val="00BE42E3"/>
    <w:rsid w:val="00BE640F"/>
    <w:rsid w:val="00BE6D2A"/>
    <w:rsid w:val="00BF4638"/>
    <w:rsid w:val="00BF5042"/>
    <w:rsid w:val="00BF5130"/>
    <w:rsid w:val="00C00844"/>
    <w:rsid w:val="00C059D0"/>
    <w:rsid w:val="00C07551"/>
    <w:rsid w:val="00C1109F"/>
    <w:rsid w:val="00C12D65"/>
    <w:rsid w:val="00C1305A"/>
    <w:rsid w:val="00C133AB"/>
    <w:rsid w:val="00C14D92"/>
    <w:rsid w:val="00C20B56"/>
    <w:rsid w:val="00C22214"/>
    <w:rsid w:val="00C23723"/>
    <w:rsid w:val="00C26F72"/>
    <w:rsid w:val="00C309A7"/>
    <w:rsid w:val="00C335AB"/>
    <w:rsid w:val="00C35864"/>
    <w:rsid w:val="00C3587D"/>
    <w:rsid w:val="00C40053"/>
    <w:rsid w:val="00C407AB"/>
    <w:rsid w:val="00C4144B"/>
    <w:rsid w:val="00C44434"/>
    <w:rsid w:val="00C46D50"/>
    <w:rsid w:val="00C50987"/>
    <w:rsid w:val="00C51105"/>
    <w:rsid w:val="00C51BA3"/>
    <w:rsid w:val="00C52B7B"/>
    <w:rsid w:val="00C53366"/>
    <w:rsid w:val="00C547CD"/>
    <w:rsid w:val="00C55DD6"/>
    <w:rsid w:val="00C56003"/>
    <w:rsid w:val="00C5614C"/>
    <w:rsid w:val="00C570FF"/>
    <w:rsid w:val="00C57CEA"/>
    <w:rsid w:val="00C60FEC"/>
    <w:rsid w:val="00C62B1C"/>
    <w:rsid w:val="00C632ED"/>
    <w:rsid w:val="00C6574E"/>
    <w:rsid w:val="00C663D1"/>
    <w:rsid w:val="00C707FD"/>
    <w:rsid w:val="00C70F4F"/>
    <w:rsid w:val="00C76DEB"/>
    <w:rsid w:val="00C811D8"/>
    <w:rsid w:val="00C816C6"/>
    <w:rsid w:val="00C863A7"/>
    <w:rsid w:val="00C912F4"/>
    <w:rsid w:val="00C9156F"/>
    <w:rsid w:val="00C9581A"/>
    <w:rsid w:val="00C97C87"/>
    <w:rsid w:val="00C97D29"/>
    <w:rsid w:val="00CA395B"/>
    <w:rsid w:val="00CA5537"/>
    <w:rsid w:val="00CA6C71"/>
    <w:rsid w:val="00CB0550"/>
    <w:rsid w:val="00CB1B0D"/>
    <w:rsid w:val="00CB4848"/>
    <w:rsid w:val="00CB6813"/>
    <w:rsid w:val="00CC5344"/>
    <w:rsid w:val="00CD3CAA"/>
    <w:rsid w:val="00CD65A6"/>
    <w:rsid w:val="00CE06AC"/>
    <w:rsid w:val="00CE2DFC"/>
    <w:rsid w:val="00CE3CAB"/>
    <w:rsid w:val="00CF0DCF"/>
    <w:rsid w:val="00CF5E6C"/>
    <w:rsid w:val="00CF6A55"/>
    <w:rsid w:val="00CF6DC6"/>
    <w:rsid w:val="00CF6DCF"/>
    <w:rsid w:val="00D01DDB"/>
    <w:rsid w:val="00D06FC9"/>
    <w:rsid w:val="00D078BE"/>
    <w:rsid w:val="00D11525"/>
    <w:rsid w:val="00D12CB4"/>
    <w:rsid w:val="00D12DDC"/>
    <w:rsid w:val="00D13F8A"/>
    <w:rsid w:val="00D16F60"/>
    <w:rsid w:val="00D17028"/>
    <w:rsid w:val="00D20D0A"/>
    <w:rsid w:val="00D22981"/>
    <w:rsid w:val="00D30839"/>
    <w:rsid w:val="00D3349B"/>
    <w:rsid w:val="00D34D25"/>
    <w:rsid w:val="00D36728"/>
    <w:rsid w:val="00D37FAF"/>
    <w:rsid w:val="00D424A8"/>
    <w:rsid w:val="00D44C2E"/>
    <w:rsid w:val="00D46C11"/>
    <w:rsid w:val="00D51B28"/>
    <w:rsid w:val="00D551EF"/>
    <w:rsid w:val="00D6036F"/>
    <w:rsid w:val="00D616FE"/>
    <w:rsid w:val="00D62877"/>
    <w:rsid w:val="00D63760"/>
    <w:rsid w:val="00D65A01"/>
    <w:rsid w:val="00D66816"/>
    <w:rsid w:val="00D6703F"/>
    <w:rsid w:val="00D71F73"/>
    <w:rsid w:val="00D72229"/>
    <w:rsid w:val="00D734EB"/>
    <w:rsid w:val="00D82713"/>
    <w:rsid w:val="00D85209"/>
    <w:rsid w:val="00D86F00"/>
    <w:rsid w:val="00D918D5"/>
    <w:rsid w:val="00D94C8E"/>
    <w:rsid w:val="00D973E1"/>
    <w:rsid w:val="00DA3DF7"/>
    <w:rsid w:val="00DA43F9"/>
    <w:rsid w:val="00DA78FD"/>
    <w:rsid w:val="00DB1372"/>
    <w:rsid w:val="00DB192C"/>
    <w:rsid w:val="00DB1AC4"/>
    <w:rsid w:val="00DB1CF3"/>
    <w:rsid w:val="00DB1FAA"/>
    <w:rsid w:val="00DB5425"/>
    <w:rsid w:val="00DB72A6"/>
    <w:rsid w:val="00DC20B8"/>
    <w:rsid w:val="00DC21F0"/>
    <w:rsid w:val="00DC2B73"/>
    <w:rsid w:val="00DC33AF"/>
    <w:rsid w:val="00DC6611"/>
    <w:rsid w:val="00DC7E61"/>
    <w:rsid w:val="00DD3F1A"/>
    <w:rsid w:val="00DD5AFB"/>
    <w:rsid w:val="00DE1344"/>
    <w:rsid w:val="00DE4F8C"/>
    <w:rsid w:val="00DF0A87"/>
    <w:rsid w:val="00DF1CFD"/>
    <w:rsid w:val="00DF2AE1"/>
    <w:rsid w:val="00DF2D5A"/>
    <w:rsid w:val="00DF3D48"/>
    <w:rsid w:val="00DF4BD0"/>
    <w:rsid w:val="00DF5658"/>
    <w:rsid w:val="00DF59D3"/>
    <w:rsid w:val="00DF5BFE"/>
    <w:rsid w:val="00DF5E75"/>
    <w:rsid w:val="00E010D7"/>
    <w:rsid w:val="00E01564"/>
    <w:rsid w:val="00E02898"/>
    <w:rsid w:val="00E0430E"/>
    <w:rsid w:val="00E0523F"/>
    <w:rsid w:val="00E059C2"/>
    <w:rsid w:val="00E1154E"/>
    <w:rsid w:val="00E2083F"/>
    <w:rsid w:val="00E23E50"/>
    <w:rsid w:val="00E24ABB"/>
    <w:rsid w:val="00E26213"/>
    <w:rsid w:val="00E274DF"/>
    <w:rsid w:val="00E30D63"/>
    <w:rsid w:val="00E34D66"/>
    <w:rsid w:val="00E359FB"/>
    <w:rsid w:val="00E362C4"/>
    <w:rsid w:val="00E46857"/>
    <w:rsid w:val="00E46CC2"/>
    <w:rsid w:val="00E47E0C"/>
    <w:rsid w:val="00E47F0B"/>
    <w:rsid w:val="00E51813"/>
    <w:rsid w:val="00E52C0B"/>
    <w:rsid w:val="00E53D3F"/>
    <w:rsid w:val="00E5579B"/>
    <w:rsid w:val="00E57FF4"/>
    <w:rsid w:val="00E62434"/>
    <w:rsid w:val="00E6682F"/>
    <w:rsid w:val="00E679D1"/>
    <w:rsid w:val="00E67C1C"/>
    <w:rsid w:val="00E761DF"/>
    <w:rsid w:val="00E766B4"/>
    <w:rsid w:val="00E91F11"/>
    <w:rsid w:val="00E956C9"/>
    <w:rsid w:val="00E9706D"/>
    <w:rsid w:val="00E974AA"/>
    <w:rsid w:val="00EA3AF4"/>
    <w:rsid w:val="00EA5958"/>
    <w:rsid w:val="00EB5FDF"/>
    <w:rsid w:val="00EC0A61"/>
    <w:rsid w:val="00EC1FB7"/>
    <w:rsid w:val="00EC23A4"/>
    <w:rsid w:val="00ED2DC0"/>
    <w:rsid w:val="00ED5564"/>
    <w:rsid w:val="00EE3196"/>
    <w:rsid w:val="00EE438B"/>
    <w:rsid w:val="00EE4B01"/>
    <w:rsid w:val="00EF3F0B"/>
    <w:rsid w:val="00EF5583"/>
    <w:rsid w:val="00EF599E"/>
    <w:rsid w:val="00F0289D"/>
    <w:rsid w:val="00F02AEC"/>
    <w:rsid w:val="00F035EC"/>
    <w:rsid w:val="00F07572"/>
    <w:rsid w:val="00F157FC"/>
    <w:rsid w:val="00F178F4"/>
    <w:rsid w:val="00F224A8"/>
    <w:rsid w:val="00F26534"/>
    <w:rsid w:val="00F30AF3"/>
    <w:rsid w:val="00F32C18"/>
    <w:rsid w:val="00F36650"/>
    <w:rsid w:val="00F43CD1"/>
    <w:rsid w:val="00F45AE0"/>
    <w:rsid w:val="00F469E0"/>
    <w:rsid w:val="00F60CF2"/>
    <w:rsid w:val="00F62B38"/>
    <w:rsid w:val="00F62C47"/>
    <w:rsid w:val="00F657B4"/>
    <w:rsid w:val="00F72725"/>
    <w:rsid w:val="00F73BBE"/>
    <w:rsid w:val="00F7649F"/>
    <w:rsid w:val="00F8083B"/>
    <w:rsid w:val="00F82D1B"/>
    <w:rsid w:val="00F8568E"/>
    <w:rsid w:val="00F865A7"/>
    <w:rsid w:val="00F94743"/>
    <w:rsid w:val="00FA0754"/>
    <w:rsid w:val="00FA1BC9"/>
    <w:rsid w:val="00FA1D03"/>
    <w:rsid w:val="00FA3F5B"/>
    <w:rsid w:val="00FA49C3"/>
    <w:rsid w:val="00FB236E"/>
    <w:rsid w:val="00FB3F7B"/>
    <w:rsid w:val="00FB4C2A"/>
    <w:rsid w:val="00FC2107"/>
    <w:rsid w:val="00FC400F"/>
    <w:rsid w:val="00FC48FE"/>
    <w:rsid w:val="00FC4CBA"/>
    <w:rsid w:val="00FC6F56"/>
    <w:rsid w:val="00FC70C5"/>
    <w:rsid w:val="00FD0A2A"/>
    <w:rsid w:val="00FD2E15"/>
    <w:rsid w:val="00FE087C"/>
    <w:rsid w:val="00FE79A0"/>
    <w:rsid w:val="00FF0939"/>
    <w:rsid w:val="00FF631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8">
    <w:name w:val="heading 8"/>
    <w:basedOn w:val="Normal"/>
    <w:next w:val="Normal"/>
    <w:link w:val="Heading8Char"/>
    <w:uiPriority w:val="9"/>
    <w:semiHidden/>
    <w:unhideWhenUsed/>
    <w:qFormat/>
    <w:rsid w:val="009D04B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Default">
    <w:name w:val="Default"/>
    <w:rsid w:val="002B73CD"/>
    <w:pPr>
      <w:autoSpaceDE w:val="0"/>
      <w:autoSpaceDN w:val="0"/>
      <w:adjustRightInd w:val="0"/>
      <w:spacing w:after="0" w:line="240" w:lineRule="auto"/>
    </w:pPr>
    <w:rPr>
      <w:rFonts w:ascii="Cambria" w:hAnsi="Cambria" w:cs="Cambria"/>
      <w:color w:val="000000"/>
      <w:sz w:val="24"/>
      <w:szCs w:val="24"/>
    </w:rPr>
  </w:style>
  <w:style w:type="character" w:customStyle="1" w:styleId="Heading8Char">
    <w:name w:val="Heading 8 Char"/>
    <w:basedOn w:val="DefaultParagraphFont"/>
    <w:link w:val="Heading8"/>
    <w:uiPriority w:val="9"/>
    <w:semiHidden/>
    <w:rsid w:val="009D04BA"/>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82036820">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425373490">
      <w:bodyDiv w:val="1"/>
      <w:marLeft w:val="0"/>
      <w:marRight w:val="0"/>
      <w:marTop w:val="0"/>
      <w:marBottom w:val="0"/>
      <w:divBdr>
        <w:top w:val="none" w:sz="0" w:space="0" w:color="auto"/>
        <w:left w:val="none" w:sz="0" w:space="0" w:color="auto"/>
        <w:bottom w:val="none" w:sz="0" w:space="0" w:color="auto"/>
        <w:right w:val="none" w:sz="0" w:space="0" w:color="auto"/>
      </w:divBdr>
      <w:divsChild>
        <w:div w:id="671681946">
          <w:marLeft w:val="0"/>
          <w:marRight w:val="0"/>
          <w:marTop w:val="0"/>
          <w:marBottom w:val="0"/>
          <w:divBdr>
            <w:top w:val="none" w:sz="0" w:space="0" w:color="auto"/>
            <w:left w:val="none" w:sz="0" w:space="0" w:color="auto"/>
            <w:bottom w:val="none" w:sz="0" w:space="0" w:color="auto"/>
            <w:right w:val="none" w:sz="0" w:space="0" w:color="auto"/>
          </w:divBdr>
        </w:div>
      </w:divsChild>
    </w:div>
    <w:div w:id="2115396387">
      <w:bodyDiv w:val="1"/>
      <w:marLeft w:val="0"/>
      <w:marRight w:val="0"/>
      <w:marTop w:val="0"/>
      <w:marBottom w:val="0"/>
      <w:divBdr>
        <w:top w:val="none" w:sz="0" w:space="0" w:color="auto"/>
        <w:left w:val="none" w:sz="0" w:space="0" w:color="auto"/>
        <w:bottom w:val="none" w:sz="0" w:space="0" w:color="auto"/>
        <w:right w:val="none" w:sz="0" w:space="0" w:color="auto"/>
      </w:divBdr>
      <w:divsChild>
        <w:div w:id="18174073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how-we-regulate/supply-therapeutic-good-0/supply-prescription-medicine/application-process/prescription-medicines-registration-process" TargetMode="External"/><Relationship Id="rId26" Type="http://schemas.openxmlformats.org/officeDocument/2006/relationships/image" Target="media/image11.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hyperlink" Target="https://www.tga.gov.au/obstetric-drug-information-services" TargetMode="External"/><Relationship Id="rId25" Type="http://schemas.openxmlformats.org/officeDocument/2006/relationships/image" Target="media/image10.png"/><Relationship Id="rId33" Type="http://schemas.openxmlformats.org/officeDocument/2006/relationships/hyperlink" Target="https://www.ebs.tga.gov.au/" TargetMode="Externa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tga.gov.au/products/medicines/find-information-about-medicine/prescribing-medicines-pregnancy-database" TargetMode="External"/><Relationship Id="rId20" Type="http://schemas.openxmlformats.org/officeDocument/2006/relationships/image" Target="media/image5.png"/><Relationship Id="rId29" Type="http://schemas.openxmlformats.org/officeDocument/2006/relationships/hyperlink" Target="https://www.tga.gov.au/publication/risk-management-plans-medicines-and-biological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yperlink" Target="https://www.tga.gov.au/resources/resource/guidance/risk-management-plans-medicines-and-biologicals/australia-specific-annex-eu-rmp" TargetMode="External"/><Relationship Id="rId37" Type="http://schemas.openxmlformats.org/officeDocument/2006/relationships/hyperlink" Target="https://www.tga.gov.au"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mailto:info@tga.gov.au" TargetMode="Externa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yperlink" Target="https://www.tga.gov.au/resources/resource/guidance/risk-management-plans-medicines-and-biologicals/australia-specific-annex-eu-rmp"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tga.gov.au/tgas-risk-management-approach" TargetMode="External"/><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doi.org/10.1093/jamia/ocaa233" TargetMode="External"/><Relationship Id="rId13" Type="http://schemas.openxmlformats.org/officeDocument/2006/relationships/hyperlink" Target="https://doi.org/10.1016/S0140-6736(73)93211-X" TargetMode="External"/><Relationship Id="rId3" Type="http://schemas.openxmlformats.org/officeDocument/2006/relationships/hyperlink" Target="https://doi.org/10.1128/AAC.41.12.2670" TargetMode="External"/><Relationship Id="rId7" Type="http://schemas.openxmlformats.org/officeDocument/2006/relationships/hyperlink" Target="https://doi.org/10.1097/INF.0000000000001069" TargetMode="External"/><Relationship Id="rId12" Type="http://schemas.openxmlformats.org/officeDocument/2006/relationships/hyperlink" Target="https://doi.org/10.1007/BF00558302" TargetMode="External"/><Relationship Id="rId2" Type="http://schemas.openxmlformats.org/officeDocument/2006/relationships/hyperlink" Target="https://doi.org/10.1128/aac.00487-20" TargetMode="External"/><Relationship Id="rId1" Type="http://schemas.openxmlformats.org/officeDocument/2006/relationships/hyperlink" Target="https://www.health.vic.gov.au/sites/default/files/migrated/files/collections/policies-and-guidelines/t/tb-guidelines-2015.pdf" TargetMode="External"/><Relationship Id="rId6" Type="http://schemas.openxmlformats.org/officeDocument/2006/relationships/hyperlink" Target="https://doi.org/10.1093/jac/dku478" TargetMode="External"/><Relationship Id="rId11" Type="http://schemas.openxmlformats.org/officeDocument/2006/relationships/hyperlink" Target="https://eprints.nirt.res.in/569/1/200221.pdf" TargetMode="External"/><Relationship Id="rId5" Type="http://schemas.openxmlformats.org/officeDocument/2006/relationships/hyperlink" Target="https://doi.org/10.1128/aac.50.2.407-413.2006" TargetMode="External"/><Relationship Id="rId15" Type="http://schemas.openxmlformats.org/officeDocument/2006/relationships/hyperlink" Target="https://iris.who.int/bitstream/handle/10665/353829/9789240048126-eng.pdf?sequence=1" TargetMode="External"/><Relationship Id="rId10" Type="http://schemas.openxmlformats.org/officeDocument/2006/relationships/hyperlink" Target="https://doi.org/10.1371/journal.pone.0187624" TargetMode="External"/><Relationship Id="rId4" Type="http://schemas.openxmlformats.org/officeDocument/2006/relationships/hyperlink" Target="https://doi.org/10.1007/s12098-019-02911-w" TargetMode="External"/><Relationship Id="rId9" Type="http://schemas.openxmlformats.org/officeDocument/2006/relationships/hyperlink" Target="https://doi.org/10.1128/aac.01383-18" TargetMode="External"/><Relationship Id="rId14" Type="http://schemas.openxmlformats.org/officeDocument/2006/relationships/hyperlink" Target="https://www.health.gov.au/sites/default/files/documents/2022/06/tuberculosis-cdna-national-guidelines-for-public-health-units.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Pages>
  <Words>7088</Words>
  <Characters>38421</Characters>
  <Application>Microsoft Office Word</Application>
  <DocSecurity>0</DocSecurity>
  <Lines>1130</Lines>
  <Paragraphs>700</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Disability and Ageing</Company>
  <LinksUpToDate>false</LinksUpToDate>
  <CharactersWithSpaces>44809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Pyrazinamide AFT</dc:title>
  <dc:subject>Prescription medicines</dc:subject>
  <dc:creator>Therapeutic Goods Administration</dc:creator>
  <cp:keywords/>
  <dc:description/>
  <cp:lastModifiedBy>LACK, Janet</cp:lastModifiedBy>
  <cp:revision>3</cp:revision>
  <dcterms:created xsi:type="dcterms:W3CDTF">2025-08-18T04:02:00Z</dcterms:created>
  <dcterms:modified xsi:type="dcterms:W3CDTF">2025-08-18T04:07:00Z</dcterms:modified>
</cp:coreProperties>
</file>