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F344" w14:textId="5526EFA8" w:rsidR="00050D29" w:rsidRPr="00050D29" w:rsidRDefault="00050D29" w:rsidP="00050D29">
      <w:pPr>
        <w:spacing w:after="240"/>
        <w:jc w:val="center"/>
        <w:rPr>
          <w:sz w:val="22"/>
        </w:rPr>
      </w:pPr>
      <w:r w:rsidRPr="00050D29">
        <w:rPr>
          <w:noProof/>
          <w:sz w:val="16"/>
          <w:szCs w:val="16"/>
        </w:rPr>
        <w:drawing>
          <wp:inline distT="0" distB="0" distL="0" distR="0" wp14:anchorId="51C4D79F" wp14:editId="0790D591">
            <wp:extent cx="714375" cy="467995"/>
            <wp:effectExtent l="0" t="0" r="9525" b="8255"/>
            <wp:docPr id="1705839900" name="Graphic 170583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714375" cy="467995"/>
                    </a:xfrm>
                    <a:prstGeom prst="rect">
                      <a:avLst/>
                    </a:prstGeom>
                  </pic:spPr>
                </pic:pic>
              </a:graphicData>
            </a:graphic>
          </wp:inline>
        </w:drawing>
      </w:r>
    </w:p>
    <w:p w14:paraId="786F78CF" w14:textId="0205E6FC" w:rsidR="005E6EBD" w:rsidRPr="005E6EBD" w:rsidRDefault="005E6EBD" w:rsidP="00050D29">
      <w:pPr>
        <w:spacing w:after="240"/>
        <w:jc w:val="left"/>
      </w:pPr>
      <w:r w:rsidRPr="005E6EBD">
        <w:rPr>
          <w:sz w:val="44"/>
          <w:szCs w:val="42"/>
        </w:rPr>
        <w:t>▼</w:t>
      </w:r>
      <w:r>
        <w:t xml:space="preserve"> This medicinal product is subject to additional monitoring in Australia. This will allow quick identification of new safety information. Healthcare professionals are asked to report any suspected adverse events at www.tga.gov.au/reporting-problems.</w:t>
      </w:r>
    </w:p>
    <w:p w14:paraId="55E2AEF4" w14:textId="7BFB72C9" w:rsidR="009075E2" w:rsidRDefault="009075E2" w:rsidP="00050D29">
      <w:pPr>
        <w:jc w:val="center"/>
        <w:rPr>
          <w:rFonts w:cs="Times New Roman"/>
          <w:b/>
          <w:sz w:val="28"/>
          <w:szCs w:val="28"/>
        </w:rPr>
      </w:pPr>
      <w:r>
        <w:rPr>
          <w:rFonts w:cs="Times New Roman"/>
          <w:b/>
          <w:sz w:val="28"/>
          <w:szCs w:val="28"/>
        </w:rPr>
        <w:t>AUSTRALIAN PRODUCT INFORMATION</w:t>
      </w:r>
    </w:p>
    <w:p w14:paraId="1B96ABB0" w14:textId="5C3831F1" w:rsidR="0065424E" w:rsidRDefault="009C7E82" w:rsidP="00050D29">
      <w:pPr>
        <w:jc w:val="center"/>
        <w:rPr>
          <w:rFonts w:cs="Times New Roman"/>
          <w:b/>
          <w:sz w:val="28"/>
          <w:szCs w:val="28"/>
        </w:rPr>
      </w:pPr>
      <w:r>
        <w:rPr>
          <w:rFonts w:cs="Times New Roman"/>
          <w:b/>
          <w:sz w:val="28"/>
          <w:szCs w:val="28"/>
        </w:rPr>
        <w:t>PYRAZINAMIDE</w:t>
      </w:r>
      <w:r w:rsidR="007356F1">
        <w:rPr>
          <w:rFonts w:cs="Times New Roman"/>
          <w:b/>
          <w:sz w:val="28"/>
          <w:szCs w:val="28"/>
        </w:rPr>
        <w:t>–</w:t>
      </w:r>
      <w:r w:rsidR="001D1C92" w:rsidRPr="0065424E">
        <w:rPr>
          <w:rFonts w:cs="Times New Roman"/>
          <w:b/>
          <w:sz w:val="28"/>
          <w:szCs w:val="28"/>
        </w:rPr>
        <w:t>AFT</w:t>
      </w:r>
      <w:r w:rsidR="007356F1">
        <w:rPr>
          <w:rFonts w:cs="Times New Roman"/>
          <w:b/>
          <w:sz w:val="28"/>
          <w:szCs w:val="28"/>
        </w:rPr>
        <w:t xml:space="preserve"> </w:t>
      </w:r>
      <w:r w:rsidR="007356F1">
        <w:rPr>
          <w:rFonts w:cs="Times New Roman"/>
          <w:b/>
          <w:sz w:val="26"/>
          <w:szCs w:val="26"/>
        </w:rPr>
        <w:t>(</w:t>
      </w:r>
      <w:r>
        <w:rPr>
          <w:rFonts w:cs="Times New Roman"/>
          <w:b/>
          <w:sz w:val="26"/>
          <w:szCs w:val="26"/>
        </w:rPr>
        <w:t>pyrazinamide</w:t>
      </w:r>
      <w:r w:rsidR="004C3D03">
        <w:rPr>
          <w:rFonts w:cs="Times New Roman"/>
          <w:b/>
          <w:sz w:val="26"/>
          <w:szCs w:val="26"/>
        </w:rPr>
        <w:t>)</w:t>
      </w:r>
    </w:p>
    <w:p w14:paraId="64127C07" w14:textId="0522EE8F" w:rsidR="004105F9" w:rsidRPr="0065424E" w:rsidRDefault="009C7E82" w:rsidP="00050D29">
      <w:pPr>
        <w:jc w:val="left"/>
        <w:rPr>
          <w:rFonts w:cs="Times New Roman"/>
          <w:b/>
          <w:sz w:val="26"/>
          <w:szCs w:val="26"/>
        </w:rPr>
      </w:pPr>
      <w:r>
        <w:rPr>
          <w:rFonts w:cs="Times New Roman"/>
          <w:b/>
          <w:sz w:val="26"/>
          <w:szCs w:val="26"/>
        </w:rPr>
        <w:t>Tablet</w:t>
      </w:r>
    </w:p>
    <w:p w14:paraId="342D1753" w14:textId="77777777" w:rsidR="002E35BF" w:rsidRDefault="004105F9" w:rsidP="00050D29">
      <w:pPr>
        <w:pStyle w:val="Heading1"/>
        <w:jc w:val="left"/>
      </w:pPr>
      <w:r>
        <w:t>Name of the medicine</w:t>
      </w:r>
    </w:p>
    <w:p w14:paraId="40E48B84" w14:textId="37DE2251" w:rsidR="004105F9" w:rsidRDefault="009C7E82" w:rsidP="00050D29">
      <w:pPr>
        <w:jc w:val="left"/>
      </w:pPr>
      <w:r>
        <w:t>Pyrazinamide</w:t>
      </w:r>
    </w:p>
    <w:p w14:paraId="1AC921EB" w14:textId="77777777" w:rsidR="004105F9" w:rsidRDefault="004105F9" w:rsidP="00050D29">
      <w:pPr>
        <w:pStyle w:val="Heading1"/>
        <w:jc w:val="left"/>
      </w:pPr>
      <w:r>
        <w:t>Qualitative and quantitative composition</w:t>
      </w:r>
    </w:p>
    <w:p w14:paraId="2CC1EB19" w14:textId="77777777" w:rsidR="00041A13" w:rsidRDefault="004C3D03" w:rsidP="00050D29">
      <w:pPr>
        <w:jc w:val="left"/>
      </w:pPr>
      <w:r w:rsidRPr="004C3D03">
        <w:t xml:space="preserve">Each </w:t>
      </w:r>
      <w:r w:rsidR="009C7E82">
        <w:t>tablets contains</w:t>
      </w:r>
      <w:r w:rsidRPr="004C3D03">
        <w:t xml:space="preserve"> </w:t>
      </w:r>
      <w:r w:rsidR="009C7E82">
        <w:t>5</w:t>
      </w:r>
      <w:r w:rsidRPr="004C3D03">
        <w:t xml:space="preserve">00 mg </w:t>
      </w:r>
      <w:r w:rsidR="009C7E82">
        <w:t>pyrazinamide</w:t>
      </w:r>
      <w:r w:rsidRPr="004C3D03">
        <w:t>.</w:t>
      </w:r>
      <w:r w:rsidR="00041A13">
        <w:t xml:space="preserve"> </w:t>
      </w:r>
    </w:p>
    <w:p w14:paraId="46EB24CD" w14:textId="5C8E6F0B" w:rsidR="00C5570F" w:rsidRDefault="00041A13" w:rsidP="00050D29">
      <w:pPr>
        <w:jc w:val="left"/>
      </w:pPr>
      <w:r>
        <w:t>For the full list of excipients, see Section 6.1 List of excipients.</w:t>
      </w:r>
    </w:p>
    <w:p w14:paraId="3A832A9B" w14:textId="305025C9" w:rsidR="004105F9" w:rsidRDefault="00426567" w:rsidP="00050D29">
      <w:pPr>
        <w:pStyle w:val="Heading1"/>
        <w:jc w:val="left"/>
      </w:pPr>
      <w:r>
        <w:t xml:space="preserve">pharmaceutical </w:t>
      </w:r>
      <w:r w:rsidR="004105F9">
        <w:t>form</w:t>
      </w:r>
    </w:p>
    <w:p w14:paraId="55065FF6" w14:textId="60927B05" w:rsidR="004105F9" w:rsidRDefault="003D7F95" w:rsidP="00050D29">
      <w:pPr>
        <w:jc w:val="left"/>
      </w:pPr>
      <w:r w:rsidRPr="003D7F95">
        <w:t xml:space="preserve">White to </w:t>
      </w:r>
      <w:r w:rsidR="009C7E82">
        <w:t>off-</w:t>
      </w:r>
      <w:r w:rsidR="00D96BE6">
        <w:t>white</w:t>
      </w:r>
      <w:r w:rsidRPr="003D7F95">
        <w:t xml:space="preserve"> </w:t>
      </w:r>
      <w:r w:rsidR="009C7E82">
        <w:t>colour round tablet, one side impressed with “YSP” and the other side with a score</w:t>
      </w:r>
      <w:r w:rsidR="00DB60C9">
        <w:t>.</w:t>
      </w:r>
    </w:p>
    <w:p w14:paraId="709C5088" w14:textId="77777777" w:rsidR="004105F9" w:rsidRDefault="00460651" w:rsidP="00050D29">
      <w:pPr>
        <w:pStyle w:val="Heading1"/>
        <w:jc w:val="left"/>
      </w:pPr>
      <w:r>
        <w:t>Clinical particulars</w:t>
      </w:r>
    </w:p>
    <w:p w14:paraId="37CA6E63" w14:textId="77777777" w:rsidR="005905D0" w:rsidRDefault="005905D0" w:rsidP="00050D29">
      <w:pPr>
        <w:pStyle w:val="Heading2"/>
        <w:jc w:val="left"/>
      </w:pPr>
      <w:r>
        <w:t>Therapeutic indications</w:t>
      </w:r>
    </w:p>
    <w:p w14:paraId="4D89CC15" w14:textId="06C7802D" w:rsidR="00D96BE6" w:rsidRDefault="00A3104E" w:rsidP="00050D29">
      <w:pPr>
        <w:pStyle w:val="NoSpacing"/>
        <w:numPr>
          <w:ilvl w:val="0"/>
          <w:numId w:val="0"/>
        </w:numPr>
        <w:jc w:val="left"/>
      </w:pPr>
      <w:r w:rsidRPr="00A3104E">
        <w:t>Pyrazinamide</w:t>
      </w:r>
      <w:r>
        <w:t>-AFT</w:t>
      </w:r>
      <w:r w:rsidRPr="00A3104E">
        <w:t xml:space="preserve"> is indicated in </w:t>
      </w:r>
      <w:r w:rsidR="006477D4">
        <w:t xml:space="preserve">adult </w:t>
      </w:r>
      <w:r w:rsidRPr="00A3104E">
        <w:t xml:space="preserve">patients </w:t>
      </w:r>
      <w:r w:rsidR="006477D4">
        <w:t xml:space="preserve">of more than 12 years of age </w:t>
      </w:r>
      <w:r w:rsidRPr="00A3104E">
        <w:t xml:space="preserve">with active </w:t>
      </w:r>
      <w:r w:rsidR="006477D4" w:rsidRPr="006477D4">
        <w:t>drug-sensitive</w:t>
      </w:r>
      <w:r w:rsidR="006477D4">
        <w:t xml:space="preserve"> </w:t>
      </w:r>
      <w:r w:rsidRPr="00A3104E">
        <w:t xml:space="preserve">tuberculosis caused by </w:t>
      </w:r>
      <w:r w:rsidRPr="006477D4">
        <w:rPr>
          <w:i/>
          <w:iCs/>
        </w:rPr>
        <w:t>Mycobacterium tuberculosis</w:t>
      </w:r>
      <w:r w:rsidRPr="00A3104E">
        <w:t xml:space="preserve">. </w:t>
      </w:r>
      <w:r w:rsidR="006477D4">
        <w:t>Pyrazinamide-AFT is an anti-</w:t>
      </w:r>
      <w:r w:rsidR="006477D4" w:rsidRPr="00A3104E">
        <w:t>tuberculosis</w:t>
      </w:r>
      <w:r w:rsidR="006477D4">
        <w:t xml:space="preserve"> agent used in combination with other anti-</w:t>
      </w:r>
      <w:r w:rsidR="006477D4" w:rsidRPr="006477D4">
        <w:t xml:space="preserve"> </w:t>
      </w:r>
      <w:r w:rsidR="006477D4" w:rsidRPr="00A3104E">
        <w:t>tuberculosis</w:t>
      </w:r>
      <w:r w:rsidR="006477D4">
        <w:t xml:space="preserve"> agents and is commonly used in the first 2 months of treatment.</w:t>
      </w:r>
    </w:p>
    <w:p w14:paraId="6338230F" w14:textId="77777777" w:rsidR="005905D0" w:rsidRDefault="005905D0" w:rsidP="00050D29">
      <w:pPr>
        <w:pStyle w:val="Heading2"/>
        <w:jc w:val="left"/>
      </w:pPr>
      <w:bookmarkStart w:id="1" w:name="_Dose_and_method"/>
      <w:bookmarkEnd w:id="1"/>
      <w:r>
        <w:t>Dose and method of administration</w:t>
      </w:r>
    </w:p>
    <w:p w14:paraId="74DD2A38" w14:textId="77777777" w:rsidR="00A3104E" w:rsidRDefault="00A3104E" w:rsidP="00050D29">
      <w:pPr>
        <w:jc w:val="left"/>
      </w:pPr>
      <w:r>
        <w:t>Usual dose: Pyrazinamide is administered orally, 15 to 30 mg/kg once daily.</w:t>
      </w:r>
    </w:p>
    <w:p w14:paraId="63A9A400" w14:textId="77777777" w:rsidR="00A3104E" w:rsidRDefault="00A3104E" w:rsidP="00050D29">
      <w:pPr>
        <w:jc w:val="left"/>
      </w:pPr>
      <w:r>
        <w:t>Older regimens employed 3 or 4 divided doses daily, but most current recommendations are for once a day. Three grams per day should not be exceeded. The CDC recommendations do not exceed 2 g per day when given as a daily regimen.</w:t>
      </w:r>
    </w:p>
    <w:p w14:paraId="7817FBF6" w14:textId="1EDC0572" w:rsidR="00A3104E" w:rsidRDefault="00A3104E" w:rsidP="00050D29">
      <w:pPr>
        <w:jc w:val="left"/>
      </w:pPr>
      <w:r>
        <w:t xml:space="preserve">Alternatively, a twice weekly dosing regimen (50 to 75 mg/kg twice weekly based on lean body weight) has been developed to promote patient compliance with a regimen on an outpatient basis. In studies evaluation the twice weekly regimen, doses of Pyrazinamide </w:t>
      </w:r>
      <w:proofErr w:type="gramStart"/>
      <w:r>
        <w:t>in excess of</w:t>
      </w:r>
      <w:proofErr w:type="gramEnd"/>
      <w:r>
        <w:t xml:space="preserve"> 3 g twice weekly have been administered. This exceeds the recommended maximum 3 g/daily dose. However, an increased incidence of adverse </w:t>
      </w:r>
      <w:r>
        <w:lastRenderedPageBreak/>
        <w:t xml:space="preserve">reactions has not been reported. </w:t>
      </w:r>
      <w:r w:rsidRPr="00A3104E">
        <w:t>Pyrazinamide</w:t>
      </w:r>
      <w:r>
        <w:t xml:space="preserve">-AFT should be administered with at least one other effective anti-tuberculous medicine. The use of </w:t>
      </w:r>
      <w:r w:rsidRPr="00A3104E">
        <w:t>Pyrazinamide</w:t>
      </w:r>
      <w:r>
        <w:t>-AFT in combination therapy does not modify the accepted dosages of other anti-tuberculous agents.</w:t>
      </w:r>
    </w:p>
    <w:p w14:paraId="73C9A505" w14:textId="77777777" w:rsidR="0031572F" w:rsidRDefault="00CE089A" w:rsidP="00050D29">
      <w:pPr>
        <w:pStyle w:val="Heading2"/>
        <w:jc w:val="left"/>
      </w:pPr>
      <w:r>
        <w:t>Contraindications</w:t>
      </w:r>
    </w:p>
    <w:p w14:paraId="057A412F" w14:textId="683A7D39" w:rsidR="0031746E" w:rsidRDefault="0031746E" w:rsidP="00050D29">
      <w:pPr>
        <w:pStyle w:val="NoSpacing"/>
        <w:jc w:val="left"/>
      </w:pPr>
      <w:r>
        <w:t>Patients who are hypersensitive to any component of this product.</w:t>
      </w:r>
    </w:p>
    <w:p w14:paraId="3E235E53" w14:textId="26E2EFDD" w:rsidR="0031746E" w:rsidRDefault="0031746E" w:rsidP="00050D29">
      <w:pPr>
        <w:pStyle w:val="NoSpacing"/>
        <w:jc w:val="left"/>
      </w:pPr>
      <w:r>
        <w:t>Patients with hepatic disease.</w:t>
      </w:r>
    </w:p>
    <w:p w14:paraId="4852D6BE" w14:textId="1CCF2345" w:rsidR="00E501D8" w:rsidRPr="007B1C90" w:rsidRDefault="0031746E" w:rsidP="00050D29">
      <w:pPr>
        <w:pStyle w:val="NoSpacing"/>
        <w:jc w:val="left"/>
      </w:pPr>
      <w:r>
        <w:t>Patients with hyperuricaemia and/or gouty arthritis.</w:t>
      </w:r>
    </w:p>
    <w:p w14:paraId="63E748DD" w14:textId="77777777" w:rsidR="00CE089A" w:rsidRDefault="00CE089A" w:rsidP="00050D29">
      <w:pPr>
        <w:pStyle w:val="Heading2"/>
        <w:jc w:val="left"/>
      </w:pPr>
      <w:bookmarkStart w:id="2" w:name="_Special_warnings_and"/>
      <w:bookmarkEnd w:id="2"/>
      <w:r>
        <w:t>Special warnings and precautions for use</w:t>
      </w:r>
    </w:p>
    <w:p w14:paraId="4A0FE6DE" w14:textId="7ED942BE" w:rsidR="008A5576" w:rsidRDefault="008A5576" w:rsidP="00050D29">
      <w:pPr>
        <w:pStyle w:val="Heading3"/>
        <w:jc w:val="left"/>
      </w:pPr>
      <w:r>
        <w:t>Laboratory tests</w:t>
      </w:r>
    </w:p>
    <w:p w14:paraId="6FE5F09B" w14:textId="52B6CE29" w:rsidR="0031746E" w:rsidRDefault="0031746E" w:rsidP="00050D29">
      <w:pPr>
        <w:jc w:val="left"/>
      </w:pPr>
      <w:r>
        <w:t>Pyrazinamide-AFT should be used only when close daily observation of the patient is possible, and when laboratory facilities are available for performing frequent liver function tests and blood uric acid determinations.</w:t>
      </w:r>
    </w:p>
    <w:p w14:paraId="274E54C0" w14:textId="7C311F29" w:rsidR="008A5576" w:rsidRDefault="008A5576" w:rsidP="00050D29">
      <w:pPr>
        <w:jc w:val="left"/>
      </w:pPr>
      <w:r>
        <w:t>Baseline liver function studies [especially ALT (SGPT), AST (SGOT) determinations] and uric acid levels should be determined prior to therapy. Appropriate laboratory testing should be performed at periodic intervals and if any clinical signs of symptoms occur during therapy.</w:t>
      </w:r>
    </w:p>
    <w:p w14:paraId="1B42F263" w14:textId="031610C9" w:rsidR="008A5576" w:rsidRDefault="008A5576" w:rsidP="00050D29">
      <w:pPr>
        <w:jc w:val="left"/>
      </w:pPr>
      <w:r>
        <w:t>Patients should be instructed to notify their physicians promptly if they experience any of the following: fever, loss of appetite, malaise, nausea and vomiting, darkened urine, yellowish discoloration of the skin and eyes, pain or swelling of the joints.</w:t>
      </w:r>
    </w:p>
    <w:p w14:paraId="35E7999B" w14:textId="5F1630C0" w:rsidR="008A5576" w:rsidRDefault="008A5576" w:rsidP="00050D29">
      <w:pPr>
        <w:jc w:val="left"/>
      </w:pPr>
      <w:r>
        <w:t>Therapy with Pyrazinamide-AFT should be withdrawn and not reinstated if signs of hepatocellular damage occur.</w:t>
      </w:r>
    </w:p>
    <w:p w14:paraId="634C6B42" w14:textId="50AA1DEE" w:rsidR="0031746E" w:rsidRDefault="0031746E" w:rsidP="00050D29">
      <w:pPr>
        <w:jc w:val="left"/>
      </w:pPr>
      <w:r>
        <w:t xml:space="preserve">Pre-treatment examinations should include </w:t>
      </w:r>
      <w:r w:rsidRPr="008A5576">
        <w:rPr>
          <w:i/>
          <w:iCs/>
        </w:rPr>
        <w:t>in vitro</w:t>
      </w:r>
      <w:r>
        <w:t xml:space="preserve"> sensitivity tests of recent cultures of </w:t>
      </w:r>
      <w:r w:rsidRPr="0031746E">
        <w:rPr>
          <w:i/>
          <w:iCs/>
        </w:rPr>
        <w:t>M. tuberculosis</w:t>
      </w:r>
      <w:r>
        <w:t xml:space="preserve"> from the patients as measured against the usual anti-tuberculous medicines. </w:t>
      </w:r>
    </w:p>
    <w:p w14:paraId="6315C09E" w14:textId="7CF85722" w:rsidR="008A5576" w:rsidRDefault="008A5576" w:rsidP="00050D29">
      <w:pPr>
        <w:pStyle w:val="Heading3"/>
        <w:jc w:val="left"/>
      </w:pPr>
      <w:r>
        <w:t>Acute gouty arthritis</w:t>
      </w:r>
    </w:p>
    <w:p w14:paraId="05BBB40C" w14:textId="5188D6D2" w:rsidR="0031746E" w:rsidRDefault="008A5576" w:rsidP="00050D29">
      <w:pPr>
        <w:jc w:val="left"/>
      </w:pPr>
      <w:r>
        <w:t>If hyperuricaemia accompanied by an acute gouty arthritis occurs, therapy should be discontinued and not reinstated. Pyrazinamide-AFT should be used with caution in patients with a history of gout or diabetes mellitus, as their management may become more difficult.</w:t>
      </w:r>
    </w:p>
    <w:p w14:paraId="73CD5EDE" w14:textId="59C10C50" w:rsidR="008A5576" w:rsidRDefault="008A5576" w:rsidP="00050D29">
      <w:pPr>
        <w:pStyle w:val="Heading3"/>
        <w:jc w:val="left"/>
      </w:pPr>
      <w:r>
        <w:t>Renal insufficiency</w:t>
      </w:r>
    </w:p>
    <w:p w14:paraId="0CF6E783" w14:textId="2DFD91C1" w:rsidR="0031746E" w:rsidRDefault="0031746E" w:rsidP="00050D29">
      <w:pPr>
        <w:jc w:val="left"/>
      </w:pPr>
      <w:r>
        <w:t>In the presence of renal insufficiency reduction in size and/or frequency of dose is recommended.</w:t>
      </w:r>
    </w:p>
    <w:p w14:paraId="44E78A0B" w14:textId="17C2099E" w:rsidR="008A5576" w:rsidRDefault="008A5576" w:rsidP="00050D29">
      <w:pPr>
        <w:pStyle w:val="Heading3"/>
        <w:jc w:val="left"/>
      </w:pPr>
      <w:r>
        <w:t>Diabetes mellitus</w:t>
      </w:r>
    </w:p>
    <w:p w14:paraId="60A58F71" w14:textId="47F1A6B7" w:rsidR="0071223C" w:rsidRDefault="0031746E" w:rsidP="00050D29">
      <w:pPr>
        <w:jc w:val="left"/>
      </w:pPr>
      <w:r>
        <w:t>Increased difficulty in controlling diabetes mellitus has been reported when diabetics are given pyrazinamide.</w:t>
      </w:r>
    </w:p>
    <w:p w14:paraId="525E77AA" w14:textId="69149B4A" w:rsidR="008A5576" w:rsidRDefault="008A5576" w:rsidP="00050D29">
      <w:pPr>
        <w:pStyle w:val="Heading3"/>
        <w:jc w:val="left"/>
      </w:pPr>
      <w:r w:rsidRPr="008A5576">
        <w:lastRenderedPageBreak/>
        <w:t>Nursing mothers</w:t>
      </w:r>
    </w:p>
    <w:p w14:paraId="4860B0F7" w14:textId="503312A1" w:rsidR="008A5576" w:rsidRDefault="008A5576" w:rsidP="00050D29">
      <w:pPr>
        <w:jc w:val="left"/>
      </w:pPr>
      <w:r w:rsidRPr="008A5576">
        <w:t xml:space="preserve">Pyrazinamide has been found in small amounts in breast milk. Therefore, it is advised that pyrazinamide be used with caution in nursing mothers </w:t>
      </w:r>
      <w:proofErr w:type="gramStart"/>
      <w:r w:rsidRPr="008A5576">
        <w:t>taking into account</w:t>
      </w:r>
      <w:proofErr w:type="gramEnd"/>
      <w:r w:rsidRPr="008A5576">
        <w:t xml:space="preserve"> the risks and benefit of treatment.</w:t>
      </w:r>
    </w:p>
    <w:p w14:paraId="1C958A95" w14:textId="758B1DB1" w:rsidR="0031746E" w:rsidRDefault="0031746E" w:rsidP="00050D29">
      <w:pPr>
        <w:pStyle w:val="Heading3"/>
        <w:jc w:val="left"/>
      </w:pPr>
      <w:r>
        <w:t>Use in children</w:t>
      </w:r>
    </w:p>
    <w:p w14:paraId="74FF127F" w14:textId="2BB8EBA0" w:rsidR="0031746E" w:rsidRDefault="008A5576" w:rsidP="00050D29">
      <w:pPr>
        <w:jc w:val="left"/>
      </w:pPr>
      <w:r w:rsidRPr="008A5576">
        <w:t>There is less clinical information examining the use of pyrazinamide in children than in adults. Pyrazinamide should be used with caution in children when control of tuberculosis disease is necessary.</w:t>
      </w:r>
    </w:p>
    <w:p w14:paraId="09958F59" w14:textId="77777777" w:rsidR="009E6965" w:rsidRDefault="0066276E" w:rsidP="00050D29">
      <w:pPr>
        <w:pStyle w:val="Heading2"/>
        <w:jc w:val="left"/>
      </w:pPr>
      <w:bookmarkStart w:id="3" w:name="_Interactions_with_other"/>
      <w:bookmarkEnd w:id="3"/>
      <w:r>
        <w:t>Interactions with other medicines and other forms of interactions</w:t>
      </w:r>
    </w:p>
    <w:p w14:paraId="76CB692F" w14:textId="364F2807" w:rsidR="00AC5331" w:rsidRDefault="0031746E" w:rsidP="00050D29">
      <w:pPr>
        <w:jc w:val="left"/>
      </w:pPr>
      <w:proofErr w:type="spellStart"/>
      <w:r w:rsidRPr="0031746E">
        <w:t>Probenicid</w:t>
      </w:r>
      <w:proofErr w:type="spellEnd"/>
      <w:r w:rsidRPr="0031746E">
        <w:t xml:space="preserve"> is known to block the excretion of pyrazinamide.</w:t>
      </w:r>
    </w:p>
    <w:p w14:paraId="57424D22" w14:textId="77777777" w:rsidR="006077AB" w:rsidRDefault="006077AB" w:rsidP="00050D29">
      <w:pPr>
        <w:jc w:val="left"/>
      </w:pPr>
      <w:r w:rsidRPr="006077AB">
        <w:t xml:space="preserve">Pyrazinamide and its active metabolite, </w:t>
      </w:r>
      <w:proofErr w:type="spellStart"/>
      <w:r w:rsidRPr="006077AB">
        <w:t>pyrazinoic</w:t>
      </w:r>
      <w:proofErr w:type="spellEnd"/>
      <w:r w:rsidRPr="006077AB">
        <w:t xml:space="preserve"> acid are metabolised by xanthine oxidase. Drugs that inhibit xanthine oxidase activity (such as allopurinol) may increase plasma concentrations of pyrazinamide and </w:t>
      </w:r>
      <w:proofErr w:type="spellStart"/>
      <w:r w:rsidRPr="006077AB">
        <w:t>pyrazinoic</w:t>
      </w:r>
      <w:proofErr w:type="spellEnd"/>
      <w:r w:rsidRPr="006077AB">
        <w:t xml:space="preserve"> acid. </w:t>
      </w:r>
    </w:p>
    <w:p w14:paraId="2B345FD0" w14:textId="6A97A92F" w:rsidR="006077AB" w:rsidRDefault="006077AB" w:rsidP="00050D29">
      <w:pPr>
        <w:jc w:val="left"/>
      </w:pPr>
      <w:r w:rsidRPr="006077AB">
        <w:t>Pyrazinamide inhibited the expression of hepatic transporters, BSEP and OATP1A1 in rats. It may reduce the elimination of drugs that are cleared by BSEP-mediated biliary excretion or OATP1A1 substrates that are predominantly cleared by hepatic metabolism.</w:t>
      </w:r>
    </w:p>
    <w:p w14:paraId="3C51FB34" w14:textId="77777777" w:rsidR="007C7DB8" w:rsidRDefault="007C7DB8" w:rsidP="00050D29">
      <w:pPr>
        <w:pStyle w:val="Heading2"/>
        <w:jc w:val="left"/>
      </w:pPr>
      <w:r>
        <w:t>Fertility, pregnancy and lactation</w:t>
      </w:r>
    </w:p>
    <w:p w14:paraId="5BC73503" w14:textId="77777777" w:rsidR="006077AB" w:rsidRDefault="006077AB" w:rsidP="00050D29">
      <w:pPr>
        <w:pStyle w:val="Heading3"/>
        <w:jc w:val="left"/>
      </w:pPr>
      <w:r w:rsidRPr="006077AB">
        <w:t xml:space="preserve">Effects on fertility </w:t>
      </w:r>
    </w:p>
    <w:p w14:paraId="518CC414" w14:textId="46A5A567" w:rsidR="006077AB" w:rsidRDefault="006077AB" w:rsidP="00050D29">
      <w:pPr>
        <w:jc w:val="left"/>
      </w:pPr>
      <w:r w:rsidRPr="006077AB">
        <w:t xml:space="preserve">In female rats, subclinical doses of pyrazinamide elicited significant disruption of endocrine balance (reduced levels of luteinizing hormones, prolactin and </w:t>
      </w:r>
      <w:proofErr w:type="spellStart"/>
      <w:r w:rsidRPr="006077AB">
        <w:t>estrogen</w:t>
      </w:r>
      <w:proofErr w:type="spellEnd"/>
      <w:r w:rsidRPr="006077AB">
        <w:t xml:space="preserve">), and induced ovarian and uterine oxidative stress and histopathology of reproductive organs (erosion of uterine mucosa, and congestion and underdeveloped follicles in ovaries). In male mice, subclinical doses of pyrazinamide caused histological lesions in testes (including degeneration of seminiferous epithelium and Sertoli cells). Decreased volume and spermatogonia numbers, and epithelium desquamation and exfoliation of testes and </w:t>
      </w:r>
      <w:proofErr w:type="gramStart"/>
      <w:r w:rsidRPr="006077AB">
        <w:t>testis</w:t>
      </w:r>
      <w:proofErr w:type="gramEnd"/>
      <w:r w:rsidRPr="006077AB">
        <w:t xml:space="preserve"> and epididymis DNA fragmentation were reported in male rats treated with pyrazinamide at 2000 mg/kg/day (12 times the maximum recommended clinical dose [MRHD] per body surface area). Male rats dosed with pyrazinamide, isoniazid, rifampicin and ethambutol at 217, 62, 74.4 and 155 mg/kg/day PO, respectively, and mated with untreated females resulted in significantly lower fertility index and increased pre- and post-implantation losses than the control group.</w:t>
      </w:r>
    </w:p>
    <w:p w14:paraId="2CE7E9CB" w14:textId="7C9B6AD3" w:rsidR="006077AB" w:rsidRDefault="006077AB" w:rsidP="00050D29">
      <w:pPr>
        <w:pStyle w:val="Heading3"/>
        <w:jc w:val="left"/>
      </w:pPr>
      <w:r>
        <w:t>Use in pregnancy</w:t>
      </w:r>
    </w:p>
    <w:p w14:paraId="6D4CDB4C" w14:textId="27F2E92B" w:rsidR="0031746E" w:rsidRDefault="0031746E" w:rsidP="00050D29">
      <w:pPr>
        <w:jc w:val="left"/>
      </w:pPr>
      <w:r>
        <w:t>Category B2</w:t>
      </w:r>
    </w:p>
    <w:p w14:paraId="3885D13F" w14:textId="67851E3E" w:rsidR="0031746E" w:rsidRDefault="0031746E" w:rsidP="00050D29">
      <w:pPr>
        <w:jc w:val="left"/>
      </w:pPr>
      <w:r>
        <w:t xml:space="preserve">There are no well-controlled studies in pregnant women. Pyrazinamide-AFT should be used during pregnancy only if the potential benefit justifies the potential risk to the </w:t>
      </w:r>
      <w:proofErr w:type="spellStart"/>
      <w:r>
        <w:t>fetus</w:t>
      </w:r>
      <w:proofErr w:type="spellEnd"/>
      <w:r>
        <w:t>.</w:t>
      </w:r>
    </w:p>
    <w:p w14:paraId="0016CAEE" w14:textId="0F58BAA8" w:rsidR="006077AB" w:rsidRDefault="006077AB" w:rsidP="00050D29">
      <w:pPr>
        <w:jc w:val="left"/>
      </w:pPr>
      <w:r w:rsidRPr="006077AB">
        <w:lastRenderedPageBreak/>
        <w:t xml:space="preserve">In mice orally dosed with pyrazinamide at up to 3000 mg/kg/day (9 x the maximum recommended clinical dose [MRHD] per body surface area) during organogenesis, no effects on </w:t>
      </w:r>
      <w:proofErr w:type="spellStart"/>
      <w:r w:rsidRPr="006077AB">
        <w:t>embryofetal</w:t>
      </w:r>
      <w:proofErr w:type="spellEnd"/>
      <w:r w:rsidRPr="006077AB">
        <w:t xml:space="preserve"> development were observed (</w:t>
      </w:r>
      <w:proofErr w:type="spellStart"/>
      <w:r w:rsidRPr="006077AB">
        <w:t>fetuses</w:t>
      </w:r>
      <w:proofErr w:type="spellEnd"/>
      <w:r w:rsidRPr="006077AB">
        <w:t xml:space="preserve"> were only examined for external </w:t>
      </w:r>
      <w:proofErr w:type="gramStart"/>
      <w:r w:rsidRPr="006077AB">
        <w:t>abnormalities, and</w:t>
      </w:r>
      <w:proofErr w:type="gramEnd"/>
      <w:r w:rsidRPr="006077AB">
        <w:t xml:space="preserve"> not examined for visceral or skeletal abnormalities).</w:t>
      </w:r>
    </w:p>
    <w:p w14:paraId="3CA91F53" w14:textId="091B0337" w:rsidR="006077AB" w:rsidRDefault="006077AB" w:rsidP="00050D29">
      <w:pPr>
        <w:pStyle w:val="Heading3"/>
        <w:jc w:val="left"/>
      </w:pPr>
      <w:r>
        <w:t>Use in lactation</w:t>
      </w:r>
    </w:p>
    <w:p w14:paraId="6CFFC4AB" w14:textId="6D46D7DD" w:rsidR="007C7DB8" w:rsidRDefault="0031746E" w:rsidP="00050D29">
      <w:pPr>
        <w:jc w:val="left"/>
      </w:pPr>
      <w:r>
        <w:t>Pyrazinamide is excreted in breast milk. If use of Pyrazinamide-AFT is deemed essential to a nursing mother, the patient should stop nursing.</w:t>
      </w:r>
    </w:p>
    <w:p w14:paraId="2B28B827" w14:textId="77777777" w:rsidR="007C7DB8" w:rsidRDefault="007C7DB8" w:rsidP="00050D29">
      <w:pPr>
        <w:pStyle w:val="Heading2"/>
        <w:jc w:val="left"/>
      </w:pPr>
      <w:r>
        <w:t>Effects on ability to drive and use machines</w:t>
      </w:r>
    </w:p>
    <w:p w14:paraId="542D7686" w14:textId="5CAD2CFA" w:rsidR="007C7DB8" w:rsidRDefault="0031746E" w:rsidP="00050D29">
      <w:pPr>
        <w:jc w:val="left"/>
      </w:pPr>
      <w:r w:rsidRPr="0031746E">
        <w:t xml:space="preserve">There is no data to suggest that </w:t>
      </w:r>
      <w:r w:rsidR="005E6EBD" w:rsidRPr="0031746E">
        <w:t xml:space="preserve">pyrazinamide </w:t>
      </w:r>
      <w:r w:rsidRPr="0031746E">
        <w:t>affects the ability to drive or use machines.</w:t>
      </w:r>
    </w:p>
    <w:p w14:paraId="6F28E205" w14:textId="61D3653A" w:rsidR="007C7DB8" w:rsidRDefault="007C7DB8" w:rsidP="00050D29">
      <w:pPr>
        <w:pStyle w:val="Heading2"/>
        <w:jc w:val="left"/>
      </w:pPr>
      <w:bookmarkStart w:id="4" w:name="_Adverse_effects_(Undesireable"/>
      <w:bookmarkEnd w:id="4"/>
      <w:r>
        <w:t>Adverse effects (</w:t>
      </w:r>
      <w:r w:rsidR="00A25AAE">
        <w:rPr>
          <w:caps w:val="0"/>
        </w:rPr>
        <w:t xml:space="preserve">UNDESIRABLE </w:t>
      </w:r>
      <w:r>
        <w:t>effects)</w:t>
      </w:r>
    </w:p>
    <w:p w14:paraId="078B9D1E" w14:textId="10126758" w:rsidR="00993158" w:rsidRDefault="0031746E" w:rsidP="00050D29">
      <w:pPr>
        <w:pStyle w:val="NoSpacing"/>
        <w:numPr>
          <w:ilvl w:val="0"/>
          <w:numId w:val="0"/>
        </w:numPr>
        <w:jc w:val="left"/>
      </w:pPr>
      <w:r w:rsidRPr="0031746E">
        <w:t xml:space="preserve">The most frequent adverse effect is hepatotoxicity. Transient increases in serum aminotransferase (transaminase) concentrations, jaundice, hepatitis and a syndrome of fever, anorexia, malaise, liver tenderness, hepatomegaly and splenomegaly have been reported. Rarely acute yellow atrophy of the liver and death have occurred. Hepatotoxicity appears to be dose related and may occur at any time during therapy. </w:t>
      </w:r>
      <w:r w:rsidR="006A3CCD">
        <w:t>H</w:t>
      </w:r>
      <w:r w:rsidRPr="0031746E">
        <w:t xml:space="preserve">epatotoxicity occurs in approximately </w:t>
      </w:r>
      <w:r w:rsidR="006A3CCD">
        <w:t>10-2</w:t>
      </w:r>
      <w:r w:rsidRPr="0031746E">
        <w:t>5% of patients with jaundice occurring in 2-3%.</w:t>
      </w:r>
    </w:p>
    <w:p w14:paraId="32218444" w14:textId="57E2F455" w:rsidR="0031746E" w:rsidRDefault="0031746E" w:rsidP="00050D29">
      <w:pPr>
        <w:jc w:val="left"/>
      </w:pPr>
      <w:r w:rsidRPr="0031746E">
        <w:t xml:space="preserve">Pyrazinamide inhibits renal excretion of urates frequently resulting in hyperuricemia. This effect is usually asymptomatic but acute gout has occurred in some patients. </w:t>
      </w:r>
      <w:proofErr w:type="spellStart"/>
      <w:r w:rsidRPr="0031746E">
        <w:t>Nongouty</w:t>
      </w:r>
      <w:proofErr w:type="spellEnd"/>
      <w:r w:rsidRPr="0031746E">
        <w:t xml:space="preserve"> polyarthralgia reportedly occurs in up to 40% of patients. </w:t>
      </w:r>
      <w:proofErr w:type="spellStart"/>
      <w:r w:rsidRPr="0031746E">
        <w:t>Urisuric</w:t>
      </w:r>
      <w:proofErr w:type="spellEnd"/>
      <w:r w:rsidRPr="0031746E">
        <w:t xml:space="preserve"> agents administered concurrently may reduce pyrazinamide induced hyperuricemia. If hyperuricemia is severe or accompanied by acute gouty arthritis, treatment with pyrazinamide should be discontinued.</w:t>
      </w:r>
    </w:p>
    <w:p w14:paraId="28C69C06" w14:textId="77777777" w:rsidR="0031746E" w:rsidRDefault="0031746E" w:rsidP="00050D29">
      <w:pPr>
        <w:jc w:val="left"/>
      </w:pPr>
      <w:r>
        <w:t>Mild arthralgia and myalgia have been reported frequently with pyrazinamide therapy.</w:t>
      </w:r>
    </w:p>
    <w:p w14:paraId="665C4DAC" w14:textId="77777777" w:rsidR="0031746E" w:rsidRDefault="0031746E" w:rsidP="00050D29">
      <w:pPr>
        <w:jc w:val="left"/>
      </w:pPr>
      <w:r>
        <w:t>Maculopapular rash, fever, acne, porphyria, dysuria, interstitial nephritis and photosensitivity with reddish-brown discolouration of the exposed skin have been reported rarely.</w:t>
      </w:r>
    </w:p>
    <w:p w14:paraId="7E1CA1DD" w14:textId="77777777" w:rsidR="0031746E" w:rsidRDefault="0031746E" w:rsidP="00050D29">
      <w:pPr>
        <w:jc w:val="left"/>
      </w:pPr>
      <w:r>
        <w:t>Hypersensitivity reactions including rash, urticaria and pruritus have been reported.</w:t>
      </w:r>
    </w:p>
    <w:p w14:paraId="2B7A8815" w14:textId="77777777" w:rsidR="0031746E" w:rsidRDefault="0031746E" w:rsidP="00050D29">
      <w:pPr>
        <w:jc w:val="left"/>
      </w:pPr>
      <w:r>
        <w:t>Gastrointestinal disturbances including aggravation of peptic ulcer, nausea, vomiting and anorexia have also occurred.</w:t>
      </w:r>
    </w:p>
    <w:p w14:paraId="064587F6" w14:textId="5FE9C956" w:rsidR="0031746E" w:rsidRPr="0031746E" w:rsidRDefault="0031746E" w:rsidP="00050D29">
      <w:pPr>
        <w:jc w:val="left"/>
      </w:pPr>
      <w:r>
        <w:t>Thrombocytopenia and sideroblastic anaemia with erythroid hyperplasia, vacuolation of erythrocytes and increased serum iron concentrations have occurred rarely. Adverse effects on blood clotting mechanisms have also been reported rarely.</w:t>
      </w:r>
    </w:p>
    <w:p w14:paraId="5529563B" w14:textId="07BAD2FC" w:rsidR="0064081E" w:rsidRPr="00E7004D" w:rsidRDefault="00E7004D" w:rsidP="00050D29">
      <w:pPr>
        <w:pStyle w:val="Heading3"/>
        <w:jc w:val="left"/>
      </w:pPr>
      <w:r w:rsidRPr="00E7004D">
        <w:t>Reporting suspected adverse effects</w:t>
      </w:r>
    </w:p>
    <w:p w14:paraId="2DDDF1E6" w14:textId="047AD840" w:rsidR="00E7004D" w:rsidRDefault="008A43DC" w:rsidP="00050D29">
      <w:pPr>
        <w:jc w:val="lef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0A5A97">
          <w:rPr>
            <w:rStyle w:val="Hyperlink"/>
          </w:rPr>
          <w:t>www.tga.gov.au/reporting-problems</w:t>
        </w:r>
      </w:hyperlink>
      <w:r>
        <w:t xml:space="preserve">. </w:t>
      </w:r>
      <w:r w:rsidR="00030860">
        <w:t xml:space="preserve"> </w:t>
      </w:r>
    </w:p>
    <w:p w14:paraId="3695BD93" w14:textId="77777777" w:rsidR="00030860" w:rsidRDefault="00030860" w:rsidP="00050D29">
      <w:pPr>
        <w:pStyle w:val="Heading2"/>
        <w:jc w:val="left"/>
      </w:pPr>
      <w:r>
        <w:lastRenderedPageBreak/>
        <w:t>Overdose</w:t>
      </w:r>
    </w:p>
    <w:p w14:paraId="43380C07" w14:textId="7509D377" w:rsidR="0085151F" w:rsidRDefault="0031746E" w:rsidP="00050D29">
      <w:pPr>
        <w:jc w:val="left"/>
      </w:pPr>
      <w:r w:rsidRPr="0031746E">
        <w:t>The stomach should be emptied by emesis or gastric lavage. Short acting barbiturates may be given for manifestations of CNS stimulation, analeptics for coma and artificial respiration and oxygen for respiratory failure, In the event of shock, a vasopressor agent, metaraminol bitartrate, should be given.</w:t>
      </w:r>
    </w:p>
    <w:p w14:paraId="68C59404" w14:textId="2329C310" w:rsidR="00473AA7" w:rsidRDefault="008A43DC" w:rsidP="00050D29">
      <w:pPr>
        <w:jc w:val="left"/>
      </w:pPr>
      <w:r w:rsidRPr="008A43DC">
        <w:t>For information o</w:t>
      </w:r>
      <w:r w:rsidR="00ED7542">
        <w:t>n</w:t>
      </w:r>
      <w:r w:rsidRPr="008A43DC">
        <w:t xml:space="preserve"> the management of overdose, contact the Poison</w:t>
      </w:r>
      <w:r w:rsidR="00A25AAE">
        <w:t>s</w:t>
      </w:r>
      <w:r w:rsidRPr="008A43DC">
        <w:t xml:space="preserve"> </w:t>
      </w:r>
      <w:r w:rsidR="00ED7542" w:rsidRPr="008A43DC">
        <w:t xml:space="preserve">Information </w:t>
      </w:r>
      <w:r w:rsidRPr="008A43DC">
        <w:t>Centre on 131126 (Australia).</w:t>
      </w:r>
    </w:p>
    <w:p w14:paraId="641C8B7C" w14:textId="77777777" w:rsidR="00030860" w:rsidRDefault="00030860" w:rsidP="00050D29">
      <w:pPr>
        <w:pStyle w:val="Heading1"/>
        <w:jc w:val="left"/>
      </w:pPr>
      <w:r>
        <w:t>Pharmacological properties</w:t>
      </w:r>
    </w:p>
    <w:p w14:paraId="36200C75" w14:textId="77777777" w:rsidR="00030860" w:rsidRDefault="00030860" w:rsidP="00050D29">
      <w:pPr>
        <w:pStyle w:val="Heading2"/>
        <w:jc w:val="left"/>
      </w:pPr>
      <w:bookmarkStart w:id="5" w:name="_Pharmacodynamic_properties"/>
      <w:bookmarkEnd w:id="5"/>
      <w:r>
        <w:t>Pharmacodynamic properties</w:t>
      </w:r>
    </w:p>
    <w:p w14:paraId="6E07EFFD" w14:textId="20FDADB0" w:rsidR="00E01CDC" w:rsidRDefault="00E01CDC" w:rsidP="00050D29">
      <w:pPr>
        <w:pStyle w:val="Heading3"/>
        <w:jc w:val="left"/>
      </w:pPr>
      <w:r>
        <w:t>Mechanism of action</w:t>
      </w:r>
    </w:p>
    <w:p w14:paraId="29195416" w14:textId="34E91CF0" w:rsidR="006077AB" w:rsidRDefault="006077AB" w:rsidP="00050D29">
      <w:pPr>
        <w:jc w:val="left"/>
      </w:pPr>
      <w:r w:rsidRPr="006077AB">
        <w:t xml:space="preserve">Pyrazinamide (PZA) is a prodrug that is converted to the active form </w:t>
      </w:r>
      <w:proofErr w:type="spellStart"/>
      <w:r w:rsidRPr="006077AB">
        <w:t>pyrazinoic</w:t>
      </w:r>
      <w:proofErr w:type="spellEnd"/>
      <w:r w:rsidRPr="006077AB">
        <w:t xml:space="preserve"> acid (POA) by </w:t>
      </w:r>
      <w:proofErr w:type="spellStart"/>
      <w:r w:rsidRPr="006077AB">
        <w:t>pyrazinamidase</w:t>
      </w:r>
      <w:proofErr w:type="spellEnd"/>
      <w:r w:rsidRPr="006077AB">
        <w:t>/</w:t>
      </w:r>
      <w:proofErr w:type="spellStart"/>
      <w:r w:rsidRPr="006077AB">
        <w:t>nicotinamidase</w:t>
      </w:r>
      <w:proofErr w:type="spellEnd"/>
      <w:r w:rsidRPr="006077AB">
        <w:t xml:space="preserve"> encoded by the </w:t>
      </w:r>
      <w:proofErr w:type="spellStart"/>
      <w:r w:rsidRPr="006077AB">
        <w:t>pncA</w:t>
      </w:r>
      <w:proofErr w:type="spellEnd"/>
      <w:r w:rsidRPr="006077AB">
        <w:t xml:space="preserve"> gene in M. tuberculosis. PZA is generally active only at an acid </w:t>
      </w:r>
      <w:proofErr w:type="spellStart"/>
      <w:r w:rsidRPr="006077AB">
        <w:t>pH.</w:t>
      </w:r>
      <w:proofErr w:type="spellEnd"/>
      <w:r w:rsidRPr="006077AB">
        <w:t xml:space="preserve"> The precise mechanism of action is unknown. Possible mechanisms of antibacterial activity include: (1) activation of the sigma factor (</w:t>
      </w:r>
      <w:proofErr w:type="spellStart"/>
      <w:r w:rsidRPr="006077AB">
        <w:t>SigE</w:t>
      </w:r>
      <w:proofErr w:type="spellEnd"/>
      <w:r w:rsidRPr="006077AB">
        <w:t xml:space="preserve">)-dependent cell envelope stress response, (2) binding of POA to </w:t>
      </w:r>
      <w:proofErr w:type="spellStart"/>
      <w:r w:rsidRPr="006077AB">
        <w:t>asparate</w:t>
      </w:r>
      <w:proofErr w:type="spellEnd"/>
      <w:r w:rsidRPr="006077AB">
        <w:t xml:space="preserve"> decarboxylase (</w:t>
      </w:r>
      <w:proofErr w:type="spellStart"/>
      <w:r w:rsidRPr="006077AB">
        <w:t>PanD</w:t>
      </w:r>
      <w:proofErr w:type="spellEnd"/>
      <w:r w:rsidRPr="006077AB">
        <w:t>), and (3) POA binding to ribosomal protein S1 (</w:t>
      </w:r>
      <w:proofErr w:type="spellStart"/>
      <w:r w:rsidRPr="006077AB">
        <w:t>RpsA</w:t>
      </w:r>
      <w:proofErr w:type="spellEnd"/>
      <w:r w:rsidRPr="006077AB">
        <w:t>) of M. tuberculosis. Inhibition of fatty acid synthesis may also contribute to the activity of POA.</w:t>
      </w:r>
    </w:p>
    <w:p w14:paraId="024CDC18" w14:textId="7EDE6385" w:rsidR="0031746E" w:rsidRDefault="006077AB" w:rsidP="00050D29">
      <w:pPr>
        <w:jc w:val="left"/>
      </w:pPr>
      <w:r w:rsidRPr="006077AB">
        <w:t xml:space="preserve">Resistance develops rapidly if pyrazinamide is used as sole antitubercular agent. Loss of </w:t>
      </w:r>
      <w:proofErr w:type="spellStart"/>
      <w:r w:rsidRPr="006077AB">
        <w:t>pyrazinamidase</w:t>
      </w:r>
      <w:proofErr w:type="spellEnd"/>
      <w:r w:rsidRPr="006077AB">
        <w:t xml:space="preserve"> activity, mutations in </w:t>
      </w:r>
      <w:proofErr w:type="spellStart"/>
      <w:r w:rsidRPr="006077AB">
        <w:t>pncA</w:t>
      </w:r>
      <w:proofErr w:type="spellEnd"/>
      <w:r w:rsidRPr="006077AB">
        <w:t xml:space="preserve">, </w:t>
      </w:r>
      <w:proofErr w:type="spellStart"/>
      <w:r w:rsidRPr="006077AB">
        <w:t>RpsA</w:t>
      </w:r>
      <w:proofErr w:type="spellEnd"/>
      <w:r w:rsidRPr="006077AB">
        <w:t xml:space="preserve"> or pan D genes may confer PZA resistance.</w:t>
      </w:r>
    </w:p>
    <w:p w14:paraId="4B9B76A6" w14:textId="520E49EC" w:rsidR="00036993" w:rsidRDefault="00036993" w:rsidP="00050D29">
      <w:pPr>
        <w:pStyle w:val="Heading2"/>
        <w:jc w:val="left"/>
      </w:pPr>
      <w:r>
        <w:t>Pharmacokinetic properties</w:t>
      </w:r>
    </w:p>
    <w:p w14:paraId="2A68D9E9" w14:textId="77777777" w:rsidR="00030102" w:rsidRDefault="00030102" w:rsidP="00050D29">
      <w:pPr>
        <w:jc w:val="left"/>
      </w:pPr>
      <w:r>
        <w:t xml:space="preserve">Pyrazinamide is readily absorbed from the gastro-intestinal tract with peak serum concentration being reached about 2 hours after taking the dose. Plasma concentrations of </w:t>
      </w:r>
      <w:proofErr w:type="spellStart"/>
      <w:r>
        <w:t>pyrazinoic</w:t>
      </w:r>
      <w:proofErr w:type="spellEnd"/>
      <w:r>
        <w:t xml:space="preserve"> acid, which is the major metabolite, are generally greater than those of pyrazinamide and peak 4-8 hours after dosing.</w:t>
      </w:r>
    </w:p>
    <w:p w14:paraId="137C8242" w14:textId="77777777" w:rsidR="00030102" w:rsidRDefault="00030102" w:rsidP="00050D29">
      <w:pPr>
        <w:jc w:val="left"/>
      </w:pPr>
      <w:r>
        <w:t xml:space="preserve">Pyrazinamide is widely distributed in body tissues and fluids including the liver, lungs and CSF. It is not known of pyrazinamide crosses the </w:t>
      </w:r>
      <w:proofErr w:type="gramStart"/>
      <w:r>
        <w:t>placenta</w:t>
      </w:r>
      <w:proofErr w:type="gramEnd"/>
      <w:r>
        <w:t xml:space="preserve"> but it is excreted in breast milk.</w:t>
      </w:r>
    </w:p>
    <w:p w14:paraId="2A9DE3D0" w14:textId="77777777" w:rsidR="00030102" w:rsidRDefault="00030102" w:rsidP="00050D29">
      <w:pPr>
        <w:jc w:val="left"/>
      </w:pPr>
      <w:r>
        <w:t xml:space="preserve">Pyrazinamide is metabolised primarily in the liver by hydrolysis to </w:t>
      </w:r>
      <w:proofErr w:type="spellStart"/>
      <w:r>
        <w:t>pyrazinoic</w:t>
      </w:r>
      <w:proofErr w:type="spellEnd"/>
      <w:r>
        <w:t xml:space="preserve"> acid which is subsequently hydroxylated to the major excretory product 5-hydroxypyrazinoic acid. It is excreted via the kidney mainly by glomerular filtration. Approximately 70% of a dose appears in the urine within 24 hours (mainly as metabolites with 4-14% as pyrazinamide)</w:t>
      </w:r>
    </w:p>
    <w:p w14:paraId="4A903F4C" w14:textId="06396122" w:rsidR="0066263C" w:rsidRDefault="00030102" w:rsidP="00050D29">
      <w:pPr>
        <w:jc w:val="left"/>
      </w:pPr>
      <w:r>
        <w:t>The plasma half-life is 9-10 hours in patients with normal renal and hepatic function. The plasma half-life may be prolonged in patients with impaired renal or hepatic function.</w:t>
      </w:r>
    </w:p>
    <w:p w14:paraId="3294FE13" w14:textId="5C2AECC3" w:rsidR="0066263C" w:rsidRDefault="0066263C" w:rsidP="00050D29">
      <w:pPr>
        <w:pStyle w:val="Heading2"/>
        <w:jc w:val="left"/>
      </w:pPr>
      <w:r>
        <w:lastRenderedPageBreak/>
        <w:t>Preclinical safety data</w:t>
      </w:r>
    </w:p>
    <w:p w14:paraId="75C9D379" w14:textId="1B39549F" w:rsidR="0066263C" w:rsidRDefault="0066263C" w:rsidP="00050D29">
      <w:pPr>
        <w:pStyle w:val="Heading3"/>
        <w:jc w:val="left"/>
      </w:pPr>
      <w:r>
        <w:t>Genotoxicity</w:t>
      </w:r>
    </w:p>
    <w:p w14:paraId="6C90B480" w14:textId="7E6B1D4D" w:rsidR="0066263C" w:rsidRDefault="006077AB" w:rsidP="00050D29">
      <w:pPr>
        <w:jc w:val="left"/>
      </w:pPr>
      <w:r w:rsidRPr="006077AB">
        <w:t xml:space="preserve">Pyrazinamide was assessed for mutagenicity in </w:t>
      </w:r>
      <w:proofErr w:type="gramStart"/>
      <w:r w:rsidRPr="006077AB">
        <w:t>Ames</w:t>
      </w:r>
      <w:proofErr w:type="gramEnd"/>
      <w:r w:rsidRPr="006077AB">
        <w:t xml:space="preserve"> test, DNA damage by the comet assay and chromosome aberrations by the micronucleus assay and chromosomal aberration assay. Pyrazinamide was mutagenic in Ames bacterial assay. Increased bone marrow micronuclei were observed in mice after a single dose of pyrazinamide at ≥ 250 mg/kg IP. Chromosomal aberrations of bone marrow cells and DNA damage of spleen cells were increased in rats treated with pyrazinamide (132.65 mg/kg/day PO for 28 days) in combination with isoniazid and rifampicin. In another rat study, micronuclei in blood cells were not increased following treatment with pyrazinamide (189</w:t>
      </w:r>
      <w:r w:rsidR="007F1A0D">
        <w:t> </w:t>
      </w:r>
      <w:r w:rsidRPr="006077AB">
        <w:t xml:space="preserve">mg/kg/day for 90 days) or pyrazinamide in combination with other anti-TB drugs, but DNA damage was evident in liver, kidney and blood cells. Based on </w:t>
      </w:r>
      <w:r w:rsidRPr="007F1A0D">
        <w:rPr>
          <w:i/>
          <w:iCs/>
        </w:rPr>
        <w:t>in vivo</w:t>
      </w:r>
      <w:r w:rsidRPr="006077AB">
        <w:t xml:space="preserve"> study findings, pyrazinamide </w:t>
      </w:r>
      <w:proofErr w:type="gramStart"/>
      <w:r w:rsidRPr="006077AB">
        <w:t>is considered to be</w:t>
      </w:r>
      <w:proofErr w:type="gramEnd"/>
      <w:r w:rsidRPr="006077AB">
        <w:t xml:space="preserve"> genotoxic.</w:t>
      </w:r>
    </w:p>
    <w:p w14:paraId="164F1F79" w14:textId="1E372615" w:rsidR="0066263C" w:rsidRDefault="0066263C" w:rsidP="00050D29">
      <w:pPr>
        <w:pStyle w:val="Heading3"/>
        <w:jc w:val="left"/>
      </w:pPr>
      <w:r>
        <w:t>Carcinogenicity</w:t>
      </w:r>
    </w:p>
    <w:p w14:paraId="1597FBDB" w14:textId="41E4BAC8" w:rsidR="0066263C" w:rsidRDefault="006077AB" w:rsidP="00050D29">
      <w:pPr>
        <w:jc w:val="left"/>
      </w:pPr>
      <w:r w:rsidRPr="006077AB">
        <w:t>Carcinogenicity studies in mice and rats were conducted where pyrazinamide was administered in the diet of mice and rats for 78 weeks. The estimated daily dose was 0.75 or 1.5 g/kg (2-5 times the MRHD per body surface area)</w:t>
      </w:r>
      <w:r w:rsidR="003A53CF">
        <w:t xml:space="preserve"> </w:t>
      </w:r>
      <w:r w:rsidRPr="006077AB">
        <w:t>for the mouse, and 0.25 or 0.5</w:t>
      </w:r>
      <w:r w:rsidR="007F1A0D">
        <w:t> </w:t>
      </w:r>
      <w:r w:rsidRPr="006077AB">
        <w:t>g/kg (1.5-3 times the MRHD per body surface area) for the rat. Pyrazinamide was not carcinogenic in rats or male mice. No conclusion was possible for female mice due to insufficient numbers of surviving control mice.</w:t>
      </w:r>
    </w:p>
    <w:p w14:paraId="4E240725" w14:textId="77777777" w:rsidR="00AC64BF" w:rsidRDefault="00AC64BF" w:rsidP="00050D29">
      <w:pPr>
        <w:pStyle w:val="Heading1"/>
        <w:jc w:val="left"/>
      </w:pPr>
      <w:r>
        <w:t>Pharmaceutical particulars</w:t>
      </w:r>
    </w:p>
    <w:p w14:paraId="57330350" w14:textId="77777777" w:rsidR="00AC64BF" w:rsidRDefault="001A5646" w:rsidP="00050D29">
      <w:pPr>
        <w:pStyle w:val="Heading2"/>
        <w:jc w:val="left"/>
      </w:pPr>
      <w:bookmarkStart w:id="6" w:name="_List_of_excipients"/>
      <w:bookmarkEnd w:id="6"/>
      <w:r>
        <w:t>List of excipients</w:t>
      </w:r>
    </w:p>
    <w:p w14:paraId="1517714D" w14:textId="40BD7548" w:rsidR="00543774" w:rsidRDefault="00030102" w:rsidP="00050D29">
      <w:pPr>
        <w:jc w:val="left"/>
      </w:pPr>
      <w:r>
        <w:t>Microcrystalline cellulose</w:t>
      </w:r>
    </w:p>
    <w:p w14:paraId="3F492A3E" w14:textId="0E51C775" w:rsidR="00030102" w:rsidRDefault="00030102" w:rsidP="00050D29">
      <w:pPr>
        <w:jc w:val="left"/>
      </w:pPr>
      <w:proofErr w:type="spellStart"/>
      <w:r>
        <w:t>Pregelatini</w:t>
      </w:r>
      <w:r w:rsidR="00041A13">
        <w:t>s</w:t>
      </w:r>
      <w:r>
        <w:t>ed</w:t>
      </w:r>
      <w:proofErr w:type="spellEnd"/>
      <w:r>
        <w:t xml:space="preserve"> starch</w:t>
      </w:r>
    </w:p>
    <w:p w14:paraId="125E35A5" w14:textId="7A17DC8A" w:rsidR="00030102" w:rsidRDefault="00030102" w:rsidP="00050D29">
      <w:pPr>
        <w:jc w:val="left"/>
      </w:pPr>
      <w:r>
        <w:t>Sodium starch glycolate</w:t>
      </w:r>
    </w:p>
    <w:p w14:paraId="0074982B" w14:textId="1AF45EC9" w:rsidR="00030102" w:rsidRDefault="00041A13" w:rsidP="00050D29">
      <w:pPr>
        <w:jc w:val="left"/>
      </w:pPr>
      <w:r>
        <w:t>Colloidal anhydrous silica</w:t>
      </w:r>
    </w:p>
    <w:p w14:paraId="51438A08" w14:textId="1398A6AB" w:rsidR="00030102" w:rsidRDefault="00030102" w:rsidP="00050D29">
      <w:pPr>
        <w:jc w:val="left"/>
      </w:pPr>
      <w:r>
        <w:t>Stearic acid</w:t>
      </w:r>
    </w:p>
    <w:p w14:paraId="7FCD6DA1" w14:textId="77777777" w:rsidR="001A5646" w:rsidRDefault="001A5646" w:rsidP="00050D29">
      <w:pPr>
        <w:pStyle w:val="Heading2"/>
        <w:jc w:val="left"/>
      </w:pPr>
      <w:r>
        <w:t>Incompatibilities</w:t>
      </w:r>
    </w:p>
    <w:p w14:paraId="5903D24B" w14:textId="2AEF5F2B" w:rsidR="00B27C78" w:rsidRDefault="00030102" w:rsidP="00050D29">
      <w:pPr>
        <w:jc w:val="left"/>
      </w:pPr>
      <w:r>
        <w:t>None known</w:t>
      </w:r>
      <w:r w:rsidR="00C5570F">
        <w:t>.</w:t>
      </w:r>
    </w:p>
    <w:p w14:paraId="502D215A" w14:textId="77777777" w:rsidR="001A5646" w:rsidRDefault="001A5646" w:rsidP="00050D29">
      <w:pPr>
        <w:pStyle w:val="Heading2"/>
        <w:jc w:val="left"/>
      </w:pPr>
      <w:r>
        <w:t>Shelf life</w:t>
      </w:r>
    </w:p>
    <w:p w14:paraId="5D5CA964" w14:textId="77777777" w:rsidR="00B27C78" w:rsidRDefault="00B27C78" w:rsidP="00050D29">
      <w:pPr>
        <w:jc w:val="left"/>
      </w:pPr>
      <w:r>
        <w:t xml:space="preserve">In Australia, information on the shelf life can be found on the public summary of the Australian Register of Therapeutic Goods (ARTG). </w:t>
      </w:r>
    </w:p>
    <w:p w14:paraId="6E6569A3" w14:textId="0E443361" w:rsidR="001A5646" w:rsidRDefault="00B27C78" w:rsidP="00050D29">
      <w:pPr>
        <w:jc w:val="left"/>
      </w:pPr>
      <w:r>
        <w:t>The expiry date can be found on the packaging</w:t>
      </w:r>
      <w:r w:rsidR="001A5646">
        <w:t>.</w:t>
      </w:r>
    </w:p>
    <w:p w14:paraId="43927A4A" w14:textId="77777777" w:rsidR="001A5646" w:rsidRDefault="001A5646" w:rsidP="00050D29">
      <w:pPr>
        <w:pStyle w:val="Heading2"/>
        <w:jc w:val="left"/>
      </w:pPr>
      <w:r>
        <w:t>Special precautions for storage</w:t>
      </w:r>
    </w:p>
    <w:p w14:paraId="14718275" w14:textId="67DB9C13" w:rsidR="0057087E" w:rsidRDefault="00216894" w:rsidP="00050D29">
      <w:pPr>
        <w:jc w:val="left"/>
        <w:rPr>
          <w:color w:val="000000" w:themeColor="text1"/>
        </w:rPr>
      </w:pPr>
      <w:r w:rsidRPr="00216894">
        <w:rPr>
          <w:color w:val="000000" w:themeColor="text1"/>
        </w:rPr>
        <w:t>Store below 30</w:t>
      </w:r>
      <w:r w:rsidR="00030102">
        <w:rPr>
          <w:color w:val="000000" w:themeColor="text1"/>
        </w:rPr>
        <w:t xml:space="preserve"> </w:t>
      </w:r>
      <w:r w:rsidRPr="00216894">
        <w:rPr>
          <w:color w:val="000000" w:themeColor="text1"/>
        </w:rPr>
        <w:t>°C.</w:t>
      </w:r>
    </w:p>
    <w:p w14:paraId="3A4930F7" w14:textId="77777777" w:rsidR="001A5646" w:rsidRDefault="009F5048" w:rsidP="00050D29">
      <w:pPr>
        <w:pStyle w:val="Heading2"/>
        <w:jc w:val="left"/>
      </w:pPr>
      <w:r>
        <w:lastRenderedPageBreak/>
        <w:t>Nature and contents of container</w:t>
      </w:r>
    </w:p>
    <w:p w14:paraId="24E8384B" w14:textId="3E4FBD1D" w:rsidR="009F5048" w:rsidRDefault="00041A13" w:rsidP="00050D29">
      <w:pPr>
        <w:pStyle w:val="NoSpacing"/>
        <w:numPr>
          <w:ilvl w:val="0"/>
          <w:numId w:val="0"/>
        </w:numPr>
        <w:jc w:val="left"/>
        <w:rPr>
          <w:lang w:val="en-GB" w:eastAsia="ar-SA"/>
        </w:rPr>
      </w:pPr>
      <w:r>
        <w:rPr>
          <w:lang w:val="en-GB" w:eastAsia="ar-SA"/>
        </w:rPr>
        <w:t>HDPE b</w:t>
      </w:r>
      <w:r w:rsidR="00030102">
        <w:rPr>
          <w:lang w:val="en-GB" w:eastAsia="ar-SA"/>
        </w:rPr>
        <w:t>ottles of 100 tablets</w:t>
      </w:r>
      <w:r w:rsidR="00E70D1B">
        <w:rPr>
          <w:lang w:val="en-GB" w:eastAsia="ar-SA"/>
        </w:rPr>
        <w:t>.</w:t>
      </w:r>
    </w:p>
    <w:p w14:paraId="7BC45070" w14:textId="77777777" w:rsidR="009F5048" w:rsidRDefault="009F5048" w:rsidP="00050D29">
      <w:pPr>
        <w:pStyle w:val="Heading2"/>
        <w:jc w:val="left"/>
      </w:pPr>
      <w:r>
        <w:t>Special precautions for disposal</w:t>
      </w:r>
    </w:p>
    <w:p w14:paraId="354EC58F" w14:textId="53CAE14C" w:rsidR="009F5048" w:rsidRDefault="009F5048" w:rsidP="00050D29">
      <w:pPr>
        <w:jc w:val="left"/>
      </w:pPr>
      <w:r>
        <w:t>In Australia, any unused medicine or waste material should be disposed of in accordance with local requirements.</w:t>
      </w:r>
    </w:p>
    <w:p w14:paraId="29FDD5F1" w14:textId="0726A4BA" w:rsidR="009F5048" w:rsidRDefault="00ED7542" w:rsidP="00050D29">
      <w:pPr>
        <w:pStyle w:val="Heading2"/>
        <w:jc w:val="left"/>
      </w:pPr>
      <w:r>
        <w:rPr>
          <w:caps w:val="0"/>
        </w:rPr>
        <w:t xml:space="preserve">PHYSICOCHEMICAL </w:t>
      </w:r>
      <w:r w:rsidR="009F5048">
        <w:t>properties</w:t>
      </w:r>
    </w:p>
    <w:p w14:paraId="59773F1B" w14:textId="6AC1C30B" w:rsidR="002E58D0" w:rsidRDefault="00030102" w:rsidP="00050D29">
      <w:pPr>
        <w:jc w:val="left"/>
      </w:pPr>
      <w:r w:rsidRPr="00030102">
        <w:t>Pyrazinamide (</w:t>
      </w:r>
      <w:proofErr w:type="spellStart"/>
      <w:r w:rsidRPr="00030102">
        <w:t>pyrazinoic</w:t>
      </w:r>
      <w:proofErr w:type="spellEnd"/>
      <w:r w:rsidRPr="00030102">
        <w:t xml:space="preserve"> acid amide, or </w:t>
      </w:r>
      <w:proofErr w:type="spellStart"/>
      <w:r w:rsidRPr="00030102">
        <w:t>pyrazixe</w:t>
      </w:r>
      <w:proofErr w:type="spellEnd"/>
      <w:r w:rsidRPr="00030102">
        <w:t xml:space="preserve"> </w:t>
      </w:r>
      <w:proofErr w:type="spellStart"/>
      <w:r w:rsidRPr="00030102">
        <w:t>carboxylamide</w:t>
      </w:r>
      <w:proofErr w:type="spellEnd"/>
      <w:r w:rsidRPr="00030102">
        <w:t>), has the following structural formula:</w:t>
      </w:r>
    </w:p>
    <w:p w14:paraId="6E21EFF7" w14:textId="5301FC56" w:rsidR="000350FC" w:rsidRDefault="00030102" w:rsidP="00050D29">
      <w:pPr>
        <w:jc w:val="left"/>
      </w:pPr>
      <w:r>
        <w:rPr>
          <w:noProof/>
        </w:rPr>
        <w:drawing>
          <wp:inline distT="0" distB="0" distL="0" distR="0" wp14:anchorId="3495C1CA" wp14:editId="185A948E">
            <wp:extent cx="1030284" cy="854015"/>
            <wp:effectExtent l="0" t="0" r="0" b="3810"/>
            <wp:docPr id="2" name="Picture 2" descr="Pyrazinamid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razinamide - Wiki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6253" cy="867252"/>
                    </a:xfrm>
                    <a:prstGeom prst="rect">
                      <a:avLst/>
                    </a:prstGeom>
                    <a:noFill/>
                    <a:ln>
                      <a:noFill/>
                    </a:ln>
                  </pic:spPr>
                </pic:pic>
              </a:graphicData>
            </a:graphic>
          </wp:inline>
        </w:drawing>
      </w:r>
    </w:p>
    <w:p w14:paraId="2B4CC163" w14:textId="0B14C421" w:rsidR="00041A13" w:rsidRDefault="00041A13" w:rsidP="00050D29">
      <w:pPr>
        <w:jc w:val="left"/>
      </w:pPr>
      <w:r>
        <w:t xml:space="preserve">CAS number: </w:t>
      </w:r>
      <w:r w:rsidRPr="00041A13">
        <w:t>98-96-4</w:t>
      </w:r>
    </w:p>
    <w:p w14:paraId="3C55A0E6" w14:textId="77777777" w:rsidR="009F5048" w:rsidRDefault="00357A6E" w:rsidP="00050D29">
      <w:pPr>
        <w:pStyle w:val="Heading1"/>
        <w:jc w:val="left"/>
      </w:pPr>
      <w:r>
        <w:t>Medicine schedule (Poisons standard)</w:t>
      </w:r>
    </w:p>
    <w:p w14:paraId="7DCEED79" w14:textId="09A61E71" w:rsidR="00E45DD5" w:rsidRDefault="00357A6E" w:rsidP="00050D29">
      <w:pPr>
        <w:jc w:val="left"/>
      </w:pPr>
      <w:r>
        <w:t>S4 – Prescription only medicine</w:t>
      </w:r>
    </w:p>
    <w:p w14:paraId="7756C53D" w14:textId="77777777" w:rsidR="00357A6E" w:rsidRDefault="00357A6E" w:rsidP="00050D29">
      <w:pPr>
        <w:pStyle w:val="Heading1"/>
        <w:jc w:val="left"/>
      </w:pPr>
      <w:r>
        <w:t>Sponsor</w:t>
      </w:r>
    </w:p>
    <w:p w14:paraId="19E8DFFA" w14:textId="77777777" w:rsidR="00CB1CBF" w:rsidRPr="00357A6E" w:rsidRDefault="00CB1CBF" w:rsidP="00050D29">
      <w:pPr>
        <w:pStyle w:val="Address"/>
        <w:jc w:val="left"/>
      </w:pPr>
      <w:r>
        <w:t xml:space="preserve">AFT </w:t>
      </w:r>
      <w:r w:rsidRPr="00357A6E">
        <w:t>Pharmaceuticals Pty Ltd.</w:t>
      </w:r>
    </w:p>
    <w:p w14:paraId="15E53B76" w14:textId="77777777" w:rsidR="00CB1CBF" w:rsidRPr="00357A6E" w:rsidRDefault="00CB1CBF" w:rsidP="00050D29">
      <w:pPr>
        <w:pStyle w:val="Address"/>
        <w:jc w:val="left"/>
      </w:pPr>
      <w:r>
        <w:t>113 Wicks Road</w:t>
      </w:r>
    </w:p>
    <w:p w14:paraId="1626D5D7" w14:textId="77777777" w:rsidR="00CB1CBF" w:rsidRDefault="00CB1CBF" w:rsidP="00050D29">
      <w:pPr>
        <w:pStyle w:val="Address"/>
        <w:spacing w:after="240"/>
        <w:jc w:val="left"/>
      </w:pPr>
      <w:r>
        <w:t>North Ryde, NSW 2113, Australia</w:t>
      </w:r>
    </w:p>
    <w:p w14:paraId="2A2D0879" w14:textId="329DC034" w:rsidR="00AF2C14" w:rsidRDefault="00CB1CBF" w:rsidP="00050D29">
      <w:pPr>
        <w:pStyle w:val="Address"/>
        <w:jc w:val="left"/>
      </w:pPr>
      <w:r>
        <w:t xml:space="preserve">Email: </w:t>
      </w:r>
      <w:hyperlink r:id="rId12" w:history="1">
        <w:r w:rsidR="00362807" w:rsidRPr="00261455">
          <w:rPr>
            <w:rStyle w:val="Hyperlink"/>
          </w:rPr>
          <w:t>customer.service@aftpharm.com</w:t>
        </w:r>
      </w:hyperlink>
    </w:p>
    <w:p w14:paraId="483DAE5B" w14:textId="77777777" w:rsidR="00A9628F" w:rsidRDefault="00A9628F" w:rsidP="00050D29">
      <w:pPr>
        <w:pStyle w:val="Heading1"/>
        <w:jc w:val="left"/>
      </w:pPr>
      <w:r>
        <w:t>Date of first approval</w:t>
      </w:r>
    </w:p>
    <w:p w14:paraId="1B824253" w14:textId="64BCBBDE" w:rsidR="00357A6E" w:rsidRDefault="00025D06" w:rsidP="00050D29">
      <w:pPr>
        <w:jc w:val="left"/>
      </w:pPr>
      <w:r>
        <w:t>2 May 2025</w:t>
      </w:r>
    </w:p>
    <w:p w14:paraId="7ECE229D" w14:textId="3B745F6F" w:rsidR="00ED7542" w:rsidRDefault="00ED7542" w:rsidP="00050D29">
      <w:pPr>
        <w:pStyle w:val="Heading1"/>
        <w:jc w:val="left"/>
      </w:pPr>
      <w:r>
        <w:t>Date of revision</w:t>
      </w:r>
    </w:p>
    <w:p w14:paraId="7A7DF259" w14:textId="64DED3B8" w:rsidR="00ED7542" w:rsidRDefault="00ED7542" w:rsidP="00050D29">
      <w:pPr>
        <w:jc w:val="left"/>
      </w:pPr>
      <w:r>
        <w:t>XXX</w:t>
      </w:r>
    </w:p>
    <w:p w14:paraId="536D20B8" w14:textId="137CAD0C" w:rsidR="00ED7542" w:rsidRDefault="00ED7542" w:rsidP="00050D29">
      <w:pPr>
        <w:jc w:val="left"/>
      </w:pPr>
    </w:p>
    <w:p w14:paraId="310759A9" w14:textId="3D2C01D9" w:rsidR="00ED7542" w:rsidRPr="00ED7542" w:rsidRDefault="00ED7542" w:rsidP="00050D29">
      <w:pPr>
        <w:jc w:val="left"/>
        <w:rPr>
          <w:b/>
          <w:bCs/>
          <w:sz w:val="22"/>
        </w:rPr>
      </w:pPr>
      <w:r w:rsidRPr="00ED7542">
        <w:rPr>
          <w:b/>
          <w:bCs/>
          <w:sz w:val="22"/>
        </w:rPr>
        <w:t>Summary table of changes</w:t>
      </w:r>
    </w:p>
    <w:tbl>
      <w:tblPr>
        <w:tblStyle w:val="TableGrid"/>
        <w:tblW w:w="0" w:type="auto"/>
        <w:tblLook w:val="04A0" w:firstRow="1" w:lastRow="0" w:firstColumn="1" w:lastColumn="0" w:noHBand="0" w:noVBand="1"/>
      </w:tblPr>
      <w:tblGrid>
        <w:gridCol w:w="1885"/>
        <w:gridCol w:w="7131"/>
      </w:tblGrid>
      <w:tr w:rsidR="00ED7542" w14:paraId="62858E05" w14:textId="77777777" w:rsidTr="00ED7542">
        <w:tc>
          <w:tcPr>
            <w:tcW w:w="1885" w:type="dxa"/>
          </w:tcPr>
          <w:p w14:paraId="484D7EE1" w14:textId="2A09F690" w:rsidR="00ED7542" w:rsidRPr="00ED7542" w:rsidRDefault="00ED7542" w:rsidP="00050D29">
            <w:pPr>
              <w:jc w:val="left"/>
              <w:rPr>
                <w:b/>
                <w:bCs/>
                <w:sz w:val="22"/>
              </w:rPr>
            </w:pPr>
            <w:r w:rsidRPr="00ED7542">
              <w:rPr>
                <w:b/>
                <w:bCs/>
                <w:sz w:val="22"/>
              </w:rPr>
              <w:t>Section changed</w:t>
            </w:r>
          </w:p>
        </w:tc>
        <w:tc>
          <w:tcPr>
            <w:tcW w:w="7131" w:type="dxa"/>
          </w:tcPr>
          <w:p w14:paraId="60095EC5" w14:textId="43797FE5" w:rsidR="00ED7542" w:rsidRPr="00ED7542" w:rsidRDefault="00ED7542" w:rsidP="00050D29">
            <w:pPr>
              <w:jc w:val="left"/>
              <w:rPr>
                <w:b/>
                <w:bCs/>
                <w:sz w:val="22"/>
              </w:rPr>
            </w:pPr>
            <w:r w:rsidRPr="00ED7542">
              <w:rPr>
                <w:b/>
                <w:bCs/>
                <w:sz w:val="22"/>
              </w:rPr>
              <w:t>Summary of new information</w:t>
            </w:r>
          </w:p>
        </w:tc>
      </w:tr>
      <w:tr w:rsidR="00ED7542" w14:paraId="63021DF3" w14:textId="77777777" w:rsidTr="00ED7542">
        <w:tc>
          <w:tcPr>
            <w:tcW w:w="1885" w:type="dxa"/>
          </w:tcPr>
          <w:p w14:paraId="38A64995" w14:textId="77777777" w:rsidR="00ED7542" w:rsidRDefault="00ED7542" w:rsidP="00050D29">
            <w:pPr>
              <w:jc w:val="left"/>
            </w:pPr>
          </w:p>
        </w:tc>
        <w:tc>
          <w:tcPr>
            <w:tcW w:w="7131" w:type="dxa"/>
          </w:tcPr>
          <w:p w14:paraId="5E61A4F4" w14:textId="77777777" w:rsidR="00ED7542" w:rsidRDefault="00ED7542" w:rsidP="00050D29">
            <w:pPr>
              <w:jc w:val="left"/>
            </w:pPr>
          </w:p>
        </w:tc>
      </w:tr>
    </w:tbl>
    <w:p w14:paraId="7612FFAE" w14:textId="77777777" w:rsidR="00ED7542" w:rsidRPr="00357A6E" w:rsidRDefault="00ED7542" w:rsidP="00050D29">
      <w:pPr>
        <w:jc w:val="left"/>
      </w:pPr>
    </w:p>
    <w:sectPr w:rsidR="00ED7542" w:rsidRPr="00357A6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C1B2" w14:textId="77777777" w:rsidR="003256D4" w:rsidRDefault="003256D4" w:rsidP="00AF2C14">
      <w:pPr>
        <w:spacing w:before="0" w:after="0" w:line="240" w:lineRule="auto"/>
      </w:pPr>
      <w:r>
        <w:separator/>
      </w:r>
    </w:p>
  </w:endnote>
  <w:endnote w:type="continuationSeparator" w:id="0">
    <w:p w14:paraId="1D5AB183" w14:textId="77777777" w:rsidR="003256D4" w:rsidRDefault="003256D4" w:rsidP="00AF2C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68614"/>
      <w:docPartObj>
        <w:docPartGallery w:val="Page Numbers (Bottom of Page)"/>
        <w:docPartUnique/>
      </w:docPartObj>
    </w:sdtPr>
    <w:sdtEndPr>
      <w:rPr>
        <w:noProof/>
      </w:rPr>
    </w:sdtEndPr>
    <w:sdtContent>
      <w:p w14:paraId="76F9A1CD" w14:textId="480A8F80" w:rsidR="0085151F" w:rsidRDefault="008515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56011" w14:textId="77777777" w:rsidR="0085151F" w:rsidRDefault="00851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7EE4" w14:textId="77777777" w:rsidR="003256D4" w:rsidRDefault="003256D4" w:rsidP="00AF2C14">
      <w:pPr>
        <w:spacing w:before="0" w:after="0" w:line="240" w:lineRule="auto"/>
      </w:pPr>
      <w:bookmarkStart w:id="0" w:name="_Hlk206419612"/>
      <w:bookmarkEnd w:id="0"/>
      <w:r>
        <w:separator/>
      </w:r>
    </w:p>
  </w:footnote>
  <w:footnote w:type="continuationSeparator" w:id="0">
    <w:p w14:paraId="674699CC" w14:textId="77777777" w:rsidR="003256D4" w:rsidRDefault="003256D4" w:rsidP="00AF2C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050D29" w:rsidRPr="000B2145" w14:paraId="224AF4BF" w14:textId="77777777" w:rsidTr="00340453">
      <w:trPr>
        <w:trHeight w:val="1012"/>
      </w:trPr>
      <w:tc>
        <w:tcPr>
          <w:tcW w:w="9180" w:type="dxa"/>
          <w:shd w:val="clear" w:color="auto" w:fill="E4F2E0"/>
        </w:tcPr>
        <w:p w14:paraId="6894749F" w14:textId="34E11B86" w:rsidR="00050D29" w:rsidRPr="000E4791" w:rsidRDefault="00050D29" w:rsidP="00050D29">
          <w:pPr>
            <w:pStyle w:val="Footer"/>
            <w:jc w:val="left"/>
            <w:rPr>
              <w:b/>
              <w:sz w:val="18"/>
              <w:szCs w:val="18"/>
            </w:rPr>
          </w:pPr>
          <w:bookmarkStart w:id="7" w:name="_Hlk109054010"/>
          <w:r w:rsidRPr="00050D29">
            <w:rPr>
              <w:b/>
              <w:bCs/>
              <w:sz w:val="18"/>
              <w:szCs w:val="18"/>
            </w:rPr>
            <w:t>AusPAR – Pyrazinamide AFT - pyrazinamide – AFT Pharmaceuticals - PM-2023-03087-1-2 Final</w:t>
          </w:r>
          <w:r>
            <w:t xml:space="preserve"> </w:t>
          </w:r>
          <w:r w:rsidRPr="00F4428B">
            <w:rPr>
              <w:b/>
              <w:sz w:val="18"/>
              <w:szCs w:val="18"/>
            </w:rPr>
            <w:t>6 August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D55866">
              <w:rPr>
                <w:rStyle w:val="Hyperlink"/>
                <w:sz w:val="18"/>
                <w:szCs w:val="18"/>
              </w:rPr>
              <w:t>https://www.tga.gov.au/products/australian-register-therapeutic-goods-artg/product-information-pi</w:t>
            </w:r>
          </w:hyperlink>
          <w:r w:rsidRPr="00050D29">
            <w:rPr>
              <w:b/>
              <w:sz w:val="18"/>
              <w:szCs w:val="18"/>
              <w:u w:val="single"/>
            </w:rPr>
            <w:t>&gt;</w:t>
          </w:r>
        </w:p>
      </w:tc>
    </w:tr>
    <w:bookmarkEnd w:id="7"/>
  </w:tbl>
  <w:p w14:paraId="62F034A1" w14:textId="0BEC528C" w:rsidR="0085151F" w:rsidRPr="00050D29" w:rsidRDefault="0085151F" w:rsidP="00050D29">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631"/>
    <w:multiLevelType w:val="hybridMultilevel"/>
    <w:tmpl w:val="C7105B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82973EA"/>
    <w:multiLevelType w:val="hybridMultilevel"/>
    <w:tmpl w:val="6D6059A0"/>
    <w:lvl w:ilvl="0" w:tplc="0C9C35F4">
      <w:start w:val="1"/>
      <w:numFmt w:val="bullet"/>
      <w:pStyle w:val="NoSpacing"/>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20C43C4"/>
    <w:multiLevelType w:val="hybridMultilevel"/>
    <w:tmpl w:val="E460E5D6"/>
    <w:lvl w:ilvl="0" w:tplc="1409000F">
      <w:start w:val="1"/>
      <w:numFmt w:val="decimal"/>
      <w:lvlText w:val="%1."/>
      <w:lvlJc w:val="left"/>
      <w:pPr>
        <w:ind w:left="770" w:hanging="360"/>
      </w:pPr>
    </w:lvl>
    <w:lvl w:ilvl="1" w:tplc="14090019" w:tentative="1">
      <w:start w:val="1"/>
      <w:numFmt w:val="lowerLetter"/>
      <w:lvlText w:val="%2."/>
      <w:lvlJc w:val="left"/>
      <w:pPr>
        <w:ind w:left="1490" w:hanging="360"/>
      </w:pPr>
    </w:lvl>
    <w:lvl w:ilvl="2" w:tplc="1409001B" w:tentative="1">
      <w:start w:val="1"/>
      <w:numFmt w:val="lowerRoman"/>
      <w:lvlText w:val="%3."/>
      <w:lvlJc w:val="right"/>
      <w:pPr>
        <w:ind w:left="2210" w:hanging="180"/>
      </w:pPr>
    </w:lvl>
    <w:lvl w:ilvl="3" w:tplc="1409000F" w:tentative="1">
      <w:start w:val="1"/>
      <w:numFmt w:val="decimal"/>
      <w:lvlText w:val="%4."/>
      <w:lvlJc w:val="left"/>
      <w:pPr>
        <w:ind w:left="2930" w:hanging="360"/>
      </w:pPr>
    </w:lvl>
    <w:lvl w:ilvl="4" w:tplc="14090019" w:tentative="1">
      <w:start w:val="1"/>
      <w:numFmt w:val="lowerLetter"/>
      <w:lvlText w:val="%5."/>
      <w:lvlJc w:val="left"/>
      <w:pPr>
        <w:ind w:left="3650" w:hanging="360"/>
      </w:pPr>
    </w:lvl>
    <w:lvl w:ilvl="5" w:tplc="1409001B" w:tentative="1">
      <w:start w:val="1"/>
      <w:numFmt w:val="lowerRoman"/>
      <w:lvlText w:val="%6."/>
      <w:lvlJc w:val="right"/>
      <w:pPr>
        <w:ind w:left="4370" w:hanging="180"/>
      </w:pPr>
    </w:lvl>
    <w:lvl w:ilvl="6" w:tplc="1409000F" w:tentative="1">
      <w:start w:val="1"/>
      <w:numFmt w:val="decimal"/>
      <w:lvlText w:val="%7."/>
      <w:lvlJc w:val="left"/>
      <w:pPr>
        <w:ind w:left="5090" w:hanging="360"/>
      </w:pPr>
    </w:lvl>
    <w:lvl w:ilvl="7" w:tplc="14090019" w:tentative="1">
      <w:start w:val="1"/>
      <w:numFmt w:val="lowerLetter"/>
      <w:lvlText w:val="%8."/>
      <w:lvlJc w:val="left"/>
      <w:pPr>
        <w:ind w:left="5810" w:hanging="360"/>
      </w:pPr>
    </w:lvl>
    <w:lvl w:ilvl="8" w:tplc="1409001B" w:tentative="1">
      <w:start w:val="1"/>
      <w:numFmt w:val="lowerRoman"/>
      <w:lvlText w:val="%9."/>
      <w:lvlJc w:val="right"/>
      <w:pPr>
        <w:ind w:left="6530" w:hanging="180"/>
      </w:pPr>
    </w:lvl>
  </w:abstractNum>
  <w:abstractNum w:abstractNumId="3" w15:restartNumberingAfterBreak="0">
    <w:nsid w:val="45242C00"/>
    <w:multiLevelType w:val="multilevel"/>
    <w:tmpl w:val="9E6070E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D9C297B"/>
    <w:multiLevelType w:val="hybridMultilevel"/>
    <w:tmpl w:val="143455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ED55766"/>
    <w:multiLevelType w:val="hybridMultilevel"/>
    <w:tmpl w:val="19D67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45725F7"/>
    <w:multiLevelType w:val="hybridMultilevel"/>
    <w:tmpl w:val="7AEAE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E47B92"/>
    <w:multiLevelType w:val="hybridMultilevel"/>
    <w:tmpl w:val="48AECD3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455268D"/>
    <w:multiLevelType w:val="hybridMultilevel"/>
    <w:tmpl w:val="2CD8D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EF41CED"/>
    <w:multiLevelType w:val="hybridMultilevel"/>
    <w:tmpl w:val="22B87440"/>
    <w:lvl w:ilvl="0" w:tplc="37726AEA">
      <w:start w:val="10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37216513">
    <w:abstractNumId w:val="3"/>
  </w:num>
  <w:num w:numId="2" w16cid:durableId="598292124">
    <w:abstractNumId w:val="6"/>
  </w:num>
  <w:num w:numId="3" w16cid:durableId="1876305568">
    <w:abstractNumId w:val="1"/>
  </w:num>
  <w:num w:numId="4" w16cid:durableId="2054961728">
    <w:abstractNumId w:val="9"/>
  </w:num>
  <w:num w:numId="5" w16cid:durableId="924725552">
    <w:abstractNumId w:val="4"/>
  </w:num>
  <w:num w:numId="6" w16cid:durableId="916136112">
    <w:abstractNumId w:val="2"/>
  </w:num>
  <w:num w:numId="7" w16cid:durableId="530538409">
    <w:abstractNumId w:val="5"/>
  </w:num>
  <w:num w:numId="8" w16cid:durableId="1540821503">
    <w:abstractNumId w:val="0"/>
  </w:num>
  <w:num w:numId="9" w16cid:durableId="630134998">
    <w:abstractNumId w:val="8"/>
  </w:num>
  <w:num w:numId="10" w16cid:durableId="229967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F9"/>
    <w:rsid w:val="000010A8"/>
    <w:rsid w:val="00003926"/>
    <w:rsid w:val="00005DEE"/>
    <w:rsid w:val="00024719"/>
    <w:rsid w:val="00024BD8"/>
    <w:rsid w:val="00025D06"/>
    <w:rsid w:val="00030102"/>
    <w:rsid w:val="00030860"/>
    <w:rsid w:val="00030BC4"/>
    <w:rsid w:val="00030DC8"/>
    <w:rsid w:val="000350FC"/>
    <w:rsid w:val="00036993"/>
    <w:rsid w:val="00041A13"/>
    <w:rsid w:val="00044778"/>
    <w:rsid w:val="00046B60"/>
    <w:rsid w:val="00050D29"/>
    <w:rsid w:val="000650A9"/>
    <w:rsid w:val="000A54EF"/>
    <w:rsid w:val="000B16F4"/>
    <w:rsid w:val="000B511C"/>
    <w:rsid w:val="000B5EF7"/>
    <w:rsid w:val="000C6971"/>
    <w:rsid w:val="000E2022"/>
    <w:rsid w:val="000E61EE"/>
    <w:rsid w:val="000F3EC7"/>
    <w:rsid w:val="00102C0A"/>
    <w:rsid w:val="00102DF6"/>
    <w:rsid w:val="0010645B"/>
    <w:rsid w:val="00156174"/>
    <w:rsid w:val="001640C0"/>
    <w:rsid w:val="00166033"/>
    <w:rsid w:val="00167655"/>
    <w:rsid w:val="0017046C"/>
    <w:rsid w:val="00182DA6"/>
    <w:rsid w:val="001A5646"/>
    <w:rsid w:val="001B6670"/>
    <w:rsid w:val="001B794D"/>
    <w:rsid w:val="001C3F46"/>
    <w:rsid w:val="001D1C92"/>
    <w:rsid w:val="001D3403"/>
    <w:rsid w:val="001F4F41"/>
    <w:rsid w:val="0020176B"/>
    <w:rsid w:val="002018D5"/>
    <w:rsid w:val="00216894"/>
    <w:rsid w:val="0021702E"/>
    <w:rsid w:val="00232B78"/>
    <w:rsid w:val="00237FDB"/>
    <w:rsid w:val="002440C6"/>
    <w:rsid w:val="00271075"/>
    <w:rsid w:val="00275514"/>
    <w:rsid w:val="00297060"/>
    <w:rsid w:val="002A3522"/>
    <w:rsid w:val="002A55D6"/>
    <w:rsid w:val="002B04A1"/>
    <w:rsid w:val="002B0598"/>
    <w:rsid w:val="002B0859"/>
    <w:rsid w:val="002B7631"/>
    <w:rsid w:val="002C4426"/>
    <w:rsid w:val="002E35BF"/>
    <w:rsid w:val="002E4BFA"/>
    <w:rsid w:val="002E58D0"/>
    <w:rsid w:val="002E71C3"/>
    <w:rsid w:val="002F2C59"/>
    <w:rsid w:val="002F474A"/>
    <w:rsid w:val="0031572F"/>
    <w:rsid w:val="003168AF"/>
    <w:rsid w:val="0031746E"/>
    <w:rsid w:val="003256D4"/>
    <w:rsid w:val="00337916"/>
    <w:rsid w:val="003469A4"/>
    <w:rsid w:val="00357063"/>
    <w:rsid w:val="00357A6E"/>
    <w:rsid w:val="003600C8"/>
    <w:rsid w:val="00362807"/>
    <w:rsid w:val="003642A0"/>
    <w:rsid w:val="00373FC6"/>
    <w:rsid w:val="003846EE"/>
    <w:rsid w:val="003A53CF"/>
    <w:rsid w:val="003B3CE3"/>
    <w:rsid w:val="003C5928"/>
    <w:rsid w:val="003C5A27"/>
    <w:rsid w:val="003D183C"/>
    <w:rsid w:val="003D7F95"/>
    <w:rsid w:val="003F425E"/>
    <w:rsid w:val="004105F9"/>
    <w:rsid w:val="00420546"/>
    <w:rsid w:val="004235B6"/>
    <w:rsid w:val="00426567"/>
    <w:rsid w:val="00437B65"/>
    <w:rsid w:val="00442C51"/>
    <w:rsid w:val="004503C1"/>
    <w:rsid w:val="004506BD"/>
    <w:rsid w:val="00453519"/>
    <w:rsid w:val="00460651"/>
    <w:rsid w:val="00473AA7"/>
    <w:rsid w:val="00475A4B"/>
    <w:rsid w:val="004916EF"/>
    <w:rsid w:val="004A4198"/>
    <w:rsid w:val="004C3D03"/>
    <w:rsid w:val="004C6150"/>
    <w:rsid w:val="004C6D9C"/>
    <w:rsid w:val="004D1AFD"/>
    <w:rsid w:val="004D4C59"/>
    <w:rsid w:val="004D5613"/>
    <w:rsid w:val="004E0E01"/>
    <w:rsid w:val="004F0D35"/>
    <w:rsid w:val="005063E3"/>
    <w:rsid w:val="00511CE9"/>
    <w:rsid w:val="00514200"/>
    <w:rsid w:val="00535966"/>
    <w:rsid w:val="00543774"/>
    <w:rsid w:val="00545283"/>
    <w:rsid w:val="00547E14"/>
    <w:rsid w:val="00565541"/>
    <w:rsid w:val="00567CE2"/>
    <w:rsid w:val="005700E9"/>
    <w:rsid w:val="0057087E"/>
    <w:rsid w:val="00584FDB"/>
    <w:rsid w:val="005905D0"/>
    <w:rsid w:val="005A093B"/>
    <w:rsid w:val="005A55A2"/>
    <w:rsid w:val="005C77AA"/>
    <w:rsid w:val="005D043B"/>
    <w:rsid w:val="005D0D27"/>
    <w:rsid w:val="005E1DAC"/>
    <w:rsid w:val="005E23EF"/>
    <w:rsid w:val="005E3F6F"/>
    <w:rsid w:val="005E6EBD"/>
    <w:rsid w:val="00601B89"/>
    <w:rsid w:val="006022E9"/>
    <w:rsid w:val="006062B0"/>
    <w:rsid w:val="006077AB"/>
    <w:rsid w:val="00615FE3"/>
    <w:rsid w:val="00617A03"/>
    <w:rsid w:val="0062103B"/>
    <w:rsid w:val="00632BA4"/>
    <w:rsid w:val="0063693A"/>
    <w:rsid w:val="0064081E"/>
    <w:rsid w:val="006477D4"/>
    <w:rsid w:val="0065424E"/>
    <w:rsid w:val="00656F42"/>
    <w:rsid w:val="0066263C"/>
    <w:rsid w:val="0066276E"/>
    <w:rsid w:val="006676B0"/>
    <w:rsid w:val="00671518"/>
    <w:rsid w:val="00673256"/>
    <w:rsid w:val="00686BDA"/>
    <w:rsid w:val="006A0589"/>
    <w:rsid w:val="006A3CCD"/>
    <w:rsid w:val="006C3E1C"/>
    <w:rsid w:val="006D5730"/>
    <w:rsid w:val="007017A5"/>
    <w:rsid w:val="0071223C"/>
    <w:rsid w:val="00715D85"/>
    <w:rsid w:val="00716792"/>
    <w:rsid w:val="00717C4B"/>
    <w:rsid w:val="007356F1"/>
    <w:rsid w:val="007525E3"/>
    <w:rsid w:val="0075356B"/>
    <w:rsid w:val="00760440"/>
    <w:rsid w:val="00761E83"/>
    <w:rsid w:val="007646B4"/>
    <w:rsid w:val="00785626"/>
    <w:rsid w:val="00785E1A"/>
    <w:rsid w:val="00786519"/>
    <w:rsid w:val="007A3235"/>
    <w:rsid w:val="007A6ADA"/>
    <w:rsid w:val="007B1C90"/>
    <w:rsid w:val="007C1DC0"/>
    <w:rsid w:val="007C7BB5"/>
    <w:rsid w:val="007C7DB8"/>
    <w:rsid w:val="007E31F9"/>
    <w:rsid w:val="007F1A0D"/>
    <w:rsid w:val="008076EC"/>
    <w:rsid w:val="00810C57"/>
    <w:rsid w:val="008146D0"/>
    <w:rsid w:val="00820B1C"/>
    <w:rsid w:val="008211F4"/>
    <w:rsid w:val="00847060"/>
    <w:rsid w:val="0085151F"/>
    <w:rsid w:val="00855D72"/>
    <w:rsid w:val="00860A2E"/>
    <w:rsid w:val="008850B2"/>
    <w:rsid w:val="00894CB1"/>
    <w:rsid w:val="00896505"/>
    <w:rsid w:val="008A43DC"/>
    <w:rsid w:val="008A5576"/>
    <w:rsid w:val="008A7E43"/>
    <w:rsid w:val="008B19FA"/>
    <w:rsid w:val="008F3414"/>
    <w:rsid w:val="009054D4"/>
    <w:rsid w:val="009075E2"/>
    <w:rsid w:val="00912545"/>
    <w:rsid w:val="00924188"/>
    <w:rsid w:val="00955F45"/>
    <w:rsid w:val="00963431"/>
    <w:rsid w:val="00963E2B"/>
    <w:rsid w:val="00993158"/>
    <w:rsid w:val="009C5599"/>
    <w:rsid w:val="009C7E82"/>
    <w:rsid w:val="009D6E77"/>
    <w:rsid w:val="009E43C9"/>
    <w:rsid w:val="009E60B0"/>
    <w:rsid w:val="009E6965"/>
    <w:rsid w:val="009F1C1E"/>
    <w:rsid w:val="009F5048"/>
    <w:rsid w:val="00A01DB1"/>
    <w:rsid w:val="00A023D3"/>
    <w:rsid w:val="00A028D3"/>
    <w:rsid w:val="00A0652B"/>
    <w:rsid w:val="00A25AAE"/>
    <w:rsid w:val="00A3104E"/>
    <w:rsid w:val="00A336D7"/>
    <w:rsid w:val="00A404E9"/>
    <w:rsid w:val="00A64DAA"/>
    <w:rsid w:val="00A9628F"/>
    <w:rsid w:val="00AA2453"/>
    <w:rsid w:val="00AB075E"/>
    <w:rsid w:val="00AB3549"/>
    <w:rsid w:val="00AC5331"/>
    <w:rsid w:val="00AC64BF"/>
    <w:rsid w:val="00AE3DCE"/>
    <w:rsid w:val="00AF2C14"/>
    <w:rsid w:val="00AF3775"/>
    <w:rsid w:val="00B02C31"/>
    <w:rsid w:val="00B064B2"/>
    <w:rsid w:val="00B178B4"/>
    <w:rsid w:val="00B201A3"/>
    <w:rsid w:val="00B22223"/>
    <w:rsid w:val="00B274B3"/>
    <w:rsid w:val="00B27C78"/>
    <w:rsid w:val="00B339F6"/>
    <w:rsid w:val="00B45C20"/>
    <w:rsid w:val="00B73158"/>
    <w:rsid w:val="00B76FAC"/>
    <w:rsid w:val="00B82555"/>
    <w:rsid w:val="00BA6357"/>
    <w:rsid w:val="00BB1AAC"/>
    <w:rsid w:val="00BC1B45"/>
    <w:rsid w:val="00BD792C"/>
    <w:rsid w:val="00BF283F"/>
    <w:rsid w:val="00C24334"/>
    <w:rsid w:val="00C31E42"/>
    <w:rsid w:val="00C460E1"/>
    <w:rsid w:val="00C5020C"/>
    <w:rsid w:val="00C54019"/>
    <w:rsid w:val="00C5570F"/>
    <w:rsid w:val="00C620E8"/>
    <w:rsid w:val="00C72784"/>
    <w:rsid w:val="00C937EB"/>
    <w:rsid w:val="00C9462B"/>
    <w:rsid w:val="00CB1CBF"/>
    <w:rsid w:val="00CB59AA"/>
    <w:rsid w:val="00CC2F6B"/>
    <w:rsid w:val="00CC65C4"/>
    <w:rsid w:val="00CD0169"/>
    <w:rsid w:val="00CD73E2"/>
    <w:rsid w:val="00CE089A"/>
    <w:rsid w:val="00CF6220"/>
    <w:rsid w:val="00D01FA1"/>
    <w:rsid w:val="00D04C28"/>
    <w:rsid w:val="00D12DDC"/>
    <w:rsid w:val="00D30160"/>
    <w:rsid w:val="00D34C42"/>
    <w:rsid w:val="00D46481"/>
    <w:rsid w:val="00D627DC"/>
    <w:rsid w:val="00D669D5"/>
    <w:rsid w:val="00D816FD"/>
    <w:rsid w:val="00D8569B"/>
    <w:rsid w:val="00D96BE6"/>
    <w:rsid w:val="00D97236"/>
    <w:rsid w:val="00DB04A9"/>
    <w:rsid w:val="00DB4135"/>
    <w:rsid w:val="00DB60C9"/>
    <w:rsid w:val="00DB7663"/>
    <w:rsid w:val="00DE5138"/>
    <w:rsid w:val="00DE5E0D"/>
    <w:rsid w:val="00E01CDC"/>
    <w:rsid w:val="00E45DD5"/>
    <w:rsid w:val="00E501D8"/>
    <w:rsid w:val="00E7004D"/>
    <w:rsid w:val="00E70D1B"/>
    <w:rsid w:val="00E8033C"/>
    <w:rsid w:val="00E85903"/>
    <w:rsid w:val="00E86E32"/>
    <w:rsid w:val="00EA1788"/>
    <w:rsid w:val="00EA1A2D"/>
    <w:rsid w:val="00ED7542"/>
    <w:rsid w:val="00EF0242"/>
    <w:rsid w:val="00EF66A5"/>
    <w:rsid w:val="00F2339B"/>
    <w:rsid w:val="00F25473"/>
    <w:rsid w:val="00F40614"/>
    <w:rsid w:val="00F42931"/>
    <w:rsid w:val="00F50049"/>
    <w:rsid w:val="00F5377D"/>
    <w:rsid w:val="00F5466A"/>
    <w:rsid w:val="00F6044D"/>
    <w:rsid w:val="00F717A7"/>
    <w:rsid w:val="00FA6DA2"/>
    <w:rsid w:val="00FB3994"/>
    <w:rsid w:val="00FC3244"/>
    <w:rsid w:val="00FC62F4"/>
    <w:rsid w:val="00FD3158"/>
    <w:rsid w:val="00FD6582"/>
    <w:rsid w:val="00FE195D"/>
    <w:rsid w:val="00FE20E5"/>
    <w:rsid w:val="00FE679A"/>
    <w:rsid w:val="00FF7370"/>
    <w:rsid w:val="00FF77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8968"/>
  <w15:chartTrackingRefBased/>
  <w15:docId w15:val="{30169A9A-FEC7-40E0-81B8-D5143A7F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57"/>
    <w:pPr>
      <w:spacing w:before="120" w:after="120"/>
      <w:jc w:val="both"/>
    </w:pPr>
    <w:rPr>
      <w:rFonts w:ascii="Cambria" w:hAnsi="Cambria"/>
      <w:sz w:val="24"/>
    </w:rPr>
  </w:style>
  <w:style w:type="paragraph" w:styleId="Heading1">
    <w:name w:val="heading 1"/>
    <w:basedOn w:val="Normal"/>
    <w:next w:val="Normal"/>
    <w:link w:val="Heading1Char"/>
    <w:autoRedefine/>
    <w:uiPriority w:val="9"/>
    <w:qFormat/>
    <w:rsid w:val="005E6EBD"/>
    <w:pPr>
      <w:keepNext/>
      <w:keepLines/>
      <w:numPr>
        <w:numId w:val="1"/>
      </w:numPr>
      <w:spacing w:before="240"/>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uiPriority w:val="9"/>
    <w:unhideWhenUsed/>
    <w:qFormat/>
    <w:rsid w:val="003D7F95"/>
    <w:pPr>
      <w:keepNext/>
      <w:keepLines/>
      <w:numPr>
        <w:ilvl w:val="1"/>
        <w:numId w:val="1"/>
      </w:numPr>
      <w:spacing w:before="160"/>
      <w:outlineLvl w:val="1"/>
    </w:pPr>
    <w:rPr>
      <w:rFonts w:eastAsiaTheme="majorEastAsia" w:cstheme="majorBidi"/>
      <w:b/>
      <w:caps/>
      <w:color w:val="000000" w:themeColor="text1"/>
      <w:szCs w:val="26"/>
    </w:rPr>
  </w:style>
  <w:style w:type="paragraph" w:styleId="Heading3">
    <w:name w:val="heading 3"/>
    <w:basedOn w:val="Normal"/>
    <w:next w:val="Normal"/>
    <w:link w:val="Heading3Char"/>
    <w:uiPriority w:val="9"/>
    <w:unhideWhenUsed/>
    <w:qFormat/>
    <w:rsid w:val="00BD792C"/>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036993"/>
    <w:pPr>
      <w:keepNext/>
      <w:keepLines/>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20176B"/>
    <w:pPr>
      <w:keepNext/>
      <w:keepLines/>
      <w:spacing w:before="40" w:after="0"/>
      <w:outlineLvl w:val="4"/>
    </w:pPr>
    <w:rPr>
      <w:rFonts w:eastAsiaTheme="majorEastAsia" w:cstheme="majorBidi"/>
      <w:color w:val="000000" w:themeColor="text1"/>
      <w:u w:val="single"/>
    </w:rPr>
  </w:style>
  <w:style w:type="paragraph" w:styleId="Heading6">
    <w:name w:val="heading 6"/>
    <w:basedOn w:val="Normal"/>
    <w:next w:val="Normal"/>
    <w:link w:val="Heading6Char"/>
    <w:uiPriority w:val="9"/>
    <w:semiHidden/>
    <w:unhideWhenUsed/>
    <w:qFormat/>
    <w:rsid w:val="004105F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105F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105F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05F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EBD"/>
    <w:rPr>
      <w:rFonts w:ascii="Cambria" w:eastAsiaTheme="majorEastAsia" w:hAnsi="Cambria" w:cstheme="majorBidi"/>
      <w:b/>
      <w:caps/>
      <w:color w:val="000000" w:themeColor="text1"/>
      <w:sz w:val="28"/>
      <w:szCs w:val="32"/>
    </w:rPr>
  </w:style>
  <w:style w:type="character" w:customStyle="1" w:styleId="Heading2Char">
    <w:name w:val="Heading 2 Char"/>
    <w:basedOn w:val="DefaultParagraphFont"/>
    <w:link w:val="Heading2"/>
    <w:uiPriority w:val="9"/>
    <w:rsid w:val="003D7F95"/>
    <w:rPr>
      <w:rFonts w:ascii="Cambria" w:eastAsiaTheme="majorEastAsia" w:hAnsi="Cambria" w:cstheme="majorBidi"/>
      <w:b/>
      <w:caps/>
      <w:color w:val="000000" w:themeColor="text1"/>
      <w:sz w:val="24"/>
      <w:szCs w:val="26"/>
    </w:rPr>
  </w:style>
  <w:style w:type="character" w:customStyle="1" w:styleId="Heading3Char">
    <w:name w:val="Heading 3 Char"/>
    <w:basedOn w:val="DefaultParagraphFont"/>
    <w:link w:val="Heading3"/>
    <w:uiPriority w:val="9"/>
    <w:rsid w:val="00BD792C"/>
    <w:rPr>
      <w:rFonts w:ascii="Cambria" w:eastAsiaTheme="majorEastAsia" w:hAnsi="Cambria" w:cstheme="majorBidi"/>
      <w:b/>
      <w:color w:val="000000" w:themeColor="text1"/>
      <w:sz w:val="24"/>
      <w:szCs w:val="24"/>
    </w:rPr>
  </w:style>
  <w:style w:type="character" w:customStyle="1" w:styleId="Heading4Char">
    <w:name w:val="Heading 4 Char"/>
    <w:basedOn w:val="DefaultParagraphFont"/>
    <w:link w:val="Heading4"/>
    <w:uiPriority w:val="9"/>
    <w:rsid w:val="00036993"/>
    <w:rPr>
      <w:rFonts w:ascii="Cambria" w:eastAsiaTheme="majorEastAsia" w:hAnsi="Cambria" w:cstheme="majorBidi"/>
      <w:b/>
      <w:i/>
      <w:iCs/>
      <w:color w:val="000000" w:themeColor="text1"/>
      <w:sz w:val="24"/>
    </w:rPr>
  </w:style>
  <w:style w:type="character" w:customStyle="1" w:styleId="Heading5Char">
    <w:name w:val="Heading 5 Char"/>
    <w:basedOn w:val="DefaultParagraphFont"/>
    <w:link w:val="Heading5"/>
    <w:uiPriority w:val="9"/>
    <w:rsid w:val="0020176B"/>
    <w:rPr>
      <w:rFonts w:ascii="Cambria" w:eastAsiaTheme="majorEastAsia" w:hAnsi="Cambria" w:cstheme="majorBidi"/>
      <w:color w:val="000000" w:themeColor="text1"/>
      <w:sz w:val="24"/>
      <w:u w:val="single"/>
    </w:rPr>
  </w:style>
  <w:style w:type="character" w:customStyle="1" w:styleId="Heading6Char">
    <w:name w:val="Heading 6 Char"/>
    <w:basedOn w:val="DefaultParagraphFont"/>
    <w:link w:val="Heading6"/>
    <w:uiPriority w:val="9"/>
    <w:semiHidden/>
    <w:rsid w:val="004105F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105F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105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05F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E089A"/>
    <w:pPr>
      <w:ind w:left="720"/>
      <w:contextualSpacing/>
    </w:pPr>
  </w:style>
  <w:style w:type="paragraph" w:styleId="NoSpacing">
    <w:name w:val="No Spacing"/>
    <w:aliases w:val="Bullets"/>
    <w:next w:val="Normal"/>
    <w:uiPriority w:val="1"/>
    <w:qFormat/>
    <w:rsid w:val="00CE089A"/>
    <w:pPr>
      <w:numPr>
        <w:numId w:val="3"/>
      </w:numPr>
      <w:spacing w:before="80" w:after="80" w:line="240" w:lineRule="auto"/>
      <w:jc w:val="both"/>
    </w:pPr>
    <w:rPr>
      <w:rFonts w:ascii="Cambria" w:hAnsi="Cambria"/>
      <w:sz w:val="24"/>
    </w:rPr>
  </w:style>
  <w:style w:type="character" w:styleId="Hyperlink">
    <w:name w:val="Hyperlink"/>
    <w:basedOn w:val="DefaultParagraphFont"/>
    <w:uiPriority w:val="99"/>
    <w:unhideWhenUsed/>
    <w:rsid w:val="00030860"/>
    <w:rPr>
      <w:color w:val="0563C1" w:themeColor="hyperlink"/>
      <w:u w:val="single"/>
    </w:rPr>
  </w:style>
  <w:style w:type="character" w:styleId="UnresolvedMention">
    <w:name w:val="Unresolved Mention"/>
    <w:basedOn w:val="DefaultParagraphFont"/>
    <w:uiPriority w:val="99"/>
    <w:semiHidden/>
    <w:unhideWhenUsed/>
    <w:rsid w:val="00030860"/>
    <w:rPr>
      <w:color w:val="605E5C"/>
      <w:shd w:val="clear" w:color="auto" w:fill="E1DFDD"/>
    </w:rPr>
  </w:style>
  <w:style w:type="paragraph" w:styleId="BalloonText">
    <w:name w:val="Balloon Text"/>
    <w:basedOn w:val="Normal"/>
    <w:link w:val="BalloonTextChar"/>
    <w:uiPriority w:val="99"/>
    <w:semiHidden/>
    <w:unhideWhenUsed/>
    <w:rsid w:val="00357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6E"/>
    <w:rPr>
      <w:rFonts w:ascii="Segoe UI" w:hAnsi="Segoe UI" w:cs="Segoe UI"/>
      <w:sz w:val="18"/>
      <w:szCs w:val="18"/>
    </w:rPr>
  </w:style>
  <w:style w:type="paragraph" w:customStyle="1" w:styleId="Address">
    <w:name w:val="Address"/>
    <w:basedOn w:val="Normal"/>
    <w:link w:val="AddressChar"/>
    <w:qFormat/>
    <w:rsid w:val="00357A6E"/>
    <w:pPr>
      <w:spacing w:after="40"/>
    </w:pPr>
  </w:style>
  <w:style w:type="character" w:styleId="FollowedHyperlink">
    <w:name w:val="FollowedHyperlink"/>
    <w:basedOn w:val="DefaultParagraphFont"/>
    <w:uiPriority w:val="99"/>
    <w:semiHidden/>
    <w:unhideWhenUsed/>
    <w:rsid w:val="00102C0A"/>
    <w:rPr>
      <w:color w:val="954F72" w:themeColor="followedHyperlink"/>
      <w:u w:val="single"/>
    </w:rPr>
  </w:style>
  <w:style w:type="character" w:customStyle="1" w:styleId="AddressChar">
    <w:name w:val="Address Char"/>
    <w:basedOn w:val="DefaultParagraphFont"/>
    <w:link w:val="Address"/>
    <w:rsid w:val="00357A6E"/>
    <w:rPr>
      <w:rFonts w:ascii="Cambria" w:hAnsi="Cambria"/>
      <w:sz w:val="24"/>
    </w:rPr>
  </w:style>
  <w:style w:type="character" w:styleId="PlaceholderText">
    <w:name w:val="Placeholder Text"/>
    <w:basedOn w:val="DefaultParagraphFont"/>
    <w:uiPriority w:val="99"/>
    <w:semiHidden/>
    <w:rsid w:val="00673256"/>
    <w:rPr>
      <w:color w:val="808080"/>
    </w:rPr>
  </w:style>
  <w:style w:type="paragraph" w:styleId="Caption">
    <w:name w:val="caption"/>
    <w:basedOn w:val="Normal"/>
    <w:next w:val="Normal"/>
    <w:uiPriority w:val="35"/>
    <w:unhideWhenUsed/>
    <w:qFormat/>
    <w:rsid w:val="00C460E1"/>
    <w:pPr>
      <w:spacing w:after="200" w:line="240" w:lineRule="auto"/>
    </w:pPr>
    <w:rPr>
      <w:b/>
      <w:iCs/>
      <w:color w:val="000000" w:themeColor="text1"/>
      <w:szCs w:val="18"/>
    </w:rPr>
  </w:style>
  <w:style w:type="table" w:styleId="TableGrid">
    <w:name w:val="Table Grid"/>
    <w:basedOn w:val="TableNormal"/>
    <w:uiPriority w:val="59"/>
    <w:rsid w:val="00FF7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link w:val="FootnoteChar"/>
    <w:qFormat/>
    <w:rsid w:val="00FF7370"/>
    <w:pPr>
      <w:spacing w:before="20" w:after="20"/>
    </w:pPr>
    <w:rPr>
      <w:sz w:val="20"/>
    </w:rPr>
  </w:style>
  <w:style w:type="paragraph" w:customStyle="1" w:styleId="Tableheadings">
    <w:name w:val="Table headings"/>
    <w:basedOn w:val="Normal"/>
    <w:link w:val="TableheadingsChar"/>
    <w:qFormat/>
    <w:rsid w:val="00E86E32"/>
    <w:pPr>
      <w:spacing w:before="60" w:after="60" w:line="240" w:lineRule="auto"/>
      <w:jc w:val="left"/>
    </w:pPr>
    <w:rPr>
      <w:b/>
    </w:rPr>
  </w:style>
  <w:style w:type="character" w:customStyle="1" w:styleId="FootnoteChar">
    <w:name w:val="Footnote Char"/>
    <w:basedOn w:val="DefaultParagraphFont"/>
    <w:link w:val="Footnote"/>
    <w:rsid w:val="00FF7370"/>
    <w:rPr>
      <w:rFonts w:ascii="Cambria" w:hAnsi="Cambria"/>
      <w:sz w:val="20"/>
    </w:rPr>
  </w:style>
  <w:style w:type="character" w:customStyle="1" w:styleId="TableheadingsChar">
    <w:name w:val="Table headings Char"/>
    <w:basedOn w:val="DefaultParagraphFont"/>
    <w:link w:val="Tableheadings"/>
    <w:rsid w:val="00E86E32"/>
    <w:rPr>
      <w:rFonts w:ascii="Cambria" w:hAnsi="Cambria"/>
      <w:b/>
    </w:rPr>
  </w:style>
  <w:style w:type="paragraph" w:customStyle="1" w:styleId="TableParagraph">
    <w:name w:val="Table Paragraph"/>
    <w:basedOn w:val="Normal"/>
    <w:uiPriority w:val="1"/>
    <w:qFormat/>
    <w:rsid w:val="0020176B"/>
    <w:pPr>
      <w:widowControl w:val="0"/>
      <w:spacing w:before="0" w:after="0" w:line="240" w:lineRule="auto"/>
      <w:jc w:val="left"/>
    </w:pPr>
    <w:rPr>
      <w:rFonts w:asciiTheme="minorHAnsi" w:hAnsiTheme="minorHAnsi"/>
      <w:sz w:val="22"/>
      <w:lang w:val="en-US"/>
    </w:rPr>
  </w:style>
  <w:style w:type="paragraph" w:styleId="Header">
    <w:name w:val="header"/>
    <w:basedOn w:val="Normal"/>
    <w:link w:val="HeaderChar"/>
    <w:uiPriority w:val="99"/>
    <w:unhideWhenUsed/>
    <w:rsid w:val="00AF2C1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F2C14"/>
    <w:rPr>
      <w:rFonts w:ascii="Cambria" w:hAnsi="Cambria"/>
      <w:sz w:val="24"/>
    </w:rPr>
  </w:style>
  <w:style w:type="paragraph" w:styleId="Footer">
    <w:name w:val="footer"/>
    <w:basedOn w:val="Normal"/>
    <w:link w:val="FooterChar"/>
    <w:unhideWhenUsed/>
    <w:rsid w:val="00AF2C14"/>
    <w:pPr>
      <w:tabs>
        <w:tab w:val="center" w:pos="4513"/>
        <w:tab w:val="right" w:pos="9026"/>
      </w:tabs>
      <w:spacing w:before="0" w:after="0" w:line="240" w:lineRule="auto"/>
    </w:pPr>
  </w:style>
  <w:style w:type="character" w:customStyle="1" w:styleId="FooterChar">
    <w:name w:val="Footer Char"/>
    <w:basedOn w:val="DefaultParagraphFont"/>
    <w:link w:val="Footer"/>
    <w:rsid w:val="00AF2C14"/>
    <w:rPr>
      <w:rFonts w:ascii="Cambria" w:hAnsi="Cambria"/>
      <w:sz w:val="24"/>
    </w:rPr>
  </w:style>
  <w:style w:type="character" w:styleId="CommentReference">
    <w:name w:val="annotation reference"/>
    <w:basedOn w:val="DefaultParagraphFont"/>
    <w:uiPriority w:val="99"/>
    <w:semiHidden/>
    <w:unhideWhenUsed/>
    <w:rsid w:val="008146D0"/>
    <w:rPr>
      <w:sz w:val="16"/>
      <w:szCs w:val="16"/>
    </w:rPr>
  </w:style>
  <w:style w:type="paragraph" w:styleId="CommentText">
    <w:name w:val="annotation text"/>
    <w:basedOn w:val="Normal"/>
    <w:link w:val="CommentTextChar"/>
    <w:uiPriority w:val="99"/>
    <w:semiHidden/>
    <w:unhideWhenUsed/>
    <w:rsid w:val="008146D0"/>
    <w:pPr>
      <w:spacing w:line="240" w:lineRule="auto"/>
    </w:pPr>
    <w:rPr>
      <w:sz w:val="20"/>
      <w:szCs w:val="20"/>
    </w:rPr>
  </w:style>
  <w:style w:type="character" w:customStyle="1" w:styleId="CommentTextChar">
    <w:name w:val="Comment Text Char"/>
    <w:basedOn w:val="DefaultParagraphFont"/>
    <w:link w:val="CommentText"/>
    <w:uiPriority w:val="99"/>
    <w:semiHidden/>
    <w:rsid w:val="008146D0"/>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8146D0"/>
    <w:rPr>
      <w:b/>
      <w:bCs/>
    </w:rPr>
  </w:style>
  <w:style w:type="character" w:customStyle="1" w:styleId="CommentSubjectChar">
    <w:name w:val="Comment Subject Char"/>
    <w:basedOn w:val="CommentTextChar"/>
    <w:link w:val="CommentSubject"/>
    <w:uiPriority w:val="99"/>
    <w:semiHidden/>
    <w:rsid w:val="008146D0"/>
    <w:rPr>
      <w:rFonts w:ascii="Cambria" w:hAnsi="Cambria"/>
      <w:b/>
      <w:bCs/>
      <w:sz w:val="20"/>
      <w:szCs w:val="20"/>
    </w:rPr>
  </w:style>
  <w:style w:type="paragraph" w:customStyle="1" w:styleId="Default">
    <w:name w:val="Default"/>
    <w:rsid w:val="002B763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201A3"/>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539">
      <w:bodyDiv w:val="1"/>
      <w:marLeft w:val="0"/>
      <w:marRight w:val="0"/>
      <w:marTop w:val="0"/>
      <w:marBottom w:val="0"/>
      <w:divBdr>
        <w:top w:val="none" w:sz="0" w:space="0" w:color="auto"/>
        <w:left w:val="none" w:sz="0" w:space="0" w:color="auto"/>
        <w:bottom w:val="none" w:sz="0" w:space="0" w:color="auto"/>
        <w:right w:val="none" w:sz="0" w:space="0" w:color="auto"/>
      </w:divBdr>
    </w:div>
    <w:div w:id="283510124">
      <w:bodyDiv w:val="1"/>
      <w:marLeft w:val="0"/>
      <w:marRight w:val="0"/>
      <w:marTop w:val="0"/>
      <w:marBottom w:val="0"/>
      <w:divBdr>
        <w:top w:val="none" w:sz="0" w:space="0" w:color="auto"/>
        <w:left w:val="none" w:sz="0" w:space="0" w:color="auto"/>
        <w:bottom w:val="none" w:sz="0" w:space="0" w:color="auto"/>
        <w:right w:val="none" w:sz="0" w:space="0" w:color="auto"/>
      </w:divBdr>
    </w:div>
    <w:div w:id="295573806">
      <w:bodyDiv w:val="1"/>
      <w:marLeft w:val="0"/>
      <w:marRight w:val="0"/>
      <w:marTop w:val="0"/>
      <w:marBottom w:val="0"/>
      <w:divBdr>
        <w:top w:val="none" w:sz="0" w:space="0" w:color="auto"/>
        <w:left w:val="none" w:sz="0" w:space="0" w:color="auto"/>
        <w:bottom w:val="none" w:sz="0" w:space="0" w:color="auto"/>
        <w:right w:val="none" w:sz="0" w:space="0" w:color="auto"/>
      </w:divBdr>
    </w:div>
    <w:div w:id="371348282">
      <w:bodyDiv w:val="1"/>
      <w:marLeft w:val="0"/>
      <w:marRight w:val="0"/>
      <w:marTop w:val="0"/>
      <w:marBottom w:val="0"/>
      <w:divBdr>
        <w:top w:val="none" w:sz="0" w:space="0" w:color="auto"/>
        <w:left w:val="none" w:sz="0" w:space="0" w:color="auto"/>
        <w:bottom w:val="none" w:sz="0" w:space="0" w:color="auto"/>
        <w:right w:val="none" w:sz="0" w:space="0" w:color="auto"/>
      </w:divBdr>
    </w:div>
    <w:div w:id="455100274">
      <w:bodyDiv w:val="1"/>
      <w:marLeft w:val="0"/>
      <w:marRight w:val="0"/>
      <w:marTop w:val="0"/>
      <w:marBottom w:val="0"/>
      <w:divBdr>
        <w:top w:val="none" w:sz="0" w:space="0" w:color="auto"/>
        <w:left w:val="none" w:sz="0" w:space="0" w:color="auto"/>
        <w:bottom w:val="none" w:sz="0" w:space="0" w:color="auto"/>
        <w:right w:val="none" w:sz="0" w:space="0" w:color="auto"/>
      </w:divBdr>
    </w:div>
    <w:div w:id="545719393">
      <w:bodyDiv w:val="1"/>
      <w:marLeft w:val="0"/>
      <w:marRight w:val="0"/>
      <w:marTop w:val="0"/>
      <w:marBottom w:val="0"/>
      <w:divBdr>
        <w:top w:val="none" w:sz="0" w:space="0" w:color="auto"/>
        <w:left w:val="none" w:sz="0" w:space="0" w:color="auto"/>
        <w:bottom w:val="none" w:sz="0" w:space="0" w:color="auto"/>
        <w:right w:val="none" w:sz="0" w:space="0" w:color="auto"/>
      </w:divBdr>
    </w:div>
    <w:div w:id="557595153">
      <w:bodyDiv w:val="1"/>
      <w:marLeft w:val="0"/>
      <w:marRight w:val="0"/>
      <w:marTop w:val="0"/>
      <w:marBottom w:val="0"/>
      <w:divBdr>
        <w:top w:val="none" w:sz="0" w:space="0" w:color="auto"/>
        <w:left w:val="none" w:sz="0" w:space="0" w:color="auto"/>
        <w:bottom w:val="none" w:sz="0" w:space="0" w:color="auto"/>
        <w:right w:val="none" w:sz="0" w:space="0" w:color="auto"/>
      </w:divBdr>
    </w:div>
    <w:div w:id="589628608">
      <w:bodyDiv w:val="1"/>
      <w:marLeft w:val="0"/>
      <w:marRight w:val="0"/>
      <w:marTop w:val="0"/>
      <w:marBottom w:val="0"/>
      <w:divBdr>
        <w:top w:val="none" w:sz="0" w:space="0" w:color="auto"/>
        <w:left w:val="none" w:sz="0" w:space="0" w:color="auto"/>
        <w:bottom w:val="none" w:sz="0" w:space="0" w:color="auto"/>
        <w:right w:val="none" w:sz="0" w:space="0" w:color="auto"/>
      </w:divBdr>
    </w:div>
    <w:div w:id="936131846">
      <w:bodyDiv w:val="1"/>
      <w:marLeft w:val="0"/>
      <w:marRight w:val="0"/>
      <w:marTop w:val="0"/>
      <w:marBottom w:val="0"/>
      <w:divBdr>
        <w:top w:val="none" w:sz="0" w:space="0" w:color="auto"/>
        <w:left w:val="none" w:sz="0" w:space="0" w:color="auto"/>
        <w:bottom w:val="none" w:sz="0" w:space="0" w:color="auto"/>
        <w:right w:val="none" w:sz="0" w:space="0" w:color="auto"/>
      </w:divBdr>
    </w:div>
    <w:div w:id="1125268452">
      <w:bodyDiv w:val="1"/>
      <w:marLeft w:val="0"/>
      <w:marRight w:val="0"/>
      <w:marTop w:val="0"/>
      <w:marBottom w:val="0"/>
      <w:divBdr>
        <w:top w:val="none" w:sz="0" w:space="0" w:color="auto"/>
        <w:left w:val="none" w:sz="0" w:space="0" w:color="auto"/>
        <w:bottom w:val="none" w:sz="0" w:space="0" w:color="auto"/>
        <w:right w:val="none" w:sz="0" w:space="0" w:color="auto"/>
      </w:divBdr>
    </w:div>
    <w:div w:id="1160930422">
      <w:bodyDiv w:val="1"/>
      <w:marLeft w:val="0"/>
      <w:marRight w:val="0"/>
      <w:marTop w:val="0"/>
      <w:marBottom w:val="0"/>
      <w:divBdr>
        <w:top w:val="none" w:sz="0" w:space="0" w:color="auto"/>
        <w:left w:val="none" w:sz="0" w:space="0" w:color="auto"/>
        <w:bottom w:val="none" w:sz="0" w:space="0" w:color="auto"/>
        <w:right w:val="none" w:sz="0" w:space="0" w:color="auto"/>
      </w:divBdr>
    </w:div>
    <w:div w:id="1300308345">
      <w:bodyDiv w:val="1"/>
      <w:marLeft w:val="0"/>
      <w:marRight w:val="0"/>
      <w:marTop w:val="0"/>
      <w:marBottom w:val="0"/>
      <w:divBdr>
        <w:top w:val="none" w:sz="0" w:space="0" w:color="auto"/>
        <w:left w:val="none" w:sz="0" w:space="0" w:color="auto"/>
        <w:bottom w:val="none" w:sz="0" w:space="0" w:color="auto"/>
        <w:right w:val="none" w:sz="0" w:space="0" w:color="auto"/>
      </w:divBdr>
    </w:div>
    <w:div w:id="1367759042">
      <w:bodyDiv w:val="1"/>
      <w:marLeft w:val="0"/>
      <w:marRight w:val="0"/>
      <w:marTop w:val="0"/>
      <w:marBottom w:val="0"/>
      <w:divBdr>
        <w:top w:val="none" w:sz="0" w:space="0" w:color="auto"/>
        <w:left w:val="none" w:sz="0" w:space="0" w:color="auto"/>
        <w:bottom w:val="none" w:sz="0" w:space="0" w:color="auto"/>
        <w:right w:val="none" w:sz="0" w:space="0" w:color="auto"/>
      </w:divBdr>
    </w:div>
    <w:div w:id="1400321320">
      <w:bodyDiv w:val="1"/>
      <w:marLeft w:val="0"/>
      <w:marRight w:val="0"/>
      <w:marTop w:val="0"/>
      <w:marBottom w:val="0"/>
      <w:divBdr>
        <w:top w:val="none" w:sz="0" w:space="0" w:color="auto"/>
        <w:left w:val="none" w:sz="0" w:space="0" w:color="auto"/>
        <w:bottom w:val="none" w:sz="0" w:space="0" w:color="auto"/>
        <w:right w:val="none" w:sz="0" w:space="0" w:color="auto"/>
      </w:divBdr>
    </w:div>
    <w:div w:id="1403404474">
      <w:bodyDiv w:val="1"/>
      <w:marLeft w:val="0"/>
      <w:marRight w:val="0"/>
      <w:marTop w:val="0"/>
      <w:marBottom w:val="0"/>
      <w:divBdr>
        <w:top w:val="none" w:sz="0" w:space="0" w:color="auto"/>
        <w:left w:val="none" w:sz="0" w:space="0" w:color="auto"/>
        <w:bottom w:val="none" w:sz="0" w:space="0" w:color="auto"/>
        <w:right w:val="none" w:sz="0" w:space="0" w:color="auto"/>
      </w:divBdr>
    </w:div>
    <w:div w:id="1437363690">
      <w:bodyDiv w:val="1"/>
      <w:marLeft w:val="0"/>
      <w:marRight w:val="0"/>
      <w:marTop w:val="0"/>
      <w:marBottom w:val="0"/>
      <w:divBdr>
        <w:top w:val="none" w:sz="0" w:space="0" w:color="auto"/>
        <w:left w:val="none" w:sz="0" w:space="0" w:color="auto"/>
        <w:bottom w:val="none" w:sz="0" w:space="0" w:color="auto"/>
        <w:right w:val="none" w:sz="0" w:space="0" w:color="auto"/>
      </w:divBdr>
    </w:div>
    <w:div w:id="1469081882">
      <w:bodyDiv w:val="1"/>
      <w:marLeft w:val="0"/>
      <w:marRight w:val="0"/>
      <w:marTop w:val="0"/>
      <w:marBottom w:val="0"/>
      <w:divBdr>
        <w:top w:val="none" w:sz="0" w:space="0" w:color="auto"/>
        <w:left w:val="none" w:sz="0" w:space="0" w:color="auto"/>
        <w:bottom w:val="none" w:sz="0" w:space="0" w:color="auto"/>
        <w:right w:val="none" w:sz="0" w:space="0" w:color="auto"/>
      </w:divBdr>
    </w:div>
    <w:div w:id="1493646000">
      <w:bodyDiv w:val="1"/>
      <w:marLeft w:val="0"/>
      <w:marRight w:val="0"/>
      <w:marTop w:val="0"/>
      <w:marBottom w:val="0"/>
      <w:divBdr>
        <w:top w:val="none" w:sz="0" w:space="0" w:color="auto"/>
        <w:left w:val="none" w:sz="0" w:space="0" w:color="auto"/>
        <w:bottom w:val="none" w:sz="0" w:space="0" w:color="auto"/>
        <w:right w:val="none" w:sz="0" w:space="0" w:color="auto"/>
      </w:divBdr>
    </w:div>
    <w:div w:id="1518617982">
      <w:bodyDiv w:val="1"/>
      <w:marLeft w:val="0"/>
      <w:marRight w:val="0"/>
      <w:marTop w:val="0"/>
      <w:marBottom w:val="0"/>
      <w:divBdr>
        <w:top w:val="none" w:sz="0" w:space="0" w:color="auto"/>
        <w:left w:val="none" w:sz="0" w:space="0" w:color="auto"/>
        <w:bottom w:val="none" w:sz="0" w:space="0" w:color="auto"/>
        <w:right w:val="none" w:sz="0" w:space="0" w:color="auto"/>
      </w:divBdr>
    </w:div>
    <w:div w:id="1766851202">
      <w:bodyDiv w:val="1"/>
      <w:marLeft w:val="0"/>
      <w:marRight w:val="0"/>
      <w:marTop w:val="0"/>
      <w:marBottom w:val="0"/>
      <w:divBdr>
        <w:top w:val="none" w:sz="0" w:space="0" w:color="auto"/>
        <w:left w:val="none" w:sz="0" w:space="0" w:color="auto"/>
        <w:bottom w:val="none" w:sz="0" w:space="0" w:color="auto"/>
        <w:right w:val="none" w:sz="0" w:space="0" w:color="auto"/>
      </w:divBdr>
    </w:div>
    <w:div w:id="1824009103">
      <w:bodyDiv w:val="1"/>
      <w:marLeft w:val="0"/>
      <w:marRight w:val="0"/>
      <w:marTop w:val="0"/>
      <w:marBottom w:val="0"/>
      <w:divBdr>
        <w:top w:val="none" w:sz="0" w:space="0" w:color="auto"/>
        <w:left w:val="none" w:sz="0" w:space="0" w:color="auto"/>
        <w:bottom w:val="none" w:sz="0" w:space="0" w:color="auto"/>
        <w:right w:val="none" w:sz="0" w:space="0" w:color="auto"/>
      </w:divBdr>
    </w:div>
    <w:div w:id="20788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aftphar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ga.gov.au/reporting-problem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43BAF-6C38-400F-B740-B98CAF12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2068</Words>
  <Characters>11710</Characters>
  <Application>Microsoft Office Word</Application>
  <DocSecurity>0</DocSecurity>
  <Lines>243</Lines>
  <Paragraphs>143</Paragraphs>
  <ScaleCrop>false</ScaleCrop>
  <HeadingPairs>
    <vt:vector size="2" baseType="variant">
      <vt:variant>
        <vt:lpstr>Title</vt:lpstr>
      </vt:variant>
      <vt:variant>
        <vt:i4>1</vt:i4>
      </vt:variant>
    </vt:vector>
  </HeadingPairs>
  <TitlesOfParts>
    <vt:vector size="1" baseType="lpstr">
      <vt:lpstr>Attachment Product information for Pyrazinamide AFT</vt:lpstr>
    </vt:vector>
  </TitlesOfParts>
  <Company>AFT Pharmaceuticals Pty Ltd</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Pyrazinamide AFT</dc:title>
  <dc:subject>prescription medicines</dc:subject>
  <dc:creator>AFT Pharmaceuticals Pty Ltd</dc:creator>
  <cp:keywords/>
  <dc:description/>
  <cp:lastModifiedBy>LACK, Janet</cp:lastModifiedBy>
  <cp:revision>3</cp:revision>
  <cp:lastPrinted>2024-10-01T21:24:00Z</cp:lastPrinted>
  <dcterms:created xsi:type="dcterms:W3CDTF">2025-08-18T04:25:00Z</dcterms:created>
  <dcterms:modified xsi:type="dcterms:W3CDTF">2025-08-18T04:31:00Z</dcterms:modified>
</cp:coreProperties>
</file>