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0B950150" w:rsidR="00F02AEC" w:rsidRPr="00215D48" w:rsidRDefault="00346EC2" w:rsidP="007452E8">
            <w:pPr>
              <w:pStyle w:val="Title"/>
            </w:pPr>
            <w:r w:rsidRPr="00346EC2">
              <w:t>Australian Public Assessment Report for</w:t>
            </w:r>
            <w:r w:rsidR="00207474">
              <w:t xml:space="preserve"> </w:t>
            </w:r>
            <w:r w:rsidR="00506362">
              <w:t>OMLYCLO</w:t>
            </w:r>
          </w:p>
        </w:tc>
      </w:tr>
      <w:tr w:rsidR="00F02AEC" w:rsidRPr="00215D48" w14:paraId="318A40A3" w14:textId="77777777" w:rsidTr="00346EC2">
        <w:trPr>
          <w:trHeight w:val="995"/>
        </w:trPr>
        <w:tc>
          <w:tcPr>
            <w:tcW w:w="8720" w:type="dxa"/>
          </w:tcPr>
          <w:p w14:paraId="1AA7C701" w14:textId="5DD39EC6" w:rsidR="00F02AEC" w:rsidRPr="00215D48" w:rsidRDefault="00346EC2" w:rsidP="007452E8">
            <w:pPr>
              <w:pStyle w:val="Subtitle"/>
              <w:ind w:left="0"/>
            </w:pPr>
            <w:r w:rsidRPr="00346EC2">
              <w:t>Active ingredient:</w:t>
            </w:r>
            <w:r w:rsidR="00BF46DC">
              <w:t xml:space="preserve"> </w:t>
            </w:r>
            <w:bookmarkStart w:id="0" w:name="_Hlk206058143"/>
            <w:r w:rsidR="009253D5">
              <w:t>O</w:t>
            </w:r>
            <w:r w:rsidR="008855C1" w:rsidRPr="008855C1">
              <w:t>malizumab</w:t>
            </w:r>
            <w:bookmarkEnd w:id="0"/>
          </w:p>
        </w:tc>
      </w:tr>
      <w:tr w:rsidR="00346EC2" w:rsidRPr="00215D48" w14:paraId="362CCAE4" w14:textId="77777777" w:rsidTr="007452E8">
        <w:trPr>
          <w:trHeight w:val="1916"/>
        </w:trPr>
        <w:tc>
          <w:tcPr>
            <w:tcW w:w="8720" w:type="dxa"/>
          </w:tcPr>
          <w:p w14:paraId="709C45C0" w14:textId="467D28F2" w:rsidR="00346EC2" w:rsidRPr="00215D48" w:rsidRDefault="00346EC2" w:rsidP="007452E8">
            <w:pPr>
              <w:pStyle w:val="Subtitle"/>
              <w:ind w:left="0"/>
            </w:pPr>
            <w:r w:rsidRPr="00346EC2">
              <w:t>Sponsor:</w:t>
            </w:r>
            <w:r w:rsidR="008855C1">
              <w:t xml:space="preserve"> </w:t>
            </w:r>
            <w:bookmarkStart w:id="1" w:name="_Hlk206058170"/>
            <w:r w:rsidR="008855C1" w:rsidRPr="008855C1">
              <w:t>Celltrion Healthcare Australia Pty Ltd</w:t>
            </w:r>
            <w:bookmarkEnd w:id="1"/>
          </w:p>
        </w:tc>
      </w:tr>
      <w:tr w:rsidR="00F02AEC" w:rsidRPr="00215D48" w14:paraId="37F2AA1F" w14:textId="77777777" w:rsidTr="007452E8">
        <w:tc>
          <w:tcPr>
            <w:tcW w:w="8720" w:type="dxa"/>
          </w:tcPr>
          <w:p w14:paraId="1FDE8DCD" w14:textId="0882F6D7" w:rsidR="00F02AEC" w:rsidRPr="00215D48" w:rsidRDefault="008855C1" w:rsidP="007452E8">
            <w:pPr>
              <w:pStyle w:val="Date"/>
            </w:pPr>
            <w:r>
              <w:t>July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eastAsiaTheme="minorEastAsia"/>
          <w:szCs w:val="20"/>
        </w:rPr>
      </w:sdtEndPr>
      <w:sdtContent>
        <w:p w14:paraId="0A6ADA2B" w14:textId="77777777" w:rsidR="00F02AEC" w:rsidRPr="00215D48" w:rsidRDefault="00F02AEC" w:rsidP="007452E8">
          <w:pPr>
            <w:pStyle w:val="NonTOCheading2"/>
          </w:pPr>
          <w:r w:rsidRPr="00215D48">
            <w:t>Contents</w:t>
          </w:r>
        </w:p>
        <w:p w14:paraId="36ACA25F" w14:textId="3E082F36" w:rsidR="00DF15F5" w:rsidRDefault="00F02AEC">
          <w:pPr>
            <w:pStyle w:val="TOC2"/>
            <w:rPr>
              <w:rFonts w:asciiTheme="minorHAnsi" w:eastAsiaTheme="minorEastAsia" w:hAnsiTheme="minorHAnsi" w:cstheme="minorBidi"/>
              <w:b w:val="0"/>
              <w:noProof/>
              <w:color w:val="auto"/>
              <w:kern w:val="2"/>
              <w:sz w:val="24"/>
              <w:szCs w:val="24"/>
              <w:lang w:eastAsia="en-AU"/>
              <w14:ligatures w14:val="standardContextual"/>
            </w:rPr>
          </w:pPr>
          <w:r w:rsidRPr="00215D48">
            <w:rPr>
              <w:sz w:val="32"/>
            </w:rPr>
            <w:fldChar w:fldCharType="begin"/>
          </w:r>
          <w:r w:rsidRPr="00215D48">
            <w:instrText xml:space="preserve"> TOC \h \z \u \t "Heading 2,1,Heading 3,2,Heading 4,3" </w:instrText>
          </w:r>
          <w:r w:rsidRPr="00215D48">
            <w:rPr>
              <w:sz w:val="32"/>
            </w:rPr>
            <w:fldChar w:fldCharType="separate"/>
          </w:r>
          <w:hyperlink w:anchor="_Toc205369274" w:history="1">
            <w:r w:rsidR="00DF15F5" w:rsidRPr="00480D76">
              <w:rPr>
                <w:rStyle w:val="Hyperlink"/>
                <w:noProof/>
              </w:rPr>
              <w:t>List of abbreviations</w:t>
            </w:r>
            <w:r w:rsidR="00DF15F5">
              <w:rPr>
                <w:noProof/>
                <w:webHidden/>
              </w:rPr>
              <w:tab/>
            </w:r>
            <w:r w:rsidR="00DF15F5">
              <w:rPr>
                <w:noProof/>
                <w:webHidden/>
              </w:rPr>
              <w:fldChar w:fldCharType="begin"/>
            </w:r>
            <w:r w:rsidR="00DF15F5">
              <w:rPr>
                <w:noProof/>
                <w:webHidden/>
              </w:rPr>
              <w:instrText xml:space="preserve"> PAGEREF _Toc205369274 \h </w:instrText>
            </w:r>
            <w:r w:rsidR="00DF15F5">
              <w:rPr>
                <w:noProof/>
                <w:webHidden/>
              </w:rPr>
            </w:r>
            <w:r w:rsidR="00DF15F5">
              <w:rPr>
                <w:noProof/>
                <w:webHidden/>
              </w:rPr>
              <w:fldChar w:fldCharType="separate"/>
            </w:r>
            <w:r w:rsidR="00DF15F5">
              <w:rPr>
                <w:noProof/>
                <w:webHidden/>
              </w:rPr>
              <w:t>4</w:t>
            </w:r>
            <w:r w:rsidR="00DF15F5">
              <w:rPr>
                <w:noProof/>
                <w:webHidden/>
              </w:rPr>
              <w:fldChar w:fldCharType="end"/>
            </w:r>
          </w:hyperlink>
        </w:p>
        <w:p w14:paraId="17DDF3E0" w14:textId="5F015E44" w:rsidR="00DF15F5" w:rsidRDefault="00DF15F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369275" w:history="1">
            <w:r w:rsidRPr="00480D76">
              <w:rPr>
                <w:rStyle w:val="Hyperlink"/>
                <w:noProof/>
              </w:rPr>
              <w:t>OMLYCLO (omalizumab) submission</w:t>
            </w:r>
            <w:r>
              <w:rPr>
                <w:noProof/>
                <w:webHidden/>
              </w:rPr>
              <w:tab/>
            </w:r>
            <w:r>
              <w:rPr>
                <w:noProof/>
                <w:webHidden/>
              </w:rPr>
              <w:fldChar w:fldCharType="begin"/>
            </w:r>
            <w:r>
              <w:rPr>
                <w:noProof/>
                <w:webHidden/>
              </w:rPr>
              <w:instrText xml:space="preserve"> PAGEREF _Toc205369275 \h </w:instrText>
            </w:r>
            <w:r>
              <w:rPr>
                <w:noProof/>
                <w:webHidden/>
              </w:rPr>
            </w:r>
            <w:r>
              <w:rPr>
                <w:noProof/>
                <w:webHidden/>
              </w:rPr>
              <w:fldChar w:fldCharType="separate"/>
            </w:r>
            <w:r>
              <w:rPr>
                <w:noProof/>
                <w:webHidden/>
              </w:rPr>
              <w:t>5</w:t>
            </w:r>
            <w:r>
              <w:rPr>
                <w:noProof/>
                <w:webHidden/>
              </w:rPr>
              <w:fldChar w:fldCharType="end"/>
            </w:r>
          </w:hyperlink>
        </w:p>
        <w:p w14:paraId="38E1984A" w14:textId="1EEA42D4"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76" w:history="1">
            <w:r w:rsidRPr="00480D76">
              <w:rPr>
                <w:rStyle w:val="Hyperlink"/>
                <w:noProof/>
              </w:rPr>
              <w:t>Proposed indication</w:t>
            </w:r>
            <w:r>
              <w:rPr>
                <w:noProof/>
                <w:webHidden/>
              </w:rPr>
              <w:tab/>
            </w:r>
            <w:r>
              <w:rPr>
                <w:noProof/>
                <w:webHidden/>
              </w:rPr>
              <w:fldChar w:fldCharType="begin"/>
            </w:r>
            <w:r>
              <w:rPr>
                <w:noProof/>
                <w:webHidden/>
              </w:rPr>
              <w:instrText xml:space="preserve"> PAGEREF _Toc205369276 \h </w:instrText>
            </w:r>
            <w:r>
              <w:rPr>
                <w:noProof/>
                <w:webHidden/>
              </w:rPr>
            </w:r>
            <w:r>
              <w:rPr>
                <w:noProof/>
                <w:webHidden/>
              </w:rPr>
              <w:fldChar w:fldCharType="separate"/>
            </w:r>
            <w:r>
              <w:rPr>
                <w:noProof/>
                <w:webHidden/>
              </w:rPr>
              <w:t>6</w:t>
            </w:r>
            <w:r>
              <w:rPr>
                <w:noProof/>
                <w:webHidden/>
              </w:rPr>
              <w:fldChar w:fldCharType="end"/>
            </w:r>
          </w:hyperlink>
        </w:p>
        <w:p w14:paraId="419C2666" w14:textId="0CB626D1"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77" w:history="1">
            <w:r w:rsidRPr="00480D76">
              <w:rPr>
                <w:rStyle w:val="Hyperlink"/>
                <w:noProof/>
              </w:rPr>
              <w:t>The conditions</w:t>
            </w:r>
            <w:r>
              <w:rPr>
                <w:noProof/>
                <w:webHidden/>
              </w:rPr>
              <w:tab/>
            </w:r>
            <w:r>
              <w:rPr>
                <w:noProof/>
                <w:webHidden/>
              </w:rPr>
              <w:fldChar w:fldCharType="begin"/>
            </w:r>
            <w:r>
              <w:rPr>
                <w:noProof/>
                <w:webHidden/>
              </w:rPr>
              <w:instrText xml:space="preserve"> PAGEREF _Toc205369277 \h </w:instrText>
            </w:r>
            <w:r>
              <w:rPr>
                <w:noProof/>
                <w:webHidden/>
              </w:rPr>
            </w:r>
            <w:r>
              <w:rPr>
                <w:noProof/>
                <w:webHidden/>
              </w:rPr>
              <w:fldChar w:fldCharType="separate"/>
            </w:r>
            <w:r>
              <w:rPr>
                <w:noProof/>
                <w:webHidden/>
              </w:rPr>
              <w:t>7</w:t>
            </w:r>
            <w:r>
              <w:rPr>
                <w:noProof/>
                <w:webHidden/>
              </w:rPr>
              <w:fldChar w:fldCharType="end"/>
            </w:r>
          </w:hyperlink>
        </w:p>
        <w:p w14:paraId="1E79F6E4" w14:textId="5300BB8B"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78" w:history="1">
            <w:r w:rsidRPr="00480D76">
              <w:rPr>
                <w:rStyle w:val="Hyperlink"/>
                <w:noProof/>
              </w:rPr>
              <w:t>Current treatment options</w:t>
            </w:r>
            <w:r>
              <w:rPr>
                <w:noProof/>
                <w:webHidden/>
              </w:rPr>
              <w:tab/>
            </w:r>
            <w:r>
              <w:rPr>
                <w:noProof/>
                <w:webHidden/>
              </w:rPr>
              <w:fldChar w:fldCharType="begin"/>
            </w:r>
            <w:r>
              <w:rPr>
                <w:noProof/>
                <w:webHidden/>
              </w:rPr>
              <w:instrText xml:space="preserve"> PAGEREF _Toc205369278 \h </w:instrText>
            </w:r>
            <w:r>
              <w:rPr>
                <w:noProof/>
                <w:webHidden/>
              </w:rPr>
            </w:r>
            <w:r>
              <w:rPr>
                <w:noProof/>
                <w:webHidden/>
              </w:rPr>
              <w:fldChar w:fldCharType="separate"/>
            </w:r>
            <w:r>
              <w:rPr>
                <w:noProof/>
                <w:webHidden/>
              </w:rPr>
              <w:t>8</w:t>
            </w:r>
            <w:r>
              <w:rPr>
                <w:noProof/>
                <w:webHidden/>
              </w:rPr>
              <w:fldChar w:fldCharType="end"/>
            </w:r>
          </w:hyperlink>
        </w:p>
        <w:p w14:paraId="48014884" w14:textId="34103848"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79" w:history="1">
            <w:r w:rsidRPr="00480D76">
              <w:rPr>
                <w:rStyle w:val="Hyperlink"/>
                <w:noProof/>
              </w:rPr>
              <w:t>Clinical rationale</w:t>
            </w:r>
            <w:r>
              <w:rPr>
                <w:noProof/>
                <w:webHidden/>
              </w:rPr>
              <w:tab/>
            </w:r>
            <w:r>
              <w:rPr>
                <w:noProof/>
                <w:webHidden/>
              </w:rPr>
              <w:fldChar w:fldCharType="begin"/>
            </w:r>
            <w:r>
              <w:rPr>
                <w:noProof/>
                <w:webHidden/>
              </w:rPr>
              <w:instrText xml:space="preserve"> PAGEREF _Toc205369279 \h </w:instrText>
            </w:r>
            <w:r>
              <w:rPr>
                <w:noProof/>
                <w:webHidden/>
              </w:rPr>
            </w:r>
            <w:r>
              <w:rPr>
                <w:noProof/>
                <w:webHidden/>
              </w:rPr>
              <w:fldChar w:fldCharType="separate"/>
            </w:r>
            <w:r>
              <w:rPr>
                <w:noProof/>
                <w:webHidden/>
              </w:rPr>
              <w:t>8</w:t>
            </w:r>
            <w:r>
              <w:rPr>
                <w:noProof/>
                <w:webHidden/>
              </w:rPr>
              <w:fldChar w:fldCharType="end"/>
            </w:r>
          </w:hyperlink>
        </w:p>
        <w:p w14:paraId="7447D8ED" w14:textId="157FA94A"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80" w:history="1">
            <w:r w:rsidRPr="00480D76">
              <w:rPr>
                <w:rStyle w:val="Hyperlink"/>
                <w:noProof/>
              </w:rPr>
              <w:t>Regulatory status</w:t>
            </w:r>
            <w:r>
              <w:rPr>
                <w:noProof/>
                <w:webHidden/>
              </w:rPr>
              <w:tab/>
            </w:r>
            <w:r>
              <w:rPr>
                <w:noProof/>
                <w:webHidden/>
              </w:rPr>
              <w:fldChar w:fldCharType="begin"/>
            </w:r>
            <w:r>
              <w:rPr>
                <w:noProof/>
                <w:webHidden/>
              </w:rPr>
              <w:instrText xml:space="preserve"> PAGEREF _Toc205369280 \h </w:instrText>
            </w:r>
            <w:r>
              <w:rPr>
                <w:noProof/>
                <w:webHidden/>
              </w:rPr>
            </w:r>
            <w:r>
              <w:rPr>
                <w:noProof/>
                <w:webHidden/>
              </w:rPr>
              <w:fldChar w:fldCharType="separate"/>
            </w:r>
            <w:r>
              <w:rPr>
                <w:noProof/>
                <w:webHidden/>
              </w:rPr>
              <w:t>8</w:t>
            </w:r>
            <w:r>
              <w:rPr>
                <w:noProof/>
                <w:webHidden/>
              </w:rPr>
              <w:fldChar w:fldCharType="end"/>
            </w:r>
          </w:hyperlink>
        </w:p>
        <w:p w14:paraId="0359E84C" w14:textId="3248B345"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81" w:history="1">
            <w:r w:rsidRPr="00480D76">
              <w:rPr>
                <w:rStyle w:val="Hyperlink"/>
                <w:noProof/>
              </w:rPr>
              <w:t>Registration timeline</w:t>
            </w:r>
            <w:r>
              <w:rPr>
                <w:noProof/>
                <w:webHidden/>
              </w:rPr>
              <w:tab/>
            </w:r>
            <w:r>
              <w:rPr>
                <w:noProof/>
                <w:webHidden/>
              </w:rPr>
              <w:fldChar w:fldCharType="begin"/>
            </w:r>
            <w:r>
              <w:rPr>
                <w:noProof/>
                <w:webHidden/>
              </w:rPr>
              <w:instrText xml:space="preserve"> PAGEREF _Toc205369281 \h </w:instrText>
            </w:r>
            <w:r>
              <w:rPr>
                <w:noProof/>
                <w:webHidden/>
              </w:rPr>
            </w:r>
            <w:r>
              <w:rPr>
                <w:noProof/>
                <w:webHidden/>
              </w:rPr>
              <w:fldChar w:fldCharType="separate"/>
            </w:r>
            <w:r>
              <w:rPr>
                <w:noProof/>
                <w:webHidden/>
              </w:rPr>
              <w:t>9</w:t>
            </w:r>
            <w:r>
              <w:rPr>
                <w:noProof/>
                <w:webHidden/>
              </w:rPr>
              <w:fldChar w:fldCharType="end"/>
            </w:r>
          </w:hyperlink>
        </w:p>
        <w:p w14:paraId="2B316A2D" w14:textId="13DB804A" w:rsidR="00DF15F5" w:rsidRDefault="00DF15F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369282" w:history="1">
            <w:r w:rsidRPr="00480D76">
              <w:rPr>
                <w:rStyle w:val="Hyperlink"/>
                <w:noProof/>
              </w:rPr>
              <w:t>Assessment overview</w:t>
            </w:r>
            <w:r>
              <w:rPr>
                <w:noProof/>
                <w:webHidden/>
              </w:rPr>
              <w:tab/>
            </w:r>
            <w:r>
              <w:rPr>
                <w:noProof/>
                <w:webHidden/>
              </w:rPr>
              <w:fldChar w:fldCharType="begin"/>
            </w:r>
            <w:r>
              <w:rPr>
                <w:noProof/>
                <w:webHidden/>
              </w:rPr>
              <w:instrText xml:space="preserve"> PAGEREF _Toc205369282 \h </w:instrText>
            </w:r>
            <w:r>
              <w:rPr>
                <w:noProof/>
                <w:webHidden/>
              </w:rPr>
            </w:r>
            <w:r>
              <w:rPr>
                <w:noProof/>
                <w:webHidden/>
              </w:rPr>
              <w:fldChar w:fldCharType="separate"/>
            </w:r>
            <w:r>
              <w:rPr>
                <w:noProof/>
                <w:webHidden/>
              </w:rPr>
              <w:t>9</w:t>
            </w:r>
            <w:r>
              <w:rPr>
                <w:noProof/>
                <w:webHidden/>
              </w:rPr>
              <w:fldChar w:fldCharType="end"/>
            </w:r>
          </w:hyperlink>
        </w:p>
        <w:p w14:paraId="21C30D87" w14:textId="2152E8EC"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83" w:history="1">
            <w:r w:rsidRPr="00480D76">
              <w:rPr>
                <w:rStyle w:val="Hyperlink"/>
                <w:noProof/>
              </w:rPr>
              <w:t>Quality evaluation summary</w:t>
            </w:r>
            <w:r>
              <w:rPr>
                <w:noProof/>
                <w:webHidden/>
              </w:rPr>
              <w:tab/>
            </w:r>
            <w:r>
              <w:rPr>
                <w:noProof/>
                <w:webHidden/>
              </w:rPr>
              <w:fldChar w:fldCharType="begin"/>
            </w:r>
            <w:r>
              <w:rPr>
                <w:noProof/>
                <w:webHidden/>
              </w:rPr>
              <w:instrText xml:space="preserve"> PAGEREF _Toc205369283 \h </w:instrText>
            </w:r>
            <w:r>
              <w:rPr>
                <w:noProof/>
                <w:webHidden/>
              </w:rPr>
            </w:r>
            <w:r>
              <w:rPr>
                <w:noProof/>
                <w:webHidden/>
              </w:rPr>
              <w:fldChar w:fldCharType="separate"/>
            </w:r>
            <w:r>
              <w:rPr>
                <w:noProof/>
                <w:webHidden/>
              </w:rPr>
              <w:t>9</w:t>
            </w:r>
            <w:r>
              <w:rPr>
                <w:noProof/>
                <w:webHidden/>
              </w:rPr>
              <w:fldChar w:fldCharType="end"/>
            </w:r>
          </w:hyperlink>
        </w:p>
        <w:p w14:paraId="52EAAAF7" w14:textId="16C46F08"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84" w:history="1">
            <w:r w:rsidRPr="00480D76">
              <w:rPr>
                <w:rStyle w:val="Hyperlink"/>
                <w:noProof/>
              </w:rPr>
              <w:t>Nonclinical evaluation summary</w:t>
            </w:r>
            <w:r>
              <w:rPr>
                <w:noProof/>
                <w:webHidden/>
              </w:rPr>
              <w:tab/>
            </w:r>
            <w:r>
              <w:rPr>
                <w:noProof/>
                <w:webHidden/>
              </w:rPr>
              <w:fldChar w:fldCharType="begin"/>
            </w:r>
            <w:r>
              <w:rPr>
                <w:noProof/>
                <w:webHidden/>
              </w:rPr>
              <w:instrText xml:space="preserve"> PAGEREF _Toc205369284 \h </w:instrText>
            </w:r>
            <w:r>
              <w:rPr>
                <w:noProof/>
                <w:webHidden/>
              </w:rPr>
            </w:r>
            <w:r>
              <w:rPr>
                <w:noProof/>
                <w:webHidden/>
              </w:rPr>
              <w:fldChar w:fldCharType="separate"/>
            </w:r>
            <w:r>
              <w:rPr>
                <w:noProof/>
                <w:webHidden/>
              </w:rPr>
              <w:t>9</w:t>
            </w:r>
            <w:r>
              <w:rPr>
                <w:noProof/>
                <w:webHidden/>
              </w:rPr>
              <w:fldChar w:fldCharType="end"/>
            </w:r>
          </w:hyperlink>
        </w:p>
        <w:p w14:paraId="0FADA50B" w14:textId="38462195"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85" w:history="1">
            <w:r w:rsidRPr="00480D76">
              <w:rPr>
                <w:rStyle w:val="Hyperlink"/>
                <w:noProof/>
              </w:rPr>
              <w:t>Clinical evaluation summary</w:t>
            </w:r>
            <w:r>
              <w:rPr>
                <w:noProof/>
                <w:webHidden/>
              </w:rPr>
              <w:tab/>
            </w:r>
            <w:r>
              <w:rPr>
                <w:noProof/>
                <w:webHidden/>
              </w:rPr>
              <w:fldChar w:fldCharType="begin"/>
            </w:r>
            <w:r>
              <w:rPr>
                <w:noProof/>
                <w:webHidden/>
              </w:rPr>
              <w:instrText xml:space="preserve"> PAGEREF _Toc205369285 \h </w:instrText>
            </w:r>
            <w:r>
              <w:rPr>
                <w:noProof/>
                <w:webHidden/>
              </w:rPr>
            </w:r>
            <w:r>
              <w:rPr>
                <w:noProof/>
                <w:webHidden/>
              </w:rPr>
              <w:fldChar w:fldCharType="separate"/>
            </w:r>
            <w:r>
              <w:rPr>
                <w:noProof/>
                <w:webHidden/>
              </w:rPr>
              <w:t>10</w:t>
            </w:r>
            <w:r>
              <w:rPr>
                <w:noProof/>
                <w:webHidden/>
              </w:rPr>
              <w:fldChar w:fldCharType="end"/>
            </w:r>
          </w:hyperlink>
        </w:p>
        <w:p w14:paraId="13A14C46" w14:textId="42EF0AF5"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86" w:history="1">
            <w:r w:rsidRPr="00480D76">
              <w:rPr>
                <w:rStyle w:val="Hyperlink"/>
                <w:noProof/>
                <w:lang w:eastAsia="en-AU"/>
              </w:rPr>
              <w:t>Risk management plan evaluation summary</w:t>
            </w:r>
            <w:r>
              <w:rPr>
                <w:noProof/>
                <w:webHidden/>
              </w:rPr>
              <w:tab/>
            </w:r>
            <w:r>
              <w:rPr>
                <w:noProof/>
                <w:webHidden/>
              </w:rPr>
              <w:fldChar w:fldCharType="begin"/>
            </w:r>
            <w:r>
              <w:rPr>
                <w:noProof/>
                <w:webHidden/>
              </w:rPr>
              <w:instrText xml:space="preserve"> PAGEREF _Toc205369286 \h </w:instrText>
            </w:r>
            <w:r>
              <w:rPr>
                <w:noProof/>
                <w:webHidden/>
              </w:rPr>
            </w:r>
            <w:r>
              <w:rPr>
                <w:noProof/>
                <w:webHidden/>
              </w:rPr>
              <w:fldChar w:fldCharType="separate"/>
            </w:r>
            <w:r>
              <w:rPr>
                <w:noProof/>
                <w:webHidden/>
              </w:rPr>
              <w:t>10</w:t>
            </w:r>
            <w:r>
              <w:rPr>
                <w:noProof/>
                <w:webHidden/>
              </w:rPr>
              <w:fldChar w:fldCharType="end"/>
            </w:r>
          </w:hyperlink>
        </w:p>
        <w:p w14:paraId="2DF7D287" w14:textId="554EDDC3" w:rsidR="00DF15F5" w:rsidRDefault="00DF15F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5369287" w:history="1">
            <w:r w:rsidRPr="00480D76">
              <w:rPr>
                <w:rStyle w:val="Hyperlink"/>
                <w:noProof/>
              </w:rPr>
              <w:t>Risk-benefit analysis</w:t>
            </w:r>
            <w:r>
              <w:rPr>
                <w:noProof/>
                <w:webHidden/>
              </w:rPr>
              <w:tab/>
            </w:r>
            <w:r>
              <w:rPr>
                <w:noProof/>
                <w:webHidden/>
              </w:rPr>
              <w:fldChar w:fldCharType="begin"/>
            </w:r>
            <w:r>
              <w:rPr>
                <w:noProof/>
                <w:webHidden/>
              </w:rPr>
              <w:instrText xml:space="preserve"> PAGEREF _Toc205369287 \h </w:instrText>
            </w:r>
            <w:r>
              <w:rPr>
                <w:noProof/>
                <w:webHidden/>
              </w:rPr>
            </w:r>
            <w:r>
              <w:rPr>
                <w:noProof/>
                <w:webHidden/>
              </w:rPr>
              <w:fldChar w:fldCharType="separate"/>
            </w:r>
            <w:r>
              <w:rPr>
                <w:noProof/>
                <w:webHidden/>
              </w:rPr>
              <w:t>11</w:t>
            </w:r>
            <w:r>
              <w:rPr>
                <w:noProof/>
                <w:webHidden/>
              </w:rPr>
              <w:fldChar w:fldCharType="end"/>
            </w:r>
          </w:hyperlink>
        </w:p>
        <w:p w14:paraId="17544842" w14:textId="4F2A3424" w:rsidR="00DF15F5" w:rsidRDefault="00DF15F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5369288" w:history="1">
            <w:r w:rsidRPr="00480D76">
              <w:rPr>
                <w:rStyle w:val="Hyperlink"/>
                <w:noProof/>
              </w:rPr>
              <w:t>Assessment outcome</w:t>
            </w:r>
            <w:r>
              <w:rPr>
                <w:noProof/>
                <w:webHidden/>
              </w:rPr>
              <w:tab/>
            </w:r>
            <w:r>
              <w:rPr>
                <w:noProof/>
                <w:webHidden/>
              </w:rPr>
              <w:fldChar w:fldCharType="begin"/>
            </w:r>
            <w:r>
              <w:rPr>
                <w:noProof/>
                <w:webHidden/>
              </w:rPr>
              <w:instrText xml:space="preserve"> PAGEREF _Toc205369288 \h </w:instrText>
            </w:r>
            <w:r>
              <w:rPr>
                <w:noProof/>
                <w:webHidden/>
              </w:rPr>
            </w:r>
            <w:r>
              <w:rPr>
                <w:noProof/>
                <w:webHidden/>
              </w:rPr>
              <w:fldChar w:fldCharType="separate"/>
            </w:r>
            <w:r>
              <w:rPr>
                <w:noProof/>
                <w:webHidden/>
              </w:rPr>
              <w:t>11</w:t>
            </w:r>
            <w:r>
              <w:rPr>
                <w:noProof/>
                <w:webHidden/>
              </w:rPr>
              <w:fldChar w:fldCharType="end"/>
            </w:r>
          </w:hyperlink>
        </w:p>
        <w:p w14:paraId="1764BCD5" w14:textId="43B65598" w:rsidR="00DF15F5" w:rsidRDefault="00DF15F5">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5369289" w:history="1">
            <w:r w:rsidRPr="00480D76">
              <w:rPr>
                <w:rStyle w:val="Hyperlink"/>
                <w:noProof/>
              </w:rPr>
              <w:t>Product Information and Consumer Medicines Information</w:t>
            </w:r>
            <w:r>
              <w:rPr>
                <w:noProof/>
                <w:webHidden/>
              </w:rPr>
              <w:tab/>
            </w:r>
            <w:r>
              <w:rPr>
                <w:noProof/>
                <w:webHidden/>
              </w:rPr>
              <w:fldChar w:fldCharType="begin"/>
            </w:r>
            <w:r>
              <w:rPr>
                <w:noProof/>
                <w:webHidden/>
              </w:rPr>
              <w:instrText xml:space="preserve"> PAGEREF _Toc205369289 \h </w:instrText>
            </w:r>
            <w:r>
              <w:rPr>
                <w:noProof/>
                <w:webHidden/>
              </w:rPr>
            </w:r>
            <w:r>
              <w:rPr>
                <w:noProof/>
                <w:webHidden/>
              </w:rPr>
              <w:fldChar w:fldCharType="separate"/>
            </w:r>
            <w:r>
              <w:rPr>
                <w:noProof/>
                <w:webHidden/>
              </w:rPr>
              <w:t>11</w:t>
            </w:r>
            <w:r>
              <w:rPr>
                <w:noProof/>
                <w:webHidden/>
              </w:rPr>
              <w:fldChar w:fldCharType="end"/>
            </w:r>
          </w:hyperlink>
        </w:p>
        <w:p w14:paraId="77659F2D" w14:textId="0EACFB58"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256193">
      <w:pPr>
        <w:pStyle w:val="Heading3"/>
      </w:pPr>
      <w:bookmarkStart w:id="2" w:name="_Toc98931917"/>
      <w:bookmarkStart w:id="3" w:name="_Toc103679287"/>
      <w:bookmarkStart w:id="4" w:name="_Toc205369274"/>
      <w:bookmarkStart w:id="5" w:name="_Toc323739589"/>
      <w:bookmarkStart w:id="6" w:name="_Toc356305216"/>
      <w:r>
        <w:lastRenderedPageBreak/>
        <w:t>List of abbreviations</w:t>
      </w:r>
      <w:bookmarkEnd w:id="2"/>
      <w:bookmarkEnd w:id="3"/>
      <w:bookmarkEnd w:id="4"/>
    </w:p>
    <w:tbl>
      <w:tblPr>
        <w:tblStyle w:val="TableTGAblue2023"/>
        <w:tblW w:w="5000" w:type="pct"/>
        <w:tblLook w:val="04A0" w:firstRow="1" w:lastRow="0" w:firstColumn="1" w:lastColumn="0" w:noHBand="0" w:noVBand="1"/>
      </w:tblPr>
      <w:tblGrid>
        <w:gridCol w:w="2174"/>
        <w:gridCol w:w="6886"/>
      </w:tblGrid>
      <w:tr w:rsidR="00E946F9" w:rsidRPr="00D01DDB" w14:paraId="66CDEB37" w14:textId="77777777" w:rsidTr="00545887">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7DAA74F4" w14:textId="77777777" w:rsidR="00E946F9" w:rsidRPr="00D01DDB" w:rsidRDefault="00E946F9" w:rsidP="00545887">
            <w:pPr>
              <w:rPr>
                <w:szCs w:val="22"/>
              </w:rPr>
            </w:pPr>
            <w:r w:rsidRPr="00D01DDB">
              <w:rPr>
                <w:szCs w:val="22"/>
              </w:rPr>
              <w:t>Abbreviation</w:t>
            </w:r>
          </w:p>
        </w:tc>
        <w:tc>
          <w:tcPr>
            <w:tcW w:w="3800" w:type="pct"/>
          </w:tcPr>
          <w:p w14:paraId="0F55BA04" w14:textId="77777777" w:rsidR="00E946F9" w:rsidRPr="00D01DDB" w:rsidRDefault="00E946F9" w:rsidP="00545887">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E946F9" w:rsidRPr="00D01DDB" w14:paraId="3169E781"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C58CED" w14:textId="77777777" w:rsidR="00E946F9" w:rsidRPr="00E946F9" w:rsidRDefault="00E946F9" w:rsidP="00545887">
            <w:pPr>
              <w:rPr>
                <w:szCs w:val="22"/>
              </w:rPr>
            </w:pPr>
            <w:r w:rsidRPr="00E946F9">
              <w:rPr>
                <w:szCs w:val="22"/>
              </w:rPr>
              <w:t>ARTG</w:t>
            </w:r>
          </w:p>
        </w:tc>
        <w:tc>
          <w:tcPr>
            <w:tcW w:w="3800" w:type="pct"/>
          </w:tcPr>
          <w:p w14:paraId="29BC21D0" w14:textId="66486628"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rPr>
                <w:szCs w:val="22"/>
              </w:rPr>
              <w:t xml:space="preserve">Australian </w:t>
            </w:r>
            <w:r w:rsidR="00347706">
              <w:rPr>
                <w:szCs w:val="22"/>
              </w:rPr>
              <w:t>R</w:t>
            </w:r>
            <w:r w:rsidRPr="00E946F9">
              <w:rPr>
                <w:szCs w:val="22"/>
              </w:rPr>
              <w:t xml:space="preserve">egister of </w:t>
            </w:r>
            <w:r w:rsidR="00347706">
              <w:rPr>
                <w:szCs w:val="22"/>
              </w:rPr>
              <w:t>T</w:t>
            </w:r>
            <w:r w:rsidRPr="00E946F9">
              <w:rPr>
                <w:szCs w:val="22"/>
              </w:rPr>
              <w:t xml:space="preserve">herapeutic </w:t>
            </w:r>
            <w:r w:rsidR="00347706">
              <w:rPr>
                <w:szCs w:val="22"/>
              </w:rPr>
              <w:t>g</w:t>
            </w:r>
            <w:r w:rsidRPr="00E946F9">
              <w:rPr>
                <w:szCs w:val="22"/>
              </w:rPr>
              <w:t>oods</w:t>
            </w:r>
          </w:p>
        </w:tc>
      </w:tr>
      <w:tr w:rsidR="007F18E3" w:rsidRPr="00D01DDB" w14:paraId="7B00A2E8"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8E532E3" w14:textId="3EEC534B" w:rsidR="007F18E3" w:rsidRPr="00E63A65" w:rsidRDefault="007F18E3" w:rsidP="00545887">
            <w:pPr>
              <w:rPr>
                <w:rFonts w:eastAsiaTheme="minorEastAsia"/>
                <w:szCs w:val="22"/>
                <w:lang w:eastAsia="ko-KR"/>
              </w:rPr>
            </w:pPr>
            <w:r>
              <w:rPr>
                <w:rFonts w:eastAsiaTheme="minorEastAsia" w:hint="eastAsia"/>
                <w:szCs w:val="22"/>
                <w:lang w:eastAsia="ko-KR"/>
              </w:rPr>
              <w:t>ASA</w:t>
            </w:r>
          </w:p>
        </w:tc>
        <w:tc>
          <w:tcPr>
            <w:tcW w:w="3800" w:type="pct"/>
          </w:tcPr>
          <w:p w14:paraId="2BDDE756" w14:textId="48F061E7" w:rsidR="007F18E3" w:rsidRPr="00E946F9" w:rsidRDefault="00981880" w:rsidP="00545887">
            <w:pPr>
              <w:cnfStyle w:val="000000000000" w:firstRow="0" w:lastRow="0" w:firstColumn="0" w:lastColumn="0" w:oddVBand="0" w:evenVBand="0" w:oddHBand="0" w:evenHBand="0" w:firstRowFirstColumn="0" w:firstRowLastColumn="0" w:lastRowFirstColumn="0" w:lastRowLastColumn="0"/>
              <w:rPr>
                <w:szCs w:val="22"/>
              </w:rPr>
            </w:pPr>
            <w:r w:rsidRPr="00981880">
              <w:rPr>
                <w:szCs w:val="22"/>
              </w:rPr>
              <w:t>Australia-</w:t>
            </w:r>
            <w:r w:rsidR="00CD4099">
              <w:rPr>
                <w:rFonts w:eastAsiaTheme="minorEastAsia" w:hint="eastAsia"/>
                <w:szCs w:val="22"/>
                <w:lang w:eastAsia="ko-KR"/>
              </w:rPr>
              <w:t>S</w:t>
            </w:r>
            <w:r w:rsidRPr="00981880">
              <w:rPr>
                <w:szCs w:val="22"/>
              </w:rPr>
              <w:t xml:space="preserve">pecific </w:t>
            </w:r>
            <w:r w:rsidR="00CD4099">
              <w:rPr>
                <w:rFonts w:eastAsiaTheme="minorEastAsia" w:hint="eastAsia"/>
                <w:szCs w:val="22"/>
                <w:lang w:eastAsia="ko-KR"/>
              </w:rPr>
              <w:t>A</w:t>
            </w:r>
            <w:r w:rsidRPr="00981880">
              <w:rPr>
                <w:szCs w:val="22"/>
              </w:rPr>
              <w:t>nnex</w:t>
            </w:r>
          </w:p>
        </w:tc>
      </w:tr>
      <w:tr w:rsidR="00E946F9" w:rsidRPr="00D01DDB" w14:paraId="4E0046D1"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E30985" w14:textId="605BEB89" w:rsidR="00E946F9" w:rsidRPr="00E946F9" w:rsidRDefault="00E946F9" w:rsidP="00545887">
            <w:pPr>
              <w:rPr>
                <w:szCs w:val="22"/>
              </w:rPr>
            </w:pPr>
            <w:r w:rsidRPr="00E946F9">
              <w:rPr>
                <w:szCs w:val="22"/>
              </w:rPr>
              <w:t>CRSwNP</w:t>
            </w:r>
          </w:p>
        </w:tc>
        <w:tc>
          <w:tcPr>
            <w:tcW w:w="3800" w:type="pct"/>
          </w:tcPr>
          <w:p w14:paraId="0EF0FC00" w14:textId="173B85B8"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rPr>
                <w:szCs w:val="22"/>
              </w:rPr>
              <w:t>Chronic rhinosinusitis with nasal polyps</w:t>
            </w:r>
          </w:p>
        </w:tc>
      </w:tr>
      <w:tr w:rsidR="00E946F9" w:rsidRPr="00D01DDB" w14:paraId="5A8A7CED"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A9B051" w14:textId="5DB76EB3" w:rsidR="00E946F9" w:rsidRPr="00E946F9" w:rsidRDefault="00E946F9" w:rsidP="00545887">
            <w:pPr>
              <w:rPr>
                <w:szCs w:val="22"/>
              </w:rPr>
            </w:pPr>
            <w:r w:rsidRPr="00E946F9">
              <w:t>CSU</w:t>
            </w:r>
          </w:p>
        </w:tc>
        <w:tc>
          <w:tcPr>
            <w:tcW w:w="3800" w:type="pct"/>
          </w:tcPr>
          <w:p w14:paraId="37DDFEF3" w14:textId="4A967764"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t xml:space="preserve">Chronic </w:t>
            </w:r>
            <w:r>
              <w:t>s</w:t>
            </w:r>
            <w:r w:rsidRPr="00E946F9">
              <w:t xml:space="preserve">pontaneous </w:t>
            </w:r>
            <w:r>
              <w:t>u</w:t>
            </w:r>
            <w:r w:rsidRPr="00E946F9">
              <w:t>rticaria</w:t>
            </w:r>
          </w:p>
        </w:tc>
      </w:tr>
      <w:tr w:rsidR="00E946F9" w:rsidRPr="00D01DDB" w14:paraId="510C3A80"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DE78956" w14:textId="77777777" w:rsidR="00E946F9" w:rsidRPr="00E946F9" w:rsidRDefault="00E946F9" w:rsidP="00545887">
            <w:r w:rsidRPr="00E946F9">
              <w:t xml:space="preserve">EMA </w:t>
            </w:r>
          </w:p>
        </w:tc>
        <w:tc>
          <w:tcPr>
            <w:tcW w:w="3800" w:type="pct"/>
          </w:tcPr>
          <w:p w14:paraId="068C57AD" w14:textId="77777777"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pPr>
            <w:r w:rsidRPr="00E946F9">
              <w:t>European Medicines Agency</w:t>
            </w:r>
          </w:p>
        </w:tc>
      </w:tr>
      <w:tr w:rsidR="00E946F9" w:rsidRPr="00D01DDB" w14:paraId="1EE4C9FE"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2D123F" w14:textId="77777777" w:rsidR="00E946F9" w:rsidRPr="00E946F9" w:rsidRDefault="00E946F9" w:rsidP="00545887">
            <w:pPr>
              <w:rPr>
                <w:szCs w:val="22"/>
              </w:rPr>
            </w:pPr>
            <w:r w:rsidRPr="00E946F9">
              <w:t>PD</w:t>
            </w:r>
          </w:p>
        </w:tc>
        <w:tc>
          <w:tcPr>
            <w:tcW w:w="3800" w:type="pct"/>
          </w:tcPr>
          <w:p w14:paraId="2521DB3F" w14:textId="77777777"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t>pharmacodynamic(s)</w:t>
            </w:r>
          </w:p>
        </w:tc>
      </w:tr>
      <w:tr w:rsidR="00E946F9" w:rsidRPr="00D01DDB" w14:paraId="327301A7"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A25E166" w14:textId="77777777" w:rsidR="00E946F9" w:rsidRPr="00E946F9" w:rsidRDefault="00E946F9" w:rsidP="00545887">
            <w:pPr>
              <w:rPr>
                <w:szCs w:val="22"/>
              </w:rPr>
            </w:pPr>
            <w:r w:rsidRPr="00E946F9">
              <w:rPr>
                <w:szCs w:val="22"/>
              </w:rPr>
              <w:t>PI</w:t>
            </w:r>
          </w:p>
        </w:tc>
        <w:tc>
          <w:tcPr>
            <w:tcW w:w="3800" w:type="pct"/>
          </w:tcPr>
          <w:p w14:paraId="2A44F4E0" w14:textId="77777777"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rPr>
                <w:szCs w:val="22"/>
              </w:rPr>
              <w:t>Product Information</w:t>
            </w:r>
          </w:p>
        </w:tc>
      </w:tr>
      <w:tr w:rsidR="00E946F9" w:rsidRPr="00D01DDB" w14:paraId="7FAFCAF9"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1133A11" w14:textId="77777777" w:rsidR="00E946F9" w:rsidRPr="00E946F9" w:rsidRDefault="00E946F9" w:rsidP="00545887">
            <w:pPr>
              <w:rPr>
                <w:szCs w:val="22"/>
              </w:rPr>
            </w:pPr>
            <w:r w:rsidRPr="00E946F9">
              <w:t>PK</w:t>
            </w:r>
          </w:p>
        </w:tc>
        <w:tc>
          <w:tcPr>
            <w:tcW w:w="3800" w:type="pct"/>
          </w:tcPr>
          <w:p w14:paraId="59A73BD9" w14:textId="77777777"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t>pharmacokinetic(s)</w:t>
            </w:r>
          </w:p>
        </w:tc>
      </w:tr>
      <w:tr w:rsidR="00E946F9" w:rsidRPr="00D01DDB" w14:paraId="336B81CE"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60AA147" w14:textId="77777777" w:rsidR="00E946F9" w:rsidRPr="00E946F9" w:rsidRDefault="00E946F9" w:rsidP="00545887">
            <w:pPr>
              <w:rPr>
                <w:szCs w:val="22"/>
              </w:rPr>
            </w:pPr>
            <w:r w:rsidRPr="00E946F9">
              <w:rPr>
                <w:szCs w:val="22"/>
              </w:rPr>
              <w:t>RMP</w:t>
            </w:r>
          </w:p>
        </w:tc>
        <w:tc>
          <w:tcPr>
            <w:tcW w:w="3800" w:type="pct"/>
          </w:tcPr>
          <w:p w14:paraId="30D9ED25" w14:textId="24861200"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rPr>
                <w:szCs w:val="22"/>
              </w:rPr>
              <w:t xml:space="preserve">Risk </w:t>
            </w:r>
            <w:r w:rsidR="0055170B">
              <w:rPr>
                <w:szCs w:val="22"/>
              </w:rPr>
              <w:t>M</w:t>
            </w:r>
            <w:r w:rsidRPr="00E946F9">
              <w:rPr>
                <w:szCs w:val="22"/>
              </w:rPr>
              <w:t xml:space="preserve">anagement </w:t>
            </w:r>
            <w:r w:rsidR="0055170B">
              <w:rPr>
                <w:szCs w:val="22"/>
              </w:rPr>
              <w:t>P</w:t>
            </w:r>
            <w:r w:rsidRPr="00E946F9">
              <w:rPr>
                <w:szCs w:val="22"/>
              </w:rPr>
              <w:t>lan</w:t>
            </w:r>
          </w:p>
        </w:tc>
      </w:tr>
      <w:tr w:rsidR="00E946F9" w:rsidRPr="00D01DDB" w14:paraId="6249AC89"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E5F7BC0" w14:textId="77777777" w:rsidR="00E946F9" w:rsidRPr="00E946F9" w:rsidRDefault="00E946F9" w:rsidP="00545887">
            <w:r w:rsidRPr="00E946F9">
              <w:t>SC</w:t>
            </w:r>
          </w:p>
        </w:tc>
        <w:tc>
          <w:tcPr>
            <w:tcW w:w="3800" w:type="pct"/>
          </w:tcPr>
          <w:p w14:paraId="701B4C43" w14:textId="77777777"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pPr>
            <w:r w:rsidRPr="00E946F9">
              <w:t>Subcutaneous</w:t>
            </w:r>
          </w:p>
        </w:tc>
      </w:tr>
      <w:tr w:rsidR="00E946F9" w:rsidRPr="00D01DDB" w14:paraId="0A6A8E6E"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6CE9E6" w14:textId="77777777" w:rsidR="00E946F9" w:rsidRPr="00E946F9" w:rsidRDefault="00E946F9" w:rsidP="00545887">
            <w:r w:rsidRPr="00E946F9">
              <w:t>SE</w:t>
            </w:r>
          </w:p>
        </w:tc>
        <w:tc>
          <w:tcPr>
            <w:tcW w:w="3800" w:type="pct"/>
          </w:tcPr>
          <w:p w14:paraId="5055E622" w14:textId="77777777"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pPr>
            <w:r w:rsidRPr="00E946F9">
              <w:t>Standard error</w:t>
            </w:r>
          </w:p>
        </w:tc>
      </w:tr>
      <w:tr w:rsidR="00E946F9" w:rsidRPr="00D01DDB" w14:paraId="256E8B16" w14:textId="77777777" w:rsidTr="00545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E6D0E7" w14:textId="77777777" w:rsidR="00E946F9" w:rsidRPr="00E946F9" w:rsidRDefault="00E946F9" w:rsidP="00545887">
            <w:pPr>
              <w:rPr>
                <w:szCs w:val="22"/>
              </w:rPr>
            </w:pPr>
            <w:r w:rsidRPr="00E946F9">
              <w:rPr>
                <w:szCs w:val="22"/>
              </w:rPr>
              <w:t>TGA</w:t>
            </w:r>
          </w:p>
        </w:tc>
        <w:tc>
          <w:tcPr>
            <w:tcW w:w="3800" w:type="pct"/>
          </w:tcPr>
          <w:p w14:paraId="15E8F793" w14:textId="77777777" w:rsidR="00E946F9" w:rsidRPr="00E946F9" w:rsidRDefault="00E946F9" w:rsidP="00545887">
            <w:pPr>
              <w:cnfStyle w:val="000000000000" w:firstRow="0" w:lastRow="0" w:firstColumn="0" w:lastColumn="0" w:oddVBand="0" w:evenVBand="0" w:oddHBand="0" w:evenHBand="0" w:firstRowFirstColumn="0" w:firstRowLastColumn="0" w:lastRowFirstColumn="0" w:lastRowLastColumn="0"/>
              <w:rPr>
                <w:szCs w:val="22"/>
              </w:rPr>
            </w:pPr>
            <w:r w:rsidRPr="00E946F9">
              <w:rPr>
                <w:szCs w:val="22"/>
              </w:rPr>
              <w:t>Therapeutic Goods Administration</w:t>
            </w:r>
          </w:p>
        </w:tc>
      </w:tr>
    </w:tbl>
    <w:p w14:paraId="7378F926" w14:textId="77777777" w:rsidR="00324B33" w:rsidRDefault="00324B33" w:rsidP="00324B33"/>
    <w:p w14:paraId="02FB1F38" w14:textId="6F93EC92" w:rsidR="00324B33" w:rsidRPr="00FD119B" w:rsidRDefault="00324B33" w:rsidP="00324B33">
      <w:pPr>
        <w:spacing w:after="200" w:line="0" w:lineRule="auto"/>
        <w:rPr>
          <w:b/>
          <w:i/>
          <w:sz w:val="24"/>
          <w:szCs w:val="24"/>
        </w:rPr>
      </w:pPr>
      <w:r w:rsidRPr="00FD119B">
        <w:rPr>
          <w:b/>
          <w:i/>
          <w:sz w:val="24"/>
          <w:szCs w:val="24"/>
        </w:rPr>
        <w:br w:type="page"/>
      </w:r>
      <w:r w:rsidR="00B053E6">
        <w:rPr>
          <w:b/>
          <w:i/>
          <w:sz w:val="24"/>
          <w:szCs w:val="24"/>
        </w:rPr>
        <w:lastRenderedPageBreak/>
        <w:t>x</w:t>
      </w:r>
    </w:p>
    <w:p w14:paraId="44C2A39C" w14:textId="4A695D74" w:rsidR="00324B33" w:rsidRDefault="00506362" w:rsidP="00324B33">
      <w:pPr>
        <w:pStyle w:val="Heading2"/>
      </w:pPr>
      <w:bookmarkStart w:id="7" w:name="_Toc205369275"/>
      <w:r>
        <w:t>OMLYCLO</w:t>
      </w:r>
      <w:r w:rsidR="00C72D10" w:rsidRPr="00C72D10">
        <w:t xml:space="preserve"> </w:t>
      </w:r>
      <w:r w:rsidR="001B5CA6" w:rsidRPr="001B5CA6">
        <w:t>(</w:t>
      </w:r>
      <w:r w:rsidR="009B5BCB">
        <w:t>o</w:t>
      </w:r>
      <w:r w:rsidR="00C72D10" w:rsidRPr="00C72D10">
        <w:t>malizumab</w:t>
      </w:r>
      <w:r w:rsidR="001B5CA6" w:rsidRPr="001B5CA6">
        <w:t>) submission</w:t>
      </w:r>
      <w:bookmarkEnd w:id="7"/>
    </w:p>
    <w:p w14:paraId="266CAFD6" w14:textId="77777777" w:rsidR="00C72D10" w:rsidRPr="00C72D10" w:rsidRDefault="00C72D10" w:rsidP="00C72D10"/>
    <w:tbl>
      <w:tblPr>
        <w:tblW w:w="5001" w:type="pct"/>
        <w:tblLook w:val="01E0" w:firstRow="1" w:lastRow="1" w:firstColumn="1" w:lastColumn="1" w:noHBand="0" w:noVBand="0"/>
      </w:tblPr>
      <w:tblGrid>
        <w:gridCol w:w="2863"/>
        <w:gridCol w:w="6209"/>
      </w:tblGrid>
      <w:tr w:rsidR="004C5054" w:rsidRPr="00BD5DBD" w14:paraId="54BF6BCA" w14:textId="77777777" w:rsidTr="004C5054">
        <w:tc>
          <w:tcPr>
            <w:tcW w:w="1578" w:type="pct"/>
          </w:tcPr>
          <w:p w14:paraId="0DF11F98" w14:textId="6ED5779B" w:rsidR="004C5054" w:rsidRPr="00BD5DBD" w:rsidRDefault="004C5054" w:rsidP="00AB4EC2">
            <w:pPr>
              <w:rPr>
                <w:i/>
                <w:szCs w:val="22"/>
              </w:rPr>
            </w:pPr>
            <w:r w:rsidRPr="00BD5DBD">
              <w:rPr>
                <w:i/>
                <w:szCs w:val="22"/>
              </w:rPr>
              <w:t>Type of submission:</w:t>
            </w:r>
          </w:p>
        </w:tc>
        <w:tc>
          <w:tcPr>
            <w:tcW w:w="3422" w:type="pct"/>
          </w:tcPr>
          <w:p w14:paraId="7655CDA7" w14:textId="117445CD" w:rsidR="004C5054" w:rsidRPr="00BD5DBD" w:rsidRDefault="004C5054" w:rsidP="00AB4EC2">
            <w:pPr>
              <w:rPr>
                <w:szCs w:val="22"/>
              </w:rPr>
            </w:pPr>
            <w:r>
              <w:rPr>
                <w:szCs w:val="22"/>
              </w:rPr>
              <w:t xml:space="preserve">New </w:t>
            </w:r>
            <w:r w:rsidR="003077D1">
              <w:rPr>
                <w:szCs w:val="22"/>
              </w:rPr>
              <w:t>b</w:t>
            </w:r>
            <w:r>
              <w:rPr>
                <w:szCs w:val="22"/>
              </w:rPr>
              <w:t>iosimilar</w:t>
            </w:r>
          </w:p>
        </w:tc>
      </w:tr>
      <w:tr w:rsidR="004C5054" w:rsidRPr="00BD5DBD" w14:paraId="6D006681" w14:textId="77777777" w:rsidTr="004C5054">
        <w:tc>
          <w:tcPr>
            <w:tcW w:w="1578" w:type="pct"/>
          </w:tcPr>
          <w:p w14:paraId="4E97026B" w14:textId="4BE40FC3" w:rsidR="004C5054" w:rsidRPr="00BD5DBD" w:rsidRDefault="004C5054" w:rsidP="00AB4EC2">
            <w:pPr>
              <w:rPr>
                <w:i/>
                <w:szCs w:val="22"/>
              </w:rPr>
            </w:pPr>
            <w:r w:rsidRPr="00BD5DBD">
              <w:rPr>
                <w:i/>
                <w:szCs w:val="22"/>
              </w:rPr>
              <w:t>Product name</w:t>
            </w:r>
            <w:r>
              <w:rPr>
                <w:i/>
                <w:szCs w:val="22"/>
              </w:rPr>
              <w:t>:</w:t>
            </w:r>
            <w:r w:rsidRPr="00BD5DBD">
              <w:rPr>
                <w:i/>
                <w:szCs w:val="22"/>
              </w:rPr>
              <w:t>:</w:t>
            </w:r>
          </w:p>
        </w:tc>
        <w:tc>
          <w:tcPr>
            <w:tcW w:w="3422" w:type="pct"/>
          </w:tcPr>
          <w:p w14:paraId="12449B24" w14:textId="6DDD8C4E" w:rsidR="004C5054" w:rsidRPr="00BD5DBD" w:rsidRDefault="00506362" w:rsidP="00AB4EC2">
            <w:pPr>
              <w:rPr>
                <w:szCs w:val="22"/>
              </w:rPr>
            </w:pPr>
            <w:r>
              <w:rPr>
                <w:szCs w:val="22"/>
              </w:rPr>
              <w:t>OMLYCLO</w:t>
            </w:r>
          </w:p>
        </w:tc>
      </w:tr>
      <w:tr w:rsidR="004C5054" w:rsidRPr="00BD5DBD" w14:paraId="1BF3CE8A" w14:textId="77777777" w:rsidTr="004C5054">
        <w:tc>
          <w:tcPr>
            <w:tcW w:w="1578" w:type="pct"/>
          </w:tcPr>
          <w:p w14:paraId="43694612" w14:textId="4A5C4790" w:rsidR="004C5054" w:rsidRPr="00BD5DBD" w:rsidRDefault="004C5054" w:rsidP="00AB4EC2">
            <w:pPr>
              <w:rPr>
                <w:i/>
                <w:szCs w:val="22"/>
              </w:rPr>
            </w:pPr>
            <w:r w:rsidRPr="00BD5DBD">
              <w:rPr>
                <w:i/>
                <w:szCs w:val="22"/>
              </w:rPr>
              <w:t>Active ingredient:</w:t>
            </w:r>
          </w:p>
        </w:tc>
        <w:tc>
          <w:tcPr>
            <w:tcW w:w="3422" w:type="pct"/>
          </w:tcPr>
          <w:p w14:paraId="38B1E6E6" w14:textId="233B9244" w:rsidR="004C5054" w:rsidRPr="00BD5DBD" w:rsidRDefault="008855C1" w:rsidP="00AB4EC2">
            <w:pPr>
              <w:rPr>
                <w:szCs w:val="22"/>
              </w:rPr>
            </w:pPr>
            <w:r w:rsidRPr="008855C1">
              <w:rPr>
                <w:szCs w:val="22"/>
              </w:rPr>
              <w:t>Omalizumab</w:t>
            </w:r>
          </w:p>
        </w:tc>
      </w:tr>
      <w:tr w:rsidR="004C5054" w:rsidRPr="00BD5DBD" w14:paraId="5EA402F3" w14:textId="77777777" w:rsidTr="004C5054">
        <w:tc>
          <w:tcPr>
            <w:tcW w:w="1578" w:type="pct"/>
          </w:tcPr>
          <w:p w14:paraId="73473475" w14:textId="77777777" w:rsidR="004C5054" w:rsidRPr="00BD5DBD" w:rsidRDefault="004C5054" w:rsidP="00AB4EC2">
            <w:pPr>
              <w:rPr>
                <w:i/>
                <w:szCs w:val="22"/>
              </w:rPr>
            </w:pPr>
            <w:r w:rsidRPr="00BD5DBD">
              <w:rPr>
                <w:i/>
                <w:szCs w:val="22"/>
              </w:rPr>
              <w:t>Decision:</w:t>
            </w:r>
          </w:p>
        </w:tc>
        <w:tc>
          <w:tcPr>
            <w:tcW w:w="3422" w:type="pct"/>
          </w:tcPr>
          <w:p w14:paraId="0DB472C7" w14:textId="3CA7FA60" w:rsidR="004C5054" w:rsidRPr="00BD5DBD" w:rsidRDefault="004C5054" w:rsidP="00AB4EC2">
            <w:pPr>
              <w:rPr>
                <w:szCs w:val="22"/>
              </w:rPr>
            </w:pPr>
            <w:r w:rsidRPr="00BD5DBD">
              <w:rPr>
                <w:szCs w:val="22"/>
              </w:rPr>
              <w:t>Approved</w:t>
            </w:r>
          </w:p>
        </w:tc>
      </w:tr>
      <w:tr w:rsidR="004C5054" w:rsidRPr="00BD5DBD" w14:paraId="6A62065B" w14:textId="77777777" w:rsidTr="004C5054">
        <w:tc>
          <w:tcPr>
            <w:tcW w:w="1578" w:type="pct"/>
          </w:tcPr>
          <w:p w14:paraId="55120921" w14:textId="77777777" w:rsidR="004C5054" w:rsidRPr="00BD5DBD" w:rsidRDefault="004C5054" w:rsidP="00AB4EC2">
            <w:r w:rsidRPr="00BD5DBD">
              <w:rPr>
                <w:i/>
                <w:szCs w:val="22"/>
              </w:rPr>
              <w:t>Date of decision:</w:t>
            </w:r>
          </w:p>
        </w:tc>
        <w:tc>
          <w:tcPr>
            <w:tcW w:w="3422" w:type="pct"/>
          </w:tcPr>
          <w:p w14:paraId="2FF52390" w14:textId="29A94F42" w:rsidR="004C5054" w:rsidRPr="00BD5DBD" w:rsidRDefault="003C2353" w:rsidP="00AB4EC2">
            <w:pPr>
              <w:rPr>
                <w:szCs w:val="22"/>
              </w:rPr>
            </w:pPr>
            <w:r w:rsidRPr="003C2353">
              <w:rPr>
                <w:szCs w:val="22"/>
              </w:rPr>
              <w:t>21 November 2024</w:t>
            </w:r>
          </w:p>
        </w:tc>
      </w:tr>
      <w:tr w:rsidR="004C5054" w:rsidRPr="00BD5DBD" w14:paraId="7D32D925" w14:textId="77777777" w:rsidTr="004C5054">
        <w:tc>
          <w:tcPr>
            <w:tcW w:w="1578" w:type="pct"/>
          </w:tcPr>
          <w:p w14:paraId="44D415C2" w14:textId="57F1659D" w:rsidR="004C5054" w:rsidRPr="00BD5DBD" w:rsidRDefault="004C5054" w:rsidP="004C5054">
            <w:pPr>
              <w:rPr>
                <w:i/>
                <w:szCs w:val="22"/>
              </w:rPr>
            </w:pPr>
            <w:r w:rsidRPr="00BD5DBD">
              <w:rPr>
                <w:i/>
                <w:szCs w:val="22"/>
              </w:rPr>
              <w:t>Approved therapeutic use for the current submission:</w:t>
            </w:r>
          </w:p>
        </w:tc>
        <w:tc>
          <w:tcPr>
            <w:tcW w:w="3422" w:type="pct"/>
          </w:tcPr>
          <w:p w14:paraId="14AE65A4" w14:textId="77777777" w:rsidR="008855C1" w:rsidRPr="008855C1" w:rsidRDefault="008855C1" w:rsidP="008855C1">
            <w:pPr>
              <w:rPr>
                <w:b/>
                <w:bCs/>
                <w:szCs w:val="22"/>
              </w:rPr>
            </w:pPr>
            <w:r w:rsidRPr="008855C1">
              <w:rPr>
                <w:b/>
                <w:bCs/>
                <w:szCs w:val="22"/>
              </w:rPr>
              <w:t>Allergic Asthma</w:t>
            </w:r>
          </w:p>
          <w:p w14:paraId="4CD86765" w14:textId="77777777" w:rsidR="008855C1" w:rsidRPr="003077D1" w:rsidRDefault="008855C1" w:rsidP="008855C1">
            <w:pPr>
              <w:rPr>
                <w:i/>
                <w:iCs/>
                <w:szCs w:val="22"/>
              </w:rPr>
            </w:pPr>
            <w:r w:rsidRPr="003077D1">
              <w:rPr>
                <w:i/>
                <w:iCs/>
                <w:szCs w:val="22"/>
              </w:rPr>
              <w:t>Children 6 to &lt; 12 years of age:</w:t>
            </w:r>
          </w:p>
          <w:p w14:paraId="586E4516" w14:textId="7A50FED8" w:rsidR="008855C1" w:rsidRPr="008855C1" w:rsidRDefault="008855C1" w:rsidP="008855C1">
            <w:pPr>
              <w:rPr>
                <w:szCs w:val="22"/>
              </w:rPr>
            </w:pPr>
            <w:r w:rsidRPr="008855C1">
              <w:rPr>
                <w:szCs w:val="22"/>
              </w:rPr>
              <w:t xml:space="preserve">In children aged 6 to &lt;12 years, </w:t>
            </w:r>
            <w:r w:rsidR="00506362">
              <w:rPr>
                <w:szCs w:val="22"/>
              </w:rPr>
              <w:t>OMLYCLO</w:t>
            </w:r>
            <w:r w:rsidRPr="008855C1">
              <w:rPr>
                <w:szCs w:val="22"/>
              </w:rPr>
              <w:t xml:space="preserve"> is indicated as add-on therapy to improve asthma control in patients with severe allergic asthma who have documented exacerbations despite daily high dose inhaled corticosteroids, and who have immunoglobulin E levels corresponding to the recommended dose range (see Table 1 in Section 4.2 DOSE AND METHOD OF ADMINISTRATION).</w:t>
            </w:r>
          </w:p>
          <w:p w14:paraId="195D33D7" w14:textId="45276B16" w:rsidR="008855C1" w:rsidRPr="003077D1" w:rsidRDefault="008855C1" w:rsidP="008855C1">
            <w:pPr>
              <w:rPr>
                <w:i/>
                <w:iCs/>
                <w:szCs w:val="22"/>
              </w:rPr>
            </w:pPr>
            <w:r w:rsidRPr="003077D1">
              <w:rPr>
                <w:i/>
                <w:iCs/>
                <w:szCs w:val="22"/>
              </w:rPr>
              <w:t>Adults and adolescents ≥ 12 years of age</w:t>
            </w:r>
            <w:r w:rsidR="003077D1">
              <w:rPr>
                <w:i/>
                <w:iCs/>
                <w:szCs w:val="22"/>
              </w:rPr>
              <w:t>:</w:t>
            </w:r>
          </w:p>
          <w:p w14:paraId="04B5F32B" w14:textId="0A12B5EF" w:rsidR="004C5054" w:rsidRDefault="00506362" w:rsidP="008855C1">
            <w:pPr>
              <w:rPr>
                <w:szCs w:val="22"/>
              </w:rPr>
            </w:pPr>
            <w:r>
              <w:rPr>
                <w:szCs w:val="22"/>
              </w:rPr>
              <w:t>OMLYCLO</w:t>
            </w:r>
            <w:r w:rsidR="008855C1" w:rsidRPr="008855C1">
              <w:rPr>
                <w:szCs w:val="22"/>
              </w:rPr>
              <w:t xml:space="preserve"> is indicated for the management of adult and adolescent patients with moderate to severe allergic asthma, who are already being treated with inhaled steroids, and who have serum immunoglobulin E levels corresponding to the recommended dose range</w:t>
            </w:r>
            <w:r w:rsidR="008855C1">
              <w:rPr>
                <w:szCs w:val="22"/>
              </w:rPr>
              <w:t>.</w:t>
            </w:r>
          </w:p>
          <w:p w14:paraId="1FE1B542" w14:textId="77777777" w:rsidR="008855C1" w:rsidRPr="008855C1" w:rsidRDefault="008855C1" w:rsidP="008855C1">
            <w:pPr>
              <w:rPr>
                <w:b/>
                <w:bCs/>
                <w:szCs w:val="22"/>
              </w:rPr>
            </w:pPr>
            <w:r w:rsidRPr="008855C1">
              <w:rPr>
                <w:b/>
                <w:bCs/>
                <w:szCs w:val="22"/>
              </w:rPr>
              <w:t>Chronic rhinosinusitis with nasal polyps (CRSwNP)</w:t>
            </w:r>
          </w:p>
          <w:p w14:paraId="30F378D3" w14:textId="70D2A177" w:rsidR="008855C1" w:rsidRPr="008855C1" w:rsidRDefault="00506362" w:rsidP="008855C1">
            <w:pPr>
              <w:rPr>
                <w:szCs w:val="22"/>
              </w:rPr>
            </w:pPr>
            <w:r>
              <w:rPr>
                <w:szCs w:val="22"/>
              </w:rPr>
              <w:t>OMLYCLO</w:t>
            </w:r>
            <w:r w:rsidR="008855C1" w:rsidRPr="008855C1">
              <w:rPr>
                <w:szCs w:val="22"/>
              </w:rPr>
              <w:t xml:space="preserve"> is indicated as add-on treatment in adult patients (18 years of age and above) for the treatment of severe CRSwNP with inadequate response to intranasal corticosteroids.</w:t>
            </w:r>
          </w:p>
          <w:p w14:paraId="469154B8" w14:textId="77777777" w:rsidR="008855C1" w:rsidRPr="008855C1" w:rsidRDefault="008855C1" w:rsidP="008855C1">
            <w:pPr>
              <w:rPr>
                <w:szCs w:val="22"/>
              </w:rPr>
            </w:pPr>
            <w:r w:rsidRPr="008855C1">
              <w:rPr>
                <w:szCs w:val="22"/>
              </w:rPr>
              <w:t>Recommended dosing is determined by serum immunoglobulin E levels and body weight corresponding to the recommended dose range in the Product Information (see Section 4.2 DOSE AND METHOD OF ADMINISTRATION) .</w:t>
            </w:r>
          </w:p>
          <w:p w14:paraId="506BED76" w14:textId="77777777" w:rsidR="008855C1" w:rsidRPr="008855C1" w:rsidRDefault="008855C1" w:rsidP="008855C1">
            <w:pPr>
              <w:rPr>
                <w:b/>
                <w:bCs/>
                <w:szCs w:val="22"/>
              </w:rPr>
            </w:pPr>
            <w:r w:rsidRPr="008855C1">
              <w:rPr>
                <w:b/>
                <w:bCs/>
                <w:szCs w:val="22"/>
              </w:rPr>
              <w:t>Chronic Spontaneous Urticaria (CSU)</w:t>
            </w:r>
          </w:p>
          <w:p w14:paraId="17539975" w14:textId="3A0D4D76" w:rsidR="008855C1" w:rsidRPr="00BD5DBD" w:rsidRDefault="00506362" w:rsidP="008855C1">
            <w:pPr>
              <w:rPr>
                <w:szCs w:val="22"/>
              </w:rPr>
            </w:pPr>
            <w:r>
              <w:rPr>
                <w:szCs w:val="22"/>
              </w:rPr>
              <w:t>OMLYCLO</w:t>
            </w:r>
            <w:r w:rsidR="008855C1" w:rsidRPr="008855C1">
              <w:rPr>
                <w:szCs w:val="22"/>
              </w:rPr>
              <w:t xml:space="preserve"> is indicated for adults and adolescents (12 years of age and above) with chronic spontaneous urticaria who remain symptomatic despite H1 antihistamine treatment.</w:t>
            </w:r>
          </w:p>
        </w:tc>
      </w:tr>
      <w:tr w:rsidR="004C5054" w:rsidRPr="00BD5DBD" w14:paraId="63F08B44" w14:textId="77777777" w:rsidTr="004C5054">
        <w:tc>
          <w:tcPr>
            <w:tcW w:w="1578" w:type="pct"/>
          </w:tcPr>
          <w:p w14:paraId="3465F4E3" w14:textId="77777777" w:rsidR="004C5054" w:rsidRPr="00BD5DBD" w:rsidRDefault="004C5054" w:rsidP="004C5054">
            <w:pPr>
              <w:rPr>
                <w:i/>
                <w:szCs w:val="22"/>
              </w:rPr>
            </w:pPr>
            <w:r w:rsidRPr="00BD5DBD">
              <w:rPr>
                <w:i/>
                <w:szCs w:val="22"/>
              </w:rPr>
              <w:t>Date of entry onto ARTG:</w:t>
            </w:r>
          </w:p>
        </w:tc>
        <w:tc>
          <w:tcPr>
            <w:tcW w:w="3422" w:type="pct"/>
          </w:tcPr>
          <w:p w14:paraId="46707976" w14:textId="25E16811" w:rsidR="004C5054" w:rsidRPr="00BD5DBD" w:rsidRDefault="00A02C05" w:rsidP="004C5054">
            <w:pPr>
              <w:rPr>
                <w:szCs w:val="22"/>
              </w:rPr>
            </w:pPr>
            <w:r w:rsidRPr="00A02C05">
              <w:rPr>
                <w:szCs w:val="22"/>
              </w:rPr>
              <w:t>26 November 2024</w:t>
            </w:r>
          </w:p>
        </w:tc>
      </w:tr>
      <w:tr w:rsidR="004C5054" w:rsidRPr="00BD5DBD" w14:paraId="1938CCD7" w14:textId="77777777" w:rsidTr="004C5054">
        <w:tc>
          <w:tcPr>
            <w:tcW w:w="1578" w:type="pct"/>
          </w:tcPr>
          <w:p w14:paraId="1E1BA305" w14:textId="32F00486" w:rsidR="004C5054" w:rsidRPr="00BD5DBD" w:rsidRDefault="004C5054" w:rsidP="004C5054">
            <w:pPr>
              <w:rPr>
                <w:i/>
                <w:szCs w:val="22"/>
              </w:rPr>
            </w:pPr>
            <w:r w:rsidRPr="00BD5DBD">
              <w:rPr>
                <w:i/>
                <w:szCs w:val="22"/>
              </w:rPr>
              <w:t>ARTG numbers:</w:t>
            </w:r>
          </w:p>
        </w:tc>
        <w:tc>
          <w:tcPr>
            <w:tcW w:w="3422" w:type="pct"/>
          </w:tcPr>
          <w:p w14:paraId="2549BF33" w14:textId="0F85DEB4" w:rsidR="004C5054" w:rsidRPr="00BD5DBD" w:rsidRDefault="000961C3" w:rsidP="004C5054">
            <w:pPr>
              <w:rPr>
                <w:szCs w:val="22"/>
              </w:rPr>
            </w:pPr>
            <w:r w:rsidRPr="000961C3">
              <w:rPr>
                <w:szCs w:val="22"/>
              </w:rPr>
              <w:t>427224</w:t>
            </w:r>
            <w:r>
              <w:rPr>
                <w:szCs w:val="22"/>
              </w:rPr>
              <w:t xml:space="preserve">, </w:t>
            </w:r>
            <w:r w:rsidRPr="000961C3">
              <w:rPr>
                <w:szCs w:val="22"/>
              </w:rPr>
              <w:t>427223</w:t>
            </w:r>
          </w:p>
        </w:tc>
      </w:tr>
      <w:tr w:rsidR="004C5054" w:rsidRPr="00BD5DBD" w14:paraId="2D0A9B56" w14:textId="77777777" w:rsidTr="004C5054">
        <w:tc>
          <w:tcPr>
            <w:tcW w:w="1578" w:type="pct"/>
          </w:tcPr>
          <w:p w14:paraId="15A48FA4" w14:textId="0F571744" w:rsidR="004C5054" w:rsidRPr="00BD5DBD" w:rsidRDefault="004C5054" w:rsidP="004C5054">
            <w:pPr>
              <w:rPr>
                <w:i/>
                <w:szCs w:val="22"/>
              </w:rPr>
            </w:pPr>
            <w:r w:rsidRPr="00BD5DBD">
              <w:rPr>
                <w:rFonts w:ascii="Wingdings 3" w:hAnsi="Wingdings 3"/>
                <w:szCs w:val="22"/>
                <w:lang w:eastAsia="en-AU"/>
              </w:rPr>
              <w:t></w:t>
            </w:r>
            <w:hyperlink r:id="rId18" w:history="1">
              <w:r w:rsidRPr="00BD5DBD">
                <w:rPr>
                  <w:rStyle w:val="Hyperlink"/>
                  <w:i/>
                  <w:szCs w:val="22"/>
                </w:rPr>
                <w:t>Black Triangle Scheme</w:t>
              </w:r>
            </w:hyperlink>
            <w:r w:rsidRPr="00BD5DBD">
              <w:rPr>
                <w:i/>
                <w:szCs w:val="22"/>
              </w:rPr>
              <w:t>:</w:t>
            </w:r>
          </w:p>
        </w:tc>
        <w:tc>
          <w:tcPr>
            <w:tcW w:w="3422" w:type="pct"/>
          </w:tcPr>
          <w:p w14:paraId="65273AE0" w14:textId="2C5C1ACB" w:rsidR="004C5054" w:rsidRPr="00BD5DBD" w:rsidRDefault="004C5054" w:rsidP="004C5054">
            <w:pPr>
              <w:rPr>
                <w:szCs w:val="22"/>
              </w:rPr>
            </w:pPr>
            <w:r w:rsidRPr="00BD5DBD">
              <w:rPr>
                <w:szCs w:val="22"/>
              </w:rPr>
              <w:t>No</w:t>
            </w:r>
          </w:p>
        </w:tc>
      </w:tr>
      <w:tr w:rsidR="004C5054" w:rsidRPr="00BD5DBD" w14:paraId="5F5F972F" w14:textId="77777777" w:rsidTr="004C5054">
        <w:tc>
          <w:tcPr>
            <w:tcW w:w="1578" w:type="pct"/>
          </w:tcPr>
          <w:p w14:paraId="0AF604AB" w14:textId="77777777" w:rsidR="004C5054" w:rsidRPr="00BD5DBD" w:rsidRDefault="004C5054" w:rsidP="004C5054">
            <w:pPr>
              <w:rPr>
                <w:i/>
                <w:szCs w:val="22"/>
              </w:rPr>
            </w:pPr>
            <w:r w:rsidRPr="00BD5DBD">
              <w:rPr>
                <w:i/>
                <w:szCs w:val="22"/>
              </w:rPr>
              <w:t>Sponsor’s name and address:</w:t>
            </w:r>
          </w:p>
        </w:tc>
        <w:tc>
          <w:tcPr>
            <w:tcW w:w="3422" w:type="pct"/>
          </w:tcPr>
          <w:p w14:paraId="1B1DC01B" w14:textId="7F6F6B39" w:rsidR="004C5054" w:rsidRPr="00BD5DBD" w:rsidRDefault="0048789C" w:rsidP="0048789C">
            <w:pPr>
              <w:rPr>
                <w:szCs w:val="22"/>
              </w:rPr>
            </w:pPr>
            <w:r w:rsidRPr="0048789C">
              <w:rPr>
                <w:szCs w:val="22"/>
              </w:rPr>
              <w:t>Celltrion Healthcare Australia Pty Ltd Suite 13-03 31 Market Street</w:t>
            </w:r>
            <w:r>
              <w:rPr>
                <w:szCs w:val="22"/>
              </w:rPr>
              <w:t xml:space="preserve">, </w:t>
            </w:r>
            <w:r w:rsidRPr="0048789C">
              <w:rPr>
                <w:szCs w:val="22"/>
              </w:rPr>
              <w:t>Sydney NSW 2000</w:t>
            </w:r>
          </w:p>
        </w:tc>
      </w:tr>
      <w:tr w:rsidR="004C5054" w:rsidRPr="00BD5DBD" w14:paraId="3FBEB0B5" w14:textId="77777777" w:rsidTr="004C5054">
        <w:tc>
          <w:tcPr>
            <w:tcW w:w="1578" w:type="pct"/>
          </w:tcPr>
          <w:p w14:paraId="7137DBEF" w14:textId="06CEA376" w:rsidR="004C5054" w:rsidRPr="00BD5DBD" w:rsidRDefault="004C5054" w:rsidP="004C5054">
            <w:pPr>
              <w:rPr>
                <w:i/>
                <w:szCs w:val="22"/>
              </w:rPr>
            </w:pPr>
            <w:r w:rsidRPr="00BD5DBD">
              <w:rPr>
                <w:i/>
                <w:szCs w:val="22"/>
              </w:rPr>
              <w:lastRenderedPageBreak/>
              <w:t>Dose form:</w:t>
            </w:r>
          </w:p>
        </w:tc>
        <w:tc>
          <w:tcPr>
            <w:tcW w:w="3422" w:type="pct"/>
          </w:tcPr>
          <w:p w14:paraId="06FD5551" w14:textId="78AD770E" w:rsidR="004C5054" w:rsidRPr="00BD5DBD" w:rsidRDefault="00A5705C" w:rsidP="004C5054">
            <w:pPr>
              <w:rPr>
                <w:szCs w:val="22"/>
              </w:rPr>
            </w:pPr>
            <w:r w:rsidRPr="00A5705C">
              <w:rPr>
                <w:szCs w:val="22"/>
              </w:rPr>
              <w:t>Solution for injection</w:t>
            </w:r>
          </w:p>
        </w:tc>
      </w:tr>
      <w:tr w:rsidR="004C5054" w:rsidRPr="00BD5DBD" w14:paraId="3F5A37A6" w14:textId="77777777" w:rsidTr="004C5054">
        <w:tc>
          <w:tcPr>
            <w:tcW w:w="1578" w:type="pct"/>
          </w:tcPr>
          <w:p w14:paraId="118DF702" w14:textId="40618BB5" w:rsidR="004C5054" w:rsidRPr="00BD5DBD" w:rsidRDefault="004C5054" w:rsidP="004C5054">
            <w:pPr>
              <w:rPr>
                <w:i/>
                <w:szCs w:val="22"/>
              </w:rPr>
            </w:pPr>
            <w:r w:rsidRPr="00BD5DBD">
              <w:rPr>
                <w:i/>
                <w:szCs w:val="22"/>
              </w:rPr>
              <w:t>Strength:</w:t>
            </w:r>
          </w:p>
        </w:tc>
        <w:tc>
          <w:tcPr>
            <w:tcW w:w="3422" w:type="pct"/>
          </w:tcPr>
          <w:p w14:paraId="0E49C6BF" w14:textId="5CC537B7" w:rsidR="004C5054" w:rsidRPr="00BD5DBD" w:rsidRDefault="00251260" w:rsidP="004C5054">
            <w:pPr>
              <w:rPr>
                <w:szCs w:val="22"/>
                <w:lang w:eastAsia="ko-KR"/>
              </w:rPr>
            </w:pPr>
            <w:r>
              <w:rPr>
                <w:szCs w:val="22"/>
              </w:rPr>
              <w:t>150 mg/mL</w:t>
            </w:r>
            <w:r w:rsidR="0059304E">
              <w:rPr>
                <w:rFonts w:hint="eastAsia"/>
                <w:szCs w:val="22"/>
                <w:lang w:eastAsia="ko-KR"/>
              </w:rPr>
              <w:t>, 75 mg / 0.5 mL</w:t>
            </w:r>
          </w:p>
        </w:tc>
      </w:tr>
      <w:tr w:rsidR="004C5054" w:rsidRPr="00BD5DBD" w14:paraId="52199EFA" w14:textId="77777777" w:rsidTr="004C5054">
        <w:tc>
          <w:tcPr>
            <w:tcW w:w="1578" w:type="pct"/>
          </w:tcPr>
          <w:p w14:paraId="03159FDE" w14:textId="79396E2D" w:rsidR="004C5054" w:rsidRPr="00BD5DBD" w:rsidRDefault="004C5054" w:rsidP="004C5054">
            <w:pPr>
              <w:rPr>
                <w:i/>
                <w:szCs w:val="22"/>
              </w:rPr>
            </w:pPr>
            <w:r w:rsidRPr="00BD5DBD">
              <w:rPr>
                <w:i/>
                <w:szCs w:val="22"/>
              </w:rPr>
              <w:t>Container:</w:t>
            </w:r>
          </w:p>
        </w:tc>
        <w:tc>
          <w:tcPr>
            <w:tcW w:w="3422" w:type="pct"/>
          </w:tcPr>
          <w:p w14:paraId="6FA2C2D7" w14:textId="7ED0CA3F" w:rsidR="004C5054" w:rsidRPr="00BD5DBD" w:rsidRDefault="00AE6B84" w:rsidP="00AE6B84">
            <w:pPr>
              <w:rPr>
                <w:szCs w:val="22"/>
              </w:rPr>
            </w:pPr>
            <w:r w:rsidRPr="00AE6B84">
              <w:rPr>
                <w:szCs w:val="22"/>
              </w:rPr>
              <w:t>Pre-filled syringe comprising a type I glass syringe barrel with staked needle (stainless steel), rubber plunger stopper, and rigid needle shield composed of a rubber needle shield covered by a</w:t>
            </w:r>
            <w:r>
              <w:rPr>
                <w:szCs w:val="22"/>
              </w:rPr>
              <w:t xml:space="preserve"> </w:t>
            </w:r>
            <w:r w:rsidRPr="00AE6B84">
              <w:rPr>
                <w:szCs w:val="22"/>
              </w:rPr>
              <w:t>rigid shell. Each pre-filled syringe is mounted with a plastic safety device (needle guard) to prevent from needle stick injury.</w:t>
            </w:r>
            <w:r w:rsidR="00E63A65" w:rsidRPr="00E63A65">
              <w:rPr>
                <w:noProof/>
                <w:szCs w:val="22"/>
              </w:rPr>
              <w:t xml:space="preserve"> </w:t>
            </w:r>
          </w:p>
        </w:tc>
      </w:tr>
      <w:tr w:rsidR="004C5054" w:rsidRPr="00BD5DBD" w14:paraId="1AA09744" w14:textId="77777777" w:rsidTr="004C5054">
        <w:tc>
          <w:tcPr>
            <w:tcW w:w="1578" w:type="pct"/>
          </w:tcPr>
          <w:p w14:paraId="3BF4CABE" w14:textId="3CEA6405" w:rsidR="004C5054" w:rsidRPr="00BD5DBD" w:rsidRDefault="004C5054" w:rsidP="004C5054">
            <w:pPr>
              <w:rPr>
                <w:i/>
                <w:szCs w:val="22"/>
              </w:rPr>
            </w:pPr>
            <w:r w:rsidRPr="00BD5DBD">
              <w:rPr>
                <w:i/>
                <w:szCs w:val="22"/>
              </w:rPr>
              <w:t>Pack size:</w:t>
            </w:r>
          </w:p>
        </w:tc>
        <w:tc>
          <w:tcPr>
            <w:tcW w:w="3422" w:type="pct"/>
          </w:tcPr>
          <w:p w14:paraId="3912A068" w14:textId="039B0800" w:rsidR="004C5054" w:rsidRPr="00BD5DBD" w:rsidRDefault="004D12B1" w:rsidP="004C5054">
            <w:pPr>
              <w:rPr>
                <w:szCs w:val="22"/>
              </w:rPr>
            </w:pPr>
            <w:r>
              <w:rPr>
                <w:szCs w:val="22"/>
              </w:rPr>
              <w:t>1, 6 or 10 pre-filled syringes</w:t>
            </w:r>
            <w:r w:rsidR="007B1763">
              <w:rPr>
                <w:rFonts w:hint="eastAsia"/>
                <w:szCs w:val="22"/>
                <w:lang w:eastAsia="ko-KR"/>
              </w:rPr>
              <w:t xml:space="preserve"> with needle guard</w:t>
            </w:r>
            <w:r>
              <w:rPr>
                <w:szCs w:val="22"/>
              </w:rPr>
              <w:t xml:space="preserve">. </w:t>
            </w:r>
          </w:p>
        </w:tc>
      </w:tr>
      <w:tr w:rsidR="004C5054" w:rsidRPr="00BD5DBD" w14:paraId="72A1822D" w14:textId="77777777" w:rsidTr="004C5054">
        <w:tc>
          <w:tcPr>
            <w:tcW w:w="1578" w:type="pct"/>
          </w:tcPr>
          <w:p w14:paraId="46A8584B" w14:textId="390313A9" w:rsidR="004C5054" w:rsidRPr="00BD5DBD" w:rsidRDefault="004C5054" w:rsidP="004C5054">
            <w:pPr>
              <w:rPr>
                <w:i/>
                <w:szCs w:val="22"/>
              </w:rPr>
            </w:pPr>
            <w:r w:rsidRPr="00BD5DBD">
              <w:rPr>
                <w:i/>
                <w:szCs w:val="22"/>
              </w:rPr>
              <w:t>Route of administration:</w:t>
            </w:r>
          </w:p>
        </w:tc>
        <w:tc>
          <w:tcPr>
            <w:tcW w:w="3422" w:type="pct"/>
          </w:tcPr>
          <w:p w14:paraId="4350177A" w14:textId="4326837A" w:rsidR="004C5054" w:rsidRPr="00BD5DBD" w:rsidRDefault="00D10E47" w:rsidP="004C5054">
            <w:pPr>
              <w:rPr>
                <w:szCs w:val="22"/>
                <w:lang w:eastAsia="ko-KR"/>
              </w:rPr>
            </w:pPr>
            <w:r>
              <w:rPr>
                <w:szCs w:val="22"/>
              </w:rPr>
              <w:t>S</w:t>
            </w:r>
            <w:r w:rsidRPr="00D10E47">
              <w:rPr>
                <w:szCs w:val="22"/>
              </w:rPr>
              <w:t>ubcutaneous</w:t>
            </w:r>
            <w:r w:rsidR="0077582A">
              <w:rPr>
                <w:rFonts w:hint="eastAsia"/>
                <w:szCs w:val="22"/>
                <w:lang w:eastAsia="ko-KR"/>
              </w:rPr>
              <w:t xml:space="preserve"> (SC)</w:t>
            </w:r>
          </w:p>
        </w:tc>
      </w:tr>
      <w:tr w:rsidR="004C5054" w:rsidRPr="00BD5DBD" w14:paraId="6B85C3C8" w14:textId="77777777" w:rsidTr="004C5054">
        <w:tc>
          <w:tcPr>
            <w:tcW w:w="1578" w:type="pct"/>
          </w:tcPr>
          <w:p w14:paraId="390BF6E7" w14:textId="77777777" w:rsidR="004C5054" w:rsidRPr="00BD5DBD" w:rsidRDefault="004C5054" w:rsidP="004C5054">
            <w:pPr>
              <w:rPr>
                <w:i/>
                <w:szCs w:val="22"/>
              </w:rPr>
            </w:pPr>
            <w:r w:rsidRPr="00BD5DBD">
              <w:rPr>
                <w:i/>
                <w:szCs w:val="22"/>
              </w:rPr>
              <w:t>Dosage:</w:t>
            </w:r>
          </w:p>
        </w:tc>
        <w:tc>
          <w:tcPr>
            <w:tcW w:w="3422" w:type="pct"/>
          </w:tcPr>
          <w:p w14:paraId="2EE392DC" w14:textId="16A3A17F" w:rsidR="004C5054" w:rsidRPr="00BD5DBD" w:rsidRDefault="004C5054" w:rsidP="004C5054">
            <w:pPr>
              <w:rPr>
                <w:szCs w:val="22"/>
              </w:rPr>
            </w:pPr>
            <w:r w:rsidRPr="00BD5DBD">
              <w:rPr>
                <w:szCs w:val="22"/>
              </w:rPr>
              <w:t>For information regarding dosage</w:t>
            </w:r>
            <w:r>
              <w:rPr>
                <w:szCs w:val="22"/>
              </w:rPr>
              <w:t xml:space="preserve"> r</w:t>
            </w:r>
            <w:r w:rsidRPr="00BD5DBD">
              <w:rPr>
                <w:szCs w:val="22"/>
              </w:rPr>
              <w:t xml:space="preserve">efer to the </w:t>
            </w:r>
            <w:hyperlink r:id="rId19" w:history="1">
              <w:r w:rsidRPr="004C5054">
                <w:rPr>
                  <w:rStyle w:val="Hyperlink"/>
                  <w:szCs w:val="22"/>
                </w:rPr>
                <w:t>Product Information</w:t>
              </w:r>
            </w:hyperlink>
            <w:r w:rsidRPr="00BD5DBD">
              <w:rPr>
                <w:szCs w:val="22"/>
              </w:rPr>
              <w:t>.</w:t>
            </w:r>
          </w:p>
        </w:tc>
      </w:tr>
      <w:tr w:rsidR="004C5054" w:rsidRPr="00BD5DBD" w14:paraId="12E49C21" w14:textId="77777777" w:rsidTr="004C5054">
        <w:tc>
          <w:tcPr>
            <w:tcW w:w="1578" w:type="pct"/>
          </w:tcPr>
          <w:p w14:paraId="05B4C2E6" w14:textId="77777777" w:rsidR="004C5054" w:rsidRPr="00F8083B" w:rsidRDefault="004C5054" w:rsidP="004C5054">
            <w:r w:rsidRPr="00BD5DBD">
              <w:rPr>
                <w:i/>
                <w:szCs w:val="22"/>
              </w:rPr>
              <w:t>Pregnancy category:</w:t>
            </w:r>
          </w:p>
        </w:tc>
        <w:tc>
          <w:tcPr>
            <w:tcW w:w="3422" w:type="pct"/>
          </w:tcPr>
          <w:p w14:paraId="31031D38" w14:textId="0748EBEB" w:rsidR="004C5054" w:rsidRDefault="004C5054" w:rsidP="004C5054">
            <w:r>
              <w:t>Category B1</w:t>
            </w:r>
          </w:p>
          <w:p w14:paraId="5F84AEE8" w14:textId="4A6978D3" w:rsidR="004C5054" w:rsidRDefault="004C5054" w:rsidP="004C5054">
            <w:r>
              <w:t>Drugs which have been taken by only a limited number of pregnant women and women of childbearing age, without an increase in the frequency of malformation or other direct or indirect harmful effects on the human fetus having been observed.</w:t>
            </w:r>
          </w:p>
          <w:p w14:paraId="3586E3F9" w14:textId="407EB8C1" w:rsidR="004C5054" w:rsidRPr="00BD5DBD" w:rsidRDefault="004C5054" w:rsidP="004C5054">
            <w:pPr>
              <w:rPr>
                <w:szCs w:val="22"/>
              </w:rPr>
            </w:pPr>
            <w:r w:rsidRPr="00BD5DBD">
              <w:rPr>
                <w:szCs w:val="22"/>
              </w:rPr>
              <w:t xml:space="preserve">The use of any medicine during pregnancy requires careful consideration of both risks and benefits by the treating health professional. </w:t>
            </w:r>
            <w:r>
              <w:rPr>
                <w:szCs w:val="22"/>
              </w:rPr>
              <w:t xml:space="preserve">The </w:t>
            </w:r>
            <w:hyperlink r:id="rId20" w:history="1">
              <w:r w:rsidRPr="00065FDF">
                <w:rPr>
                  <w:rStyle w:val="Hyperlink"/>
                  <w:szCs w:val="22"/>
                </w:rPr>
                <w:t>pregnancy database</w:t>
              </w:r>
            </w:hyperlink>
            <w:r>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1" w:history="1">
              <w:r w:rsidRPr="00C059D0">
                <w:rPr>
                  <w:rStyle w:val="Hyperlink"/>
                  <w:szCs w:val="22"/>
                </w:rPr>
                <w:t>obstetric drug information services</w:t>
              </w:r>
            </w:hyperlink>
            <w:r w:rsidRPr="00BD5DBD">
              <w:rPr>
                <w:szCs w:val="22"/>
              </w:rPr>
              <w:t xml:space="preserve"> in your </w:t>
            </w:r>
            <w:r>
              <w:rPr>
                <w:szCs w:val="22"/>
              </w:rPr>
              <w:t>s</w:t>
            </w:r>
            <w:r w:rsidRPr="00BD5DBD">
              <w:rPr>
                <w:szCs w:val="22"/>
              </w:rPr>
              <w:t xml:space="preserve">tate or </w:t>
            </w:r>
            <w:r>
              <w:rPr>
                <w:szCs w:val="22"/>
              </w:rPr>
              <w:t>t</w:t>
            </w:r>
            <w:r w:rsidRPr="00BD5DBD">
              <w:rPr>
                <w:szCs w:val="22"/>
              </w:rPr>
              <w:t>erritory.</w:t>
            </w:r>
          </w:p>
        </w:tc>
      </w:tr>
    </w:tbl>
    <w:p w14:paraId="51F2479F" w14:textId="150D1898" w:rsidR="00324B33" w:rsidRDefault="00574BAB" w:rsidP="00C42C71">
      <w:pPr>
        <w:pStyle w:val="Heading3"/>
      </w:pPr>
      <w:bookmarkStart w:id="8" w:name="_Toc205369276"/>
      <w:r>
        <w:t>P</w:t>
      </w:r>
      <w:r w:rsidR="006D0E86" w:rsidRPr="006D0E86">
        <w:t>roposed indication</w:t>
      </w:r>
      <w:bookmarkEnd w:id="8"/>
    </w:p>
    <w:p w14:paraId="71A53451" w14:textId="5358955A" w:rsidR="004C5054" w:rsidRDefault="00324B33" w:rsidP="004C5054">
      <w:r w:rsidRPr="00065839">
        <w:t xml:space="preserve">This AusPAR describes the submission by </w:t>
      </w:r>
      <w:r w:rsidR="003F4E9B" w:rsidRPr="003F4E9B">
        <w:t>Celltrion Healthcare Australia Pty Ltd</w:t>
      </w:r>
      <w:r w:rsidRPr="00065839">
        <w:t xml:space="preserve"> (the </w:t>
      </w:r>
      <w:r w:rsidR="00417D9A">
        <w:t>S</w:t>
      </w:r>
      <w:r w:rsidRPr="00065839">
        <w:t>ponsor)</w:t>
      </w:r>
      <w:r w:rsidR="007E50E2">
        <w:rPr>
          <w:rStyle w:val="FootnoteReference"/>
        </w:rPr>
        <w:footnoteReference w:id="1"/>
      </w:r>
      <w:r w:rsidRPr="00065839">
        <w:t xml:space="preserve"> to register </w:t>
      </w:r>
      <w:r w:rsidR="00506362">
        <w:t>OMLYCLO</w:t>
      </w:r>
      <w:r w:rsidR="003F4E9B" w:rsidRPr="003F4E9B">
        <w:t xml:space="preserve"> </w:t>
      </w:r>
      <w:r w:rsidR="003F4E9B">
        <w:t>(</w:t>
      </w:r>
      <w:r w:rsidR="003F4E9B" w:rsidRPr="003F4E9B">
        <w:t>omalizumab</w:t>
      </w:r>
      <w:r w:rsidR="003F4E9B">
        <w:t>)</w:t>
      </w:r>
      <w:r w:rsidR="0028543F">
        <w:t xml:space="preserve">, a biosimilar to </w:t>
      </w:r>
      <w:hyperlink r:id="rId22" w:history="1">
        <w:r w:rsidR="0028543F" w:rsidRPr="0028543F">
          <w:rPr>
            <w:rStyle w:val="Hyperlink"/>
          </w:rPr>
          <w:t>XOLAIR</w:t>
        </w:r>
      </w:hyperlink>
      <w:r w:rsidR="0028543F">
        <w:t>,</w:t>
      </w:r>
      <w:r w:rsidRPr="00065839">
        <w:t xml:space="preserve"> for the following proposed indication</w:t>
      </w:r>
      <w:r w:rsidR="00CE0539">
        <w:t>s</w:t>
      </w:r>
      <w:r w:rsidRPr="00065839">
        <w:t>:</w:t>
      </w:r>
      <w:bookmarkStart w:id="9" w:name="_Toc314842485"/>
      <w:bookmarkStart w:id="10" w:name="_Toc247691504"/>
    </w:p>
    <w:p w14:paraId="0A49767F" w14:textId="49ACD382" w:rsidR="00CE0539" w:rsidRPr="00345E15" w:rsidRDefault="00CE0539" w:rsidP="00345E15">
      <w:pPr>
        <w:pStyle w:val="Indication"/>
        <w:rPr>
          <w:b/>
          <w:bCs/>
        </w:rPr>
      </w:pPr>
      <w:r w:rsidRPr="00345E15">
        <w:rPr>
          <w:b/>
          <w:bCs/>
        </w:rPr>
        <w:t>Allergic Asthma</w:t>
      </w:r>
    </w:p>
    <w:p w14:paraId="3F53A3CE" w14:textId="466476BC" w:rsidR="00CE0539" w:rsidRDefault="00CE0539" w:rsidP="00345E15">
      <w:pPr>
        <w:pStyle w:val="Indication"/>
      </w:pPr>
      <w:r>
        <w:t>Children 6 to &lt; 12 years of age</w:t>
      </w:r>
      <w:r w:rsidR="00345E15">
        <w:t>:</w:t>
      </w:r>
    </w:p>
    <w:p w14:paraId="218CE542" w14:textId="3F6A9DFF" w:rsidR="00345E15" w:rsidRDefault="00CE0539" w:rsidP="00345E15">
      <w:pPr>
        <w:pStyle w:val="Indication"/>
      </w:pPr>
      <w:r>
        <w:t xml:space="preserve">In children aged 6 to &lt;12 years, </w:t>
      </w:r>
      <w:r w:rsidR="00506362">
        <w:t>OMLYCLO</w:t>
      </w:r>
      <w:r>
        <w:t xml:space="preserve"> is indicated as add-on therapy to improve asthma control in patients with severe allergic asthma who have documented exacerbations despite daily high dose inhaled corticosteroids, and who have immunoglobulin E levels</w:t>
      </w:r>
      <w:r w:rsidR="00345E15">
        <w:t xml:space="preserve"> corresponding to the recommended dose range.</w:t>
      </w:r>
    </w:p>
    <w:p w14:paraId="7E8DF267" w14:textId="77777777" w:rsidR="00683109" w:rsidRDefault="00683109" w:rsidP="00345E15">
      <w:pPr>
        <w:pStyle w:val="Indication"/>
      </w:pPr>
    </w:p>
    <w:p w14:paraId="3543D976" w14:textId="75A964D3" w:rsidR="00345E15" w:rsidRDefault="00345E15" w:rsidP="00345E15">
      <w:pPr>
        <w:pStyle w:val="Indication"/>
      </w:pPr>
      <w:r>
        <w:t>Adults and adolescents ≥ 12 years of age:</w:t>
      </w:r>
    </w:p>
    <w:p w14:paraId="6961E3E4" w14:textId="1FAB4ABC" w:rsidR="00345E15" w:rsidRDefault="00506362" w:rsidP="00345E15">
      <w:pPr>
        <w:pStyle w:val="Indication"/>
      </w:pPr>
      <w:r>
        <w:t>OMLYCLO</w:t>
      </w:r>
      <w:r w:rsidR="00345E15">
        <w:t xml:space="preserve"> is indicated for the management of adult and adolescent patients with moderate to severe allergic asthma, who are already being treated with inhaled steroids, and who have serum immunoglobulin E levels corresponding to the recommended dose range.</w:t>
      </w:r>
    </w:p>
    <w:p w14:paraId="0829AB31" w14:textId="74F36013" w:rsidR="00345E15" w:rsidRDefault="00345E15" w:rsidP="00345E15">
      <w:pPr>
        <w:pStyle w:val="Indication"/>
        <w:rPr>
          <w:b/>
          <w:bCs/>
        </w:rPr>
      </w:pPr>
    </w:p>
    <w:p w14:paraId="6B709A29" w14:textId="765A7AE5" w:rsidR="00345E15" w:rsidRPr="00345E15" w:rsidRDefault="00345E15" w:rsidP="00345E15">
      <w:pPr>
        <w:pStyle w:val="Indication"/>
        <w:rPr>
          <w:b/>
          <w:bCs/>
        </w:rPr>
      </w:pPr>
      <w:r w:rsidRPr="00345E15">
        <w:rPr>
          <w:b/>
          <w:bCs/>
        </w:rPr>
        <w:lastRenderedPageBreak/>
        <w:t>Chronic rhinosinusitis with nasal polyps (CRSwNP)</w:t>
      </w:r>
    </w:p>
    <w:p w14:paraId="29FA3EB6" w14:textId="16085A67" w:rsidR="00345E15" w:rsidRDefault="00506362" w:rsidP="00345E15">
      <w:pPr>
        <w:pStyle w:val="Indication"/>
      </w:pPr>
      <w:r>
        <w:t>OMLYCLO</w:t>
      </w:r>
      <w:r w:rsidR="00345E15">
        <w:t xml:space="preserve"> is indicated as add-on treatment in adult patients (18 years of age and above) for the treatment of severe CRSwNP with inadequate response to intranasal corticosteroids.</w:t>
      </w:r>
    </w:p>
    <w:p w14:paraId="63C7E360" w14:textId="65AD2F72" w:rsidR="00345E15" w:rsidRDefault="00345E15" w:rsidP="00345E15">
      <w:pPr>
        <w:pStyle w:val="Indication"/>
      </w:pPr>
      <w:r>
        <w:t>Recommended dosing is determined by serum immunoglobulin E levels and body weight corresponding to the recommended dose range in the Product Information.</w:t>
      </w:r>
    </w:p>
    <w:p w14:paraId="712552CB" w14:textId="77777777" w:rsidR="00345E15" w:rsidRDefault="00345E15" w:rsidP="00345E15">
      <w:pPr>
        <w:pStyle w:val="Indication"/>
        <w:rPr>
          <w:b/>
          <w:bCs/>
        </w:rPr>
      </w:pPr>
    </w:p>
    <w:p w14:paraId="1AC717E6" w14:textId="07CA2620" w:rsidR="00345E15" w:rsidRPr="00345E15" w:rsidRDefault="00345E15" w:rsidP="00345E15">
      <w:pPr>
        <w:pStyle w:val="Indication"/>
        <w:rPr>
          <w:b/>
          <w:bCs/>
        </w:rPr>
      </w:pPr>
      <w:r w:rsidRPr="00345E15">
        <w:rPr>
          <w:b/>
          <w:bCs/>
        </w:rPr>
        <w:t xml:space="preserve">Chronic Spontaneous Urticaria (CSU) </w:t>
      </w:r>
    </w:p>
    <w:p w14:paraId="69697AF0" w14:textId="3FD5B6F5" w:rsidR="00345E15" w:rsidRDefault="00506362" w:rsidP="00345E15">
      <w:pPr>
        <w:pStyle w:val="Indication"/>
      </w:pPr>
      <w:r>
        <w:t>OMLYCLO</w:t>
      </w:r>
      <w:r w:rsidR="00345E15">
        <w:t xml:space="preserve"> is indicated for adults and adolescents (12 years of age and above) with chronic spontaneous urticaria who remain symptomatic despite H1 antihistamine treatment.</w:t>
      </w:r>
    </w:p>
    <w:p w14:paraId="4DD1DA7C" w14:textId="0DFB636C" w:rsidR="004C5054" w:rsidRDefault="0033169F" w:rsidP="00C42C71">
      <w:pPr>
        <w:pStyle w:val="Heading3"/>
      </w:pPr>
      <w:bookmarkStart w:id="11" w:name="_Toc205369277"/>
      <w:r w:rsidRPr="0033169F">
        <w:t xml:space="preserve">The </w:t>
      </w:r>
      <w:r w:rsidR="00F008F8">
        <w:t>condition</w:t>
      </w:r>
      <w:r w:rsidR="00C77AB3">
        <w:t>s</w:t>
      </w:r>
      <w:bookmarkEnd w:id="11"/>
    </w:p>
    <w:p w14:paraId="484178F3" w14:textId="77777777" w:rsidR="00C77AB3" w:rsidRDefault="00C77AB3" w:rsidP="00C77AB3">
      <w:r>
        <w:t>Allergic asthma, chronic rhinosinusitis with nasal polyps and chronic spontaneous urticaria are IgE mediated allergic/atopic conditions.</w:t>
      </w:r>
    </w:p>
    <w:p w14:paraId="12C9E14A" w14:textId="77777777" w:rsidR="00C77AB3" w:rsidRDefault="00C77AB3" w:rsidP="00C77AB3">
      <w:pPr>
        <w:pStyle w:val="Heading5"/>
      </w:pPr>
      <w:r>
        <w:t>Allergic asthma</w:t>
      </w:r>
    </w:p>
    <w:p w14:paraId="65D493A5" w14:textId="6B50B077" w:rsidR="00C77AB3" w:rsidRDefault="00C77AB3" w:rsidP="00C77AB3">
      <w:r>
        <w:t xml:space="preserve">Asthma is a chronic respiratory disease and is defined by the presence of both excessive variation in lung function confirmed via respiratory functions tests </w:t>
      </w:r>
      <w:r w:rsidR="008709C7">
        <w:t>and</w:t>
      </w:r>
      <w:r>
        <w:t xml:space="preserve"> variable respiratory symptoms such as wheeze, shortness of breath, cough and chest tightness. In young children where lung function is difficult to measure, asthma is determined by the presence of variable respiratory symptoms.</w:t>
      </w:r>
      <w:r w:rsidR="00777139">
        <w:rPr>
          <w:rStyle w:val="FootnoteReference"/>
        </w:rPr>
        <w:footnoteReference w:id="2"/>
      </w:r>
    </w:p>
    <w:p w14:paraId="273110E3" w14:textId="77777777" w:rsidR="00C77AB3" w:rsidRDefault="00C77AB3" w:rsidP="00C77AB3">
      <w:r>
        <w:t>Asthma is not a single disease, there are multiple phenotypes and different aetiologies, genetic and environmental risk factors. Allergic asthma is more likely when the person also has allergy and a family history of asthma. Common allergens include dust mites, moulds, furry animals, cockroaches, and pollens. Allergy tests can be helpful to confirm sensitivity to suspected allergic triggers and guide on-going management.</w:t>
      </w:r>
    </w:p>
    <w:p w14:paraId="2061962E" w14:textId="77777777" w:rsidR="00C77AB3" w:rsidRDefault="00C77AB3" w:rsidP="00C77AB3">
      <w:pPr>
        <w:pStyle w:val="Heading5"/>
      </w:pPr>
      <w:r>
        <w:t>Chronic rhinosinusitis with nasal polyps</w:t>
      </w:r>
    </w:p>
    <w:p w14:paraId="5ACB21A6" w14:textId="77777777" w:rsidR="00C77AB3" w:rsidRDefault="00C77AB3" w:rsidP="00C77AB3">
      <w:r>
        <w:t>Chronic rhinosinusitis is an inflammation of the paranasal sinuses lasting 12 weeks or longer. CRSwNP is present in 2-4% of the adult population.</w:t>
      </w:r>
    </w:p>
    <w:p w14:paraId="3DD6CD53" w14:textId="77777777" w:rsidR="00C77AB3" w:rsidRDefault="00C77AB3" w:rsidP="00C77AB3">
      <w:r>
        <w:t>There are multiple aetiologies of CRSwNP. Patients with allergic aetiology often have an earlier onset (&lt;20 years) and may have other signs of atopy including asthma.</w:t>
      </w:r>
    </w:p>
    <w:p w14:paraId="748FB1D4" w14:textId="77CA873D" w:rsidR="00C77AB3" w:rsidRDefault="00C77AB3" w:rsidP="00C77AB3">
      <w:r>
        <w:t>Common symptoms include nasal obstruction or congestion (95% of patients), anterior or posterior postnasal drip (89%), reduction or loss of sense of smell (58%) due to occlusion of the olfactory nerve endings, and facial pain (60%).</w:t>
      </w:r>
      <w:r w:rsidR="00C10A40">
        <w:rPr>
          <w:rStyle w:val="FootnoteReference"/>
        </w:rPr>
        <w:footnoteReference w:id="3"/>
      </w:r>
    </w:p>
    <w:p w14:paraId="47A61990" w14:textId="77777777" w:rsidR="00C77AB3" w:rsidRDefault="00C77AB3" w:rsidP="00C77AB3">
      <w:pPr>
        <w:pStyle w:val="Heading5"/>
      </w:pPr>
      <w:r>
        <w:t>Chronic spontaneous urticaria</w:t>
      </w:r>
    </w:p>
    <w:p w14:paraId="4A2F736B" w14:textId="77777777" w:rsidR="00C77AB3" w:rsidRDefault="00C77AB3" w:rsidP="00C77AB3">
      <w:r>
        <w:t>CSU is defined by the presence of recurrent urticaria (hives/wheals) for 6 weeks or longer. Urticaria involves transient raised pruritic lesions caused by mast cell degranulation in the superficial dermis. CSU refers to wheals arising spontaneously on most days of the week for six weeks or more and there is a lifetime prevalence of about 1.8% in the adult population.</w:t>
      </w:r>
    </w:p>
    <w:p w14:paraId="4EBEE7BF" w14:textId="010E1E30" w:rsidR="00C77AB3" w:rsidRPr="00C77AB3" w:rsidRDefault="00C77AB3" w:rsidP="00C77AB3">
      <w:r>
        <w:lastRenderedPageBreak/>
        <w:t>Angioedema occurs with urticaria in about 40% of cases of CSU. Angioedema is a localised arising in deeper dermal layers, triggered either by mast cell-derived histamine or by bradykinin.</w:t>
      </w:r>
      <w:r w:rsidR="00137A66">
        <w:rPr>
          <w:rStyle w:val="FootnoteReference"/>
        </w:rPr>
        <w:footnoteReference w:id="4"/>
      </w:r>
    </w:p>
    <w:p w14:paraId="3D376116" w14:textId="219669E0" w:rsidR="004C5054" w:rsidRDefault="00480A4C" w:rsidP="00C42C71">
      <w:pPr>
        <w:pStyle w:val="Heading3"/>
      </w:pPr>
      <w:bookmarkStart w:id="12" w:name="_Toc205369278"/>
      <w:r w:rsidRPr="00480A4C">
        <w:t>Current treatment options</w:t>
      </w:r>
      <w:bookmarkEnd w:id="12"/>
    </w:p>
    <w:p w14:paraId="39137A3F" w14:textId="77777777" w:rsidR="0090695C" w:rsidRDefault="0090695C" w:rsidP="006C3C33">
      <w:pPr>
        <w:pStyle w:val="Heading5"/>
      </w:pPr>
      <w:r>
        <w:t>Allergic asthma</w:t>
      </w:r>
    </w:p>
    <w:p w14:paraId="3BF6FC44" w14:textId="42A2681B" w:rsidR="006C3C33" w:rsidRDefault="0090695C" w:rsidP="006C3C33">
      <w:r>
        <w:t>Depending on symptom severity, recommended pharmacological treatment for asthma involves a varying combination of short-acting beta agonists, long-acting beta agonists, inhaled</w:t>
      </w:r>
      <w:r w:rsidR="006C3C33">
        <w:t xml:space="preserve"> corticosteroids and long-acting muscarinic antagonists. The Australian Asthma Handbook recommends omalizumab can be considered:</w:t>
      </w:r>
      <w:r w:rsidR="00152B25">
        <w:rPr>
          <w:rStyle w:val="FootnoteReference"/>
        </w:rPr>
        <w:footnoteReference w:id="5"/>
      </w:r>
      <w:r w:rsidR="006C3C33">
        <w:t xml:space="preserve"> </w:t>
      </w:r>
    </w:p>
    <w:p w14:paraId="0D389F16" w14:textId="2408259F" w:rsidR="006C3C33" w:rsidRDefault="006C3C33" w:rsidP="005E7C1B">
      <w:pPr>
        <w:pStyle w:val="ListBullet"/>
      </w:pPr>
      <w:r>
        <w:t>for adults and adolescents aged 12 years and over, with moderate-to-severe allergic asthma despite inhaled corticosteroid treatment, and raised IgE levels.</w:t>
      </w:r>
    </w:p>
    <w:p w14:paraId="503BD56D" w14:textId="4D180273" w:rsidR="006C3C33" w:rsidRDefault="006C3C33" w:rsidP="005E7C1B">
      <w:pPr>
        <w:pStyle w:val="ListBullet"/>
      </w:pPr>
      <w:r>
        <w:t>for children aged 6 to 11 years with severe allergic asthma (documented exacerbations despite daily high-dose inhaled corticosteroids with or without another maintenance treatment) and raised IgE levels.</w:t>
      </w:r>
    </w:p>
    <w:p w14:paraId="2277868C" w14:textId="77777777" w:rsidR="006C3C33" w:rsidRDefault="006C3C33" w:rsidP="006C3C33">
      <w:pPr>
        <w:pStyle w:val="Heading5"/>
      </w:pPr>
      <w:r>
        <w:t>Chronic rhinosinusitis with nasal polyps</w:t>
      </w:r>
    </w:p>
    <w:p w14:paraId="5E717B6E" w14:textId="0B0E9BEC" w:rsidR="006C3C33" w:rsidRDefault="006C3C33" w:rsidP="006C3C33">
      <w:r>
        <w:t>Management of CRSwNP traditionally includes saline sprays, intranasal corticosteroids and antihistamines and endoscopic sinus surgery.</w:t>
      </w:r>
      <w:r w:rsidR="00855CCE">
        <w:rPr>
          <w:rStyle w:val="FootnoteReference"/>
        </w:rPr>
        <w:footnoteReference w:id="6"/>
      </w:r>
    </w:p>
    <w:p w14:paraId="42990B3E" w14:textId="77777777" w:rsidR="006C3C33" w:rsidRDefault="006C3C33" w:rsidP="006C3C33">
      <w:pPr>
        <w:pStyle w:val="Heading5"/>
      </w:pPr>
      <w:r>
        <w:t>Chronic spontaneous urticaria</w:t>
      </w:r>
    </w:p>
    <w:p w14:paraId="04513307" w14:textId="77777777" w:rsidR="006C3C33" w:rsidRDefault="006C3C33" w:rsidP="006C3C33">
      <w:r>
        <w:t>Around 80% of people with CSU go into spontaneous remission within 12 months without intervention. Symptom control includes suppression of itch and visible rash, and prevention of angioedema episodes.</w:t>
      </w:r>
    </w:p>
    <w:p w14:paraId="46079BF9" w14:textId="4A9846FE" w:rsidR="0090695C" w:rsidRPr="0090695C" w:rsidRDefault="006C3C33" w:rsidP="006C3C33">
      <w:r>
        <w:t>Treatment options include sedating and non-sedating antihistamines, leukotriene antagonists, doxepin, omalizumab or other immunosuppressants.</w:t>
      </w:r>
      <w:r w:rsidR="00FB59BA">
        <w:rPr>
          <w:rStyle w:val="FootnoteReference"/>
        </w:rPr>
        <w:footnoteReference w:id="7"/>
      </w:r>
    </w:p>
    <w:p w14:paraId="37C47E09" w14:textId="226868CE" w:rsidR="00CB6813" w:rsidRDefault="002F116C" w:rsidP="00C42C71">
      <w:pPr>
        <w:pStyle w:val="Heading3"/>
      </w:pPr>
      <w:bookmarkStart w:id="13" w:name="_Toc205369279"/>
      <w:r w:rsidRPr="002F116C">
        <w:t>Clinical rationale</w:t>
      </w:r>
      <w:bookmarkEnd w:id="13"/>
    </w:p>
    <w:p w14:paraId="0D615854" w14:textId="77777777" w:rsidR="00324B33" w:rsidRPr="003F31A2" w:rsidRDefault="00324B33" w:rsidP="00C42C71">
      <w:pPr>
        <w:pStyle w:val="Heading3"/>
      </w:pPr>
      <w:bookmarkStart w:id="14" w:name="_Toc103679291"/>
      <w:bookmarkStart w:id="15" w:name="_Toc205369280"/>
      <w:r>
        <w:t>Regulatory status</w:t>
      </w:r>
      <w:bookmarkEnd w:id="9"/>
      <w:bookmarkEnd w:id="10"/>
      <w:bookmarkEnd w:id="14"/>
      <w:bookmarkEnd w:id="15"/>
    </w:p>
    <w:p w14:paraId="72C889D6" w14:textId="7E200950" w:rsidR="0017005C" w:rsidRPr="00BD5DBD" w:rsidRDefault="0017005C" w:rsidP="004C5054">
      <w:pPr>
        <w:pStyle w:val="Heading5"/>
      </w:pPr>
      <w:r w:rsidRPr="00BD5DBD">
        <w:t>Australian regulatory</w:t>
      </w:r>
      <w:r>
        <w:t xml:space="preserve"> sta</w:t>
      </w:r>
      <w:r w:rsidR="0025785B">
        <w:t>t</w:t>
      </w:r>
      <w:r>
        <w:t>us</w:t>
      </w:r>
    </w:p>
    <w:p w14:paraId="6A8633FA" w14:textId="78405D44" w:rsidR="00324B33" w:rsidRDefault="00324B33" w:rsidP="00324B33">
      <w:pPr>
        <w:rPr>
          <w:szCs w:val="22"/>
        </w:rPr>
      </w:pPr>
      <w:r w:rsidRPr="00BD5DBD">
        <w:rPr>
          <w:szCs w:val="22"/>
        </w:rPr>
        <w:t xml:space="preserve">This product is a </w:t>
      </w:r>
      <w:r w:rsidR="008C754C" w:rsidRPr="00BD5DBD">
        <w:rPr>
          <w:szCs w:val="22"/>
        </w:rPr>
        <w:t xml:space="preserve">new </w:t>
      </w:r>
      <w:r w:rsidRPr="00BD5DBD">
        <w:rPr>
          <w:szCs w:val="22"/>
        </w:rPr>
        <w:t>biosimilar medicine for Australian regulatory purposes.</w:t>
      </w:r>
    </w:p>
    <w:p w14:paraId="546C1031" w14:textId="4EF98FA1" w:rsidR="0017005C" w:rsidRDefault="00131B1B" w:rsidP="004C5054">
      <w:pPr>
        <w:pStyle w:val="Heading5"/>
      </w:pPr>
      <w:r>
        <w:t xml:space="preserve">International </w:t>
      </w:r>
      <w:r w:rsidR="0017005C" w:rsidRPr="00BD5DBD">
        <w:t>regulatory</w:t>
      </w:r>
      <w:r w:rsidR="0017005C">
        <w:t xml:space="preserve"> status</w:t>
      </w:r>
    </w:p>
    <w:p w14:paraId="4A2FBD0F" w14:textId="77777777" w:rsidR="000A4B07" w:rsidRDefault="008F4A62" w:rsidP="008F4A62">
      <w:pPr>
        <w:rPr>
          <w:szCs w:val="22"/>
        </w:rPr>
      </w:pPr>
      <w:r w:rsidRPr="00BD5DBD">
        <w:rPr>
          <w:szCs w:val="22"/>
        </w:rPr>
        <w:t xml:space="preserve">At the time the TGA considered this submission, a similar submission had been </w:t>
      </w:r>
      <w:r>
        <w:rPr>
          <w:szCs w:val="22"/>
        </w:rPr>
        <w:t xml:space="preserve">considered by other regulatory agencies. </w:t>
      </w:r>
    </w:p>
    <w:p w14:paraId="1E9BAFA1" w14:textId="6EFD7BAA" w:rsidR="000A4B07" w:rsidRPr="000A4B07" w:rsidRDefault="00506362" w:rsidP="000A4B07">
      <w:pPr>
        <w:rPr>
          <w:szCs w:val="22"/>
        </w:rPr>
      </w:pPr>
      <w:r>
        <w:rPr>
          <w:szCs w:val="22"/>
        </w:rPr>
        <w:lastRenderedPageBreak/>
        <w:t>OMLYCLO</w:t>
      </w:r>
      <w:r w:rsidR="000A4B07" w:rsidRPr="000A4B07">
        <w:rPr>
          <w:szCs w:val="22"/>
        </w:rPr>
        <w:t xml:space="preserve"> was approved by the EMA in March 2024</w:t>
      </w:r>
      <w:r w:rsidR="00FB59BA">
        <w:rPr>
          <w:szCs w:val="22"/>
        </w:rPr>
        <w:t>.</w:t>
      </w:r>
      <w:r w:rsidR="00FB59BA">
        <w:rPr>
          <w:rStyle w:val="FootnoteReference"/>
          <w:szCs w:val="22"/>
        </w:rPr>
        <w:footnoteReference w:id="8"/>
      </w:r>
    </w:p>
    <w:p w14:paraId="55AD86F5" w14:textId="1A35F463" w:rsidR="000A4B07" w:rsidRPr="000A4B07" w:rsidRDefault="000A4B07" w:rsidP="000A4B07">
      <w:pPr>
        <w:rPr>
          <w:szCs w:val="22"/>
        </w:rPr>
      </w:pPr>
      <w:r w:rsidRPr="000A4B07">
        <w:rPr>
          <w:szCs w:val="22"/>
        </w:rPr>
        <w:t xml:space="preserve">On 21 March 2024, the Committee for Medicinal Products for Human Use adopted a positive opinion, recommending the granting of a marketing authorisation for the medicinal product </w:t>
      </w:r>
      <w:r w:rsidR="00506362">
        <w:rPr>
          <w:szCs w:val="22"/>
        </w:rPr>
        <w:t>OMLYCLO</w:t>
      </w:r>
      <w:r w:rsidRPr="000A4B07">
        <w:rPr>
          <w:szCs w:val="22"/>
        </w:rPr>
        <w:t>, intended for the treatment of severe persistent allergic asthma, CRSwNP and CSU.</w:t>
      </w:r>
    </w:p>
    <w:p w14:paraId="0C85D751" w14:textId="309768EB" w:rsidR="000A4B07" w:rsidRDefault="000A4B07" w:rsidP="009B487F">
      <w:r w:rsidRPr="000A4B07">
        <w:rPr>
          <w:szCs w:val="22"/>
        </w:rPr>
        <w:t>Submissions have been made in the following jurisdictions in addition to Australia:</w:t>
      </w:r>
      <w:r w:rsidR="009B487F">
        <w:rPr>
          <w:szCs w:val="22"/>
        </w:rPr>
        <w:t xml:space="preserve"> </w:t>
      </w:r>
      <w:r w:rsidRPr="000A4B07">
        <w:t>Brazil</w:t>
      </w:r>
      <w:r w:rsidR="009B487F">
        <w:t xml:space="preserve">, </w:t>
      </w:r>
      <w:r w:rsidRPr="000A4B07">
        <w:t>Switzerland</w:t>
      </w:r>
      <w:r w:rsidR="009B487F">
        <w:t xml:space="preserve">, </w:t>
      </w:r>
      <w:r w:rsidRPr="000A4B07">
        <w:t>Canada</w:t>
      </w:r>
      <w:r w:rsidR="009B487F">
        <w:t xml:space="preserve">, </w:t>
      </w:r>
      <w:r w:rsidRPr="000A4B07">
        <w:t>Turkey</w:t>
      </w:r>
      <w:r w:rsidR="009B487F">
        <w:t xml:space="preserve">, </w:t>
      </w:r>
      <w:r w:rsidRPr="000A4B07">
        <w:t>United States</w:t>
      </w:r>
      <w:r w:rsidR="009B487F">
        <w:t xml:space="preserve">, </w:t>
      </w:r>
      <w:r w:rsidRPr="000A4B07">
        <w:t>United Kingdom.</w:t>
      </w:r>
    </w:p>
    <w:p w14:paraId="6D92589C" w14:textId="09786CEF" w:rsidR="00324B33" w:rsidRDefault="00324B33" w:rsidP="00C42C71">
      <w:pPr>
        <w:pStyle w:val="Heading3"/>
      </w:pPr>
      <w:bookmarkStart w:id="16" w:name="_Toc504480011"/>
      <w:bookmarkStart w:id="17" w:name="_Toc103679293"/>
      <w:bookmarkStart w:id="18" w:name="_Toc205369281"/>
      <w:r>
        <w:t>Registration timeline</w:t>
      </w:r>
      <w:bookmarkEnd w:id="16"/>
      <w:bookmarkEnd w:id="17"/>
      <w:bookmarkEnd w:id="18"/>
    </w:p>
    <w:p w14:paraId="225E3D87" w14:textId="66F825C3" w:rsidR="00324B33" w:rsidRPr="00BD5DBD" w:rsidRDefault="00BB25A3" w:rsidP="00324B33">
      <w:pPr>
        <w:rPr>
          <w:szCs w:val="22"/>
        </w:rPr>
      </w:pPr>
      <w:r>
        <w:rPr>
          <w:szCs w:val="22"/>
        </w:rPr>
        <w:t>T</w:t>
      </w:r>
      <w:r w:rsidR="00324B33" w:rsidRPr="00BD5DBD">
        <w:rPr>
          <w:szCs w:val="22"/>
        </w:rPr>
        <w:t>able</w:t>
      </w:r>
      <w:r>
        <w:rPr>
          <w:szCs w:val="22"/>
        </w:rPr>
        <w:t xml:space="preserve"> </w:t>
      </w:r>
      <w:r w:rsidR="001952B0">
        <w:rPr>
          <w:szCs w:val="22"/>
        </w:rPr>
        <w:t>1</w:t>
      </w:r>
      <w:r w:rsidR="00324B33" w:rsidRPr="00BD5DBD">
        <w:rPr>
          <w:szCs w:val="22"/>
        </w:rPr>
        <w:t xml:space="preserv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3" w:history="1">
        <w:r w:rsidRPr="00BD5DBD">
          <w:rPr>
            <w:rStyle w:val="Hyperlink"/>
            <w:szCs w:val="22"/>
          </w:rPr>
          <w:t>standard prescription medicines registration process</w:t>
        </w:r>
      </w:hyperlink>
      <w:r w:rsidRPr="00BD5DBD">
        <w:rPr>
          <w:szCs w:val="22"/>
        </w:rPr>
        <w:t>.</w:t>
      </w:r>
    </w:p>
    <w:p w14:paraId="44628C5F" w14:textId="61A4FCE7" w:rsidR="00324B33" w:rsidRDefault="00324B33" w:rsidP="002C1232">
      <w:pPr>
        <w:pStyle w:val="TableTitle"/>
      </w:pPr>
      <w:r w:rsidRPr="002C1232">
        <w:t>Table</w:t>
      </w:r>
      <w:r w:rsidR="00C14E7B">
        <w:t xml:space="preserve"> 1.</w:t>
      </w:r>
      <w:r w:rsidRPr="002C1232">
        <w:t xml:space="preserve"> </w:t>
      </w:r>
      <w:r w:rsidR="001A716C" w:rsidRPr="001A716C">
        <w:t>Registration timeline for</w:t>
      </w:r>
      <w:r w:rsidR="001A716C">
        <w:t xml:space="preserve"> </w:t>
      </w:r>
      <w:r w:rsidR="00C14E7B" w:rsidRPr="00C14E7B">
        <w:t xml:space="preserve">OMLYCLO </w:t>
      </w:r>
      <w:r w:rsidR="00C14E7B">
        <w:t>(</w:t>
      </w:r>
      <w:r w:rsidR="00C14E7B" w:rsidRPr="00C14E7B">
        <w:t>omalizumab</w:t>
      </w:r>
      <w:r w:rsidR="00C14E7B">
        <w:t>)</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4F4E722F" w:rsidR="00324B33" w:rsidRPr="00E679D1" w:rsidRDefault="00324B33" w:rsidP="00133F91">
            <w:pPr>
              <w:ind w:left="71"/>
            </w:pPr>
            <w:r w:rsidRPr="00E679D1">
              <w:t>Submission dossier accepted and evaluation commenced</w:t>
            </w:r>
          </w:p>
        </w:tc>
        <w:tc>
          <w:tcPr>
            <w:tcW w:w="2977" w:type="dxa"/>
          </w:tcPr>
          <w:p w14:paraId="2963D9D8" w14:textId="04575837" w:rsidR="00324B33" w:rsidRPr="00D01DDB" w:rsidRDefault="001952B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November 2023</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4A6E19A0" w:rsidR="00803926" w:rsidRPr="00E679D1" w:rsidDel="00C62B1C" w:rsidRDefault="00803926" w:rsidP="00133F91">
            <w:pPr>
              <w:ind w:left="71"/>
            </w:pPr>
            <w:r>
              <w:t>Evaluation completed</w:t>
            </w:r>
          </w:p>
        </w:tc>
        <w:tc>
          <w:tcPr>
            <w:tcW w:w="2977" w:type="dxa"/>
          </w:tcPr>
          <w:p w14:paraId="2E0BD403" w14:textId="1BDA83F3" w:rsidR="00803926" w:rsidRPr="00D01DDB" w:rsidRDefault="001F729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July 2024</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133F91">
            <w:pPr>
              <w:ind w:left="71"/>
            </w:pPr>
            <w:r w:rsidRPr="00E679D1">
              <w:t>Registration decision (Outcome)</w:t>
            </w:r>
          </w:p>
        </w:tc>
        <w:tc>
          <w:tcPr>
            <w:tcW w:w="2977" w:type="dxa"/>
          </w:tcPr>
          <w:p w14:paraId="62987ABD" w14:textId="2412E3E2" w:rsidR="00324B33" w:rsidRPr="00D01DDB" w:rsidRDefault="001F729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21 November 2024</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336B85B1" w:rsidR="00324B33" w:rsidRPr="00E679D1" w:rsidRDefault="00C00844" w:rsidP="00133F91">
            <w:pPr>
              <w:ind w:left="71"/>
            </w:pPr>
            <w:r>
              <w:t>R</w:t>
            </w:r>
            <w:r w:rsidR="0013132F" w:rsidRPr="00E679D1">
              <w:t xml:space="preserve">egistration </w:t>
            </w:r>
            <w:r w:rsidR="005C4B46" w:rsidRPr="00E679D1">
              <w:t xml:space="preserve">in </w:t>
            </w:r>
            <w:r w:rsidR="0013132F" w:rsidRPr="00E679D1">
              <w:t>the ARTG completed</w:t>
            </w:r>
          </w:p>
        </w:tc>
        <w:tc>
          <w:tcPr>
            <w:tcW w:w="2977" w:type="dxa"/>
          </w:tcPr>
          <w:p w14:paraId="5A8923FD" w14:textId="7D4065B0" w:rsidR="00324B33" w:rsidRPr="00D01DDB" w:rsidRDefault="001F729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26 November 2024</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133F91">
            <w:pPr>
              <w:ind w:left="71"/>
            </w:pPr>
            <w:r w:rsidRPr="00E679D1">
              <w:t>Number of working days from submission dossier acceptance to registration decision*</w:t>
            </w:r>
          </w:p>
        </w:tc>
        <w:tc>
          <w:tcPr>
            <w:tcW w:w="2977" w:type="dxa"/>
          </w:tcPr>
          <w:p w14:paraId="5BAF9FA1" w14:textId="789E4334" w:rsidR="00324B33" w:rsidRPr="00D01DDB" w:rsidRDefault="00C26C8F" w:rsidP="00324B33">
            <w:pPr>
              <w:cnfStyle w:val="000000000000" w:firstRow="0" w:lastRow="0" w:firstColumn="0" w:lastColumn="0" w:oddVBand="0" w:evenVBand="0" w:oddHBand="0" w:evenHBand="0" w:firstRowFirstColumn="0" w:firstRowLastColumn="0" w:lastRowFirstColumn="0" w:lastRowLastColumn="0"/>
              <w:rPr>
                <w:szCs w:val="22"/>
              </w:rPr>
            </w:pPr>
            <w:r w:rsidRPr="00C26C8F">
              <w:rPr>
                <w:szCs w:val="22"/>
              </w:rPr>
              <w:t>251 days</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46787B76" w:rsidR="00C22214" w:rsidRPr="00792A32" w:rsidRDefault="00083763" w:rsidP="00C22214">
      <w:pPr>
        <w:pStyle w:val="Heading2"/>
      </w:pPr>
      <w:bookmarkStart w:id="19" w:name="_Toc205369282"/>
      <w:bookmarkStart w:id="20" w:name="_Toc196046504"/>
      <w:bookmarkStart w:id="21" w:name="_Toc247691527"/>
      <w:bookmarkStart w:id="22" w:name="_Toc314842510"/>
      <w:bookmarkStart w:id="23" w:name="_Toc103679294"/>
      <w:r>
        <w:t xml:space="preserve">Assessment </w:t>
      </w:r>
      <w:r w:rsidR="00C22214" w:rsidRPr="00006FAB">
        <w:t>overview</w:t>
      </w:r>
      <w:bookmarkEnd w:id="19"/>
      <w:r w:rsidR="00C22214" w:rsidRPr="00006FAB">
        <w:t xml:space="preserve"> </w:t>
      </w:r>
      <w:bookmarkEnd w:id="20"/>
      <w:bookmarkEnd w:id="21"/>
      <w:bookmarkEnd w:id="22"/>
      <w:bookmarkEnd w:id="23"/>
    </w:p>
    <w:p w14:paraId="37F5A1C0" w14:textId="24C35B4E" w:rsidR="00C22214" w:rsidRDefault="00095C6A" w:rsidP="00C22214">
      <w:pPr>
        <w:pStyle w:val="Heading3"/>
      </w:pPr>
      <w:bookmarkStart w:id="24" w:name="_Toc247691528"/>
      <w:bookmarkStart w:id="25" w:name="_Toc314842511"/>
      <w:bookmarkStart w:id="26" w:name="_Toc103679295"/>
      <w:bookmarkStart w:id="27" w:name="_Toc205369283"/>
      <w:r>
        <w:t>Q</w:t>
      </w:r>
      <w:r w:rsidR="00C22214">
        <w:t>uality</w:t>
      </w:r>
      <w:bookmarkEnd w:id="24"/>
      <w:bookmarkEnd w:id="25"/>
      <w:bookmarkEnd w:id="26"/>
      <w:r w:rsidR="007E6443">
        <w:t xml:space="preserve"> evaluation</w:t>
      </w:r>
      <w:r>
        <w:t xml:space="preserve"> summary</w:t>
      </w:r>
      <w:bookmarkEnd w:id="27"/>
    </w:p>
    <w:p w14:paraId="69239A29" w14:textId="3EABC208" w:rsidR="00242BD5" w:rsidRPr="00242BD5" w:rsidRDefault="00271F5B" w:rsidP="00271F5B">
      <w:r>
        <w:t xml:space="preserve">The Sponsor has demonstrated that </w:t>
      </w:r>
      <w:r w:rsidR="00506362">
        <w:t>OMLYCLO</w:t>
      </w:r>
      <w:r w:rsidR="00E318CB">
        <w:t xml:space="preserve"> (</w:t>
      </w:r>
      <w:r>
        <w:t xml:space="preserve"> is comparable to</w:t>
      </w:r>
      <w:r w:rsidR="00444029">
        <w:t xml:space="preserve"> the reference product,</w:t>
      </w:r>
      <w:r>
        <w:t xml:space="preserve"> XOLAIR</w:t>
      </w:r>
      <w:r w:rsidR="00444029">
        <w:t>,</w:t>
      </w:r>
      <w:r>
        <w:t xml:space="preserve"> in terms of structure, species, function and degradation profile. </w:t>
      </w:r>
      <w:r w:rsidRPr="00271F5B">
        <w:t xml:space="preserve">There are no objections from a quality-perspective to the approval of </w:t>
      </w:r>
      <w:r w:rsidR="00506362">
        <w:t>OMLYCLO</w:t>
      </w:r>
      <w:r w:rsidRPr="00271F5B">
        <w:t xml:space="preserve"> </w:t>
      </w:r>
      <w:r>
        <w:t>(</w:t>
      </w:r>
      <w:r w:rsidRPr="00271F5B">
        <w:t>omalizumab</w:t>
      </w:r>
      <w:r>
        <w:t>)</w:t>
      </w:r>
      <w:r w:rsidRPr="00271F5B">
        <w:t>.</w:t>
      </w:r>
    </w:p>
    <w:p w14:paraId="2BE90AAE" w14:textId="35796FD3" w:rsidR="00C22214" w:rsidRDefault="00C22214" w:rsidP="00C22214">
      <w:pPr>
        <w:pStyle w:val="Heading3"/>
      </w:pPr>
      <w:bookmarkStart w:id="28" w:name="_Toc314842512"/>
      <w:bookmarkStart w:id="29" w:name="_Toc103679296"/>
      <w:bookmarkStart w:id="30" w:name="_Toc205369284"/>
      <w:r>
        <w:t>Nonclinical</w:t>
      </w:r>
      <w:bookmarkEnd w:id="28"/>
      <w:bookmarkEnd w:id="29"/>
      <w:r w:rsidR="007E6443">
        <w:t xml:space="preserve"> evaluation</w:t>
      </w:r>
      <w:r w:rsidR="00095C6A">
        <w:t xml:space="preserve"> summary</w:t>
      </w:r>
      <w:bookmarkEnd w:id="30"/>
    </w:p>
    <w:p w14:paraId="2A60A3DD" w14:textId="5EDAB906" w:rsidR="0033267E" w:rsidRDefault="0033267E" w:rsidP="0033267E">
      <w:r>
        <w:t>The nonclinical dossier contained comparative repeat-dose toxicity study following SC dosing. The scope of the nonclinical program is adequate under the relevant TGA adopted EU guideline. The study was conducted using EU sourced XOLAIR as the reference product. No information was provided in Module 4 to verify the comparability of EU sourced and Australian-sourced XOLAIR.</w:t>
      </w:r>
    </w:p>
    <w:p w14:paraId="587B10DA" w14:textId="4EF31E27" w:rsidR="0033267E" w:rsidRDefault="0033267E" w:rsidP="0033267E">
      <w:r>
        <w:t xml:space="preserve">No significant differences between toxicity profiles of </w:t>
      </w:r>
      <w:r w:rsidR="00506362">
        <w:t>OMLYCLO</w:t>
      </w:r>
      <w:r>
        <w:t xml:space="preserve"> and EU-XOLAIR were observed in the comparative repeat-dose toxicity study in monkeys following SC dosing. Notable findings in the study comprised of increases in total IgE levels in monkeys following treatment with both </w:t>
      </w:r>
      <w:r w:rsidR="00506362">
        <w:lastRenderedPageBreak/>
        <w:t>OMLYCLO</w:t>
      </w:r>
      <w:r>
        <w:t xml:space="preserve"> and XOLAIR, attributed to the pharmacological activity of omalizumab. Systemic omalizumab exposures were comparable following treatment with </w:t>
      </w:r>
      <w:r w:rsidR="00506362">
        <w:t>OMLYCLO</w:t>
      </w:r>
      <w:r>
        <w:t xml:space="preserve"> and EU-XOLAIR.</w:t>
      </w:r>
    </w:p>
    <w:p w14:paraId="50DEA89A" w14:textId="13C23119" w:rsidR="0033267E" w:rsidRPr="0033267E" w:rsidRDefault="0033267E" w:rsidP="0033267E">
      <w:r>
        <w:t xml:space="preserve">Provided that EU-sourced XOLAIR is considered to be identical or highly comparable to the Australian product, there are no nonclinical objections to the registration of </w:t>
      </w:r>
      <w:r w:rsidR="00506362">
        <w:t>OMLYCLO</w:t>
      </w:r>
      <w:r>
        <w:t>.</w:t>
      </w:r>
    </w:p>
    <w:p w14:paraId="35B580A5" w14:textId="40B226DC" w:rsidR="00C22214" w:rsidRDefault="00C22214" w:rsidP="008804CF">
      <w:pPr>
        <w:pStyle w:val="Heading3"/>
      </w:pPr>
      <w:bookmarkStart w:id="31" w:name="_Toc247691530"/>
      <w:bookmarkStart w:id="32" w:name="_Toc314842513"/>
      <w:bookmarkStart w:id="33" w:name="_Toc103679297"/>
      <w:bookmarkStart w:id="34" w:name="_Toc205369285"/>
      <w:r>
        <w:t>Clinical</w:t>
      </w:r>
      <w:bookmarkEnd w:id="31"/>
      <w:bookmarkEnd w:id="32"/>
      <w:bookmarkEnd w:id="33"/>
      <w:r w:rsidR="00095C6A">
        <w:t xml:space="preserve"> evaluation summary</w:t>
      </w:r>
      <w:bookmarkEnd w:id="34"/>
    </w:p>
    <w:p w14:paraId="022C3516" w14:textId="1AD56B22" w:rsidR="00AF7613" w:rsidRDefault="00AF7613" w:rsidP="00AF7613">
      <w:r>
        <w:t>The key findings of the clinical development program include:</w:t>
      </w:r>
    </w:p>
    <w:p w14:paraId="74FD4496" w14:textId="6DA995A4" w:rsidR="00AF7613" w:rsidRDefault="00AF7613" w:rsidP="00AF7613">
      <w:r>
        <w:t xml:space="preserve">Efficacy: In study CT-P39 3.1, the estimate of the treatment difference 300 mg of CT-P39 and Xolair at week 12 in LS mean (SE) change from baseline in ISS7 scores was 0.70 with 90% </w:t>
      </w:r>
      <w:r w:rsidR="00F0174E">
        <w:br/>
      </w:r>
      <w:r>
        <w:t>CI [-0.22, 1.63] which was within the predefined therapeutic equivalence margins of [-2.5, 2.0]. The co-primary outcome of relative potency was unable to be evaluated.</w:t>
      </w:r>
    </w:p>
    <w:p w14:paraId="333D2628" w14:textId="5FDE4929" w:rsidR="00AF7613" w:rsidRDefault="00AF7613" w:rsidP="00AF7613">
      <w:r>
        <w:t>P</w:t>
      </w:r>
      <w:r w:rsidR="00F0174E">
        <w:t>harmacokinetics (PK)</w:t>
      </w:r>
      <w:r>
        <w:t>: In study CT-P39 1.1: 90% CIs of the ratio of the geometric means for all PK primary endpoints were entirely contained within the equivalence limits of 80% to 125% across the CT-P39, EU-Xolair and US-Xolair groups.</w:t>
      </w:r>
    </w:p>
    <w:p w14:paraId="753CF164" w14:textId="193CA85E" w:rsidR="00AF7613" w:rsidRDefault="00F0174E" w:rsidP="00AF7613">
      <w:r>
        <w:t>Pharmacodynamic (PD)</w:t>
      </w:r>
      <w:r w:rsidR="00AF7613">
        <w:t>: PD parameters were similar between the study and reference drugs under the conditions tested in the studies.</w:t>
      </w:r>
    </w:p>
    <w:p w14:paraId="3E057A65" w14:textId="23D4E510" w:rsidR="00AF7613" w:rsidRDefault="00AF7613" w:rsidP="00AF7613">
      <w:r>
        <w:t>Safety/immunogenicity: There were no clinically important differences in the safety or immunogenicity profile between CT-P39 and Xolair in either healthy people or people with CSU.</w:t>
      </w:r>
    </w:p>
    <w:p w14:paraId="1F939540" w14:textId="2941C18C" w:rsidR="00AF7613" w:rsidRPr="00AF7613" w:rsidRDefault="00190533" w:rsidP="000001CA">
      <w:r>
        <w:t>A</w:t>
      </w:r>
      <w:r w:rsidR="00AF7613">
        <w:t xml:space="preserve">pproval for </w:t>
      </w:r>
      <w:r w:rsidR="00506362">
        <w:t>OMLYCLO</w:t>
      </w:r>
      <w:r w:rsidR="00AF7613">
        <w:t xml:space="preserve"> </w:t>
      </w:r>
      <w:r>
        <w:t xml:space="preserve">is recommended. </w:t>
      </w:r>
    </w:p>
    <w:p w14:paraId="2858B006" w14:textId="50C5DD8E" w:rsidR="00C22214" w:rsidRDefault="00C22214" w:rsidP="00C22214">
      <w:pPr>
        <w:pStyle w:val="Heading3"/>
        <w:rPr>
          <w:lang w:eastAsia="en-AU"/>
        </w:rPr>
      </w:pPr>
      <w:bookmarkStart w:id="35" w:name="_Toc314842514"/>
      <w:bookmarkStart w:id="36" w:name="_Toc103679298"/>
      <w:bookmarkStart w:id="37" w:name="_Toc205369286"/>
      <w:r>
        <w:rPr>
          <w:lang w:eastAsia="en-AU"/>
        </w:rPr>
        <w:t>Risk management plan</w:t>
      </w:r>
      <w:bookmarkEnd w:id="35"/>
      <w:bookmarkEnd w:id="36"/>
      <w:r w:rsidR="00F520F3">
        <w:rPr>
          <w:lang w:eastAsia="en-AU"/>
        </w:rPr>
        <w:t xml:space="preserve"> evaluation summary</w:t>
      </w:r>
      <w:bookmarkEnd w:id="37"/>
    </w:p>
    <w:p w14:paraId="05EC2432" w14:textId="08715F2F" w:rsidR="007E7804" w:rsidRDefault="007E7804" w:rsidP="007E7804">
      <w:bookmarkStart w:id="38" w:name="_Ref97629131"/>
      <w:bookmarkStart w:id="39" w:name="_Toc247691531"/>
      <w:bookmarkStart w:id="40" w:name="_Toc314842515"/>
      <w:r>
        <w:t>The EU risk management plan (RMP) version 1.0 (date 02 April 2024; DLP 20 February 2023) &amp; ASA version 1.1 (date 17 June 2024) for omalizumab (</w:t>
      </w:r>
      <w:r w:rsidR="00506362">
        <w:t>OMLYCLO</w:t>
      </w:r>
      <w:r>
        <w:t>) were submitted.</w:t>
      </w:r>
    </w:p>
    <w:p w14:paraId="4F353DD9" w14:textId="34165787" w:rsidR="007E7804" w:rsidRDefault="007E7804" w:rsidP="007E7804">
      <w:r>
        <w:t xml:space="preserve">The updated RMP and the ASA provided are satisfactory. </w:t>
      </w:r>
      <w:r w:rsidR="004F1E65">
        <w:t xml:space="preserve"> </w:t>
      </w:r>
    </w:p>
    <w:p w14:paraId="5188305E" w14:textId="37E1A1CE" w:rsidR="007E7804" w:rsidRDefault="007E7804" w:rsidP="007E7804">
      <w:r>
        <w:t xml:space="preserve">The summary of safety concerns is outlined in </w:t>
      </w:r>
      <w:r w:rsidR="009B487F">
        <w:t>Table 2</w:t>
      </w:r>
      <w:r>
        <w:t>:</w:t>
      </w:r>
    </w:p>
    <w:p w14:paraId="56B51A93" w14:textId="6609390B" w:rsidR="006A277A" w:rsidRDefault="00C22214" w:rsidP="00C22214">
      <w:pPr>
        <w:pStyle w:val="TableTitle"/>
      </w:pPr>
      <w:r>
        <w:t>Table</w:t>
      </w:r>
      <w:bookmarkEnd w:id="38"/>
      <w:r w:rsidR="00DF6EC5">
        <w:t xml:space="preserve"> </w:t>
      </w:r>
      <w:r w:rsidR="009B487F">
        <w:t>2</w:t>
      </w:r>
      <w:r w:rsidR="00DF6EC5">
        <w:t>.</w:t>
      </w:r>
      <w:r>
        <w:t xml:space="preserve"> Summary of safety concerns</w:t>
      </w:r>
    </w:p>
    <w:tbl>
      <w:tblPr>
        <w:tblStyle w:val="TableTGAblue2023"/>
        <w:tblW w:w="9085" w:type="dxa"/>
        <w:tblLayout w:type="fixed"/>
        <w:tblLook w:val="04A0" w:firstRow="1" w:lastRow="0" w:firstColumn="1" w:lastColumn="0" w:noHBand="0" w:noVBand="1"/>
      </w:tblPr>
      <w:tblGrid>
        <w:gridCol w:w="2724"/>
        <w:gridCol w:w="6361"/>
      </w:tblGrid>
      <w:tr w:rsidR="00413C23" w:rsidRPr="007A1992" w14:paraId="359A0C59" w14:textId="77777777" w:rsidTr="009B487F">
        <w:trPr>
          <w:cnfStyle w:val="100000000000" w:firstRow="1" w:lastRow="0" w:firstColumn="0" w:lastColumn="0" w:oddVBand="0" w:evenVBand="0" w:oddHBand="0" w:evenHBand="0" w:firstRowFirstColumn="0" w:firstRowLastColumn="0" w:lastRowFirstColumn="0" w:lastRowLastColumn="0"/>
          <w:trHeight w:val="324"/>
          <w:tblHeader w:val="0"/>
        </w:trPr>
        <w:tc>
          <w:tcPr>
            <w:cnfStyle w:val="001000000000" w:firstRow="0" w:lastRow="0" w:firstColumn="1" w:lastColumn="0" w:oddVBand="0" w:evenVBand="0" w:oddHBand="0" w:evenHBand="0" w:firstRowFirstColumn="0" w:firstRowLastColumn="0" w:lastRowFirstColumn="0" w:lastRowLastColumn="0"/>
            <w:tcW w:w="9085" w:type="dxa"/>
            <w:gridSpan w:val="2"/>
            <w:vMerge w:val="restart"/>
          </w:tcPr>
          <w:p w14:paraId="24B1F090" w14:textId="77777777" w:rsidR="00413C23" w:rsidRPr="00127A74" w:rsidRDefault="00413C23" w:rsidP="00127A74">
            <w:r w:rsidRPr="00127A74">
              <w:t>Summary of safety concerns</w:t>
            </w:r>
          </w:p>
        </w:tc>
      </w:tr>
      <w:tr w:rsidR="00413C23" w:rsidRPr="007A1992" w14:paraId="12411E68" w14:textId="77777777" w:rsidTr="004F16CF">
        <w:trPr>
          <w:trHeight w:val="404"/>
        </w:trPr>
        <w:tc>
          <w:tcPr>
            <w:cnfStyle w:val="001000000000" w:firstRow="0" w:lastRow="0" w:firstColumn="1" w:lastColumn="0" w:oddVBand="0" w:evenVBand="0" w:oddHBand="0" w:evenHBand="0" w:firstRowFirstColumn="0" w:firstRowLastColumn="0" w:lastRowFirstColumn="0" w:lastRowLastColumn="0"/>
            <w:tcW w:w="9085" w:type="dxa"/>
            <w:gridSpan w:val="2"/>
            <w:vMerge/>
          </w:tcPr>
          <w:p w14:paraId="71D88F2A" w14:textId="77777777" w:rsidR="00413C23" w:rsidRPr="00127A74" w:rsidRDefault="00413C23" w:rsidP="00127A74"/>
        </w:tc>
      </w:tr>
      <w:tr w:rsidR="00413C23" w:rsidRPr="007A1992" w14:paraId="05599231" w14:textId="77777777" w:rsidTr="004F16CF">
        <w:trPr>
          <w:trHeight w:val="137"/>
        </w:trPr>
        <w:tc>
          <w:tcPr>
            <w:cnfStyle w:val="001000000000" w:firstRow="0" w:lastRow="0" w:firstColumn="1" w:lastColumn="0" w:oddVBand="0" w:evenVBand="0" w:oddHBand="0" w:evenHBand="0" w:firstRowFirstColumn="0" w:firstRowLastColumn="0" w:lastRowFirstColumn="0" w:lastRowLastColumn="0"/>
            <w:tcW w:w="2724" w:type="dxa"/>
            <w:vMerge w:val="restart"/>
          </w:tcPr>
          <w:p w14:paraId="67382D75" w14:textId="77777777" w:rsidR="00413C23" w:rsidRPr="00127A74" w:rsidRDefault="00413C23" w:rsidP="00127A74">
            <w:pPr>
              <w:rPr>
                <w:b/>
                <w:bCs/>
              </w:rPr>
            </w:pPr>
            <w:r w:rsidRPr="00127A74">
              <w:rPr>
                <w:b/>
                <w:bCs/>
              </w:rPr>
              <w:t>Important identified risks</w:t>
            </w:r>
          </w:p>
        </w:tc>
        <w:tc>
          <w:tcPr>
            <w:tcW w:w="6361" w:type="dxa"/>
          </w:tcPr>
          <w:p w14:paraId="7134CBC0" w14:textId="11792078" w:rsidR="00413C23" w:rsidRPr="00127A74" w:rsidRDefault="00413C23" w:rsidP="00127A74">
            <w:pPr>
              <w:cnfStyle w:val="000000000000" w:firstRow="0" w:lastRow="0" w:firstColumn="0" w:lastColumn="0" w:oddVBand="0" w:evenVBand="0" w:oddHBand="0" w:evenHBand="0" w:firstRowFirstColumn="0" w:firstRowLastColumn="0" w:lastRowFirstColumn="0" w:lastRowLastColumn="0"/>
            </w:pPr>
            <w:r>
              <w:t>Anaphylaxis</w:t>
            </w:r>
            <w:r w:rsidR="004F16CF">
              <w:t>/anaphylactoid reactions</w:t>
            </w:r>
          </w:p>
        </w:tc>
      </w:tr>
      <w:tr w:rsidR="00413C23" w:rsidRPr="00186E52" w14:paraId="3B513B31" w14:textId="77777777" w:rsidTr="004F16CF">
        <w:trPr>
          <w:trHeight w:val="94"/>
        </w:trPr>
        <w:tc>
          <w:tcPr>
            <w:cnfStyle w:val="001000000000" w:firstRow="0" w:lastRow="0" w:firstColumn="1" w:lastColumn="0" w:oddVBand="0" w:evenVBand="0" w:oddHBand="0" w:evenHBand="0" w:firstRowFirstColumn="0" w:firstRowLastColumn="0" w:lastRowFirstColumn="0" w:lastRowLastColumn="0"/>
            <w:tcW w:w="2724" w:type="dxa"/>
            <w:vMerge/>
          </w:tcPr>
          <w:p w14:paraId="584A0D09" w14:textId="77777777" w:rsidR="00413C23" w:rsidRPr="00127A74" w:rsidRDefault="00413C23" w:rsidP="00127A74">
            <w:pPr>
              <w:rPr>
                <w:b/>
                <w:bCs/>
              </w:rPr>
            </w:pPr>
          </w:p>
        </w:tc>
        <w:tc>
          <w:tcPr>
            <w:tcW w:w="6361" w:type="dxa"/>
          </w:tcPr>
          <w:p w14:paraId="2BE2E4B1" w14:textId="3E8CDE71" w:rsidR="00413C23" w:rsidRPr="00E63A65" w:rsidRDefault="004F16CF" w:rsidP="00127A74">
            <w:pPr>
              <w:cnfStyle w:val="000000000000" w:firstRow="0" w:lastRow="0" w:firstColumn="0" w:lastColumn="0" w:oddVBand="0" w:evenVBand="0" w:oddHBand="0" w:evenHBand="0" w:firstRowFirstColumn="0" w:firstRowLastColumn="0" w:lastRowFirstColumn="0" w:lastRowLastColumn="0"/>
              <w:rPr>
                <w:rFonts w:eastAsiaTheme="minorEastAsia"/>
                <w:lang w:val="fr-FR" w:eastAsia="ko-KR"/>
              </w:rPr>
            </w:pPr>
            <w:r w:rsidRPr="00E63A65">
              <w:rPr>
                <w:lang w:val="fr-FR"/>
              </w:rPr>
              <w:t>Churg Strauss syndrome</w:t>
            </w:r>
            <w:r w:rsidR="00B261A7">
              <w:rPr>
                <w:rFonts w:eastAsiaTheme="minorEastAsia" w:hint="eastAsia"/>
                <w:lang w:val="fr-FR" w:eastAsia="ko-KR"/>
              </w:rPr>
              <w:t xml:space="preserve"> (CSS)</w:t>
            </w:r>
            <w:r w:rsidRPr="00E63A65">
              <w:rPr>
                <w:lang w:val="fr-FR"/>
              </w:rPr>
              <w:t xml:space="preserve">/hypereosinophilic syndrome </w:t>
            </w:r>
            <w:r w:rsidR="00B261A7">
              <w:rPr>
                <w:rFonts w:eastAsiaTheme="minorEastAsia" w:hint="eastAsia"/>
                <w:lang w:val="fr-FR" w:eastAsia="ko-KR"/>
              </w:rPr>
              <w:t>(HES)</w:t>
            </w:r>
          </w:p>
        </w:tc>
      </w:tr>
      <w:tr w:rsidR="00413C23" w:rsidRPr="007A1992" w14:paraId="176B93B3" w14:textId="77777777" w:rsidTr="0084495F">
        <w:trPr>
          <w:trHeight w:val="503"/>
        </w:trPr>
        <w:tc>
          <w:tcPr>
            <w:cnfStyle w:val="001000000000" w:firstRow="0" w:lastRow="0" w:firstColumn="1" w:lastColumn="0" w:oddVBand="0" w:evenVBand="0" w:oddHBand="0" w:evenHBand="0" w:firstRowFirstColumn="0" w:firstRowLastColumn="0" w:lastRowFirstColumn="0" w:lastRowLastColumn="0"/>
            <w:tcW w:w="2724" w:type="dxa"/>
            <w:vMerge w:val="restart"/>
          </w:tcPr>
          <w:p w14:paraId="77F0DB3E" w14:textId="3A23B6A5" w:rsidR="00C368C2" w:rsidRPr="00C368C2" w:rsidRDefault="00413C23" w:rsidP="0084495F">
            <w:r w:rsidRPr="00127A74">
              <w:rPr>
                <w:b/>
                <w:bCs/>
              </w:rPr>
              <w:t>Important potential risks</w:t>
            </w:r>
          </w:p>
        </w:tc>
        <w:tc>
          <w:tcPr>
            <w:tcW w:w="6361" w:type="dxa"/>
          </w:tcPr>
          <w:p w14:paraId="6E17E14A" w14:textId="029EF3CE" w:rsidR="00413C23" w:rsidRPr="00E63A65" w:rsidRDefault="004F16CF" w:rsidP="00127A74">
            <w:pPr>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t>Arterial thromboembolic events</w:t>
            </w:r>
            <w:r w:rsidR="00B261A7">
              <w:rPr>
                <w:rFonts w:eastAsiaTheme="minorEastAsia" w:hint="eastAsia"/>
                <w:lang w:eastAsia="ko-KR"/>
              </w:rPr>
              <w:t xml:space="preserve"> (ATEs)</w:t>
            </w:r>
          </w:p>
        </w:tc>
      </w:tr>
      <w:tr w:rsidR="00413C23" w:rsidRPr="007A1992" w14:paraId="1D3B7AB5" w14:textId="77777777" w:rsidTr="004F16CF">
        <w:trPr>
          <w:trHeight w:val="122"/>
        </w:trPr>
        <w:tc>
          <w:tcPr>
            <w:cnfStyle w:val="001000000000" w:firstRow="0" w:lastRow="0" w:firstColumn="1" w:lastColumn="0" w:oddVBand="0" w:evenVBand="0" w:oddHBand="0" w:evenHBand="0" w:firstRowFirstColumn="0" w:firstRowLastColumn="0" w:lastRowFirstColumn="0" w:lastRowLastColumn="0"/>
            <w:tcW w:w="2724" w:type="dxa"/>
            <w:vMerge/>
          </w:tcPr>
          <w:p w14:paraId="150DE62A" w14:textId="77777777" w:rsidR="00413C23" w:rsidRPr="00127A74" w:rsidRDefault="00413C23" w:rsidP="00127A74">
            <w:pPr>
              <w:rPr>
                <w:b/>
                <w:bCs/>
              </w:rPr>
            </w:pPr>
          </w:p>
        </w:tc>
        <w:tc>
          <w:tcPr>
            <w:tcW w:w="6361" w:type="dxa"/>
          </w:tcPr>
          <w:p w14:paraId="1D18A7EA" w14:textId="35275B86" w:rsidR="00413C23" w:rsidRDefault="004F16CF" w:rsidP="00127A74">
            <w:pPr>
              <w:cnfStyle w:val="000000000000" w:firstRow="0" w:lastRow="0" w:firstColumn="0" w:lastColumn="0" w:oddVBand="0" w:evenVBand="0" w:oddHBand="0" w:evenHBand="0" w:firstRowFirstColumn="0" w:firstRowLastColumn="0" w:lastRowFirstColumn="0" w:lastRowLastColumn="0"/>
            </w:pPr>
            <w:r>
              <w:t>Malignant neoplasms in adults and adolescents ≥ 12 years of age</w:t>
            </w:r>
          </w:p>
          <w:p w14:paraId="51438C35" w14:textId="6A97FAC4" w:rsidR="004F1E65" w:rsidRPr="00127A74" w:rsidRDefault="004F1E65" w:rsidP="00127A74">
            <w:pPr>
              <w:cnfStyle w:val="000000000000" w:firstRow="0" w:lastRow="0" w:firstColumn="0" w:lastColumn="0" w:oddVBand="0" w:evenVBand="0" w:oddHBand="0" w:evenHBand="0" w:firstRowFirstColumn="0" w:firstRowLastColumn="0" w:lastRowFirstColumn="0" w:lastRowLastColumn="0"/>
            </w:pPr>
            <w:r>
              <w:t>Malignant neoplasms (children 6 to less than 12 years old)</w:t>
            </w:r>
          </w:p>
        </w:tc>
      </w:tr>
      <w:tr w:rsidR="00413C23" w:rsidRPr="007A1992" w14:paraId="74C5E610" w14:textId="77777777" w:rsidTr="009C4441">
        <w:trPr>
          <w:trHeight w:val="512"/>
        </w:trPr>
        <w:tc>
          <w:tcPr>
            <w:cnfStyle w:val="001000000000" w:firstRow="0" w:lastRow="0" w:firstColumn="1" w:lastColumn="0" w:oddVBand="0" w:evenVBand="0" w:oddHBand="0" w:evenHBand="0" w:firstRowFirstColumn="0" w:firstRowLastColumn="0" w:lastRowFirstColumn="0" w:lastRowLastColumn="0"/>
            <w:tcW w:w="2724" w:type="dxa"/>
          </w:tcPr>
          <w:p w14:paraId="262C65E3" w14:textId="345B8A31" w:rsidR="00C368C2" w:rsidRPr="00C368C2" w:rsidRDefault="00413C23" w:rsidP="009C4441">
            <w:r w:rsidRPr="00127A74">
              <w:rPr>
                <w:b/>
                <w:bCs/>
              </w:rPr>
              <w:t>Missing information</w:t>
            </w:r>
          </w:p>
        </w:tc>
        <w:tc>
          <w:tcPr>
            <w:tcW w:w="6361" w:type="dxa"/>
          </w:tcPr>
          <w:p w14:paraId="104D79CD" w14:textId="78BCA6CE" w:rsidR="00413C23" w:rsidRPr="00127A74" w:rsidRDefault="004F16CF" w:rsidP="00127A74">
            <w:pPr>
              <w:cnfStyle w:val="000000000000" w:firstRow="0" w:lastRow="0" w:firstColumn="0" w:lastColumn="0" w:oddVBand="0" w:evenVBand="0" w:oddHBand="0" w:evenHBand="0" w:firstRowFirstColumn="0" w:firstRowLastColumn="0" w:lastRowFirstColumn="0" w:lastRowLastColumn="0"/>
            </w:pPr>
            <w:r>
              <w:t>None</w:t>
            </w:r>
          </w:p>
        </w:tc>
      </w:tr>
    </w:tbl>
    <w:p w14:paraId="74A4F87F" w14:textId="11F2DF3D" w:rsidR="00C22214" w:rsidRDefault="00C22214" w:rsidP="00C22214">
      <w:pPr>
        <w:pStyle w:val="Heading3"/>
      </w:pPr>
      <w:bookmarkStart w:id="41" w:name="_Toc103679299"/>
      <w:bookmarkStart w:id="42" w:name="_Toc205369287"/>
      <w:r>
        <w:lastRenderedPageBreak/>
        <w:t>Risk-benefit analysis</w:t>
      </w:r>
      <w:bookmarkEnd w:id="39"/>
      <w:bookmarkEnd w:id="40"/>
      <w:bookmarkEnd w:id="41"/>
      <w:bookmarkEnd w:id="42"/>
    </w:p>
    <w:p w14:paraId="5C0DA083" w14:textId="71401A7E" w:rsidR="0070613F" w:rsidRDefault="0070613F" w:rsidP="0070613F">
      <w:r>
        <w:t>The t</w:t>
      </w:r>
      <w:r w:rsidRPr="0070613F">
        <w:t>herapeutic equivalence and PK equivalence ha</w:t>
      </w:r>
      <w:r>
        <w:t>ve</w:t>
      </w:r>
      <w:r w:rsidRPr="0070613F">
        <w:t xml:space="preserve"> been satisfactorily demonstrated for </w:t>
      </w:r>
      <w:r w:rsidR="00506362">
        <w:t>OMLYCLO</w:t>
      </w:r>
      <w:r w:rsidRPr="0070613F">
        <w:t xml:space="preserve"> with acceptable PD and safety comparison</w:t>
      </w:r>
      <w:r>
        <w:t>. T</w:t>
      </w:r>
      <w:r w:rsidRPr="0070613F">
        <w:t xml:space="preserve">he overall benefit-risk profile for </w:t>
      </w:r>
      <w:r>
        <w:t xml:space="preserve">the </w:t>
      </w:r>
      <w:r w:rsidRPr="0070613F">
        <w:t xml:space="preserve">omalizumab biosimilar </w:t>
      </w:r>
      <w:r w:rsidR="00506362">
        <w:t>OMLYCLO</w:t>
      </w:r>
      <w:r w:rsidRPr="0070613F">
        <w:t xml:space="preserve"> is positive.</w:t>
      </w:r>
    </w:p>
    <w:p w14:paraId="02421B89" w14:textId="3481EDB4" w:rsidR="00473912" w:rsidRPr="002E238E" w:rsidRDefault="00473912" w:rsidP="00473912">
      <w:pPr>
        <w:pStyle w:val="Heading2"/>
      </w:pPr>
      <w:bookmarkStart w:id="43" w:name="_Toc247691532"/>
      <w:bookmarkStart w:id="44" w:name="_Toc314842516"/>
      <w:bookmarkStart w:id="45" w:name="_Toc103679300"/>
      <w:bookmarkStart w:id="46" w:name="_Toc205369288"/>
      <w:r>
        <w:t>Assessment outcome</w:t>
      </w:r>
      <w:bookmarkEnd w:id="43"/>
      <w:bookmarkEnd w:id="44"/>
      <w:bookmarkEnd w:id="45"/>
      <w:bookmarkEnd w:id="46"/>
    </w:p>
    <w:p w14:paraId="13215EE4" w14:textId="1B72B318" w:rsidR="00473912" w:rsidRDefault="00473912" w:rsidP="00473912">
      <w:r w:rsidRPr="0017005C">
        <w:t xml:space="preserve">Based on a review of quality, safety, and efficacy, the TGA </w:t>
      </w:r>
      <w:r>
        <w:t>decided to</w:t>
      </w:r>
      <w:r w:rsidRPr="0017005C">
        <w:t xml:space="preserve"> regist</w:t>
      </w:r>
      <w:r>
        <w:t>er</w:t>
      </w:r>
      <w:r w:rsidRPr="0017005C">
        <w:t xml:space="preserve"> </w:t>
      </w:r>
      <w:r w:rsidR="00506362">
        <w:t>OMLYCLO</w:t>
      </w:r>
      <w:r w:rsidRPr="0070613F">
        <w:t xml:space="preserve"> </w:t>
      </w:r>
      <w:r>
        <w:t>(</w:t>
      </w:r>
      <w:r w:rsidRPr="0070613F">
        <w:t>omalizumab</w:t>
      </w:r>
      <w:r>
        <w:t>)</w:t>
      </w:r>
      <w:r w:rsidRPr="0017005C">
        <w:t xml:space="preserve"> for the following indication</w:t>
      </w:r>
      <w:r>
        <w:t>s:</w:t>
      </w:r>
    </w:p>
    <w:p w14:paraId="0F401252" w14:textId="6BEFB1FE" w:rsidR="00473912" w:rsidRDefault="00940444" w:rsidP="00295F56">
      <w:pPr>
        <w:pStyle w:val="Indication"/>
      </w:pPr>
      <w:r w:rsidRPr="00295F56">
        <w:rPr>
          <w:b/>
          <w:bCs/>
        </w:rPr>
        <w:t>Allergic Asthma</w:t>
      </w:r>
    </w:p>
    <w:p w14:paraId="23339E17" w14:textId="5A627C1C" w:rsidR="00940444" w:rsidRDefault="00940444" w:rsidP="00295F56">
      <w:pPr>
        <w:pStyle w:val="Indication"/>
      </w:pPr>
      <w:r>
        <w:t>Children 6 to &lt; 12 years of age</w:t>
      </w:r>
      <w:r w:rsidR="00295F56">
        <w:t>:</w:t>
      </w:r>
    </w:p>
    <w:p w14:paraId="0E448CBC" w14:textId="25BBEADE" w:rsidR="00940444" w:rsidRDefault="00940444" w:rsidP="00295F56">
      <w:pPr>
        <w:pStyle w:val="Indication"/>
      </w:pPr>
      <w:r>
        <w:t xml:space="preserve">In children aged 6 to &lt;12 years, </w:t>
      </w:r>
      <w:r w:rsidR="00506362">
        <w:t>OMLYCLO</w:t>
      </w:r>
      <w:r>
        <w:t xml:space="preserve"> is indicated as add-on therapy to improve asthma control in patients with severe allergic asthma who have documented exacerbations despite daily high dose inhaled corticosteroids, and who have immunoglobulin E levels corresponding to the recommended dose range (see Table 1 in Section 4.2 DOSE AND METHOD OF ADMINISTRATION).</w:t>
      </w:r>
    </w:p>
    <w:p w14:paraId="5D372E8A" w14:textId="77777777" w:rsidR="00473912" w:rsidRDefault="00473912" w:rsidP="00295F56">
      <w:pPr>
        <w:pStyle w:val="Indication"/>
      </w:pPr>
    </w:p>
    <w:p w14:paraId="76D7BA7F" w14:textId="280B8698" w:rsidR="00940444" w:rsidRDefault="00940444" w:rsidP="00295F56">
      <w:pPr>
        <w:pStyle w:val="Indication"/>
      </w:pPr>
      <w:r>
        <w:t>Adults and adolescents ≥ 12 years of age</w:t>
      </w:r>
    </w:p>
    <w:p w14:paraId="58C52327" w14:textId="41965BA4" w:rsidR="00940444" w:rsidRDefault="00506362" w:rsidP="00295F56">
      <w:pPr>
        <w:pStyle w:val="Indication"/>
      </w:pPr>
      <w:r>
        <w:t>OMLYCLO</w:t>
      </w:r>
      <w:r w:rsidR="00940444">
        <w:t xml:space="preserve"> is indicated for the management of adult and adolescent patients with moderate to severe allergic asthma, who are already being treated with inhaled steroids, and who have serum immunoglobulin E levels corresponding to the recommended dose range (see Table 1 in Section 4.2 DOSE AND METHOD OF ADMINISTRATION).</w:t>
      </w:r>
    </w:p>
    <w:p w14:paraId="1602B532" w14:textId="77777777" w:rsidR="00473912" w:rsidRDefault="00473912" w:rsidP="00295F56">
      <w:pPr>
        <w:pStyle w:val="Indication"/>
      </w:pPr>
    </w:p>
    <w:p w14:paraId="682006BC" w14:textId="72F0ABFB" w:rsidR="00295F56" w:rsidRPr="00473912" w:rsidRDefault="00295F56" w:rsidP="00295F56">
      <w:pPr>
        <w:pStyle w:val="Indication"/>
        <w:rPr>
          <w:b/>
          <w:bCs/>
        </w:rPr>
      </w:pPr>
      <w:r w:rsidRPr="00473912">
        <w:rPr>
          <w:b/>
          <w:bCs/>
        </w:rPr>
        <w:t>Chronic rhinosinusitis with nasal polyps (CRSwNP)</w:t>
      </w:r>
    </w:p>
    <w:p w14:paraId="707E283A" w14:textId="692BBD0B" w:rsidR="00295F56" w:rsidRDefault="00506362" w:rsidP="00295F56">
      <w:pPr>
        <w:pStyle w:val="Indication"/>
      </w:pPr>
      <w:r>
        <w:t>OMLYCLO</w:t>
      </w:r>
      <w:r w:rsidR="00295F56">
        <w:t xml:space="preserve"> is indicated as add-on treatment in adult patients (18 years of age and above) for the treatment of severe CRSwNP with inadequate response to intranasal corticosteroids.</w:t>
      </w:r>
    </w:p>
    <w:p w14:paraId="32DA3514" w14:textId="77777777" w:rsidR="00295F56" w:rsidRDefault="00295F56" w:rsidP="00295F56">
      <w:pPr>
        <w:pStyle w:val="Indication"/>
      </w:pPr>
      <w:r>
        <w:t>Recommended dosing is determined by serum immunoglobulin E levels and body weight corresponding to the recommended dose range in the Product Information (see Section 4.2 DOSE AND METHOD OF ADMINISTRATION) .</w:t>
      </w:r>
    </w:p>
    <w:p w14:paraId="4641FFB7" w14:textId="77777777" w:rsidR="00473912" w:rsidRDefault="00473912" w:rsidP="00295F56">
      <w:pPr>
        <w:pStyle w:val="Indication"/>
        <w:rPr>
          <w:b/>
          <w:bCs/>
        </w:rPr>
      </w:pPr>
    </w:p>
    <w:p w14:paraId="78330B6A" w14:textId="3D1E1615" w:rsidR="00295F56" w:rsidRPr="00473912" w:rsidRDefault="00295F56" w:rsidP="00295F56">
      <w:pPr>
        <w:pStyle w:val="Indication"/>
        <w:rPr>
          <w:b/>
          <w:bCs/>
        </w:rPr>
      </w:pPr>
      <w:r w:rsidRPr="00473912">
        <w:rPr>
          <w:b/>
          <w:bCs/>
        </w:rPr>
        <w:t>Chronic Spontaneous Urticaria (CSU)</w:t>
      </w:r>
    </w:p>
    <w:p w14:paraId="35521C48" w14:textId="7B13BE68" w:rsidR="00295F56" w:rsidRPr="0070613F" w:rsidRDefault="00506362" w:rsidP="00295F56">
      <w:pPr>
        <w:pStyle w:val="Indication"/>
      </w:pPr>
      <w:r>
        <w:t>OMLYCLO</w:t>
      </w:r>
      <w:r w:rsidR="00295F56">
        <w:t xml:space="preserve"> is indicated for adults and adolescents (12 years of age and above) with chronic spontaneous urticaria who remain symptomatic despite H1 antihistamine treatment.</w:t>
      </w:r>
    </w:p>
    <w:p w14:paraId="0F9C1952" w14:textId="597561E2" w:rsidR="00BA657C" w:rsidRPr="00BA657C" w:rsidRDefault="00BA657C" w:rsidP="005B16C1">
      <w:pPr>
        <w:pStyle w:val="Heading2"/>
      </w:pPr>
      <w:bookmarkStart w:id="47" w:name="_Toc196738290"/>
      <w:bookmarkStart w:id="48" w:name="_Toc205369289"/>
      <w:r w:rsidRPr="00BA657C">
        <w:t>Product Information and Consumer Medicines Information</w:t>
      </w:r>
      <w:bookmarkEnd w:id="47"/>
      <w:bookmarkEnd w:id="48"/>
    </w:p>
    <w:p w14:paraId="5F276616" w14:textId="77777777" w:rsidR="004D0933" w:rsidRPr="004D0933" w:rsidRDefault="004D0933" w:rsidP="004D0933">
      <w:r w:rsidRPr="004D0933">
        <w:t xml:space="preserve">For the most recent Product Information (PI) and Consumer Medicines Information (CMI), please refer to the TGA </w:t>
      </w:r>
      <w:hyperlink r:id="rId24" w:history="1">
        <w:r w:rsidRPr="004D0933">
          <w:rPr>
            <w:rStyle w:val="Hyperlink"/>
          </w:rPr>
          <w:t>PI/CMI search facility.</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25"/>
          <w:footerReference w:type="default" r:id="rId2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346A83" w14:paraId="3C0C07BF" w14:textId="77777777" w:rsidTr="007452E8">
        <w:trPr>
          <w:trHeight w:hRule="exact" w:val="565"/>
          <w:jc w:val="center"/>
        </w:trPr>
        <w:tc>
          <w:tcPr>
            <w:tcW w:w="9145" w:type="dxa"/>
          </w:tcPr>
          <w:bookmarkEnd w:id="5"/>
          <w:bookmarkEnd w:id="6"/>
          <w:p w14:paraId="7E090B86" w14:textId="77777777" w:rsidR="00F02AEC" w:rsidRPr="00346A83" w:rsidRDefault="00F02AEC" w:rsidP="007452E8">
            <w:pPr>
              <w:pStyle w:val="TGASignoff"/>
              <w:rPr>
                <w:rFonts w:cs="Arial"/>
              </w:rPr>
            </w:pPr>
            <w:r w:rsidRPr="00346A83">
              <w:rPr>
                <w:rFonts w:cs="Arial"/>
              </w:rPr>
              <w:lastRenderedPageBreak/>
              <w:t>Therapeutic Goods Administration</w:t>
            </w:r>
          </w:p>
        </w:tc>
      </w:tr>
      <w:tr w:rsidR="00F02AEC" w:rsidRPr="00346A83" w14:paraId="70F47EA1" w14:textId="77777777" w:rsidTr="007452E8">
        <w:trPr>
          <w:trHeight w:val="963"/>
          <w:jc w:val="center"/>
        </w:trPr>
        <w:tc>
          <w:tcPr>
            <w:tcW w:w="9145" w:type="dxa"/>
            <w:tcMar>
              <w:top w:w="28" w:type="dxa"/>
            </w:tcMar>
          </w:tcPr>
          <w:p w14:paraId="3491EBCD" w14:textId="77777777" w:rsidR="00F02AEC" w:rsidRPr="00346A83" w:rsidRDefault="00F02AEC" w:rsidP="007452E8">
            <w:pPr>
              <w:pStyle w:val="Address"/>
              <w:jc w:val="center"/>
              <w:rPr>
                <w:rFonts w:cs="Arial"/>
              </w:rPr>
            </w:pPr>
            <w:r w:rsidRPr="00346A83">
              <w:rPr>
                <w:rFonts w:cs="Arial"/>
              </w:rPr>
              <w:t>PO Box 100 Woden ACT 2606 Australia</w:t>
            </w:r>
          </w:p>
          <w:p w14:paraId="5D0FE0E7" w14:textId="53CB9479" w:rsidR="00F02AEC" w:rsidRPr="00346A83" w:rsidRDefault="00F02AEC">
            <w:pPr>
              <w:pStyle w:val="Address"/>
              <w:jc w:val="center"/>
              <w:rPr>
                <w:rFonts w:cs="Arial"/>
                <w:sz w:val="22"/>
                <w:szCs w:val="22"/>
              </w:rPr>
            </w:pPr>
            <w:r w:rsidRPr="00346A83">
              <w:rPr>
                <w:rFonts w:cs="Arial"/>
              </w:rPr>
              <w:t xml:space="preserve">Email: </w:t>
            </w:r>
            <w:hyperlink r:id="rId27" w:history="1">
              <w:r w:rsidRPr="00346A83">
                <w:rPr>
                  <w:rStyle w:val="Hyperlink"/>
                  <w:rFonts w:ascii="Arial" w:hAnsi="Arial" w:cs="Arial"/>
                </w:rPr>
                <w:t>info@tga.gov.au</w:t>
              </w:r>
            </w:hyperlink>
            <w:r w:rsidRPr="00346A83">
              <w:rPr>
                <w:rFonts w:cs="Arial"/>
              </w:rPr>
              <w:t xml:space="preserve">  Phone: 1800 020 653  Fax: 02 6203 1605</w:t>
            </w:r>
          </w:p>
          <w:p w14:paraId="4533D80F" w14:textId="1519D7A3" w:rsidR="00F02AEC" w:rsidRPr="00346A83" w:rsidRDefault="00F02AEC">
            <w:pPr>
              <w:pStyle w:val="Address"/>
              <w:jc w:val="center"/>
              <w:rPr>
                <w:rStyle w:val="Hyperlink"/>
                <w:rFonts w:ascii="Arial" w:hAnsi="Arial" w:cs="Arial"/>
                <w:b/>
                <w:color w:val="auto"/>
                <w:sz w:val="22"/>
              </w:rPr>
            </w:pPr>
            <w:hyperlink r:id="rId28" w:history="1">
              <w:r w:rsidRPr="00346A83">
                <w:rPr>
                  <w:rStyle w:val="Hyperlink"/>
                  <w:rFonts w:ascii="Arial" w:hAnsi="Arial" w:cs="Arial"/>
                  <w:b/>
                </w:rPr>
                <w:t>https://www.tga.gov.au</w:t>
              </w:r>
            </w:hyperlink>
          </w:p>
        </w:tc>
      </w:tr>
    </w:tbl>
    <w:p w14:paraId="788B80FD" w14:textId="77777777" w:rsidR="007452E8" w:rsidRDefault="007452E8"/>
    <w:sectPr w:rsidR="007452E8" w:rsidSect="007452E8">
      <w:headerReference w:type="first" r:id="rId29"/>
      <w:footerReference w:type="first" r:id="rId3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99A7" w14:textId="77777777" w:rsidR="00AC180C" w:rsidRDefault="00AC180C" w:rsidP="00F02AEC">
      <w:pPr>
        <w:spacing w:after="0" w:line="240" w:lineRule="auto"/>
      </w:pPr>
      <w:r>
        <w:separator/>
      </w:r>
    </w:p>
  </w:endnote>
  <w:endnote w:type="continuationSeparator" w:id="0">
    <w:p w14:paraId="05F81890" w14:textId="77777777" w:rsidR="00AC180C" w:rsidRDefault="00AC180C"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280"/>
      <w:gridCol w:w="1734"/>
    </w:tblGrid>
    <w:tr w:rsidR="007452E8" w:rsidRPr="004A3084" w14:paraId="6266BC33" w14:textId="77777777" w:rsidTr="00D62B19">
      <w:trPr>
        <w:trHeight w:val="423"/>
      </w:trPr>
      <w:tc>
        <w:tcPr>
          <w:tcW w:w="8280" w:type="dxa"/>
          <w:tcBorders>
            <w:top w:val="single" w:sz="4" w:space="0" w:color="auto"/>
          </w:tcBorders>
        </w:tcPr>
        <w:p w14:paraId="3C421323" w14:textId="4BB798A5" w:rsidR="007452E8" w:rsidRPr="004A3084" w:rsidRDefault="007452E8" w:rsidP="007452E8">
          <w:pPr>
            <w:pStyle w:val="Footer"/>
          </w:pPr>
          <w:r w:rsidRPr="00487162">
            <w:t>AusPA</w:t>
          </w:r>
          <w:r>
            <w:t xml:space="preserve">R - </w:t>
          </w:r>
          <w:r w:rsidR="00506362">
            <w:t>OMLYCLO</w:t>
          </w:r>
          <w:r w:rsidR="008855C1" w:rsidRPr="008855C1">
            <w:t xml:space="preserve"> </w:t>
          </w:r>
          <w:r w:rsidR="008855C1">
            <w:t xml:space="preserve">- </w:t>
          </w:r>
          <w:r w:rsidR="008855C1" w:rsidRPr="008855C1">
            <w:t xml:space="preserve">omalizumab </w:t>
          </w:r>
          <w:r w:rsidR="008855C1">
            <w:t xml:space="preserve">- </w:t>
          </w:r>
          <w:r w:rsidR="008855C1" w:rsidRPr="008855C1">
            <w:t>Celltrion Healthcare Australia Pty Ltd</w:t>
          </w:r>
          <w:r w:rsidR="008855C1">
            <w:t xml:space="preserve"> -</w:t>
          </w:r>
          <w:r w:rsidR="00D62B19">
            <w:t xml:space="preserve"> </w:t>
          </w:r>
          <w:r w:rsidR="008855C1" w:rsidRPr="008855C1">
            <w:t>PM-2023-04803-1-5</w:t>
          </w:r>
          <w:r w:rsidR="00D62B19">
            <w:t>– Type A</w:t>
          </w:r>
          <w:r>
            <w:br/>
          </w:r>
          <w:r w:rsidRPr="009C4441">
            <w:t>Date of Finalisation</w:t>
          </w:r>
          <w:r w:rsidR="00C368C2" w:rsidRPr="009C4441">
            <w:t>:</w:t>
          </w:r>
          <w:r w:rsidR="00C368C2">
            <w:t xml:space="preserve"> 6 August </w:t>
          </w:r>
          <w:r w:rsidR="009C4441">
            <w:t>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6D6B44">
                <w:fldChar w:fldCharType="begin"/>
              </w:r>
              <w:r w:rsidR="006D6B44">
                <w:instrText xml:space="preserve"> NUMPAGES  </w:instrText>
              </w:r>
              <w:r w:rsidR="006D6B44">
                <w:fldChar w:fldCharType="separate"/>
              </w:r>
              <w:r w:rsidR="006D6B44">
                <w:rPr>
                  <w:noProof/>
                </w:rPr>
                <w:t>17</w:t>
              </w:r>
              <w:r w:rsidR="006D6B44">
                <w:rPr>
                  <w:noProof/>
                </w:rPr>
                <w:fldChar w:fldCharType="end"/>
              </w:r>
            </w:p>
          </w:sdtContent>
        </w:sdt>
      </w:tc>
    </w:tr>
  </w:tbl>
  <w:p w14:paraId="1A4EDE60" w14:textId="07161F65" w:rsidR="007452E8" w:rsidRPr="00826007" w:rsidRDefault="008139E6" w:rsidP="008139E6">
    <w:pPr>
      <w:pStyle w:val="Footer"/>
      <w:tabs>
        <w:tab w:val="clear" w:pos="4513"/>
        <w:tab w:val="clear" w:pos="9026"/>
        <w:tab w:val="left" w:pos="1500"/>
      </w:tabs>
      <w:contextualSpacing/>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B052" w14:textId="77777777" w:rsidR="00AC180C" w:rsidRDefault="00AC180C" w:rsidP="00F02AEC">
      <w:pPr>
        <w:spacing w:after="0" w:line="240" w:lineRule="auto"/>
      </w:pPr>
      <w:r>
        <w:separator/>
      </w:r>
    </w:p>
  </w:footnote>
  <w:footnote w:type="continuationSeparator" w:id="0">
    <w:p w14:paraId="7E4460EB" w14:textId="77777777" w:rsidR="00AC180C" w:rsidRDefault="00AC180C" w:rsidP="00F02AEC">
      <w:pPr>
        <w:spacing w:after="0" w:line="240" w:lineRule="auto"/>
      </w:pPr>
      <w:r>
        <w:continuationSeparator/>
      </w:r>
    </w:p>
  </w:footnote>
  <w:footnote w:id="1">
    <w:p w14:paraId="28487D52" w14:textId="42BC827B" w:rsidR="007E50E2" w:rsidRDefault="007E50E2">
      <w:pPr>
        <w:pStyle w:val="FootnoteText"/>
      </w:pPr>
      <w:r>
        <w:rPr>
          <w:rStyle w:val="FootnoteReference"/>
        </w:rPr>
        <w:footnoteRef/>
      </w:r>
      <w:r>
        <w:t xml:space="preserve"> </w:t>
      </w:r>
      <w:r w:rsidRPr="007E50E2">
        <w:t>A sponsor is a person or company who does one or more of the following: a) exports therapeutic goods from Australia, b) imports therapeutic goods into Australia, c) manufactures therapeutic goods for supply in Australia or d) elsewhere arranges for another party to import, export or manufacture therapeutic goods</w:t>
      </w:r>
    </w:p>
  </w:footnote>
  <w:footnote w:id="2">
    <w:p w14:paraId="526A4648" w14:textId="3A26DC61" w:rsidR="00777139" w:rsidRDefault="00777139">
      <w:pPr>
        <w:pStyle w:val="FootnoteText"/>
      </w:pPr>
      <w:r>
        <w:rPr>
          <w:rStyle w:val="FootnoteReference"/>
        </w:rPr>
        <w:footnoteRef/>
      </w:r>
      <w:r>
        <w:t xml:space="preserve"> </w:t>
      </w:r>
      <w:r w:rsidRPr="00777139">
        <w:t xml:space="preserve">National Asthma Council. Australian Asthma Handbook: The National Guidelines for Health Professionals. 2024; Available from: </w:t>
      </w:r>
      <w:hyperlink r:id="rId1" w:history="1">
        <w:r w:rsidR="00C10A40" w:rsidRPr="00A47936">
          <w:rPr>
            <w:rStyle w:val="Hyperlink"/>
          </w:rPr>
          <w:t>https://www.asthmahandbook.org.au/</w:t>
        </w:r>
      </w:hyperlink>
      <w:r w:rsidR="00C10A40">
        <w:t xml:space="preserve"> </w:t>
      </w:r>
    </w:p>
  </w:footnote>
  <w:footnote w:id="3">
    <w:p w14:paraId="67AB7FAA" w14:textId="6E8ACDC8" w:rsidR="00C10A40" w:rsidRDefault="00C10A40">
      <w:pPr>
        <w:pStyle w:val="FootnoteText"/>
      </w:pPr>
      <w:r>
        <w:rPr>
          <w:rStyle w:val="FootnoteReference"/>
        </w:rPr>
        <w:footnoteRef/>
      </w:r>
      <w:r>
        <w:t xml:space="preserve"> </w:t>
      </w:r>
      <w:r w:rsidRPr="00C10A40">
        <w:t xml:space="preserve">Australian Society of Clinical Immunology and Allergy. Chronic Rhinosinusitis with Nasal Polyps (CRSwNP): Position Paper. 2021; Available from: </w:t>
      </w:r>
      <w:hyperlink r:id="rId2" w:history="1">
        <w:r w:rsidRPr="00A47936">
          <w:rPr>
            <w:rStyle w:val="Hyperlink"/>
          </w:rPr>
          <w:t>https://www.allergy.org.au/images/stories/pospapers/ASCIA_HP_Position_Paper_CRSwNP_2021.pdf</w:t>
        </w:r>
      </w:hyperlink>
      <w:r w:rsidRPr="00C10A40">
        <w:t>.</w:t>
      </w:r>
    </w:p>
  </w:footnote>
  <w:footnote w:id="4">
    <w:p w14:paraId="15A8C945" w14:textId="4954397A" w:rsidR="00137A66" w:rsidRDefault="00137A66">
      <w:pPr>
        <w:pStyle w:val="FootnoteText"/>
      </w:pPr>
      <w:r>
        <w:rPr>
          <w:rStyle w:val="FootnoteReference"/>
        </w:rPr>
        <w:footnoteRef/>
      </w:r>
      <w:r>
        <w:t xml:space="preserve"> </w:t>
      </w:r>
      <w:r w:rsidRPr="00137A66">
        <w:t xml:space="preserve">Australian Society of Clinical Immunology and Allergy. Position Paper - Chronic Spontaneous Urticaria (CSU). 2020; Available from: </w:t>
      </w:r>
      <w:hyperlink r:id="rId3" w:history="1">
        <w:r w:rsidRPr="00A47936">
          <w:rPr>
            <w:rStyle w:val="Hyperlink"/>
          </w:rPr>
          <w:t>https://www.allergy.org.au/images/stories/pospapers/ASCIA_HP_Position_Paper_CSU_2020.pdf</w:t>
        </w:r>
      </w:hyperlink>
      <w:r w:rsidRPr="00137A66">
        <w:t>.</w:t>
      </w:r>
      <w:r>
        <w:t xml:space="preserve"> </w:t>
      </w:r>
    </w:p>
  </w:footnote>
  <w:footnote w:id="5">
    <w:p w14:paraId="6B80A447" w14:textId="1C42C636" w:rsidR="00152B25" w:rsidRDefault="00152B25">
      <w:pPr>
        <w:pStyle w:val="FootnoteText"/>
      </w:pPr>
      <w:r>
        <w:rPr>
          <w:rStyle w:val="FootnoteReference"/>
        </w:rPr>
        <w:footnoteRef/>
      </w:r>
      <w:r>
        <w:t xml:space="preserve"> </w:t>
      </w:r>
      <w:r w:rsidR="00FE2501">
        <w:t xml:space="preserve">National Asthma Council, 2024. </w:t>
      </w:r>
      <w:r w:rsidR="0045710B">
        <w:t xml:space="preserve"> </w:t>
      </w:r>
    </w:p>
  </w:footnote>
  <w:footnote w:id="6">
    <w:p w14:paraId="4A806335" w14:textId="0FE2D818" w:rsidR="00855CCE" w:rsidRDefault="00855CCE">
      <w:pPr>
        <w:pStyle w:val="FootnoteText"/>
      </w:pPr>
      <w:r>
        <w:rPr>
          <w:rStyle w:val="FootnoteReference"/>
        </w:rPr>
        <w:footnoteRef/>
      </w:r>
      <w:r>
        <w:t xml:space="preserve"> </w:t>
      </w:r>
      <w:r w:rsidR="00A372A2" w:rsidRPr="00A372A2">
        <w:t>Australian Society of Clinical Immunology and Allergy</w:t>
      </w:r>
      <w:r w:rsidR="00A372A2">
        <w:t xml:space="preserve">, </w:t>
      </w:r>
      <w:r w:rsidR="00363E79">
        <w:t xml:space="preserve">2021 </w:t>
      </w:r>
    </w:p>
  </w:footnote>
  <w:footnote w:id="7">
    <w:p w14:paraId="4EE84E72" w14:textId="561C7B91" w:rsidR="00FB59BA" w:rsidRDefault="00FB59BA">
      <w:pPr>
        <w:pStyle w:val="FootnoteText"/>
      </w:pPr>
      <w:r>
        <w:rPr>
          <w:rStyle w:val="FootnoteReference"/>
        </w:rPr>
        <w:footnoteRef/>
      </w:r>
      <w:r>
        <w:t xml:space="preserve"> </w:t>
      </w:r>
      <w:r w:rsidR="0035759F">
        <w:t xml:space="preserve">Healthdirect, </w:t>
      </w:r>
      <w:hyperlink r:id="rId4" w:history="1">
        <w:r w:rsidR="0035759F" w:rsidRPr="0035759F">
          <w:rPr>
            <w:rStyle w:val="Hyperlink"/>
          </w:rPr>
          <w:t>Hives (urticaria)</w:t>
        </w:r>
      </w:hyperlink>
      <w:r w:rsidR="0035759F">
        <w:t xml:space="preserve">, November 2023. </w:t>
      </w:r>
    </w:p>
  </w:footnote>
  <w:footnote w:id="8">
    <w:p w14:paraId="3407CEDD" w14:textId="63CAA46A" w:rsidR="00FB59BA" w:rsidRDefault="00FB59BA">
      <w:pPr>
        <w:pStyle w:val="FootnoteText"/>
      </w:pPr>
      <w:r>
        <w:rPr>
          <w:rStyle w:val="FootnoteReference"/>
        </w:rPr>
        <w:footnoteRef/>
      </w:r>
      <w:r>
        <w:t xml:space="preserve"> </w:t>
      </w:r>
      <w:r w:rsidRPr="00FB59BA">
        <w:t xml:space="preserve">European Medicines Agency, </w:t>
      </w:r>
      <w:r w:rsidR="00506362">
        <w:t>OMLYCLO</w:t>
      </w:r>
      <w:r w:rsidRPr="00FB59BA">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5B16C1"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9"/>
  </w:num>
  <w:num w:numId="5" w16cid:durableId="1652950129">
    <w:abstractNumId w:val="5"/>
  </w:num>
  <w:num w:numId="6" w16cid:durableId="1053193207">
    <w:abstractNumId w:val="7"/>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8"/>
  </w:num>
  <w:num w:numId="9" w16cid:durableId="173421270">
    <w:abstractNumId w:val="1"/>
  </w:num>
  <w:num w:numId="10" w16cid:durableId="2108043357">
    <w:abstractNumId w:val="4"/>
  </w:num>
  <w:num w:numId="11" w16cid:durableId="1725904230">
    <w:abstractNumId w:val="6"/>
  </w:num>
  <w:num w:numId="12" w16cid:durableId="141579354">
    <w:abstractNumId w:val="10"/>
  </w:num>
  <w:num w:numId="13" w16cid:durableId="283735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1CA"/>
    <w:rsid w:val="00000E6E"/>
    <w:rsid w:val="00004431"/>
    <w:rsid w:val="00005062"/>
    <w:rsid w:val="0001064C"/>
    <w:rsid w:val="0001384A"/>
    <w:rsid w:val="00021C13"/>
    <w:rsid w:val="00032A0F"/>
    <w:rsid w:val="000354EC"/>
    <w:rsid w:val="00040D8D"/>
    <w:rsid w:val="00046423"/>
    <w:rsid w:val="000477F5"/>
    <w:rsid w:val="00053465"/>
    <w:rsid w:val="000535D6"/>
    <w:rsid w:val="0006104E"/>
    <w:rsid w:val="000640BD"/>
    <w:rsid w:val="00065839"/>
    <w:rsid w:val="00065FDF"/>
    <w:rsid w:val="0006693A"/>
    <w:rsid w:val="00071E94"/>
    <w:rsid w:val="00072518"/>
    <w:rsid w:val="00077844"/>
    <w:rsid w:val="00080E2D"/>
    <w:rsid w:val="00083763"/>
    <w:rsid w:val="00090510"/>
    <w:rsid w:val="00090FDF"/>
    <w:rsid w:val="000917AE"/>
    <w:rsid w:val="00094B81"/>
    <w:rsid w:val="00095C6A"/>
    <w:rsid w:val="000961C3"/>
    <w:rsid w:val="000975AA"/>
    <w:rsid w:val="000A4B07"/>
    <w:rsid w:val="000B2260"/>
    <w:rsid w:val="000B6B15"/>
    <w:rsid w:val="000C2118"/>
    <w:rsid w:val="000C25A7"/>
    <w:rsid w:val="000D0A3E"/>
    <w:rsid w:val="000D229E"/>
    <w:rsid w:val="000D78EC"/>
    <w:rsid w:val="000D7934"/>
    <w:rsid w:val="000E2434"/>
    <w:rsid w:val="000E2597"/>
    <w:rsid w:val="000E504E"/>
    <w:rsid w:val="000E5D64"/>
    <w:rsid w:val="000E6746"/>
    <w:rsid w:val="000F6D53"/>
    <w:rsid w:val="000F7B51"/>
    <w:rsid w:val="00101BEE"/>
    <w:rsid w:val="00101CE6"/>
    <w:rsid w:val="00101FB1"/>
    <w:rsid w:val="0010558A"/>
    <w:rsid w:val="001101FF"/>
    <w:rsid w:val="00111989"/>
    <w:rsid w:val="00113F9F"/>
    <w:rsid w:val="00114025"/>
    <w:rsid w:val="0012473C"/>
    <w:rsid w:val="00127A74"/>
    <w:rsid w:val="0013132F"/>
    <w:rsid w:val="00131B1B"/>
    <w:rsid w:val="0013306D"/>
    <w:rsid w:val="00133F91"/>
    <w:rsid w:val="0013528C"/>
    <w:rsid w:val="00137A66"/>
    <w:rsid w:val="001442A2"/>
    <w:rsid w:val="001468CA"/>
    <w:rsid w:val="001500A8"/>
    <w:rsid w:val="00152B25"/>
    <w:rsid w:val="00155D85"/>
    <w:rsid w:val="001659BE"/>
    <w:rsid w:val="00165D28"/>
    <w:rsid w:val="0017005C"/>
    <w:rsid w:val="00175CD8"/>
    <w:rsid w:val="001768BE"/>
    <w:rsid w:val="00182BD8"/>
    <w:rsid w:val="00183A66"/>
    <w:rsid w:val="00184E11"/>
    <w:rsid w:val="0018553E"/>
    <w:rsid w:val="00185646"/>
    <w:rsid w:val="00186E52"/>
    <w:rsid w:val="00190533"/>
    <w:rsid w:val="00190853"/>
    <w:rsid w:val="001952B0"/>
    <w:rsid w:val="001A4208"/>
    <w:rsid w:val="001A5072"/>
    <w:rsid w:val="001A716C"/>
    <w:rsid w:val="001A76F9"/>
    <w:rsid w:val="001B06FF"/>
    <w:rsid w:val="001B1703"/>
    <w:rsid w:val="001B5CA6"/>
    <w:rsid w:val="001C1C2E"/>
    <w:rsid w:val="001C2B0B"/>
    <w:rsid w:val="001C31A1"/>
    <w:rsid w:val="001C3FA2"/>
    <w:rsid w:val="001C5EE2"/>
    <w:rsid w:val="001C641C"/>
    <w:rsid w:val="001C7CC0"/>
    <w:rsid w:val="001D0077"/>
    <w:rsid w:val="001D353A"/>
    <w:rsid w:val="001E407B"/>
    <w:rsid w:val="001E7FC6"/>
    <w:rsid w:val="001F2502"/>
    <w:rsid w:val="001F6EE3"/>
    <w:rsid w:val="001F70A5"/>
    <w:rsid w:val="001F7295"/>
    <w:rsid w:val="00201B2B"/>
    <w:rsid w:val="0020235D"/>
    <w:rsid w:val="0020369B"/>
    <w:rsid w:val="00207474"/>
    <w:rsid w:val="00207B4D"/>
    <w:rsid w:val="0021007C"/>
    <w:rsid w:val="00210F9B"/>
    <w:rsid w:val="002117B1"/>
    <w:rsid w:val="00217CCE"/>
    <w:rsid w:val="002203B1"/>
    <w:rsid w:val="002227C6"/>
    <w:rsid w:val="002250C2"/>
    <w:rsid w:val="002264D0"/>
    <w:rsid w:val="00226F39"/>
    <w:rsid w:val="002334AD"/>
    <w:rsid w:val="00241B60"/>
    <w:rsid w:val="00242BD5"/>
    <w:rsid w:val="00251260"/>
    <w:rsid w:val="00256193"/>
    <w:rsid w:val="0025785B"/>
    <w:rsid w:val="00257969"/>
    <w:rsid w:val="00264B66"/>
    <w:rsid w:val="00265CD1"/>
    <w:rsid w:val="00271F5B"/>
    <w:rsid w:val="00280048"/>
    <w:rsid w:val="0028489E"/>
    <w:rsid w:val="002848DE"/>
    <w:rsid w:val="0028543F"/>
    <w:rsid w:val="00286C95"/>
    <w:rsid w:val="0028794E"/>
    <w:rsid w:val="00293D0C"/>
    <w:rsid w:val="00295F56"/>
    <w:rsid w:val="0029733B"/>
    <w:rsid w:val="002A44FC"/>
    <w:rsid w:val="002A5841"/>
    <w:rsid w:val="002B1EDF"/>
    <w:rsid w:val="002B2061"/>
    <w:rsid w:val="002B20F3"/>
    <w:rsid w:val="002B4D05"/>
    <w:rsid w:val="002C1232"/>
    <w:rsid w:val="002C1E44"/>
    <w:rsid w:val="002C3528"/>
    <w:rsid w:val="002C5C92"/>
    <w:rsid w:val="002C5E29"/>
    <w:rsid w:val="002D0478"/>
    <w:rsid w:val="002D7127"/>
    <w:rsid w:val="002F116C"/>
    <w:rsid w:val="002F3C5A"/>
    <w:rsid w:val="002F552B"/>
    <w:rsid w:val="002F599E"/>
    <w:rsid w:val="002F6F56"/>
    <w:rsid w:val="003008D8"/>
    <w:rsid w:val="00301D9A"/>
    <w:rsid w:val="00303959"/>
    <w:rsid w:val="00306E72"/>
    <w:rsid w:val="003077D1"/>
    <w:rsid w:val="00312AC3"/>
    <w:rsid w:val="00314430"/>
    <w:rsid w:val="003163BC"/>
    <w:rsid w:val="00317CE3"/>
    <w:rsid w:val="003212D9"/>
    <w:rsid w:val="0032351A"/>
    <w:rsid w:val="00324B33"/>
    <w:rsid w:val="00327488"/>
    <w:rsid w:val="0033169F"/>
    <w:rsid w:val="0033267E"/>
    <w:rsid w:val="00336FE1"/>
    <w:rsid w:val="00342D56"/>
    <w:rsid w:val="003456E7"/>
    <w:rsid w:val="00345E15"/>
    <w:rsid w:val="00346A83"/>
    <w:rsid w:val="00346EC2"/>
    <w:rsid w:val="00347706"/>
    <w:rsid w:val="003477F9"/>
    <w:rsid w:val="003535A6"/>
    <w:rsid w:val="0035444D"/>
    <w:rsid w:val="00356D62"/>
    <w:rsid w:val="0035759F"/>
    <w:rsid w:val="00363E79"/>
    <w:rsid w:val="00363EE3"/>
    <w:rsid w:val="003735F3"/>
    <w:rsid w:val="00374729"/>
    <w:rsid w:val="00381038"/>
    <w:rsid w:val="00387298"/>
    <w:rsid w:val="00387984"/>
    <w:rsid w:val="003933CB"/>
    <w:rsid w:val="00395140"/>
    <w:rsid w:val="003A2422"/>
    <w:rsid w:val="003B149C"/>
    <w:rsid w:val="003C0FDB"/>
    <w:rsid w:val="003C1192"/>
    <w:rsid w:val="003C1E6E"/>
    <w:rsid w:val="003C2353"/>
    <w:rsid w:val="003C32BE"/>
    <w:rsid w:val="003C55E2"/>
    <w:rsid w:val="003C63D5"/>
    <w:rsid w:val="003C7AA8"/>
    <w:rsid w:val="003D71A1"/>
    <w:rsid w:val="003E4C3A"/>
    <w:rsid w:val="003E4FBE"/>
    <w:rsid w:val="003F4E9B"/>
    <w:rsid w:val="00413C23"/>
    <w:rsid w:val="0041688F"/>
    <w:rsid w:val="00417658"/>
    <w:rsid w:val="00417D9A"/>
    <w:rsid w:val="00421D79"/>
    <w:rsid w:val="0042376F"/>
    <w:rsid w:val="004246B8"/>
    <w:rsid w:val="004248F1"/>
    <w:rsid w:val="00433318"/>
    <w:rsid w:val="004411D9"/>
    <w:rsid w:val="00442A56"/>
    <w:rsid w:val="00444029"/>
    <w:rsid w:val="004444B0"/>
    <w:rsid w:val="00446321"/>
    <w:rsid w:val="00446390"/>
    <w:rsid w:val="0044709A"/>
    <w:rsid w:val="00450315"/>
    <w:rsid w:val="0045060B"/>
    <w:rsid w:val="00456362"/>
    <w:rsid w:val="0045710B"/>
    <w:rsid w:val="004626FF"/>
    <w:rsid w:val="0046285C"/>
    <w:rsid w:val="00470A52"/>
    <w:rsid w:val="00471BD5"/>
    <w:rsid w:val="00473912"/>
    <w:rsid w:val="00477C4E"/>
    <w:rsid w:val="00477F07"/>
    <w:rsid w:val="00480A4C"/>
    <w:rsid w:val="00481503"/>
    <w:rsid w:val="00481D12"/>
    <w:rsid w:val="0048333F"/>
    <w:rsid w:val="004854A6"/>
    <w:rsid w:val="0048789C"/>
    <w:rsid w:val="00491A55"/>
    <w:rsid w:val="00494C3E"/>
    <w:rsid w:val="004960BD"/>
    <w:rsid w:val="00497DF1"/>
    <w:rsid w:val="004A318E"/>
    <w:rsid w:val="004A45D4"/>
    <w:rsid w:val="004A57E8"/>
    <w:rsid w:val="004A5A16"/>
    <w:rsid w:val="004B3081"/>
    <w:rsid w:val="004B4A09"/>
    <w:rsid w:val="004C41CE"/>
    <w:rsid w:val="004C5054"/>
    <w:rsid w:val="004C631B"/>
    <w:rsid w:val="004D0933"/>
    <w:rsid w:val="004D12B1"/>
    <w:rsid w:val="004D2F00"/>
    <w:rsid w:val="004D31D8"/>
    <w:rsid w:val="004D35D1"/>
    <w:rsid w:val="004D5388"/>
    <w:rsid w:val="004E4655"/>
    <w:rsid w:val="004E7F16"/>
    <w:rsid w:val="004F16CF"/>
    <w:rsid w:val="004F18EC"/>
    <w:rsid w:val="004F1E65"/>
    <w:rsid w:val="00500D68"/>
    <w:rsid w:val="005042C7"/>
    <w:rsid w:val="00506362"/>
    <w:rsid w:val="00512176"/>
    <w:rsid w:val="0053377D"/>
    <w:rsid w:val="00535DFE"/>
    <w:rsid w:val="005373B5"/>
    <w:rsid w:val="00537AB7"/>
    <w:rsid w:val="00540438"/>
    <w:rsid w:val="00543610"/>
    <w:rsid w:val="0054669B"/>
    <w:rsid w:val="0055170B"/>
    <w:rsid w:val="00555D33"/>
    <w:rsid w:val="00557684"/>
    <w:rsid w:val="005610D1"/>
    <w:rsid w:val="00562F42"/>
    <w:rsid w:val="0056532B"/>
    <w:rsid w:val="00565739"/>
    <w:rsid w:val="00566A78"/>
    <w:rsid w:val="0056766D"/>
    <w:rsid w:val="00574BAB"/>
    <w:rsid w:val="00575215"/>
    <w:rsid w:val="005775D0"/>
    <w:rsid w:val="00581138"/>
    <w:rsid w:val="0058575E"/>
    <w:rsid w:val="0058783C"/>
    <w:rsid w:val="005911AE"/>
    <w:rsid w:val="005926E2"/>
    <w:rsid w:val="0059304E"/>
    <w:rsid w:val="0059313A"/>
    <w:rsid w:val="005A54EA"/>
    <w:rsid w:val="005B023F"/>
    <w:rsid w:val="005B02A2"/>
    <w:rsid w:val="005B1417"/>
    <w:rsid w:val="005B16C1"/>
    <w:rsid w:val="005B69CF"/>
    <w:rsid w:val="005C3F07"/>
    <w:rsid w:val="005C4B46"/>
    <w:rsid w:val="005C5DC5"/>
    <w:rsid w:val="005D2089"/>
    <w:rsid w:val="005D5F54"/>
    <w:rsid w:val="005D7514"/>
    <w:rsid w:val="005E0FC6"/>
    <w:rsid w:val="005E1A7B"/>
    <w:rsid w:val="005E231F"/>
    <w:rsid w:val="005E3C53"/>
    <w:rsid w:val="005E6F79"/>
    <w:rsid w:val="005E7C1B"/>
    <w:rsid w:val="00602D6E"/>
    <w:rsid w:val="00605C05"/>
    <w:rsid w:val="00611351"/>
    <w:rsid w:val="0061217D"/>
    <w:rsid w:val="006129AE"/>
    <w:rsid w:val="006277A1"/>
    <w:rsid w:val="00633BD7"/>
    <w:rsid w:val="00634580"/>
    <w:rsid w:val="00634884"/>
    <w:rsid w:val="006351D9"/>
    <w:rsid w:val="00637130"/>
    <w:rsid w:val="00637F0E"/>
    <w:rsid w:val="00641EB6"/>
    <w:rsid w:val="006423F2"/>
    <w:rsid w:val="006428C5"/>
    <w:rsid w:val="00650234"/>
    <w:rsid w:val="0066044B"/>
    <w:rsid w:val="006630AA"/>
    <w:rsid w:val="00663544"/>
    <w:rsid w:val="00666539"/>
    <w:rsid w:val="00666911"/>
    <w:rsid w:val="00671305"/>
    <w:rsid w:val="00675F81"/>
    <w:rsid w:val="0068143E"/>
    <w:rsid w:val="006817F9"/>
    <w:rsid w:val="00683109"/>
    <w:rsid w:val="0068507D"/>
    <w:rsid w:val="00690286"/>
    <w:rsid w:val="00691AF2"/>
    <w:rsid w:val="0069243D"/>
    <w:rsid w:val="00692B80"/>
    <w:rsid w:val="00692CCD"/>
    <w:rsid w:val="00692D51"/>
    <w:rsid w:val="00694DD7"/>
    <w:rsid w:val="0069636B"/>
    <w:rsid w:val="006A0E0B"/>
    <w:rsid w:val="006A1762"/>
    <w:rsid w:val="006A19CE"/>
    <w:rsid w:val="006A1F0B"/>
    <w:rsid w:val="006A277A"/>
    <w:rsid w:val="006A5973"/>
    <w:rsid w:val="006B04F3"/>
    <w:rsid w:val="006B4A03"/>
    <w:rsid w:val="006B7126"/>
    <w:rsid w:val="006C170D"/>
    <w:rsid w:val="006C3C33"/>
    <w:rsid w:val="006C6B86"/>
    <w:rsid w:val="006D0E86"/>
    <w:rsid w:val="006D4553"/>
    <w:rsid w:val="006D4A35"/>
    <w:rsid w:val="006D6B44"/>
    <w:rsid w:val="006E0F71"/>
    <w:rsid w:val="006E1BB4"/>
    <w:rsid w:val="006E27FE"/>
    <w:rsid w:val="006F7EC4"/>
    <w:rsid w:val="00701110"/>
    <w:rsid w:val="00702E91"/>
    <w:rsid w:val="0070330F"/>
    <w:rsid w:val="00703624"/>
    <w:rsid w:val="007046ED"/>
    <w:rsid w:val="00705801"/>
    <w:rsid w:val="0070613F"/>
    <w:rsid w:val="007072A1"/>
    <w:rsid w:val="0071060C"/>
    <w:rsid w:val="00710BC5"/>
    <w:rsid w:val="007121CA"/>
    <w:rsid w:val="0072003B"/>
    <w:rsid w:val="00721059"/>
    <w:rsid w:val="007211E6"/>
    <w:rsid w:val="007220C4"/>
    <w:rsid w:val="007305ED"/>
    <w:rsid w:val="00732361"/>
    <w:rsid w:val="007357B9"/>
    <w:rsid w:val="00736E5C"/>
    <w:rsid w:val="00737326"/>
    <w:rsid w:val="00741AB9"/>
    <w:rsid w:val="00742D03"/>
    <w:rsid w:val="00744216"/>
    <w:rsid w:val="007452E8"/>
    <w:rsid w:val="00746990"/>
    <w:rsid w:val="00747093"/>
    <w:rsid w:val="00750D70"/>
    <w:rsid w:val="007575D0"/>
    <w:rsid w:val="007662E0"/>
    <w:rsid w:val="00772EFC"/>
    <w:rsid w:val="00773400"/>
    <w:rsid w:val="0077582A"/>
    <w:rsid w:val="00776E9C"/>
    <w:rsid w:val="00777139"/>
    <w:rsid w:val="00780EDC"/>
    <w:rsid w:val="007816D8"/>
    <w:rsid w:val="00783C62"/>
    <w:rsid w:val="00784150"/>
    <w:rsid w:val="007853B8"/>
    <w:rsid w:val="00793272"/>
    <w:rsid w:val="0079499A"/>
    <w:rsid w:val="00794B64"/>
    <w:rsid w:val="007967C3"/>
    <w:rsid w:val="007A0A33"/>
    <w:rsid w:val="007B04DE"/>
    <w:rsid w:val="007B0AE6"/>
    <w:rsid w:val="007B1763"/>
    <w:rsid w:val="007C0F0B"/>
    <w:rsid w:val="007C153A"/>
    <w:rsid w:val="007C57BC"/>
    <w:rsid w:val="007D04CA"/>
    <w:rsid w:val="007D0A2B"/>
    <w:rsid w:val="007D12A1"/>
    <w:rsid w:val="007D40E5"/>
    <w:rsid w:val="007D4138"/>
    <w:rsid w:val="007E4178"/>
    <w:rsid w:val="007E50E2"/>
    <w:rsid w:val="007E6443"/>
    <w:rsid w:val="007E7804"/>
    <w:rsid w:val="007F028E"/>
    <w:rsid w:val="007F0A77"/>
    <w:rsid w:val="007F18E3"/>
    <w:rsid w:val="007F1E37"/>
    <w:rsid w:val="007F50D3"/>
    <w:rsid w:val="007F6B1F"/>
    <w:rsid w:val="008013F0"/>
    <w:rsid w:val="00802558"/>
    <w:rsid w:val="00802B51"/>
    <w:rsid w:val="00803926"/>
    <w:rsid w:val="00804897"/>
    <w:rsid w:val="008139E6"/>
    <w:rsid w:val="008329DB"/>
    <w:rsid w:val="00832BC7"/>
    <w:rsid w:val="008350B3"/>
    <w:rsid w:val="008361C5"/>
    <w:rsid w:val="0083628F"/>
    <w:rsid w:val="00837AB9"/>
    <w:rsid w:val="0084495F"/>
    <w:rsid w:val="00850637"/>
    <w:rsid w:val="00854D98"/>
    <w:rsid w:val="00855CCE"/>
    <w:rsid w:val="008565C8"/>
    <w:rsid w:val="0085751E"/>
    <w:rsid w:val="00860B29"/>
    <w:rsid w:val="00861F13"/>
    <w:rsid w:val="008622E8"/>
    <w:rsid w:val="008645EE"/>
    <w:rsid w:val="00870144"/>
    <w:rsid w:val="0087072C"/>
    <w:rsid w:val="008709C7"/>
    <w:rsid w:val="00871312"/>
    <w:rsid w:val="00873D7A"/>
    <w:rsid w:val="00877CB3"/>
    <w:rsid w:val="008804CF"/>
    <w:rsid w:val="00882D58"/>
    <w:rsid w:val="00882F19"/>
    <w:rsid w:val="00883D35"/>
    <w:rsid w:val="00884569"/>
    <w:rsid w:val="008855C1"/>
    <w:rsid w:val="00887A51"/>
    <w:rsid w:val="0089038A"/>
    <w:rsid w:val="00890D9B"/>
    <w:rsid w:val="00891C6C"/>
    <w:rsid w:val="008928A2"/>
    <w:rsid w:val="00893CCD"/>
    <w:rsid w:val="0089530A"/>
    <w:rsid w:val="008964B3"/>
    <w:rsid w:val="008B1CB5"/>
    <w:rsid w:val="008C2D69"/>
    <w:rsid w:val="008C49C6"/>
    <w:rsid w:val="008C754C"/>
    <w:rsid w:val="008D56C9"/>
    <w:rsid w:val="008D56CA"/>
    <w:rsid w:val="008D693D"/>
    <w:rsid w:val="008D6A54"/>
    <w:rsid w:val="008E2585"/>
    <w:rsid w:val="008E2D7A"/>
    <w:rsid w:val="008E3F08"/>
    <w:rsid w:val="008F3215"/>
    <w:rsid w:val="008F4A62"/>
    <w:rsid w:val="008F7256"/>
    <w:rsid w:val="00900A3D"/>
    <w:rsid w:val="0090424C"/>
    <w:rsid w:val="0090605E"/>
    <w:rsid w:val="0090695C"/>
    <w:rsid w:val="009108CE"/>
    <w:rsid w:val="00915A9F"/>
    <w:rsid w:val="009253D5"/>
    <w:rsid w:val="00930D58"/>
    <w:rsid w:val="00935AAA"/>
    <w:rsid w:val="00935B82"/>
    <w:rsid w:val="00936928"/>
    <w:rsid w:val="00940231"/>
    <w:rsid w:val="00940444"/>
    <w:rsid w:val="0095031E"/>
    <w:rsid w:val="00954297"/>
    <w:rsid w:val="00960A56"/>
    <w:rsid w:val="00966EF1"/>
    <w:rsid w:val="00967223"/>
    <w:rsid w:val="009751F7"/>
    <w:rsid w:val="00981880"/>
    <w:rsid w:val="0098350E"/>
    <w:rsid w:val="00990C12"/>
    <w:rsid w:val="0099404F"/>
    <w:rsid w:val="00996FA5"/>
    <w:rsid w:val="009B40A9"/>
    <w:rsid w:val="009B487F"/>
    <w:rsid w:val="009B5662"/>
    <w:rsid w:val="009B5BCB"/>
    <w:rsid w:val="009C2211"/>
    <w:rsid w:val="009C40E8"/>
    <w:rsid w:val="009C4441"/>
    <w:rsid w:val="009C45C5"/>
    <w:rsid w:val="009D36E7"/>
    <w:rsid w:val="009E6858"/>
    <w:rsid w:val="009E6F8C"/>
    <w:rsid w:val="009F405F"/>
    <w:rsid w:val="009F5F16"/>
    <w:rsid w:val="00A01C56"/>
    <w:rsid w:val="00A02C05"/>
    <w:rsid w:val="00A32C50"/>
    <w:rsid w:val="00A358E7"/>
    <w:rsid w:val="00A372A2"/>
    <w:rsid w:val="00A4380B"/>
    <w:rsid w:val="00A452E4"/>
    <w:rsid w:val="00A51A2D"/>
    <w:rsid w:val="00A5596B"/>
    <w:rsid w:val="00A5705C"/>
    <w:rsid w:val="00A632FA"/>
    <w:rsid w:val="00A63C07"/>
    <w:rsid w:val="00A63D9B"/>
    <w:rsid w:val="00A704DC"/>
    <w:rsid w:val="00A756AF"/>
    <w:rsid w:val="00A87E88"/>
    <w:rsid w:val="00A93DC6"/>
    <w:rsid w:val="00A9411A"/>
    <w:rsid w:val="00AA4A4B"/>
    <w:rsid w:val="00AA6682"/>
    <w:rsid w:val="00AA7003"/>
    <w:rsid w:val="00AA7396"/>
    <w:rsid w:val="00AB0613"/>
    <w:rsid w:val="00AB4D59"/>
    <w:rsid w:val="00AB7C5C"/>
    <w:rsid w:val="00AB7CBF"/>
    <w:rsid w:val="00AC180C"/>
    <w:rsid w:val="00AC605C"/>
    <w:rsid w:val="00AD0111"/>
    <w:rsid w:val="00AD0B68"/>
    <w:rsid w:val="00AD4C72"/>
    <w:rsid w:val="00AD5451"/>
    <w:rsid w:val="00AE1112"/>
    <w:rsid w:val="00AE1947"/>
    <w:rsid w:val="00AE6B84"/>
    <w:rsid w:val="00AF1C8B"/>
    <w:rsid w:val="00AF299B"/>
    <w:rsid w:val="00AF7509"/>
    <w:rsid w:val="00AF7613"/>
    <w:rsid w:val="00AF7E43"/>
    <w:rsid w:val="00B02AE0"/>
    <w:rsid w:val="00B035BA"/>
    <w:rsid w:val="00B03F25"/>
    <w:rsid w:val="00B05326"/>
    <w:rsid w:val="00B053E6"/>
    <w:rsid w:val="00B14545"/>
    <w:rsid w:val="00B14E60"/>
    <w:rsid w:val="00B17BA2"/>
    <w:rsid w:val="00B261A7"/>
    <w:rsid w:val="00B269FE"/>
    <w:rsid w:val="00B26DC3"/>
    <w:rsid w:val="00B27E5F"/>
    <w:rsid w:val="00B30B9D"/>
    <w:rsid w:val="00B4574D"/>
    <w:rsid w:val="00B468E1"/>
    <w:rsid w:val="00B46BC0"/>
    <w:rsid w:val="00B46DFB"/>
    <w:rsid w:val="00B5141B"/>
    <w:rsid w:val="00B54394"/>
    <w:rsid w:val="00B55681"/>
    <w:rsid w:val="00B57AAD"/>
    <w:rsid w:val="00B6374E"/>
    <w:rsid w:val="00B72B16"/>
    <w:rsid w:val="00B80408"/>
    <w:rsid w:val="00B81397"/>
    <w:rsid w:val="00B92554"/>
    <w:rsid w:val="00B925DB"/>
    <w:rsid w:val="00B967FF"/>
    <w:rsid w:val="00B974B9"/>
    <w:rsid w:val="00BA3F6D"/>
    <w:rsid w:val="00BA4BE6"/>
    <w:rsid w:val="00BA4FC0"/>
    <w:rsid w:val="00BA531F"/>
    <w:rsid w:val="00BA61E0"/>
    <w:rsid w:val="00BA657C"/>
    <w:rsid w:val="00BA6909"/>
    <w:rsid w:val="00BA7E42"/>
    <w:rsid w:val="00BA7F7D"/>
    <w:rsid w:val="00BB1C14"/>
    <w:rsid w:val="00BB25A3"/>
    <w:rsid w:val="00BB6847"/>
    <w:rsid w:val="00BB7F8F"/>
    <w:rsid w:val="00BC5C31"/>
    <w:rsid w:val="00BC716A"/>
    <w:rsid w:val="00BD07DF"/>
    <w:rsid w:val="00BD26F4"/>
    <w:rsid w:val="00BD5DBD"/>
    <w:rsid w:val="00BD5DF6"/>
    <w:rsid w:val="00BE0041"/>
    <w:rsid w:val="00BE640F"/>
    <w:rsid w:val="00BE6D2A"/>
    <w:rsid w:val="00BE77E1"/>
    <w:rsid w:val="00BF25D5"/>
    <w:rsid w:val="00BF4638"/>
    <w:rsid w:val="00BF46DC"/>
    <w:rsid w:val="00BF5130"/>
    <w:rsid w:val="00BF5761"/>
    <w:rsid w:val="00C00844"/>
    <w:rsid w:val="00C00B29"/>
    <w:rsid w:val="00C059D0"/>
    <w:rsid w:val="00C07551"/>
    <w:rsid w:val="00C10A40"/>
    <w:rsid w:val="00C1109F"/>
    <w:rsid w:val="00C12D65"/>
    <w:rsid w:val="00C133AB"/>
    <w:rsid w:val="00C14E7B"/>
    <w:rsid w:val="00C17759"/>
    <w:rsid w:val="00C20B56"/>
    <w:rsid w:val="00C22214"/>
    <w:rsid w:val="00C2494B"/>
    <w:rsid w:val="00C26C8F"/>
    <w:rsid w:val="00C26F72"/>
    <w:rsid w:val="00C309A7"/>
    <w:rsid w:val="00C335AB"/>
    <w:rsid w:val="00C368C2"/>
    <w:rsid w:val="00C407AB"/>
    <w:rsid w:val="00C42C71"/>
    <w:rsid w:val="00C46ECF"/>
    <w:rsid w:val="00C52B3A"/>
    <w:rsid w:val="00C52B7B"/>
    <w:rsid w:val="00C547CD"/>
    <w:rsid w:val="00C570FF"/>
    <w:rsid w:val="00C57CEA"/>
    <w:rsid w:val="00C60FEC"/>
    <w:rsid w:val="00C61C01"/>
    <w:rsid w:val="00C61D69"/>
    <w:rsid w:val="00C62B1C"/>
    <w:rsid w:val="00C6574E"/>
    <w:rsid w:val="00C663D1"/>
    <w:rsid w:val="00C665D9"/>
    <w:rsid w:val="00C707FD"/>
    <w:rsid w:val="00C72D10"/>
    <w:rsid w:val="00C76DEB"/>
    <w:rsid w:val="00C77AB3"/>
    <w:rsid w:val="00C77B19"/>
    <w:rsid w:val="00C816C6"/>
    <w:rsid w:val="00C8405E"/>
    <w:rsid w:val="00C863A7"/>
    <w:rsid w:val="00C912F4"/>
    <w:rsid w:val="00C9156F"/>
    <w:rsid w:val="00C9581A"/>
    <w:rsid w:val="00C96AC5"/>
    <w:rsid w:val="00C97D29"/>
    <w:rsid w:val="00CA449C"/>
    <w:rsid w:val="00CB0550"/>
    <w:rsid w:val="00CB6813"/>
    <w:rsid w:val="00CD4099"/>
    <w:rsid w:val="00CE0539"/>
    <w:rsid w:val="00CE7335"/>
    <w:rsid w:val="00CF6A55"/>
    <w:rsid w:val="00CF6DC6"/>
    <w:rsid w:val="00CF6DCF"/>
    <w:rsid w:val="00D01979"/>
    <w:rsid w:val="00D01DDB"/>
    <w:rsid w:val="00D069D7"/>
    <w:rsid w:val="00D078BE"/>
    <w:rsid w:val="00D10E47"/>
    <w:rsid w:val="00D13F8A"/>
    <w:rsid w:val="00D16F60"/>
    <w:rsid w:val="00D21F24"/>
    <w:rsid w:val="00D22981"/>
    <w:rsid w:val="00D23D3E"/>
    <w:rsid w:val="00D3349B"/>
    <w:rsid w:val="00D424A8"/>
    <w:rsid w:val="00D53348"/>
    <w:rsid w:val="00D6036F"/>
    <w:rsid w:val="00D62877"/>
    <w:rsid w:val="00D62B19"/>
    <w:rsid w:val="00D63760"/>
    <w:rsid w:val="00D64CD2"/>
    <w:rsid w:val="00D6703F"/>
    <w:rsid w:val="00D734EB"/>
    <w:rsid w:val="00D82713"/>
    <w:rsid w:val="00D8506B"/>
    <w:rsid w:val="00D86F00"/>
    <w:rsid w:val="00D874FD"/>
    <w:rsid w:val="00D918D5"/>
    <w:rsid w:val="00D94290"/>
    <w:rsid w:val="00D94C8E"/>
    <w:rsid w:val="00DB1372"/>
    <w:rsid w:val="00DB192C"/>
    <w:rsid w:val="00DB1CF3"/>
    <w:rsid w:val="00DB5425"/>
    <w:rsid w:val="00DB72A6"/>
    <w:rsid w:val="00DC6611"/>
    <w:rsid w:val="00DD5AFB"/>
    <w:rsid w:val="00DD7E46"/>
    <w:rsid w:val="00DE00CE"/>
    <w:rsid w:val="00DE1344"/>
    <w:rsid w:val="00DE4F22"/>
    <w:rsid w:val="00DF15F5"/>
    <w:rsid w:val="00DF5BFE"/>
    <w:rsid w:val="00DF6EC5"/>
    <w:rsid w:val="00E032E1"/>
    <w:rsid w:val="00E0523F"/>
    <w:rsid w:val="00E22701"/>
    <w:rsid w:val="00E232B2"/>
    <w:rsid w:val="00E23E50"/>
    <w:rsid w:val="00E26213"/>
    <w:rsid w:val="00E274DF"/>
    <w:rsid w:val="00E318CB"/>
    <w:rsid w:val="00E34D66"/>
    <w:rsid w:val="00E362C4"/>
    <w:rsid w:val="00E46CC2"/>
    <w:rsid w:val="00E473C7"/>
    <w:rsid w:val="00E47E0C"/>
    <w:rsid w:val="00E51813"/>
    <w:rsid w:val="00E52C0B"/>
    <w:rsid w:val="00E53D3F"/>
    <w:rsid w:val="00E543BA"/>
    <w:rsid w:val="00E5579B"/>
    <w:rsid w:val="00E57FF4"/>
    <w:rsid w:val="00E63A65"/>
    <w:rsid w:val="00E679D1"/>
    <w:rsid w:val="00E67C1C"/>
    <w:rsid w:val="00E918F0"/>
    <w:rsid w:val="00E91F11"/>
    <w:rsid w:val="00E920BB"/>
    <w:rsid w:val="00E946F9"/>
    <w:rsid w:val="00E9706D"/>
    <w:rsid w:val="00EA3AF4"/>
    <w:rsid w:val="00EA6592"/>
    <w:rsid w:val="00EB0EBE"/>
    <w:rsid w:val="00EC4F30"/>
    <w:rsid w:val="00EE4B01"/>
    <w:rsid w:val="00EE726D"/>
    <w:rsid w:val="00EE7F95"/>
    <w:rsid w:val="00EF3F0B"/>
    <w:rsid w:val="00EF49EF"/>
    <w:rsid w:val="00EF5583"/>
    <w:rsid w:val="00F008F8"/>
    <w:rsid w:val="00F0174E"/>
    <w:rsid w:val="00F0289D"/>
    <w:rsid w:val="00F02AEC"/>
    <w:rsid w:val="00F06B3B"/>
    <w:rsid w:val="00F07572"/>
    <w:rsid w:val="00F12FE7"/>
    <w:rsid w:val="00F157FC"/>
    <w:rsid w:val="00F30AF3"/>
    <w:rsid w:val="00F35456"/>
    <w:rsid w:val="00F43CD1"/>
    <w:rsid w:val="00F45AE0"/>
    <w:rsid w:val="00F50B59"/>
    <w:rsid w:val="00F520F3"/>
    <w:rsid w:val="00F54BCC"/>
    <w:rsid w:val="00F558FD"/>
    <w:rsid w:val="00F5794B"/>
    <w:rsid w:val="00F60CF2"/>
    <w:rsid w:val="00F61DB3"/>
    <w:rsid w:val="00F637FA"/>
    <w:rsid w:val="00F657B4"/>
    <w:rsid w:val="00F71064"/>
    <w:rsid w:val="00F74561"/>
    <w:rsid w:val="00F7649F"/>
    <w:rsid w:val="00F8083B"/>
    <w:rsid w:val="00F82D1B"/>
    <w:rsid w:val="00F8568E"/>
    <w:rsid w:val="00F865A7"/>
    <w:rsid w:val="00FA0754"/>
    <w:rsid w:val="00FA1BC9"/>
    <w:rsid w:val="00FA1C1E"/>
    <w:rsid w:val="00FA49C3"/>
    <w:rsid w:val="00FB236E"/>
    <w:rsid w:val="00FB3F7B"/>
    <w:rsid w:val="00FB4C2A"/>
    <w:rsid w:val="00FB59BA"/>
    <w:rsid w:val="00FC2107"/>
    <w:rsid w:val="00FC48FE"/>
    <w:rsid w:val="00FC6F56"/>
    <w:rsid w:val="00FD3AB7"/>
    <w:rsid w:val="00FE087C"/>
    <w:rsid w:val="00FE2501"/>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1">
    <w:name w:val="heading 1"/>
    <w:basedOn w:val="Normal"/>
    <w:next w:val="Normal"/>
    <w:link w:val="Heading1Char"/>
    <w:uiPriority w:val="9"/>
    <w:qFormat/>
    <w:rsid w:val="00D019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456362"/>
    <w:pPr>
      <w:keepNext/>
      <w:keepLines/>
      <w:spacing w:before="240" w:line="240" w:lineRule="atLeast"/>
      <w:outlineLvl w:val="4"/>
    </w:pPr>
    <w:rPr>
      <w:rFonts w:ascii="Arial" w:eastAsia="Times New Roman" w:hAnsi="Arial" w:cs="Times New Roman"/>
      <w:b/>
      <w:bCs/>
      <w:i/>
      <w:color w:val="001871"/>
      <w:sz w:val="24"/>
      <w:szCs w:val="26"/>
    </w:rPr>
  </w:style>
  <w:style w:type="paragraph" w:styleId="Heading6">
    <w:name w:val="heading 6"/>
    <w:basedOn w:val="Normal"/>
    <w:next w:val="Normal"/>
    <w:link w:val="Heading6Char"/>
    <w:uiPriority w:val="9"/>
    <w:rsid w:val="00456362"/>
    <w:pPr>
      <w:keepNext/>
      <w:keepLines/>
      <w:spacing w:before="240" w:line="240" w:lineRule="atLeast"/>
      <w:outlineLvl w:val="5"/>
    </w:pPr>
    <w:rPr>
      <w:rFonts w:ascii="Arial" w:eastAsia="Times New Roman" w:hAnsi="Arial" w:cs="Times New Roman"/>
      <w:b/>
      <w:bCs/>
      <w:i/>
      <w:color w:val="00187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456362"/>
    <w:rPr>
      <w:rFonts w:ascii="Arial" w:eastAsia="Times New Roman" w:hAnsi="Arial" w:cs="Times New Roman"/>
      <w:b/>
      <w:bCs/>
      <w:i/>
      <w:color w:val="001871"/>
      <w:sz w:val="24"/>
      <w:szCs w:val="26"/>
    </w:rPr>
  </w:style>
  <w:style w:type="character" w:customStyle="1" w:styleId="Heading6Char">
    <w:name w:val="Heading 6 Char"/>
    <w:basedOn w:val="DefaultParagraphFont"/>
    <w:link w:val="Heading6"/>
    <w:uiPriority w:val="9"/>
    <w:rsid w:val="00456362"/>
    <w:rPr>
      <w:rFonts w:ascii="Arial" w:eastAsia="Times New Roman" w:hAnsi="Arial" w:cs="Times New Roman"/>
      <w:b/>
      <w:bCs/>
      <w:i/>
      <w:color w:val="001871"/>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D0197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5302">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959653176">
      <w:bodyDiv w:val="1"/>
      <w:marLeft w:val="0"/>
      <w:marRight w:val="0"/>
      <w:marTop w:val="0"/>
      <w:marBottom w:val="0"/>
      <w:divBdr>
        <w:top w:val="none" w:sz="0" w:space="0" w:color="auto"/>
        <w:left w:val="none" w:sz="0" w:space="0" w:color="auto"/>
        <w:bottom w:val="none" w:sz="0" w:space="0" w:color="auto"/>
        <w:right w:val="none" w:sz="0" w:space="0" w:color="auto"/>
      </w:divBdr>
    </w:div>
    <w:div w:id="1057316201">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369067408">
      <w:bodyDiv w:val="1"/>
      <w:marLeft w:val="0"/>
      <w:marRight w:val="0"/>
      <w:marTop w:val="0"/>
      <w:marBottom w:val="0"/>
      <w:divBdr>
        <w:top w:val="none" w:sz="0" w:space="0" w:color="auto"/>
        <w:left w:val="none" w:sz="0" w:space="0" w:color="auto"/>
        <w:bottom w:val="none" w:sz="0" w:space="0" w:color="auto"/>
        <w:right w:val="none" w:sz="0" w:space="0" w:color="auto"/>
      </w:divBdr>
      <w:divsChild>
        <w:div w:id="957486721">
          <w:marLeft w:val="0"/>
          <w:marRight w:val="0"/>
          <w:marTop w:val="0"/>
          <w:marBottom w:val="0"/>
          <w:divBdr>
            <w:top w:val="none" w:sz="0" w:space="0" w:color="auto"/>
            <w:left w:val="none" w:sz="0" w:space="0" w:color="auto"/>
            <w:bottom w:val="none" w:sz="0" w:space="0" w:color="auto"/>
            <w:right w:val="none" w:sz="0" w:space="0" w:color="auto"/>
          </w:divBdr>
        </w:div>
      </w:divsChild>
    </w:div>
    <w:div w:id="1412316624">
      <w:bodyDiv w:val="1"/>
      <w:marLeft w:val="0"/>
      <w:marRight w:val="0"/>
      <w:marTop w:val="0"/>
      <w:marBottom w:val="0"/>
      <w:divBdr>
        <w:top w:val="none" w:sz="0" w:space="0" w:color="auto"/>
        <w:left w:val="none" w:sz="0" w:space="0" w:color="auto"/>
        <w:bottom w:val="none" w:sz="0" w:space="0" w:color="auto"/>
        <w:right w:val="none" w:sz="0" w:space="0" w:color="auto"/>
      </w:divBdr>
    </w:div>
    <w:div w:id="1550799885">
      <w:bodyDiv w:val="1"/>
      <w:marLeft w:val="0"/>
      <w:marRight w:val="0"/>
      <w:marTop w:val="0"/>
      <w:marBottom w:val="0"/>
      <w:divBdr>
        <w:top w:val="none" w:sz="0" w:space="0" w:color="auto"/>
        <w:left w:val="none" w:sz="0" w:space="0" w:color="auto"/>
        <w:bottom w:val="none" w:sz="0" w:space="0" w:color="auto"/>
        <w:right w:val="none" w:sz="0" w:space="0" w:color="auto"/>
      </w:divBdr>
      <w:divsChild>
        <w:div w:id="206911896">
          <w:marLeft w:val="0"/>
          <w:marRight w:val="0"/>
          <w:marTop w:val="0"/>
          <w:marBottom w:val="0"/>
          <w:divBdr>
            <w:top w:val="none" w:sz="0" w:space="0" w:color="auto"/>
            <w:left w:val="none" w:sz="0" w:space="0" w:color="auto"/>
            <w:bottom w:val="none" w:sz="0" w:space="0" w:color="auto"/>
            <w:right w:val="none" w:sz="0" w:space="0" w:color="auto"/>
          </w:divBdr>
        </w:div>
      </w:divsChild>
    </w:div>
    <w:div w:id="1687516408">
      <w:bodyDiv w:val="1"/>
      <w:marLeft w:val="0"/>
      <w:marRight w:val="0"/>
      <w:marTop w:val="0"/>
      <w:marBottom w:val="0"/>
      <w:divBdr>
        <w:top w:val="none" w:sz="0" w:space="0" w:color="auto"/>
        <w:left w:val="none" w:sz="0" w:space="0" w:color="auto"/>
        <w:bottom w:val="none" w:sz="0" w:space="0" w:color="auto"/>
        <w:right w:val="none" w:sz="0" w:space="0" w:color="auto"/>
      </w:divBdr>
      <w:divsChild>
        <w:div w:id="1874612234">
          <w:marLeft w:val="0"/>
          <w:marRight w:val="0"/>
          <w:marTop w:val="0"/>
          <w:marBottom w:val="0"/>
          <w:divBdr>
            <w:top w:val="none" w:sz="0" w:space="0" w:color="auto"/>
            <w:left w:val="none" w:sz="0" w:space="0" w:color="auto"/>
            <w:bottom w:val="none" w:sz="0" w:space="0" w:color="auto"/>
            <w:right w:val="none" w:sz="0" w:space="0" w:color="auto"/>
          </w:divBdr>
        </w:div>
      </w:divsChild>
    </w:div>
    <w:div w:id="1791586621">
      <w:bodyDiv w:val="1"/>
      <w:marLeft w:val="0"/>
      <w:marRight w:val="0"/>
      <w:marTop w:val="0"/>
      <w:marBottom w:val="0"/>
      <w:divBdr>
        <w:top w:val="none" w:sz="0" w:space="0" w:color="auto"/>
        <w:left w:val="none" w:sz="0" w:space="0" w:color="auto"/>
        <w:bottom w:val="none" w:sz="0" w:space="0" w:color="auto"/>
        <w:right w:val="none" w:sz="0" w:space="0" w:color="auto"/>
      </w:divBdr>
    </w:div>
    <w:div w:id="1924534155">
      <w:bodyDiv w:val="1"/>
      <w:marLeft w:val="0"/>
      <w:marRight w:val="0"/>
      <w:marTop w:val="0"/>
      <w:marBottom w:val="0"/>
      <w:divBdr>
        <w:top w:val="none" w:sz="0" w:space="0" w:color="auto"/>
        <w:left w:val="none" w:sz="0" w:space="0" w:color="auto"/>
        <w:bottom w:val="none" w:sz="0" w:space="0" w:color="auto"/>
        <w:right w:val="none" w:sz="0" w:space="0" w:color="auto"/>
      </w:divBdr>
      <w:divsChild>
        <w:div w:id="549614671">
          <w:marLeft w:val="0"/>
          <w:marRight w:val="0"/>
          <w:marTop w:val="0"/>
          <w:marBottom w:val="0"/>
          <w:divBdr>
            <w:top w:val="none" w:sz="0" w:space="0" w:color="auto"/>
            <w:left w:val="none" w:sz="0" w:space="0" w:color="auto"/>
            <w:bottom w:val="none" w:sz="0" w:space="0" w:color="auto"/>
            <w:right w:val="none" w:sz="0" w:space="0" w:color="auto"/>
          </w:divBdr>
        </w:div>
      </w:divsChild>
    </w:div>
    <w:div w:id="19372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tga.gov.au/obstetric-drug-information-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products/medicines/find-information-about-medicine/prescribing-medicines-pregnancy-databas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bs.tga.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how-we-regulate/supply-therapeutic-good-0/supply-prescription-medicine/application-process/prescription-medicines-registration-process" TargetMode="External"/><Relationship Id="rId28" Type="http://schemas.openxmlformats.org/officeDocument/2006/relationships/hyperlink" Target="https://www.tga.gov.au" TargetMode="External"/><Relationship Id="rId10" Type="http://schemas.openxmlformats.org/officeDocument/2006/relationships/endnotes" Target="endnotes.xml"/><Relationship Id="rId19" Type="http://schemas.openxmlformats.org/officeDocument/2006/relationships/hyperlink" Target="https://www.ebs.tga.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resources/auspar/auspar-omalizumab-rch" TargetMode="External"/><Relationship Id="rId27" Type="http://schemas.openxmlformats.org/officeDocument/2006/relationships/hyperlink" Target="mailto:info@tga.gov.a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allergy.org.au/images/stories/pospapers/ASCIA_HP_Position_Paper_CSU_2020.pdf" TargetMode="External"/><Relationship Id="rId2" Type="http://schemas.openxmlformats.org/officeDocument/2006/relationships/hyperlink" Target="https://www.allergy.org.au/images/stories/pospapers/ASCIA_HP_Position_Paper_CRSwNP_2021.pdf" TargetMode="External"/><Relationship Id="rId1" Type="http://schemas.openxmlformats.org/officeDocument/2006/relationships/hyperlink" Target="https://www.asthmahandbook.org.au/" TargetMode="External"/><Relationship Id="rId4" Type="http://schemas.openxmlformats.org/officeDocument/2006/relationships/hyperlink" Target="https://www.healthdirect.gov.au/hiv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1aaea5-0fcd-4400-8b2f-fe3903c1dab1" xsi:nil="true"/>
    <lcf76f155ced4ddcb4097134ff3c332f xmlns="89b15a63-38c8-4eea-9abd-342bc0818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4E65842D469A429474DC408262B134" ma:contentTypeVersion="18" ma:contentTypeDescription="Create a new document." ma:contentTypeScope="" ma:versionID="9e72329402ad8566eb16b9302bbb1184">
  <xsd:schema xmlns:xsd="http://www.w3.org/2001/XMLSchema" xmlns:xs="http://www.w3.org/2001/XMLSchema" xmlns:p="http://schemas.microsoft.com/office/2006/metadata/properties" xmlns:ns2="89b15a63-38c8-4eea-9abd-342bc08182bf" xmlns:ns3="3e1aaea5-0fcd-4400-8b2f-fe3903c1dab1" targetNamespace="http://schemas.microsoft.com/office/2006/metadata/properties" ma:root="true" ma:fieldsID="7e59293ea9f6d294f0a0456a675e0246" ns2:_="" ns3:_="">
    <xsd:import namespace="89b15a63-38c8-4eea-9abd-342bc08182bf"/>
    <xsd:import namespace="3e1aaea5-0fcd-4400-8b2f-fe3903c1da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15a63-38c8-4eea-9abd-342bc0818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18f4d-29cc-4a72-a7a1-3a190602c7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aaea5-0fcd-4400-8b2f-fe3903c1d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9b6165-a65b-4eb2-83da-5065cba7965c}" ma:internalName="TaxCatchAll" ma:showField="CatchAllData" ma:web="3e1aaea5-0fcd-4400-8b2f-fe3903c1d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2.xml><?xml version="1.0" encoding="utf-8"?>
<ds:datastoreItem xmlns:ds="http://schemas.openxmlformats.org/officeDocument/2006/customXml" ds:itemID="{74A2694E-E49A-4B52-9AA6-1D0865AA21D8}">
  <ds:schemaRefs>
    <ds:schemaRef ds:uri="http://schemas.microsoft.com/office/2006/metadata/properties"/>
    <ds:schemaRef ds:uri="http://schemas.microsoft.com/office/infopath/2007/PartnerControls"/>
    <ds:schemaRef ds:uri="3e1aaea5-0fcd-4400-8b2f-fe3903c1dab1"/>
    <ds:schemaRef ds:uri="89b15a63-38c8-4eea-9abd-342bc08182bf"/>
  </ds:schemaRefs>
</ds:datastoreItem>
</file>

<file path=customXml/itemProps3.xml><?xml version="1.0" encoding="utf-8"?>
<ds:datastoreItem xmlns:ds="http://schemas.openxmlformats.org/officeDocument/2006/customXml" ds:itemID="{C84E9B44-944B-4A62-BE51-8973447D8D30}">
  <ds:schemaRefs>
    <ds:schemaRef ds:uri="http://schemas.microsoft.com/sharepoint/v3/contenttype/forms"/>
  </ds:schemaRefs>
</ds:datastoreItem>
</file>

<file path=customXml/itemProps4.xml><?xml version="1.0" encoding="utf-8"?>
<ds:datastoreItem xmlns:ds="http://schemas.openxmlformats.org/officeDocument/2006/customXml" ds:itemID="{D6438142-15D2-429F-92D9-02B7A25FA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15a63-38c8-4eea-9abd-342bc08182bf"/>
    <ds:schemaRef ds:uri="3e1aaea5-0fcd-4400-8b2f-fe3903c1d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Disability and Ageing</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OMLYCLO</dc:title>
  <dc:subject>Prescription medicines</dc:subject>
  <dc:creator>Therapeutic Goods Administration</dc:creator>
  <cp:keywords/>
  <dc:description/>
  <cp:lastModifiedBy>LACK, Janet</cp:lastModifiedBy>
  <cp:revision>3</cp:revision>
  <dcterms:created xsi:type="dcterms:W3CDTF">2025-08-14T00:05:00Z</dcterms:created>
  <dcterms:modified xsi:type="dcterms:W3CDTF">2025-08-14T00:07:00Z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0x010100CD4E65842D469A429474DC408262B134</vt:lpwstr>
  </property>
</Properties>
</file>