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E1ECA" w14:textId="0A57444E" w:rsidR="00375767" w:rsidRPr="00375767" w:rsidRDefault="003B05E6" w:rsidP="00375767">
      <w:pPr>
        <w:tabs>
          <w:tab w:val="left" w:pos="284"/>
        </w:tabs>
        <w:spacing w:after="480" w:line="240" w:lineRule="auto"/>
        <w:rPr>
          <w:rFonts w:ascii="Cambria" w:hAnsi="Cambria" w:cs="Times New Roman"/>
          <w:lang w:val="en-AU" w:eastAsia="en-US"/>
        </w:rPr>
      </w:pPr>
      <w:r>
        <w:pict w14:anchorId="02770DBD">
          <v:shapetype id="_x0000_t202" coordsize="21600,21600" o:spt="202" path="m,l,21600r21600,l21600,xe">
            <v:stroke joinstyle="miter"/>
            <v:path gradientshapeok="t" o:connecttype="rect"/>
          </v:shapetype>
          <v:shape id="Text Box 1" o:spid="_x0000_s1028" type="#_x0000_t202" style="width:19.85pt;height:19.85pt;visibility:visible;mso-left-percent:-10001;mso-top-percent:-10001;mso-position-horizontal:absolute;mso-position-horizontal-relative:char;mso-position-vertical:absolute;mso-position-vertical-relative:line;mso-left-percent:-10001;mso-top-percent:-10001" stroked="f">
            <v:textbox inset="0,0,0,0">
              <w:txbxContent>
                <w:p w14:paraId="7186E073" w14:textId="77777777" w:rsidR="00375767" w:rsidRDefault="00375767" w:rsidP="00375767">
                  <w:pPr>
                    <w:spacing w:after="0"/>
                    <w:rPr>
                      <w:rFonts w:ascii="Wingdings 3" w:hAnsi="Wingdings 3"/>
                      <w:sz w:val="24"/>
                    </w:rPr>
                  </w:pPr>
                  <w:r>
                    <w:rPr>
                      <w:rFonts w:ascii="SimSun" w:eastAsia="SimSun" w:hAnsi="SimSun" w:cs="Arial" w:hint="eastAsia"/>
                      <w:sz w:val="40"/>
                    </w:rPr>
                    <w:t>▼</w:t>
                  </w:r>
                </w:p>
              </w:txbxContent>
            </v:textbox>
            <w10:anchorlock/>
          </v:shape>
        </w:pict>
      </w:r>
      <w:r w:rsidR="00375767" w:rsidRPr="00375767">
        <w:rPr>
          <w:rFonts w:ascii="Cambria" w:hAnsi="Cambria" w:cs="Times New Roman"/>
          <w:lang w:val="en-AU" w:eastAsia="en-US"/>
        </w:rPr>
        <w:t xml:space="preserve">This medicinal product is subject to additional monitoring in Australia. This will allow quick identification of new safety information. Healthcare professionals are asked to report any suspected adverse events at </w:t>
      </w:r>
      <w:hyperlink r:id="rId9" w:history="1">
        <w:r w:rsidR="00375767" w:rsidRPr="00375767">
          <w:rPr>
            <w:rFonts w:ascii="Cambria" w:hAnsi="Cambria" w:cs="Times New Roman"/>
            <w:color w:val="0000FF"/>
            <w:u w:val="single"/>
            <w:lang w:val="en-AU" w:eastAsia="en-US"/>
          </w:rPr>
          <w:t>www.tga.gov.au/reporting-problems</w:t>
        </w:r>
      </w:hyperlink>
      <w:r w:rsidR="00375767" w:rsidRPr="00375767">
        <w:rPr>
          <w:rFonts w:ascii="Cambria" w:hAnsi="Cambria" w:cs="Times New Roman"/>
          <w:lang w:val="en-AU" w:eastAsia="en-US"/>
        </w:rPr>
        <w:t>.</w:t>
      </w:r>
    </w:p>
    <w:p w14:paraId="65EFE7FF" w14:textId="77777777" w:rsidR="005972A9" w:rsidRDefault="004A79CA" w:rsidP="00375767">
      <w:pPr>
        <w:pStyle w:val="Heading1"/>
        <w:numPr>
          <w:ilvl w:val="0"/>
          <w:numId w:val="0"/>
        </w:numPr>
        <w:spacing w:after="240"/>
        <w:ind w:left="360"/>
      </w:pPr>
      <w:r>
        <w:t xml:space="preserve">Australian Product Information – </w:t>
      </w:r>
      <w:r w:rsidR="00DE29EE">
        <w:t>ITOVEBI</w:t>
      </w:r>
      <w:r w:rsidR="00375767">
        <w:rPr>
          <w:vertAlign w:val="superscript"/>
        </w:rPr>
        <w:t>®</w:t>
      </w:r>
      <w:r w:rsidR="00212064">
        <w:t xml:space="preserve"> </w:t>
      </w:r>
      <w:r>
        <w:t>(INAVOLISIB) FILM-COATED TABLET</w:t>
      </w:r>
    </w:p>
    <w:p w14:paraId="3FA41FD1" w14:textId="77777777" w:rsidR="005972A9" w:rsidRDefault="004A79CA">
      <w:pPr>
        <w:pStyle w:val="Heading1"/>
        <w:numPr>
          <w:ilvl w:val="0"/>
          <w:numId w:val="4"/>
        </w:numPr>
        <w:spacing w:before="0" w:after="120"/>
        <w:ind w:left="431" w:hanging="431"/>
      </w:pPr>
      <w:r>
        <w:t>Name of the medicine</w:t>
      </w:r>
    </w:p>
    <w:p w14:paraId="16656A46" w14:textId="77777777" w:rsidR="005972A9" w:rsidRDefault="004A79CA">
      <w:pPr>
        <w:rPr>
          <w:rFonts w:ascii="Cambria" w:eastAsia="Cambria" w:hAnsi="Cambria" w:cs="Cambria"/>
        </w:rPr>
      </w:pPr>
      <w:r>
        <w:rPr>
          <w:rFonts w:ascii="Cambria" w:eastAsia="Cambria" w:hAnsi="Cambria" w:cs="Cambria"/>
        </w:rPr>
        <w:t>Inavolisib</w:t>
      </w:r>
      <w:r w:rsidR="00375767">
        <w:rPr>
          <w:rFonts w:ascii="Cambria" w:eastAsia="Cambria" w:hAnsi="Cambria" w:cs="Cambria"/>
        </w:rPr>
        <w:t xml:space="preserve"> </w:t>
      </w:r>
    </w:p>
    <w:p w14:paraId="4BAAAEA2" w14:textId="77777777" w:rsidR="005972A9" w:rsidRDefault="004A79CA">
      <w:pPr>
        <w:pStyle w:val="Heading1"/>
        <w:numPr>
          <w:ilvl w:val="0"/>
          <w:numId w:val="4"/>
        </w:numPr>
        <w:spacing w:before="0" w:after="120"/>
      </w:pPr>
      <w:r>
        <w:t>Qualitative and quantitative composition</w:t>
      </w:r>
    </w:p>
    <w:p w14:paraId="6DFA6752" w14:textId="77777777" w:rsidR="005972A9" w:rsidRDefault="004A79CA">
      <w:pPr>
        <w:rPr>
          <w:rFonts w:ascii="Cambria" w:eastAsia="Cambria" w:hAnsi="Cambria" w:cs="Cambria"/>
        </w:rPr>
      </w:pPr>
      <w:r>
        <w:rPr>
          <w:rFonts w:ascii="Cambria" w:eastAsia="Cambria" w:hAnsi="Cambria" w:cs="Cambria"/>
        </w:rPr>
        <w:t xml:space="preserve">Each 3 mg film-coated tablet contains 3 mg inavolisib. </w:t>
      </w:r>
    </w:p>
    <w:p w14:paraId="3A5AB943" w14:textId="77777777" w:rsidR="005972A9" w:rsidRDefault="004A79CA">
      <w:pPr>
        <w:rPr>
          <w:rFonts w:ascii="Cambria" w:eastAsia="Cambria" w:hAnsi="Cambria" w:cs="Cambria"/>
        </w:rPr>
      </w:pPr>
      <w:r>
        <w:rPr>
          <w:rFonts w:ascii="Cambria" w:eastAsia="Cambria" w:hAnsi="Cambria" w:cs="Cambria"/>
        </w:rPr>
        <w:t>Each 9 mg film-coated tablet contains 9 mg inavolisib.</w:t>
      </w:r>
    </w:p>
    <w:p w14:paraId="45821E93" w14:textId="77777777" w:rsidR="00F5400A" w:rsidRDefault="00F5400A">
      <w:pPr>
        <w:rPr>
          <w:rFonts w:ascii="Cambria" w:eastAsia="Cambria" w:hAnsi="Cambria" w:cs="Cambria"/>
        </w:rPr>
      </w:pPr>
      <w:r w:rsidRPr="00A7472C">
        <w:rPr>
          <w:rFonts w:ascii="Cambria" w:eastAsia="Cambria" w:hAnsi="Cambria" w:cs="Cambria"/>
        </w:rPr>
        <w:t>Excipients with known effect: Lactose</w:t>
      </w:r>
      <w:r>
        <w:rPr>
          <w:rFonts w:ascii="Cambria" w:eastAsia="Cambria" w:hAnsi="Cambria" w:cs="Cambria"/>
        </w:rPr>
        <w:t>.</w:t>
      </w:r>
    </w:p>
    <w:p w14:paraId="2BDBC213" w14:textId="77777777" w:rsidR="005972A9" w:rsidRDefault="004A79CA">
      <w:pPr>
        <w:rPr>
          <w:rFonts w:ascii="Cambria" w:eastAsia="Cambria" w:hAnsi="Cambria" w:cs="Cambria"/>
        </w:rPr>
      </w:pPr>
      <w:r>
        <w:rPr>
          <w:rFonts w:ascii="Cambria" w:eastAsia="Cambria" w:hAnsi="Cambria" w:cs="Cambria"/>
        </w:rPr>
        <w:t>For the full list of excipients, see section 6.1 List of excipients.</w:t>
      </w:r>
    </w:p>
    <w:p w14:paraId="28B1101F" w14:textId="77777777" w:rsidR="005972A9" w:rsidRDefault="004A79CA">
      <w:pPr>
        <w:pStyle w:val="Heading1"/>
        <w:numPr>
          <w:ilvl w:val="0"/>
          <w:numId w:val="4"/>
        </w:numPr>
        <w:spacing w:before="0" w:after="120"/>
      </w:pPr>
      <w:r>
        <w:t>Pharmaceutical form</w:t>
      </w:r>
    </w:p>
    <w:p w14:paraId="2BC43819" w14:textId="77777777" w:rsidR="005972A9" w:rsidRDefault="004A79CA">
      <w:r>
        <w:t>Film-coated tablets.</w:t>
      </w:r>
    </w:p>
    <w:p w14:paraId="21A8F1D3" w14:textId="77777777" w:rsidR="005972A9" w:rsidRDefault="00576A8B">
      <w:pPr>
        <w:rPr>
          <w:rFonts w:ascii="Cambria" w:eastAsia="Cambria" w:hAnsi="Cambria" w:cs="Cambria"/>
        </w:rPr>
      </w:pPr>
      <w:r>
        <w:rPr>
          <w:rFonts w:ascii="Cambria" w:eastAsia="Cambria" w:hAnsi="Cambria" w:cs="Cambria"/>
        </w:rPr>
        <w:t>Inavolisib</w:t>
      </w:r>
      <w:r w:rsidR="004A79CA">
        <w:rPr>
          <w:rFonts w:ascii="Cambria" w:eastAsia="Cambria" w:hAnsi="Cambria" w:cs="Cambria"/>
        </w:rPr>
        <w:t xml:space="preserve"> 3 mg film-coated tablet is red and round convex-shaped with an “INA 3” </w:t>
      </w:r>
      <w:r w:rsidR="00C9174E">
        <w:rPr>
          <w:rFonts w:ascii="Cambria" w:eastAsia="Cambria" w:hAnsi="Cambria" w:cs="Cambria"/>
        </w:rPr>
        <w:t xml:space="preserve">debossing </w:t>
      </w:r>
      <w:r w:rsidR="004A79CA">
        <w:rPr>
          <w:rFonts w:ascii="Cambria" w:eastAsia="Cambria" w:hAnsi="Cambria" w:cs="Cambria"/>
        </w:rPr>
        <w:t>on one side.</w:t>
      </w:r>
      <w:r w:rsidR="004A79CA">
        <w:rPr>
          <w:rFonts w:ascii="Cambria" w:eastAsia="Cambria" w:hAnsi="Cambria" w:cs="Cambria"/>
          <w:color w:val="2D11FB"/>
        </w:rPr>
        <w:t xml:space="preserve">  </w:t>
      </w:r>
      <w:r w:rsidR="00590E74">
        <w:rPr>
          <w:rFonts w:ascii="Cambria" w:eastAsia="Cambria" w:hAnsi="Cambria" w:cs="Cambria"/>
          <w:color w:val="2D11FB"/>
        </w:rPr>
        <w:t xml:space="preserve"> </w:t>
      </w:r>
    </w:p>
    <w:p w14:paraId="6951DDDA" w14:textId="77777777" w:rsidR="005972A9" w:rsidRDefault="00576A8B">
      <w:r>
        <w:rPr>
          <w:rFonts w:ascii="Cambria" w:eastAsia="Cambria" w:hAnsi="Cambria" w:cs="Cambria"/>
        </w:rPr>
        <w:t>Inavolisib</w:t>
      </w:r>
      <w:r w:rsidR="004A79CA">
        <w:rPr>
          <w:rFonts w:ascii="Cambria" w:eastAsia="Cambria" w:hAnsi="Cambria" w:cs="Cambria"/>
        </w:rPr>
        <w:t xml:space="preserve"> 9 mg film-coated tablet is pink and oval-shaped with an “INA 9” </w:t>
      </w:r>
      <w:r w:rsidR="00C9174E">
        <w:rPr>
          <w:rFonts w:ascii="Cambria" w:eastAsia="Cambria" w:hAnsi="Cambria" w:cs="Cambria"/>
        </w:rPr>
        <w:t xml:space="preserve">debossing </w:t>
      </w:r>
      <w:r w:rsidR="004A79CA">
        <w:rPr>
          <w:rFonts w:ascii="Cambria" w:eastAsia="Cambria" w:hAnsi="Cambria" w:cs="Cambria"/>
        </w:rPr>
        <w:t xml:space="preserve">on one side.  </w:t>
      </w:r>
      <w:r w:rsidR="00590E74">
        <w:rPr>
          <w:rFonts w:ascii="Cambria" w:eastAsia="Cambria" w:hAnsi="Cambria" w:cs="Cambria"/>
          <w:color w:val="2D11FB"/>
        </w:rPr>
        <w:t xml:space="preserve"> </w:t>
      </w:r>
    </w:p>
    <w:p w14:paraId="04B8E8DD" w14:textId="77777777" w:rsidR="005972A9" w:rsidRDefault="004A79CA">
      <w:pPr>
        <w:pStyle w:val="Heading1"/>
        <w:numPr>
          <w:ilvl w:val="0"/>
          <w:numId w:val="4"/>
        </w:numPr>
        <w:spacing w:before="0" w:after="120"/>
      </w:pPr>
      <w:r>
        <w:t>Clinical particulars</w:t>
      </w:r>
    </w:p>
    <w:p w14:paraId="44CA12A5" w14:textId="77777777" w:rsidR="005972A9" w:rsidRDefault="004A79CA">
      <w:pPr>
        <w:pStyle w:val="Heading2"/>
        <w:numPr>
          <w:ilvl w:val="1"/>
          <w:numId w:val="4"/>
        </w:numPr>
        <w:spacing w:before="0" w:after="120"/>
      </w:pPr>
      <w:r>
        <w:t xml:space="preserve">Therapeutic indications </w:t>
      </w:r>
    </w:p>
    <w:p w14:paraId="173A0BCD" w14:textId="58F09820" w:rsidR="005972A9" w:rsidRDefault="00DE29EE">
      <w:pPr>
        <w:rPr>
          <w:rFonts w:ascii="Cambria" w:eastAsia="Cambria" w:hAnsi="Cambria" w:cs="Cambria"/>
        </w:rPr>
      </w:pPr>
      <w:r>
        <w:rPr>
          <w:rFonts w:ascii="Cambria" w:eastAsia="Cambria" w:hAnsi="Cambria" w:cs="Cambria"/>
        </w:rPr>
        <w:t>Itovebi</w:t>
      </w:r>
      <w:r w:rsidR="004A79CA">
        <w:rPr>
          <w:rFonts w:ascii="Cambria" w:eastAsia="Cambria" w:hAnsi="Cambria" w:cs="Cambria"/>
        </w:rPr>
        <w:t xml:space="preserve">, in combination with palbociclib and </w:t>
      </w:r>
      <w:r w:rsidR="008E7BC4">
        <w:rPr>
          <w:rFonts w:ascii="Cambria" w:eastAsia="Cambria" w:hAnsi="Cambria" w:cs="Cambria"/>
        </w:rPr>
        <w:t>fulvestrant</w:t>
      </w:r>
      <w:r w:rsidR="004A79CA">
        <w:rPr>
          <w:rFonts w:ascii="Cambria" w:eastAsia="Cambria" w:hAnsi="Cambria" w:cs="Cambria"/>
        </w:rPr>
        <w:t xml:space="preserve">, is indicated for the treatment of adult patients with </w:t>
      </w:r>
      <w:r w:rsidR="004A79CA">
        <w:rPr>
          <w:rFonts w:ascii="Cambria" w:eastAsia="Cambria" w:hAnsi="Cambria" w:cs="Cambria"/>
          <w:i/>
        </w:rPr>
        <w:t>PIK3CA</w:t>
      </w:r>
      <w:r w:rsidR="004A79CA">
        <w:rPr>
          <w:rFonts w:ascii="Cambria" w:eastAsia="Cambria" w:hAnsi="Cambria" w:cs="Cambria"/>
        </w:rPr>
        <w:t xml:space="preserve">-mutated, hormone receptor (HR)-positive, human epidermal growth factor receptor 2 (HER2)-negative, locally advanced or metastatic breast cancer, following recurrence on or </w:t>
      </w:r>
      <w:r w:rsidR="008E7BC4" w:rsidRPr="008E7BC4">
        <w:rPr>
          <w:rFonts w:ascii="Cambria" w:eastAsia="Cambria" w:hAnsi="Cambria" w:cs="Cambria"/>
          <w:lang w:val="en-AU"/>
        </w:rPr>
        <w:t>within 12 months of completing</w:t>
      </w:r>
      <w:r w:rsidR="008E7BC4" w:rsidRPr="008E7BC4" w:rsidDel="008E7BC4">
        <w:rPr>
          <w:rFonts w:ascii="Cambria" w:eastAsia="Cambria" w:hAnsi="Cambria" w:cs="Cambria"/>
        </w:rPr>
        <w:t xml:space="preserve"> </w:t>
      </w:r>
      <w:r w:rsidR="004A79CA">
        <w:rPr>
          <w:rFonts w:ascii="Cambria" w:eastAsia="Cambria" w:hAnsi="Cambria" w:cs="Cambria"/>
        </w:rPr>
        <w:t xml:space="preserve">adjuvant </w:t>
      </w:r>
      <w:r w:rsidR="008E7BC4">
        <w:rPr>
          <w:rFonts w:ascii="Cambria" w:eastAsia="Cambria" w:hAnsi="Cambria" w:cs="Cambria"/>
        </w:rPr>
        <w:t xml:space="preserve">endocrine </w:t>
      </w:r>
      <w:r w:rsidR="004A79CA">
        <w:rPr>
          <w:rFonts w:ascii="Cambria" w:eastAsia="Cambria" w:hAnsi="Cambria" w:cs="Cambria"/>
        </w:rPr>
        <w:t>therapy.</w:t>
      </w:r>
    </w:p>
    <w:p w14:paraId="28E3725E" w14:textId="77777777" w:rsidR="005972A9" w:rsidRDefault="004A79CA">
      <w:pPr>
        <w:pStyle w:val="Heading2"/>
        <w:numPr>
          <w:ilvl w:val="1"/>
          <w:numId w:val="4"/>
        </w:numPr>
        <w:spacing w:before="0" w:after="120"/>
      </w:pPr>
      <w:r>
        <w:t xml:space="preserve">Dose and method of administration </w:t>
      </w:r>
    </w:p>
    <w:p w14:paraId="38A75126" w14:textId="77777777" w:rsidR="005972A9" w:rsidRDefault="004A79CA">
      <w:pPr>
        <w:pStyle w:val="Heading3"/>
        <w:ind w:firstLine="227"/>
      </w:pPr>
      <w:r>
        <w:t>General</w:t>
      </w:r>
    </w:p>
    <w:p w14:paraId="1E034034" w14:textId="7DC2D9F0" w:rsidR="00FD09EF" w:rsidRDefault="004A79CA">
      <w:pPr>
        <w:rPr>
          <w:rFonts w:ascii="Cambria" w:eastAsia="Cambria" w:hAnsi="Cambria" w:cs="Cambria"/>
        </w:rPr>
      </w:pPr>
      <w:r>
        <w:rPr>
          <w:rFonts w:ascii="Cambria" w:eastAsia="Cambria" w:hAnsi="Cambria" w:cs="Cambria"/>
        </w:rPr>
        <w:t xml:space="preserve">Patients with HR-positive, HER2-negative, locally advanced or metastatic breast cancer should be selected for treatment with </w:t>
      </w:r>
      <w:r w:rsidR="00DE29EE">
        <w:rPr>
          <w:rFonts w:ascii="Cambria" w:eastAsia="Cambria" w:hAnsi="Cambria" w:cs="Cambria"/>
        </w:rPr>
        <w:t>Itovebi</w:t>
      </w:r>
      <w:r>
        <w:rPr>
          <w:rFonts w:ascii="Cambria" w:eastAsia="Cambria" w:hAnsi="Cambria" w:cs="Cambria"/>
        </w:rPr>
        <w:t xml:space="preserve"> based on the presence of one or more </w:t>
      </w:r>
      <w:r>
        <w:rPr>
          <w:rFonts w:ascii="Cambria" w:eastAsia="Cambria" w:hAnsi="Cambria" w:cs="Cambria"/>
          <w:i/>
        </w:rPr>
        <w:t xml:space="preserve">PIK3CA </w:t>
      </w:r>
      <w:r>
        <w:rPr>
          <w:rFonts w:ascii="Cambria" w:eastAsia="Cambria" w:hAnsi="Cambria" w:cs="Cambria"/>
        </w:rPr>
        <w:t xml:space="preserve">mutations using a validated assay. </w:t>
      </w:r>
      <w:r>
        <w:rPr>
          <w:rFonts w:ascii="Cambria" w:eastAsia="Cambria" w:hAnsi="Cambria" w:cs="Cambria"/>
          <w:i/>
        </w:rPr>
        <w:t>PIK3CA</w:t>
      </w:r>
      <w:r>
        <w:rPr>
          <w:rFonts w:ascii="Cambria" w:eastAsia="Cambria" w:hAnsi="Cambria" w:cs="Cambria"/>
        </w:rPr>
        <w:t xml:space="preserve"> mutation status should be established prior to initiation of </w:t>
      </w:r>
      <w:proofErr w:type="spellStart"/>
      <w:r w:rsidR="00DE29EE">
        <w:rPr>
          <w:rFonts w:ascii="Cambria" w:eastAsia="Cambria" w:hAnsi="Cambria" w:cs="Cambria"/>
        </w:rPr>
        <w:t>Itovebi</w:t>
      </w:r>
      <w:proofErr w:type="spellEnd"/>
      <w:r>
        <w:rPr>
          <w:rFonts w:ascii="Cambria" w:eastAsia="Cambria" w:hAnsi="Cambria" w:cs="Cambria"/>
        </w:rPr>
        <w:t xml:space="preserve"> therapy.</w:t>
      </w:r>
    </w:p>
    <w:p w14:paraId="1EF82E6C" w14:textId="77777777" w:rsidR="005972A9" w:rsidRDefault="004A79CA">
      <w:pPr>
        <w:pStyle w:val="Heading3"/>
        <w:ind w:firstLine="227"/>
      </w:pPr>
      <w:r>
        <w:lastRenderedPageBreak/>
        <w:t>Dose</w:t>
      </w:r>
    </w:p>
    <w:p w14:paraId="3219AD9E" w14:textId="0EB294B3" w:rsidR="005972A9" w:rsidRDefault="004A79CA">
      <w:pPr>
        <w:rPr>
          <w:rFonts w:ascii="Cambria" w:eastAsia="Cambria" w:hAnsi="Cambria" w:cs="Cambria"/>
        </w:rPr>
      </w:pPr>
      <w:r>
        <w:rPr>
          <w:rFonts w:ascii="Cambria" w:eastAsia="Cambria" w:hAnsi="Cambria" w:cs="Cambria"/>
        </w:rPr>
        <w:t xml:space="preserve">The recommended dose of </w:t>
      </w:r>
      <w:r w:rsidR="00DE29EE">
        <w:rPr>
          <w:rFonts w:ascii="Cambria" w:eastAsia="Cambria" w:hAnsi="Cambria" w:cs="Cambria"/>
        </w:rPr>
        <w:t>Itovebi</w:t>
      </w:r>
      <w:r>
        <w:rPr>
          <w:rFonts w:ascii="Cambria" w:eastAsia="Cambria" w:hAnsi="Cambria" w:cs="Cambria"/>
        </w:rPr>
        <w:t xml:space="preserve"> is 9 mg taken orally once daily with or without food.</w:t>
      </w:r>
    </w:p>
    <w:p w14:paraId="1E264BB6" w14:textId="63A2DE33" w:rsidR="005972A9" w:rsidRDefault="00DE29EE">
      <w:pPr>
        <w:rPr>
          <w:rFonts w:ascii="Cambria" w:eastAsia="Cambria" w:hAnsi="Cambria" w:cs="Cambria"/>
        </w:rPr>
      </w:pPr>
      <w:r>
        <w:rPr>
          <w:rFonts w:ascii="Cambria" w:eastAsia="Cambria" w:hAnsi="Cambria" w:cs="Cambria"/>
        </w:rPr>
        <w:t>Itovebi</w:t>
      </w:r>
      <w:r w:rsidR="004A79CA">
        <w:rPr>
          <w:rFonts w:ascii="Cambria" w:eastAsia="Cambria" w:hAnsi="Cambria" w:cs="Cambria"/>
        </w:rPr>
        <w:t xml:space="preserve"> should be administered in combination with palbociclib and </w:t>
      </w:r>
      <w:r w:rsidR="00B4613A">
        <w:rPr>
          <w:rFonts w:ascii="Cambria" w:eastAsia="Cambria" w:hAnsi="Cambria" w:cs="Cambria"/>
        </w:rPr>
        <w:t>fulvestrant</w:t>
      </w:r>
      <w:r w:rsidR="004A79CA">
        <w:rPr>
          <w:rFonts w:ascii="Cambria" w:eastAsia="Cambria" w:hAnsi="Cambria" w:cs="Cambria"/>
        </w:rPr>
        <w:t>. The recommended dose of palbociclib is 125 mg taken orally once daily for 21 consecutive days followed by 7 days off treatment to comprise a complete cycle of 28 days.</w:t>
      </w:r>
      <w:r w:rsidR="00814627">
        <w:rPr>
          <w:rFonts w:ascii="Cambria" w:eastAsia="Cambria" w:hAnsi="Cambria" w:cs="Cambria"/>
        </w:rPr>
        <w:t xml:space="preserve"> </w:t>
      </w:r>
      <w:r w:rsidR="004A79CA">
        <w:rPr>
          <w:rFonts w:ascii="Cambria" w:eastAsia="Cambria" w:hAnsi="Cambria" w:cs="Cambria"/>
        </w:rPr>
        <w:t xml:space="preserve">Refer to the </w:t>
      </w:r>
      <w:r w:rsidR="00B4613A">
        <w:rPr>
          <w:rFonts w:ascii="Cambria" w:eastAsia="Cambria" w:hAnsi="Cambria" w:cs="Cambria"/>
        </w:rPr>
        <w:t xml:space="preserve">product </w:t>
      </w:r>
      <w:r w:rsidR="004A79CA">
        <w:rPr>
          <w:rFonts w:ascii="Cambria" w:eastAsia="Cambria" w:hAnsi="Cambria" w:cs="Cambria"/>
        </w:rPr>
        <w:t xml:space="preserve">information for palbociclib and </w:t>
      </w:r>
      <w:proofErr w:type="spellStart"/>
      <w:r w:rsidR="00B4613A">
        <w:rPr>
          <w:rFonts w:ascii="Cambria" w:eastAsia="Cambria" w:hAnsi="Cambria" w:cs="Cambria"/>
        </w:rPr>
        <w:t>fulvestrant</w:t>
      </w:r>
      <w:proofErr w:type="spellEnd"/>
      <w:r w:rsidR="004A79CA">
        <w:rPr>
          <w:rFonts w:ascii="Cambria" w:eastAsia="Cambria" w:hAnsi="Cambria" w:cs="Cambria"/>
        </w:rPr>
        <w:t xml:space="preserve"> for </w:t>
      </w:r>
      <w:proofErr w:type="gramStart"/>
      <w:r w:rsidR="004A79CA">
        <w:rPr>
          <w:rFonts w:ascii="Cambria" w:eastAsia="Cambria" w:hAnsi="Cambria" w:cs="Cambria"/>
        </w:rPr>
        <w:t>dosing</w:t>
      </w:r>
      <w:proofErr w:type="gramEnd"/>
      <w:r w:rsidR="004A79CA">
        <w:rPr>
          <w:rFonts w:ascii="Cambria" w:eastAsia="Cambria" w:hAnsi="Cambria" w:cs="Cambria"/>
        </w:rPr>
        <w:t xml:space="preserve"> information.</w:t>
      </w:r>
    </w:p>
    <w:p w14:paraId="3E333945" w14:textId="364A7769" w:rsidR="005972A9" w:rsidRDefault="004A79CA">
      <w:pPr>
        <w:rPr>
          <w:rFonts w:ascii="Cambria" w:eastAsia="Cambria" w:hAnsi="Cambria" w:cs="Cambria"/>
        </w:rPr>
      </w:pPr>
      <w:r>
        <w:rPr>
          <w:rFonts w:ascii="Cambria" w:eastAsia="Cambria" w:hAnsi="Cambria" w:cs="Cambria"/>
        </w:rPr>
        <w:t xml:space="preserve">Treatment of pre/perimenopausal women with </w:t>
      </w:r>
      <w:r w:rsidR="00DE29EE">
        <w:rPr>
          <w:rFonts w:ascii="Cambria" w:eastAsia="Cambria" w:hAnsi="Cambria" w:cs="Cambria"/>
        </w:rPr>
        <w:t>Itovebi</w:t>
      </w:r>
      <w:r>
        <w:rPr>
          <w:rFonts w:ascii="Cambria" w:eastAsia="Cambria" w:hAnsi="Cambria" w:cs="Cambria"/>
        </w:rPr>
        <w:t xml:space="preserve"> should also include a luteinizing hormone-releasing hormone (LHRH) agonist in accordance with local clinical practice.</w:t>
      </w:r>
    </w:p>
    <w:p w14:paraId="4E28CFBA" w14:textId="7E746A24" w:rsidR="005972A9" w:rsidRDefault="004A79CA">
      <w:pPr>
        <w:rPr>
          <w:rFonts w:ascii="Cambria" w:eastAsia="Cambria" w:hAnsi="Cambria" w:cs="Cambria"/>
        </w:rPr>
      </w:pPr>
      <w:r>
        <w:rPr>
          <w:rFonts w:ascii="Cambria" w:eastAsia="Cambria" w:hAnsi="Cambria" w:cs="Cambria"/>
        </w:rPr>
        <w:t>For male patients, consider treatment with an LHRH agonist according to local clinical practice.</w:t>
      </w:r>
    </w:p>
    <w:p w14:paraId="0EB5ED3D" w14:textId="77777777" w:rsidR="005972A9" w:rsidRDefault="004A79CA">
      <w:pPr>
        <w:pStyle w:val="Heading3"/>
        <w:ind w:firstLine="227"/>
      </w:pPr>
      <w:r>
        <w:t>Duration of Treatment</w:t>
      </w:r>
    </w:p>
    <w:p w14:paraId="745AE864" w14:textId="77777777" w:rsidR="005972A9" w:rsidRDefault="004A79CA">
      <w:pPr>
        <w:rPr>
          <w:rFonts w:ascii="Cambria" w:eastAsia="Cambria" w:hAnsi="Cambria" w:cs="Cambria"/>
        </w:rPr>
      </w:pPr>
      <w:r>
        <w:rPr>
          <w:rFonts w:ascii="Cambria" w:eastAsia="Cambria" w:hAnsi="Cambria" w:cs="Cambria"/>
        </w:rPr>
        <w:t xml:space="preserve">It is recommended that patients are treated with </w:t>
      </w:r>
      <w:r w:rsidR="00DE29EE">
        <w:rPr>
          <w:rFonts w:ascii="Cambria" w:eastAsia="Cambria" w:hAnsi="Cambria" w:cs="Cambria"/>
        </w:rPr>
        <w:t>Itovebi</w:t>
      </w:r>
      <w:r>
        <w:rPr>
          <w:rFonts w:ascii="Cambria" w:eastAsia="Cambria" w:hAnsi="Cambria" w:cs="Cambria"/>
        </w:rPr>
        <w:t xml:space="preserve"> until disease progression or unacceptable toxicity.</w:t>
      </w:r>
    </w:p>
    <w:p w14:paraId="5E923D1C" w14:textId="77777777" w:rsidR="005972A9" w:rsidRDefault="004A79CA">
      <w:pPr>
        <w:pStyle w:val="Heading3"/>
        <w:ind w:firstLine="227"/>
      </w:pPr>
      <w:r>
        <w:t>Delayed or Missed Doses</w:t>
      </w:r>
    </w:p>
    <w:p w14:paraId="2B3F53E2" w14:textId="6FC41056" w:rsidR="005972A9" w:rsidRDefault="004A79CA">
      <w:pPr>
        <w:rPr>
          <w:rFonts w:ascii="Cambria" w:eastAsia="Cambria" w:hAnsi="Cambria" w:cs="Cambria"/>
        </w:rPr>
      </w:pPr>
      <w:r>
        <w:rPr>
          <w:rFonts w:ascii="Cambria" w:eastAsia="Cambria" w:hAnsi="Cambria" w:cs="Cambria"/>
        </w:rPr>
        <w:t xml:space="preserve">Patients should be encouraged to take their dose at approximately the same time each day. If a dose of </w:t>
      </w:r>
      <w:r w:rsidR="00DE29EE">
        <w:rPr>
          <w:rFonts w:ascii="Cambria" w:eastAsia="Cambria" w:hAnsi="Cambria" w:cs="Cambria"/>
        </w:rPr>
        <w:t>Itovebi</w:t>
      </w:r>
      <w:r>
        <w:rPr>
          <w:rFonts w:ascii="Cambria" w:eastAsia="Cambria" w:hAnsi="Cambria" w:cs="Cambria"/>
        </w:rPr>
        <w:t xml:space="preserve"> is missed, it can be taken within 9 hours after the time it is usually taken. After more than 9 hours, the dose should be skipped for that day. On the next day, </w:t>
      </w:r>
      <w:r w:rsidR="00DE29EE">
        <w:rPr>
          <w:rFonts w:ascii="Cambria" w:eastAsia="Cambria" w:hAnsi="Cambria" w:cs="Cambria"/>
        </w:rPr>
        <w:t>Itovebi</w:t>
      </w:r>
      <w:r>
        <w:rPr>
          <w:rFonts w:ascii="Cambria" w:eastAsia="Cambria" w:hAnsi="Cambria" w:cs="Cambria"/>
        </w:rPr>
        <w:t xml:space="preserve"> should be taken at the usual time. If the patient vomits after taking the </w:t>
      </w:r>
      <w:r w:rsidR="00DE29EE">
        <w:rPr>
          <w:rFonts w:ascii="Cambria" w:eastAsia="Cambria" w:hAnsi="Cambria" w:cs="Cambria"/>
        </w:rPr>
        <w:t>Itovebi</w:t>
      </w:r>
      <w:r>
        <w:rPr>
          <w:rFonts w:ascii="Cambria" w:eastAsia="Cambria" w:hAnsi="Cambria" w:cs="Cambria"/>
        </w:rPr>
        <w:t xml:space="preserve"> dose, the patient should not take an additional dose on that day and should resume the usual dosing schedule the next day at the usual time.</w:t>
      </w:r>
    </w:p>
    <w:p w14:paraId="3781D07B" w14:textId="77777777" w:rsidR="005972A9" w:rsidRDefault="004A79CA">
      <w:pPr>
        <w:pStyle w:val="Heading3"/>
        <w:ind w:firstLine="227"/>
      </w:pPr>
      <w:bookmarkStart w:id="0" w:name="_heading=h.gjdgxs" w:colFirst="0" w:colLast="0"/>
      <w:bookmarkEnd w:id="0"/>
      <w:r>
        <w:t>Dose Modification</w:t>
      </w:r>
    </w:p>
    <w:p w14:paraId="0A27CE30" w14:textId="4EEDEA7A" w:rsidR="005972A9" w:rsidRDefault="004A79CA">
      <w:pPr>
        <w:pBdr>
          <w:top w:val="nil"/>
          <w:left w:val="nil"/>
          <w:bottom w:val="nil"/>
          <w:right w:val="nil"/>
          <w:between w:val="nil"/>
        </w:pBdr>
        <w:spacing w:after="250" w:line="280" w:lineRule="auto"/>
        <w:rPr>
          <w:rFonts w:ascii="Cambria" w:eastAsia="Cambria" w:hAnsi="Cambria" w:cs="Cambria"/>
          <w:color w:val="000000"/>
        </w:rPr>
      </w:pPr>
      <w:r>
        <w:rPr>
          <w:rFonts w:ascii="Cambria" w:eastAsia="Cambria" w:hAnsi="Cambria" w:cs="Cambria"/>
          <w:color w:val="000000"/>
        </w:rPr>
        <w:t xml:space="preserve">Management of adverse reactions may require temporary interruption, dose reduction, or discontinuation of treatment with </w:t>
      </w:r>
      <w:r w:rsidR="00DE29EE">
        <w:rPr>
          <w:rFonts w:ascii="Cambria" w:eastAsia="Cambria" w:hAnsi="Cambria" w:cs="Cambria"/>
          <w:color w:val="000000"/>
        </w:rPr>
        <w:t>Itovebi</w:t>
      </w:r>
      <w:r>
        <w:rPr>
          <w:rFonts w:ascii="Cambria" w:eastAsia="Cambria" w:hAnsi="Cambria" w:cs="Cambria"/>
          <w:color w:val="000000"/>
        </w:rPr>
        <w:t xml:space="preserve">. </w:t>
      </w:r>
    </w:p>
    <w:p w14:paraId="341DB033" w14:textId="77777777" w:rsidR="005972A9" w:rsidRDefault="004A79CA">
      <w:pPr>
        <w:pBdr>
          <w:top w:val="nil"/>
          <w:left w:val="nil"/>
          <w:bottom w:val="nil"/>
          <w:right w:val="nil"/>
          <w:between w:val="nil"/>
        </w:pBdr>
        <w:spacing w:after="250" w:line="280" w:lineRule="auto"/>
        <w:rPr>
          <w:rFonts w:ascii="Cambria" w:eastAsia="Cambria" w:hAnsi="Cambria" w:cs="Cambria"/>
          <w:color w:val="000000"/>
        </w:rPr>
      </w:pPr>
      <w:r>
        <w:rPr>
          <w:rFonts w:ascii="Cambria" w:eastAsia="Cambria" w:hAnsi="Cambria" w:cs="Cambria"/>
          <w:color w:val="000000"/>
        </w:rPr>
        <w:t xml:space="preserve">The recommended dose reduction guidelines for adverse reactions are listed </w:t>
      </w:r>
      <w:proofErr w:type="gramStart"/>
      <w:r>
        <w:rPr>
          <w:rFonts w:ascii="Cambria" w:eastAsia="Cambria" w:hAnsi="Cambria" w:cs="Cambria"/>
          <w:color w:val="000000"/>
        </w:rPr>
        <w:t>in  Table</w:t>
      </w:r>
      <w:proofErr w:type="gramEnd"/>
      <w:r>
        <w:rPr>
          <w:rFonts w:ascii="Cambria" w:eastAsia="Cambria" w:hAnsi="Cambria" w:cs="Cambria"/>
          <w:color w:val="000000"/>
        </w:rPr>
        <w:t xml:space="preserve"> 1.</w:t>
      </w:r>
    </w:p>
    <w:p w14:paraId="71FD672C" w14:textId="21C4E651" w:rsidR="005972A9" w:rsidRDefault="004A79CA">
      <w:pPr>
        <w:pBdr>
          <w:top w:val="nil"/>
          <w:left w:val="nil"/>
          <w:bottom w:val="nil"/>
          <w:right w:val="nil"/>
          <w:between w:val="nil"/>
        </w:pBdr>
        <w:spacing w:line="240" w:lineRule="auto"/>
        <w:rPr>
          <w:rFonts w:ascii="Cambria" w:eastAsia="Cambria" w:hAnsi="Cambria" w:cs="Cambria"/>
          <w:b/>
          <w:color w:val="000000"/>
        </w:rPr>
      </w:pPr>
      <w:bookmarkStart w:id="1" w:name="_heading=h.30j0zll" w:colFirst="0" w:colLast="0"/>
      <w:bookmarkEnd w:id="1"/>
      <w:r>
        <w:rPr>
          <w:rFonts w:ascii="Cambria" w:eastAsia="Cambria" w:hAnsi="Cambria" w:cs="Cambria"/>
          <w:b/>
          <w:color w:val="000000"/>
        </w:rPr>
        <w:t>Table 1 Dose Reduction Guidelines for Adverse Reactions</w:t>
      </w:r>
    </w:p>
    <w:tbl>
      <w:tblPr>
        <w:tblW w:w="90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978"/>
        <w:gridCol w:w="4036"/>
      </w:tblGrid>
      <w:tr w:rsidR="005972A9" w14:paraId="313B7FB7" w14:textId="77777777" w:rsidTr="00FD7B6F">
        <w:trPr>
          <w:cantSplit/>
          <w:tblHeader/>
          <w:jc w:val="center"/>
        </w:trPr>
        <w:tc>
          <w:tcPr>
            <w:tcW w:w="4978" w:type="dxa"/>
            <w:shd w:val="clear" w:color="auto" w:fill="auto"/>
            <w:vAlign w:val="center"/>
          </w:tcPr>
          <w:p w14:paraId="216BEA3D" w14:textId="77777777" w:rsidR="005972A9" w:rsidRPr="00FD7B6F" w:rsidRDefault="004A79CA" w:rsidP="00FD7B6F">
            <w:pPr>
              <w:keepLines/>
              <w:pBdr>
                <w:top w:val="nil"/>
                <w:left w:val="nil"/>
                <w:bottom w:val="nil"/>
                <w:right w:val="nil"/>
                <w:between w:val="nil"/>
              </w:pBdr>
              <w:spacing w:before="50" w:after="50" w:line="240" w:lineRule="auto"/>
              <w:jc w:val="center"/>
              <w:rPr>
                <w:rFonts w:ascii="Cambria" w:eastAsia="Cambria" w:hAnsi="Cambria" w:cs="Cambria"/>
                <w:b/>
                <w:color w:val="000000"/>
              </w:rPr>
            </w:pPr>
            <w:r w:rsidRPr="00FD7B6F">
              <w:rPr>
                <w:rFonts w:ascii="Cambria" w:eastAsia="Cambria" w:hAnsi="Cambria" w:cs="Cambria"/>
                <w:b/>
                <w:color w:val="000000"/>
              </w:rPr>
              <w:t>Dose Reduction Schedule</w:t>
            </w:r>
          </w:p>
        </w:tc>
        <w:tc>
          <w:tcPr>
            <w:tcW w:w="4036" w:type="dxa"/>
            <w:shd w:val="clear" w:color="auto" w:fill="auto"/>
            <w:vAlign w:val="center"/>
          </w:tcPr>
          <w:p w14:paraId="4405E553" w14:textId="77777777" w:rsidR="005972A9" w:rsidRPr="00FD7B6F" w:rsidRDefault="004A79CA" w:rsidP="00FD7B6F">
            <w:pPr>
              <w:keepLines/>
              <w:pBdr>
                <w:top w:val="nil"/>
                <w:left w:val="nil"/>
                <w:bottom w:val="nil"/>
                <w:right w:val="nil"/>
                <w:between w:val="nil"/>
              </w:pBdr>
              <w:spacing w:before="50" w:after="50" w:line="240" w:lineRule="auto"/>
              <w:jc w:val="center"/>
              <w:rPr>
                <w:rFonts w:ascii="Cambria" w:eastAsia="Cambria" w:hAnsi="Cambria" w:cs="Cambria"/>
                <w:b/>
                <w:color w:val="000000"/>
              </w:rPr>
            </w:pPr>
            <w:r w:rsidRPr="00FD7B6F">
              <w:rPr>
                <w:rFonts w:ascii="Cambria" w:eastAsia="Cambria" w:hAnsi="Cambria" w:cs="Cambria"/>
                <w:b/>
                <w:color w:val="000000"/>
              </w:rPr>
              <w:t>Dose Modified</w:t>
            </w:r>
          </w:p>
        </w:tc>
      </w:tr>
      <w:tr w:rsidR="005972A9" w14:paraId="5B8ECF56" w14:textId="77777777" w:rsidTr="00FD7B6F">
        <w:trPr>
          <w:cantSplit/>
          <w:jc w:val="center"/>
        </w:trPr>
        <w:tc>
          <w:tcPr>
            <w:tcW w:w="4978" w:type="dxa"/>
            <w:shd w:val="clear" w:color="auto" w:fill="auto"/>
            <w:vAlign w:val="center"/>
          </w:tcPr>
          <w:p w14:paraId="529F4BCC" w14:textId="77777777" w:rsidR="005972A9" w:rsidRPr="00FD7B6F" w:rsidRDefault="004A79CA" w:rsidP="00FD7B6F">
            <w:pPr>
              <w:keepLines/>
              <w:pBdr>
                <w:top w:val="nil"/>
                <w:left w:val="nil"/>
                <w:bottom w:val="nil"/>
                <w:right w:val="nil"/>
                <w:between w:val="nil"/>
              </w:pBdr>
              <w:spacing w:before="50" w:after="50" w:line="240" w:lineRule="auto"/>
              <w:rPr>
                <w:rFonts w:ascii="Cambria" w:eastAsia="Cambria" w:hAnsi="Cambria" w:cs="Cambria"/>
                <w:color w:val="000000"/>
              </w:rPr>
            </w:pPr>
            <w:r w:rsidRPr="00FD7B6F">
              <w:rPr>
                <w:rFonts w:ascii="Cambria" w:eastAsia="Cambria" w:hAnsi="Cambria" w:cs="Cambria"/>
                <w:color w:val="000000"/>
              </w:rPr>
              <w:t>Starting dose</w:t>
            </w:r>
          </w:p>
        </w:tc>
        <w:tc>
          <w:tcPr>
            <w:tcW w:w="4036" w:type="dxa"/>
            <w:shd w:val="clear" w:color="auto" w:fill="auto"/>
            <w:vAlign w:val="center"/>
          </w:tcPr>
          <w:p w14:paraId="442BB36A" w14:textId="77777777" w:rsidR="005972A9" w:rsidRPr="00FD7B6F" w:rsidRDefault="004A79CA" w:rsidP="00FD7B6F">
            <w:pPr>
              <w:keepLines/>
              <w:pBdr>
                <w:top w:val="nil"/>
                <w:left w:val="nil"/>
                <w:bottom w:val="nil"/>
                <w:right w:val="nil"/>
                <w:between w:val="nil"/>
              </w:pBdr>
              <w:spacing w:before="50" w:after="50" w:line="240" w:lineRule="auto"/>
              <w:jc w:val="center"/>
              <w:rPr>
                <w:rFonts w:ascii="Cambria" w:eastAsia="Cambria" w:hAnsi="Cambria" w:cs="Cambria"/>
                <w:color w:val="000000"/>
              </w:rPr>
            </w:pPr>
            <w:r w:rsidRPr="00FD7B6F">
              <w:rPr>
                <w:rFonts w:ascii="Cambria" w:eastAsia="Cambria" w:hAnsi="Cambria" w:cs="Cambria"/>
                <w:color w:val="000000"/>
              </w:rPr>
              <w:t>9 mg daily</w:t>
            </w:r>
          </w:p>
        </w:tc>
      </w:tr>
      <w:tr w:rsidR="005972A9" w14:paraId="66A1B4C7" w14:textId="77777777" w:rsidTr="00FD7B6F">
        <w:trPr>
          <w:cantSplit/>
          <w:jc w:val="center"/>
        </w:trPr>
        <w:tc>
          <w:tcPr>
            <w:tcW w:w="4978" w:type="dxa"/>
            <w:shd w:val="clear" w:color="auto" w:fill="auto"/>
            <w:vAlign w:val="center"/>
          </w:tcPr>
          <w:p w14:paraId="10B4EA51" w14:textId="77777777" w:rsidR="005972A9" w:rsidRPr="00FD7B6F" w:rsidRDefault="004A79CA" w:rsidP="00FD7B6F">
            <w:pPr>
              <w:keepLines/>
              <w:pBdr>
                <w:top w:val="nil"/>
                <w:left w:val="nil"/>
                <w:bottom w:val="nil"/>
                <w:right w:val="nil"/>
                <w:between w:val="nil"/>
              </w:pBdr>
              <w:spacing w:before="50" w:after="50" w:line="240" w:lineRule="auto"/>
              <w:rPr>
                <w:rFonts w:ascii="Cambria" w:eastAsia="Cambria" w:hAnsi="Cambria" w:cs="Cambria"/>
                <w:color w:val="000000"/>
              </w:rPr>
            </w:pPr>
            <w:r w:rsidRPr="00FD7B6F">
              <w:rPr>
                <w:rFonts w:ascii="Cambria" w:eastAsia="Cambria" w:hAnsi="Cambria" w:cs="Cambria"/>
                <w:color w:val="000000"/>
              </w:rPr>
              <w:t>First dose reduction</w:t>
            </w:r>
          </w:p>
        </w:tc>
        <w:tc>
          <w:tcPr>
            <w:tcW w:w="4036" w:type="dxa"/>
            <w:shd w:val="clear" w:color="auto" w:fill="auto"/>
            <w:vAlign w:val="center"/>
          </w:tcPr>
          <w:p w14:paraId="078DD143" w14:textId="77777777" w:rsidR="005972A9" w:rsidRPr="00FD7B6F" w:rsidRDefault="004A79CA" w:rsidP="00FD7B6F">
            <w:pPr>
              <w:keepLines/>
              <w:pBdr>
                <w:top w:val="nil"/>
                <w:left w:val="nil"/>
                <w:bottom w:val="nil"/>
                <w:right w:val="nil"/>
                <w:between w:val="nil"/>
              </w:pBdr>
              <w:spacing w:before="50" w:after="50" w:line="240" w:lineRule="auto"/>
              <w:jc w:val="center"/>
              <w:rPr>
                <w:rFonts w:ascii="Cambria" w:eastAsia="Cambria" w:hAnsi="Cambria" w:cs="Cambria"/>
                <w:color w:val="000000"/>
              </w:rPr>
            </w:pPr>
            <w:r w:rsidRPr="00FD7B6F">
              <w:rPr>
                <w:rFonts w:ascii="Cambria" w:eastAsia="Cambria" w:hAnsi="Cambria" w:cs="Cambria"/>
                <w:color w:val="000000"/>
              </w:rPr>
              <w:t>6 mg daily</w:t>
            </w:r>
          </w:p>
        </w:tc>
      </w:tr>
      <w:tr w:rsidR="005972A9" w14:paraId="71B184A6" w14:textId="77777777" w:rsidTr="00FD7B6F">
        <w:trPr>
          <w:cantSplit/>
          <w:jc w:val="center"/>
        </w:trPr>
        <w:tc>
          <w:tcPr>
            <w:tcW w:w="4978" w:type="dxa"/>
            <w:shd w:val="clear" w:color="auto" w:fill="auto"/>
            <w:vAlign w:val="center"/>
          </w:tcPr>
          <w:p w14:paraId="64A13465" w14:textId="77777777" w:rsidR="005972A9" w:rsidRPr="00FD7B6F" w:rsidRDefault="004A79CA" w:rsidP="00FD7B6F">
            <w:pPr>
              <w:keepLines/>
              <w:pBdr>
                <w:top w:val="nil"/>
                <w:left w:val="nil"/>
                <w:bottom w:val="nil"/>
                <w:right w:val="nil"/>
                <w:between w:val="nil"/>
              </w:pBdr>
              <w:spacing w:before="50" w:after="50" w:line="240" w:lineRule="auto"/>
              <w:rPr>
                <w:rFonts w:ascii="Cambria" w:eastAsia="Cambria" w:hAnsi="Cambria" w:cs="Cambria"/>
                <w:color w:val="000000"/>
              </w:rPr>
            </w:pPr>
            <w:r w:rsidRPr="00FD7B6F">
              <w:rPr>
                <w:rFonts w:ascii="Cambria" w:eastAsia="Cambria" w:hAnsi="Cambria" w:cs="Cambria"/>
                <w:color w:val="000000"/>
              </w:rPr>
              <w:t>Second dose reduction</w:t>
            </w:r>
          </w:p>
        </w:tc>
        <w:tc>
          <w:tcPr>
            <w:tcW w:w="4036" w:type="dxa"/>
            <w:shd w:val="clear" w:color="auto" w:fill="auto"/>
            <w:vAlign w:val="center"/>
          </w:tcPr>
          <w:p w14:paraId="1763FB6F" w14:textId="75C4D8C7" w:rsidR="005972A9" w:rsidRPr="00FD7B6F" w:rsidRDefault="004A79CA" w:rsidP="00FD7B6F">
            <w:pPr>
              <w:keepLines/>
              <w:pBdr>
                <w:top w:val="nil"/>
                <w:left w:val="nil"/>
                <w:bottom w:val="nil"/>
                <w:right w:val="nil"/>
                <w:between w:val="nil"/>
              </w:pBdr>
              <w:spacing w:before="50" w:after="50" w:line="240" w:lineRule="auto"/>
              <w:jc w:val="center"/>
              <w:rPr>
                <w:rFonts w:ascii="Cambria" w:eastAsia="Cambria" w:hAnsi="Cambria" w:cs="Cambria"/>
                <w:color w:val="000000"/>
              </w:rPr>
            </w:pPr>
            <w:r w:rsidRPr="00FD7B6F">
              <w:rPr>
                <w:rFonts w:ascii="Cambria" w:eastAsia="Cambria" w:hAnsi="Cambria" w:cs="Cambria"/>
                <w:color w:val="000000"/>
              </w:rPr>
              <w:t xml:space="preserve">3 mg </w:t>
            </w:r>
            <w:proofErr w:type="spellStart"/>
            <w:r w:rsidRPr="00FD7B6F">
              <w:rPr>
                <w:rFonts w:ascii="Cambria" w:eastAsia="Cambria" w:hAnsi="Cambria" w:cs="Cambria"/>
                <w:color w:val="000000"/>
              </w:rPr>
              <w:t>daily</w:t>
            </w:r>
            <w:r w:rsidR="0061744F" w:rsidRPr="00ED4262">
              <w:rPr>
                <w:rFonts w:ascii="Cambria" w:eastAsia="Cambria" w:hAnsi="Cambria" w:cs="Cambria"/>
                <w:color w:val="000000"/>
                <w:vertAlign w:val="superscript"/>
              </w:rPr>
              <w:t>a</w:t>
            </w:r>
            <w:proofErr w:type="spellEnd"/>
          </w:p>
        </w:tc>
      </w:tr>
      <w:tr w:rsidR="0061744F" w14:paraId="0C3742CE" w14:textId="77777777" w:rsidTr="004F6916">
        <w:trPr>
          <w:cantSplit/>
          <w:jc w:val="center"/>
        </w:trPr>
        <w:tc>
          <w:tcPr>
            <w:tcW w:w="9014" w:type="dxa"/>
            <w:gridSpan w:val="2"/>
            <w:shd w:val="clear" w:color="auto" w:fill="auto"/>
            <w:vAlign w:val="center"/>
          </w:tcPr>
          <w:p w14:paraId="62770CE9" w14:textId="3749F842" w:rsidR="0061744F" w:rsidRPr="00ED4262" w:rsidRDefault="0061744F" w:rsidP="00ED4262">
            <w:pPr>
              <w:keepLines/>
              <w:pBdr>
                <w:top w:val="nil"/>
                <w:left w:val="nil"/>
                <w:bottom w:val="nil"/>
                <w:right w:val="nil"/>
                <w:between w:val="nil"/>
              </w:pBdr>
              <w:spacing w:before="50" w:after="50" w:line="240" w:lineRule="auto"/>
              <w:rPr>
                <w:rFonts w:ascii="Cambria" w:eastAsia="Cambria" w:hAnsi="Cambria" w:cs="Cambria"/>
                <w:color w:val="000000"/>
                <w:sz w:val="20"/>
                <w:szCs w:val="20"/>
              </w:rPr>
            </w:pPr>
            <w:proofErr w:type="spellStart"/>
            <w:r w:rsidRPr="00ED4262">
              <w:rPr>
                <w:rFonts w:ascii="Cambria" w:eastAsia="Cambria" w:hAnsi="Cambria" w:cs="Cambria"/>
                <w:color w:val="000000"/>
                <w:sz w:val="20"/>
                <w:szCs w:val="20"/>
                <w:vertAlign w:val="superscript"/>
              </w:rPr>
              <w:t>a</w:t>
            </w:r>
            <w:r w:rsidRPr="00ED4262">
              <w:rPr>
                <w:rFonts w:ascii="Cambria" w:eastAsia="Cambria" w:hAnsi="Cambria" w:cs="Cambria"/>
                <w:color w:val="000000"/>
                <w:sz w:val="20"/>
                <w:szCs w:val="20"/>
              </w:rPr>
              <w:t>Itovebi</w:t>
            </w:r>
            <w:proofErr w:type="spellEnd"/>
            <w:r w:rsidRPr="00ED4262">
              <w:rPr>
                <w:rFonts w:ascii="Cambria" w:eastAsia="Cambria" w:hAnsi="Cambria" w:cs="Cambria"/>
                <w:color w:val="000000"/>
                <w:sz w:val="20"/>
                <w:szCs w:val="20"/>
              </w:rPr>
              <w:t xml:space="preserve"> treatment should be permanently discontinued if patients are unable to tolerate the 3 mg daily dose</w:t>
            </w:r>
            <w:r>
              <w:rPr>
                <w:rFonts w:ascii="Cambria" w:eastAsia="Cambria" w:hAnsi="Cambria" w:cs="Cambria"/>
                <w:color w:val="000000"/>
                <w:sz w:val="20"/>
                <w:szCs w:val="20"/>
              </w:rPr>
              <w:t>.</w:t>
            </w:r>
          </w:p>
        </w:tc>
      </w:tr>
    </w:tbl>
    <w:p w14:paraId="423ABE67" w14:textId="77777777" w:rsidR="005972A9" w:rsidRDefault="004A79CA" w:rsidP="00032E28">
      <w:pPr>
        <w:pBdr>
          <w:top w:val="nil"/>
          <w:left w:val="nil"/>
          <w:bottom w:val="nil"/>
          <w:right w:val="nil"/>
          <w:between w:val="nil"/>
        </w:pBdr>
        <w:spacing w:before="120" w:after="250" w:line="240" w:lineRule="auto"/>
        <w:rPr>
          <w:rFonts w:ascii="Cambria" w:eastAsia="Cambria" w:hAnsi="Cambria" w:cs="Cambria"/>
          <w:color w:val="000000"/>
        </w:rPr>
      </w:pPr>
      <w:r>
        <w:rPr>
          <w:rFonts w:ascii="Cambria" w:eastAsia="Cambria" w:hAnsi="Cambria" w:cs="Cambria"/>
          <w:color w:val="000000"/>
        </w:rPr>
        <w:t xml:space="preserve">The dose of </w:t>
      </w:r>
      <w:r w:rsidR="00DE29EE">
        <w:rPr>
          <w:rFonts w:ascii="Cambria" w:eastAsia="Cambria" w:hAnsi="Cambria" w:cs="Cambria"/>
          <w:color w:val="000000"/>
        </w:rPr>
        <w:t>Itovebi</w:t>
      </w:r>
      <w:r>
        <w:rPr>
          <w:rFonts w:ascii="Cambria" w:eastAsia="Cambria" w:hAnsi="Cambria" w:cs="Cambria"/>
          <w:color w:val="000000"/>
        </w:rPr>
        <w:t xml:space="preserve"> may be re-escalated to a maximum daily dose of 9 mg based on clinical evaluation of the patient by the treating physician.</w:t>
      </w:r>
    </w:p>
    <w:p w14:paraId="62A7570C" w14:textId="7CE76DCB" w:rsidR="005972A9" w:rsidRDefault="004A79CA" w:rsidP="00FD09EF">
      <w:pPr>
        <w:pageBreakBefore/>
        <w:rPr>
          <w:rFonts w:ascii="Cambria" w:eastAsia="Cambria" w:hAnsi="Cambria" w:cs="Cambria"/>
          <w:u w:val="single"/>
        </w:rPr>
      </w:pPr>
      <w:proofErr w:type="spellStart"/>
      <w:r>
        <w:rPr>
          <w:rFonts w:ascii="Cambria" w:eastAsia="Cambria" w:hAnsi="Cambria" w:cs="Cambria"/>
          <w:u w:val="single"/>
        </w:rPr>
        <w:lastRenderedPageBreak/>
        <w:t>Hyperglycaemia</w:t>
      </w:r>
      <w:proofErr w:type="spellEnd"/>
    </w:p>
    <w:p w14:paraId="48C35B33" w14:textId="5AD142EC" w:rsidR="00331808" w:rsidRDefault="004A79CA">
      <w:pPr>
        <w:pBdr>
          <w:top w:val="nil"/>
          <w:left w:val="nil"/>
          <w:bottom w:val="nil"/>
          <w:right w:val="nil"/>
          <w:between w:val="nil"/>
        </w:pBdr>
        <w:spacing w:after="250"/>
        <w:rPr>
          <w:rFonts w:ascii="Cambria" w:eastAsia="Cambria" w:hAnsi="Cambria" w:cs="Cambria"/>
          <w:color w:val="000000"/>
        </w:rPr>
      </w:pPr>
      <w:r>
        <w:rPr>
          <w:rFonts w:ascii="Cambria" w:eastAsia="Cambria" w:hAnsi="Cambria" w:cs="Cambria"/>
          <w:color w:val="000000"/>
        </w:rPr>
        <w:t xml:space="preserve">Before initiating treatment with </w:t>
      </w:r>
      <w:r w:rsidR="00DE29EE">
        <w:rPr>
          <w:rFonts w:ascii="Cambria" w:eastAsia="Cambria" w:hAnsi="Cambria" w:cs="Cambria"/>
          <w:color w:val="000000"/>
        </w:rPr>
        <w:t>Itovebi</w:t>
      </w:r>
      <w:r>
        <w:rPr>
          <w:rFonts w:ascii="Cambria" w:eastAsia="Cambria" w:hAnsi="Cambria" w:cs="Cambria"/>
          <w:color w:val="000000"/>
        </w:rPr>
        <w:t>, fasting plasma glucose (FPG)/blood glucose (FBG) and HbA</w:t>
      </w:r>
      <w:r>
        <w:rPr>
          <w:rFonts w:ascii="Cambria" w:eastAsia="Cambria" w:hAnsi="Cambria" w:cs="Cambria"/>
          <w:color w:val="000000"/>
          <w:vertAlign w:val="subscript"/>
        </w:rPr>
        <w:t>1C</w:t>
      </w:r>
      <w:r>
        <w:rPr>
          <w:rFonts w:ascii="Cambria" w:eastAsia="Cambria" w:hAnsi="Cambria" w:cs="Cambria"/>
          <w:color w:val="000000"/>
        </w:rPr>
        <w:t xml:space="preserve"> levels should be tested, and plasma/blood glucose levels should be optimised in all patients. </w:t>
      </w:r>
      <w:r w:rsidR="0061744F" w:rsidRPr="0061744F">
        <w:rPr>
          <w:rFonts w:ascii="Cambria" w:eastAsia="Cambria" w:hAnsi="Cambria" w:cs="Cambria"/>
          <w:color w:val="000000"/>
        </w:rPr>
        <w:t xml:space="preserve">Evaluate patients for renal impairment prior to treatment with Itovebi (see section </w:t>
      </w:r>
      <w:r w:rsidR="005630B7">
        <w:rPr>
          <w:rFonts w:ascii="Cambria" w:eastAsia="Cambria" w:hAnsi="Cambria" w:cs="Cambria"/>
          <w:color w:val="000000"/>
        </w:rPr>
        <w:t xml:space="preserve">4.2 </w:t>
      </w:r>
      <w:r w:rsidR="00E83483">
        <w:rPr>
          <w:rFonts w:ascii="Cambria" w:eastAsia="Cambria" w:hAnsi="Cambria" w:cs="Cambria"/>
          <w:color w:val="000000"/>
        </w:rPr>
        <w:t>Dose and Method of Administration</w:t>
      </w:r>
      <w:r w:rsidR="005630B7">
        <w:rPr>
          <w:rFonts w:ascii="Cambria" w:eastAsia="Cambria" w:hAnsi="Cambria" w:cs="Cambria"/>
          <w:color w:val="000000"/>
        </w:rPr>
        <w:t>-Renal impairment</w:t>
      </w:r>
      <w:r w:rsidR="0061744F" w:rsidRPr="0061744F">
        <w:rPr>
          <w:rFonts w:ascii="Cambria" w:eastAsia="Cambria" w:hAnsi="Cambria" w:cs="Cambria"/>
          <w:color w:val="000000"/>
        </w:rPr>
        <w:t xml:space="preserve"> and section </w:t>
      </w:r>
      <w:r w:rsidR="005630B7">
        <w:rPr>
          <w:rFonts w:ascii="Cambria" w:eastAsia="Cambria" w:hAnsi="Cambria" w:cs="Cambria"/>
          <w:color w:val="000000"/>
        </w:rPr>
        <w:t>5</w:t>
      </w:r>
      <w:r w:rsidR="0061744F" w:rsidRPr="0061744F">
        <w:rPr>
          <w:rFonts w:ascii="Cambria" w:eastAsia="Cambria" w:hAnsi="Cambria" w:cs="Cambria"/>
          <w:color w:val="000000"/>
        </w:rPr>
        <w:t xml:space="preserve">.2 Pharmacokinetic Properties). </w:t>
      </w:r>
      <w:r>
        <w:rPr>
          <w:rFonts w:ascii="Cambria" w:eastAsia="Cambria" w:hAnsi="Cambria" w:cs="Cambria"/>
          <w:color w:val="000000"/>
        </w:rPr>
        <w:t xml:space="preserve">After initiating treatment with </w:t>
      </w:r>
      <w:r w:rsidR="00DE29EE">
        <w:rPr>
          <w:rFonts w:ascii="Cambria" w:eastAsia="Cambria" w:hAnsi="Cambria" w:cs="Cambria"/>
          <w:color w:val="000000"/>
        </w:rPr>
        <w:t>Itovebi</w:t>
      </w:r>
      <w:r>
        <w:rPr>
          <w:rFonts w:ascii="Cambria" w:eastAsia="Cambria" w:hAnsi="Cambria" w:cs="Cambria"/>
          <w:color w:val="000000"/>
        </w:rPr>
        <w:t xml:space="preserve">, patient fasting glucose (FPG or FBG) levels should be monitored or self-monitored based on the recommended schedule (see </w:t>
      </w:r>
      <w:proofErr w:type="gramStart"/>
      <w:r>
        <w:rPr>
          <w:rFonts w:ascii="Cambria" w:eastAsia="Cambria" w:hAnsi="Cambria" w:cs="Cambria"/>
          <w:color w:val="000000"/>
        </w:rPr>
        <w:t>section  4.4</w:t>
      </w:r>
      <w:proofErr w:type="gramEnd"/>
      <w:r>
        <w:rPr>
          <w:rFonts w:ascii="Cambria" w:eastAsia="Cambria" w:hAnsi="Cambria" w:cs="Cambria"/>
          <w:color w:val="000000"/>
        </w:rPr>
        <w:t xml:space="preserve">  </w:t>
      </w:r>
      <w:r w:rsidR="00E83483">
        <w:rPr>
          <w:rFonts w:ascii="Cambria" w:eastAsia="Cambria" w:hAnsi="Cambria" w:cs="Cambria"/>
          <w:color w:val="000000"/>
        </w:rPr>
        <w:t xml:space="preserve">Special Warnings and Precautions </w:t>
      </w:r>
      <w:proofErr w:type="gramStart"/>
      <w:r w:rsidR="00E83483">
        <w:rPr>
          <w:rFonts w:ascii="Cambria" w:eastAsia="Cambria" w:hAnsi="Cambria" w:cs="Cambria"/>
          <w:color w:val="000000"/>
        </w:rPr>
        <w:t>For</w:t>
      </w:r>
      <w:proofErr w:type="gramEnd"/>
      <w:r w:rsidR="00E83483">
        <w:rPr>
          <w:rFonts w:ascii="Cambria" w:eastAsia="Cambria" w:hAnsi="Cambria" w:cs="Cambria"/>
          <w:color w:val="000000"/>
        </w:rPr>
        <w:t xml:space="preserve"> Use</w:t>
      </w:r>
      <w:r>
        <w:rPr>
          <w:rFonts w:ascii="Cambria" w:eastAsia="Cambria" w:hAnsi="Cambria" w:cs="Cambria"/>
          <w:color w:val="000000"/>
        </w:rPr>
        <w:t xml:space="preserve"> - General</w:t>
      </w:r>
      <w:r w:rsidR="00331808">
        <w:rPr>
          <w:rFonts w:ascii="Cambria" w:eastAsia="Cambria" w:hAnsi="Cambria" w:cs="Cambria"/>
          <w:color w:val="000000"/>
        </w:rPr>
        <w:t>).</w:t>
      </w:r>
    </w:p>
    <w:p w14:paraId="098E8654" w14:textId="77777777" w:rsidR="005972A9" w:rsidRDefault="00331808">
      <w:pPr>
        <w:pBdr>
          <w:top w:val="nil"/>
          <w:left w:val="nil"/>
          <w:bottom w:val="nil"/>
          <w:right w:val="nil"/>
          <w:between w:val="nil"/>
        </w:pBdr>
        <w:spacing w:after="250"/>
        <w:rPr>
          <w:rFonts w:ascii="Cambria" w:eastAsia="Cambria" w:hAnsi="Cambria" w:cs="Cambria"/>
          <w:color w:val="000000"/>
        </w:rPr>
      </w:pPr>
      <w:r>
        <w:rPr>
          <w:rFonts w:ascii="Cambria" w:eastAsia="Cambria" w:hAnsi="Cambria" w:cs="Cambria"/>
          <w:color w:val="000000"/>
        </w:rPr>
        <w:t>A patient card is available for dissemination by the treating physician.</w:t>
      </w:r>
      <w:r w:rsidR="004A79CA">
        <w:rPr>
          <w:rFonts w:ascii="Cambria" w:eastAsia="Cambria" w:hAnsi="Cambria" w:cs="Cambria"/>
          <w:color w:val="000000"/>
        </w:rPr>
        <w:t xml:space="preserve"> </w:t>
      </w:r>
    </w:p>
    <w:p w14:paraId="3BC3ECFA" w14:textId="77777777" w:rsidR="005972A9" w:rsidRDefault="004A79CA" w:rsidP="00032E28">
      <w:pPr>
        <w:keepNext/>
        <w:pBdr>
          <w:top w:val="nil"/>
          <w:left w:val="nil"/>
          <w:bottom w:val="nil"/>
          <w:right w:val="nil"/>
          <w:between w:val="nil"/>
        </w:pBdr>
        <w:spacing w:line="240" w:lineRule="auto"/>
        <w:rPr>
          <w:rFonts w:ascii="Cambria" w:eastAsia="Cambria" w:hAnsi="Cambria" w:cs="Cambria"/>
          <w:b/>
          <w:color w:val="000000"/>
        </w:rPr>
      </w:pPr>
      <w:bookmarkStart w:id="2" w:name="_heading=h.1fob9te" w:colFirst="0" w:colLast="0"/>
      <w:bookmarkEnd w:id="2"/>
      <w:r>
        <w:rPr>
          <w:rFonts w:ascii="Cambria" w:eastAsia="Cambria" w:hAnsi="Cambria" w:cs="Cambria"/>
          <w:b/>
          <w:color w:val="000000"/>
        </w:rPr>
        <w:t>Table  2 Dose Modification and Management for Hyperglycaemia</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721"/>
        <w:gridCol w:w="6295"/>
      </w:tblGrid>
      <w:tr w:rsidR="005972A9" w14:paraId="044775C2" w14:textId="77777777" w:rsidTr="00FD7B6F">
        <w:trPr>
          <w:tblHeader/>
          <w:jc w:val="center"/>
        </w:trPr>
        <w:tc>
          <w:tcPr>
            <w:tcW w:w="2721" w:type="dxa"/>
            <w:shd w:val="clear" w:color="auto" w:fill="auto"/>
          </w:tcPr>
          <w:p w14:paraId="66670FF4" w14:textId="77777777" w:rsidR="005972A9" w:rsidRDefault="004A79CA" w:rsidP="00FD7B6F">
            <w:pPr>
              <w:spacing w:before="60"/>
            </w:pPr>
            <w:r w:rsidRPr="00FD7B6F">
              <w:rPr>
                <w:rFonts w:ascii="Cambria" w:eastAsia="Cambria" w:hAnsi="Cambria" w:cs="Cambria"/>
                <w:b/>
                <w:sz w:val="20"/>
                <w:szCs w:val="20"/>
              </w:rPr>
              <w:t xml:space="preserve">Fasting Glucose </w:t>
            </w:r>
            <w:proofErr w:type="spellStart"/>
            <w:r w:rsidRPr="00FD7B6F">
              <w:rPr>
                <w:rFonts w:ascii="Cambria" w:eastAsia="Cambria" w:hAnsi="Cambria" w:cs="Cambria"/>
                <w:b/>
                <w:sz w:val="20"/>
                <w:szCs w:val="20"/>
              </w:rPr>
              <w:t>Levels</w:t>
            </w:r>
            <w:r w:rsidRPr="00FD7B6F">
              <w:rPr>
                <w:rFonts w:ascii="Cambria" w:eastAsia="Cambria" w:hAnsi="Cambria" w:cs="Cambria"/>
                <w:b/>
                <w:sz w:val="20"/>
                <w:szCs w:val="20"/>
                <w:vertAlign w:val="superscript"/>
              </w:rPr>
              <w:t>a</w:t>
            </w:r>
            <w:proofErr w:type="spellEnd"/>
          </w:p>
        </w:tc>
        <w:tc>
          <w:tcPr>
            <w:tcW w:w="6295" w:type="dxa"/>
            <w:shd w:val="clear" w:color="auto" w:fill="auto"/>
          </w:tcPr>
          <w:p w14:paraId="1ADBFB61" w14:textId="77777777" w:rsidR="005972A9" w:rsidRPr="00FD7B6F" w:rsidRDefault="004A79CA" w:rsidP="00FD7B6F">
            <w:pPr>
              <w:keepLines/>
              <w:pBdr>
                <w:top w:val="nil"/>
                <w:left w:val="nil"/>
                <w:bottom w:val="nil"/>
                <w:right w:val="nil"/>
                <w:between w:val="nil"/>
              </w:pBdr>
              <w:spacing w:before="50" w:after="50" w:line="240" w:lineRule="auto"/>
              <w:rPr>
                <w:rFonts w:ascii="Cambria" w:eastAsia="Cambria" w:hAnsi="Cambria" w:cs="Cambria"/>
                <w:b/>
                <w:color w:val="000000"/>
                <w:sz w:val="20"/>
                <w:szCs w:val="20"/>
              </w:rPr>
            </w:pPr>
            <w:proofErr w:type="spellStart"/>
            <w:r w:rsidRPr="00FD7B6F">
              <w:rPr>
                <w:rFonts w:ascii="Cambria" w:eastAsia="Cambria" w:hAnsi="Cambria" w:cs="Cambria"/>
                <w:b/>
                <w:color w:val="000000"/>
                <w:sz w:val="20"/>
                <w:szCs w:val="20"/>
              </w:rPr>
              <w:t>Recommendation</w:t>
            </w:r>
            <w:r w:rsidRPr="00FD7B6F">
              <w:rPr>
                <w:rFonts w:ascii="Cambria" w:eastAsia="Cambria" w:hAnsi="Cambria" w:cs="Cambria"/>
                <w:b/>
                <w:color w:val="000000"/>
                <w:sz w:val="20"/>
                <w:szCs w:val="20"/>
                <w:vertAlign w:val="superscript"/>
              </w:rPr>
              <w:t>b</w:t>
            </w:r>
            <w:proofErr w:type="spellEnd"/>
          </w:p>
        </w:tc>
      </w:tr>
      <w:tr w:rsidR="005972A9" w14:paraId="597E16E2" w14:textId="77777777" w:rsidTr="00FD7B6F">
        <w:trPr>
          <w:jc w:val="center"/>
        </w:trPr>
        <w:tc>
          <w:tcPr>
            <w:tcW w:w="2721" w:type="dxa"/>
            <w:shd w:val="clear" w:color="auto" w:fill="auto"/>
          </w:tcPr>
          <w:p w14:paraId="447D4BD3" w14:textId="77777777" w:rsidR="005972A9" w:rsidRPr="00FD7B6F" w:rsidRDefault="004A79CA">
            <w:pPr>
              <w:rPr>
                <w:rFonts w:ascii="Cambria" w:eastAsia="Cambria" w:hAnsi="Cambria" w:cs="Cambria"/>
                <w:sz w:val="20"/>
                <w:szCs w:val="20"/>
              </w:rPr>
            </w:pPr>
            <w:r w:rsidRPr="00FD7B6F">
              <w:rPr>
                <w:rFonts w:ascii="Cambria" w:eastAsia="Cambria" w:hAnsi="Cambria" w:cs="Cambria"/>
                <w:sz w:val="20"/>
                <w:szCs w:val="20"/>
              </w:rPr>
              <w:t>&gt; ULN to 8.9 mmol/L</w:t>
            </w:r>
          </w:p>
        </w:tc>
        <w:tc>
          <w:tcPr>
            <w:tcW w:w="6295" w:type="dxa"/>
            <w:shd w:val="clear" w:color="auto" w:fill="auto"/>
          </w:tcPr>
          <w:p w14:paraId="15D2A7E9" w14:textId="77777777" w:rsidR="005972A9" w:rsidRPr="00FD7B6F" w:rsidRDefault="004A79CA" w:rsidP="00FD7B6F">
            <w:pPr>
              <w:keepLines/>
              <w:numPr>
                <w:ilvl w:val="0"/>
                <w:numId w:val="2"/>
              </w:numPr>
              <w:pBdr>
                <w:top w:val="nil"/>
                <w:left w:val="nil"/>
                <w:bottom w:val="nil"/>
                <w:right w:val="nil"/>
                <w:between w:val="nil"/>
              </w:pBdr>
              <w:spacing w:before="50" w:after="50" w:line="240" w:lineRule="auto"/>
              <w:ind w:left="380" w:hanging="270"/>
              <w:rPr>
                <w:rFonts w:ascii="Cambria" w:eastAsia="Cambria" w:hAnsi="Cambria" w:cs="Cambria"/>
                <w:color w:val="000000"/>
                <w:sz w:val="20"/>
                <w:szCs w:val="20"/>
              </w:rPr>
            </w:pPr>
            <w:r w:rsidRPr="00FD7B6F">
              <w:rPr>
                <w:rFonts w:ascii="Cambria" w:eastAsia="Cambria" w:hAnsi="Cambria" w:cs="Cambria"/>
                <w:color w:val="000000"/>
                <w:sz w:val="20"/>
                <w:szCs w:val="20"/>
              </w:rPr>
              <w:t xml:space="preserve">No adjustment of </w:t>
            </w:r>
            <w:r w:rsidR="00DE29EE">
              <w:rPr>
                <w:rFonts w:ascii="Cambria" w:eastAsia="Cambria" w:hAnsi="Cambria" w:cs="Cambria"/>
                <w:color w:val="000000"/>
                <w:sz w:val="20"/>
                <w:szCs w:val="20"/>
              </w:rPr>
              <w:t>Itovebi</w:t>
            </w:r>
            <w:r w:rsidRPr="00FD7B6F">
              <w:rPr>
                <w:rFonts w:ascii="Cambria" w:eastAsia="Cambria" w:hAnsi="Cambria" w:cs="Cambria"/>
                <w:color w:val="000000"/>
                <w:sz w:val="20"/>
                <w:szCs w:val="20"/>
              </w:rPr>
              <w:t xml:space="preserve"> </w:t>
            </w:r>
            <w:proofErr w:type="gramStart"/>
            <w:r w:rsidRPr="00FD7B6F">
              <w:rPr>
                <w:rFonts w:ascii="Cambria" w:eastAsia="Cambria" w:hAnsi="Cambria" w:cs="Cambria"/>
                <w:color w:val="000000"/>
                <w:sz w:val="20"/>
                <w:szCs w:val="20"/>
              </w:rPr>
              <w:t>required</w:t>
            </w:r>
            <w:proofErr w:type="gramEnd"/>
            <w:r w:rsidRPr="00FD7B6F">
              <w:rPr>
                <w:rFonts w:ascii="Cambria" w:eastAsia="Cambria" w:hAnsi="Cambria" w:cs="Cambria"/>
                <w:color w:val="000000"/>
                <w:sz w:val="20"/>
                <w:szCs w:val="20"/>
              </w:rPr>
              <w:t xml:space="preserve">. </w:t>
            </w:r>
          </w:p>
          <w:p w14:paraId="4D804958" w14:textId="77777777" w:rsidR="005972A9" w:rsidRPr="00FD7B6F" w:rsidRDefault="004A79CA" w:rsidP="00FD7B6F">
            <w:pPr>
              <w:keepLines/>
              <w:numPr>
                <w:ilvl w:val="0"/>
                <w:numId w:val="2"/>
              </w:numPr>
              <w:pBdr>
                <w:top w:val="nil"/>
                <w:left w:val="nil"/>
                <w:bottom w:val="nil"/>
                <w:right w:val="nil"/>
                <w:between w:val="nil"/>
              </w:pBdr>
              <w:spacing w:before="50" w:after="50" w:line="240" w:lineRule="auto"/>
              <w:ind w:left="380" w:hanging="270"/>
              <w:rPr>
                <w:rFonts w:ascii="Cambria" w:eastAsia="Cambria" w:hAnsi="Cambria" w:cs="Cambria"/>
                <w:color w:val="000000"/>
                <w:sz w:val="20"/>
                <w:szCs w:val="20"/>
              </w:rPr>
            </w:pPr>
            <w:r w:rsidRPr="00FD7B6F">
              <w:rPr>
                <w:rFonts w:ascii="Cambria" w:eastAsia="Cambria" w:hAnsi="Cambria" w:cs="Cambria"/>
                <w:color w:val="000000"/>
                <w:sz w:val="20"/>
                <w:szCs w:val="20"/>
              </w:rPr>
              <w:t>Consider dietary modifications (e.g., low carbohydrate diet) and ensure adequate hydration.</w:t>
            </w:r>
          </w:p>
          <w:p w14:paraId="4D8A9B8C" w14:textId="77777777" w:rsidR="005972A9" w:rsidRPr="00FD7B6F" w:rsidRDefault="004A79CA" w:rsidP="00FD7B6F">
            <w:pPr>
              <w:keepLines/>
              <w:numPr>
                <w:ilvl w:val="0"/>
                <w:numId w:val="2"/>
              </w:numPr>
              <w:pBdr>
                <w:top w:val="nil"/>
                <w:left w:val="nil"/>
                <w:bottom w:val="nil"/>
                <w:right w:val="nil"/>
                <w:between w:val="nil"/>
              </w:pBdr>
              <w:spacing w:before="50" w:after="50" w:line="240" w:lineRule="auto"/>
              <w:ind w:left="380" w:hanging="270"/>
              <w:rPr>
                <w:rFonts w:ascii="Cambria" w:eastAsia="Cambria" w:hAnsi="Cambria" w:cs="Cambria"/>
                <w:color w:val="000000"/>
                <w:sz w:val="20"/>
                <w:szCs w:val="20"/>
              </w:rPr>
            </w:pPr>
            <w:r w:rsidRPr="00FD7B6F">
              <w:rPr>
                <w:rFonts w:ascii="Cambria" w:eastAsia="Cambria" w:hAnsi="Cambria" w:cs="Cambria"/>
                <w:color w:val="000000"/>
                <w:sz w:val="20"/>
                <w:szCs w:val="20"/>
              </w:rPr>
              <w:t>Consider initiating or intensifying oral anti-</w:t>
            </w:r>
            <w:proofErr w:type="spellStart"/>
            <w:r w:rsidRPr="00FD7B6F">
              <w:rPr>
                <w:rFonts w:ascii="Cambria" w:eastAsia="Cambria" w:hAnsi="Cambria" w:cs="Cambria"/>
                <w:color w:val="000000"/>
                <w:sz w:val="20"/>
                <w:szCs w:val="20"/>
              </w:rPr>
              <w:t>hyperglycaemic</w:t>
            </w:r>
            <w:proofErr w:type="spellEnd"/>
            <w:r w:rsidRPr="00FD7B6F">
              <w:rPr>
                <w:rFonts w:ascii="Cambria" w:eastAsia="Cambria" w:hAnsi="Cambria" w:cs="Cambria"/>
                <w:color w:val="000000"/>
                <w:sz w:val="20"/>
                <w:szCs w:val="20"/>
              </w:rPr>
              <w:t xml:space="preserve"> </w:t>
            </w:r>
            <w:proofErr w:type="spellStart"/>
            <w:r w:rsidRPr="00FD7B6F">
              <w:rPr>
                <w:rFonts w:ascii="Cambria" w:eastAsia="Cambria" w:hAnsi="Cambria" w:cs="Cambria"/>
                <w:color w:val="000000"/>
                <w:sz w:val="20"/>
                <w:szCs w:val="20"/>
              </w:rPr>
              <w:t>medications</w:t>
            </w:r>
            <w:r w:rsidRPr="00FD7B6F">
              <w:rPr>
                <w:rFonts w:ascii="Cambria" w:eastAsia="Cambria" w:hAnsi="Cambria" w:cs="Cambria"/>
                <w:color w:val="000000"/>
                <w:sz w:val="20"/>
                <w:szCs w:val="20"/>
                <w:vertAlign w:val="superscript"/>
              </w:rPr>
              <w:t>c</w:t>
            </w:r>
            <w:proofErr w:type="spellEnd"/>
            <w:r w:rsidRPr="00FD7B6F">
              <w:rPr>
                <w:rFonts w:ascii="Cambria" w:eastAsia="Cambria" w:hAnsi="Cambria" w:cs="Cambria"/>
                <w:color w:val="000000"/>
                <w:sz w:val="20"/>
                <w:szCs w:val="20"/>
              </w:rPr>
              <w:t xml:space="preserve"> for patients with risk factors for </w:t>
            </w:r>
            <w:proofErr w:type="spellStart"/>
            <w:r w:rsidRPr="00FD7B6F">
              <w:rPr>
                <w:rFonts w:ascii="Cambria" w:eastAsia="Cambria" w:hAnsi="Cambria" w:cs="Cambria"/>
                <w:color w:val="000000"/>
                <w:sz w:val="20"/>
                <w:szCs w:val="20"/>
              </w:rPr>
              <w:t>hyperglycaemia</w:t>
            </w:r>
            <w:r w:rsidRPr="00FD7B6F">
              <w:rPr>
                <w:rFonts w:ascii="Cambria" w:eastAsia="Cambria" w:hAnsi="Cambria" w:cs="Cambria"/>
                <w:color w:val="000000"/>
                <w:sz w:val="20"/>
                <w:szCs w:val="20"/>
                <w:vertAlign w:val="superscript"/>
              </w:rPr>
              <w:t>d</w:t>
            </w:r>
            <w:proofErr w:type="spellEnd"/>
            <w:r w:rsidRPr="00FD7B6F">
              <w:rPr>
                <w:rFonts w:ascii="Cambria" w:eastAsia="Cambria" w:hAnsi="Cambria" w:cs="Cambria"/>
                <w:color w:val="000000"/>
                <w:sz w:val="20"/>
                <w:szCs w:val="20"/>
              </w:rPr>
              <w:t>.</w:t>
            </w:r>
          </w:p>
        </w:tc>
      </w:tr>
      <w:tr w:rsidR="005972A9" w14:paraId="5F489A50" w14:textId="77777777" w:rsidTr="00FD7B6F">
        <w:trPr>
          <w:jc w:val="center"/>
        </w:trPr>
        <w:tc>
          <w:tcPr>
            <w:tcW w:w="2721" w:type="dxa"/>
            <w:shd w:val="clear" w:color="auto" w:fill="auto"/>
          </w:tcPr>
          <w:p w14:paraId="5540D1D0" w14:textId="77777777" w:rsidR="005972A9" w:rsidRPr="00FD7B6F" w:rsidRDefault="004A79CA">
            <w:pPr>
              <w:rPr>
                <w:rFonts w:ascii="Cambria" w:eastAsia="Cambria" w:hAnsi="Cambria" w:cs="Cambria"/>
                <w:sz w:val="20"/>
                <w:szCs w:val="20"/>
              </w:rPr>
            </w:pPr>
            <w:r w:rsidRPr="00FD7B6F">
              <w:rPr>
                <w:rFonts w:ascii="Cambria" w:eastAsia="Cambria" w:hAnsi="Cambria" w:cs="Cambria"/>
                <w:sz w:val="20"/>
                <w:szCs w:val="20"/>
              </w:rPr>
              <w:t>&gt; 8.9 – 13.9 mmol/L</w:t>
            </w:r>
          </w:p>
        </w:tc>
        <w:tc>
          <w:tcPr>
            <w:tcW w:w="6295" w:type="dxa"/>
            <w:shd w:val="clear" w:color="auto" w:fill="auto"/>
          </w:tcPr>
          <w:p w14:paraId="32BE001D" w14:textId="77777777" w:rsidR="005972A9" w:rsidRPr="00FD7B6F" w:rsidRDefault="004A79CA" w:rsidP="00FD7B6F">
            <w:pPr>
              <w:keepLines/>
              <w:numPr>
                <w:ilvl w:val="0"/>
                <w:numId w:val="1"/>
              </w:numPr>
              <w:pBdr>
                <w:top w:val="nil"/>
                <w:left w:val="nil"/>
                <w:bottom w:val="nil"/>
                <w:right w:val="nil"/>
                <w:between w:val="nil"/>
              </w:pBdr>
              <w:spacing w:before="50" w:after="50" w:line="240" w:lineRule="auto"/>
              <w:ind w:left="370" w:hanging="270"/>
              <w:rPr>
                <w:rFonts w:ascii="Cambria" w:eastAsia="Cambria" w:hAnsi="Cambria" w:cs="Cambria"/>
                <w:color w:val="000000"/>
                <w:sz w:val="20"/>
                <w:szCs w:val="20"/>
                <w:vertAlign w:val="superscript"/>
              </w:rPr>
            </w:pPr>
            <w:r w:rsidRPr="00FD7B6F">
              <w:rPr>
                <w:rFonts w:ascii="Cambria" w:eastAsia="Cambria" w:hAnsi="Cambria" w:cs="Cambria"/>
                <w:color w:val="000000"/>
                <w:sz w:val="20"/>
                <w:szCs w:val="20"/>
              </w:rPr>
              <w:t xml:space="preserve">Interrupt </w:t>
            </w:r>
            <w:r w:rsidR="00DE29EE">
              <w:rPr>
                <w:rFonts w:ascii="Cambria" w:eastAsia="Cambria" w:hAnsi="Cambria" w:cs="Cambria"/>
                <w:color w:val="000000"/>
                <w:sz w:val="20"/>
                <w:szCs w:val="20"/>
              </w:rPr>
              <w:t>Itovebi</w:t>
            </w:r>
            <w:r w:rsidRPr="00FD7B6F">
              <w:rPr>
                <w:rFonts w:ascii="Cambria" w:eastAsia="Cambria" w:hAnsi="Cambria" w:cs="Cambria"/>
                <w:color w:val="000000"/>
                <w:sz w:val="20"/>
                <w:szCs w:val="20"/>
              </w:rPr>
              <w:t xml:space="preserve"> until fasting glucose level decreases to ≤ 8.9 mmol/L. </w:t>
            </w:r>
          </w:p>
          <w:p w14:paraId="3E17336C" w14:textId="77777777" w:rsidR="005972A9" w:rsidRPr="00FD7B6F" w:rsidRDefault="004A79CA" w:rsidP="00FD7B6F">
            <w:pPr>
              <w:keepLines/>
              <w:numPr>
                <w:ilvl w:val="0"/>
                <w:numId w:val="1"/>
              </w:numPr>
              <w:pBdr>
                <w:top w:val="nil"/>
                <w:left w:val="nil"/>
                <w:bottom w:val="nil"/>
                <w:right w:val="nil"/>
                <w:between w:val="nil"/>
              </w:pBdr>
              <w:spacing w:before="50" w:after="50" w:line="240" w:lineRule="auto"/>
              <w:ind w:left="370" w:hanging="270"/>
              <w:rPr>
                <w:rFonts w:ascii="Cambria" w:eastAsia="Cambria" w:hAnsi="Cambria" w:cs="Cambria"/>
                <w:color w:val="000000"/>
                <w:sz w:val="20"/>
                <w:szCs w:val="20"/>
                <w:vertAlign w:val="superscript"/>
              </w:rPr>
            </w:pPr>
            <w:r w:rsidRPr="00FD7B6F">
              <w:rPr>
                <w:rFonts w:ascii="Cambria" w:eastAsia="Cambria" w:hAnsi="Cambria" w:cs="Cambria"/>
                <w:color w:val="000000"/>
                <w:sz w:val="20"/>
                <w:szCs w:val="20"/>
              </w:rPr>
              <w:t>Initiate or intensify anti-</w:t>
            </w:r>
            <w:proofErr w:type="spellStart"/>
            <w:r w:rsidRPr="00FD7B6F">
              <w:rPr>
                <w:rFonts w:ascii="Cambria" w:eastAsia="Cambria" w:hAnsi="Cambria" w:cs="Cambria"/>
                <w:color w:val="000000"/>
                <w:sz w:val="20"/>
                <w:szCs w:val="20"/>
              </w:rPr>
              <w:t>hyperglycaemic</w:t>
            </w:r>
            <w:proofErr w:type="spellEnd"/>
            <w:r w:rsidRPr="00FD7B6F">
              <w:rPr>
                <w:rFonts w:ascii="Cambria" w:eastAsia="Cambria" w:hAnsi="Cambria" w:cs="Cambria"/>
                <w:color w:val="000000"/>
                <w:sz w:val="20"/>
                <w:szCs w:val="20"/>
              </w:rPr>
              <w:t xml:space="preserve"> </w:t>
            </w:r>
            <w:proofErr w:type="spellStart"/>
            <w:r w:rsidRPr="00FD7B6F">
              <w:rPr>
                <w:rFonts w:ascii="Cambria" w:eastAsia="Cambria" w:hAnsi="Cambria" w:cs="Cambria"/>
                <w:color w:val="000000"/>
                <w:sz w:val="20"/>
                <w:szCs w:val="20"/>
              </w:rPr>
              <w:t>medication</w:t>
            </w:r>
            <w:r w:rsidRPr="00FD7B6F">
              <w:rPr>
                <w:rFonts w:ascii="Cambria" w:eastAsia="Cambria" w:hAnsi="Cambria" w:cs="Cambria"/>
                <w:color w:val="000000"/>
                <w:sz w:val="20"/>
                <w:szCs w:val="20"/>
                <w:vertAlign w:val="superscript"/>
              </w:rPr>
              <w:t>c,e</w:t>
            </w:r>
            <w:proofErr w:type="spellEnd"/>
            <w:r w:rsidRPr="00FD7B6F">
              <w:rPr>
                <w:rFonts w:ascii="Cambria" w:eastAsia="Cambria" w:hAnsi="Cambria" w:cs="Cambria"/>
                <w:color w:val="000000"/>
                <w:sz w:val="20"/>
                <w:szCs w:val="20"/>
              </w:rPr>
              <w:t>.</w:t>
            </w:r>
            <w:r w:rsidRPr="00FD7B6F">
              <w:rPr>
                <w:rFonts w:ascii="Cambria" w:eastAsia="Cambria" w:hAnsi="Cambria" w:cs="Cambria"/>
                <w:color w:val="000000"/>
                <w:sz w:val="20"/>
                <w:szCs w:val="20"/>
                <w:vertAlign w:val="superscript"/>
              </w:rPr>
              <w:t xml:space="preserve"> </w:t>
            </w:r>
          </w:p>
          <w:p w14:paraId="1B1C9CBD" w14:textId="77777777" w:rsidR="005972A9" w:rsidRPr="00FD7B6F" w:rsidRDefault="004A79CA" w:rsidP="00FD7B6F">
            <w:pPr>
              <w:keepLines/>
              <w:numPr>
                <w:ilvl w:val="0"/>
                <w:numId w:val="1"/>
              </w:numPr>
              <w:pBdr>
                <w:top w:val="nil"/>
                <w:left w:val="nil"/>
                <w:bottom w:val="nil"/>
                <w:right w:val="nil"/>
                <w:between w:val="nil"/>
              </w:pBdr>
              <w:spacing w:before="50" w:after="50" w:line="240" w:lineRule="auto"/>
              <w:ind w:left="370" w:hanging="270"/>
              <w:rPr>
                <w:rFonts w:ascii="Cambria" w:eastAsia="Cambria" w:hAnsi="Cambria" w:cs="Cambria"/>
                <w:color w:val="000000"/>
                <w:sz w:val="20"/>
                <w:szCs w:val="20"/>
              </w:rPr>
            </w:pPr>
            <w:r w:rsidRPr="00FD7B6F">
              <w:rPr>
                <w:rFonts w:ascii="Cambria" w:eastAsia="Cambria" w:hAnsi="Cambria" w:cs="Cambria"/>
                <w:color w:val="000000"/>
                <w:sz w:val="20"/>
                <w:szCs w:val="20"/>
              </w:rPr>
              <w:t xml:space="preserve">Resume </w:t>
            </w:r>
            <w:r w:rsidR="00DE29EE">
              <w:rPr>
                <w:rFonts w:ascii="Cambria" w:eastAsia="Cambria" w:hAnsi="Cambria" w:cs="Cambria"/>
                <w:color w:val="000000"/>
                <w:sz w:val="20"/>
                <w:szCs w:val="20"/>
              </w:rPr>
              <w:t>Itovebi</w:t>
            </w:r>
            <w:r w:rsidRPr="00FD7B6F">
              <w:rPr>
                <w:rFonts w:ascii="Cambria" w:eastAsia="Cambria" w:hAnsi="Cambria" w:cs="Cambria"/>
                <w:color w:val="000000"/>
                <w:sz w:val="20"/>
                <w:szCs w:val="20"/>
              </w:rPr>
              <w:t xml:space="preserve"> at the </w:t>
            </w:r>
            <w:proofErr w:type="gramStart"/>
            <w:r w:rsidRPr="00FD7B6F">
              <w:rPr>
                <w:rFonts w:ascii="Cambria" w:eastAsia="Cambria" w:hAnsi="Cambria" w:cs="Cambria"/>
                <w:color w:val="000000"/>
                <w:sz w:val="20"/>
                <w:szCs w:val="20"/>
              </w:rPr>
              <w:t>same dose</w:t>
            </w:r>
            <w:proofErr w:type="gramEnd"/>
            <w:r w:rsidRPr="00FD7B6F">
              <w:rPr>
                <w:rFonts w:ascii="Cambria" w:eastAsia="Cambria" w:hAnsi="Cambria" w:cs="Cambria"/>
                <w:color w:val="000000"/>
                <w:sz w:val="20"/>
                <w:szCs w:val="20"/>
              </w:rPr>
              <w:t xml:space="preserve"> level.</w:t>
            </w:r>
          </w:p>
          <w:p w14:paraId="33B5C4B8" w14:textId="77777777" w:rsidR="005972A9" w:rsidRPr="00FD7B6F" w:rsidRDefault="004A79CA" w:rsidP="00FD7B6F">
            <w:pPr>
              <w:keepLines/>
              <w:numPr>
                <w:ilvl w:val="0"/>
                <w:numId w:val="1"/>
              </w:numPr>
              <w:pBdr>
                <w:top w:val="nil"/>
                <w:left w:val="nil"/>
                <w:bottom w:val="nil"/>
                <w:right w:val="nil"/>
                <w:between w:val="nil"/>
              </w:pBdr>
              <w:spacing w:before="50" w:after="50" w:line="240" w:lineRule="auto"/>
              <w:ind w:left="370" w:hanging="270"/>
              <w:rPr>
                <w:rFonts w:ascii="Cambria" w:eastAsia="Cambria" w:hAnsi="Cambria" w:cs="Cambria"/>
                <w:color w:val="000000"/>
                <w:sz w:val="20"/>
                <w:szCs w:val="20"/>
              </w:rPr>
            </w:pPr>
            <w:r w:rsidRPr="00FD7B6F">
              <w:rPr>
                <w:rFonts w:ascii="Cambria" w:eastAsia="Cambria" w:hAnsi="Cambria" w:cs="Cambria"/>
                <w:color w:val="000000"/>
                <w:sz w:val="20"/>
                <w:szCs w:val="20"/>
              </w:rPr>
              <w:t>If fasting glucose level persists &gt;</w:t>
            </w:r>
            <w:r w:rsidRPr="00FD7B6F">
              <w:rPr>
                <w:rFonts w:ascii="Cambria" w:eastAsia="Cambria" w:hAnsi="Cambria" w:cs="Cambria"/>
                <w:color w:val="000000"/>
              </w:rPr>
              <w:t xml:space="preserve"> </w:t>
            </w:r>
            <w:r w:rsidRPr="00FD7B6F">
              <w:rPr>
                <w:rFonts w:ascii="Cambria" w:eastAsia="Cambria" w:hAnsi="Cambria" w:cs="Cambria"/>
                <w:color w:val="000000"/>
                <w:sz w:val="20"/>
                <w:szCs w:val="20"/>
              </w:rPr>
              <w:t xml:space="preserve">11.1 – 13.9 mmol/L for 7 days under appropriate anti-hyperglycaemic treatment, consultation with a healthcare professional experienced in the treatment of hyperglycaemia is recommended.  </w:t>
            </w:r>
          </w:p>
        </w:tc>
      </w:tr>
      <w:tr w:rsidR="005972A9" w14:paraId="23375551" w14:textId="77777777" w:rsidTr="00FD7B6F">
        <w:trPr>
          <w:jc w:val="center"/>
        </w:trPr>
        <w:tc>
          <w:tcPr>
            <w:tcW w:w="2721" w:type="dxa"/>
            <w:shd w:val="clear" w:color="auto" w:fill="auto"/>
          </w:tcPr>
          <w:p w14:paraId="7F54D63C" w14:textId="77777777" w:rsidR="005972A9" w:rsidRPr="00FD7B6F" w:rsidRDefault="004A79CA">
            <w:pPr>
              <w:rPr>
                <w:rFonts w:ascii="Cambria" w:eastAsia="Cambria" w:hAnsi="Cambria" w:cs="Cambria"/>
                <w:sz w:val="20"/>
                <w:szCs w:val="20"/>
              </w:rPr>
            </w:pPr>
            <w:r w:rsidRPr="00FD7B6F">
              <w:rPr>
                <w:rFonts w:ascii="Cambria" w:eastAsia="Cambria" w:hAnsi="Cambria" w:cs="Cambria"/>
                <w:sz w:val="20"/>
                <w:szCs w:val="20"/>
              </w:rPr>
              <w:t>&gt; 13.9 – 27.8 mmol/L</w:t>
            </w:r>
          </w:p>
        </w:tc>
        <w:tc>
          <w:tcPr>
            <w:tcW w:w="6295" w:type="dxa"/>
            <w:shd w:val="clear" w:color="auto" w:fill="auto"/>
          </w:tcPr>
          <w:p w14:paraId="74ABC091" w14:textId="77777777" w:rsidR="005972A9" w:rsidRPr="00FD7B6F" w:rsidRDefault="004A79CA" w:rsidP="00FD7B6F">
            <w:pPr>
              <w:keepLines/>
              <w:numPr>
                <w:ilvl w:val="0"/>
                <w:numId w:val="1"/>
              </w:numPr>
              <w:pBdr>
                <w:top w:val="nil"/>
                <w:left w:val="nil"/>
                <w:bottom w:val="nil"/>
                <w:right w:val="nil"/>
                <w:between w:val="nil"/>
              </w:pBdr>
              <w:spacing w:before="50" w:after="50" w:line="240" w:lineRule="auto"/>
              <w:ind w:left="370" w:hanging="270"/>
              <w:rPr>
                <w:rFonts w:ascii="Cambria" w:eastAsia="Cambria" w:hAnsi="Cambria" w:cs="Cambria"/>
                <w:color w:val="000000"/>
                <w:sz w:val="20"/>
                <w:szCs w:val="20"/>
              </w:rPr>
            </w:pPr>
            <w:r w:rsidRPr="00FD7B6F">
              <w:rPr>
                <w:rFonts w:ascii="Cambria" w:eastAsia="Cambria" w:hAnsi="Cambria" w:cs="Cambria"/>
                <w:color w:val="000000"/>
                <w:sz w:val="20"/>
                <w:szCs w:val="20"/>
              </w:rPr>
              <w:t xml:space="preserve">Interrupt </w:t>
            </w:r>
            <w:r w:rsidR="00DE29EE">
              <w:rPr>
                <w:rFonts w:ascii="Cambria" w:eastAsia="Cambria" w:hAnsi="Cambria" w:cs="Cambria"/>
                <w:color w:val="000000"/>
                <w:sz w:val="20"/>
                <w:szCs w:val="20"/>
              </w:rPr>
              <w:t>Itovebi</w:t>
            </w:r>
            <w:r w:rsidRPr="00FD7B6F">
              <w:rPr>
                <w:rFonts w:ascii="Cambria" w:eastAsia="Cambria" w:hAnsi="Cambria" w:cs="Cambria"/>
                <w:color w:val="000000"/>
                <w:sz w:val="20"/>
                <w:szCs w:val="20"/>
              </w:rPr>
              <w:t xml:space="preserve">. </w:t>
            </w:r>
          </w:p>
          <w:p w14:paraId="7C0775C8" w14:textId="77777777" w:rsidR="005972A9" w:rsidRPr="00FD7B6F" w:rsidRDefault="004A79CA" w:rsidP="00FD7B6F">
            <w:pPr>
              <w:keepLines/>
              <w:numPr>
                <w:ilvl w:val="0"/>
                <w:numId w:val="1"/>
              </w:numPr>
              <w:pBdr>
                <w:top w:val="nil"/>
                <w:left w:val="nil"/>
                <w:bottom w:val="nil"/>
                <w:right w:val="nil"/>
                <w:between w:val="nil"/>
              </w:pBdr>
              <w:spacing w:before="50" w:after="50" w:line="240" w:lineRule="auto"/>
              <w:ind w:left="370" w:hanging="270"/>
              <w:rPr>
                <w:rFonts w:ascii="Cambria" w:eastAsia="Cambria" w:hAnsi="Cambria" w:cs="Cambria"/>
                <w:color w:val="000000"/>
                <w:sz w:val="20"/>
                <w:szCs w:val="20"/>
              </w:rPr>
            </w:pPr>
            <w:r w:rsidRPr="00FD7B6F">
              <w:rPr>
                <w:rFonts w:ascii="Cambria" w:eastAsia="Cambria" w:hAnsi="Cambria" w:cs="Cambria"/>
                <w:color w:val="000000"/>
                <w:sz w:val="20"/>
                <w:szCs w:val="20"/>
              </w:rPr>
              <w:t>Initiate or intensify anti-</w:t>
            </w:r>
            <w:proofErr w:type="spellStart"/>
            <w:r w:rsidRPr="00FD7B6F">
              <w:rPr>
                <w:rFonts w:ascii="Cambria" w:eastAsia="Cambria" w:hAnsi="Cambria" w:cs="Cambria"/>
                <w:color w:val="000000"/>
                <w:sz w:val="20"/>
                <w:szCs w:val="20"/>
              </w:rPr>
              <w:t>hyperglycaemic</w:t>
            </w:r>
            <w:proofErr w:type="spellEnd"/>
            <w:r w:rsidRPr="00FD7B6F">
              <w:rPr>
                <w:rFonts w:ascii="Cambria" w:eastAsia="Cambria" w:hAnsi="Cambria" w:cs="Cambria"/>
                <w:color w:val="000000"/>
                <w:sz w:val="20"/>
                <w:szCs w:val="20"/>
              </w:rPr>
              <w:t xml:space="preserve"> </w:t>
            </w:r>
            <w:proofErr w:type="spellStart"/>
            <w:r w:rsidRPr="00FD7B6F">
              <w:rPr>
                <w:rFonts w:ascii="Cambria" w:eastAsia="Cambria" w:hAnsi="Cambria" w:cs="Cambria"/>
                <w:color w:val="000000"/>
                <w:sz w:val="20"/>
                <w:szCs w:val="20"/>
              </w:rPr>
              <w:t>medication</w:t>
            </w:r>
            <w:r w:rsidRPr="00FD7B6F">
              <w:rPr>
                <w:rFonts w:ascii="Cambria" w:eastAsia="Cambria" w:hAnsi="Cambria" w:cs="Cambria"/>
                <w:color w:val="000000"/>
                <w:sz w:val="20"/>
                <w:szCs w:val="20"/>
                <w:vertAlign w:val="superscript"/>
              </w:rPr>
              <w:t>c,e</w:t>
            </w:r>
            <w:proofErr w:type="spellEnd"/>
            <w:r w:rsidRPr="00FD7B6F">
              <w:rPr>
                <w:rFonts w:ascii="Cambria" w:eastAsia="Cambria" w:hAnsi="Cambria" w:cs="Cambria"/>
                <w:color w:val="000000"/>
                <w:sz w:val="20"/>
                <w:szCs w:val="20"/>
              </w:rPr>
              <w:t xml:space="preserve">. </w:t>
            </w:r>
          </w:p>
          <w:p w14:paraId="453E6447" w14:textId="77777777" w:rsidR="005972A9" w:rsidRPr="00FD7B6F" w:rsidRDefault="004A79CA" w:rsidP="00FD7B6F">
            <w:pPr>
              <w:keepLines/>
              <w:numPr>
                <w:ilvl w:val="0"/>
                <w:numId w:val="1"/>
              </w:numPr>
              <w:pBdr>
                <w:top w:val="nil"/>
                <w:left w:val="nil"/>
                <w:bottom w:val="nil"/>
                <w:right w:val="nil"/>
                <w:between w:val="nil"/>
              </w:pBdr>
              <w:spacing w:before="50" w:after="50" w:line="240" w:lineRule="auto"/>
              <w:ind w:left="370" w:hanging="270"/>
              <w:rPr>
                <w:rFonts w:ascii="Cambria" w:eastAsia="Cambria" w:hAnsi="Cambria" w:cs="Cambria"/>
                <w:color w:val="000000"/>
                <w:sz w:val="20"/>
                <w:szCs w:val="20"/>
              </w:rPr>
            </w:pPr>
            <w:r w:rsidRPr="00FD7B6F">
              <w:rPr>
                <w:rFonts w:ascii="Cambria" w:eastAsia="Cambria" w:hAnsi="Cambria" w:cs="Cambria"/>
                <w:color w:val="000000"/>
                <w:sz w:val="20"/>
                <w:szCs w:val="20"/>
              </w:rPr>
              <w:t>Administer appropriate hydration if required.</w:t>
            </w:r>
          </w:p>
          <w:p w14:paraId="0599E3EB" w14:textId="77777777" w:rsidR="005972A9" w:rsidRPr="00FD7B6F" w:rsidRDefault="004A79CA" w:rsidP="00FD7B6F">
            <w:pPr>
              <w:keepLines/>
              <w:numPr>
                <w:ilvl w:val="0"/>
                <w:numId w:val="1"/>
              </w:numPr>
              <w:pBdr>
                <w:top w:val="nil"/>
                <w:left w:val="nil"/>
                <w:bottom w:val="nil"/>
                <w:right w:val="nil"/>
                <w:between w:val="nil"/>
              </w:pBdr>
              <w:spacing w:before="50" w:after="50" w:line="240" w:lineRule="auto"/>
              <w:ind w:left="370" w:hanging="270"/>
              <w:rPr>
                <w:rFonts w:ascii="Cambria" w:eastAsia="Cambria" w:hAnsi="Cambria" w:cs="Cambria"/>
                <w:color w:val="000000"/>
                <w:sz w:val="20"/>
                <w:szCs w:val="20"/>
              </w:rPr>
            </w:pPr>
            <w:r w:rsidRPr="00FD7B6F">
              <w:rPr>
                <w:rFonts w:ascii="Cambria" w:eastAsia="Cambria" w:hAnsi="Cambria" w:cs="Cambria"/>
                <w:color w:val="000000"/>
                <w:sz w:val="20"/>
                <w:szCs w:val="20"/>
              </w:rPr>
              <w:t xml:space="preserve">If fasting glucose level decreases to ≤ 8.9 mmol/L within 7 days, resume </w:t>
            </w:r>
            <w:r w:rsidR="00DE29EE">
              <w:rPr>
                <w:rFonts w:ascii="Cambria" w:eastAsia="Cambria" w:hAnsi="Cambria" w:cs="Cambria"/>
                <w:color w:val="000000"/>
                <w:sz w:val="20"/>
                <w:szCs w:val="20"/>
              </w:rPr>
              <w:t>Itovebi</w:t>
            </w:r>
            <w:r w:rsidRPr="00FD7B6F">
              <w:rPr>
                <w:rFonts w:ascii="Cambria" w:eastAsia="Cambria" w:hAnsi="Cambria" w:cs="Cambria"/>
                <w:color w:val="000000"/>
                <w:sz w:val="20"/>
                <w:szCs w:val="20"/>
              </w:rPr>
              <w:t xml:space="preserve"> at the same dose level. </w:t>
            </w:r>
          </w:p>
          <w:p w14:paraId="7BC965F7" w14:textId="77777777" w:rsidR="005972A9" w:rsidRPr="00FD7B6F" w:rsidRDefault="004A79CA" w:rsidP="00FD7B6F">
            <w:pPr>
              <w:keepLines/>
              <w:numPr>
                <w:ilvl w:val="0"/>
                <w:numId w:val="1"/>
              </w:numPr>
              <w:pBdr>
                <w:top w:val="nil"/>
                <w:left w:val="nil"/>
                <w:bottom w:val="nil"/>
                <w:right w:val="nil"/>
                <w:between w:val="nil"/>
              </w:pBdr>
              <w:spacing w:before="50" w:after="50" w:line="240" w:lineRule="auto"/>
              <w:ind w:left="370" w:hanging="270"/>
              <w:rPr>
                <w:rFonts w:ascii="Cambria" w:eastAsia="Cambria" w:hAnsi="Cambria" w:cs="Cambria"/>
                <w:color w:val="000000"/>
                <w:sz w:val="20"/>
                <w:szCs w:val="20"/>
              </w:rPr>
            </w:pPr>
            <w:r w:rsidRPr="00FD7B6F">
              <w:rPr>
                <w:rFonts w:ascii="Cambria" w:eastAsia="Cambria" w:hAnsi="Cambria" w:cs="Cambria"/>
                <w:color w:val="000000"/>
                <w:sz w:val="20"/>
                <w:szCs w:val="20"/>
              </w:rPr>
              <w:t xml:space="preserve">If fasting glucose level decreases to ≤ 8.9 mmol/L in ≥ 8 days, resume </w:t>
            </w:r>
            <w:r w:rsidR="00DE29EE">
              <w:rPr>
                <w:rFonts w:ascii="Cambria" w:eastAsia="Cambria" w:hAnsi="Cambria" w:cs="Cambria"/>
                <w:color w:val="000000"/>
                <w:sz w:val="20"/>
                <w:szCs w:val="20"/>
              </w:rPr>
              <w:t>Itovebi</w:t>
            </w:r>
            <w:r w:rsidRPr="00FD7B6F">
              <w:rPr>
                <w:rFonts w:ascii="Cambria" w:eastAsia="Cambria" w:hAnsi="Cambria" w:cs="Cambria"/>
                <w:color w:val="000000"/>
                <w:sz w:val="20"/>
                <w:szCs w:val="20"/>
              </w:rPr>
              <w:t xml:space="preserve"> at one lower dose level (see  Table 1).</w:t>
            </w:r>
          </w:p>
          <w:p w14:paraId="7859AC63" w14:textId="77777777" w:rsidR="005972A9" w:rsidRPr="00FD7B6F" w:rsidRDefault="004A79CA" w:rsidP="00FD7B6F">
            <w:pPr>
              <w:keepLines/>
              <w:numPr>
                <w:ilvl w:val="0"/>
                <w:numId w:val="1"/>
              </w:numPr>
              <w:pBdr>
                <w:top w:val="nil"/>
                <w:left w:val="nil"/>
                <w:bottom w:val="nil"/>
                <w:right w:val="nil"/>
                <w:between w:val="nil"/>
              </w:pBdr>
              <w:spacing w:before="50" w:after="50" w:line="240" w:lineRule="auto"/>
              <w:ind w:left="370" w:hanging="270"/>
              <w:rPr>
                <w:rFonts w:ascii="Cambria" w:eastAsia="Cambria" w:hAnsi="Cambria" w:cs="Cambria"/>
                <w:color w:val="000000"/>
                <w:sz w:val="20"/>
                <w:szCs w:val="20"/>
              </w:rPr>
            </w:pPr>
            <w:r w:rsidRPr="00FD7B6F">
              <w:rPr>
                <w:rFonts w:ascii="Cambria" w:eastAsia="Cambria" w:hAnsi="Cambria" w:cs="Cambria"/>
                <w:color w:val="000000"/>
                <w:sz w:val="20"/>
                <w:szCs w:val="20"/>
              </w:rPr>
              <w:t xml:space="preserve">If fasting glucose level &gt; 13.9 – 27.8 mmol/L recurs within 30 days, interrupt </w:t>
            </w:r>
            <w:r w:rsidR="00DE29EE">
              <w:rPr>
                <w:rFonts w:ascii="Cambria" w:eastAsia="Cambria" w:hAnsi="Cambria" w:cs="Cambria"/>
                <w:color w:val="000000"/>
                <w:sz w:val="20"/>
                <w:szCs w:val="20"/>
              </w:rPr>
              <w:t>Itovebi</w:t>
            </w:r>
            <w:r w:rsidRPr="00FD7B6F">
              <w:rPr>
                <w:rFonts w:ascii="Cambria" w:eastAsia="Cambria" w:hAnsi="Cambria" w:cs="Cambria"/>
                <w:color w:val="000000"/>
                <w:sz w:val="20"/>
                <w:szCs w:val="20"/>
              </w:rPr>
              <w:t xml:space="preserve"> until fasting glucose level decreases to ≤ 8.9 mmol/L.  Resume </w:t>
            </w:r>
            <w:r w:rsidR="00DE29EE">
              <w:rPr>
                <w:rFonts w:ascii="Cambria" w:eastAsia="Cambria" w:hAnsi="Cambria" w:cs="Cambria"/>
                <w:color w:val="000000"/>
                <w:sz w:val="20"/>
                <w:szCs w:val="20"/>
              </w:rPr>
              <w:t>Itovebi</w:t>
            </w:r>
            <w:r w:rsidRPr="00FD7B6F">
              <w:rPr>
                <w:rFonts w:ascii="Cambria" w:eastAsia="Cambria" w:hAnsi="Cambria" w:cs="Cambria"/>
                <w:color w:val="000000"/>
                <w:sz w:val="20"/>
                <w:szCs w:val="20"/>
              </w:rPr>
              <w:t xml:space="preserve"> at one lower dose level (see  Table 1).</w:t>
            </w:r>
          </w:p>
        </w:tc>
      </w:tr>
      <w:tr w:rsidR="005972A9" w14:paraId="708922A3" w14:textId="77777777" w:rsidTr="00FD7B6F">
        <w:trPr>
          <w:jc w:val="center"/>
        </w:trPr>
        <w:tc>
          <w:tcPr>
            <w:tcW w:w="2721" w:type="dxa"/>
            <w:shd w:val="clear" w:color="auto" w:fill="auto"/>
          </w:tcPr>
          <w:p w14:paraId="1CD0C7F0" w14:textId="77777777" w:rsidR="005972A9" w:rsidRPr="00FD7B6F" w:rsidRDefault="004A79CA">
            <w:pPr>
              <w:rPr>
                <w:rFonts w:ascii="Cambria" w:eastAsia="Cambria" w:hAnsi="Cambria" w:cs="Cambria"/>
                <w:sz w:val="20"/>
                <w:szCs w:val="20"/>
              </w:rPr>
            </w:pPr>
            <w:r w:rsidRPr="00FD7B6F">
              <w:rPr>
                <w:rFonts w:ascii="Cambria" w:eastAsia="Cambria" w:hAnsi="Cambria" w:cs="Cambria"/>
                <w:sz w:val="20"/>
                <w:szCs w:val="20"/>
              </w:rPr>
              <w:t>&gt; 27.8 mmol/L</w:t>
            </w:r>
          </w:p>
        </w:tc>
        <w:tc>
          <w:tcPr>
            <w:tcW w:w="6295" w:type="dxa"/>
            <w:shd w:val="clear" w:color="auto" w:fill="auto"/>
          </w:tcPr>
          <w:p w14:paraId="10930EEB" w14:textId="77777777" w:rsidR="005972A9" w:rsidRPr="00FD7B6F" w:rsidRDefault="004A79CA" w:rsidP="00FD7B6F">
            <w:pPr>
              <w:keepLines/>
              <w:numPr>
                <w:ilvl w:val="0"/>
                <w:numId w:val="1"/>
              </w:numPr>
              <w:pBdr>
                <w:top w:val="nil"/>
                <w:left w:val="nil"/>
                <w:bottom w:val="nil"/>
                <w:right w:val="nil"/>
                <w:between w:val="nil"/>
              </w:pBdr>
              <w:spacing w:before="50" w:after="50" w:line="240" w:lineRule="auto"/>
              <w:ind w:left="370" w:hanging="270"/>
              <w:rPr>
                <w:rFonts w:ascii="Cambria" w:eastAsia="Cambria" w:hAnsi="Cambria" w:cs="Cambria"/>
                <w:color w:val="000000"/>
                <w:sz w:val="20"/>
                <w:szCs w:val="20"/>
              </w:rPr>
            </w:pPr>
            <w:r w:rsidRPr="00FD7B6F">
              <w:rPr>
                <w:rFonts w:ascii="Cambria" w:eastAsia="Cambria" w:hAnsi="Cambria" w:cs="Cambria"/>
                <w:color w:val="000000"/>
                <w:sz w:val="20"/>
                <w:szCs w:val="20"/>
              </w:rPr>
              <w:t xml:space="preserve">Interrupt </w:t>
            </w:r>
            <w:r w:rsidR="00DE29EE">
              <w:rPr>
                <w:rFonts w:ascii="Cambria" w:eastAsia="Cambria" w:hAnsi="Cambria" w:cs="Cambria"/>
                <w:color w:val="000000"/>
                <w:sz w:val="20"/>
                <w:szCs w:val="20"/>
              </w:rPr>
              <w:t>Itovebi</w:t>
            </w:r>
            <w:r w:rsidRPr="00FD7B6F">
              <w:rPr>
                <w:rFonts w:ascii="Cambria" w:eastAsia="Cambria" w:hAnsi="Cambria" w:cs="Cambria"/>
                <w:color w:val="000000"/>
                <w:sz w:val="20"/>
                <w:szCs w:val="20"/>
              </w:rPr>
              <w:t>.</w:t>
            </w:r>
          </w:p>
          <w:p w14:paraId="74B000D8" w14:textId="77777777" w:rsidR="005972A9" w:rsidRPr="00FD7B6F" w:rsidRDefault="004A79CA" w:rsidP="00FD7B6F">
            <w:pPr>
              <w:keepLines/>
              <w:numPr>
                <w:ilvl w:val="0"/>
                <w:numId w:val="1"/>
              </w:numPr>
              <w:pBdr>
                <w:top w:val="nil"/>
                <w:left w:val="nil"/>
                <w:bottom w:val="nil"/>
                <w:right w:val="nil"/>
                <w:between w:val="nil"/>
              </w:pBdr>
              <w:spacing w:before="50" w:after="50" w:line="240" w:lineRule="auto"/>
              <w:ind w:left="370" w:hanging="270"/>
              <w:rPr>
                <w:rFonts w:ascii="Cambria" w:eastAsia="Cambria" w:hAnsi="Cambria" w:cs="Cambria"/>
                <w:color w:val="000000"/>
                <w:sz w:val="20"/>
                <w:szCs w:val="20"/>
              </w:rPr>
            </w:pPr>
            <w:r w:rsidRPr="00FD7B6F">
              <w:rPr>
                <w:rFonts w:ascii="Cambria" w:eastAsia="Cambria" w:hAnsi="Cambria" w:cs="Cambria"/>
                <w:color w:val="000000"/>
                <w:sz w:val="20"/>
                <w:szCs w:val="20"/>
              </w:rPr>
              <w:t>Initiate or intensify anti-</w:t>
            </w:r>
            <w:proofErr w:type="spellStart"/>
            <w:r w:rsidRPr="00FD7B6F">
              <w:rPr>
                <w:rFonts w:ascii="Cambria" w:eastAsia="Cambria" w:hAnsi="Cambria" w:cs="Cambria"/>
                <w:color w:val="000000"/>
                <w:sz w:val="20"/>
                <w:szCs w:val="20"/>
              </w:rPr>
              <w:t>hyperglycaemic</w:t>
            </w:r>
            <w:proofErr w:type="spellEnd"/>
            <w:r w:rsidRPr="00FD7B6F">
              <w:rPr>
                <w:rFonts w:ascii="Cambria" w:eastAsia="Cambria" w:hAnsi="Cambria" w:cs="Cambria"/>
                <w:color w:val="000000"/>
                <w:sz w:val="20"/>
                <w:szCs w:val="20"/>
              </w:rPr>
              <w:t xml:space="preserve"> </w:t>
            </w:r>
            <w:proofErr w:type="spellStart"/>
            <w:r w:rsidRPr="00FD7B6F">
              <w:rPr>
                <w:rFonts w:ascii="Cambria" w:eastAsia="Cambria" w:hAnsi="Cambria" w:cs="Cambria"/>
                <w:color w:val="000000"/>
                <w:sz w:val="20"/>
                <w:szCs w:val="20"/>
              </w:rPr>
              <w:t>medication</w:t>
            </w:r>
            <w:r w:rsidRPr="00FD7B6F">
              <w:rPr>
                <w:rFonts w:ascii="Cambria" w:eastAsia="Cambria" w:hAnsi="Cambria" w:cs="Cambria"/>
                <w:color w:val="000000"/>
                <w:sz w:val="20"/>
                <w:szCs w:val="20"/>
                <w:vertAlign w:val="superscript"/>
              </w:rPr>
              <w:t>c,e</w:t>
            </w:r>
            <w:proofErr w:type="spellEnd"/>
            <w:r w:rsidRPr="00FD7B6F">
              <w:rPr>
                <w:rFonts w:ascii="Cambria" w:eastAsia="Cambria" w:hAnsi="Cambria" w:cs="Cambria"/>
                <w:color w:val="000000"/>
                <w:sz w:val="20"/>
                <w:szCs w:val="20"/>
              </w:rPr>
              <w:t xml:space="preserve">. </w:t>
            </w:r>
          </w:p>
          <w:p w14:paraId="1F1D5682" w14:textId="77777777" w:rsidR="005972A9" w:rsidRPr="00FD7B6F" w:rsidRDefault="004A79CA" w:rsidP="00FD7B6F">
            <w:pPr>
              <w:keepLines/>
              <w:numPr>
                <w:ilvl w:val="0"/>
                <w:numId w:val="1"/>
              </w:numPr>
              <w:pBdr>
                <w:top w:val="nil"/>
                <w:left w:val="nil"/>
                <w:bottom w:val="nil"/>
                <w:right w:val="nil"/>
                <w:between w:val="nil"/>
              </w:pBdr>
              <w:spacing w:before="50" w:after="50" w:line="240" w:lineRule="auto"/>
              <w:ind w:left="370" w:hanging="270"/>
              <w:rPr>
                <w:rFonts w:ascii="Cambria" w:eastAsia="Cambria" w:hAnsi="Cambria" w:cs="Cambria"/>
                <w:color w:val="000000"/>
                <w:sz w:val="20"/>
                <w:szCs w:val="20"/>
              </w:rPr>
            </w:pPr>
            <w:r w:rsidRPr="00FD7B6F">
              <w:rPr>
                <w:rFonts w:ascii="Cambria" w:eastAsia="Cambria" w:hAnsi="Cambria" w:cs="Cambria"/>
                <w:color w:val="000000"/>
                <w:sz w:val="20"/>
                <w:szCs w:val="20"/>
              </w:rPr>
              <w:t>Assess for volume depletion and ketosis and administer appropriate hydration.</w:t>
            </w:r>
          </w:p>
          <w:p w14:paraId="438C6C67" w14:textId="77777777" w:rsidR="005972A9" w:rsidRPr="00FD7B6F" w:rsidRDefault="004A79CA" w:rsidP="00FD7B6F">
            <w:pPr>
              <w:keepLines/>
              <w:numPr>
                <w:ilvl w:val="0"/>
                <w:numId w:val="1"/>
              </w:numPr>
              <w:pBdr>
                <w:top w:val="nil"/>
                <w:left w:val="nil"/>
                <w:bottom w:val="nil"/>
                <w:right w:val="nil"/>
                <w:between w:val="nil"/>
              </w:pBdr>
              <w:spacing w:before="50" w:after="50" w:line="240" w:lineRule="auto"/>
              <w:ind w:left="370" w:hanging="270"/>
              <w:rPr>
                <w:rFonts w:ascii="Cambria" w:eastAsia="Cambria" w:hAnsi="Cambria" w:cs="Cambria"/>
                <w:color w:val="000000"/>
                <w:sz w:val="20"/>
                <w:szCs w:val="20"/>
              </w:rPr>
            </w:pPr>
            <w:r w:rsidRPr="00FD7B6F">
              <w:rPr>
                <w:rFonts w:ascii="Cambria" w:eastAsia="Cambria" w:hAnsi="Cambria" w:cs="Cambria"/>
                <w:color w:val="000000"/>
                <w:sz w:val="20"/>
                <w:szCs w:val="20"/>
              </w:rPr>
              <w:t xml:space="preserve">If fasting glucose level decreases to ≤ 8.9 mmol/L, resume </w:t>
            </w:r>
            <w:r w:rsidR="00DE29EE">
              <w:rPr>
                <w:rFonts w:ascii="Cambria" w:eastAsia="Cambria" w:hAnsi="Cambria" w:cs="Cambria"/>
                <w:color w:val="000000"/>
                <w:sz w:val="20"/>
                <w:szCs w:val="20"/>
              </w:rPr>
              <w:t>Itovebi</w:t>
            </w:r>
            <w:r w:rsidRPr="00FD7B6F">
              <w:rPr>
                <w:rFonts w:ascii="Cambria" w:eastAsia="Cambria" w:hAnsi="Cambria" w:cs="Cambria"/>
                <w:color w:val="000000"/>
                <w:sz w:val="20"/>
                <w:szCs w:val="20"/>
              </w:rPr>
              <w:t xml:space="preserve"> at one lower dose level (see  Table 1). </w:t>
            </w:r>
          </w:p>
          <w:p w14:paraId="7D278794" w14:textId="77777777" w:rsidR="005972A9" w:rsidRPr="00FD7B6F" w:rsidRDefault="004A79CA" w:rsidP="00FD7B6F">
            <w:pPr>
              <w:keepLines/>
              <w:numPr>
                <w:ilvl w:val="0"/>
                <w:numId w:val="1"/>
              </w:numPr>
              <w:pBdr>
                <w:top w:val="nil"/>
                <w:left w:val="nil"/>
                <w:bottom w:val="nil"/>
                <w:right w:val="nil"/>
                <w:between w:val="nil"/>
              </w:pBdr>
              <w:spacing w:before="50" w:after="50" w:line="240" w:lineRule="auto"/>
              <w:ind w:left="370" w:hanging="270"/>
              <w:rPr>
                <w:rFonts w:ascii="Cambria" w:eastAsia="Cambria" w:hAnsi="Cambria" w:cs="Cambria"/>
                <w:color w:val="000000"/>
                <w:sz w:val="20"/>
                <w:szCs w:val="20"/>
              </w:rPr>
            </w:pPr>
            <w:r w:rsidRPr="00FD7B6F">
              <w:rPr>
                <w:rFonts w:ascii="Cambria" w:eastAsia="Cambria" w:hAnsi="Cambria" w:cs="Cambria"/>
                <w:color w:val="000000"/>
                <w:sz w:val="20"/>
                <w:szCs w:val="20"/>
              </w:rPr>
              <w:t xml:space="preserve">If fasting glucose level &gt; 27.8 mmol/L recurs within 30 days, permanently discontinue </w:t>
            </w:r>
            <w:r w:rsidR="00DE29EE">
              <w:rPr>
                <w:rFonts w:ascii="Cambria" w:eastAsia="Cambria" w:hAnsi="Cambria" w:cs="Cambria"/>
                <w:color w:val="000000"/>
                <w:sz w:val="20"/>
                <w:szCs w:val="20"/>
              </w:rPr>
              <w:t>Itovebi</w:t>
            </w:r>
            <w:r w:rsidRPr="00FD7B6F">
              <w:rPr>
                <w:rFonts w:ascii="Cambria" w:eastAsia="Cambria" w:hAnsi="Cambria" w:cs="Cambria"/>
                <w:color w:val="000000"/>
                <w:sz w:val="20"/>
                <w:szCs w:val="20"/>
              </w:rPr>
              <w:t>.</w:t>
            </w:r>
          </w:p>
        </w:tc>
      </w:tr>
      <w:tr w:rsidR="005972A9" w14:paraId="050219BB" w14:textId="77777777" w:rsidTr="00FD7B6F">
        <w:trPr>
          <w:jc w:val="center"/>
        </w:trPr>
        <w:tc>
          <w:tcPr>
            <w:tcW w:w="9016" w:type="dxa"/>
            <w:gridSpan w:val="2"/>
            <w:shd w:val="clear" w:color="auto" w:fill="auto"/>
          </w:tcPr>
          <w:p w14:paraId="5802BA61" w14:textId="77777777" w:rsidR="00032E28" w:rsidRDefault="004A79CA" w:rsidP="00032E28">
            <w:pPr>
              <w:spacing w:after="0" w:line="240" w:lineRule="auto"/>
              <w:rPr>
                <w:rFonts w:ascii="Cambria" w:eastAsia="Cambria" w:hAnsi="Cambria" w:cs="Cambria"/>
                <w:sz w:val="20"/>
                <w:szCs w:val="20"/>
              </w:rPr>
            </w:pPr>
            <w:r w:rsidRPr="00FD7B6F">
              <w:rPr>
                <w:rFonts w:ascii="Cambria" w:eastAsia="Cambria" w:hAnsi="Cambria" w:cs="Cambria"/>
                <w:sz w:val="20"/>
                <w:szCs w:val="20"/>
              </w:rPr>
              <w:lastRenderedPageBreak/>
              <w:t>ULN = upper limit of normal</w:t>
            </w:r>
          </w:p>
          <w:p w14:paraId="7BB4FC1E" w14:textId="77777777" w:rsidR="005972A9" w:rsidRPr="00FD7B6F" w:rsidRDefault="004A79CA" w:rsidP="00032E28">
            <w:pPr>
              <w:spacing w:after="0" w:line="240" w:lineRule="auto"/>
              <w:rPr>
                <w:rFonts w:ascii="Cambria" w:eastAsia="Cambria" w:hAnsi="Cambria" w:cs="Cambria"/>
                <w:color w:val="000000"/>
                <w:sz w:val="20"/>
                <w:szCs w:val="20"/>
              </w:rPr>
            </w:pPr>
            <w:proofErr w:type="gramStart"/>
            <w:r w:rsidRPr="00FD7B6F">
              <w:rPr>
                <w:rFonts w:ascii="Cambria" w:eastAsia="Cambria" w:hAnsi="Cambria" w:cs="Cambria"/>
                <w:color w:val="000000"/>
                <w:sz w:val="20"/>
                <w:szCs w:val="20"/>
                <w:vertAlign w:val="superscript"/>
              </w:rPr>
              <w:t>a</w:t>
            </w:r>
            <w:r w:rsidRPr="00FD7B6F">
              <w:rPr>
                <w:rFonts w:ascii="Cambria" w:eastAsia="Cambria" w:hAnsi="Cambria" w:cs="Cambria"/>
                <w:color w:val="000000"/>
                <w:sz w:val="20"/>
                <w:szCs w:val="20"/>
              </w:rPr>
              <w:t xml:space="preserve"> Fasting</w:t>
            </w:r>
            <w:proofErr w:type="gramEnd"/>
            <w:r w:rsidRPr="00FD7B6F">
              <w:rPr>
                <w:rFonts w:ascii="Cambria" w:eastAsia="Cambria" w:hAnsi="Cambria" w:cs="Cambria"/>
                <w:color w:val="000000"/>
                <w:sz w:val="20"/>
                <w:szCs w:val="20"/>
              </w:rPr>
              <w:t xml:space="preserve"> glucose levels (FPG or FBG) should be checked prior to dosing. Fasting glucose levels referenced in this table reflect hyperglycaemia grading according to Common Terminology Criteria for Adverse Events (CTCAE) version 4.03.</w:t>
            </w:r>
          </w:p>
          <w:p w14:paraId="693905C7" w14:textId="0A24182E" w:rsidR="005972A9" w:rsidRPr="00FD7B6F" w:rsidRDefault="004A79CA" w:rsidP="00FD7B6F">
            <w:pPr>
              <w:keepLines/>
              <w:pBdr>
                <w:top w:val="nil"/>
                <w:left w:val="nil"/>
                <w:bottom w:val="nil"/>
                <w:right w:val="nil"/>
                <w:between w:val="nil"/>
              </w:pBdr>
              <w:spacing w:before="50" w:after="50" w:line="240" w:lineRule="auto"/>
              <w:ind w:left="115" w:hanging="115"/>
              <w:rPr>
                <w:rFonts w:ascii="Cambria" w:eastAsia="Cambria" w:hAnsi="Cambria" w:cs="Cambria"/>
                <w:color w:val="000000"/>
                <w:sz w:val="20"/>
                <w:szCs w:val="20"/>
              </w:rPr>
            </w:pPr>
            <w:r w:rsidRPr="00FD7B6F">
              <w:rPr>
                <w:rFonts w:ascii="Cambria" w:eastAsia="Cambria" w:hAnsi="Cambria" w:cs="Cambria"/>
                <w:color w:val="000000"/>
                <w:sz w:val="20"/>
                <w:szCs w:val="20"/>
                <w:vertAlign w:val="superscript"/>
              </w:rPr>
              <w:t>b</w:t>
            </w:r>
            <w:r w:rsidRPr="00FD7B6F">
              <w:rPr>
                <w:rFonts w:ascii="Cambria" w:eastAsia="Cambria" w:hAnsi="Cambria" w:cs="Cambria"/>
                <w:color w:val="000000"/>
                <w:sz w:val="20"/>
                <w:szCs w:val="20"/>
              </w:rPr>
              <w:t xml:space="preserve"> Metformin prophylaxis was recommended for patients with risk factors in the INAVO120 study (see </w:t>
            </w:r>
            <w:proofErr w:type="gramStart"/>
            <w:r w:rsidRPr="00FD7B6F">
              <w:rPr>
                <w:rFonts w:ascii="Cambria" w:eastAsia="Cambria" w:hAnsi="Cambria" w:cs="Cambria"/>
                <w:color w:val="000000"/>
                <w:sz w:val="20"/>
                <w:szCs w:val="20"/>
              </w:rPr>
              <w:t>sectio</w:t>
            </w:r>
            <w:r w:rsidRPr="00E83483">
              <w:rPr>
                <w:rFonts w:ascii="Cambria" w:eastAsia="Cambria" w:hAnsi="Cambria" w:cs="Cambria"/>
                <w:color w:val="000000"/>
                <w:sz w:val="20"/>
                <w:szCs w:val="20"/>
              </w:rPr>
              <w:t>n  4.4</w:t>
            </w:r>
            <w:proofErr w:type="gramEnd"/>
            <w:r w:rsidRPr="00E83483">
              <w:rPr>
                <w:rFonts w:ascii="Cambria" w:eastAsia="Cambria" w:hAnsi="Cambria" w:cs="Cambria"/>
                <w:color w:val="000000"/>
                <w:sz w:val="20"/>
                <w:szCs w:val="20"/>
              </w:rPr>
              <w:t xml:space="preserve"> </w:t>
            </w:r>
            <w:r w:rsidR="00E83483" w:rsidRPr="00E83483">
              <w:rPr>
                <w:rFonts w:ascii="Cambria" w:eastAsia="Cambria" w:hAnsi="Cambria" w:cs="Cambria"/>
                <w:color w:val="000000"/>
                <w:sz w:val="20"/>
                <w:szCs w:val="20"/>
              </w:rPr>
              <w:t xml:space="preserve">Special Warnings and Precautions </w:t>
            </w:r>
            <w:proofErr w:type="gramStart"/>
            <w:r w:rsidR="00E83483" w:rsidRPr="00E83483">
              <w:rPr>
                <w:rFonts w:ascii="Cambria" w:eastAsia="Cambria" w:hAnsi="Cambria" w:cs="Cambria"/>
                <w:color w:val="000000"/>
                <w:sz w:val="20"/>
                <w:szCs w:val="20"/>
              </w:rPr>
              <w:t>For</w:t>
            </w:r>
            <w:proofErr w:type="gramEnd"/>
            <w:r w:rsidR="00E83483" w:rsidRPr="00E83483">
              <w:rPr>
                <w:rFonts w:ascii="Cambria" w:eastAsia="Cambria" w:hAnsi="Cambria" w:cs="Cambria"/>
                <w:color w:val="000000"/>
                <w:sz w:val="20"/>
                <w:szCs w:val="20"/>
              </w:rPr>
              <w:t xml:space="preserve"> Use </w:t>
            </w:r>
            <w:proofErr w:type="gramStart"/>
            <w:r w:rsidRPr="00E83483">
              <w:rPr>
                <w:rFonts w:ascii="Cambria" w:eastAsia="Cambria" w:hAnsi="Cambria" w:cs="Cambria"/>
                <w:color w:val="000000"/>
                <w:sz w:val="20"/>
                <w:szCs w:val="20"/>
              </w:rPr>
              <w:t>-  Genera</w:t>
            </w:r>
            <w:r w:rsidRPr="00FD7B6F">
              <w:rPr>
                <w:rFonts w:ascii="Cambria" w:eastAsia="Cambria" w:hAnsi="Cambria" w:cs="Cambria"/>
                <w:color w:val="000000"/>
                <w:sz w:val="20"/>
                <w:szCs w:val="20"/>
              </w:rPr>
              <w:t>l</w:t>
            </w:r>
            <w:proofErr w:type="gramEnd"/>
            <w:r w:rsidRPr="00FD7B6F">
              <w:rPr>
                <w:rFonts w:ascii="Cambria" w:eastAsia="Cambria" w:hAnsi="Cambria" w:cs="Cambria"/>
                <w:color w:val="000000"/>
                <w:sz w:val="20"/>
                <w:szCs w:val="20"/>
              </w:rPr>
              <w:t>).</w:t>
            </w:r>
          </w:p>
          <w:p w14:paraId="4B9F9F4D" w14:textId="1849353F" w:rsidR="005972A9" w:rsidRPr="00FD7B6F" w:rsidRDefault="004A79CA" w:rsidP="00FD7B6F">
            <w:pPr>
              <w:keepLines/>
              <w:pBdr>
                <w:top w:val="nil"/>
                <w:left w:val="nil"/>
                <w:bottom w:val="nil"/>
                <w:right w:val="nil"/>
                <w:between w:val="nil"/>
              </w:pBdr>
              <w:spacing w:before="50" w:after="50" w:line="240" w:lineRule="auto"/>
              <w:ind w:left="115" w:hanging="115"/>
              <w:rPr>
                <w:rFonts w:ascii="Cambria" w:eastAsia="Cambria" w:hAnsi="Cambria" w:cs="Cambria"/>
                <w:color w:val="000000"/>
                <w:sz w:val="20"/>
                <w:szCs w:val="20"/>
              </w:rPr>
            </w:pPr>
            <w:r w:rsidRPr="00FD7B6F">
              <w:rPr>
                <w:rFonts w:ascii="Cambria" w:eastAsia="Cambria" w:hAnsi="Cambria" w:cs="Cambria"/>
                <w:color w:val="000000"/>
                <w:sz w:val="20"/>
                <w:szCs w:val="20"/>
                <w:vertAlign w:val="superscript"/>
              </w:rPr>
              <w:t>c</w:t>
            </w:r>
            <w:r w:rsidRPr="00FD7B6F">
              <w:rPr>
                <w:rFonts w:ascii="Cambria" w:eastAsia="Cambria" w:hAnsi="Cambria" w:cs="Cambria"/>
                <w:color w:val="000000"/>
                <w:sz w:val="20"/>
                <w:szCs w:val="20"/>
              </w:rPr>
              <w:t xml:space="preserve"> Initiate applicable anti-hyperglycaemic medications, such as metformin, sodium-glucose cotransporter-2 (SGLT2) inhibitors, </w:t>
            </w:r>
            <w:r w:rsidR="0061744F" w:rsidRPr="00FD7B6F">
              <w:rPr>
                <w:rFonts w:ascii="Cambria" w:eastAsia="Cambria" w:hAnsi="Cambria" w:cs="Cambria"/>
                <w:color w:val="000000"/>
                <w:sz w:val="20"/>
                <w:szCs w:val="20"/>
              </w:rPr>
              <w:t>dipeptidyl peptidase-4 [DPP-4] inhibitors)</w:t>
            </w:r>
            <w:r w:rsidR="0061744F">
              <w:rPr>
                <w:rFonts w:ascii="Cambria" w:eastAsia="Cambria" w:hAnsi="Cambria" w:cs="Cambria"/>
                <w:color w:val="000000"/>
                <w:sz w:val="20"/>
                <w:szCs w:val="20"/>
              </w:rPr>
              <w:t xml:space="preserve">, </w:t>
            </w:r>
            <w:r w:rsidRPr="00FD7B6F">
              <w:rPr>
                <w:rFonts w:ascii="Cambria" w:eastAsia="Cambria" w:hAnsi="Cambria" w:cs="Cambria"/>
                <w:color w:val="000000"/>
                <w:sz w:val="20"/>
                <w:szCs w:val="20"/>
              </w:rPr>
              <w:t>or insulin sensitisers (such as thiazolidinediones</w:t>
            </w:r>
            <w:r w:rsidR="0061744F">
              <w:rPr>
                <w:rFonts w:ascii="Cambria" w:eastAsia="Cambria" w:hAnsi="Cambria" w:cs="Cambria"/>
                <w:color w:val="000000"/>
                <w:sz w:val="20"/>
                <w:szCs w:val="20"/>
              </w:rPr>
              <w:t>)</w:t>
            </w:r>
            <w:r w:rsidRPr="00FD7B6F">
              <w:rPr>
                <w:rFonts w:ascii="Cambria" w:eastAsia="Cambria" w:hAnsi="Cambria" w:cs="Cambria"/>
                <w:color w:val="000000"/>
                <w:sz w:val="20"/>
                <w:szCs w:val="20"/>
              </w:rPr>
              <w:t xml:space="preserve">, and review the respective prescribing information for dosing and dose titration recommendations, including local hyperglycaemia treatment guidelines. Metformin was recommended in the INAVO120 study as the preferred initial agent. See section 4.8 </w:t>
            </w:r>
            <w:r w:rsidR="005C48E3" w:rsidRPr="005C48E3">
              <w:rPr>
                <w:rFonts w:ascii="Cambria" w:eastAsia="Cambria" w:hAnsi="Cambria" w:cs="Cambria"/>
                <w:color w:val="000000"/>
                <w:sz w:val="20"/>
                <w:szCs w:val="20"/>
              </w:rPr>
              <w:t>Adverse Effects (Undesirable Effects)</w:t>
            </w:r>
            <w:r w:rsidRPr="00FD7B6F">
              <w:rPr>
                <w:rFonts w:ascii="Cambria" w:eastAsia="Cambria" w:hAnsi="Cambria" w:cs="Cambria"/>
                <w:b/>
                <w:color w:val="000000"/>
              </w:rPr>
              <w:t xml:space="preserve"> -</w:t>
            </w:r>
            <w:r w:rsidRPr="00FD7B6F">
              <w:rPr>
                <w:rFonts w:ascii="Cambria" w:eastAsia="Cambria" w:hAnsi="Cambria" w:cs="Cambria"/>
                <w:color w:val="000000"/>
                <w:sz w:val="20"/>
                <w:szCs w:val="20"/>
              </w:rPr>
              <w:t>Description of selected adverse drug reactions.</w:t>
            </w:r>
          </w:p>
          <w:p w14:paraId="45AF180D" w14:textId="0CFD1681" w:rsidR="005972A9" w:rsidRPr="00FD7B6F" w:rsidRDefault="004A79CA" w:rsidP="00FD7B6F">
            <w:pPr>
              <w:keepLines/>
              <w:pBdr>
                <w:top w:val="nil"/>
                <w:left w:val="nil"/>
                <w:bottom w:val="nil"/>
                <w:right w:val="nil"/>
                <w:between w:val="nil"/>
              </w:pBdr>
              <w:spacing w:before="50" w:after="50" w:line="240" w:lineRule="auto"/>
              <w:ind w:left="115" w:hanging="115"/>
              <w:rPr>
                <w:rFonts w:ascii="Cambria" w:eastAsia="Cambria" w:hAnsi="Cambria" w:cs="Cambria"/>
                <w:color w:val="000000"/>
                <w:sz w:val="20"/>
                <w:szCs w:val="20"/>
              </w:rPr>
            </w:pPr>
            <w:proofErr w:type="gramStart"/>
            <w:r w:rsidRPr="00FD7B6F">
              <w:rPr>
                <w:rFonts w:ascii="Cambria" w:eastAsia="Cambria" w:hAnsi="Cambria" w:cs="Cambria"/>
                <w:color w:val="000000"/>
                <w:sz w:val="20"/>
                <w:szCs w:val="20"/>
                <w:vertAlign w:val="superscript"/>
              </w:rPr>
              <w:t>d</w:t>
            </w:r>
            <w:r w:rsidRPr="00FD7B6F">
              <w:rPr>
                <w:rFonts w:ascii="Cambria" w:eastAsia="Cambria" w:hAnsi="Cambria" w:cs="Cambria"/>
                <w:color w:val="000000"/>
                <w:sz w:val="20"/>
                <w:szCs w:val="20"/>
              </w:rPr>
              <w:t xml:space="preserve"> Risk</w:t>
            </w:r>
            <w:proofErr w:type="gramEnd"/>
            <w:r w:rsidRPr="00FD7B6F">
              <w:rPr>
                <w:rFonts w:ascii="Cambria" w:eastAsia="Cambria" w:hAnsi="Cambria" w:cs="Cambria"/>
                <w:color w:val="000000"/>
                <w:sz w:val="20"/>
                <w:szCs w:val="20"/>
              </w:rPr>
              <w:t xml:space="preserve"> factors for hyperglycaemia include, but are not limited to, (pre)diabetes, HbA</w:t>
            </w:r>
            <w:r w:rsidRPr="00FD7B6F">
              <w:rPr>
                <w:rFonts w:ascii="Cambria" w:eastAsia="Cambria" w:hAnsi="Cambria" w:cs="Cambria"/>
                <w:color w:val="000000"/>
                <w:sz w:val="20"/>
                <w:szCs w:val="20"/>
                <w:vertAlign w:val="subscript"/>
              </w:rPr>
              <w:t>1C</w:t>
            </w:r>
            <w:r w:rsidRPr="00FD7B6F">
              <w:rPr>
                <w:rFonts w:ascii="Cambria" w:eastAsia="Cambria" w:hAnsi="Cambria" w:cs="Cambria"/>
                <w:color w:val="000000"/>
                <w:sz w:val="20"/>
                <w:szCs w:val="20"/>
              </w:rPr>
              <w:t xml:space="preserve"> ≥ 5.7% to &lt; 6.5%, BMI ≥ 30 kg/m</w:t>
            </w:r>
            <w:r w:rsidRPr="00FD7B6F">
              <w:rPr>
                <w:rFonts w:ascii="Cambria" w:eastAsia="Cambria" w:hAnsi="Cambria" w:cs="Cambria"/>
                <w:color w:val="000000"/>
                <w:sz w:val="20"/>
                <w:szCs w:val="20"/>
                <w:vertAlign w:val="superscript"/>
              </w:rPr>
              <w:t>2</w:t>
            </w:r>
            <w:r w:rsidRPr="00FD7B6F">
              <w:rPr>
                <w:rFonts w:ascii="Cambria" w:eastAsia="Cambria" w:hAnsi="Cambria" w:cs="Cambria"/>
                <w:color w:val="000000"/>
                <w:sz w:val="20"/>
                <w:szCs w:val="20"/>
              </w:rPr>
              <w:t xml:space="preserve">, ≥ 45 years of age, history of gestational diabetes, and family history of diabetes mellitus (see </w:t>
            </w:r>
            <w:proofErr w:type="gramStart"/>
            <w:r w:rsidRPr="00FD7B6F">
              <w:rPr>
                <w:rFonts w:ascii="Cambria" w:eastAsia="Cambria" w:hAnsi="Cambria" w:cs="Cambria"/>
                <w:color w:val="000000"/>
                <w:sz w:val="20"/>
                <w:szCs w:val="20"/>
              </w:rPr>
              <w:t>section  4.4</w:t>
            </w:r>
            <w:proofErr w:type="gramEnd"/>
            <w:r w:rsidR="00E83483">
              <w:t xml:space="preserve"> </w:t>
            </w:r>
            <w:r w:rsidR="00E83483" w:rsidRPr="00E83483">
              <w:rPr>
                <w:rFonts w:ascii="Cambria" w:eastAsia="Cambria" w:hAnsi="Cambria" w:cs="Cambria"/>
                <w:color w:val="000000"/>
                <w:sz w:val="20"/>
                <w:szCs w:val="20"/>
              </w:rPr>
              <w:t xml:space="preserve">Special Warnings and Precautions </w:t>
            </w:r>
            <w:proofErr w:type="gramStart"/>
            <w:r w:rsidR="00E83483" w:rsidRPr="00E83483">
              <w:rPr>
                <w:rFonts w:ascii="Cambria" w:eastAsia="Cambria" w:hAnsi="Cambria" w:cs="Cambria"/>
                <w:color w:val="000000"/>
                <w:sz w:val="20"/>
                <w:szCs w:val="20"/>
              </w:rPr>
              <w:t>For</w:t>
            </w:r>
            <w:proofErr w:type="gramEnd"/>
            <w:r w:rsidR="00E83483" w:rsidRPr="00E83483">
              <w:rPr>
                <w:rFonts w:ascii="Cambria" w:eastAsia="Cambria" w:hAnsi="Cambria" w:cs="Cambria"/>
                <w:color w:val="000000"/>
                <w:sz w:val="20"/>
                <w:szCs w:val="20"/>
              </w:rPr>
              <w:t xml:space="preserve"> Use</w:t>
            </w:r>
            <w:r w:rsidRPr="00FD7B6F">
              <w:rPr>
                <w:rFonts w:ascii="Cambria" w:eastAsia="Cambria" w:hAnsi="Cambria" w:cs="Cambria"/>
                <w:color w:val="000000"/>
                <w:sz w:val="20"/>
                <w:szCs w:val="20"/>
              </w:rPr>
              <w:t xml:space="preserve"> - General).</w:t>
            </w:r>
          </w:p>
          <w:p w14:paraId="693A84B6" w14:textId="77777777" w:rsidR="005972A9" w:rsidRPr="00FD7B6F" w:rsidRDefault="004A79CA" w:rsidP="00FD7B6F">
            <w:pPr>
              <w:keepLines/>
              <w:pBdr>
                <w:top w:val="nil"/>
                <w:left w:val="nil"/>
                <w:bottom w:val="nil"/>
                <w:right w:val="nil"/>
                <w:between w:val="nil"/>
              </w:pBdr>
              <w:spacing w:before="50" w:after="50" w:line="240" w:lineRule="auto"/>
              <w:ind w:left="115" w:hanging="115"/>
              <w:rPr>
                <w:rFonts w:ascii="Cambria" w:eastAsia="Cambria" w:hAnsi="Cambria" w:cs="Cambria"/>
                <w:color w:val="000000"/>
                <w:sz w:val="20"/>
                <w:szCs w:val="20"/>
              </w:rPr>
            </w:pPr>
            <w:r w:rsidRPr="00FD7B6F">
              <w:rPr>
                <w:rFonts w:ascii="Cambria" w:eastAsia="Cambria" w:hAnsi="Cambria" w:cs="Cambria"/>
                <w:color w:val="000000"/>
                <w:sz w:val="20"/>
                <w:szCs w:val="20"/>
                <w:vertAlign w:val="superscript"/>
              </w:rPr>
              <w:t>e</w:t>
            </w:r>
            <w:r w:rsidRPr="00FD7B6F">
              <w:rPr>
                <w:rFonts w:ascii="Cambria" w:eastAsia="Cambria" w:hAnsi="Cambria" w:cs="Cambria"/>
                <w:color w:val="000000"/>
                <w:sz w:val="20"/>
                <w:szCs w:val="20"/>
              </w:rPr>
              <w:t xml:space="preserve"> In the INAVO120 study, short-term insulin was allowed to control blood glucose levels with a goal of maintaining blood glucose levels on oral agents only once the acute episode resolves.</w:t>
            </w:r>
          </w:p>
        </w:tc>
      </w:tr>
    </w:tbl>
    <w:p w14:paraId="3CA1C5B8" w14:textId="14D58E31" w:rsidR="005972A9" w:rsidRDefault="004A79CA" w:rsidP="00375767">
      <w:pPr>
        <w:spacing w:before="240" w:line="240" w:lineRule="auto"/>
        <w:rPr>
          <w:rFonts w:ascii="Cambria" w:eastAsia="Cambria" w:hAnsi="Cambria" w:cs="Cambria"/>
        </w:rPr>
      </w:pPr>
      <w:r>
        <w:rPr>
          <w:rFonts w:ascii="Cambria" w:eastAsia="Cambria" w:hAnsi="Cambria" w:cs="Cambria"/>
          <w:u w:val="single"/>
        </w:rPr>
        <w:t>Other adverse reactions</w:t>
      </w:r>
    </w:p>
    <w:p w14:paraId="252AF2D2" w14:textId="77777777" w:rsidR="005972A9" w:rsidRDefault="004A79CA">
      <w:pPr>
        <w:pBdr>
          <w:top w:val="nil"/>
          <w:left w:val="nil"/>
          <w:bottom w:val="nil"/>
          <w:right w:val="nil"/>
          <w:between w:val="nil"/>
        </w:pBdr>
        <w:spacing w:line="240" w:lineRule="auto"/>
        <w:rPr>
          <w:rFonts w:ascii="Cambria" w:eastAsia="Cambria" w:hAnsi="Cambria" w:cs="Cambria"/>
          <w:b/>
          <w:color w:val="000000"/>
        </w:rPr>
      </w:pPr>
      <w:proofErr w:type="gramStart"/>
      <w:r>
        <w:rPr>
          <w:rFonts w:ascii="Cambria" w:eastAsia="Cambria" w:hAnsi="Cambria" w:cs="Cambria"/>
          <w:b/>
          <w:color w:val="000000"/>
        </w:rPr>
        <w:t>Table  3</w:t>
      </w:r>
      <w:proofErr w:type="gramEnd"/>
      <w:r>
        <w:rPr>
          <w:rFonts w:ascii="Cambria" w:eastAsia="Cambria" w:hAnsi="Cambria" w:cs="Cambria"/>
          <w:b/>
          <w:color w:val="000000"/>
        </w:rPr>
        <w:t xml:space="preserve">  Dose Modification and Management for Other Adverse Reactions</w:t>
      </w:r>
    </w:p>
    <w:tbl>
      <w:tblPr>
        <w:tblW w:w="98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8"/>
        <w:gridCol w:w="1984"/>
        <w:gridCol w:w="5812"/>
      </w:tblGrid>
      <w:tr w:rsidR="006D5779" w14:paraId="13387A9F" w14:textId="77777777" w:rsidTr="00A421A9">
        <w:trPr>
          <w:tblHeader/>
        </w:trPr>
        <w:tc>
          <w:tcPr>
            <w:tcW w:w="2098" w:type="dxa"/>
          </w:tcPr>
          <w:p w14:paraId="7A835321" w14:textId="2CEFE10F" w:rsidR="006D5779" w:rsidRPr="00FD7B6F" w:rsidRDefault="006D5779" w:rsidP="006D5779">
            <w:pPr>
              <w:spacing w:before="50" w:after="50" w:line="240" w:lineRule="auto"/>
              <w:ind w:right="606"/>
              <w:rPr>
                <w:rFonts w:ascii="Cambria" w:eastAsia="Cambria" w:hAnsi="Cambria" w:cs="Cambria"/>
                <w:b/>
                <w:color w:val="000000"/>
                <w:sz w:val="20"/>
                <w:szCs w:val="20"/>
              </w:rPr>
            </w:pPr>
            <w:r>
              <w:rPr>
                <w:rFonts w:ascii="Cambria" w:eastAsia="Cambria" w:hAnsi="Cambria" w:cs="Cambria"/>
                <w:b/>
                <w:color w:val="000000"/>
                <w:sz w:val="20"/>
                <w:szCs w:val="20"/>
              </w:rPr>
              <w:t>Adverse Reaction</w:t>
            </w:r>
          </w:p>
        </w:tc>
        <w:tc>
          <w:tcPr>
            <w:tcW w:w="1984" w:type="dxa"/>
            <w:shd w:val="clear" w:color="auto" w:fill="auto"/>
          </w:tcPr>
          <w:p w14:paraId="7BB226FF" w14:textId="6EA63D1C" w:rsidR="006D5779" w:rsidRPr="00FD7B6F" w:rsidRDefault="006D5779" w:rsidP="006D5779">
            <w:pPr>
              <w:spacing w:before="50" w:after="50" w:line="240" w:lineRule="auto"/>
              <w:ind w:right="606"/>
              <w:rPr>
                <w:rFonts w:ascii="Cambria" w:eastAsia="Cambria" w:hAnsi="Cambria" w:cs="Cambria"/>
                <w:b/>
                <w:color w:val="000000"/>
                <w:sz w:val="20"/>
                <w:szCs w:val="20"/>
              </w:rPr>
            </w:pPr>
            <w:r w:rsidRPr="00FD7B6F">
              <w:rPr>
                <w:rFonts w:ascii="Cambria" w:eastAsia="Cambria" w:hAnsi="Cambria" w:cs="Cambria"/>
                <w:b/>
                <w:color w:val="000000"/>
                <w:sz w:val="20"/>
                <w:szCs w:val="20"/>
              </w:rPr>
              <w:t>Grade</w:t>
            </w:r>
            <w:r w:rsidRPr="00FD7B6F">
              <w:rPr>
                <w:rFonts w:ascii="Cambria" w:eastAsia="Cambria" w:hAnsi="Cambria" w:cs="Cambria"/>
                <w:b/>
                <w:color w:val="000000"/>
                <w:sz w:val="20"/>
                <w:szCs w:val="20"/>
                <w:vertAlign w:val="superscript"/>
              </w:rPr>
              <w:t>a</w:t>
            </w:r>
          </w:p>
        </w:tc>
        <w:tc>
          <w:tcPr>
            <w:tcW w:w="5812" w:type="dxa"/>
            <w:shd w:val="clear" w:color="auto" w:fill="auto"/>
          </w:tcPr>
          <w:p w14:paraId="7C8EF420" w14:textId="77777777" w:rsidR="006D5779" w:rsidRPr="00FD7B6F" w:rsidRDefault="006D5779" w:rsidP="006D5779">
            <w:pPr>
              <w:spacing w:before="50" w:after="50" w:line="240" w:lineRule="auto"/>
              <w:ind w:right="606"/>
              <w:rPr>
                <w:rFonts w:ascii="Cambria" w:eastAsia="Cambria" w:hAnsi="Cambria" w:cs="Cambria"/>
                <w:b/>
                <w:color w:val="000000"/>
                <w:sz w:val="20"/>
                <w:szCs w:val="20"/>
              </w:rPr>
            </w:pPr>
            <w:r w:rsidRPr="00FD7B6F">
              <w:rPr>
                <w:rFonts w:ascii="Cambria" w:eastAsia="Cambria" w:hAnsi="Cambria" w:cs="Cambria"/>
                <w:b/>
                <w:color w:val="000000"/>
                <w:sz w:val="20"/>
                <w:szCs w:val="20"/>
              </w:rPr>
              <w:t>Recommendation</w:t>
            </w:r>
          </w:p>
        </w:tc>
      </w:tr>
      <w:tr w:rsidR="00A421A9" w14:paraId="4E9E064C" w14:textId="77777777" w:rsidTr="00A421A9">
        <w:tc>
          <w:tcPr>
            <w:tcW w:w="2098" w:type="dxa"/>
            <w:vMerge w:val="restart"/>
            <w:vAlign w:val="center"/>
          </w:tcPr>
          <w:p w14:paraId="33CBB794" w14:textId="00A52576" w:rsidR="00A421A9" w:rsidRPr="00A421A9" w:rsidRDefault="00A421A9" w:rsidP="00A421A9">
            <w:pPr>
              <w:spacing w:before="50" w:after="50" w:line="240" w:lineRule="auto"/>
              <w:ind w:right="606"/>
              <w:rPr>
                <w:rFonts w:ascii="Cambria" w:eastAsia="Cambria" w:hAnsi="Cambria" w:cs="Cambria"/>
                <w:b/>
                <w:bCs/>
                <w:color w:val="000000"/>
                <w:sz w:val="20"/>
                <w:szCs w:val="20"/>
              </w:rPr>
            </w:pPr>
            <w:r>
              <w:rPr>
                <w:rFonts w:ascii="Cambria" w:eastAsia="Cambria" w:hAnsi="Cambria" w:cs="Cambria"/>
                <w:b/>
                <w:bCs/>
                <w:color w:val="000000"/>
                <w:sz w:val="20"/>
                <w:szCs w:val="20"/>
              </w:rPr>
              <w:t xml:space="preserve">Stomatitis </w:t>
            </w:r>
            <w:r w:rsidRPr="00A421A9">
              <w:rPr>
                <w:rFonts w:ascii="Cambria" w:eastAsia="Cambria" w:hAnsi="Cambria" w:cs="Cambria"/>
                <w:color w:val="000000"/>
                <w:sz w:val="20"/>
                <w:szCs w:val="20"/>
              </w:rPr>
              <w:t xml:space="preserve">(see </w:t>
            </w:r>
            <w:proofErr w:type="gramStart"/>
            <w:r w:rsidRPr="00A421A9">
              <w:rPr>
                <w:rFonts w:ascii="Cambria" w:eastAsia="Cambria" w:hAnsi="Cambria" w:cs="Cambria"/>
                <w:color w:val="000000"/>
                <w:sz w:val="20"/>
                <w:szCs w:val="20"/>
              </w:rPr>
              <w:t>section  4.4</w:t>
            </w:r>
            <w:proofErr w:type="gramEnd"/>
            <w:r w:rsidRPr="00A421A9">
              <w:rPr>
                <w:rFonts w:ascii="Cambria" w:eastAsia="Cambria" w:hAnsi="Cambria" w:cs="Cambria"/>
                <w:color w:val="000000"/>
                <w:sz w:val="20"/>
                <w:szCs w:val="20"/>
              </w:rPr>
              <w:t xml:space="preserve">  Special </w:t>
            </w:r>
            <w:r w:rsidR="00E83483">
              <w:rPr>
                <w:rFonts w:ascii="Cambria" w:eastAsia="Cambria" w:hAnsi="Cambria" w:cs="Cambria"/>
                <w:color w:val="000000"/>
                <w:sz w:val="20"/>
                <w:szCs w:val="20"/>
              </w:rPr>
              <w:t>W</w:t>
            </w:r>
            <w:r w:rsidRPr="00A421A9">
              <w:rPr>
                <w:rFonts w:ascii="Cambria" w:eastAsia="Cambria" w:hAnsi="Cambria" w:cs="Cambria"/>
                <w:color w:val="000000"/>
                <w:sz w:val="20"/>
                <w:szCs w:val="20"/>
              </w:rPr>
              <w:t xml:space="preserve">arnings and </w:t>
            </w:r>
            <w:r w:rsidR="00E83483">
              <w:rPr>
                <w:rFonts w:ascii="Cambria" w:eastAsia="Cambria" w:hAnsi="Cambria" w:cs="Cambria"/>
                <w:color w:val="000000"/>
                <w:sz w:val="20"/>
                <w:szCs w:val="20"/>
              </w:rPr>
              <w:t>P</w:t>
            </w:r>
            <w:r w:rsidRPr="00A421A9">
              <w:rPr>
                <w:rFonts w:ascii="Cambria" w:eastAsia="Cambria" w:hAnsi="Cambria" w:cs="Cambria"/>
                <w:color w:val="000000"/>
                <w:sz w:val="20"/>
                <w:szCs w:val="20"/>
              </w:rPr>
              <w:t xml:space="preserve">recautions </w:t>
            </w:r>
            <w:proofErr w:type="gramStart"/>
            <w:r w:rsidR="00E83483">
              <w:rPr>
                <w:rFonts w:ascii="Cambria" w:eastAsia="Cambria" w:hAnsi="Cambria" w:cs="Cambria"/>
                <w:color w:val="000000"/>
                <w:sz w:val="20"/>
                <w:szCs w:val="20"/>
              </w:rPr>
              <w:t>F</w:t>
            </w:r>
            <w:r w:rsidRPr="00A421A9">
              <w:rPr>
                <w:rFonts w:ascii="Cambria" w:eastAsia="Cambria" w:hAnsi="Cambria" w:cs="Cambria"/>
                <w:color w:val="000000"/>
                <w:sz w:val="20"/>
                <w:szCs w:val="20"/>
              </w:rPr>
              <w:t>or</w:t>
            </w:r>
            <w:proofErr w:type="gramEnd"/>
            <w:r w:rsidRPr="00A421A9">
              <w:rPr>
                <w:rFonts w:ascii="Cambria" w:eastAsia="Cambria" w:hAnsi="Cambria" w:cs="Cambria"/>
                <w:color w:val="000000"/>
                <w:sz w:val="20"/>
                <w:szCs w:val="20"/>
              </w:rPr>
              <w:t xml:space="preserve"> </w:t>
            </w:r>
            <w:r w:rsidR="00E83483">
              <w:rPr>
                <w:rFonts w:ascii="Cambria" w:eastAsia="Cambria" w:hAnsi="Cambria" w:cs="Cambria"/>
                <w:color w:val="000000"/>
                <w:sz w:val="20"/>
                <w:szCs w:val="20"/>
              </w:rPr>
              <w:t>U</w:t>
            </w:r>
            <w:r w:rsidRPr="00A421A9">
              <w:rPr>
                <w:rFonts w:ascii="Cambria" w:eastAsia="Cambria" w:hAnsi="Cambria" w:cs="Cambria"/>
                <w:color w:val="000000"/>
                <w:sz w:val="20"/>
                <w:szCs w:val="20"/>
              </w:rPr>
              <w:t>se)</w:t>
            </w:r>
          </w:p>
        </w:tc>
        <w:tc>
          <w:tcPr>
            <w:tcW w:w="1984" w:type="dxa"/>
            <w:shd w:val="clear" w:color="auto" w:fill="auto"/>
          </w:tcPr>
          <w:p w14:paraId="0A1F9187" w14:textId="77777777" w:rsidR="00A421A9" w:rsidRPr="00A421A9" w:rsidRDefault="00A421A9" w:rsidP="00A421A9">
            <w:pPr>
              <w:pStyle w:val="TableParagraph"/>
              <w:spacing w:before="47"/>
              <w:rPr>
                <w:rFonts w:ascii="Cambria" w:hAnsi="Cambria"/>
                <w:b/>
                <w:sz w:val="20"/>
                <w:szCs w:val="20"/>
              </w:rPr>
            </w:pPr>
          </w:p>
          <w:p w14:paraId="78F8031C" w14:textId="21E8158B" w:rsidR="00A421A9" w:rsidRPr="00A421A9" w:rsidRDefault="00A421A9" w:rsidP="00A421A9">
            <w:pPr>
              <w:spacing w:before="50" w:after="50" w:line="240" w:lineRule="auto"/>
              <w:ind w:right="606"/>
              <w:rPr>
                <w:rFonts w:ascii="Cambria" w:eastAsia="Cambria" w:hAnsi="Cambria" w:cs="Cambria"/>
                <w:color w:val="000000"/>
                <w:sz w:val="20"/>
                <w:szCs w:val="20"/>
              </w:rPr>
            </w:pPr>
            <w:r w:rsidRPr="00A421A9">
              <w:rPr>
                <w:rFonts w:ascii="Cambria" w:hAnsi="Cambria"/>
                <w:sz w:val="20"/>
                <w:szCs w:val="20"/>
              </w:rPr>
              <w:t>Grade</w:t>
            </w:r>
            <w:r w:rsidRPr="00A421A9">
              <w:rPr>
                <w:rFonts w:ascii="Cambria" w:hAnsi="Cambria"/>
                <w:spacing w:val="-2"/>
                <w:sz w:val="20"/>
                <w:szCs w:val="20"/>
              </w:rPr>
              <w:t xml:space="preserve"> </w:t>
            </w:r>
            <w:r w:rsidRPr="00A421A9">
              <w:rPr>
                <w:rFonts w:ascii="Cambria" w:hAnsi="Cambria"/>
                <w:spacing w:val="-5"/>
                <w:sz w:val="20"/>
                <w:szCs w:val="20"/>
              </w:rPr>
              <w:t>1</w:t>
            </w:r>
            <w:r w:rsidRPr="00A421A9">
              <w:rPr>
                <w:rFonts w:ascii="Cambria" w:hAnsi="Cambria"/>
                <w:spacing w:val="-5"/>
                <w:sz w:val="20"/>
                <w:szCs w:val="20"/>
                <w:vertAlign w:val="superscript"/>
              </w:rPr>
              <w:t>a</w:t>
            </w:r>
          </w:p>
        </w:tc>
        <w:tc>
          <w:tcPr>
            <w:tcW w:w="5812" w:type="dxa"/>
            <w:shd w:val="clear" w:color="auto" w:fill="auto"/>
          </w:tcPr>
          <w:p w14:paraId="4B913459" w14:textId="190E1EB3" w:rsidR="00A421A9" w:rsidRPr="00A421A9" w:rsidRDefault="00A421A9" w:rsidP="00401A39">
            <w:pPr>
              <w:pStyle w:val="TableParagraph"/>
              <w:numPr>
                <w:ilvl w:val="0"/>
                <w:numId w:val="16"/>
              </w:numPr>
              <w:tabs>
                <w:tab w:val="left" w:pos="381"/>
              </w:tabs>
              <w:spacing w:before="21"/>
              <w:rPr>
                <w:rFonts w:ascii="Cambria" w:hAnsi="Cambria"/>
                <w:sz w:val="20"/>
                <w:szCs w:val="20"/>
              </w:rPr>
            </w:pPr>
            <w:r w:rsidRPr="00A421A9">
              <w:rPr>
                <w:rFonts w:ascii="Cambria" w:hAnsi="Cambria"/>
                <w:sz w:val="20"/>
                <w:szCs w:val="20"/>
              </w:rPr>
              <w:t>No</w:t>
            </w:r>
            <w:r w:rsidRPr="00A421A9">
              <w:rPr>
                <w:rFonts w:ascii="Cambria" w:hAnsi="Cambria"/>
                <w:spacing w:val="-4"/>
                <w:sz w:val="20"/>
                <w:szCs w:val="20"/>
              </w:rPr>
              <w:t xml:space="preserve"> </w:t>
            </w:r>
            <w:r w:rsidRPr="00A421A9">
              <w:rPr>
                <w:rFonts w:ascii="Cambria" w:hAnsi="Cambria"/>
                <w:sz w:val="20"/>
                <w:szCs w:val="20"/>
              </w:rPr>
              <w:t>adjustment</w:t>
            </w:r>
            <w:r w:rsidRPr="00A421A9">
              <w:rPr>
                <w:rFonts w:ascii="Cambria" w:hAnsi="Cambria"/>
                <w:spacing w:val="-3"/>
                <w:sz w:val="20"/>
                <w:szCs w:val="20"/>
              </w:rPr>
              <w:t xml:space="preserve"> </w:t>
            </w:r>
            <w:r w:rsidRPr="00A421A9">
              <w:rPr>
                <w:rFonts w:ascii="Cambria" w:hAnsi="Cambria"/>
                <w:sz w:val="20"/>
                <w:szCs w:val="20"/>
              </w:rPr>
              <w:t>of</w:t>
            </w:r>
            <w:r w:rsidRPr="00A421A9">
              <w:rPr>
                <w:rFonts w:ascii="Cambria" w:hAnsi="Cambria"/>
                <w:spacing w:val="-6"/>
                <w:sz w:val="20"/>
                <w:szCs w:val="20"/>
              </w:rPr>
              <w:t xml:space="preserve"> </w:t>
            </w:r>
            <w:r w:rsidR="004B488D">
              <w:rPr>
                <w:rFonts w:ascii="Cambria" w:hAnsi="Cambria"/>
                <w:sz w:val="20"/>
                <w:szCs w:val="20"/>
              </w:rPr>
              <w:t>Itovebi</w:t>
            </w:r>
            <w:r w:rsidRPr="00A421A9">
              <w:rPr>
                <w:rFonts w:ascii="Cambria" w:hAnsi="Cambria"/>
                <w:spacing w:val="-5"/>
                <w:sz w:val="20"/>
                <w:szCs w:val="20"/>
              </w:rPr>
              <w:t xml:space="preserve"> </w:t>
            </w:r>
            <w:proofErr w:type="gramStart"/>
            <w:r w:rsidRPr="00A421A9">
              <w:rPr>
                <w:rFonts w:ascii="Cambria" w:hAnsi="Cambria"/>
                <w:spacing w:val="-2"/>
                <w:sz w:val="20"/>
                <w:szCs w:val="20"/>
              </w:rPr>
              <w:t>required</w:t>
            </w:r>
            <w:proofErr w:type="gramEnd"/>
            <w:r w:rsidRPr="00A421A9">
              <w:rPr>
                <w:rFonts w:ascii="Cambria" w:hAnsi="Cambria"/>
                <w:spacing w:val="-2"/>
                <w:sz w:val="20"/>
                <w:szCs w:val="20"/>
              </w:rPr>
              <w:t>.</w:t>
            </w:r>
          </w:p>
          <w:p w14:paraId="5D9C4208" w14:textId="1C920EC7" w:rsidR="00A421A9" w:rsidRPr="00A421A9" w:rsidRDefault="00A421A9" w:rsidP="00401A39">
            <w:pPr>
              <w:numPr>
                <w:ilvl w:val="0"/>
                <w:numId w:val="16"/>
              </w:numPr>
              <w:pBdr>
                <w:top w:val="nil"/>
                <w:left w:val="nil"/>
                <w:bottom w:val="nil"/>
                <w:right w:val="nil"/>
                <w:between w:val="nil"/>
              </w:pBdr>
              <w:spacing w:before="50" w:after="50" w:line="240" w:lineRule="auto"/>
              <w:ind w:right="606"/>
              <w:rPr>
                <w:rFonts w:ascii="Cambria" w:eastAsia="Cambria" w:hAnsi="Cambria" w:cs="Cambria"/>
                <w:color w:val="000000"/>
                <w:sz w:val="20"/>
                <w:szCs w:val="20"/>
              </w:rPr>
            </w:pPr>
            <w:r w:rsidRPr="00A421A9">
              <w:rPr>
                <w:rFonts w:ascii="Cambria" w:hAnsi="Cambria"/>
                <w:sz w:val="20"/>
                <w:szCs w:val="20"/>
              </w:rPr>
              <w:t>Initiate or intensify appropriate medical therapy (e.g., corticosteroid-containing</w:t>
            </w:r>
            <w:r w:rsidRPr="00A421A9">
              <w:rPr>
                <w:rFonts w:ascii="Cambria" w:hAnsi="Cambria"/>
                <w:spacing w:val="-11"/>
                <w:sz w:val="20"/>
                <w:szCs w:val="20"/>
              </w:rPr>
              <w:t xml:space="preserve"> </w:t>
            </w:r>
            <w:r w:rsidRPr="00A421A9">
              <w:rPr>
                <w:rFonts w:ascii="Cambria" w:hAnsi="Cambria"/>
                <w:sz w:val="20"/>
                <w:szCs w:val="20"/>
              </w:rPr>
              <w:t>mouthwash)</w:t>
            </w:r>
            <w:r w:rsidRPr="00A421A9">
              <w:rPr>
                <w:rFonts w:ascii="Cambria" w:hAnsi="Cambria"/>
                <w:spacing w:val="-8"/>
                <w:sz w:val="20"/>
                <w:szCs w:val="20"/>
              </w:rPr>
              <w:t xml:space="preserve"> </w:t>
            </w:r>
            <w:r w:rsidRPr="00A421A9">
              <w:rPr>
                <w:rFonts w:ascii="Cambria" w:hAnsi="Cambria"/>
                <w:sz w:val="20"/>
                <w:szCs w:val="20"/>
              </w:rPr>
              <w:t>as</w:t>
            </w:r>
            <w:r w:rsidRPr="00A421A9">
              <w:rPr>
                <w:rFonts w:ascii="Cambria" w:hAnsi="Cambria"/>
                <w:spacing w:val="-9"/>
                <w:sz w:val="20"/>
                <w:szCs w:val="20"/>
              </w:rPr>
              <w:t xml:space="preserve"> </w:t>
            </w:r>
            <w:r w:rsidRPr="00A421A9">
              <w:rPr>
                <w:rFonts w:ascii="Cambria" w:hAnsi="Cambria"/>
                <w:sz w:val="20"/>
                <w:szCs w:val="20"/>
              </w:rPr>
              <w:t>clinically</w:t>
            </w:r>
            <w:r w:rsidRPr="00A421A9">
              <w:rPr>
                <w:rFonts w:ascii="Cambria" w:hAnsi="Cambria"/>
                <w:spacing w:val="-9"/>
                <w:sz w:val="20"/>
                <w:szCs w:val="20"/>
              </w:rPr>
              <w:t xml:space="preserve"> </w:t>
            </w:r>
            <w:r w:rsidRPr="00A421A9">
              <w:rPr>
                <w:rFonts w:ascii="Cambria" w:hAnsi="Cambria"/>
                <w:sz w:val="20"/>
                <w:szCs w:val="20"/>
              </w:rPr>
              <w:t>indicated.</w:t>
            </w:r>
          </w:p>
        </w:tc>
      </w:tr>
      <w:tr w:rsidR="00A421A9" w14:paraId="590019BF" w14:textId="77777777" w:rsidTr="00A421A9">
        <w:tc>
          <w:tcPr>
            <w:tcW w:w="2098" w:type="dxa"/>
            <w:vMerge/>
          </w:tcPr>
          <w:p w14:paraId="41E17DE8" w14:textId="77777777" w:rsidR="00A421A9" w:rsidRPr="00A421A9" w:rsidRDefault="00A421A9" w:rsidP="00A421A9">
            <w:pPr>
              <w:spacing w:before="50" w:after="50" w:line="240" w:lineRule="auto"/>
              <w:ind w:right="606"/>
              <w:rPr>
                <w:rFonts w:ascii="Cambria" w:eastAsia="Cambria" w:hAnsi="Cambria" w:cs="Cambria"/>
                <w:b/>
                <w:bCs/>
                <w:color w:val="000000"/>
                <w:sz w:val="20"/>
                <w:szCs w:val="20"/>
              </w:rPr>
            </w:pPr>
          </w:p>
        </w:tc>
        <w:tc>
          <w:tcPr>
            <w:tcW w:w="1984" w:type="dxa"/>
            <w:shd w:val="clear" w:color="auto" w:fill="auto"/>
          </w:tcPr>
          <w:p w14:paraId="466019DC" w14:textId="77777777" w:rsidR="00A421A9" w:rsidRPr="00A421A9" w:rsidRDefault="00A421A9" w:rsidP="00A421A9">
            <w:pPr>
              <w:pStyle w:val="TableParagraph"/>
              <w:spacing w:before="0"/>
              <w:rPr>
                <w:rFonts w:ascii="Cambria" w:hAnsi="Cambria"/>
                <w:b/>
                <w:sz w:val="20"/>
                <w:szCs w:val="20"/>
              </w:rPr>
            </w:pPr>
          </w:p>
          <w:p w14:paraId="6FCCDBAB" w14:textId="77777777" w:rsidR="00A421A9" w:rsidRPr="00A421A9" w:rsidRDefault="00A421A9" w:rsidP="00A421A9">
            <w:pPr>
              <w:pStyle w:val="TableParagraph"/>
              <w:spacing w:before="181"/>
              <w:rPr>
                <w:rFonts w:ascii="Cambria" w:hAnsi="Cambria"/>
                <w:b/>
                <w:sz w:val="20"/>
                <w:szCs w:val="20"/>
              </w:rPr>
            </w:pPr>
          </w:p>
          <w:p w14:paraId="3D184E6B" w14:textId="7B549211" w:rsidR="00A421A9" w:rsidRPr="00A421A9" w:rsidRDefault="00A421A9" w:rsidP="00A421A9">
            <w:pPr>
              <w:spacing w:before="50" w:after="50" w:line="240" w:lineRule="auto"/>
              <w:ind w:right="606"/>
              <w:rPr>
                <w:rFonts w:ascii="Cambria" w:eastAsia="Cambria" w:hAnsi="Cambria" w:cs="Cambria"/>
                <w:color w:val="000000"/>
                <w:sz w:val="20"/>
                <w:szCs w:val="20"/>
              </w:rPr>
            </w:pPr>
            <w:r w:rsidRPr="00A421A9">
              <w:rPr>
                <w:rFonts w:ascii="Cambria" w:hAnsi="Cambria"/>
                <w:sz w:val="20"/>
                <w:szCs w:val="20"/>
              </w:rPr>
              <w:t>Grade</w:t>
            </w:r>
            <w:r w:rsidRPr="00A421A9">
              <w:rPr>
                <w:rFonts w:ascii="Cambria" w:hAnsi="Cambria"/>
                <w:spacing w:val="-2"/>
                <w:sz w:val="20"/>
                <w:szCs w:val="20"/>
              </w:rPr>
              <w:t xml:space="preserve"> </w:t>
            </w:r>
            <w:r w:rsidRPr="00A421A9">
              <w:rPr>
                <w:rFonts w:ascii="Cambria" w:hAnsi="Cambria"/>
                <w:spacing w:val="-5"/>
                <w:sz w:val="20"/>
                <w:szCs w:val="20"/>
              </w:rPr>
              <w:t>2</w:t>
            </w:r>
            <w:r w:rsidRPr="00A421A9">
              <w:rPr>
                <w:rFonts w:ascii="Cambria" w:hAnsi="Cambria"/>
                <w:spacing w:val="-5"/>
                <w:sz w:val="20"/>
                <w:szCs w:val="20"/>
                <w:vertAlign w:val="superscript"/>
              </w:rPr>
              <w:t>a</w:t>
            </w:r>
          </w:p>
        </w:tc>
        <w:tc>
          <w:tcPr>
            <w:tcW w:w="5812" w:type="dxa"/>
            <w:shd w:val="clear" w:color="auto" w:fill="auto"/>
          </w:tcPr>
          <w:p w14:paraId="1DDB7B50" w14:textId="6C029296" w:rsidR="00A421A9" w:rsidRPr="00A421A9" w:rsidRDefault="00A421A9" w:rsidP="00401A39">
            <w:pPr>
              <w:pStyle w:val="TableParagraph"/>
              <w:numPr>
                <w:ilvl w:val="0"/>
                <w:numId w:val="16"/>
              </w:numPr>
              <w:tabs>
                <w:tab w:val="left" w:pos="381"/>
              </w:tabs>
              <w:spacing w:before="21"/>
              <w:rPr>
                <w:rFonts w:ascii="Cambria" w:hAnsi="Cambria"/>
                <w:sz w:val="20"/>
                <w:szCs w:val="20"/>
              </w:rPr>
            </w:pPr>
            <w:r w:rsidRPr="00A421A9">
              <w:rPr>
                <w:rFonts w:ascii="Cambria" w:hAnsi="Cambria"/>
                <w:sz w:val="20"/>
                <w:szCs w:val="20"/>
              </w:rPr>
              <w:t>Withhold</w:t>
            </w:r>
            <w:r w:rsidRPr="00A421A9">
              <w:rPr>
                <w:rFonts w:ascii="Cambria" w:hAnsi="Cambria"/>
                <w:spacing w:val="-3"/>
                <w:sz w:val="20"/>
                <w:szCs w:val="20"/>
              </w:rPr>
              <w:t xml:space="preserve"> </w:t>
            </w:r>
            <w:r w:rsidR="004B488D">
              <w:rPr>
                <w:rFonts w:ascii="Cambria" w:hAnsi="Cambria"/>
                <w:sz w:val="20"/>
                <w:szCs w:val="20"/>
              </w:rPr>
              <w:t>Itovebi</w:t>
            </w:r>
            <w:r w:rsidRPr="00A421A9">
              <w:rPr>
                <w:rFonts w:ascii="Cambria" w:hAnsi="Cambria"/>
                <w:spacing w:val="-4"/>
                <w:sz w:val="20"/>
                <w:szCs w:val="20"/>
              </w:rPr>
              <w:t xml:space="preserve"> </w:t>
            </w:r>
            <w:r w:rsidRPr="00A421A9">
              <w:rPr>
                <w:rFonts w:ascii="Cambria" w:hAnsi="Cambria"/>
                <w:sz w:val="20"/>
                <w:szCs w:val="20"/>
              </w:rPr>
              <w:t>until</w:t>
            </w:r>
            <w:r w:rsidRPr="00A421A9">
              <w:rPr>
                <w:rFonts w:ascii="Cambria" w:hAnsi="Cambria"/>
                <w:spacing w:val="-5"/>
                <w:sz w:val="20"/>
                <w:szCs w:val="20"/>
              </w:rPr>
              <w:t xml:space="preserve"> </w:t>
            </w:r>
            <w:r w:rsidRPr="00A421A9">
              <w:rPr>
                <w:rFonts w:ascii="Cambria" w:hAnsi="Cambria"/>
                <w:sz w:val="20"/>
                <w:szCs w:val="20"/>
              </w:rPr>
              <w:t>recovery</w:t>
            </w:r>
            <w:r w:rsidRPr="00A421A9">
              <w:rPr>
                <w:rFonts w:ascii="Cambria" w:hAnsi="Cambria"/>
                <w:spacing w:val="-2"/>
                <w:sz w:val="20"/>
                <w:szCs w:val="20"/>
              </w:rPr>
              <w:t xml:space="preserve"> </w:t>
            </w:r>
            <w:r w:rsidRPr="00A421A9">
              <w:rPr>
                <w:rFonts w:ascii="Cambria" w:hAnsi="Cambria"/>
                <w:sz w:val="20"/>
                <w:szCs w:val="20"/>
              </w:rPr>
              <w:t>to</w:t>
            </w:r>
            <w:r w:rsidRPr="00A421A9">
              <w:rPr>
                <w:rFonts w:ascii="Cambria" w:hAnsi="Cambria"/>
                <w:spacing w:val="-3"/>
                <w:sz w:val="20"/>
                <w:szCs w:val="20"/>
              </w:rPr>
              <w:t xml:space="preserve"> </w:t>
            </w:r>
            <w:r w:rsidRPr="00A421A9">
              <w:rPr>
                <w:rFonts w:ascii="Cambria" w:hAnsi="Cambria"/>
                <w:sz w:val="20"/>
                <w:szCs w:val="20"/>
              </w:rPr>
              <w:t>Grade</w:t>
            </w:r>
            <w:r w:rsidRPr="00A421A9">
              <w:rPr>
                <w:rFonts w:ascii="Cambria" w:hAnsi="Cambria"/>
                <w:spacing w:val="-4"/>
                <w:sz w:val="20"/>
                <w:szCs w:val="20"/>
              </w:rPr>
              <w:t xml:space="preserve"> </w:t>
            </w:r>
            <w:r w:rsidRPr="00A421A9">
              <w:rPr>
                <w:rFonts w:ascii="Cambria" w:hAnsi="Cambria"/>
                <w:sz w:val="20"/>
                <w:szCs w:val="20"/>
                <w:u w:val="single"/>
              </w:rPr>
              <w:t>&lt;</w:t>
            </w:r>
            <w:r w:rsidRPr="00A421A9">
              <w:rPr>
                <w:rFonts w:ascii="Cambria" w:hAnsi="Cambria"/>
                <w:spacing w:val="-2"/>
                <w:sz w:val="20"/>
                <w:szCs w:val="20"/>
              </w:rPr>
              <w:t xml:space="preserve"> </w:t>
            </w:r>
            <w:r w:rsidRPr="00A421A9">
              <w:rPr>
                <w:rFonts w:ascii="Cambria" w:hAnsi="Cambria"/>
                <w:spacing w:val="-5"/>
                <w:sz w:val="20"/>
                <w:szCs w:val="20"/>
              </w:rPr>
              <w:t>1.</w:t>
            </w:r>
          </w:p>
          <w:p w14:paraId="08167725" w14:textId="1FEC625F" w:rsidR="00A421A9" w:rsidRPr="00A421A9" w:rsidRDefault="00A421A9" w:rsidP="00401A39">
            <w:pPr>
              <w:pStyle w:val="TableParagraph"/>
              <w:numPr>
                <w:ilvl w:val="0"/>
                <w:numId w:val="16"/>
              </w:numPr>
              <w:tabs>
                <w:tab w:val="left" w:pos="381"/>
              </w:tabs>
              <w:spacing w:before="32" w:line="228" w:lineRule="auto"/>
              <w:ind w:right="696"/>
              <w:rPr>
                <w:rFonts w:ascii="Cambria" w:hAnsi="Cambria"/>
                <w:sz w:val="20"/>
                <w:szCs w:val="20"/>
              </w:rPr>
            </w:pPr>
            <w:r w:rsidRPr="00A421A9">
              <w:rPr>
                <w:rFonts w:ascii="Cambria" w:hAnsi="Cambria"/>
                <w:sz w:val="20"/>
                <w:szCs w:val="20"/>
              </w:rPr>
              <w:t>Initiate</w:t>
            </w:r>
            <w:r w:rsidRPr="00A421A9">
              <w:rPr>
                <w:rFonts w:ascii="Cambria" w:hAnsi="Cambria"/>
                <w:spacing w:val="-7"/>
                <w:sz w:val="20"/>
                <w:szCs w:val="20"/>
              </w:rPr>
              <w:t xml:space="preserve"> </w:t>
            </w:r>
            <w:r w:rsidRPr="00A421A9">
              <w:rPr>
                <w:rFonts w:ascii="Cambria" w:hAnsi="Cambria"/>
                <w:sz w:val="20"/>
                <w:szCs w:val="20"/>
              </w:rPr>
              <w:t>or</w:t>
            </w:r>
            <w:r w:rsidRPr="00A421A9">
              <w:rPr>
                <w:rFonts w:ascii="Cambria" w:hAnsi="Cambria"/>
                <w:spacing w:val="-7"/>
                <w:sz w:val="20"/>
                <w:szCs w:val="20"/>
              </w:rPr>
              <w:t xml:space="preserve"> </w:t>
            </w:r>
            <w:r w:rsidRPr="00A421A9">
              <w:rPr>
                <w:rFonts w:ascii="Cambria" w:hAnsi="Cambria"/>
                <w:sz w:val="20"/>
                <w:szCs w:val="20"/>
              </w:rPr>
              <w:t>intensify</w:t>
            </w:r>
            <w:r w:rsidRPr="00A421A9">
              <w:rPr>
                <w:rFonts w:ascii="Cambria" w:hAnsi="Cambria"/>
                <w:spacing w:val="-8"/>
                <w:sz w:val="20"/>
                <w:szCs w:val="20"/>
              </w:rPr>
              <w:t xml:space="preserve"> </w:t>
            </w:r>
            <w:r w:rsidRPr="00A421A9">
              <w:rPr>
                <w:rFonts w:ascii="Cambria" w:hAnsi="Cambria"/>
                <w:sz w:val="20"/>
                <w:szCs w:val="20"/>
              </w:rPr>
              <w:t>appropriate</w:t>
            </w:r>
            <w:r w:rsidRPr="00A421A9">
              <w:rPr>
                <w:rFonts w:ascii="Cambria" w:hAnsi="Cambria"/>
                <w:spacing w:val="-5"/>
                <w:sz w:val="20"/>
                <w:szCs w:val="20"/>
              </w:rPr>
              <w:t xml:space="preserve"> </w:t>
            </w:r>
            <w:r w:rsidRPr="00A421A9">
              <w:rPr>
                <w:rFonts w:ascii="Cambria" w:hAnsi="Cambria"/>
                <w:sz w:val="20"/>
                <w:szCs w:val="20"/>
              </w:rPr>
              <w:t>medical</w:t>
            </w:r>
            <w:r w:rsidRPr="00A421A9">
              <w:rPr>
                <w:rFonts w:ascii="Cambria" w:hAnsi="Cambria"/>
                <w:spacing w:val="-4"/>
                <w:sz w:val="20"/>
                <w:szCs w:val="20"/>
              </w:rPr>
              <w:t xml:space="preserve"> </w:t>
            </w:r>
            <w:r w:rsidRPr="00A421A9">
              <w:rPr>
                <w:rFonts w:ascii="Cambria" w:hAnsi="Cambria"/>
                <w:sz w:val="20"/>
                <w:szCs w:val="20"/>
              </w:rPr>
              <w:t>therapy.</w:t>
            </w:r>
            <w:r w:rsidRPr="00A421A9">
              <w:rPr>
                <w:rFonts w:ascii="Cambria" w:hAnsi="Cambria"/>
                <w:spacing w:val="-5"/>
                <w:sz w:val="20"/>
                <w:szCs w:val="20"/>
              </w:rPr>
              <w:t xml:space="preserve"> </w:t>
            </w:r>
            <w:r w:rsidRPr="00A421A9">
              <w:rPr>
                <w:rFonts w:ascii="Cambria" w:hAnsi="Cambria"/>
                <w:sz w:val="20"/>
                <w:szCs w:val="20"/>
              </w:rPr>
              <w:t xml:space="preserve">Resume </w:t>
            </w:r>
            <w:r w:rsidR="004B488D">
              <w:rPr>
                <w:rFonts w:ascii="Cambria" w:hAnsi="Cambria"/>
                <w:sz w:val="20"/>
                <w:szCs w:val="20"/>
              </w:rPr>
              <w:t>Itovebi</w:t>
            </w:r>
            <w:r w:rsidRPr="00A421A9">
              <w:rPr>
                <w:rFonts w:ascii="Cambria" w:hAnsi="Cambria"/>
                <w:sz w:val="20"/>
                <w:szCs w:val="20"/>
              </w:rPr>
              <w:t xml:space="preserve"> at the </w:t>
            </w:r>
            <w:proofErr w:type="gramStart"/>
            <w:r w:rsidRPr="00A421A9">
              <w:rPr>
                <w:rFonts w:ascii="Cambria" w:hAnsi="Cambria"/>
                <w:sz w:val="20"/>
                <w:szCs w:val="20"/>
              </w:rPr>
              <w:t>same dose</w:t>
            </w:r>
            <w:proofErr w:type="gramEnd"/>
            <w:r w:rsidRPr="00A421A9">
              <w:rPr>
                <w:rFonts w:ascii="Cambria" w:hAnsi="Cambria"/>
                <w:sz w:val="20"/>
                <w:szCs w:val="20"/>
              </w:rPr>
              <w:t xml:space="preserve"> level.</w:t>
            </w:r>
          </w:p>
          <w:p w14:paraId="688532F0" w14:textId="1BF44BD1" w:rsidR="00A421A9" w:rsidRPr="00A421A9" w:rsidRDefault="00A421A9" w:rsidP="00401A39">
            <w:pPr>
              <w:numPr>
                <w:ilvl w:val="0"/>
                <w:numId w:val="16"/>
              </w:numPr>
              <w:pBdr>
                <w:top w:val="nil"/>
                <w:left w:val="nil"/>
                <w:bottom w:val="nil"/>
                <w:right w:val="nil"/>
                <w:between w:val="nil"/>
              </w:pBdr>
              <w:spacing w:before="50" w:after="50" w:line="240" w:lineRule="auto"/>
              <w:ind w:right="606"/>
              <w:rPr>
                <w:rFonts w:ascii="Cambria" w:eastAsia="Cambria" w:hAnsi="Cambria" w:cs="Cambria"/>
                <w:color w:val="000000"/>
                <w:sz w:val="20"/>
                <w:szCs w:val="20"/>
              </w:rPr>
            </w:pPr>
            <w:r w:rsidRPr="00A421A9">
              <w:rPr>
                <w:rFonts w:ascii="Cambria" w:hAnsi="Cambria"/>
                <w:sz w:val="20"/>
                <w:szCs w:val="20"/>
              </w:rPr>
              <w:t xml:space="preserve">For recurrent Grade 2 stomatitis, withhold </w:t>
            </w:r>
            <w:r w:rsidR="004B488D">
              <w:rPr>
                <w:rFonts w:ascii="Cambria" w:hAnsi="Cambria"/>
                <w:sz w:val="20"/>
                <w:szCs w:val="20"/>
              </w:rPr>
              <w:t>Itovebi</w:t>
            </w:r>
            <w:r w:rsidRPr="00A421A9">
              <w:rPr>
                <w:rFonts w:ascii="Cambria" w:hAnsi="Cambria"/>
                <w:sz w:val="20"/>
                <w:szCs w:val="20"/>
              </w:rPr>
              <w:t xml:space="preserve"> until recovery</w:t>
            </w:r>
            <w:r w:rsidRPr="00A421A9">
              <w:rPr>
                <w:rFonts w:ascii="Cambria" w:hAnsi="Cambria"/>
                <w:spacing w:val="-5"/>
                <w:sz w:val="20"/>
                <w:szCs w:val="20"/>
              </w:rPr>
              <w:t xml:space="preserve"> </w:t>
            </w:r>
            <w:r w:rsidRPr="00A421A9">
              <w:rPr>
                <w:rFonts w:ascii="Cambria" w:hAnsi="Cambria"/>
                <w:sz w:val="20"/>
                <w:szCs w:val="20"/>
              </w:rPr>
              <w:t>to</w:t>
            </w:r>
            <w:r w:rsidRPr="00A421A9">
              <w:rPr>
                <w:rFonts w:ascii="Cambria" w:hAnsi="Cambria"/>
                <w:spacing w:val="-2"/>
                <w:sz w:val="20"/>
                <w:szCs w:val="20"/>
              </w:rPr>
              <w:t xml:space="preserve"> </w:t>
            </w:r>
            <w:r w:rsidRPr="00A421A9">
              <w:rPr>
                <w:rFonts w:ascii="Cambria" w:hAnsi="Cambria"/>
                <w:sz w:val="20"/>
                <w:szCs w:val="20"/>
              </w:rPr>
              <w:t>Grade</w:t>
            </w:r>
            <w:r w:rsidRPr="00A421A9">
              <w:rPr>
                <w:rFonts w:ascii="Cambria" w:hAnsi="Cambria"/>
                <w:spacing w:val="-4"/>
                <w:sz w:val="20"/>
                <w:szCs w:val="20"/>
              </w:rPr>
              <w:t xml:space="preserve"> </w:t>
            </w:r>
            <w:r w:rsidRPr="00A421A9">
              <w:rPr>
                <w:rFonts w:ascii="Cambria" w:hAnsi="Cambria"/>
                <w:sz w:val="20"/>
                <w:szCs w:val="20"/>
                <w:u w:val="single"/>
              </w:rPr>
              <w:t>&lt;</w:t>
            </w:r>
            <w:r w:rsidRPr="00A421A9">
              <w:rPr>
                <w:rFonts w:ascii="Cambria" w:hAnsi="Cambria"/>
                <w:spacing w:val="-2"/>
                <w:sz w:val="20"/>
                <w:szCs w:val="20"/>
              </w:rPr>
              <w:t xml:space="preserve"> </w:t>
            </w:r>
            <w:r w:rsidRPr="00A421A9">
              <w:rPr>
                <w:rFonts w:ascii="Cambria" w:hAnsi="Cambria"/>
                <w:sz w:val="20"/>
                <w:szCs w:val="20"/>
              </w:rPr>
              <w:t>1,</w:t>
            </w:r>
            <w:r w:rsidRPr="00A421A9">
              <w:rPr>
                <w:rFonts w:ascii="Cambria" w:hAnsi="Cambria"/>
                <w:spacing w:val="-5"/>
                <w:sz w:val="20"/>
                <w:szCs w:val="20"/>
              </w:rPr>
              <w:t xml:space="preserve"> </w:t>
            </w:r>
            <w:r w:rsidRPr="00A421A9">
              <w:rPr>
                <w:rFonts w:ascii="Cambria" w:hAnsi="Cambria"/>
                <w:sz w:val="20"/>
                <w:szCs w:val="20"/>
              </w:rPr>
              <w:t>then</w:t>
            </w:r>
            <w:r w:rsidRPr="00A421A9">
              <w:rPr>
                <w:rFonts w:ascii="Cambria" w:hAnsi="Cambria"/>
                <w:spacing w:val="-5"/>
                <w:sz w:val="20"/>
                <w:szCs w:val="20"/>
              </w:rPr>
              <w:t xml:space="preserve"> </w:t>
            </w:r>
            <w:r w:rsidRPr="00A421A9">
              <w:rPr>
                <w:rFonts w:ascii="Cambria" w:hAnsi="Cambria"/>
                <w:sz w:val="20"/>
                <w:szCs w:val="20"/>
              </w:rPr>
              <w:t>resume</w:t>
            </w:r>
            <w:r w:rsidRPr="00A421A9">
              <w:rPr>
                <w:rFonts w:ascii="Cambria" w:hAnsi="Cambria"/>
                <w:spacing w:val="-2"/>
                <w:sz w:val="20"/>
                <w:szCs w:val="20"/>
              </w:rPr>
              <w:t xml:space="preserve"> </w:t>
            </w:r>
            <w:r w:rsidR="004B488D">
              <w:rPr>
                <w:rFonts w:ascii="Cambria" w:hAnsi="Cambria"/>
                <w:sz w:val="20"/>
                <w:szCs w:val="20"/>
              </w:rPr>
              <w:t>Itovebi</w:t>
            </w:r>
            <w:r w:rsidRPr="00A421A9">
              <w:rPr>
                <w:rFonts w:ascii="Cambria" w:hAnsi="Cambria"/>
                <w:spacing w:val="-4"/>
                <w:sz w:val="20"/>
                <w:szCs w:val="20"/>
              </w:rPr>
              <w:t xml:space="preserve"> </w:t>
            </w:r>
            <w:r w:rsidRPr="00A421A9">
              <w:rPr>
                <w:rFonts w:ascii="Cambria" w:hAnsi="Cambria"/>
                <w:sz w:val="20"/>
                <w:szCs w:val="20"/>
              </w:rPr>
              <w:t>at</w:t>
            </w:r>
            <w:r w:rsidRPr="00A421A9">
              <w:rPr>
                <w:rFonts w:ascii="Cambria" w:hAnsi="Cambria"/>
                <w:spacing w:val="-2"/>
                <w:sz w:val="20"/>
                <w:szCs w:val="20"/>
              </w:rPr>
              <w:t xml:space="preserve"> </w:t>
            </w:r>
            <w:r w:rsidRPr="00A421A9">
              <w:rPr>
                <w:rFonts w:ascii="Cambria" w:hAnsi="Cambria"/>
                <w:sz w:val="20"/>
                <w:szCs w:val="20"/>
              </w:rPr>
              <w:t>one</w:t>
            </w:r>
            <w:r w:rsidRPr="00A421A9">
              <w:rPr>
                <w:rFonts w:ascii="Cambria" w:hAnsi="Cambria"/>
                <w:spacing w:val="-5"/>
                <w:sz w:val="20"/>
                <w:szCs w:val="20"/>
              </w:rPr>
              <w:t xml:space="preserve"> </w:t>
            </w:r>
            <w:r w:rsidRPr="00A421A9">
              <w:rPr>
                <w:rFonts w:ascii="Cambria" w:hAnsi="Cambria"/>
                <w:sz w:val="20"/>
                <w:szCs w:val="20"/>
              </w:rPr>
              <w:t>lower dose level.</w:t>
            </w:r>
          </w:p>
        </w:tc>
      </w:tr>
      <w:tr w:rsidR="00A421A9" w14:paraId="5674EE00" w14:textId="77777777" w:rsidTr="00A421A9">
        <w:tc>
          <w:tcPr>
            <w:tcW w:w="2098" w:type="dxa"/>
            <w:vMerge/>
          </w:tcPr>
          <w:p w14:paraId="0259EB1F" w14:textId="77777777" w:rsidR="00A421A9" w:rsidRPr="00A421A9" w:rsidRDefault="00A421A9" w:rsidP="00A421A9">
            <w:pPr>
              <w:spacing w:before="50" w:after="50" w:line="240" w:lineRule="auto"/>
              <w:ind w:right="606"/>
              <w:rPr>
                <w:rFonts w:ascii="Cambria" w:eastAsia="Cambria" w:hAnsi="Cambria" w:cs="Cambria"/>
                <w:b/>
                <w:bCs/>
                <w:color w:val="000000"/>
                <w:sz w:val="20"/>
                <w:szCs w:val="20"/>
              </w:rPr>
            </w:pPr>
          </w:p>
        </w:tc>
        <w:tc>
          <w:tcPr>
            <w:tcW w:w="1984" w:type="dxa"/>
            <w:shd w:val="clear" w:color="auto" w:fill="auto"/>
          </w:tcPr>
          <w:p w14:paraId="527BF0A0" w14:textId="77777777" w:rsidR="00A421A9" w:rsidRPr="00A421A9" w:rsidRDefault="00A421A9" w:rsidP="00A421A9">
            <w:pPr>
              <w:pStyle w:val="TableParagraph"/>
              <w:spacing w:before="48"/>
              <w:rPr>
                <w:rFonts w:ascii="Cambria" w:hAnsi="Cambria"/>
                <w:b/>
                <w:sz w:val="20"/>
                <w:szCs w:val="20"/>
              </w:rPr>
            </w:pPr>
          </w:p>
          <w:p w14:paraId="40C10C77" w14:textId="4FDF9A2D" w:rsidR="00A421A9" w:rsidRPr="00A421A9" w:rsidRDefault="00A421A9" w:rsidP="00A421A9">
            <w:pPr>
              <w:spacing w:before="50" w:after="50" w:line="240" w:lineRule="auto"/>
              <w:ind w:right="606"/>
              <w:rPr>
                <w:rFonts w:ascii="Cambria" w:eastAsia="Cambria" w:hAnsi="Cambria" w:cs="Cambria"/>
                <w:color w:val="000000"/>
                <w:sz w:val="20"/>
                <w:szCs w:val="20"/>
              </w:rPr>
            </w:pPr>
            <w:r w:rsidRPr="00A421A9">
              <w:rPr>
                <w:rFonts w:ascii="Cambria" w:hAnsi="Cambria"/>
                <w:sz w:val="20"/>
                <w:szCs w:val="20"/>
              </w:rPr>
              <w:t>Grade</w:t>
            </w:r>
            <w:r w:rsidRPr="00A421A9">
              <w:rPr>
                <w:rFonts w:ascii="Cambria" w:hAnsi="Cambria"/>
                <w:spacing w:val="-2"/>
                <w:sz w:val="20"/>
                <w:szCs w:val="20"/>
              </w:rPr>
              <w:t xml:space="preserve"> </w:t>
            </w:r>
            <w:r w:rsidRPr="00A421A9">
              <w:rPr>
                <w:rFonts w:ascii="Cambria" w:hAnsi="Cambria"/>
                <w:spacing w:val="-5"/>
                <w:sz w:val="20"/>
                <w:szCs w:val="20"/>
              </w:rPr>
              <w:t>3</w:t>
            </w:r>
            <w:r w:rsidRPr="00A421A9">
              <w:rPr>
                <w:rFonts w:ascii="Cambria" w:hAnsi="Cambria"/>
                <w:spacing w:val="-5"/>
                <w:sz w:val="20"/>
                <w:szCs w:val="20"/>
                <w:vertAlign w:val="superscript"/>
              </w:rPr>
              <w:t>a</w:t>
            </w:r>
          </w:p>
        </w:tc>
        <w:tc>
          <w:tcPr>
            <w:tcW w:w="5812" w:type="dxa"/>
            <w:shd w:val="clear" w:color="auto" w:fill="auto"/>
          </w:tcPr>
          <w:p w14:paraId="4615A1DB" w14:textId="542F7D68" w:rsidR="00A421A9" w:rsidRPr="00A421A9" w:rsidRDefault="00A421A9" w:rsidP="00401A39">
            <w:pPr>
              <w:pStyle w:val="TableParagraph"/>
              <w:numPr>
                <w:ilvl w:val="0"/>
                <w:numId w:val="16"/>
              </w:numPr>
              <w:tabs>
                <w:tab w:val="left" w:pos="380"/>
              </w:tabs>
              <w:spacing w:before="21"/>
              <w:rPr>
                <w:rFonts w:ascii="Cambria" w:hAnsi="Cambria"/>
                <w:sz w:val="20"/>
                <w:szCs w:val="20"/>
              </w:rPr>
            </w:pPr>
            <w:r w:rsidRPr="00A421A9">
              <w:rPr>
                <w:rFonts w:ascii="Cambria" w:hAnsi="Cambria"/>
                <w:sz w:val="20"/>
                <w:szCs w:val="20"/>
              </w:rPr>
              <w:t>Withhold</w:t>
            </w:r>
            <w:r w:rsidRPr="00A421A9">
              <w:rPr>
                <w:rFonts w:ascii="Cambria" w:hAnsi="Cambria"/>
                <w:spacing w:val="-3"/>
                <w:sz w:val="20"/>
                <w:szCs w:val="20"/>
              </w:rPr>
              <w:t xml:space="preserve"> </w:t>
            </w:r>
            <w:r w:rsidR="004B488D">
              <w:rPr>
                <w:rFonts w:ascii="Cambria" w:hAnsi="Cambria"/>
                <w:sz w:val="20"/>
                <w:szCs w:val="20"/>
              </w:rPr>
              <w:t>Itovebi</w:t>
            </w:r>
            <w:r w:rsidRPr="00A421A9">
              <w:rPr>
                <w:rFonts w:ascii="Cambria" w:hAnsi="Cambria"/>
                <w:spacing w:val="-4"/>
                <w:sz w:val="20"/>
                <w:szCs w:val="20"/>
              </w:rPr>
              <w:t xml:space="preserve"> </w:t>
            </w:r>
            <w:r w:rsidRPr="00A421A9">
              <w:rPr>
                <w:rFonts w:ascii="Cambria" w:hAnsi="Cambria"/>
                <w:sz w:val="20"/>
                <w:szCs w:val="20"/>
              </w:rPr>
              <w:t>until</w:t>
            </w:r>
            <w:r w:rsidRPr="00A421A9">
              <w:rPr>
                <w:rFonts w:ascii="Cambria" w:hAnsi="Cambria"/>
                <w:spacing w:val="-5"/>
                <w:sz w:val="20"/>
                <w:szCs w:val="20"/>
              </w:rPr>
              <w:t xml:space="preserve"> </w:t>
            </w:r>
            <w:r w:rsidRPr="00A421A9">
              <w:rPr>
                <w:rFonts w:ascii="Cambria" w:hAnsi="Cambria"/>
                <w:sz w:val="20"/>
                <w:szCs w:val="20"/>
              </w:rPr>
              <w:t>recovery</w:t>
            </w:r>
            <w:r w:rsidRPr="00A421A9">
              <w:rPr>
                <w:rFonts w:ascii="Cambria" w:hAnsi="Cambria"/>
                <w:spacing w:val="-2"/>
                <w:sz w:val="20"/>
                <w:szCs w:val="20"/>
              </w:rPr>
              <w:t xml:space="preserve"> </w:t>
            </w:r>
            <w:r w:rsidRPr="00A421A9">
              <w:rPr>
                <w:rFonts w:ascii="Cambria" w:hAnsi="Cambria"/>
                <w:sz w:val="20"/>
                <w:szCs w:val="20"/>
              </w:rPr>
              <w:t>to</w:t>
            </w:r>
            <w:r w:rsidRPr="00A421A9">
              <w:rPr>
                <w:rFonts w:ascii="Cambria" w:hAnsi="Cambria"/>
                <w:spacing w:val="-3"/>
                <w:sz w:val="20"/>
                <w:szCs w:val="20"/>
              </w:rPr>
              <w:t xml:space="preserve"> </w:t>
            </w:r>
            <w:r w:rsidRPr="00A421A9">
              <w:rPr>
                <w:rFonts w:ascii="Cambria" w:hAnsi="Cambria"/>
                <w:sz w:val="20"/>
                <w:szCs w:val="20"/>
              </w:rPr>
              <w:t>Grade</w:t>
            </w:r>
            <w:r w:rsidRPr="00A421A9">
              <w:rPr>
                <w:rFonts w:ascii="Cambria" w:hAnsi="Cambria"/>
                <w:spacing w:val="-4"/>
                <w:sz w:val="20"/>
                <w:szCs w:val="20"/>
              </w:rPr>
              <w:t xml:space="preserve"> </w:t>
            </w:r>
            <w:r w:rsidRPr="00A421A9">
              <w:rPr>
                <w:rFonts w:ascii="Cambria" w:hAnsi="Cambria"/>
                <w:sz w:val="20"/>
                <w:szCs w:val="20"/>
                <w:u w:val="single"/>
              </w:rPr>
              <w:t>&lt;</w:t>
            </w:r>
            <w:r w:rsidRPr="00A421A9">
              <w:rPr>
                <w:rFonts w:ascii="Cambria" w:hAnsi="Cambria"/>
                <w:spacing w:val="-2"/>
                <w:sz w:val="20"/>
                <w:szCs w:val="20"/>
              </w:rPr>
              <w:t xml:space="preserve"> </w:t>
            </w:r>
            <w:r w:rsidRPr="00A421A9">
              <w:rPr>
                <w:rFonts w:ascii="Cambria" w:hAnsi="Cambria"/>
                <w:spacing w:val="-5"/>
                <w:sz w:val="20"/>
                <w:szCs w:val="20"/>
              </w:rPr>
              <w:t>1.</w:t>
            </w:r>
          </w:p>
          <w:p w14:paraId="4908175C" w14:textId="30874C76" w:rsidR="00A421A9" w:rsidRPr="00A421A9" w:rsidRDefault="00A421A9" w:rsidP="00401A39">
            <w:pPr>
              <w:numPr>
                <w:ilvl w:val="0"/>
                <w:numId w:val="16"/>
              </w:numPr>
              <w:pBdr>
                <w:top w:val="nil"/>
                <w:left w:val="nil"/>
                <w:bottom w:val="nil"/>
                <w:right w:val="nil"/>
                <w:between w:val="nil"/>
              </w:pBdr>
              <w:spacing w:before="50" w:after="50" w:line="240" w:lineRule="auto"/>
              <w:ind w:right="606"/>
              <w:rPr>
                <w:rFonts w:ascii="Cambria" w:eastAsia="Cambria" w:hAnsi="Cambria" w:cs="Cambria"/>
                <w:color w:val="000000"/>
                <w:sz w:val="20"/>
                <w:szCs w:val="20"/>
              </w:rPr>
            </w:pPr>
            <w:r w:rsidRPr="00A421A9">
              <w:rPr>
                <w:rFonts w:ascii="Cambria" w:hAnsi="Cambria"/>
                <w:sz w:val="20"/>
                <w:szCs w:val="20"/>
              </w:rPr>
              <w:t>Initiate</w:t>
            </w:r>
            <w:r w:rsidRPr="00A421A9">
              <w:rPr>
                <w:rFonts w:ascii="Cambria" w:hAnsi="Cambria"/>
                <w:spacing w:val="-7"/>
                <w:sz w:val="20"/>
                <w:szCs w:val="20"/>
              </w:rPr>
              <w:t xml:space="preserve"> </w:t>
            </w:r>
            <w:r w:rsidRPr="00A421A9">
              <w:rPr>
                <w:rFonts w:ascii="Cambria" w:hAnsi="Cambria"/>
                <w:sz w:val="20"/>
                <w:szCs w:val="20"/>
              </w:rPr>
              <w:t>or</w:t>
            </w:r>
            <w:r w:rsidRPr="00A421A9">
              <w:rPr>
                <w:rFonts w:ascii="Cambria" w:hAnsi="Cambria"/>
                <w:spacing w:val="-7"/>
                <w:sz w:val="20"/>
                <w:szCs w:val="20"/>
              </w:rPr>
              <w:t xml:space="preserve"> </w:t>
            </w:r>
            <w:r w:rsidRPr="00A421A9">
              <w:rPr>
                <w:rFonts w:ascii="Cambria" w:hAnsi="Cambria"/>
                <w:sz w:val="20"/>
                <w:szCs w:val="20"/>
              </w:rPr>
              <w:t>intensify</w:t>
            </w:r>
            <w:r w:rsidRPr="00A421A9">
              <w:rPr>
                <w:rFonts w:ascii="Cambria" w:hAnsi="Cambria"/>
                <w:spacing w:val="-8"/>
                <w:sz w:val="20"/>
                <w:szCs w:val="20"/>
              </w:rPr>
              <w:t xml:space="preserve"> </w:t>
            </w:r>
            <w:r w:rsidRPr="00A421A9">
              <w:rPr>
                <w:rFonts w:ascii="Cambria" w:hAnsi="Cambria"/>
                <w:sz w:val="20"/>
                <w:szCs w:val="20"/>
              </w:rPr>
              <w:t>appropriate</w:t>
            </w:r>
            <w:r w:rsidRPr="00A421A9">
              <w:rPr>
                <w:rFonts w:ascii="Cambria" w:hAnsi="Cambria"/>
                <w:spacing w:val="-5"/>
                <w:sz w:val="20"/>
                <w:szCs w:val="20"/>
              </w:rPr>
              <w:t xml:space="preserve"> </w:t>
            </w:r>
            <w:r w:rsidRPr="00A421A9">
              <w:rPr>
                <w:rFonts w:ascii="Cambria" w:hAnsi="Cambria"/>
                <w:sz w:val="20"/>
                <w:szCs w:val="20"/>
              </w:rPr>
              <w:t>medical</w:t>
            </w:r>
            <w:r w:rsidRPr="00A421A9">
              <w:rPr>
                <w:rFonts w:ascii="Cambria" w:hAnsi="Cambria"/>
                <w:spacing w:val="-4"/>
                <w:sz w:val="20"/>
                <w:szCs w:val="20"/>
              </w:rPr>
              <w:t xml:space="preserve"> </w:t>
            </w:r>
            <w:r w:rsidRPr="00A421A9">
              <w:rPr>
                <w:rFonts w:ascii="Cambria" w:hAnsi="Cambria"/>
                <w:sz w:val="20"/>
                <w:szCs w:val="20"/>
              </w:rPr>
              <w:t>therapy.</w:t>
            </w:r>
            <w:r w:rsidRPr="00A421A9">
              <w:rPr>
                <w:rFonts w:ascii="Cambria" w:hAnsi="Cambria"/>
                <w:spacing w:val="-5"/>
                <w:sz w:val="20"/>
                <w:szCs w:val="20"/>
              </w:rPr>
              <w:t xml:space="preserve"> </w:t>
            </w:r>
            <w:r w:rsidRPr="00A421A9">
              <w:rPr>
                <w:rFonts w:ascii="Cambria" w:hAnsi="Cambria"/>
                <w:sz w:val="20"/>
                <w:szCs w:val="20"/>
              </w:rPr>
              <w:t xml:space="preserve">Resume </w:t>
            </w:r>
            <w:r w:rsidR="004B488D">
              <w:rPr>
                <w:rFonts w:ascii="Cambria" w:hAnsi="Cambria"/>
                <w:sz w:val="20"/>
                <w:szCs w:val="20"/>
              </w:rPr>
              <w:t>Itovebi</w:t>
            </w:r>
            <w:r w:rsidRPr="00A421A9">
              <w:rPr>
                <w:rFonts w:ascii="Cambria" w:hAnsi="Cambria"/>
                <w:sz w:val="20"/>
                <w:szCs w:val="20"/>
              </w:rPr>
              <w:t xml:space="preserve"> at one lower dose level.</w:t>
            </w:r>
          </w:p>
        </w:tc>
      </w:tr>
      <w:tr w:rsidR="00A421A9" w14:paraId="310BEA00" w14:textId="77777777" w:rsidTr="00A421A9">
        <w:tc>
          <w:tcPr>
            <w:tcW w:w="2098" w:type="dxa"/>
            <w:vMerge/>
          </w:tcPr>
          <w:p w14:paraId="11686FD0" w14:textId="77777777" w:rsidR="00A421A9" w:rsidRPr="00A421A9" w:rsidRDefault="00A421A9" w:rsidP="00A421A9">
            <w:pPr>
              <w:spacing w:before="50" w:after="50" w:line="240" w:lineRule="auto"/>
              <w:ind w:right="606"/>
              <w:rPr>
                <w:rFonts w:ascii="Cambria" w:eastAsia="Cambria" w:hAnsi="Cambria" w:cs="Cambria"/>
                <w:b/>
                <w:bCs/>
                <w:color w:val="000000"/>
                <w:sz w:val="20"/>
                <w:szCs w:val="20"/>
              </w:rPr>
            </w:pPr>
          </w:p>
        </w:tc>
        <w:tc>
          <w:tcPr>
            <w:tcW w:w="1984" w:type="dxa"/>
            <w:shd w:val="clear" w:color="auto" w:fill="auto"/>
          </w:tcPr>
          <w:p w14:paraId="206F5592" w14:textId="6FE5DE1F" w:rsidR="00A421A9" w:rsidRPr="00A421A9" w:rsidRDefault="00A421A9" w:rsidP="00A421A9">
            <w:pPr>
              <w:spacing w:before="50" w:after="50" w:line="240" w:lineRule="auto"/>
              <w:ind w:right="606"/>
              <w:rPr>
                <w:rFonts w:ascii="Cambria" w:eastAsia="Cambria" w:hAnsi="Cambria" w:cs="Cambria"/>
                <w:color w:val="000000"/>
                <w:sz w:val="20"/>
                <w:szCs w:val="20"/>
              </w:rPr>
            </w:pPr>
            <w:r w:rsidRPr="00A421A9">
              <w:rPr>
                <w:rFonts w:ascii="Cambria" w:hAnsi="Cambria"/>
                <w:sz w:val="20"/>
                <w:szCs w:val="20"/>
              </w:rPr>
              <w:t>Grade</w:t>
            </w:r>
            <w:r w:rsidRPr="00A421A9">
              <w:rPr>
                <w:rFonts w:ascii="Cambria" w:hAnsi="Cambria"/>
                <w:spacing w:val="-2"/>
                <w:sz w:val="20"/>
                <w:szCs w:val="20"/>
              </w:rPr>
              <w:t xml:space="preserve"> </w:t>
            </w:r>
            <w:r w:rsidRPr="00A421A9">
              <w:rPr>
                <w:rFonts w:ascii="Cambria" w:hAnsi="Cambria"/>
                <w:spacing w:val="-5"/>
                <w:sz w:val="20"/>
                <w:szCs w:val="20"/>
              </w:rPr>
              <w:t>4</w:t>
            </w:r>
            <w:r w:rsidRPr="00A421A9">
              <w:rPr>
                <w:rFonts w:ascii="Cambria" w:hAnsi="Cambria"/>
                <w:spacing w:val="-5"/>
                <w:sz w:val="20"/>
                <w:szCs w:val="20"/>
                <w:vertAlign w:val="superscript"/>
              </w:rPr>
              <w:t>a</w:t>
            </w:r>
          </w:p>
        </w:tc>
        <w:tc>
          <w:tcPr>
            <w:tcW w:w="5812" w:type="dxa"/>
            <w:shd w:val="clear" w:color="auto" w:fill="auto"/>
          </w:tcPr>
          <w:p w14:paraId="6A3291B0" w14:textId="642C67B3" w:rsidR="00A421A9" w:rsidRPr="00A421A9" w:rsidRDefault="00A421A9" w:rsidP="00401A39">
            <w:pPr>
              <w:numPr>
                <w:ilvl w:val="0"/>
                <w:numId w:val="16"/>
              </w:numPr>
              <w:pBdr>
                <w:top w:val="nil"/>
                <w:left w:val="nil"/>
                <w:bottom w:val="nil"/>
                <w:right w:val="nil"/>
                <w:between w:val="nil"/>
              </w:pBdr>
              <w:spacing w:before="50" w:after="50" w:line="240" w:lineRule="auto"/>
              <w:ind w:right="606"/>
              <w:rPr>
                <w:rFonts w:ascii="Cambria" w:eastAsia="Cambria" w:hAnsi="Cambria" w:cs="Cambria"/>
                <w:color w:val="000000"/>
                <w:sz w:val="20"/>
                <w:szCs w:val="20"/>
              </w:rPr>
            </w:pPr>
            <w:r w:rsidRPr="00A421A9">
              <w:rPr>
                <w:rFonts w:ascii="Cambria" w:hAnsi="Cambria"/>
                <w:sz w:val="20"/>
                <w:szCs w:val="20"/>
              </w:rPr>
              <w:t>Permanently</w:t>
            </w:r>
            <w:r w:rsidRPr="00A421A9">
              <w:rPr>
                <w:rFonts w:ascii="Cambria" w:hAnsi="Cambria"/>
                <w:spacing w:val="-7"/>
                <w:sz w:val="20"/>
                <w:szCs w:val="20"/>
              </w:rPr>
              <w:t xml:space="preserve"> </w:t>
            </w:r>
            <w:r w:rsidRPr="00A421A9">
              <w:rPr>
                <w:rFonts w:ascii="Cambria" w:hAnsi="Cambria"/>
                <w:sz w:val="20"/>
                <w:szCs w:val="20"/>
              </w:rPr>
              <w:t>discontinue</w:t>
            </w:r>
            <w:r w:rsidRPr="00A421A9">
              <w:rPr>
                <w:rFonts w:ascii="Cambria" w:hAnsi="Cambria"/>
                <w:spacing w:val="-6"/>
                <w:sz w:val="20"/>
                <w:szCs w:val="20"/>
              </w:rPr>
              <w:t xml:space="preserve"> </w:t>
            </w:r>
            <w:r w:rsidR="004B488D">
              <w:rPr>
                <w:rFonts w:ascii="Cambria" w:hAnsi="Cambria"/>
                <w:spacing w:val="-2"/>
                <w:sz w:val="20"/>
                <w:szCs w:val="20"/>
              </w:rPr>
              <w:t>Itovebi</w:t>
            </w:r>
            <w:r w:rsidRPr="00A421A9">
              <w:rPr>
                <w:rFonts w:ascii="Cambria" w:hAnsi="Cambria"/>
                <w:spacing w:val="-2"/>
                <w:sz w:val="20"/>
                <w:szCs w:val="20"/>
              </w:rPr>
              <w:t>.</w:t>
            </w:r>
          </w:p>
        </w:tc>
      </w:tr>
      <w:tr w:rsidR="00401A39" w14:paraId="5CC2FF2F" w14:textId="77777777" w:rsidTr="00A421A9">
        <w:tc>
          <w:tcPr>
            <w:tcW w:w="2098" w:type="dxa"/>
            <w:vMerge w:val="restart"/>
            <w:vAlign w:val="center"/>
          </w:tcPr>
          <w:p w14:paraId="1166CE30" w14:textId="61FCB129" w:rsidR="00401A39" w:rsidRPr="00A421A9" w:rsidRDefault="00401A39" w:rsidP="00401A39">
            <w:pPr>
              <w:spacing w:before="50" w:after="50" w:line="240" w:lineRule="auto"/>
              <w:ind w:right="606"/>
              <w:rPr>
                <w:rFonts w:ascii="Cambria" w:eastAsia="Cambria" w:hAnsi="Cambria" w:cs="Cambria"/>
                <w:b/>
                <w:bCs/>
                <w:color w:val="000000"/>
                <w:sz w:val="20"/>
                <w:szCs w:val="20"/>
              </w:rPr>
            </w:pPr>
            <w:r>
              <w:rPr>
                <w:rFonts w:ascii="Cambria" w:eastAsia="Cambria" w:hAnsi="Cambria" w:cs="Cambria"/>
                <w:b/>
                <w:bCs/>
                <w:color w:val="000000"/>
                <w:sz w:val="20"/>
                <w:szCs w:val="20"/>
              </w:rPr>
              <w:t xml:space="preserve">Diarrhoea </w:t>
            </w:r>
            <w:r w:rsidRPr="00A421A9">
              <w:rPr>
                <w:rFonts w:ascii="Cambria" w:eastAsia="Cambria" w:hAnsi="Cambria" w:cs="Cambria"/>
                <w:color w:val="000000"/>
                <w:sz w:val="20"/>
                <w:szCs w:val="20"/>
              </w:rPr>
              <w:t xml:space="preserve">(see </w:t>
            </w:r>
            <w:proofErr w:type="gramStart"/>
            <w:r w:rsidRPr="00A421A9">
              <w:rPr>
                <w:rFonts w:ascii="Cambria" w:eastAsia="Cambria" w:hAnsi="Cambria" w:cs="Cambria"/>
                <w:color w:val="000000"/>
                <w:sz w:val="20"/>
                <w:szCs w:val="20"/>
              </w:rPr>
              <w:t>section  4.4</w:t>
            </w:r>
            <w:proofErr w:type="gramEnd"/>
            <w:r w:rsidRPr="00A421A9">
              <w:rPr>
                <w:rFonts w:ascii="Cambria" w:eastAsia="Cambria" w:hAnsi="Cambria" w:cs="Cambria"/>
                <w:color w:val="000000"/>
                <w:sz w:val="20"/>
                <w:szCs w:val="20"/>
              </w:rPr>
              <w:t xml:space="preserve">  </w:t>
            </w:r>
            <w:r w:rsidR="00E83483" w:rsidRPr="00E83483">
              <w:rPr>
                <w:rFonts w:ascii="Cambria" w:eastAsia="Cambria" w:hAnsi="Cambria" w:cs="Cambria"/>
                <w:color w:val="000000"/>
                <w:sz w:val="20"/>
                <w:szCs w:val="20"/>
              </w:rPr>
              <w:t xml:space="preserve">Special Warnings and Precautions </w:t>
            </w:r>
            <w:proofErr w:type="gramStart"/>
            <w:r w:rsidR="00E83483" w:rsidRPr="00E83483">
              <w:rPr>
                <w:rFonts w:ascii="Cambria" w:eastAsia="Cambria" w:hAnsi="Cambria" w:cs="Cambria"/>
                <w:color w:val="000000"/>
                <w:sz w:val="20"/>
                <w:szCs w:val="20"/>
              </w:rPr>
              <w:t>For</w:t>
            </w:r>
            <w:proofErr w:type="gramEnd"/>
            <w:r w:rsidR="00E83483" w:rsidRPr="00E83483">
              <w:rPr>
                <w:rFonts w:ascii="Cambria" w:eastAsia="Cambria" w:hAnsi="Cambria" w:cs="Cambria"/>
                <w:color w:val="000000"/>
                <w:sz w:val="20"/>
                <w:szCs w:val="20"/>
              </w:rPr>
              <w:t xml:space="preserve"> Use</w:t>
            </w:r>
            <w:r w:rsidRPr="00A421A9">
              <w:rPr>
                <w:rFonts w:ascii="Cambria" w:eastAsia="Cambria" w:hAnsi="Cambria" w:cs="Cambria"/>
                <w:color w:val="000000"/>
                <w:sz w:val="20"/>
                <w:szCs w:val="20"/>
              </w:rPr>
              <w:t>)</w:t>
            </w:r>
          </w:p>
        </w:tc>
        <w:tc>
          <w:tcPr>
            <w:tcW w:w="1984" w:type="dxa"/>
            <w:shd w:val="clear" w:color="auto" w:fill="auto"/>
          </w:tcPr>
          <w:p w14:paraId="4B989E5D" w14:textId="77777777" w:rsidR="00401A39" w:rsidRPr="00A421A9" w:rsidRDefault="00401A39" w:rsidP="00401A39">
            <w:pPr>
              <w:pStyle w:val="TableParagraph"/>
              <w:spacing w:before="47"/>
              <w:rPr>
                <w:rFonts w:ascii="Cambria" w:hAnsi="Cambria"/>
                <w:b/>
                <w:sz w:val="20"/>
                <w:szCs w:val="20"/>
              </w:rPr>
            </w:pPr>
          </w:p>
          <w:p w14:paraId="2B8BCA82" w14:textId="390028BB" w:rsidR="00401A39" w:rsidRPr="00FD7B6F" w:rsidRDefault="00401A39" w:rsidP="00401A39">
            <w:pPr>
              <w:spacing w:before="50" w:after="50" w:line="240" w:lineRule="auto"/>
              <w:ind w:right="606"/>
              <w:rPr>
                <w:rFonts w:ascii="Cambria" w:eastAsia="Cambria" w:hAnsi="Cambria" w:cs="Cambria"/>
                <w:color w:val="000000"/>
                <w:sz w:val="20"/>
                <w:szCs w:val="20"/>
              </w:rPr>
            </w:pPr>
            <w:r w:rsidRPr="00A421A9">
              <w:rPr>
                <w:rFonts w:ascii="Cambria" w:hAnsi="Cambria"/>
                <w:sz w:val="20"/>
                <w:szCs w:val="20"/>
              </w:rPr>
              <w:t>Grade</w:t>
            </w:r>
            <w:r w:rsidRPr="00A421A9">
              <w:rPr>
                <w:rFonts w:ascii="Cambria" w:hAnsi="Cambria"/>
                <w:spacing w:val="-2"/>
                <w:sz w:val="20"/>
                <w:szCs w:val="20"/>
              </w:rPr>
              <w:t xml:space="preserve"> </w:t>
            </w:r>
            <w:r w:rsidRPr="00A421A9">
              <w:rPr>
                <w:rFonts w:ascii="Cambria" w:hAnsi="Cambria"/>
                <w:spacing w:val="-5"/>
                <w:sz w:val="20"/>
                <w:szCs w:val="20"/>
              </w:rPr>
              <w:t>1</w:t>
            </w:r>
            <w:r w:rsidRPr="00A421A9">
              <w:rPr>
                <w:rFonts w:ascii="Cambria" w:hAnsi="Cambria"/>
                <w:spacing w:val="-5"/>
                <w:sz w:val="20"/>
                <w:szCs w:val="20"/>
                <w:vertAlign w:val="superscript"/>
              </w:rPr>
              <w:t>a</w:t>
            </w:r>
          </w:p>
        </w:tc>
        <w:tc>
          <w:tcPr>
            <w:tcW w:w="5812" w:type="dxa"/>
            <w:shd w:val="clear" w:color="auto" w:fill="auto"/>
          </w:tcPr>
          <w:p w14:paraId="20A325E2" w14:textId="0EF6FF7F" w:rsidR="00401A39" w:rsidRPr="00401A39" w:rsidRDefault="00401A39" w:rsidP="00401A39">
            <w:pPr>
              <w:pStyle w:val="TableParagraph"/>
              <w:numPr>
                <w:ilvl w:val="0"/>
                <w:numId w:val="16"/>
              </w:numPr>
              <w:tabs>
                <w:tab w:val="left" w:pos="381"/>
              </w:tabs>
              <w:spacing w:before="23"/>
              <w:rPr>
                <w:rFonts w:ascii="Cambria" w:hAnsi="Cambria"/>
                <w:sz w:val="20"/>
                <w:szCs w:val="20"/>
              </w:rPr>
            </w:pPr>
            <w:r w:rsidRPr="00401A39">
              <w:rPr>
                <w:rFonts w:ascii="Cambria" w:hAnsi="Cambria"/>
                <w:sz w:val="20"/>
                <w:szCs w:val="20"/>
              </w:rPr>
              <w:t>No</w:t>
            </w:r>
            <w:r w:rsidRPr="00401A39">
              <w:rPr>
                <w:rFonts w:ascii="Cambria" w:hAnsi="Cambria"/>
                <w:spacing w:val="-4"/>
                <w:sz w:val="20"/>
                <w:szCs w:val="20"/>
              </w:rPr>
              <w:t xml:space="preserve"> </w:t>
            </w:r>
            <w:r w:rsidRPr="00401A39">
              <w:rPr>
                <w:rFonts w:ascii="Cambria" w:hAnsi="Cambria"/>
                <w:sz w:val="20"/>
                <w:szCs w:val="20"/>
              </w:rPr>
              <w:t>adjustment</w:t>
            </w:r>
            <w:r w:rsidRPr="00401A39">
              <w:rPr>
                <w:rFonts w:ascii="Cambria" w:hAnsi="Cambria"/>
                <w:spacing w:val="-3"/>
                <w:sz w:val="20"/>
                <w:szCs w:val="20"/>
              </w:rPr>
              <w:t xml:space="preserve"> </w:t>
            </w:r>
            <w:r w:rsidRPr="00401A39">
              <w:rPr>
                <w:rFonts w:ascii="Cambria" w:hAnsi="Cambria"/>
                <w:sz w:val="20"/>
                <w:szCs w:val="20"/>
              </w:rPr>
              <w:t>of</w:t>
            </w:r>
            <w:r w:rsidRPr="00401A39">
              <w:rPr>
                <w:rFonts w:ascii="Cambria" w:hAnsi="Cambria"/>
                <w:spacing w:val="-6"/>
                <w:sz w:val="20"/>
                <w:szCs w:val="20"/>
              </w:rPr>
              <w:t xml:space="preserve"> </w:t>
            </w:r>
            <w:r w:rsidR="004B488D">
              <w:rPr>
                <w:rFonts w:ascii="Cambria" w:hAnsi="Cambria"/>
                <w:sz w:val="20"/>
                <w:szCs w:val="20"/>
              </w:rPr>
              <w:t>Itovebi</w:t>
            </w:r>
            <w:r w:rsidRPr="00401A39">
              <w:rPr>
                <w:rFonts w:ascii="Cambria" w:hAnsi="Cambria"/>
                <w:spacing w:val="-5"/>
                <w:sz w:val="20"/>
                <w:szCs w:val="20"/>
              </w:rPr>
              <w:t xml:space="preserve"> </w:t>
            </w:r>
            <w:proofErr w:type="gramStart"/>
            <w:r w:rsidRPr="00401A39">
              <w:rPr>
                <w:rFonts w:ascii="Cambria" w:hAnsi="Cambria"/>
                <w:spacing w:val="-2"/>
                <w:sz w:val="20"/>
                <w:szCs w:val="20"/>
              </w:rPr>
              <w:t>required</w:t>
            </w:r>
            <w:proofErr w:type="gramEnd"/>
            <w:r w:rsidRPr="00401A39">
              <w:rPr>
                <w:rFonts w:ascii="Cambria" w:hAnsi="Cambria"/>
                <w:spacing w:val="-2"/>
                <w:sz w:val="20"/>
                <w:szCs w:val="20"/>
              </w:rPr>
              <w:t>.</w:t>
            </w:r>
          </w:p>
          <w:p w14:paraId="2CE4B365" w14:textId="2DF1098C" w:rsidR="00401A39" w:rsidRPr="00401A39" w:rsidRDefault="00401A39" w:rsidP="00401A39">
            <w:pPr>
              <w:numPr>
                <w:ilvl w:val="0"/>
                <w:numId w:val="16"/>
              </w:numPr>
              <w:pBdr>
                <w:top w:val="nil"/>
                <w:left w:val="nil"/>
                <w:bottom w:val="nil"/>
                <w:right w:val="nil"/>
                <w:between w:val="nil"/>
              </w:pBdr>
              <w:spacing w:before="50" w:after="50" w:line="240" w:lineRule="auto"/>
              <w:ind w:right="606"/>
              <w:rPr>
                <w:rFonts w:ascii="Cambria" w:eastAsia="Cambria" w:hAnsi="Cambria" w:cs="Cambria"/>
                <w:color w:val="000000"/>
                <w:sz w:val="20"/>
                <w:szCs w:val="20"/>
              </w:rPr>
            </w:pPr>
            <w:r w:rsidRPr="00401A39">
              <w:rPr>
                <w:rFonts w:ascii="Cambria" w:hAnsi="Cambria"/>
                <w:sz w:val="20"/>
                <w:szCs w:val="20"/>
              </w:rPr>
              <w:t>Initiate</w:t>
            </w:r>
            <w:r w:rsidRPr="00401A39">
              <w:rPr>
                <w:rFonts w:ascii="Cambria" w:hAnsi="Cambria"/>
                <w:spacing w:val="-6"/>
                <w:sz w:val="20"/>
                <w:szCs w:val="20"/>
              </w:rPr>
              <w:t xml:space="preserve"> </w:t>
            </w:r>
            <w:r w:rsidRPr="00401A39">
              <w:rPr>
                <w:rFonts w:ascii="Cambria" w:hAnsi="Cambria"/>
                <w:sz w:val="20"/>
                <w:szCs w:val="20"/>
              </w:rPr>
              <w:t>appropriate</w:t>
            </w:r>
            <w:r w:rsidRPr="00401A39">
              <w:rPr>
                <w:rFonts w:ascii="Cambria" w:hAnsi="Cambria"/>
                <w:spacing w:val="-6"/>
                <w:sz w:val="20"/>
                <w:szCs w:val="20"/>
              </w:rPr>
              <w:t xml:space="preserve"> </w:t>
            </w:r>
            <w:r w:rsidRPr="00401A39">
              <w:rPr>
                <w:rFonts w:ascii="Cambria" w:hAnsi="Cambria"/>
                <w:sz w:val="20"/>
                <w:szCs w:val="20"/>
              </w:rPr>
              <w:t>medical</w:t>
            </w:r>
            <w:r w:rsidRPr="00401A39">
              <w:rPr>
                <w:rFonts w:ascii="Cambria" w:hAnsi="Cambria"/>
                <w:spacing w:val="-6"/>
                <w:sz w:val="20"/>
                <w:szCs w:val="20"/>
              </w:rPr>
              <w:t xml:space="preserve"> </w:t>
            </w:r>
            <w:r w:rsidRPr="00401A39">
              <w:rPr>
                <w:rFonts w:ascii="Cambria" w:hAnsi="Cambria"/>
                <w:sz w:val="20"/>
                <w:szCs w:val="20"/>
              </w:rPr>
              <w:t>therapy</w:t>
            </w:r>
            <w:r w:rsidRPr="00401A39">
              <w:rPr>
                <w:rFonts w:ascii="Cambria" w:hAnsi="Cambria"/>
                <w:spacing w:val="-7"/>
                <w:sz w:val="20"/>
                <w:szCs w:val="20"/>
              </w:rPr>
              <w:t xml:space="preserve"> </w:t>
            </w:r>
            <w:r w:rsidRPr="00401A39">
              <w:rPr>
                <w:rFonts w:ascii="Cambria" w:hAnsi="Cambria"/>
                <w:sz w:val="20"/>
                <w:szCs w:val="20"/>
              </w:rPr>
              <w:t>and</w:t>
            </w:r>
            <w:r w:rsidRPr="00401A39">
              <w:rPr>
                <w:rFonts w:ascii="Cambria" w:hAnsi="Cambria"/>
                <w:spacing w:val="-7"/>
                <w:sz w:val="20"/>
                <w:szCs w:val="20"/>
              </w:rPr>
              <w:t xml:space="preserve"> </w:t>
            </w:r>
            <w:r w:rsidRPr="00401A39">
              <w:rPr>
                <w:rFonts w:ascii="Cambria" w:hAnsi="Cambria"/>
                <w:sz w:val="20"/>
                <w:szCs w:val="20"/>
              </w:rPr>
              <w:t>monitor</w:t>
            </w:r>
            <w:r w:rsidRPr="00401A39">
              <w:rPr>
                <w:rFonts w:ascii="Cambria" w:hAnsi="Cambria"/>
                <w:spacing w:val="-3"/>
                <w:sz w:val="20"/>
                <w:szCs w:val="20"/>
              </w:rPr>
              <w:t xml:space="preserve"> </w:t>
            </w:r>
            <w:r w:rsidRPr="00401A39">
              <w:rPr>
                <w:rFonts w:ascii="Cambria" w:hAnsi="Cambria"/>
                <w:sz w:val="20"/>
                <w:szCs w:val="20"/>
              </w:rPr>
              <w:t>as</w:t>
            </w:r>
            <w:r w:rsidRPr="00401A39">
              <w:rPr>
                <w:rFonts w:ascii="Cambria" w:hAnsi="Cambria"/>
                <w:spacing w:val="-6"/>
                <w:sz w:val="20"/>
                <w:szCs w:val="20"/>
              </w:rPr>
              <w:t xml:space="preserve"> </w:t>
            </w:r>
            <w:r w:rsidRPr="00401A39">
              <w:rPr>
                <w:rFonts w:ascii="Cambria" w:hAnsi="Cambria"/>
                <w:sz w:val="20"/>
                <w:szCs w:val="20"/>
              </w:rPr>
              <w:t xml:space="preserve">clinically </w:t>
            </w:r>
            <w:r w:rsidRPr="00401A39">
              <w:rPr>
                <w:rFonts w:ascii="Cambria" w:hAnsi="Cambria"/>
                <w:spacing w:val="-2"/>
                <w:sz w:val="20"/>
                <w:szCs w:val="20"/>
              </w:rPr>
              <w:t>indicated.</w:t>
            </w:r>
          </w:p>
        </w:tc>
      </w:tr>
      <w:tr w:rsidR="00401A39" w14:paraId="6544DD98" w14:textId="77777777" w:rsidTr="00A421A9">
        <w:tc>
          <w:tcPr>
            <w:tcW w:w="2098" w:type="dxa"/>
            <w:vMerge/>
          </w:tcPr>
          <w:p w14:paraId="2AEC4831" w14:textId="77777777" w:rsidR="00401A39" w:rsidRPr="00A421A9" w:rsidRDefault="00401A39" w:rsidP="00401A39">
            <w:pPr>
              <w:spacing w:before="50" w:after="50" w:line="240" w:lineRule="auto"/>
              <w:ind w:right="606"/>
              <w:rPr>
                <w:rFonts w:ascii="Cambria" w:eastAsia="Cambria" w:hAnsi="Cambria" w:cs="Cambria"/>
                <w:b/>
                <w:bCs/>
                <w:color w:val="000000"/>
                <w:sz w:val="20"/>
                <w:szCs w:val="20"/>
              </w:rPr>
            </w:pPr>
          </w:p>
        </w:tc>
        <w:tc>
          <w:tcPr>
            <w:tcW w:w="1984" w:type="dxa"/>
            <w:shd w:val="clear" w:color="auto" w:fill="auto"/>
          </w:tcPr>
          <w:p w14:paraId="56276AB2" w14:textId="77777777" w:rsidR="00401A39" w:rsidRPr="00A421A9" w:rsidRDefault="00401A39" w:rsidP="00401A39">
            <w:pPr>
              <w:pStyle w:val="TableParagraph"/>
              <w:spacing w:before="0"/>
              <w:rPr>
                <w:rFonts w:ascii="Cambria" w:hAnsi="Cambria"/>
                <w:b/>
                <w:sz w:val="20"/>
                <w:szCs w:val="20"/>
              </w:rPr>
            </w:pPr>
          </w:p>
          <w:p w14:paraId="4135038F" w14:textId="77777777" w:rsidR="00401A39" w:rsidRPr="00A421A9" w:rsidRDefault="00401A39" w:rsidP="00401A39">
            <w:pPr>
              <w:pStyle w:val="TableParagraph"/>
              <w:spacing w:before="181"/>
              <w:rPr>
                <w:rFonts w:ascii="Cambria" w:hAnsi="Cambria"/>
                <w:b/>
                <w:sz w:val="20"/>
                <w:szCs w:val="20"/>
              </w:rPr>
            </w:pPr>
          </w:p>
          <w:p w14:paraId="68F5F938" w14:textId="29D65713" w:rsidR="00401A39" w:rsidRPr="00FD7B6F" w:rsidRDefault="00401A39" w:rsidP="00401A39">
            <w:pPr>
              <w:spacing w:before="50" w:after="50" w:line="240" w:lineRule="auto"/>
              <w:ind w:right="606"/>
              <w:rPr>
                <w:rFonts w:ascii="Cambria" w:eastAsia="Cambria" w:hAnsi="Cambria" w:cs="Cambria"/>
                <w:color w:val="000000"/>
                <w:sz w:val="20"/>
                <w:szCs w:val="20"/>
              </w:rPr>
            </w:pPr>
            <w:r w:rsidRPr="00A421A9">
              <w:rPr>
                <w:rFonts w:ascii="Cambria" w:hAnsi="Cambria"/>
                <w:sz w:val="20"/>
                <w:szCs w:val="20"/>
              </w:rPr>
              <w:t>Grade</w:t>
            </w:r>
            <w:r w:rsidRPr="00A421A9">
              <w:rPr>
                <w:rFonts w:ascii="Cambria" w:hAnsi="Cambria"/>
                <w:spacing w:val="-2"/>
                <w:sz w:val="20"/>
                <w:szCs w:val="20"/>
              </w:rPr>
              <w:t xml:space="preserve"> </w:t>
            </w:r>
            <w:r w:rsidRPr="00A421A9">
              <w:rPr>
                <w:rFonts w:ascii="Cambria" w:hAnsi="Cambria"/>
                <w:spacing w:val="-5"/>
                <w:sz w:val="20"/>
                <w:szCs w:val="20"/>
              </w:rPr>
              <w:t>2</w:t>
            </w:r>
            <w:r w:rsidRPr="00A421A9">
              <w:rPr>
                <w:rFonts w:ascii="Cambria" w:hAnsi="Cambria"/>
                <w:spacing w:val="-5"/>
                <w:sz w:val="20"/>
                <w:szCs w:val="20"/>
                <w:vertAlign w:val="superscript"/>
              </w:rPr>
              <w:t>a</w:t>
            </w:r>
          </w:p>
        </w:tc>
        <w:tc>
          <w:tcPr>
            <w:tcW w:w="5812" w:type="dxa"/>
            <w:shd w:val="clear" w:color="auto" w:fill="auto"/>
          </w:tcPr>
          <w:p w14:paraId="13080D6A" w14:textId="5AB908B6" w:rsidR="00401A39" w:rsidRPr="00401A39" w:rsidRDefault="00401A39" w:rsidP="00401A39">
            <w:pPr>
              <w:pStyle w:val="TableParagraph"/>
              <w:numPr>
                <w:ilvl w:val="0"/>
                <w:numId w:val="16"/>
              </w:numPr>
              <w:tabs>
                <w:tab w:val="left" w:pos="381"/>
              </w:tabs>
              <w:spacing w:before="32" w:line="228" w:lineRule="auto"/>
              <w:ind w:right="333"/>
              <w:rPr>
                <w:rFonts w:ascii="Cambria" w:hAnsi="Cambria"/>
                <w:sz w:val="20"/>
                <w:szCs w:val="20"/>
              </w:rPr>
            </w:pPr>
            <w:r w:rsidRPr="00401A39">
              <w:rPr>
                <w:rFonts w:ascii="Cambria" w:hAnsi="Cambria"/>
                <w:sz w:val="20"/>
                <w:szCs w:val="20"/>
              </w:rPr>
              <w:t>Withhold</w:t>
            </w:r>
            <w:r w:rsidRPr="00401A39">
              <w:rPr>
                <w:rFonts w:ascii="Cambria" w:hAnsi="Cambria"/>
                <w:spacing w:val="-3"/>
                <w:sz w:val="20"/>
                <w:szCs w:val="20"/>
              </w:rPr>
              <w:t xml:space="preserve"> </w:t>
            </w:r>
            <w:r w:rsidR="004B488D">
              <w:rPr>
                <w:rFonts w:ascii="Cambria" w:hAnsi="Cambria"/>
                <w:sz w:val="20"/>
                <w:szCs w:val="20"/>
              </w:rPr>
              <w:t>Itovebi</w:t>
            </w:r>
            <w:r w:rsidRPr="00401A39">
              <w:rPr>
                <w:rFonts w:ascii="Cambria" w:hAnsi="Cambria"/>
                <w:spacing w:val="-5"/>
                <w:sz w:val="20"/>
                <w:szCs w:val="20"/>
              </w:rPr>
              <w:t xml:space="preserve"> </w:t>
            </w:r>
            <w:r w:rsidRPr="00401A39">
              <w:rPr>
                <w:rFonts w:ascii="Cambria" w:hAnsi="Cambria"/>
                <w:sz w:val="20"/>
                <w:szCs w:val="20"/>
              </w:rPr>
              <w:t>until</w:t>
            </w:r>
            <w:r w:rsidRPr="00401A39">
              <w:rPr>
                <w:rFonts w:ascii="Cambria" w:hAnsi="Cambria"/>
                <w:spacing w:val="-5"/>
                <w:sz w:val="20"/>
                <w:szCs w:val="20"/>
              </w:rPr>
              <w:t xml:space="preserve"> </w:t>
            </w:r>
            <w:r w:rsidRPr="00401A39">
              <w:rPr>
                <w:rFonts w:ascii="Cambria" w:hAnsi="Cambria"/>
                <w:sz w:val="20"/>
                <w:szCs w:val="20"/>
              </w:rPr>
              <w:t>recovery</w:t>
            </w:r>
            <w:r w:rsidRPr="00401A39">
              <w:rPr>
                <w:rFonts w:ascii="Cambria" w:hAnsi="Cambria"/>
                <w:spacing w:val="-3"/>
                <w:sz w:val="20"/>
                <w:szCs w:val="20"/>
              </w:rPr>
              <w:t xml:space="preserve"> </w:t>
            </w:r>
            <w:r w:rsidRPr="00401A39">
              <w:rPr>
                <w:rFonts w:ascii="Cambria" w:hAnsi="Cambria"/>
                <w:sz w:val="20"/>
                <w:szCs w:val="20"/>
              </w:rPr>
              <w:t>to</w:t>
            </w:r>
            <w:r w:rsidRPr="00401A39">
              <w:rPr>
                <w:rFonts w:ascii="Cambria" w:hAnsi="Cambria"/>
                <w:spacing w:val="-3"/>
                <w:sz w:val="20"/>
                <w:szCs w:val="20"/>
              </w:rPr>
              <w:t xml:space="preserve"> </w:t>
            </w:r>
            <w:r w:rsidRPr="00401A39">
              <w:rPr>
                <w:rFonts w:ascii="Cambria" w:hAnsi="Cambria"/>
                <w:sz w:val="20"/>
                <w:szCs w:val="20"/>
              </w:rPr>
              <w:t>Grade</w:t>
            </w:r>
            <w:r w:rsidRPr="00401A39">
              <w:rPr>
                <w:rFonts w:ascii="Cambria" w:hAnsi="Cambria"/>
                <w:spacing w:val="-5"/>
                <w:sz w:val="20"/>
                <w:szCs w:val="20"/>
              </w:rPr>
              <w:t xml:space="preserve"> </w:t>
            </w:r>
            <w:r w:rsidRPr="00401A39">
              <w:rPr>
                <w:rFonts w:ascii="Cambria" w:hAnsi="Cambria"/>
                <w:sz w:val="20"/>
                <w:szCs w:val="20"/>
                <w:u w:val="single"/>
              </w:rPr>
              <w:t>&lt;</w:t>
            </w:r>
            <w:r w:rsidRPr="00401A39">
              <w:rPr>
                <w:rFonts w:ascii="Cambria" w:hAnsi="Cambria"/>
                <w:spacing w:val="-3"/>
                <w:sz w:val="20"/>
                <w:szCs w:val="20"/>
              </w:rPr>
              <w:t xml:space="preserve"> </w:t>
            </w:r>
            <w:r w:rsidRPr="00401A39">
              <w:rPr>
                <w:rFonts w:ascii="Cambria" w:hAnsi="Cambria"/>
                <w:sz w:val="20"/>
                <w:szCs w:val="20"/>
              </w:rPr>
              <w:t>1,</w:t>
            </w:r>
            <w:r w:rsidRPr="00401A39">
              <w:rPr>
                <w:rFonts w:ascii="Cambria" w:hAnsi="Cambria"/>
                <w:spacing w:val="-6"/>
                <w:sz w:val="20"/>
                <w:szCs w:val="20"/>
              </w:rPr>
              <w:t xml:space="preserve"> </w:t>
            </w:r>
            <w:r w:rsidRPr="00401A39">
              <w:rPr>
                <w:rFonts w:ascii="Cambria" w:hAnsi="Cambria"/>
                <w:sz w:val="20"/>
                <w:szCs w:val="20"/>
              </w:rPr>
              <w:t>then</w:t>
            </w:r>
            <w:r w:rsidRPr="00401A39">
              <w:rPr>
                <w:rFonts w:ascii="Cambria" w:hAnsi="Cambria"/>
                <w:spacing w:val="-6"/>
                <w:sz w:val="20"/>
                <w:szCs w:val="20"/>
              </w:rPr>
              <w:t xml:space="preserve"> </w:t>
            </w:r>
            <w:r w:rsidRPr="00401A39">
              <w:rPr>
                <w:rFonts w:ascii="Cambria" w:hAnsi="Cambria"/>
                <w:sz w:val="20"/>
                <w:szCs w:val="20"/>
              </w:rPr>
              <w:t xml:space="preserve">resume </w:t>
            </w:r>
            <w:r w:rsidR="004B488D">
              <w:rPr>
                <w:rFonts w:ascii="Cambria" w:hAnsi="Cambria"/>
                <w:sz w:val="20"/>
                <w:szCs w:val="20"/>
              </w:rPr>
              <w:t>Itovebi</w:t>
            </w:r>
            <w:r w:rsidRPr="00401A39">
              <w:rPr>
                <w:rFonts w:ascii="Cambria" w:hAnsi="Cambria"/>
                <w:sz w:val="20"/>
                <w:szCs w:val="20"/>
              </w:rPr>
              <w:t xml:space="preserve"> at the same dose level.</w:t>
            </w:r>
          </w:p>
          <w:p w14:paraId="36F74EE9" w14:textId="77777777" w:rsidR="00401A39" w:rsidRPr="00401A39" w:rsidRDefault="00401A39" w:rsidP="00401A39">
            <w:pPr>
              <w:pStyle w:val="TableParagraph"/>
              <w:numPr>
                <w:ilvl w:val="0"/>
                <w:numId w:val="16"/>
              </w:numPr>
              <w:tabs>
                <w:tab w:val="left" w:pos="381"/>
              </w:tabs>
              <w:spacing w:before="34" w:line="228" w:lineRule="auto"/>
              <w:ind w:right="151"/>
              <w:rPr>
                <w:rFonts w:ascii="Cambria" w:hAnsi="Cambria"/>
                <w:sz w:val="20"/>
                <w:szCs w:val="20"/>
              </w:rPr>
            </w:pPr>
            <w:r w:rsidRPr="00401A39">
              <w:rPr>
                <w:rFonts w:ascii="Cambria" w:hAnsi="Cambria"/>
                <w:sz w:val="20"/>
                <w:szCs w:val="20"/>
              </w:rPr>
              <w:t>Initiate</w:t>
            </w:r>
            <w:r w:rsidRPr="00401A39">
              <w:rPr>
                <w:rFonts w:ascii="Cambria" w:hAnsi="Cambria"/>
                <w:spacing w:val="-6"/>
                <w:sz w:val="20"/>
                <w:szCs w:val="20"/>
              </w:rPr>
              <w:t xml:space="preserve"> </w:t>
            </w:r>
            <w:r w:rsidRPr="00401A39">
              <w:rPr>
                <w:rFonts w:ascii="Cambria" w:hAnsi="Cambria"/>
                <w:sz w:val="20"/>
                <w:szCs w:val="20"/>
              </w:rPr>
              <w:t>or</w:t>
            </w:r>
            <w:r w:rsidRPr="00401A39">
              <w:rPr>
                <w:rFonts w:ascii="Cambria" w:hAnsi="Cambria"/>
                <w:spacing w:val="-6"/>
                <w:sz w:val="20"/>
                <w:szCs w:val="20"/>
              </w:rPr>
              <w:t xml:space="preserve"> </w:t>
            </w:r>
            <w:r w:rsidRPr="00401A39">
              <w:rPr>
                <w:rFonts w:ascii="Cambria" w:hAnsi="Cambria"/>
                <w:sz w:val="20"/>
                <w:szCs w:val="20"/>
              </w:rPr>
              <w:t>intensify</w:t>
            </w:r>
            <w:r w:rsidRPr="00401A39">
              <w:rPr>
                <w:rFonts w:ascii="Cambria" w:hAnsi="Cambria"/>
                <w:spacing w:val="-7"/>
                <w:sz w:val="20"/>
                <w:szCs w:val="20"/>
              </w:rPr>
              <w:t xml:space="preserve"> </w:t>
            </w:r>
            <w:r w:rsidRPr="00401A39">
              <w:rPr>
                <w:rFonts w:ascii="Cambria" w:hAnsi="Cambria"/>
                <w:sz w:val="20"/>
                <w:szCs w:val="20"/>
              </w:rPr>
              <w:t>appropriate</w:t>
            </w:r>
            <w:r w:rsidRPr="00401A39">
              <w:rPr>
                <w:rFonts w:ascii="Cambria" w:hAnsi="Cambria"/>
                <w:spacing w:val="-4"/>
                <w:sz w:val="20"/>
                <w:szCs w:val="20"/>
              </w:rPr>
              <w:t xml:space="preserve"> </w:t>
            </w:r>
            <w:r w:rsidRPr="00401A39">
              <w:rPr>
                <w:rFonts w:ascii="Cambria" w:hAnsi="Cambria"/>
                <w:sz w:val="20"/>
                <w:szCs w:val="20"/>
              </w:rPr>
              <w:t>medical</w:t>
            </w:r>
            <w:r w:rsidRPr="00401A39">
              <w:rPr>
                <w:rFonts w:ascii="Cambria" w:hAnsi="Cambria"/>
                <w:spacing w:val="-3"/>
                <w:sz w:val="20"/>
                <w:szCs w:val="20"/>
              </w:rPr>
              <w:t xml:space="preserve"> </w:t>
            </w:r>
            <w:r w:rsidRPr="00401A39">
              <w:rPr>
                <w:rFonts w:ascii="Cambria" w:hAnsi="Cambria"/>
                <w:sz w:val="20"/>
                <w:szCs w:val="20"/>
              </w:rPr>
              <w:t>therapy</w:t>
            </w:r>
            <w:r w:rsidRPr="00401A39">
              <w:rPr>
                <w:rFonts w:ascii="Cambria" w:hAnsi="Cambria"/>
                <w:spacing w:val="-4"/>
                <w:sz w:val="20"/>
                <w:szCs w:val="20"/>
              </w:rPr>
              <w:t xml:space="preserve"> </w:t>
            </w:r>
            <w:r w:rsidRPr="00401A39">
              <w:rPr>
                <w:rFonts w:ascii="Cambria" w:hAnsi="Cambria"/>
                <w:sz w:val="20"/>
                <w:szCs w:val="20"/>
              </w:rPr>
              <w:t>and</w:t>
            </w:r>
            <w:r w:rsidRPr="00401A39">
              <w:rPr>
                <w:rFonts w:ascii="Cambria" w:hAnsi="Cambria"/>
                <w:spacing w:val="-4"/>
                <w:sz w:val="20"/>
                <w:szCs w:val="20"/>
              </w:rPr>
              <w:t xml:space="preserve"> </w:t>
            </w:r>
            <w:r w:rsidRPr="00401A39">
              <w:rPr>
                <w:rFonts w:ascii="Cambria" w:hAnsi="Cambria"/>
                <w:sz w:val="20"/>
                <w:szCs w:val="20"/>
              </w:rPr>
              <w:t>monitor</w:t>
            </w:r>
            <w:r w:rsidRPr="00401A39">
              <w:rPr>
                <w:rFonts w:ascii="Cambria" w:hAnsi="Cambria"/>
                <w:spacing w:val="-3"/>
                <w:sz w:val="20"/>
                <w:szCs w:val="20"/>
              </w:rPr>
              <w:t xml:space="preserve"> </w:t>
            </w:r>
            <w:r w:rsidRPr="00401A39">
              <w:rPr>
                <w:rFonts w:ascii="Cambria" w:hAnsi="Cambria"/>
                <w:sz w:val="20"/>
                <w:szCs w:val="20"/>
              </w:rPr>
              <w:t>as clinically indicated.</w:t>
            </w:r>
          </w:p>
          <w:p w14:paraId="3F66C949" w14:textId="1A900E06" w:rsidR="00401A39" w:rsidRPr="00401A39" w:rsidRDefault="00401A39" w:rsidP="00401A39">
            <w:pPr>
              <w:numPr>
                <w:ilvl w:val="0"/>
                <w:numId w:val="16"/>
              </w:numPr>
              <w:pBdr>
                <w:top w:val="nil"/>
                <w:left w:val="nil"/>
                <w:bottom w:val="nil"/>
                <w:right w:val="nil"/>
                <w:between w:val="nil"/>
              </w:pBdr>
              <w:spacing w:before="50" w:after="50" w:line="240" w:lineRule="auto"/>
              <w:ind w:right="606"/>
              <w:rPr>
                <w:rFonts w:ascii="Cambria" w:eastAsia="Cambria" w:hAnsi="Cambria" w:cs="Cambria"/>
                <w:color w:val="000000"/>
                <w:sz w:val="20"/>
                <w:szCs w:val="20"/>
              </w:rPr>
            </w:pPr>
            <w:r w:rsidRPr="00401A39">
              <w:rPr>
                <w:rFonts w:ascii="Cambria" w:hAnsi="Cambria"/>
                <w:sz w:val="20"/>
                <w:szCs w:val="20"/>
              </w:rPr>
              <w:t>For recurrent Grade 2 diarrh</w:t>
            </w:r>
            <w:r w:rsidR="004E2454">
              <w:rPr>
                <w:rFonts w:ascii="Cambria" w:hAnsi="Cambria"/>
                <w:sz w:val="20"/>
                <w:szCs w:val="20"/>
              </w:rPr>
              <w:t>o</w:t>
            </w:r>
            <w:r w:rsidRPr="00401A39">
              <w:rPr>
                <w:rFonts w:ascii="Cambria" w:hAnsi="Cambria"/>
                <w:sz w:val="20"/>
                <w:szCs w:val="20"/>
              </w:rPr>
              <w:t xml:space="preserve">ea, withhold </w:t>
            </w:r>
            <w:r w:rsidR="004B488D">
              <w:rPr>
                <w:rFonts w:ascii="Cambria" w:hAnsi="Cambria"/>
                <w:sz w:val="20"/>
                <w:szCs w:val="20"/>
              </w:rPr>
              <w:t>Itovebi</w:t>
            </w:r>
            <w:r w:rsidRPr="00401A39">
              <w:rPr>
                <w:rFonts w:ascii="Cambria" w:hAnsi="Cambria"/>
                <w:sz w:val="20"/>
                <w:szCs w:val="20"/>
              </w:rPr>
              <w:t xml:space="preserve"> until recovery</w:t>
            </w:r>
            <w:r w:rsidRPr="00401A39">
              <w:rPr>
                <w:rFonts w:ascii="Cambria" w:hAnsi="Cambria"/>
                <w:spacing w:val="-5"/>
                <w:sz w:val="20"/>
                <w:szCs w:val="20"/>
              </w:rPr>
              <w:t xml:space="preserve"> </w:t>
            </w:r>
            <w:r w:rsidRPr="00401A39">
              <w:rPr>
                <w:rFonts w:ascii="Cambria" w:hAnsi="Cambria"/>
                <w:sz w:val="20"/>
                <w:szCs w:val="20"/>
              </w:rPr>
              <w:t>to</w:t>
            </w:r>
            <w:r w:rsidRPr="00401A39">
              <w:rPr>
                <w:rFonts w:ascii="Cambria" w:hAnsi="Cambria"/>
                <w:spacing w:val="-2"/>
                <w:sz w:val="20"/>
                <w:szCs w:val="20"/>
              </w:rPr>
              <w:t xml:space="preserve"> </w:t>
            </w:r>
            <w:r w:rsidRPr="00401A39">
              <w:rPr>
                <w:rFonts w:ascii="Cambria" w:hAnsi="Cambria"/>
                <w:sz w:val="20"/>
                <w:szCs w:val="20"/>
              </w:rPr>
              <w:t>Grade</w:t>
            </w:r>
            <w:r w:rsidRPr="00401A39">
              <w:rPr>
                <w:rFonts w:ascii="Cambria" w:hAnsi="Cambria"/>
                <w:spacing w:val="-4"/>
                <w:sz w:val="20"/>
                <w:szCs w:val="20"/>
              </w:rPr>
              <w:t xml:space="preserve"> </w:t>
            </w:r>
            <w:r w:rsidRPr="00401A39">
              <w:rPr>
                <w:rFonts w:ascii="Cambria" w:hAnsi="Cambria"/>
                <w:sz w:val="20"/>
                <w:szCs w:val="20"/>
                <w:u w:val="single"/>
              </w:rPr>
              <w:t>&lt;</w:t>
            </w:r>
            <w:r w:rsidRPr="00401A39">
              <w:rPr>
                <w:rFonts w:ascii="Cambria" w:hAnsi="Cambria"/>
                <w:spacing w:val="-2"/>
                <w:sz w:val="20"/>
                <w:szCs w:val="20"/>
              </w:rPr>
              <w:t xml:space="preserve"> </w:t>
            </w:r>
            <w:r w:rsidRPr="00401A39">
              <w:rPr>
                <w:rFonts w:ascii="Cambria" w:hAnsi="Cambria"/>
                <w:sz w:val="20"/>
                <w:szCs w:val="20"/>
              </w:rPr>
              <w:t>1,</w:t>
            </w:r>
            <w:r w:rsidRPr="00401A39">
              <w:rPr>
                <w:rFonts w:ascii="Cambria" w:hAnsi="Cambria"/>
                <w:spacing w:val="-5"/>
                <w:sz w:val="20"/>
                <w:szCs w:val="20"/>
              </w:rPr>
              <w:t xml:space="preserve"> </w:t>
            </w:r>
            <w:r w:rsidRPr="00401A39">
              <w:rPr>
                <w:rFonts w:ascii="Cambria" w:hAnsi="Cambria"/>
                <w:sz w:val="20"/>
                <w:szCs w:val="20"/>
              </w:rPr>
              <w:t>then</w:t>
            </w:r>
            <w:r w:rsidRPr="00401A39">
              <w:rPr>
                <w:rFonts w:ascii="Cambria" w:hAnsi="Cambria"/>
                <w:spacing w:val="-5"/>
                <w:sz w:val="20"/>
                <w:szCs w:val="20"/>
              </w:rPr>
              <w:t xml:space="preserve"> </w:t>
            </w:r>
            <w:r w:rsidRPr="00401A39">
              <w:rPr>
                <w:rFonts w:ascii="Cambria" w:hAnsi="Cambria"/>
                <w:sz w:val="20"/>
                <w:szCs w:val="20"/>
              </w:rPr>
              <w:t>resume</w:t>
            </w:r>
            <w:r w:rsidRPr="00401A39">
              <w:rPr>
                <w:rFonts w:ascii="Cambria" w:hAnsi="Cambria"/>
                <w:spacing w:val="-2"/>
                <w:sz w:val="20"/>
                <w:szCs w:val="20"/>
              </w:rPr>
              <w:t xml:space="preserve"> </w:t>
            </w:r>
            <w:r w:rsidR="004B488D">
              <w:rPr>
                <w:rFonts w:ascii="Cambria" w:hAnsi="Cambria"/>
                <w:sz w:val="20"/>
                <w:szCs w:val="20"/>
              </w:rPr>
              <w:t>Itovebi</w:t>
            </w:r>
            <w:r w:rsidRPr="00401A39">
              <w:rPr>
                <w:rFonts w:ascii="Cambria" w:hAnsi="Cambria"/>
                <w:spacing w:val="-4"/>
                <w:sz w:val="20"/>
                <w:szCs w:val="20"/>
              </w:rPr>
              <w:t xml:space="preserve"> </w:t>
            </w:r>
            <w:r w:rsidRPr="00401A39">
              <w:rPr>
                <w:rFonts w:ascii="Cambria" w:hAnsi="Cambria"/>
                <w:sz w:val="20"/>
                <w:szCs w:val="20"/>
              </w:rPr>
              <w:t>at</w:t>
            </w:r>
            <w:r w:rsidRPr="00401A39">
              <w:rPr>
                <w:rFonts w:ascii="Cambria" w:hAnsi="Cambria"/>
                <w:spacing w:val="-2"/>
                <w:sz w:val="20"/>
                <w:szCs w:val="20"/>
              </w:rPr>
              <w:t xml:space="preserve"> </w:t>
            </w:r>
            <w:r w:rsidRPr="00401A39">
              <w:rPr>
                <w:rFonts w:ascii="Cambria" w:hAnsi="Cambria"/>
                <w:sz w:val="20"/>
                <w:szCs w:val="20"/>
              </w:rPr>
              <w:lastRenderedPageBreak/>
              <w:t>one</w:t>
            </w:r>
            <w:r w:rsidRPr="00401A39">
              <w:rPr>
                <w:rFonts w:ascii="Cambria" w:hAnsi="Cambria"/>
                <w:spacing w:val="-5"/>
                <w:sz w:val="20"/>
                <w:szCs w:val="20"/>
              </w:rPr>
              <w:t xml:space="preserve"> </w:t>
            </w:r>
            <w:r w:rsidRPr="00401A39">
              <w:rPr>
                <w:rFonts w:ascii="Cambria" w:hAnsi="Cambria"/>
                <w:sz w:val="20"/>
                <w:szCs w:val="20"/>
              </w:rPr>
              <w:t>lower dose level.</w:t>
            </w:r>
          </w:p>
        </w:tc>
      </w:tr>
      <w:tr w:rsidR="00401A39" w14:paraId="21414428" w14:textId="77777777" w:rsidTr="00A421A9">
        <w:tc>
          <w:tcPr>
            <w:tcW w:w="2098" w:type="dxa"/>
            <w:vMerge/>
          </w:tcPr>
          <w:p w14:paraId="4DA177EC" w14:textId="77777777" w:rsidR="00401A39" w:rsidRPr="00A421A9" w:rsidRDefault="00401A39" w:rsidP="00401A39">
            <w:pPr>
              <w:spacing w:before="50" w:after="50" w:line="240" w:lineRule="auto"/>
              <w:ind w:right="606"/>
              <w:rPr>
                <w:rFonts w:ascii="Cambria" w:eastAsia="Cambria" w:hAnsi="Cambria" w:cs="Cambria"/>
                <w:b/>
                <w:bCs/>
                <w:color w:val="000000"/>
                <w:sz w:val="20"/>
                <w:szCs w:val="20"/>
              </w:rPr>
            </w:pPr>
          </w:p>
        </w:tc>
        <w:tc>
          <w:tcPr>
            <w:tcW w:w="1984" w:type="dxa"/>
            <w:shd w:val="clear" w:color="auto" w:fill="auto"/>
          </w:tcPr>
          <w:p w14:paraId="1ED72A61" w14:textId="77777777" w:rsidR="00401A39" w:rsidRPr="00A421A9" w:rsidRDefault="00401A39" w:rsidP="00401A39">
            <w:pPr>
              <w:pStyle w:val="TableParagraph"/>
              <w:spacing w:before="48"/>
              <w:rPr>
                <w:rFonts w:ascii="Cambria" w:hAnsi="Cambria"/>
                <w:b/>
                <w:sz w:val="20"/>
                <w:szCs w:val="20"/>
              </w:rPr>
            </w:pPr>
          </w:p>
          <w:p w14:paraId="28AA12C3" w14:textId="3F8180BD" w:rsidR="00401A39" w:rsidRPr="00FD7B6F" w:rsidRDefault="00401A39" w:rsidP="00401A39">
            <w:pPr>
              <w:spacing w:before="50" w:after="50" w:line="240" w:lineRule="auto"/>
              <w:ind w:right="606"/>
              <w:rPr>
                <w:rFonts w:ascii="Cambria" w:eastAsia="Cambria" w:hAnsi="Cambria" w:cs="Cambria"/>
                <w:color w:val="000000"/>
                <w:sz w:val="20"/>
                <w:szCs w:val="20"/>
              </w:rPr>
            </w:pPr>
            <w:r w:rsidRPr="00A421A9">
              <w:rPr>
                <w:rFonts w:ascii="Cambria" w:hAnsi="Cambria"/>
                <w:sz w:val="20"/>
                <w:szCs w:val="20"/>
              </w:rPr>
              <w:t>Grade</w:t>
            </w:r>
            <w:r w:rsidRPr="00A421A9">
              <w:rPr>
                <w:rFonts w:ascii="Cambria" w:hAnsi="Cambria"/>
                <w:spacing w:val="-2"/>
                <w:sz w:val="20"/>
                <w:szCs w:val="20"/>
              </w:rPr>
              <w:t xml:space="preserve"> </w:t>
            </w:r>
            <w:r w:rsidRPr="00A421A9">
              <w:rPr>
                <w:rFonts w:ascii="Cambria" w:hAnsi="Cambria"/>
                <w:spacing w:val="-5"/>
                <w:sz w:val="20"/>
                <w:szCs w:val="20"/>
              </w:rPr>
              <w:t>3</w:t>
            </w:r>
            <w:r w:rsidRPr="00A421A9">
              <w:rPr>
                <w:rFonts w:ascii="Cambria" w:hAnsi="Cambria"/>
                <w:spacing w:val="-5"/>
                <w:sz w:val="20"/>
                <w:szCs w:val="20"/>
                <w:vertAlign w:val="superscript"/>
              </w:rPr>
              <w:t>a</w:t>
            </w:r>
          </w:p>
        </w:tc>
        <w:tc>
          <w:tcPr>
            <w:tcW w:w="5812" w:type="dxa"/>
            <w:shd w:val="clear" w:color="auto" w:fill="auto"/>
          </w:tcPr>
          <w:p w14:paraId="7F0F32D7" w14:textId="104B7114" w:rsidR="00401A39" w:rsidRPr="00401A39" w:rsidRDefault="00401A39" w:rsidP="00401A39">
            <w:pPr>
              <w:pStyle w:val="TableParagraph"/>
              <w:numPr>
                <w:ilvl w:val="0"/>
                <w:numId w:val="16"/>
              </w:numPr>
              <w:tabs>
                <w:tab w:val="left" w:pos="381"/>
              </w:tabs>
              <w:spacing w:before="32" w:line="228" w:lineRule="auto"/>
              <w:ind w:right="333"/>
              <w:rPr>
                <w:rFonts w:ascii="Cambria" w:hAnsi="Cambria"/>
                <w:sz w:val="20"/>
                <w:szCs w:val="20"/>
              </w:rPr>
            </w:pPr>
            <w:r w:rsidRPr="00401A39">
              <w:rPr>
                <w:rFonts w:ascii="Cambria" w:hAnsi="Cambria"/>
                <w:sz w:val="20"/>
                <w:szCs w:val="20"/>
              </w:rPr>
              <w:t>Withhold</w:t>
            </w:r>
            <w:r w:rsidRPr="00401A39">
              <w:rPr>
                <w:rFonts w:ascii="Cambria" w:hAnsi="Cambria"/>
                <w:spacing w:val="-3"/>
                <w:sz w:val="20"/>
                <w:szCs w:val="20"/>
              </w:rPr>
              <w:t xml:space="preserve"> </w:t>
            </w:r>
            <w:r w:rsidR="004B488D">
              <w:rPr>
                <w:rFonts w:ascii="Cambria" w:hAnsi="Cambria"/>
                <w:sz w:val="20"/>
                <w:szCs w:val="20"/>
              </w:rPr>
              <w:t>Itovebi</w:t>
            </w:r>
            <w:r w:rsidRPr="00401A39">
              <w:rPr>
                <w:rFonts w:ascii="Cambria" w:hAnsi="Cambria"/>
                <w:spacing w:val="-5"/>
                <w:sz w:val="20"/>
                <w:szCs w:val="20"/>
              </w:rPr>
              <w:t xml:space="preserve"> </w:t>
            </w:r>
            <w:r w:rsidRPr="00401A39">
              <w:rPr>
                <w:rFonts w:ascii="Cambria" w:hAnsi="Cambria"/>
                <w:sz w:val="20"/>
                <w:szCs w:val="20"/>
              </w:rPr>
              <w:t>until</w:t>
            </w:r>
            <w:r w:rsidRPr="00401A39">
              <w:rPr>
                <w:rFonts w:ascii="Cambria" w:hAnsi="Cambria"/>
                <w:spacing w:val="-5"/>
                <w:sz w:val="20"/>
                <w:szCs w:val="20"/>
              </w:rPr>
              <w:t xml:space="preserve"> </w:t>
            </w:r>
            <w:r w:rsidRPr="00401A39">
              <w:rPr>
                <w:rFonts w:ascii="Cambria" w:hAnsi="Cambria"/>
                <w:sz w:val="20"/>
                <w:szCs w:val="20"/>
              </w:rPr>
              <w:t>recovery</w:t>
            </w:r>
            <w:r w:rsidRPr="00401A39">
              <w:rPr>
                <w:rFonts w:ascii="Cambria" w:hAnsi="Cambria"/>
                <w:spacing w:val="-3"/>
                <w:sz w:val="20"/>
                <w:szCs w:val="20"/>
              </w:rPr>
              <w:t xml:space="preserve"> </w:t>
            </w:r>
            <w:r w:rsidRPr="00401A39">
              <w:rPr>
                <w:rFonts w:ascii="Cambria" w:hAnsi="Cambria"/>
                <w:sz w:val="20"/>
                <w:szCs w:val="20"/>
              </w:rPr>
              <w:t>to</w:t>
            </w:r>
            <w:r w:rsidRPr="00401A39">
              <w:rPr>
                <w:rFonts w:ascii="Cambria" w:hAnsi="Cambria"/>
                <w:spacing w:val="-3"/>
                <w:sz w:val="20"/>
                <w:szCs w:val="20"/>
              </w:rPr>
              <w:t xml:space="preserve"> </w:t>
            </w:r>
            <w:r w:rsidRPr="00401A39">
              <w:rPr>
                <w:rFonts w:ascii="Cambria" w:hAnsi="Cambria"/>
                <w:sz w:val="20"/>
                <w:szCs w:val="20"/>
              </w:rPr>
              <w:t>Grade</w:t>
            </w:r>
            <w:r w:rsidRPr="00401A39">
              <w:rPr>
                <w:rFonts w:ascii="Cambria" w:hAnsi="Cambria"/>
                <w:spacing w:val="-5"/>
                <w:sz w:val="20"/>
                <w:szCs w:val="20"/>
              </w:rPr>
              <w:t xml:space="preserve"> </w:t>
            </w:r>
            <w:r w:rsidRPr="00401A39">
              <w:rPr>
                <w:rFonts w:ascii="Cambria" w:hAnsi="Cambria"/>
                <w:sz w:val="20"/>
                <w:szCs w:val="20"/>
                <w:u w:val="single"/>
              </w:rPr>
              <w:t>&lt;</w:t>
            </w:r>
            <w:r w:rsidRPr="00401A39">
              <w:rPr>
                <w:rFonts w:ascii="Cambria" w:hAnsi="Cambria"/>
                <w:spacing w:val="-3"/>
                <w:sz w:val="20"/>
                <w:szCs w:val="20"/>
              </w:rPr>
              <w:t xml:space="preserve"> </w:t>
            </w:r>
            <w:r w:rsidRPr="00401A39">
              <w:rPr>
                <w:rFonts w:ascii="Cambria" w:hAnsi="Cambria"/>
                <w:sz w:val="20"/>
                <w:szCs w:val="20"/>
              </w:rPr>
              <w:t>1,</w:t>
            </w:r>
            <w:r w:rsidRPr="00401A39">
              <w:rPr>
                <w:rFonts w:ascii="Cambria" w:hAnsi="Cambria"/>
                <w:spacing w:val="-6"/>
                <w:sz w:val="20"/>
                <w:szCs w:val="20"/>
              </w:rPr>
              <w:t xml:space="preserve"> </w:t>
            </w:r>
            <w:r w:rsidRPr="00401A39">
              <w:rPr>
                <w:rFonts w:ascii="Cambria" w:hAnsi="Cambria"/>
                <w:sz w:val="20"/>
                <w:szCs w:val="20"/>
              </w:rPr>
              <w:t>then</w:t>
            </w:r>
            <w:r w:rsidRPr="00401A39">
              <w:rPr>
                <w:rFonts w:ascii="Cambria" w:hAnsi="Cambria"/>
                <w:spacing w:val="-6"/>
                <w:sz w:val="20"/>
                <w:szCs w:val="20"/>
              </w:rPr>
              <w:t xml:space="preserve"> </w:t>
            </w:r>
            <w:r w:rsidRPr="00401A39">
              <w:rPr>
                <w:rFonts w:ascii="Cambria" w:hAnsi="Cambria"/>
                <w:sz w:val="20"/>
                <w:szCs w:val="20"/>
              </w:rPr>
              <w:t xml:space="preserve">resume </w:t>
            </w:r>
            <w:r w:rsidR="004B488D">
              <w:rPr>
                <w:rFonts w:ascii="Cambria" w:hAnsi="Cambria"/>
                <w:sz w:val="20"/>
                <w:szCs w:val="20"/>
              </w:rPr>
              <w:t>Itovebi</w:t>
            </w:r>
            <w:r w:rsidRPr="00401A39">
              <w:rPr>
                <w:rFonts w:ascii="Cambria" w:hAnsi="Cambria"/>
                <w:sz w:val="20"/>
                <w:szCs w:val="20"/>
              </w:rPr>
              <w:t xml:space="preserve"> at one lower dose level.</w:t>
            </w:r>
          </w:p>
          <w:p w14:paraId="1F9E9184" w14:textId="051E5653" w:rsidR="00401A39" w:rsidRPr="00401A39" w:rsidRDefault="00401A39" w:rsidP="00401A39">
            <w:pPr>
              <w:numPr>
                <w:ilvl w:val="0"/>
                <w:numId w:val="16"/>
              </w:numPr>
              <w:pBdr>
                <w:top w:val="nil"/>
                <w:left w:val="nil"/>
                <w:bottom w:val="nil"/>
                <w:right w:val="nil"/>
                <w:between w:val="nil"/>
              </w:pBdr>
              <w:spacing w:before="50" w:after="50" w:line="240" w:lineRule="auto"/>
              <w:ind w:right="606"/>
              <w:rPr>
                <w:rFonts w:ascii="Cambria" w:eastAsia="Cambria" w:hAnsi="Cambria" w:cs="Cambria"/>
                <w:color w:val="000000"/>
                <w:sz w:val="20"/>
                <w:szCs w:val="20"/>
              </w:rPr>
            </w:pPr>
            <w:r w:rsidRPr="00401A39">
              <w:rPr>
                <w:rFonts w:ascii="Cambria" w:hAnsi="Cambria"/>
                <w:sz w:val="20"/>
                <w:szCs w:val="20"/>
              </w:rPr>
              <w:t>Initiate</w:t>
            </w:r>
            <w:r w:rsidRPr="00401A39">
              <w:rPr>
                <w:rFonts w:ascii="Cambria" w:hAnsi="Cambria"/>
                <w:spacing w:val="-6"/>
                <w:sz w:val="20"/>
                <w:szCs w:val="20"/>
              </w:rPr>
              <w:t xml:space="preserve"> </w:t>
            </w:r>
            <w:r w:rsidRPr="00401A39">
              <w:rPr>
                <w:rFonts w:ascii="Cambria" w:hAnsi="Cambria"/>
                <w:sz w:val="20"/>
                <w:szCs w:val="20"/>
              </w:rPr>
              <w:t>or</w:t>
            </w:r>
            <w:r w:rsidRPr="00401A39">
              <w:rPr>
                <w:rFonts w:ascii="Cambria" w:hAnsi="Cambria"/>
                <w:spacing w:val="-6"/>
                <w:sz w:val="20"/>
                <w:szCs w:val="20"/>
              </w:rPr>
              <w:t xml:space="preserve"> </w:t>
            </w:r>
            <w:r w:rsidRPr="00401A39">
              <w:rPr>
                <w:rFonts w:ascii="Cambria" w:hAnsi="Cambria"/>
                <w:sz w:val="20"/>
                <w:szCs w:val="20"/>
              </w:rPr>
              <w:t>intensify</w:t>
            </w:r>
            <w:r w:rsidRPr="00401A39">
              <w:rPr>
                <w:rFonts w:ascii="Cambria" w:hAnsi="Cambria"/>
                <w:spacing w:val="-7"/>
                <w:sz w:val="20"/>
                <w:szCs w:val="20"/>
              </w:rPr>
              <w:t xml:space="preserve"> </w:t>
            </w:r>
            <w:r w:rsidRPr="00401A39">
              <w:rPr>
                <w:rFonts w:ascii="Cambria" w:hAnsi="Cambria"/>
                <w:sz w:val="20"/>
                <w:szCs w:val="20"/>
              </w:rPr>
              <w:t>appropriate</w:t>
            </w:r>
            <w:r w:rsidRPr="00401A39">
              <w:rPr>
                <w:rFonts w:ascii="Cambria" w:hAnsi="Cambria"/>
                <w:spacing w:val="-4"/>
                <w:sz w:val="20"/>
                <w:szCs w:val="20"/>
              </w:rPr>
              <w:t xml:space="preserve"> </w:t>
            </w:r>
            <w:r w:rsidRPr="00401A39">
              <w:rPr>
                <w:rFonts w:ascii="Cambria" w:hAnsi="Cambria"/>
                <w:sz w:val="20"/>
                <w:szCs w:val="20"/>
              </w:rPr>
              <w:t>medical</w:t>
            </w:r>
            <w:r w:rsidRPr="00401A39">
              <w:rPr>
                <w:rFonts w:ascii="Cambria" w:hAnsi="Cambria"/>
                <w:spacing w:val="-3"/>
                <w:sz w:val="20"/>
                <w:szCs w:val="20"/>
              </w:rPr>
              <w:t xml:space="preserve"> </w:t>
            </w:r>
            <w:r w:rsidRPr="00401A39">
              <w:rPr>
                <w:rFonts w:ascii="Cambria" w:hAnsi="Cambria"/>
                <w:sz w:val="20"/>
                <w:szCs w:val="20"/>
              </w:rPr>
              <w:t>therapy</w:t>
            </w:r>
            <w:r w:rsidRPr="00401A39">
              <w:rPr>
                <w:rFonts w:ascii="Cambria" w:hAnsi="Cambria"/>
                <w:spacing w:val="-4"/>
                <w:sz w:val="20"/>
                <w:szCs w:val="20"/>
              </w:rPr>
              <w:t xml:space="preserve"> </w:t>
            </w:r>
            <w:r w:rsidRPr="00401A39">
              <w:rPr>
                <w:rFonts w:ascii="Cambria" w:hAnsi="Cambria"/>
                <w:sz w:val="20"/>
                <w:szCs w:val="20"/>
              </w:rPr>
              <w:t>and</w:t>
            </w:r>
            <w:r w:rsidRPr="00401A39">
              <w:rPr>
                <w:rFonts w:ascii="Cambria" w:hAnsi="Cambria"/>
                <w:spacing w:val="-4"/>
                <w:sz w:val="20"/>
                <w:szCs w:val="20"/>
              </w:rPr>
              <w:t xml:space="preserve"> </w:t>
            </w:r>
            <w:r w:rsidRPr="00401A39">
              <w:rPr>
                <w:rFonts w:ascii="Cambria" w:hAnsi="Cambria"/>
                <w:sz w:val="20"/>
                <w:szCs w:val="20"/>
              </w:rPr>
              <w:t>monitor</w:t>
            </w:r>
            <w:r w:rsidRPr="00401A39">
              <w:rPr>
                <w:rFonts w:ascii="Cambria" w:hAnsi="Cambria"/>
                <w:spacing w:val="-3"/>
                <w:sz w:val="20"/>
                <w:szCs w:val="20"/>
              </w:rPr>
              <w:t xml:space="preserve"> </w:t>
            </w:r>
            <w:r w:rsidRPr="00401A39">
              <w:rPr>
                <w:rFonts w:ascii="Cambria" w:hAnsi="Cambria"/>
                <w:sz w:val="20"/>
                <w:szCs w:val="20"/>
              </w:rPr>
              <w:t>as clinically indicated.</w:t>
            </w:r>
          </w:p>
        </w:tc>
      </w:tr>
      <w:tr w:rsidR="00401A39" w14:paraId="5B0E701A" w14:textId="77777777" w:rsidTr="00A421A9">
        <w:tc>
          <w:tcPr>
            <w:tcW w:w="2098" w:type="dxa"/>
            <w:vMerge/>
          </w:tcPr>
          <w:p w14:paraId="15C2BF75" w14:textId="77777777" w:rsidR="00401A39" w:rsidRPr="00A421A9" w:rsidRDefault="00401A39" w:rsidP="00401A39">
            <w:pPr>
              <w:spacing w:before="50" w:after="50" w:line="240" w:lineRule="auto"/>
              <w:ind w:right="606"/>
              <w:rPr>
                <w:rFonts w:ascii="Cambria" w:eastAsia="Cambria" w:hAnsi="Cambria" w:cs="Cambria"/>
                <w:b/>
                <w:bCs/>
                <w:color w:val="000000"/>
                <w:sz w:val="20"/>
                <w:szCs w:val="20"/>
              </w:rPr>
            </w:pPr>
          </w:p>
        </w:tc>
        <w:tc>
          <w:tcPr>
            <w:tcW w:w="1984" w:type="dxa"/>
            <w:shd w:val="clear" w:color="auto" w:fill="auto"/>
          </w:tcPr>
          <w:p w14:paraId="3DC7AD9D" w14:textId="6634A0A9" w:rsidR="00401A39" w:rsidRPr="00FD7B6F" w:rsidRDefault="00401A39" w:rsidP="00401A39">
            <w:pPr>
              <w:spacing w:before="50" w:after="50" w:line="240" w:lineRule="auto"/>
              <w:ind w:right="606"/>
              <w:rPr>
                <w:rFonts w:ascii="Cambria" w:eastAsia="Cambria" w:hAnsi="Cambria" w:cs="Cambria"/>
                <w:color w:val="000000"/>
                <w:sz w:val="20"/>
                <w:szCs w:val="20"/>
              </w:rPr>
            </w:pPr>
            <w:r w:rsidRPr="00A421A9">
              <w:rPr>
                <w:rFonts w:ascii="Cambria" w:hAnsi="Cambria"/>
                <w:sz w:val="20"/>
                <w:szCs w:val="20"/>
              </w:rPr>
              <w:t>Grade</w:t>
            </w:r>
            <w:r w:rsidRPr="00A421A9">
              <w:rPr>
                <w:rFonts w:ascii="Cambria" w:hAnsi="Cambria"/>
                <w:spacing w:val="-2"/>
                <w:sz w:val="20"/>
                <w:szCs w:val="20"/>
              </w:rPr>
              <w:t xml:space="preserve"> </w:t>
            </w:r>
            <w:r w:rsidRPr="00A421A9">
              <w:rPr>
                <w:rFonts w:ascii="Cambria" w:hAnsi="Cambria"/>
                <w:spacing w:val="-5"/>
                <w:sz w:val="20"/>
                <w:szCs w:val="20"/>
              </w:rPr>
              <w:t>4</w:t>
            </w:r>
            <w:r w:rsidRPr="00A421A9">
              <w:rPr>
                <w:rFonts w:ascii="Cambria" w:hAnsi="Cambria"/>
                <w:spacing w:val="-5"/>
                <w:sz w:val="20"/>
                <w:szCs w:val="20"/>
                <w:vertAlign w:val="superscript"/>
              </w:rPr>
              <w:t>a</w:t>
            </w:r>
          </w:p>
        </w:tc>
        <w:tc>
          <w:tcPr>
            <w:tcW w:w="5812" w:type="dxa"/>
            <w:shd w:val="clear" w:color="auto" w:fill="auto"/>
          </w:tcPr>
          <w:p w14:paraId="305C2BF0" w14:textId="24FD64A8" w:rsidR="00401A39" w:rsidRPr="00401A39" w:rsidRDefault="00401A39" w:rsidP="00401A39">
            <w:pPr>
              <w:numPr>
                <w:ilvl w:val="0"/>
                <w:numId w:val="16"/>
              </w:numPr>
              <w:pBdr>
                <w:top w:val="nil"/>
                <w:left w:val="nil"/>
                <w:bottom w:val="nil"/>
                <w:right w:val="nil"/>
                <w:between w:val="nil"/>
              </w:pBdr>
              <w:spacing w:before="50" w:after="50" w:line="240" w:lineRule="auto"/>
              <w:ind w:right="606"/>
              <w:rPr>
                <w:rFonts w:ascii="Cambria" w:eastAsia="Cambria" w:hAnsi="Cambria" w:cs="Cambria"/>
                <w:color w:val="000000"/>
                <w:sz w:val="20"/>
                <w:szCs w:val="20"/>
              </w:rPr>
            </w:pPr>
            <w:r w:rsidRPr="00401A39">
              <w:rPr>
                <w:rFonts w:ascii="Cambria" w:hAnsi="Cambria"/>
                <w:sz w:val="20"/>
                <w:szCs w:val="20"/>
              </w:rPr>
              <w:t>Permanently</w:t>
            </w:r>
            <w:r w:rsidRPr="00401A39">
              <w:rPr>
                <w:rFonts w:ascii="Cambria" w:hAnsi="Cambria"/>
                <w:spacing w:val="-7"/>
                <w:sz w:val="20"/>
                <w:szCs w:val="20"/>
              </w:rPr>
              <w:t xml:space="preserve"> </w:t>
            </w:r>
            <w:r w:rsidRPr="00401A39">
              <w:rPr>
                <w:rFonts w:ascii="Cambria" w:hAnsi="Cambria"/>
                <w:sz w:val="20"/>
                <w:szCs w:val="20"/>
              </w:rPr>
              <w:t>discontinue</w:t>
            </w:r>
            <w:r w:rsidRPr="00401A39">
              <w:rPr>
                <w:rFonts w:ascii="Cambria" w:hAnsi="Cambria"/>
                <w:spacing w:val="-6"/>
                <w:sz w:val="20"/>
                <w:szCs w:val="20"/>
              </w:rPr>
              <w:t xml:space="preserve"> </w:t>
            </w:r>
            <w:r w:rsidR="004B488D">
              <w:rPr>
                <w:rFonts w:ascii="Cambria" w:hAnsi="Cambria"/>
                <w:spacing w:val="-2"/>
                <w:sz w:val="20"/>
                <w:szCs w:val="20"/>
              </w:rPr>
              <w:t>Itovebi</w:t>
            </w:r>
            <w:r w:rsidRPr="00401A39">
              <w:rPr>
                <w:rFonts w:ascii="Cambria" w:hAnsi="Cambria"/>
                <w:spacing w:val="-2"/>
                <w:sz w:val="20"/>
                <w:szCs w:val="20"/>
              </w:rPr>
              <w:t>.</w:t>
            </w:r>
          </w:p>
        </w:tc>
      </w:tr>
      <w:tr w:rsidR="00401A39" w14:paraId="55924507" w14:textId="77777777" w:rsidTr="00A421A9">
        <w:tc>
          <w:tcPr>
            <w:tcW w:w="2098" w:type="dxa"/>
            <w:vMerge w:val="restart"/>
            <w:vAlign w:val="center"/>
          </w:tcPr>
          <w:p w14:paraId="4FBE1626" w14:textId="59C1AD0B" w:rsidR="00401A39" w:rsidRPr="00A421A9" w:rsidRDefault="00401A39" w:rsidP="00401A39">
            <w:pPr>
              <w:spacing w:before="50" w:after="50" w:line="240" w:lineRule="auto"/>
              <w:ind w:right="606"/>
              <w:rPr>
                <w:rFonts w:ascii="Cambria" w:eastAsia="Cambria" w:hAnsi="Cambria" w:cs="Cambria"/>
                <w:b/>
                <w:bCs/>
                <w:color w:val="000000"/>
                <w:sz w:val="20"/>
                <w:szCs w:val="20"/>
              </w:rPr>
            </w:pPr>
            <w:proofErr w:type="spellStart"/>
            <w:r>
              <w:rPr>
                <w:rFonts w:ascii="Cambria" w:eastAsia="Cambria" w:hAnsi="Cambria" w:cs="Cambria"/>
                <w:b/>
                <w:bCs/>
                <w:color w:val="000000"/>
                <w:sz w:val="20"/>
                <w:szCs w:val="20"/>
              </w:rPr>
              <w:t>Haematologic</w:t>
            </w:r>
            <w:proofErr w:type="spellEnd"/>
            <w:r>
              <w:rPr>
                <w:rFonts w:ascii="Cambria" w:eastAsia="Cambria" w:hAnsi="Cambria" w:cs="Cambria"/>
                <w:b/>
                <w:bCs/>
                <w:color w:val="000000"/>
                <w:sz w:val="20"/>
                <w:szCs w:val="20"/>
              </w:rPr>
              <w:t xml:space="preserve"> Toxicities</w:t>
            </w:r>
            <w:r>
              <w:rPr>
                <w:rFonts w:ascii="Cambria" w:eastAsia="Cambria" w:hAnsi="Cambria" w:cs="Cambria"/>
                <w:color w:val="000000"/>
                <w:sz w:val="20"/>
                <w:szCs w:val="20"/>
              </w:rPr>
              <w:t xml:space="preserve"> (see 4.8 </w:t>
            </w:r>
            <w:r w:rsidR="005C48E3" w:rsidRPr="005C48E3">
              <w:rPr>
                <w:rFonts w:ascii="Cambria" w:eastAsia="Cambria" w:hAnsi="Cambria" w:cs="Cambria"/>
                <w:color w:val="000000"/>
                <w:sz w:val="20"/>
                <w:szCs w:val="20"/>
              </w:rPr>
              <w:t>Adverse Effects (Undesirable Effects)</w:t>
            </w:r>
            <w:r>
              <w:rPr>
                <w:rFonts w:ascii="Cambria" w:eastAsia="Cambria" w:hAnsi="Cambria" w:cs="Cambria"/>
                <w:color w:val="000000"/>
                <w:sz w:val="20"/>
                <w:szCs w:val="20"/>
              </w:rPr>
              <w:t>)</w:t>
            </w:r>
          </w:p>
        </w:tc>
        <w:tc>
          <w:tcPr>
            <w:tcW w:w="1984" w:type="dxa"/>
            <w:shd w:val="clear" w:color="auto" w:fill="auto"/>
          </w:tcPr>
          <w:p w14:paraId="21370DE5" w14:textId="77777777" w:rsidR="00401A39" w:rsidRPr="00A421A9" w:rsidRDefault="00401A39" w:rsidP="00401A39">
            <w:pPr>
              <w:pStyle w:val="TableParagraph"/>
              <w:spacing w:before="47"/>
              <w:rPr>
                <w:rFonts w:ascii="Cambria" w:hAnsi="Cambria"/>
                <w:b/>
                <w:sz w:val="20"/>
                <w:szCs w:val="20"/>
              </w:rPr>
            </w:pPr>
          </w:p>
          <w:p w14:paraId="21ACC065" w14:textId="03454F8A" w:rsidR="00401A39" w:rsidRPr="00FD7B6F" w:rsidRDefault="00401A39" w:rsidP="00401A39">
            <w:pPr>
              <w:spacing w:before="50" w:after="50" w:line="240" w:lineRule="auto"/>
              <w:ind w:right="606"/>
              <w:rPr>
                <w:rFonts w:ascii="Cambria" w:eastAsia="Cambria" w:hAnsi="Cambria" w:cs="Cambria"/>
                <w:color w:val="000000"/>
                <w:sz w:val="20"/>
                <w:szCs w:val="20"/>
              </w:rPr>
            </w:pPr>
            <w:r w:rsidRPr="00A421A9">
              <w:rPr>
                <w:rFonts w:ascii="Cambria" w:hAnsi="Cambria"/>
                <w:sz w:val="20"/>
                <w:szCs w:val="20"/>
              </w:rPr>
              <w:t>Grade</w:t>
            </w:r>
            <w:r w:rsidRPr="00A421A9">
              <w:rPr>
                <w:rFonts w:ascii="Cambria" w:hAnsi="Cambria"/>
                <w:spacing w:val="-2"/>
                <w:sz w:val="20"/>
                <w:szCs w:val="20"/>
              </w:rPr>
              <w:t xml:space="preserve"> </w:t>
            </w:r>
            <w:r>
              <w:rPr>
                <w:rFonts w:ascii="Cambria" w:hAnsi="Cambria"/>
                <w:spacing w:val="-2"/>
                <w:sz w:val="20"/>
                <w:szCs w:val="20"/>
              </w:rPr>
              <w:t>1, 2 or 3</w:t>
            </w:r>
            <w:r w:rsidRPr="00A421A9">
              <w:rPr>
                <w:rFonts w:ascii="Cambria" w:hAnsi="Cambria"/>
                <w:spacing w:val="-5"/>
                <w:sz w:val="20"/>
                <w:szCs w:val="20"/>
                <w:vertAlign w:val="superscript"/>
              </w:rPr>
              <w:t>a</w:t>
            </w:r>
          </w:p>
        </w:tc>
        <w:tc>
          <w:tcPr>
            <w:tcW w:w="5812" w:type="dxa"/>
            <w:shd w:val="clear" w:color="auto" w:fill="auto"/>
          </w:tcPr>
          <w:p w14:paraId="13684BCE" w14:textId="6E60CD22" w:rsidR="00401A39" w:rsidRPr="00401A39" w:rsidRDefault="00401A39" w:rsidP="00401A39">
            <w:pPr>
              <w:pStyle w:val="TableParagraph"/>
              <w:numPr>
                <w:ilvl w:val="0"/>
                <w:numId w:val="15"/>
              </w:numPr>
              <w:tabs>
                <w:tab w:val="left" w:pos="380"/>
              </w:tabs>
              <w:spacing w:before="21"/>
              <w:rPr>
                <w:rFonts w:ascii="Cambria" w:hAnsi="Cambria"/>
                <w:sz w:val="20"/>
                <w:szCs w:val="20"/>
              </w:rPr>
            </w:pPr>
            <w:r w:rsidRPr="00401A39">
              <w:rPr>
                <w:rFonts w:ascii="Cambria" w:hAnsi="Cambria"/>
                <w:sz w:val="20"/>
                <w:szCs w:val="20"/>
              </w:rPr>
              <w:t>No</w:t>
            </w:r>
            <w:r w:rsidRPr="00401A39">
              <w:rPr>
                <w:rFonts w:ascii="Cambria" w:hAnsi="Cambria"/>
                <w:spacing w:val="-4"/>
                <w:sz w:val="20"/>
                <w:szCs w:val="20"/>
              </w:rPr>
              <w:t xml:space="preserve"> </w:t>
            </w:r>
            <w:r w:rsidRPr="00401A39">
              <w:rPr>
                <w:rFonts w:ascii="Cambria" w:hAnsi="Cambria"/>
                <w:sz w:val="20"/>
                <w:szCs w:val="20"/>
              </w:rPr>
              <w:t>adjustment</w:t>
            </w:r>
            <w:r w:rsidRPr="00401A39">
              <w:rPr>
                <w:rFonts w:ascii="Cambria" w:hAnsi="Cambria"/>
                <w:spacing w:val="-3"/>
                <w:sz w:val="20"/>
                <w:szCs w:val="20"/>
              </w:rPr>
              <w:t xml:space="preserve"> </w:t>
            </w:r>
            <w:r w:rsidRPr="00401A39">
              <w:rPr>
                <w:rFonts w:ascii="Cambria" w:hAnsi="Cambria"/>
                <w:sz w:val="20"/>
                <w:szCs w:val="20"/>
              </w:rPr>
              <w:t>of</w:t>
            </w:r>
            <w:r w:rsidRPr="00401A39">
              <w:rPr>
                <w:rFonts w:ascii="Cambria" w:hAnsi="Cambria"/>
                <w:spacing w:val="-6"/>
                <w:sz w:val="20"/>
                <w:szCs w:val="20"/>
              </w:rPr>
              <w:t xml:space="preserve"> </w:t>
            </w:r>
            <w:r w:rsidR="004B488D">
              <w:rPr>
                <w:rFonts w:ascii="Cambria" w:hAnsi="Cambria"/>
                <w:sz w:val="20"/>
                <w:szCs w:val="20"/>
              </w:rPr>
              <w:t>Itovebi</w:t>
            </w:r>
            <w:r w:rsidRPr="00401A39">
              <w:rPr>
                <w:rFonts w:ascii="Cambria" w:hAnsi="Cambria"/>
                <w:spacing w:val="-5"/>
                <w:sz w:val="20"/>
                <w:szCs w:val="20"/>
              </w:rPr>
              <w:t xml:space="preserve"> </w:t>
            </w:r>
            <w:proofErr w:type="gramStart"/>
            <w:r w:rsidRPr="00401A39">
              <w:rPr>
                <w:rFonts w:ascii="Cambria" w:hAnsi="Cambria"/>
                <w:spacing w:val="-2"/>
                <w:sz w:val="20"/>
                <w:szCs w:val="20"/>
              </w:rPr>
              <w:t>required</w:t>
            </w:r>
            <w:proofErr w:type="gramEnd"/>
            <w:r w:rsidRPr="00401A39">
              <w:rPr>
                <w:rFonts w:ascii="Cambria" w:hAnsi="Cambria"/>
                <w:spacing w:val="-2"/>
                <w:sz w:val="20"/>
                <w:szCs w:val="20"/>
              </w:rPr>
              <w:t>.</w:t>
            </w:r>
          </w:p>
          <w:p w14:paraId="7B5DB915" w14:textId="3A727075" w:rsidR="00401A39" w:rsidRPr="00401A39" w:rsidRDefault="00401A39" w:rsidP="00401A39">
            <w:pPr>
              <w:numPr>
                <w:ilvl w:val="0"/>
                <w:numId w:val="15"/>
              </w:numPr>
              <w:pBdr>
                <w:top w:val="nil"/>
                <w:left w:val="nil"/>
                <w:bottom w:val="nil"/>
                <w:right w:val="nil"/>
                <w:between w:val="nil"/>
              </w:pBdr>
              <w:spacing w:before="50" w:after="50" w:line="240" w:lineRule="auto"/>
              <w:ind w:right="606"/>
              <w:rPr>
                <w:rFonts w:ascii="Cambria" w:eastAsia="Cambria" w:hAnsi="Cambria" w:cs="Cambria"/>
                <w:color w:val="000000"/>
                <w:sz w:val="20"/>
                <w:szCs w:val="20"/>
              </w:rPr>
            </w:pPr>
            <w:r w:rsidRPr="00401A39">
              <w:rPr>
                <w:rFonts w:ascii="Cambria" w:hAnsi="Cambria"/>
                <w:sz w:val="20"/>
                <w:szCs w:val="20"/>
              </w:rPr>
              <w:t>Monitor</w:t>
            </w:r>
            <w:r w:rsidRPr="00401A39">
              <w:rPr>
                <w:rFonts w:ascii="Cambria" w:hAnsi="Cambria"/>
                <w:spacing w:val="-4"/>
                <w:sz w:val="20"/>
                <w:szCs w:val="20"/>
              </w:rPr>
              <w:t xml:space="preserve"> </w:t>
            </w:r>
            <w:r w:rsidRPr="00401A39">
              <w:rPr>
                <w:rFonts w:ascii="Cambria" w:hAnsi="Cambria"/>
                <w:sz w:val="20"/>
                <w:szCs w:val="20"/>
              </w:rPr>
              <w:t>complete</w:t>
            </w:r>
            <w:r w:rsidRPr="00401A39">
              <w:rPr>
                <w:rFonts w:ascii="Cambria" w:hAnsi="Cambria"/>
                <w:spacing w:val="-5"/>
                <w:sz w:val="20"/>
                <w:szCs w:val="20"/>
              </w:rPr>
              <w:t xml:space="preserve"> </w:t>
            </w:r>
            <w:r w:rsidRPr="00401A39">
              <w:rPr>
                <w:rFonts w:ascii="Cambria" w:hAnsi="Cambria"/>
                <w:sz w:val="20"/>
                <w:szCs w:val="20"/>
              </w:rPr>
              <w:t>blood</w:t>
            </w:r>
            <w:r w:rsidRPr="00401A39">
              <w:rPr>
                <w:rFonts w:ascii="Cambria" w:hAnsi="Cambria"/>
                <w:spacing w:val="-5"/>
                <w:sz w:val="20"/>
                <w:szCs w:val="20"/>
              </w:rPr>
              <w:t xml:space="preserve"> </w:t>
            </w:r>
            <w:r w:rsidRPr="00401A39">
              <w:rPr>
                <w:rFonts w:ascii="Cambria" w:hAnsi="Cambria"/>
                <w:sz w:val="20"/>
                <w:szCs w:val="20"/>
              </w:rPr>
              <w:t>count</w:t>
            </w:r>
            <w:r w:rsidRPr="00401A39">
              <w:rPr>
                <w:rFonts w:ascii="Cambria" w:hAnsi="Cambria"/>
                <w:spacing w:val="-4"/>
                <w:sz w:val="20"/>
                <w:szCs w:val="20"/>
              </w:rPr>
              <w:t xml:space="preserve"> </w:t>
            </w:r>
            <w:r w:rsidRPr="00401A39">
              <w:rPr>
                <w:rFonts w:ascii="Cambria" w:hAnsi="Cambria"/>
                <w:sz w:val="20"/>
                <w:szCs w:val="20"/>
              </w:rPr>
              <w:t>and</w:t>
            </w:r>
            <w:r w:rsidRPr="00401A39">
              <w:rPr>
                <w:rFonts w:ascii="Cambria" w:hAnsi="Cambria"/>
                <w:spacing w:val="-5"/>
                <w:sz w:val="20"/>
                <w:szCs w:val="20"/>
              </w:rPr>
              <w:t xml:space="preserve"> </w:t>
            </w:r>
            <w:r w:rsidRPr="00401A39">
              <w:rPr>
                <w:rFonts w:ascii="Cambria" w:hAnsi="Cambria"/>
                <w:sz w:val="20"/>
                <w:szCs w:val="20"/>
              </w:rPr>
              <w:t>for</w:t>
            </w:r>
            <w:r w:rsidRPr="00401A39">
              <w:rPr>
                <w:rFonts w:ascii="Cambria" w:hAnsi="Cambria"/>
                <w:spacing w:val="-4"/>
                <w:sz w:val="20"/>
                <w:szCs w:val="20"/>
              </w:rPr>
              <w:t xml:space="preserve"> </w:t>
            </w:r>
            <w:r w:rsidRPr="00401A39">
              <w:rPr>
                <w:rFonts w:ascii="Cambria" w:hAnsi="Cambria"/>
                <w:sz w:val="20"/>
                <w:szCs w:val="20"/>
              </w:rPr>
              <w:t>signs</w:t>
            </w:r>
            <w:r w:rsidRPr="00401A39">
              <w:rPr>
                <w:rFonts w:ascii="Cambria" w:hAnsi="Cambria"/>
                <w:spacing w:val="-7"/>
                <w:sz w:val="20"/>
                <w:szCs w:val="20"/>
              </w:rPr>
              <w:t xml:space="preserve"> </w:t>
            </w:r>
            <w:r w:rsidRPr="00401A39">
              <w:rPr>
                <w:rFonts w:ascii="Cambria" w:hAnsi="Cambria"/>
                <w:sz w:val="20"/>
                <w:szCs w:val="20"/>
              </w:rPr>
              <w:t>or</w:t>
            </w:r>
            <w:r w:rsidRPr="00401A39">
              <w:rPr>
                <w:rFonts w:ascii="Cambria" w:hAnsi="Cambria"/>
                <w:spacing w:val="-4"/>
                <w:sz w:val="20"/>
                <w:szCs w:val="20"/>
              </w:rPr>
              <w:t xml:space="preserve"> </w:t>
            </w:r>
            <w:r w:rsidRPr="00401A39">
              <w:rPr>
                <w:rFonts w:ascii="Cambria" w:hAnsi="Cambria"/>
                <w:sz w:val="20"/>
                <w:szCs w:val="20"/>
              </w:rPr>
              <w:t>symptoms</w:t>
            </w:r>
            <w:r w:rsidRPr="00401A39">
              <w:rPr>
                <w:rFonts w:ascii="Cambria" w:hAnsi="Cambria"/>
                <w:spacing w:val="-5"/>
                <w:sz w:val="20"/>
                <w:szCs w:val="20"/>
              </w:rPr>
              <w:t xml:space="preserve"> </w:t>
            </w:r>
            <w:r w:rsidRPr="00401A39">
              <w:rPr>
                <w:rFonts w:ascii="Cambria" w:hAnsi="Cambria"/>
                <w:sz w:val="20"/>
                <w:szCs w:val="20"/>
              </w:rPr>
              <w:t xml:space="preserve">of </w:t>
            </w:r>
            <w:proofErr w:type="spellStart"/>
            <w:r w:rsidRPr="00401A39">
              <w:rPr>
                <w:rFonts w:ascii="Cambria" w:hAnsi="Cambria"/>
                <w:sz w:val="20"/>
                <w:szCs w:val="20"/>
              </w:rPr>
              <w:t>h</w:t>
            </w:r>
            <w:r w:rsidR="004E2454">
              <w:rPr>
                <w:rFonts w:ascii="Cambria" w:hAnsi="Cambria"/>
                <w:sz w:val="20"/>
                <w:szCs w:val="20"/>
              </w:rPr>
              <w:t>a</w:t>
            </w:r>
            <w:r w:rsidRPr="00401A39">
              <w:rPr>
                <w:rFonts w:ascii="Cambria" w:hAnsi="Cambria"/>
                <w:sz w:val="20"/>
                <w:szCs w:val="20"/>
              </w:rPr>
              <w:t>ematologic</w:t>
            </w:r>
            <w:proofErr w:type="spellEnd"/>
            <w:r w:rsidRPr="00401A39">
              <w:rPr>
                <w:rFonts w:ascii="Cambria" w:hAnsi="Cambria"/>
                <w:sz w:val="20"/>
                <w:szCs w:val="20"/>
              </w:rPr>
              <w:t xml:space="preserve"> toxicities as clinically indicated.</w:t>
            </w:r>
          </w:p>
        </w:tc>
      </w:tr>
      <w:tr w:rsidR="00401A39" w14:paraId="14C8888B" w14:textId="77777777" w:rsidTr="00A421A9">
        <w:tc>
          <w:tcPr>
            <w:tcW w:w="2098" w:type="dxa"/>
            <w:vMerge/>
          </w:tcPr>
          <w:p w14:paraId="0E5D4C7A" w14:textId="77777777" w:rsidR="00401A39" w:rsidRPr="00FD7B6F" w:rsidRDefault="00401A39" w:rsidP="00401A39">
            <w:pPr>
              <w:spacing w:before="50" w:after="50" w:line="240" w:lineRule="auto"/>
              <w:ind w:right="606"/>
              <w:rPr>
                <w:rFonts w:ascii="Cambria" w:eastAsia="Cambria" w:hAnsi="Cambria" w:cs="Cambria"/>
                <w:color w:val="000000"/>
                <w:sz w:val="20"/>
                <w:szCs w:val="20"/>
              </w:rPr>
            </w:pPr>
          </w:p>
        </w:tc>
        <w:tc>
          <w:tcPr>
            <w:tcW w:w="1984" w:type="dxa"/>
            <w:shd w:val="clear" w:color="auto" w:fill="auto"/>
          </w:tcPr>
          <w:p w14:paraId="62BECE1E" w14:textId="77777777" w:rsidR="00401A39" w:rsidRPr="00A421A9" w:rsidRDefault="00401A39" w:rsidP="00401A39">
            <w:pPr>
              <w:pStyle w:val="TableParagraph"/>
              <w:spacing w:before="0"/>
              <w:rPr>
                <w:rFonts w:ascii="Cambria" w:hAnsi="Cambria"/>
                <w:b/>
                <w:sz w:val="20"/>
                <w:szCs w:val="20"/>
              </w:rPr>
            </w:pPr>
          </w:p>
          <w:p w14:paraId="4CF6406C" w14:textId="77777777" w:rsidR="00401A39" w:rsidRPr="00A421A9" w:rsidRDefault="00401A39" w:rsidP="00401A39">
            <w:pPr>
              <w:pStyle w:val="TableParagraph"/>
              <w:spacing w:before="181"/>
              <w:rPr>
                <w:rFonts w:ascii="Cambria" w:hAnsi="Cambria"/>
                <w:b/>
                <w:sz w:val="20"/>
                <w:szCs w:val="20"/>
              </w:rPr>
            </w:pPr>
          </w:p>
          <w:p w14:paraId="2279203E" w14:textId="43EA958A" w:rsidR="00401A39" w:rsidRPr="00FD7B6F" w:rsidRDefault="00401A39" w:rsidP="00401A39">
            <w:pPr>
              <w:spacing w:before="50" w:after="50" w:line="240" w:lineRule="auto"/>
              <w:ind w:right="606"/>
              <w:rPr>
                <w:rFonts w:ascii="Cambria" w:eastAsia="Cambria" w:hAnsi="Cambria" w:cs="Cambria"/>
                <w:color w:val="000000"/>
                <w:sz w:val="20"/>
                <w:szCs w:val="20"/>
              </w:rPr>
            </w:pPr>
            <w:r w:rsidRPr="00A421A9">
              <w:rPr>
                <w:rFonts w:ascii="Cambria" w:hAnsi="Cambria"/>
                <w:sz w:val="20"/>
                <w:szCs w:val="20"/>
              </w:rPr>
              <w:t>Grade</w:t>
            </w:r>
            <w:r w:rsidRPr="00A421A9">
              <w:rPr>
                <w:rFonts w:ascii="Cambria" w:hAnsi="Cambria"/>
                <w:spacing w:val="-2"/>
                <w:sz w:val="20"/>
                <w:szCs w:val="20"/>
              </w:rPr>
              <w:t xml:space="preserve"> </w:t>
            </w:r>
            <w:r>
              <w:rPr>
                <w:rFonts w:ascii="Cambria" w:hAnsi="Cambria"/>
                <w:spacing w:val="-2"/>
                <w:sz w:val="20"/>
                <w:szCs w:val="20"/>
              </w:rPr>
              <w:t>4</w:t>
            </w:r>
            <w:r w:rsidRPr="00A421A9">
              <w:rPr>
                <w:rFonts w:ascii="Cambria" w:hAnsi="Cambria"/>
                <w:spacing w:val="-5"/>
                <w:sz w:val="20"/>
                <w:szCs w:val="20"/>
                <w:vertAlign w:val="superscript"/>
              </w:rPr>
              <w:t>a</w:t>
            </w:r>
          </w:p>
        </w:tc>
        <w:tc>
          <w:tcPr>
            <w:tcW w:w="5812" w:type="dxa"/>
            <w:shd w:val="clear" w:color="auto" w:fill="auto"/>
          </w:tcPr>
          <w:p w14:paraId="2680F1B5" w14:textId="6C37980F" w:rsidR="00401A39" w:rsidRPr="00401A39" w:rsidRDefault="00401A39" w:rsidP="00401A39">
            <w:pPr>
              <w:pStyle w:val="TableParagraph"/>
              <w:numPr>
                <w:ilvl w:val="0"/>
                <w:numId w:val="14"/>
              </w:numPr>
              <w:tabs>
                <w:tab w:val="left" w:pos="457"/>
              </w:tabs>
              <w:spacing w:before="21"/>
              <w:rPr>
                <w:rFonts w:ascii="Cambria" w:hAnsi="Cambria"/>
                <w:sz w:val="20"/>
                <w:szCs w:val="20"/>
              </w:rPr>
            </w:pPr>
            <w:r w:rsidRPr="00401A39">
              <w:rPr>
                <w:rFonts w:ascii="Cambria" w:hAnsi="Cambria"/>
                <w:sz w:val="20"/>
                <w:szCs w:val="20"/>
              </w:rPr>
              <w:t>Withhold</w:t>
            </w:r>
            <w:r w:rsidRPr="00401A39">
              <w:rPr>
                <w:rFonts w:ascii="Cambria" w:hAnsi="Cambria"/>
                <w:spacing w:val="-3"/>
                <w:sz w:val="20"/>
                <w:szCs w:val="20"/>
              </w:rPr>
              <w:t xml:space="preserve"> </w:t>
            </w:r>
            <w:r w:rsidR="004B488D">
              <w:rPr>
                <w:rFonts w:ascii="Cambria" w:hAnsi="Cambria"/>
                <w:sz w:val="20"/>
                <w:szCs w:val="20"/>
              </w:rPr>
              <w:t>Itovebi</w:t>
            </w:r>
            <w:r w:rsidRPr="00401A39">
              <w:rPr>
                <w:rFonts w:ascii="Cambria" w:hAnsi="Cambria"/>
                <w:spacing w:val="-4"/>
                <w:sz w:val="20"/>
                <w:szCs w:val="20"/>
              </w:rPr>
              <w:t xml:space="preserve"> </w:t>
            </w:r>
            <w:proofErr w:type="gramStart"/>
            <w:r w:rsidRPr="00401A39">
              <w:rPr>
                <w:rFonts w:ascii="Cambria" w:hAnsi="Cambria"/>
                <w:sz w:val="20"/>
                <w:szCs w:val="20"/>
              </w:rPr>
              <w:t>until</w:t>
            </w:r>
            <w:r w:rsidRPr="00401A39">
              <w:rPr>
                <w:rFonts w:ascii="Cambria" w:hAnsi="Cambria"/>
                <w:spacing w:val="-5"/>
                <w:sz w:val="20"/>
                <w:szCs w:val="20"/>
              </w:rPr>
              <w:t xml:space="preserve"> </w:t>
            </w:r>
            <w:r w:rsidRPr="00401A39">
              <w:rPr>
                <w:rFonts w:ascii="Cambria" w:hAnsi="Cambria"/>
                <w:sz w:val="20"/>
                <w:szCs w:val="20"/>
              </w:rPr>
              <w:t>recovery</w:t>
            </w:r>
            <w:r w:rsidRPr="00401A39">
              <w:rPr>
                <w:rFonts w:ascii="Cambria" w:hAnsi="Cambria"/>
                <w:spacing w:val="-2"/>
                <w:sz w:val="20"/>
                <w:szCs w:val="20"/>
              </w:rPr>
              <w:t xml:space="preserve"> </w:t>
            </w:r>
            <w:r w:rsidRPr="00401A39">
              <w:rPr>
                <w:rFonts w:ascii="Cambria" w:hAnsi="Cambria"/>
                <w:sz w:val="20"/>
                <w:szCs w:val="20"/>
              </w:rPr>
              <w:t>to</w:t>
            </w:r>
            <w:proofErr w:type="gramEnd"/>
            <w:r w:rsidRPr="00401A39">
              <w:rPr>
                <w:rFonts w:ascii="Cambria" w:hAnsi="Cambria"/>
                <w:spacing w:val="-3"/>
                <w:sz w:val="20"/>
                <w:szCs w:val="20"/>
              </w:rPr>
              <w:t xml:space="preserve"> </w:t>
            </w:r>
            <w:r w:rsidRPr="00401A39">
              <w:rPr>
                <w:rFonts w:ascii="Cambria" w:hAnsi="Cambria"/>
                <w:sz w:val="20"/>
                <w:szCs w:val="20"/>
              </w:rPr>
              <w:t>Grade</w:t>
            </w:r>
            <w:r w:rsidRPr="00401A39">
              <w:rPr>
                <w:rFonts w:ascii="Cambria" w:hAnsi="Cambria"/>
                <w:spacing w:val="-4"/>
                <w:sz w:val="20"/>
                <w:szCs w:val="20"/>
              </w:rPr>
              <w:t xml:space="preserve"> </w:t>
            </w:r>
            <w:r w:rsidRPr="00401A39">
              <w:rPr>
                <w:rFonts w:ascii="Cambria" w:hAnsi="Cambria"/>
                <w:sz w:val="20"/>
                <w:szCs w:val="20"/>
                <w:u w:val="single"/>
              </w:rPr>
              <w:t>&lt;</w:t>
            </w:r>
            <w:r w:rsidRPr="00401A39">
              <w:rPr>
                <w:rFonts w:ascii="Cambria" w:hAnsi="Cambria"/>
                <w:spacing w:val="-2"/>
                <w:sz w:val="20"/>
                <w:szCs w:val="20"/>
              </w:rPr>
              <w:t xml:space="preserve"> </w:t>
            </w:r>
            <w:r w:rsidRPr="00401A39">
              <w:rPr>
                <w:rFonts w:ascii="Cambria" w:hAnsi="Cambria"/>
                <w:spacing w:val="-5"/>
                <w:sz w:val="20"/>
                <w:szCs w:val="20"/>
              </w:rPr>
              <w:t>2.</w:t>
            </w:r>
          </w:p>
          <w:p w14:paraId="1BD6A6C5" w14:textId="1C6B3856" w:rsidR="00401A39" w:rsidRPr="00401A39" w:rsidRDefault="00401A39" w:rsidP="00401A39">
            <w:pPr>
              <w:numPr>
                <w:ilvl w:val="0"/>
                <w:numId w:val="14"/>
              </w:numPr>
              <w:pBdr>
                <w:top w:val="nil"/>
                <w:left w:val="nil"/>
                <w:bottom w:val="nil"/>
                <w:right w:val="nil"/>
                <w:between w:val="nil"/>
              </w:pBdr>
              <w:tabs>
                <w:tab w:val="left" w:pos="457"/>
              </w:tabs>
              <w:spacing w:before="50" w:after="50" w:line="240" w:lineRule="auto"/>
              <w:ind w:right="606"/>
              <w:rPr>
                <w:rFonts w:ascii="Cambria" w:eastAsia="Cambria" w:hAnsi="Cambria" w:cs="Cambria"/>
                <w:color w:val="000000"/>
                <w:sz w:val="20"/>
                <w:szCs w:val="20"/>
              </w:rPr>
            </w:pPr>
            <w:r w:rsidRPr="00401A39">
              <w:rPr>
                <w:rFonts w:ascii="Cambria" w:hAnsi="Cambria"/>
                <w:sz w:val="20"/>
                <w:szCs w:val="20"/>
              </w:rPr>
              <w:t>Resume</w:t>
            </w:r>
            <w:r w:rsidRPr="00401A39">
              <w:rPr>
                <w:rFonts w:ascii="Cambria" w:hAnsi="Cambria"/>
                <w:spacing w:val="-3"/>
                <w:sz w:val="20"/>
                <w:szCs w:val="20"/>
              </w:rPr>
              <w:t xml:space="preserve"> </w:t>
            </w:r>
            <w:r w:rsidR="004B488D">
              <w:rPr>
                <w:rFonts w:ascii="Cambria" w:hAnsi="Cambria"/>
                <w:sz w:val="20"/>
                <w:szCs w:val="20"/>
              </w:rPr>
              <w:t>Itovebi</w:t>
            </w:r>
            <w:r w:rsidRPr="00401A39">
              <w:rPr>
                <w:rFonts w:ascii="Cambria" w:hAnsi="Cambria"/>
                <w:spacing w:val="-5"/>
                <w:sz w:val="20"/>
                <w:szCs w:val="20"/>
              </w:rPr>
              <w:t xml:space="preserve"> </w:t>
            </w:r>
            <w:r w:rsidRPr="00401A39">
              <w:rPr>
                <w:rFonts w:ascii="Cambria" w:hAnsi="Cambria"/>
                <w:sz w:val="20"/>
                <w:szCs w:val="20"/>
              </w:rPr>
              <w:t>at</w:t>
            </w:r>
            <w:r w:rsidRPr="00401A39">
              <w:rPr>
                <w:rFonts w:ascii="Cambria" w:hAnsi="Cambria"/>
                <w:spacing w:val="-2"/>
                <w:sz w:val="20"/>
                <w:szCs w:val="20"/>
              </w:rPr>
              <w:t xml:space="preserve"> </w:t>
            </w:r>
            <w:r w:rsidRPr="00401A39">
              <w:rPr>
                <w:rFonts w:ascii="Cambria" w:hAnsi="Cambria"/>
                <w:sz w:val="20"/>
                <w:szCs w:val="20"/>
              </w:rPr>
              <w:t>the</w:t>
            </w:r>
            <w:r w:rsidRPr="00401A39">
              <w:rPr>
                <w:rFonts w:ascii="Cambria" w:hAnsi="Cambria"/>
                <w:spacing w:val="-5"/>
                <w:sz w:val="20"/>
                <w:szCs w:val="20"/>
              </w:rPr>
              <w:t xml:space="preserve"> </w:t>
            </w:r>
            <w:r w:rsidRPr="00401A39">
              <w:rPr>
                <w:rFonts w:ascii="Cambria" w:hAnsi="Cambria"/>
                <w:sz w:val="20"/>
                <w:szCs w:val="20"/>
              </w:rPr>
              <w:t>same</w:t>
            </w:r>
            <w:r w:rsidRPr="00401A39">
              <w:rPr>
                <w:rFonts w:ascii="Cambria" w:hAnsi="Cambria"/>
                <w:spacing w:val="-3"/>
                <w:sz w:val="20"/>
                <w:szCs w:val="20"/>
              </w:rPr>
              <w:t xml:space="preserve"> </w:t>
            </w:r>
            <w:r w:rsidRPr="00401A39">
              <w:rPr>
                <w:rFonts w:ascii="Cambria" w:hAnsi="Cambria"/>
                <w:sz w:val="20"/>
                <w:szCs w:val="20"/>
              </w:rPr>
              <w:t>dose</w:t>
            </w:r>
            <w:r w:rsidRPr="00401A39">
              <w:rPr>
                <w:rFonts w:ascii="Cambria" w:hAnsi="Cambria"/>
                <w:spacing w:val="-5"/>
                <w:sz w:val="20"/>
                <w:szCs w:val="20"/>
              </w:rPr>
              <w:t xml:space="preserve"> </w:t>
            </w:r>
            <w:r w:rsidRPr="00401A39">
              <w:rPr>
                <w:rFonts w:ascii="Cambria" w:hAnsi="Cambria"/>
                <w:sz w:val="20"/>
                <w:szCs w:val="20"/>
              </w:rPr>
              <w:t>level</w:t>
            </w:r>
            <w:r w:rsidRPr="00401A39">
              <w:rPr>
                <w:rFonts w:ascii="Cambria" w:hAnsi="Cambria"/>
                <w:spacing w:val="-3"/>
                <w:sz w:val="20"/>
                <w:szCs w:val="20"/>
              </w:rPr>
              <w:t xml:space="preserve"> </w:t>
            </w:r>
            <w:r w:rsidRPr="00401A39">
              <w:rPr>
                <w:rFonts w:ascii="Cambria" w:hAnsi="Cambria"/>
                <w:sz w:val="20"/>
                <w:szCs w:val="20"/>
              </w:rPr>
              <w:t>or</w:t>
            </w:r>
            <w:r w:rsidRPr="00401A39">
              <w:rPr>
                <w:rFonts w:ascii="Cambria" w:hAnsi="Cambria"/>
                <w:spacing w:val="-2"/>
                <w:sz w:val="20"/>
                <w:szCs w:val="20"/>
              </w:rPr>
              <w:t xml:space="preserve"> </w:t>
            </w:r>
            <w:r w:rsidRPr="00401A39">
              <w:rPr>
                <w:rFonts w:ascii="Cambria" w:hAnsi="Cambria"/>
                <w:sz w:val="20"/>
                <w:szCs w:val="20"/>
              </w:rPr>
              <w:t>reduce</w:t>
            </w:r>
            <w:r w:rsidRPr="00401A39">
              <w:rPr>
                <w:rFonts w:ascii="Cambria" w:hAnsi="Cambria"/>
                <w:spacing w:val="-3"/>
                <w:sz w:val="20"/>
                <w:szCs w:val="20"/>
              </w:rPr>
              <w:t xml:space="preserve"> </w:t>
            </w:r>
            <w:r w:rsidRPr="00401A39">
              <w:rPr>
                <w:rFonts w:ascii="Cambria" w:hAnsi="Cambria"/>
                <w:sz w:val="20"/>
                <w:szCs w:val="20"/>
              </w:rPr>
              <w:t>to</w:t>
            </w:r>
            <w:r w:rsidRPr="00401A39">
              <w:rPr>
                <w:rFonts w:ascii="Cambria" w:hAnsi="Cambria"/>
                <w:spacing w:val="-6"/>
                <w:sz w:val="20"/>
                <w:szCs w:val="20"/>
              </w:rPr>
              <w:t xml:space="preserve"> </w:t>
            </w:r>
            <w:r w:rsidRPr="00401A39">
              <w:rPr>
                <w:rFonts w:ascii="Cambria" w:hAnsi="Cambria"/>
                <w:sz w:val="20"/>
                <w:szCs w:val="20"/>
              </w:rPr>
              <w:t>one lower dose level as clinically indicated.</w:t>
            </w:r>
          </w:p>
        </w:tc>
      </w:tr>
      <w:tr w:rsidR="006D5779" w14:paraId="3F850C95" w14:textId="77777777" w:rsidTr="006D5779">
        <w:tc>
          <w:tcPr>
            <w:tcW w:w="9894" w:type="dxa"/>
            <w:gridSpan w:val="3"/>
          </w:tcPr>
          <w:p w14:paraId="6FE85801" w14:textId="08137E26" w:rsidR="006D5779" w:rsidRPr="00FD7B6F" w:rsidRDefault="006D5779" w:rsidP="006D5779">
            <w:pPr>
              <w:pBdr>
                <w:top w:val="nil"/>
                <w:left w:val="nil"/>
                <w:bottom w:val="nil"/>
                <w:right w:val="nil"/>
                <w:between w:val="nil"/>
              </w:pBdr>
              <w:spacing w:before="50" w:after="50" w:line="240" w:lineRule="auto"/>
              <w:ind w:left="166" w:right="606"/>
              <w:rPr>
                <w:rFonts w:ascii="Cambria" w:eastAsia="Cambria" w:hAnsi="Cambria" w:cs="Cambria"/>
                <w:color w:val="000000"/>
                <w:sz w:val="20"/>
                <w:szCs w:val="20"/>
              </w:rPr>
            </w:pPr>
            <w:r w:rsidRPr="00FD7B6F">
              <w:rPr>
                <w:rFonts w:ascii="Cambria" w:eastAsia="Cambria" w:hAnsi="Cambria" w:cs="Cambria"/>
                <w:color w:val="000000"/>
                <w:sz w:val="20"/>
                <w:szCs w:val="20"/>
              </w:rPr>
              <w:t>For all grades: Initiate supportive therapy and monitor as clinically indicated.</w:t>
            </w:r>
          </w:p>
        </w:tc>
      </w:tr>
      <w:tr w:rsidR="006D5779" w14:paraId="0D8679F4" w14:textId="77777777" w:rsidTr="00A421A9">
        <w:tc>
          <w:tcPr>
            <w:tcW w:w="2098" w:type="dxa"/>
            <w:vMerge w:val="restart"/>
            <w:vAlign w:val="center"/>
          </w:tcPr>
          <w:p w14:paraId="6E35DA4F" w14:textId="5922B964" w:rsidR="006D5779" w:rsidRPr="00FD7B6F" w:rsidRDefault="006D5779" w:rsidP="006D5779">
            <w:pPr>
              <w:spacing w:before="50" w:after="50" w:line="240" w:lineRule="auto"/>
              <w:ind w:right="606"/>
              <w:rPr>
                <w:rFonts w:ascii="Cambria" w:eastAsia="Cambria" w:hAnsi="Cambria" w:cs="Cambria"/>
                <w:color w:val="000000"/>
                <w:sz w:val="20"/>
                <w:szCs w:val="20"/>
              </w:rPr>
            </w:pPr>
            <w:r w:rsidRPr="006D5779">
              <w:rPr>
                <w:rFonts w:ascii="Cambria" w:eastAsia="Cambria" w:hAnsi="Cambria" w:cs="Cambria"/>
                <w:b/>
                <w:bCs/>
                <w:color w:val="000000"/>
                <w:sz w:val="20"/>
                <w:szCs w:val="20"/>
              </w:rPr>
              <w:t>Other Adverse Reactions</w:t>
            </w:r>
            <w:r>
              <w:rPr>
                <w:rFonts w:ascii="Cambria" w:eastAsia="Cambria" w:hAnsi="Cambria" w:cs="Cambria"/>
                <w:color w:val="000000"/>
                <w:sz w:val="20"/>
                <w:szCs w:val="20"/>
              </w:rPr>
              <w:t xml:space="preserve"> (see 4.8 </w:t>
            </w:r>
            <w:r w:rsidR="005C48E3" w:rsidRPr="005C48E3">
              <w:rPr>
                <w:rFonts w:ascii="Cambria" w:eastAsia="Cambria" w:hAnsi="Cambria" w:cs="Cambria"/>
                <w:color w:val="000000"/>
                <w:sz w:val="20"/>
                <w:szCs w:val="20"/>
              </w:rPr>
              <w:t>Adverse Effects (Undesirable Effects)</w:t>
            </w:r>
            <w:r>
              <w:rPr>
                <w:rFonts w:ascii="Cambria" w:eastAsia="Cambria" w:hAnsi="Cambria" w:cs="Cambria"/>
                <w:color w:val="000000"/>
                <w:sz w:val="20"/>
                <w:szCs w:val="20"/>
              </w:rPr>
              <w:t>)</w:t>
            </w:r>
          </w:p>
        </w:tc>
        <w:tc>
          <w:tcPr>
            <w:tcW w:w="1984" w:type="dxa"/>
            <w:shd w:val="clear" w:color="auto" w:fill="auto"/>
          </w:tcPr>
          <w:p w14:paraId="329491FB" w14:textId="2C4BACED" w:rsidR="006D5779" w:rsidRPr="00FD7B6F" w:rsidRDefault="006D5779" w:rsidP="006D5779">
            <w:pPr>
              <w:spacing w:before="50" w:after="50" w:line="240" w:lineRule="auto"/>
              <w:ind w:right="606"/>
              <w:rPr>
                <w:rFonts w:ascii="Cambria" w:eastAsia="Cambria" w:hAnsi="Cambria" w:cs="Cambria"/>
                <w:color w:val="000000"/>
                <w:sz w:val="20"/>
                <w:szCs w:val="20"/>
              </w:rPr>
            </w:pPr>
            <w:r w:rsidRPr="00FD7B6F">
              <w:rPr>
                <w:rFonts w:ascii="Cambria" w:eastAsia="Cambria" w:hAnsi="Cambria" w:cs="Cambria"/>
                <w:color w:val="000000"/>
                <w:sz w:val="20"/>
                <w:szCs w:val="20"/>
              </w:rPr>
              <w:t xml:space="preserve">Grade 1 </w:t>
            </w:r>
          </w:p>
        </w:tc>
        <w:tc>
          <w:tcPr>
            <w:tcW w:w="5812" w:type="dxa"/>
            <w:shd w:val="clear" w:color="auto" w:fill="auto"/>
          </w:tcPr>
          <w:p w14:paraId="08B11BDC" w14:textId="77777777" w:rsidR="006D5779" w:rsidRPr="00FD7B6F" w:rsidRDefault="006D5779" w:rsidP="006D5779">
            <w:pPr>
              <w:numPr>
                <w:ilvl w:val="0"/>
                <w:numId w:val="3"/>
              </w:numPr>
              <w:pBdr>
                <w:top w:val="nil"/>
                <w:left w:val="nil"/>
                <w:bottom w:val="nil"/>
                <w:right w:val="nil"/>
                <w:between w:val="nil"/>
              </w:pBdr>
              <w:spacing w:before="50" w:after="50" w:line="240" w:lineRule="auto"/>
              <w:ind w:left="436" w:right="606" w:hanging="270"/>
              <w:rPr>
                <w:rFonts w:ascii="Cambria" w:eastAsia="Cambria" w:hAnsi="Cambria" w:cs="Cambria"/>
                <w:color w:val="000000"/>
                <w:sz w:val="20"/>
                <w:szCs w:val="20"/>
              </w:rPr>
            </w:pPr>
            <w:r w:rsidRPr="00FD7B6F">
              <w:rPr>
                <w:rFonts w:ascii="Cambria" w:eastAsia="Cambria" w:hAnsi="Cambria" w:cs="Cambria"/>
                <w:color w:val="000000"/>
                <w:sz w:val="20"/>
                <w:szCs w:val="20"/>
              </w:rPr>
              <w:t xml:space="preserve">No adjustment of </w:t>
            </w:r>
            <w:r>
              <w:rPr>
                <w:rFonts w:ascii="Cambria" w:eastAsia="Cambria" w:hAnsi="Cambria" w:cs="Cambria"/>
                <w:color w:val="000000"/>
                <w:sz w:val="20"/>
                <w:szCs w:val="20"/>
              </w:rPr>
              <w:t>Itovebi</w:t>
            </w:r>
            <w:r w:rsidRPr="00FD7B6F">
              <w:rPr>
                <w:rFonts w:ascii="Cambria" w:eastAsia="Cambria" w:hAnsi="Cambria" w:cs="Cambria"/>
                <w:color w:val="000000"/>
                <w:sz w:val="20"/>
                <w:szCs w:val="20"/>
              </w:rPr>
              <w:t xml:space="preserve"> required.</w:t>
            </w:r>
          </w:p>
        </w:tc>
      </w:tr>
      <w:tr w:rsidR="006D5779" w14:paraId="2E5B19B4" w14:textId="77777777" w:rsidTr="00A421A9">
        <w:tc>
          <w:tcPr>
            <w:tcW w:w="2098" w:type="dxa"/>
            <w:vMerge/>
          </w:tcPr>
          <w:p w14:paraId="1172EBD8" w14:textId="77777777" w:rsidR="006D5779" w:rsidRPr="00FD7B6F" w:rsidRDefault="006D5779" w:rsidP="006D5779">
            <w:pPr>
              <w:spacing w:before="50" w:after="50" w:line="240" w:lineRule="auto"/>
              <w:ind w:right="606"/>
              <w:rPr>
                <w:rFonts w:ascii="Cambria" w:eastAsia="Cambria" w:hAnsi="Cambria" w:cs="Cambria"/>
                <w:color w:val="000000"/>
                <w:sz w:val="20"/>
                <w:szCs w:val="20"/>
              </w:rPr>
            </w:pPr>
          </w:p>
        </w:tc>
        <w:tc>
          <w:tcPr>
            <w:tcW w:w="1984" w:type="dxa"/>
            <w:shd w:val="clear" w:color="auto" w:fill="auto"/>
          </w:tcPr>
          <w:p w14:paraId="7B012D80" w14:textId="2304FD37" w:rsidR="006D5779" w:rsidRPr="00FD7B6F" w:rsidRDefault="006D5779" w:rsidP="006D5779">
            <w:pPr>
              <w:spacing w:before="50" w:after="50" w:line="240" w:lineRule="auto"/>
              <w:ind w:right="606"/>
              <w:rPr>
                <w:rFonts w:ascii="Cambria" w:eastAsia="Cambria" w:hAnsi="Cambria" w:cs="Cambria"/>
                <w:color w:val="000000"/>
                <w:sz w:val="20"/>
                <w:szCs w:val="20"/>
              </w:rPr>
            </w:pPr>
            <w:r w:rsidRPr="00FD7B6F">
              <w:rPr>
                <w:rFonts w:ascii="Cambria" w:eastAsia="Cambria" w:hAnsi="Cambria" w:cs="Cambria"/>
                <w:color w:val="000000"/>
                <w:sz w:val="20"/>
                <w:szCs w:val="20"/>
              </w:rPr>
              <w:t>Grade 2</w:t>
            </w:r>
          </w:p>
        </w:tc>
        <w:tc>
          <w:tcPr>
            <w:tcW w:w="5812" w:type="dxa"/>
            <w:shd w:val="clear" w:color="auto" w:fill="auto"/>
          </w:tcPr>
          <w:p w14:paraId="773B799D" w14:textId="77777777" w:rsidR="006D5779" w:rsidRPr="00FD7B6F" w:rsidRDefault="006D5779" w:rsidP="006D5779">
            <w:pPr>
              <w:numPr>
                <w:ilvl w:val="0"/>
                <w:numId w:val="3"/>
              </w:numPr>
              <w:pBdr>
                <w:top w:val="nil"/>
                <w:left w:val="nil"/>
                <w:bottom w:val="nil"/>
                <w:right w:val="nil"/>
                <w:between w:val="nil"/>
              </w:pBdr>
              <w:spacing w:before="50" w:after="0" w:line="240" w:lineRule="auto"/>
              <w:ind w:left="436" w:right="606" w:hanging="270"/>
              <w:rPr>
                <w:rFonts w:ascii="Cambria" w:eastAsia="Cambria" w:hAnsi="Cambria" w:cs="Cambria"/>
                <w:color w:val="000000"/>
                <w:sz w:val="20"/>
                <w:szCs w:val="20"/>
              </w:rPr>
            </w:pPr>
            <w:r w:rsidRPr="00FD7B6F">
              <w:rPr>
                <w:rFonts w:ascii="Cambria" w:eastAsia="Cambria" w:hAnsi="Cambria" w:cs="Cambria"/>
                <w:color w:val="000000"/>
                <w:sz w:val="20"/>
                <w:szCs w:val="20"/>
              </w:rPr>
              <w:t xml:space="preserve">Consider interruption of </w:t>
            </w:r>
            <w:r>
              <w:rPr>
                <w:rFonts w:ascii="Cambria" w:eastAsia="Cambria" w:hAnsi="Cambria" w:cs="Cambria"/>
                <w:color w:val="000000"/>
                <w:sz w:val="20"/>
                <w:szCs w:val="20"/>
              </w:rPr>
              <w:t>Itovebi</w:t>
            </w:r>
            <w:r w:rsidRPr="00FD7B6F">
              <w:rPr>
                <w:rFonts w:ascii="Cambria" w:eastAsia="Cambria" w:hAnsi="Cambria" w:cs="Cambria"/>
                <w:color w:val="000000"/>
                <w:sz w:val="20"/>
                <w:szCs w:val="20"/>
              </w:rPr>
              <w:t>, if clinically indicated, until recovery to Grade ≤ 1.</w:t>
            </w:r>
          </w:p>
          <w:p w14:paraId="3FB56E73" w14:textId="77777777" w:rsidR="006D5779" w:rsidRPr="00FD7B6F" w:rsidRDefault="006D5779" w:rsidP="006D5779">
            <w:pPr>
              <w:numPr>
                <w:ilvl w:val="0"/>
                <w:numId w:val="3"/>
              </w:numPr>
              <w:pBdr>
                <w:top w:val="nil"/>
                <w:left w:val="nil"/>
                <w:bottom w:val="nil"/>
                <w:right w:val="nil"/>
                <w:between w:val="nil"/>
              </w:pBdr>
              <w:spacing w:after="50" w:line="240" w:lineRule="auto"/>
              <w:ind w:left="436" w:right="606" w:hanging="270"/>
              <w:rPr>
                <w:rFonts w:ascii="Cambria" w:eastAsia="Cambria" w:hAnsi="Cambria" w:cs="Cambria"/>
                <w:color w:val="000000"/>
                <w:sz w:val="20"/>
                <w:szCs w:val="20"/>
              </w:rPr>
            </w:pPr>
            <w:r w:rsidRPr="00FD7B6F">
              <w:rPr>
                <w:rFonts w:ascii="Cambria" w:eastAsia="Cambria" w:hAnsi="Cambria" w:cs="Cambria"/>
                <w:color w:val="000000"/>
                <w:sz w:val="20"/>
                <w:szCs w:val="20"/>
              </w:rPr>
              <w:t xml:space="preserve">Resume </w:t>
            </w:r>
            <w:r>
              <w:rPr>
                <w:rFonts w:ascii="Cambria" w:eastAsia="Cambria" w:hAnsi="Cambria" w:cs="Cambria"/>
                <w:color w:val="000000"/>
                <w:sz w:val="20"/>
                <w:szCs w:val="20"/>
              </w:rPr>
              <w:t>Itovebi</w:t>
            </w:r>
            <w:r w:rsidRPr="00FD7B6F">
              <w:rPr>
                <w:rFonts w:ascii="Cambria" w:eastAsia="Cambria" w:hAnsi="Cambria" w:cs="Cambria"/>
                <w:color w:val="000000"/>
                <w:sz w:val="20"/>
                <w:szCs w:val="20"/>
              </w:rPr>
              <w:t xml:space="preserve"> at the same dose level.</w:t>
            </w:r>
          </w:p>
        </w:tc>
      </w:tr>
      <w:tr w:rsidR="006D5779" w14:paraId="0B3665EF" w14:textId="77777777" w:rsidTr="00A421A9">
        <w:tc>
          <w:tcPr>
            <w:tcW w:w="2098" w:type="dxa"/>
            <w:vMerge/>
          </w:tcPr>
          <w:p w14:paraId="0A656A60" w14:textId="77777777" w:rsidR="006D5779" w:rsidRPr="00FD7B6F" w:rsidRDefault="006D5779" w:rsidP="006D5779">
            <w:pPr>
              <w:spacing w:before="50" w:after="50" w:line="240" w:lineRule="auto"/>
              <w:ind w:right="606"/>
              <w:rPr>
                <w:rFonts w:ascii="Cambria" w:eastAsia="Cambria" w:hAnsi="Cambria" w:cs="Cambria"/>
                <w:color w:val="000000"/>
                <w:sz w:val="20"/>
                <w:szCs w:val="20"/>
              </w:rPr>
            </w:pPr>
          </w:p>
        </w:tc>
        <w:tc>
          <w:tcPr>
            <w:tcW w:w="1984" w:type="dxa"/>
            <w:shd w:val="clear" w:color="auto" w:fill="auto"/>
          </w:tcPr>
          <w:p w14:paraId="77F5E5C1" w14:textId="00CE6E2D" w:rsidR="006D5779" w:rsidRPr="00FD7B6F" w:rsidRDefault="006D5779" w:rsidP="006D5779">
            <w:pPr>
              <w:spacing w:before="50" w:after="50" w:line="240" w:lineRule="auto"/>
              <w:ind w:right="606"/>
              <w:rPr>
                <w:rFonts w:ascii="Cambria" w:eastAsia="Cambria" w:hAnsi="Cambria" w:cs="Cambria"/>
                <w:color w:val="000000"/>
                <w:sz w:val="20"/>
                <w:szCs w:val="20"/>
              </w:rPr>
            </w:pPr>
            <w:r w:rsidRPr="00FD7B6F">
              <w:rPr>
                <w:rFonts w:ascii="Cambria" w:eastAsia="Cambria" w:hAnsi="Cambria" w:cs="Cambria"/>
                <w:color w:val="000000"/>
                <w:sz w:val="20"/>
                <w:szCs w:val="20"/>
              </w:rPr>
              <w:t>Grade 3, first event</w:t>
            </w:r>
          </w:p>
        </w:tc>
        <w:tc>
          <w:tcPr>
            <w:tcW w:w="5812" w:type="dxa"/>
            <w:shd w:val="clear" w:color="auto" w:fill="auto"/>
          </w:tcPr>
          <w:p w14:paraId="2F7C1560" w14:textId="77777777" w:rsidR="006D5779" w:rsidRPr="00FD7B6F" w:rsidRDefault="006D5779" w:rsidP="006D5779">
            <w:pPr>
              <w:numPr>
                <w:ilvl w:val="0"/>
                <w:numId w:val="3"/>
              </w:numPr>
              <w:pBdr>
                <w:top w:val="nil"/>
                <w:left w:val="nil"/>
                <w:bottom w:val="nil"/>
                <w:right w:val="nil"/>
                <w:between w:val="nil"/>
              </w:pBdr>
              <w:spacing w:before="50" w:after="0" w:line="240" w:lineRule="auto"/>
              <w:ind w:left="436" w:right="606" w:hanging="270"/>
              <w:rPr>
                <w:rFonts w:ascii="Cambria" w:eastAsia="Cambria" w:hAnsi="Cambria" w:cs="Cambria"/>
                <w:color w:val="000000"/>
                <w:sz w:val="20"/>
                <w:szCs w:val="20"/>
              </w:rPr>
            </w:pPr>
            <w:r w:rsidRPr="00FD7B6F">
              <w:rPr>
                <w:rFonts w:ascii="Cambria" w:eastAsia="Cambria" w:hAnsi="Cambria" w:cs="Cambria"/>
                <w:color w:val="000000"/>
                <w:sz w:val="20"/>
                <w:szCs w:val="20"/>
              </w:rPr>
              <w:t xml:space="preserve">Interrupt </w:t>
            </w:r>
            <w:r>
              <w:rPr>
                <w:rFonts w:ascii="Cambria" w:eastAsia="Cambria" w:hAnsi="Cambria" w:cs="Cambria"/>
                <w:color w:val="000000"/>
                <w:sz w:val="20"/>
                <w:szCs w:val="20"/>
              </w:rPr>
              <w:t>Itovebi</w:t>
            </w:r>
            <w:r w:rsidRPr="00FD7B6F">
              <w:rPr>
                <w:rFonts w:ascii="Cambria" w:eastAsia="Cambria" w:hAnsi="Cambria" w:cs="Cambria"/>
                <w:color w:val="000000"/>
                <w:sz w:val="20"/>
                <w:szCs w:val="20"/>
              </w:rPr>
              <w:t xml:space="preserve"> </w:t>
            </w:r>
            <w:proofErr w:type="gramStart"/>
            <w:r w:rsidRPr="00FD7B6F">
              <w:rPr>
                <w:rFonts w:ascii="Cambria" w:eastAsia="Cambria" w:hAnsi="Cambria" w:cs="Cambria"/>
                <w:color w:val="000000"/>
                <w:sz w:val="20"/>
                <w:szCs w:val="20"/>
              </w:rPr>
              <w:t>until</w:t>
            </w:r>
            <w:proofErr w:type="gramEnd"/>
            <w:r w:rsidRPr="00FD7B6F">
              <w:rPr>
                <w:rFonts w:ascii="Cambria" w:eastAsia="Cambria" w:hAnsi="Cambria" w:cs="Cambria"/>
                <w:color w:val="000000"/>
                <w:sz w:val="20"/>
                <w:szCs w:val="20"/>
              </w:rPr>
              <w:t xml:space="preserve"> </w:t>
            </w:r>
            <w:proofErr w:type="gramStart"/>
            <w:r w:rsidRPr="00FD7B6F">
              <w:rPr>
                <w:rFonts w:ascii="Cambria" w:eastAsia="Cambria" w:hAnsi="Cambria" w:cs="Cambria"/>
                <w:color w:val="000000"/>
                <w:sz w:val="20"/>
                <w:szCs w:val="20"/>
              </w:rPr>
              <w:t>recovery</w:t>
            </w:r>
            <w:proofErr w:type="gramEnd"/>
            <w:r w:rsidRPr="00FD7B6F">
              <w:rPr>
                <w:rFonts w:ascii="Cambria" w:eastAsia="Cambria" w:hAnsi="Cambria" w:cs="Cambria"/>
                <w:color w:val="000000"/>
                <w:sz w:val="20"/>
                <w:szCs w:val="20"/>
              </w:rPr>
              <w:t xml:space="preserve"> to Grade ≤ 1.</w:t>
            </w:r>
          </w:p>
          <w:p w14:paraId="464CCBE2" w14:textId="77777777" w:rsidR="006D5779" w:rsidRPr="00FD7B6F" w:rsidRDefault="006D5779" w:rsidP="006D5779">
            <w:pPr>
              <w:numPr>
                <w:ilvl w:val="0"/>
                <w:numId w:val="3"/>
              </w:numPr>
              <w:pBdr>
                <w:top w:val="nil"/>
                <w:left w:val="nil"/>
                <w:bottom w:val="nil"/>
                <w:right w:val="nil"/>
                <w:between w:val="nil"/>
              </w:pBdr>
              <w:spacing w:after="50" w:line="240" w:lineRule="auto"/>
              <w:ind w:left="436" w:right="606" w:hanging="270"/>
              <w:rPr>
                <w:rFonts w:ascii="Cambria" w:eastAsia="Cambria" w:hAnsi="Cambria" w:cs="Cambria"/>
                <w:color w:val="000000"/>
                <w:sz w:val="20"/>
                <w:szCs w:val="20"/>
              </w:rPr>
            </w:pPr>
            <w:r w:rsidRPr="00FD7B6F">
              <w:rPr>
                <w:rFonts w:ascii="Cambria" w:eastAsia="Cambria" w:hAnsi="Cambria" w:cs="Cambria"/>
                <w:color w:val="000000"/>
                <w:sz w:val="20"/>
                <w:szCs w:val="20"/>
              </w:rPr>
              <w:t xml:space="preserve">Resume </w:t>
            </w:r>
            <w:r>
              <w:rPr>
                <w:rFonts w:ascii="Cambria" w:eastAsia="Cambria" w:hAnsi="Cambria" w:cs="Cambria"/>
                <w:color w:val="000000"/>
                <w:sz w:val="20"/>
                <w:szCs w:val="20"/>
              </w:rPr>
              <w:t>Itovebi</w:t>
            </w:r>
            <w:r w:rsidRPr="00FD7B6F">
              <w:rPr>
                <w:rFonts w:ascii="Cambria" w:eastAsia="Cambria" w:hAnsi="Cambria" w:cs="Cambria"/>
                <w:color w:val="000000"/>
                <w:sz w:val="20"/>
                <w:szCs w:val="20"/>
              </w:rPr>
              <w:t xml:space="preserve"> at the same dose level or at one lower dose level based on clinical evaluation (see  Table 1).</w:t>
            </w:r>
          </w:p>
        </w:tc>
      </w:tr>
      <w:tr w:rsidR="006D5779" w14:paraId="389729B9" w14:textId="77777777" w:rsidTr="00A421A9">
        <w:tc>
          <w:tcPr>
            <w:tcW w:w="2098" w:type="dxa"/>
            <w:vMerge/>
          </w:tcPr>
          <w:p w14:paraId="17E0F454" w14:textId="77777777" w:rsidR="006D5779" w:rsidRPr="00FD7B6F" w:rsidRDefault="006D5779" w:rsidP="006D5779">
            <w:pPr>
              <w:spacing w:before="50" w:after="50" w:line="240" w:lineRule="auto"/>
              <w:ind w:right="606"/>
              <w:rPr>
                <w:rFonts w:ascii="Cambria" w:eastAsia="Cambria" w:hAnsi="Cambria" w:cs="Cambria"/>
                <w:color w:val="000000"/>
                <w:sz w:val="20"/>
                <w:szCs w:val="20"/>
              </w:rPr>
            </w:pPr>
          </w:p>
        </w:tc>
        <w:tc>
          <w:tcPr>
            <w:tcW w:w="1984" w:type="dxa"/>
            <w:shd w:val="clear" w:color="auto" w:fill="auto"/>
          </w:tcPr>
          <w:p w14:paraId="40F14A94" w14:textId="6FAE96ED" w:rsidR="006D5779" w:rsidRPr="00FD7B6F" w:rsidRDefault="006D5779" w:rsidP="006D5779">
            <w:pPr>
              <w:spacing w:before="50" w:after="50" w:line="240" w:lineRule="auto"/>
              <w:ind w:right="606"/>
              <w:rPr>
                <w:rFonts w:ascii="Cambria" w:eastAsia="Cambria" w:hAnsi="Cambria" w:cs="Cambria"/>
                <w:color w:val="000000"/>
                <w:sz w:val="20"/>
                <w:szCs w:val="20"/>
              </w:rPr>
            </w:pPr>
            <w:r w:rsidRPr="00FD7B6F">
              <w:rPr>
                <w:rFonts w:ascii="Cambria" w:eastAsia="Cambria" w:hAnsi="Cambria" w:cs="Cambria"/>
                <w:color w:val="000000"/>
                <w:sz w:val="20"/>
                <w:szCs w:val="20"/>
              </w:rPr>
              <w:t>Grade 3, recurrent</w:t>
            </w:r>
          </w:p>
          <w:p w14:paraId="03C6F7EC" w14:textId="77777777" w:rsidR="006D5779" w:rsidRPr="00FD7B6F" w:rsidRDefault="006D5779" w:rsidP="006D5779">
            <w:pPr>
              <w:spacing w:before="50" w:after="50" w:line="240" w:lineRule="auto"/>
              <w:ind w:right="606"/>
              <w:rPr>
                <w:rFonts w:ascii="Cambria" w:eastAsia="Cambria" w:hAnsi="Cambria" w:cs="Cambria"/>
                <w:color w:val="000000"/>
                <w:sz w:val="20"/>
                <w:szCs w:val="20"/>
              </w:rPr>
            </w:pPr>
            <w:r w:rsidRPr="00FD7B6F">
              <w:rPr>
                <w:rFonts w:ascii="Cambria" w:eastAsia="Cambria" w:hAnsi="Cambria" w:cs="Cambria"/>
                <w:color w:val="000000"/>
                <w:sz w:val="20"/>
                <w:szCs w:val="20"/>
              </w:rPr>
              <w:t>OR</w:t>
            </w:r>
          </w:p>
          <w:p w14:paraId="0321B849" w14:textId="77777777" w:rsidR="006D5779" w:rsidRPr="00FD7B6F" w:rsidRDefault="006D5779" w:rsidP="006D5779">
            <w:pPr>
              <w:spacing w:before="50" w:after="50" w:line="240" w:lineRule="auto"/>
              <w:ind w:right="606"/>
              <w:rPr>
                <w:rFonts w:ascii="Cambria" w:eastAsia="Cambria" w:hAnsi="Cambria" w:cs="Cambria"/>
                <w:color w:val="000000"/>
                <w:sz w:val="20"/>
                <w:szCs w:val="20"/>
              </w:rPr>
            </w:pPr>
            <w:r w:rsidRPr="00FD7B6F">
              <w:rPr>
                <w:rFonts w:ascii="Cambria" w:eastAsia="Cambria" w:hAnsi="Cambria" w:cs="Cambria"/>
                <w:color w:val="000000"/>
                <w:sz w:val="20"/>
                <w:szCs w:val="20"/>
              </w:rPr>
              <w:t>Grade 4, non-life-threatening</w:t>
            </w:r>
          </w:p>
        </w:tc>
        <w:tc>
          <w:tcPr>
            <w:tcW w:w="5812" w:type="dxa"/>
            <w:shd w:val="clear" w:color="auto" w:fill="auto"/>
          </w:tcPr>
          <w:p w14:paraId="3FA767B1" w14:textId="77777777" w:rsidR="006D5779" w:rsidRPr="00FD7B6F" w:rsidRDefault="006D5779" w:rsidP="006D5779">
            <w:pPr>
              <w:numPr>
                <w:ilvl w:val="0"/>
                <w:numId w:val="3"/>
              </w:numPr>
              <w:pBdr>
                <w:top w:val="nil"/>
                <w:left w:val="nil"/>
                <w:bottom w:val="nil"/>
                <w:right w:val="nil"/>
                <w:between w:val="nil"/>
              </w:pBdr>
              <w:spacing w:before="50" w:after="0" w:line="240" w:lineRule="auto"/>
              <w:ind w:left="436" w:right="606" w:hanging="270"/>
              <w:rPr>
                <w:rFonts w:ascii="Cambria" w:eastAsia="Cambria" w:hAnsi="Cambria" w:cs="Cambria"/>
                <w:color w:val="000000"/>
                <w:sz w:val="20"/>
                <w:szCs w:val="20"/>
              </w:rPr>
            </w:pPr>
            <w:r w:rsidRPr="00FD7B6F">
              <w:rPr>
                <w:rFonts w:ascii="Cambria" w:eastAsia="Cambria" w:hAnsi="Cambria" w:cs="Cambria"/>
                <w:color w:val="000000"/>
                <w:sz w:val="20"/>
                <w:szCs w:val="20"/>
              </w:rPr>
              <w:t xml:space="preserve">Interrupt </w:t>
            </w:r>
            <w:r>
              <w:rPr>
                <w:rFonts w:ascii="Cambria" w:eastAsia="Cambria" w:hAnsi="Cambria" w:cs="Cambria"/>
                <w:color w:val="000000"/>
                <w:sz w:val="20"/>
                <w:szCs w:val="20"/>
              </w:rPr>
              <w:t>Itovebi</w:t>
            </w:r>
            <w:r w:rsidRPr="00FD7B6F">
              <w:rPr>
                <w:rFonts w:ascii="Cambria" w:eastAsia="Cambria" w:hAnsi="Cambria" w:cs="Cambria"/>
                <w:color w:val="000000"/>
                <w:sz w:val="20"/>
                <w:szCs w:val="20"/>
              </w:rPr>
              <w:t xml:space="preserve"> </w:t>
            </w:r>
            <w:proofErr w:type="gramStart"/>
            <w:r w:rsidRPr="00FD7B6F">
              <w:rPr>
                <w:rFonts w:ascii="Cambria" w:eastAsia="Cambria" w:hAnsi="Cambria" w:cs="Cambria"/>
                <w:color w:val="000000"/>
                <w:sz w:val="20"/>
                <w:szCs w:val="20"/>
              </w:rPr>
              <w:t>until</w:t>
            </w:r>
            <w:proofErr w:type="gramEnd"/>
            <w:r w:rsidRPr="00FD7B6F">
              <w:rPr>
                <w:rFonts w:ascii="Cambria" w:eastAsia="Cambria" w:hAnsi="Cambria" w:cs="Cambria"/>
                <w:color w:val="000000"/>
                <w:sz w:val="20"/>
                <w:szCs w:val="20"/>
              </w:rPr>
              <w:t xml:space="preserve"> </w:t>
            </w:r>
            <w:proofErr w:type="gramStart"/>
            <w:r w:rsidRPr="00FD7B6F">
              <w:rPr>
                <w:rFonts w:ascii="Cambria" w:eastAsia="Cambria" w:hAnsi="Cambria" w:cs="Cambria"/>
                <w:color w:val="000000"/>
                <w:sz w:val="20"/>
                <w:szCs w:val="20"/>
              </w:rPr>
              <w:t>recovery</w:t>
            </w:r>
            <w:proofErr w:type="gramEnd"/>
            <w:r w:rsidRPr="00FD7B6F">
              <w:rPr>
                <w:rFonts w:ascii="Cambria" w:eastAsia="Cambria" w:hAnsi="Cambria" w:cs="Cambria"/>
                <w:color w:val="000000"/>
                <w:sz w:val="20"/>
                <w:szCs w:val="20"/>
              </w:rPr>
              <w:t xml:space="preserve"> to Grade ≤ 1.</w:t>
            </w:r>
          </w:p>
          <w:p w14:paraId="1441BA5C" w14:textId="77777777" w:rsidR="006D5779" w:rsidRPr="00FD7B6F" w:rsidRDefault="006D5779" w:rsidP="006D5779">
            <w:pPr>
              <w:numPr>
                <w:ilvl w:val="0"/>
                <w:numId w:val="3"/>
              </w:numPr>
              <w:pBdr>
                <w:top w:val="nil"/>
                <w:left w:val="nil"/>
                <w:bottom w:val="nil"/>
                <w:right w:val="nil"/>
                <w:between w:val="nil"/>
              </w:pBdr>
              <w:spacing w:after="50" w:line="240" w:lineRule="auto"/>
              <w:ind w:left="436" w:right="606" w:hanging="270"/>
              <w:rPr>
                <w:rFonts w:ascii="Cambria" w:eastAsia="Cambria" w:hAnsi="Cambria" w:cs="Cambria"/>
                <w:color w:val="000000"/>
                <w:sz w:val="20"/>
                <w:szCs w:val="20"/>
              </w:rPr>
            </w:pPr>
            <w:r w:rsidRPr="00FD7B6F">
              <w:rPr>
                <w:rFonts w:ascii="Cambria" w:eastAsia="Cambria" w:hAnsi="Cambria" w:cs="Cambria"/>
                <w:color w:val="000000"/>
                <w:sz w:val="20"/>
                <w:szCs w:val="20"/>
              </w:rPr>
              <w:t xml:space="preserve">Resume </w:t>
            </w:r>
            <w:r>
              <w:rPr>
                <w:rFonts w:ascii="Cambria" w:eastAsia="Cambria" w:hAnsi="Cambria" w:cs="Cambria"/>
                <w:color w:val="000000"/>
                <w:sz w:val="20"/>
                <w:szCs w:val="20"/>
              </w:rPr>
              <w:t>Itovebi</w:t>
            </w:r>
            <w:r w:rsidRPr="00FD7B6F">
              <w:rPr>
                <w:rFonts w:ascii="Cambria" w:eastAsia="Cambria" w:hAnsi="Cambria" w:cs="Cambria"/>
                <w:color w:val="000000"/>
                <w:sz w:val="20"/>
                <w:szCs w:val="20"/>
              </w:rPr>
              <w:t xml:space="preserve"> at one lower dose level (see  Table 1).</w:t>
            </w:r>
          </w:p>
        </w:tc>
      </w:tr>
      <w:tr w:rsidR="006D5779" w14:paraId="210E5EAF" w14:textId="77777777" w:rsidTr="00A421A9">
        <w:tc>
          <w:tcPr>
            <w:tcW w:w="2098" w:type="dxa"/>
            <w:vMerge/>
          </w:tcPr>
          <w:p w14:paraId="165D5F88" w14:textId="77777777" w:rsidR="006D5779" w:rsidRPr="00FD7B6F" w:rsidRDefault="006D5779" w:rsidP="006D5779">
            <w:pPr>
              <w:spacing w:before="50" w:after="50" w:line="240" w:lineRule="auto"/>
              <w:ind w:right="606"/>
              <w:rPr>
                <w:rFonts w:ascii="Cambria" w:eastAsia="Cambria" w:hAnsi="Cambria" w:cs="Cambria"/>
                <w:color w:val="000000"/>
                <w:sz w:val="20"/>
                <w:szCs w:val="20"/>
              </w:rPr>
            </w:pPr>
          </w:p>
        </w:tc>
        <w:tc>
          <w:tcPr>
            <w:tcW w:w="1984" w:type="dxa"/>
            <w:shd w:val="clear" w:color="auto" w:fill="auto"/>
          </w:tcPr>
          <w:p w14:paraId="1A2870EE" w14:textId="2C09FDE1" w:rsidR="006D5779" w:rsidRPr="00FD7B6F" w:rsidRDefault="006D5779" w:rsidP="006D5779">
            <w:pPr>
              <w:spacing w:before="50" w:after="50" w:line="240" w:lineRule="auto"/>
              <w:ind w:right="606"/>
              <w:rPr>
                <w:rFonts w:ascii="Cambria" w:eastAsia="Cambria" w:hAnsi="Cambria" w:cs="Cambria"/>
                <w:color w:val="000000"/>
                <w:sz w:val="20"/>
                <w:szCs w:val="20"/>
              </w:rPr>
            </w:pPr>
            <w:r w:rsidRPr="00FD7B6F">
              <w:rPr>
                <w:rFonts w:ascii="Cambria" w:eastAsia="Cambria" w:hAnsi="Cambria" w:cs="Cambria"/>
                <w:color w:val="000000"/>
                <w:sz w:val="20"/>
                <w:szCs w:val="20"/>
              </w:rPr>
              <w:t>Grade 4, life-threatening</w:t>
            </w:r>
          </w:p>
        </w:tc>
        <w:tc>
          <w:tcPr>
            <w:tcW w:w="5812" w:type="dxa"/>
            <w:shd w:val="clear" w:color="auto" w:fill="auto"/>
          </w:tcPr>
          <w:p w14:paraId="1C812252" w14:textId="77777777" w:rsidR="006D5779" w:rsidRPr="00FD7B6F" w:rsidRDefault="006D5779" w:rsidP="006D5779">
            <w:pPr>
              <w:numPr>
                <w:ilvl w:val="0"/>
                <w:numId w:val="3"/>
              </w:numPr>
              <w:pBdr>
                <w:top w:val="nil"/>
                <w:left w:val="nil"/>
                <w:bottom w:val="nil"/>
                <w:right w:val="nil"/>
                <w:between w:val="nil"/>
              </w:pBdr>
              <w:spacing w:before="50" w:after="50" w:line="240" w:lineRule="auto"/>
              <w:ind w:left="436" w:right="606" w:hanging="270"/>
              <w:rPr>
                <w:rFonts w:ascii="Cambria" w:eastAsia="Cambria" w:hAnsi="Cambria" w:cs="Cambria"/>
                <w:color w:val="000000"/>
                <w:sz w:val="20"/>
                <w:szCs w:val="20"/>
              </w:rPr>
            </w:pPr>
            <w:r w:rsidRPr="00FD7B6F">
              <w:rPr>
                <w:rFonts w:ascii="Cambria" w:eastAsia="Cambria" w:hAnsi="Cambria" w:cs="Cambria"/>
                <w:color w:val="000000"/>
                <w:sz w:val="20"/>
                <w:szCs w:val="20"/>
              </w:rPr>
              <w:t xml:space="preserve">Permanently discontinue </w:t>
            </w:r>
            <w:r>
              <w:rPr>
                <w:rFonts w:ascii="Cambria" w:eastAsia="Cambria" w:hAnsi="Cambria" w:cs="Cambria"/>
                <w:color w:val="000000"/>
                <w:sz w:val="20"/>
                <w:szCs w:val="20"/>
              </w:rPr>
              <w:t>Itovebi</w:t>
            </w:r>
            <w:r w:rsidRPr="00FD7B6F">
              <w:rPr>
                <w:rFonts w:ascii="Cambria" w:eastAsia="Cambria" w:hAnsi="Cambria" w:cs="Cambria"/>
                <w:color w:val="000000"/>
                <w:sz w:val="20"/>
                <w:szCs w:val="20"/>
              </w:rPr>
              <w:t>.</w:t>
            </w:r>
          </w:p>
        </w:tc>
      </w:tr>
      <w:tr w:rsidR="006D5779" w14:paraId="757B3870" w14:textId="77777777" w:rsidTr="006D5779">
        <w:tc>
          <w:tcPr>
            <w:tcW w:w="9894" w:type="dxa"/>
            <w:gridSpan w:val="3"/>
          </w:tcPr>
          <w:p w14:paraId="3F533092" w14:textId="1726A020" w:rsidR="006D5779" w:rsidRPr="00FD7B6F" w:rsidRDefault="006D5779" w:rsidP="006D5779">
            <w:pPr>
              <w:spacing w:before="50" w:after="50" w:line="240" w:lineRule="auto"/>
              <w:ind w:left="158" w:right="606" w:hanging="158"/>
              <w:rPr>
                <w:rFonts w:ascii="Cambria" w:eastAsia="Cambria" w:hAnsi="Cambria" w:cs="Cambria"/>
                <w:color w:val="000000"/>
                <w:sz w:val="20"/>
                <w:szCs w:val="20"/>
              </w:rPr>
            </w:pPr>
            <w:r w:rsidRPr="00FD7B6F">
              <w:rPr>
                <w:rFonts w:ascii="Cambria" w:eastAsia="Cambria" w:hAnsi="Cambria" w:cs="Cambria"/>
                <w:color w:val="000000"/>
                <w:sz w:val="20"/>
                <w:szCs w:val="20"/>
                <w:vertAlign w:val="superscript"/>
              </w:rPr>
              <w:t>a</w:t>
            </w:r>
            <w:r w:rsidRPr="00FD7B6F">
              <w:rPr>
                <w:rFonts w:ascii="Cambria" w:eastAsia="Cambria" w:hAnsi="Cambria" w:cs="Cambria"/>
                <w:color w:val="000000"/>
                <w:sz w:val="20"/>
                <w:szCs w:val="20"/>
              </w:rPr>
              <w:t xml:space="preserve"> Based on CTCAE version 5.0.</w:t>
            </w:r>
          </w:p>
        </w:tc>
      </w:tr>
    </w:tbl>
    <w:p w14:paraId="13311401" w14:textId="77777777" w:rsidR="005972A9" w:rsidRDefault="004A79CA" w:rsidP="00B4667A">
      <w:pPr>
        <w:pStyle w:val="Heading3"/>
        <w:ind w:firstLine="227"/>
      </w:pPr>
      <w:bookmarkStart w:id="3" w:name="_heading=h.3znysh7" w:colFirst="0" w:colLast="0"/>
      <w:bookmarkEnd w:id="3"/>
      <w:r>
        <w:t>Special Populations</w:t>
      </w:r>
    </w:p>
    <w:p w14:paraId="5CD932D1" w14:textId="77777777" w:rsidR="005972A9" w:rsidRDefault="004A79CA">
      <w:pPr>
        <w:rPr>
          <w:rFonts w:ascii="Cambria" w:eastAsia="Cambria" w:hAnsi="Cambria" w:cs="Cambria"/>
          <w:u w:val="single"/>
        </w:rPr>
      </w:pPr>
      <w:r>
        <w:rPr>
          <w:rFonts w:ascii="Cambria" w:eastAsia="Cambria" w:hAnsi="Cambria" w:cs="Cambria"/>
          <w:u w:val="single"/>
        </w:rPr>
        <w:t>Paediatric use</w:t>
      </w:r>
    </w:p>
    <w:p w14:paraId="137F6E92" w14:textId="77777777" w:rsidR="005972A9" w:rsidRDefault="004A79CA">
      <w:pPr>
        <w:pBdr>
          <w:top w:val="nil"/>
          <w:left w:val="nil"/>
          <w:bottom w:val="nil"/>
          <w:right w:val="nil"/>
          <w:between w:val="nil"/>
        </w:pBdr>
        <w:spacing w:after="250"/>
        <w:rPr>
          <w:rFonts w:ascii="Cambria" w:eastAsia="Cambria" w:hAnsi="Cambria" w:cs="Cambria"/>
          <w:color w:val="000000"/>
        </w:rPr>
      </w:pPr>
      <w:r>
        <w:rPr>
          <w:rFonts w:ascii="Cambria" w:eastAsia="Cambria" w:hAnsi="Cambria" w:cs="Cambria"/>
          <w:color w:val="000000"/>
        </w:rPr>
        <w:t xml:space="preserve">The safety and efficacy of </w:t>
      </w:r>
      <w:r w:rsidR="00DE29EE">
        <w:rPr>
          <w:rFonts w:ascii="Cambria" w:eastAsia="Cambria" w:hAnsi="Cambria" w:cs="Cambria"/>
          <w:color w:val="000000"/>
        </w:rPr>
        <w:t>Itovebi</w:t>
      </w:r>
      <w:r>
        <w:rPr>
          <w:rFonts w:ascii="Cambria" w:eastAsia="Cambria" w:hAnsi="Cambria" w:cs="Cambria"/>
          <w:color w:val="000000"/>
        </w:rPr>
        <w:t xml:space="preserve"> has not been established in children and adolescents (&lt; 18 years).</w:t>
      </w:r>
    </w:p>
    <w:p w14:paraId="1AC18712" w14:textId="77777777" w:rsidR="005972A9" w:rsidRDefault="004A79CA">
      <w:pPr>
        <w:rPr>
          <w:rFonts w:ascii="Cambria" w:eastAsia="Cambria" w:hAnsi="Cambria" w:cs="Cambria"/>
          <w:u w:val="single"/>
        </w:rPr>
      </w:pPr>
      <w:r>
        <w:rPr>
          <w:rFonts w:ascii="Cambria" w:eastAsia="Cambria" w:hAnsi="Cambria" w:cs="Cambria"/>
          <w:u w:val="single"/>
        </w:rPr>
        <w:t>Elderly</w:t>
      </w:r>
    </w:p>
    <w:p w14:paraId="0D678194" w14:textId="236E5389" w:rsidR="005972A9" w:rsidRDefault="004A79CA">
      <w:pPr>
        <w:rPr>
          <w:rFonts w:ascii="Cambria" w:eastAsia="Cambria" w:hAnsi="Cambria" w:cs="Cambria"/>
        </w:rPr>
      </w:pPr>
      <w:r>
        <w:rPr>
          <w:rFonts w:ascii="Cambria" w:eastAsia="Cambria" w:hAnsi="Cambria" w:cs="Cambria"/>
        </w:rPr>
        <w:t xml:space="preserve">No dose adjustment of </w:t>
      </w:r>
      <w:r w:rsidR="00DE29EE">
        <w:rPr>
          <w:rFonts w:ascii="Cambria" w:eastAsia="Cambria" w:hAnsi="Cambria" w:cs="Cambria"/>
        </w:rPr>
        <w:t>Itovebi</w:t>
      </w:r>
      <w:r>
        <w:rPr>
          <w:rFonts w:ascii="Cambria" w:eastAsia="Cambria" w:hAnsi="Cambria" w:cs="Cambria"/>
        </w:rPr>
        <w:t xml:space="preserve"> is required in patients ≥ 65 years of age.  For details on geriatric data, see section 4.4 </w:t>
      </w:r>
      <w:r w:rsidR="00E83483">
        <w:rPr>
          <w:rFonts w:ascii="Cambria" w:eastAsia="Cambria" w:hAnsi="Cambria" w:cs="Cambria"/>
          <w:color w:val="000000"/>
        </w:rPr>
        <w:t xml:space="preserve">Special Warnings and Precautions </w:t>
      </w:r>
      <w:proofErr w:type="gramStart"/>
      <w:r w:rsidR="00E83483">
        <w:rPr>
          <w:rFonts w:ascii="Cambria" w:eastAsia="Cambria" w:hAnsi="Cambria" w:cs="Cambria"/>
          <w:color w:val="000000"/>
        </w:rPr>
        <w:t>For</w:t>
      </w:r>
      <w:proofErr w:type="gramEnd"/>
      <w:r w:rsidR="00E83483">
        <w:rPr>
          <w:rFonts w:ascii="Cambria" w:eastAsia="Cambria" w:hAnsi="Cambria" w:cs="Cambria"/>
          <w:color w:val="000000"/>
        </w:rPr>
        <w:t xml:space="preserve"> Use</w:t>
      </w:r>
      <w:r>
        <w:rPr>
          <w:rFonts w:ascii="Cambria" w:eastAsia="Cambria" w:hAnsi="Cambria" w:cs="Cambria"/>
        </w:rPr>
        <w:t xml:space="preserve"> </w:t>
      </w:r>
      <w:proofErr w:type="gramStart"/>
      <w:r>
        <w:rPr>
          <w:rFonts w:ascii="Cambria" w:eastAsia="Cambria" w:hAnsi="Cambria" w:cs="Cambria"/>
        </w:rPr>
        <w:t>-  Use</w:t>
      </w:r>
      <w:proofErr w:type="gramEnd"/>
      <w:r>
        <w:rPr>
          <w:rFonts w:ascii="Cambria" w:eastAsia="Cambria" w:hAnsi="Cambria" w:cs="Cambria"/>
        </w:rPr>
        <w:t xml:space="preserve"> in the elderly.</w:t>
      </w:r>
    </w:p>
    <w:p w14:paraId="56E2BB8B" w14:textId="77777777" w:rsidR="005972A9" w:rsidRDefault="004A79CA" w:rsidP="00FD09EF">
      <w:pPr>
        <w:pageBreakBefore/>
        <w:rPr>
          <w:rFonts w:ascii="Cambria" w:eastAsia="Cambria" w:hAnsi="Cambria" w:cs="Cambria"/>
          <w:u w:val="single"/>
        </w:rPr>
      </w:pPr>
      <w:r>
        <w:rPr>
          <w:rFonts w:ascii="Cambria" w:eastAsia="Cambria" w:hAnsi="Cambria" w:cs="Cambria"/>
          <w:u w:val="single"/>
        </w:rPr>
        <w:lastRenderedPageBreak/>
        <w:t>Renal impairment</w:t>
      </w:r>
    </w:p>
    <w:p w14:paraId="5341A6DA" w14:textId="698ECE3C" w:rsidR="005972A9" w:rsidRDefault="004A79CA" w:rsidP="004B488D">
      <w:pPr>
        <w:spacing w:after="250"/>
        <w:rPr>
          <w:rFonts w:ascii="Cambria" w:eastAsia="Cambria" w:hAnsi="Cambria" w:cs="Cambria"/>
        </w:rPr>
      </w:pPr>
      <w:r>
        <w:rPr>
          <w:rFonts w:ascii="Cambria" w:eastAsia="Cambria" w:hAnsi="Cambria" w:cs="Cambria"/>
        </w:rPr>
        <w:t>No dose adjustment is required in patients with mild renal impairment (</w:t>
      </w:r>
      <w:r w:rsidR="00472E82">
        <w:rPr>
          <w:rFonts w:ascii="Cambria" w:eastAsia="Cambria" w:hAnsi="Cambria" w:cs="Cambria"/>
        </w:rPr>
        <w:t>eGFR</w:t>
      </w:r>
      <w:r w:rsidR="00472E82">
        <w:rPr>
          <w:rFonts w:ascii="Cambria" w:eastAsia="Cambria" w:hAnsi="Cambria" w:cs="Cambria"/>
          <w:sz w:val="10"/>
          <w:szCs w:val="10"/>
        </w:rPr>
        <w:t> </w:t>
      </w:r>
      <w:r w:rsidR="00472E82">
        <w:rPr>
          <w:rFonts w:ascii="Cambria" w:eastAsia="Cambria" w:hAnsi="Cambria" w:cs="Cambria"/>
        </w:rPr>
        <w:t xml:space="preserve"> </w:t>
      </w:r>
      <w:r w:rsidR="007D7C36">
        <w:rPr>
          <w:rFonts w:ascii="Cambria" w:eastAsia="Cambria" w:hAnsi="Cambria" w:cs="Cambria"/>
        </w:rPr>
        <w:t xml:space="preserve">≥ </w:t>
      </w:r>
      <w:r>
        <w:rPr>
          <w:rFonts w:ascii="Cambria" w:eastAsia="Cambria" w:hAnsi="Cambria" w:cs="Cambria"/>
        </w:rPr>
        <w:t>60 to &lt; 90 mL/min).</w:t>
      </w:r>
      <w:r w:rsidR="00433702">
        <w:rPr>
          <w:rFonts w:ascii="Cambria" w:eastAsia="Cambria" w:hAnsi="Cambria" w:cs="Cambria"/>
        </w:rPr>
        <w:t xml:space="preserve"> </w:t>
      </w:r>
      <w:r w:rsidR="00433702" w:rsidRPr="004B488D">
        <w:rPr>
          <w:rFonts w:ascii="Cambria" w:eastAsia="Cambria" w:hAnsi="Cambria" w:cs="Cambria"/>
          <w:color w:val="000000"/>
        </w:rPr>
        <w:t xml:space="preserve">The recommended starting dosage of </w:t>
      </w:r>
      <w:r w:rsidR="00433702">
        <w:rPr>
          <w:rFonts w:ascii="Cambria" w:eastAsia="Cambria" w:hAnsi="Cambria" w:cs="Cambria"/>
          <w:color w:val="000000"/>
        </w:rPr>
        <w:t>Itovebi</w:t>
      </w:r>
      <w:r w:rsidR="00433702" w:rsidRPr="004B488D">
        <w:rPr>
          <w:rFonts w:ascii="Cambria" w:eastAsia="Cambria" w:hAnsi="Cambria" w:cs="Cambria"/>
          <w:color w:val="000000"/>
        </w:rPr>
        <w:t xml:space="preserve"> for patients with moderate renal impairment (eGFR 30 to</w:t>
      </w:r>
      <w:r w:rsidR="00433702">
        <w:rPr>
          <w:rFonts w:ascii="Cambria" w:eastAsia="Cambria" w:hAnsi="Cambria" w:cs="Cambria"/>
          <w:color w:val="000000"/>
        </w:rPr>
        <w:t xml:space="preserve"> </w:t>
      </w:r>
      <w:r w:rsidR="00433702" w:rsidRPr="004B488D">
        <w:rPr>
          <w:rFonts w:ascii="Cambria" w:eastAsia="Cambria" w:hAnsi="Cambria" w:cs="Cambria"/>
          <w:color w:val="000000"/>
        </w:rPr>
        <w:t>&lt; 60 mL/min) is 6 mg orally once daily</w:t>
      </w:r>
      <w:r w:rsidR="00433702" w:rsidRPr="00433702">
        <w:rPr>
          <w:rFonts w:ascii="Cambria" w:eastAsia="Cambria" w:hAnsi="Cambria" w:cs="Cambria"/>
          <w:color w:val="000000"/>
        </w:rPr>
        <w:t>.</w:t>
      </w:r>
      <w:r w:rsidR="00433702">
        <w:rPr>
          <w:rFonts w:ascii="Cambria" w:eastAsia="Cambria" w:hAnsi="Cambria" w:cs="Cambria"/>
        </w:rPr>
        <w:t xml:space="preserve"> </w:t>
      </w:r>
      <w:r>
        <w:rPr>
          <w:rFonts w:ascii="Cambria" w:eastAsia="Cambria" w:hAnsi="Cambria" w:cs="Cambria"/>
          <w:color w:val="000000"/>
        </w:rPr>
        <w:t xml:space="preserve">The safety and efficacy of </w:t>
      </w:r>
      <w:r w:rsidR="00DE29EE">
        <w:rPr>
          <w:rFonts w:ascii="Cambria" w:eastAsia="Cambria" w:hAnsi="Cambria" w:cs="Cambria"/>
          <w:color w:val="000000"/>
          <w:highlight w:val="white"/>
        </w:rPr>
        <w:t>Itovebi</w:t>
      </w:r>
      <w:r>
        <w:rPr>
          <w:rFonts w:ascii="Cambria" w:eastAsia="Cambria" w:hAnsi="Cambria" w:cs="Cambria"/>
          <w:color w:val="000000"/>
        </w:rPr>
        <w:t xml:space="preserve"> have not been established in patients with </w:t>
      </w:r>
      <w:r>
        <w:rPr>
          <w:rFonts w:ascii="Cambria" w:eastAsia="Cambria" w:hAnsi="Cambria" w:cs="Cambria"/>
        </w:rPr>
        <w:t>severe renal impairmen</w:t>
      </w:r>
      <w:r w:rsidR="00433702">
        <w:rPr>
          <w:rFonts w:ascii="Cambria" w:eastAsia="Cambria" w:hAnsi="Cambria" w:cs="Cambria"/>
        </w:rPr>
        <w:t>t. F</w:t>
      </w:r>
      <w:r>
        <w:rPr>
          <w:rFonts w:ascii="Cambria" w:eastAsia="Cambria" w:hAnsi="Cambria" w:cs="Cambria"/>
          <w:color w:val="000000"/>
        </w:rPr>
        <w:t xml:space="preserve">or details on renal impairment data, see section 4.4 </w:t>
      </w:r>
      <w:r w:rsidR="00E83483">
        <w:rPr>
          <w:rFonts w:ascii="Cambria" w:eastAsia="Cambria" w:hAnsi="Cambria" w:cs="Cambria"/>
          <w:color w:val="000000"/>
        </w:rPr>
        <w:t xml:space="preserve">Special Warnings and Precautions </w:t>
      </w:r>
      <w:proofErr w:type="gramStart"/>
      <w:r w:rsidR="00E83483">
        <w:rPr>
          <w:rFonts w:ascii="Cambria" w:eastAsia="Cambria" w:hAnsi="Cambria" w:cs="Cambria"/>
          <w:color w:val="000000"/>
        </w:rPr>
        <w:t>For</w:t>
      </w:r>
      <w:proofErr w:type="gramEnd"/>
      <w:r w:rsidR="00E83483">
        <w:rPr>
          <w:rFonts w:ascii="Cambria" w:eastAsia="Cambria" w:hAnsi="Cambria" w:cs="Cambria"/>
          <w:color w:val="000000"/>
        </w:rPr>
        <w:t xml:space="preserve"> Use</w:t>
      </w:r>
      <w:r>
        <w:rPr>
          <w:rFonts w:ascii="Cambria" w:eastAsia="Cambria" w:hAnsi="Cambria" w:cs="Cambria"/>
          <w:color w:val="000000"/>
        </w:rPr>
        <w:t>-</w:t>
      </w:r>
      <w:r>
        <w:rPr>
          <w:rFonts w:ascii="Cambria" w:eastAsia="Cambria" w:hAnsi="Cambria" w:cs="Cambria"/>
        </w:rPr>
        <w:t>Use in renal impairment</w:t>
      </w:r>
      <w:r w:rsidR="00433702">
        <w:rPr>
          <w:rFonts w:ascii="Cambria" w:eastAsia="Cambria" w:hAnsi="Cambria" w:cs="Cambria"/>
        </w:rPr>
        <w:t xml:space="preserve"> </w:t>
      </w:r>
      <w:r w:rsidR="00433702" w:rsidRPr="00433702">
        <w:rPr>
          <w:rFonts w:ascii="Cambria" w:eastAsia="Cambria" w:hAnsi="Cambria" w:cs="Cambria"/>
          <w:color w:val="000000"/>
        </w:rPr>
        <w:t xml:space="preserve">and section 5.2 Pharmacokinetic </w:t>
      </w:r>
      <w:r w:rsidR="00732AEB">
        <w:rPr>
          <w:rFonts w:ascii="Cambria" w:eastAsia="Cambria" w:hAnsi="Cambria" w:cs="Cambria"/>
          <w:color w:val="000000"/>
        </w:rPr>
        <w:t>P</w:t>
      </w:r>
      <w:r w:rsidR="00433702" w:rsidRPr="00433702">
        <w:rPr>
          <w:rFonts w:ascii="Cambria" w:eastAsia="Cambria" w:hAnsi="Cambria" w:cs="Cambria"/>
          <w:color w:val="000000"/>
        </w:rPr>
        <w:t>roperties-</w:t>
      </w:r>
      <w:r w:rsidR="00446353">
        <w:rPr>
          <w:rFonts w:ascii="Cambria" w:eastAsia="Cambria" w:hAnsi="Cambria" w:cs="Cambria"/>
          <w:color w:val="000000"/>
        </w:rPr>
        <w:t>Pharmacokinetics</w:t>
      </w:r>
      <w:r w:rsidR="00433702" w:rsidRPr="00433702">
        <w:rPr>
          <w:rFonts w:ascii="Cambria" w:eastAsia="Cambria" w:hAnsi="Cambria" w:cs="Cambria"/>
          <w:color w:val="000000"/>
        </w:rPr>
        <w:t xml:space="preserve"> in </w:t>
      </w:r>
      <w:r w:rsidR="00931DB7">
        <w:rPr>
          <w:rFonts w:ascii="Cambria" w:eastAsia="Cambria" w:hAnsi="Cambria" w:cs="Cambria"/>
          <w:color w:val="000000"/>
        </w:rPr>
        <w:t>S</w:t>
      </w:r>
      <w:r w:rsidR="00433702" w:rsidRPr="00433702">
        <w:rPr>
          <w:rFonts w:ascii="Cambria" w:eastAsia="Cambria" w:hAnsi="Cambria" w:cs="Cambria"/>
          <w:color w:val="000000"/>
        </w:rPr>
        <w:t xml:space="preserve">pecial </w:t>
      </w:r>
      <w:r w:rsidR="00931DB7">
        <w:rPr>
          <w:rFonts w:ascii="Cambria" w:eastAsia="Cambria" w:hAnsi="Cambria" w:cs="Cambria"/>
          <w:color w:val="000000"/>
        </w:rPr>
        <w:t>P</w:t>
      </w:r>
      <w:r w:rsidR="00433702" w:rsidRPr="00433702">
        <w:rPr>
          <w:rFonts w:ascii="Cambria" w:eastAsia="Cambria" w:hAnsi="Cambria" w:cs="Cambria"/>
          <w:color w:val="000000"/>
        </w:rPr>
        <w:t>opulations</w:t>
      </w:r>
      <w:r>
        <w:rPr>
          <w:rFonts w:ascii="Cambria" w:eastAsia="Cambria" w:hAnsi="Cambria" w:cs="Cambria"/>
          <w:color w:val="000000"/>
        </w:rPr>
        <w:t>.</w:t>
      </w:r>
      <w:r w:rsidR="004B488D" w:rsidRPr="004B488D">
        <w:t xml:space="preserve"> </w:t>
      </w:r>
    </w:p>
    <w:p w14:paraId="18AACD7E" w14:textId="77777777" w:rsidR="005972A9" w:rsidRDefault="004A79CA">
      <w:pPr>
        <w:keepNext/>
        <w:rPr>
          <w:rFonts w:ascii="Cambria" w:eastAsia="Cambria" w:hAnsi="Cambria" w:cs="Cambria"/>
          <w:u w:val="single"/>
        </w:rPr>
      </w:pPr>
      <w:r>
        <w:rPr>
          <w:rFonts w:ascii="Cambria" w:eastAsia="Cambria" w:hAnsi="Cambria" w:cs="Cambria"/>
          <w:u w:val="single"/>
        </w:rPr>
        <w:t>Hepatic impairment</w:t>
      </w:r>
    </w:p>
    <w:p w14:paraId="6B9A1B82" w14:textId="50EA1CE2" w:rsidR="005972A9" w:rsidRDefault="004A79CA">
      <w:pPr>
        <w:rPr>
          <w:rFonts w:ascii="Cambria" w:eastAsia="Cambria" w:hAnsi="Cambria" w:cs="Cambria"/>
        </w:rPr>
      </w:pPr>
      <w:r>
        <w:rPr>
          <w:rFonts w:ascii="Cambria" w:eastAsia="Cambria" w:hAnsi="Cambria" w:cs="Cambria"/>
        </w:rPr>
        <w:t>No dose adjustment is required in patients with mild hepatic impairment (total bilirubin &gt; ULN to ≤ 1.5</w:t>
      </w:r>
      <w:r w:rsidR="00F71729">
        <w:rPr>
          <w:rFonts w:ascii="Cambria" w:eastAsia="Cambria" w:hAnsi="Cambria" w:cs="Cambria"/>
        </w:rPr>
        <w:t xml:space="preserve"> x</w:t>
      </w:r>
      <w:r>
        <w:rPr>
          <w:rFonts w:ascii="Cambria" w:eastAsia="Cambria" w:hAnsi="Cambria" w:cs="Cambria"/>
        </w:rPr>
        <w:t xml:space="preserve"> ULN or AST &gt; ULN and total bilirubin ≤ ULN). The safety and efficacy of </w:t>
      </w:r>
      <w:r w:rsidR="00DE29EE">
        <w:rPr>
          <w:rFonts w:ascii="Cambria" w:eastAsia="Cambria" w:hAnsi="Cambria" w:cs="Cambria"/>
          <w:highlight w:val="white"/>
        </w:rPr>
        <w:t>Itovebi</w:t>
      </w:r>
      <w:r>
        <w:rPr>
          <w:rFonts w:ascii="Cambria" w:eastAsia="Cambria" w:hAnsi="Cambria" w:cs="Cambria"/>
        </w:rPr>
        <w:t xml:space="preserve"> have not been studied in patients with moderate to severe hepatic impairment. </w:t>
      </w:r>
      <w:r>
        <w:rPr>
          <w:rFonts w:ascii="Cambria" w:eastAsia="Cambria" w:hAnsi="Cambria" w:cs="Cambria"/>
          <w:color w:val="2D11FB"/>
        </w:rPr>
        <w:t xml:space="preserve"> </w:t>
      </w:r>
      <w:r w:rsidR="00590E74">
        <w:rPr>
          <w:rFonts w:ascii="Cambria" w:eastAsia="Cambria" w:hAnsi="Cambria" w:cs="Cambria"/>
          <w:color w:val="2D11FB"/>
        </w:rPr>
        <w:t xml:space="preserve"> </w:t>
      </w:r>
      <w:r>
        <w:rPr>
          <w:rFonts w:ascii="Cambria" w:eastAsia="Cambria" w:hAnsi="Cambria" w:cs="Cambria"/>
        </w:rPr>
        <w:t xml:space="preserve"> </w:t>
      </w:r>
      <w:r>
        <w:rPr>
          <w:rFonts w:ascii="Cambria" w:eastAsia="Cambria" w:hAnsi="Cambria" w:cs="Cambria"/>
          <w:color w:val="000000"/>
        </w:rPr>
        <w:t xml:space="preserve">For details on hepatic impairment data, see section 4.4 </w:t>
      </w:r>
      <w:r w:rsidR="00E83483">
        <w:rPr>
          <w:rFonts w:ascii="Cambria" w:eastAsia="Cambria" w:hAnsi="Cambria" w:cs="Cambria"/>
          <w:color w:val="000000"/>
        </w:rPr>
        <w:t xml:space="preserve">Special Warnings and Precautions </w:t>
      </w:r>
      <w:proofErr w:type="gramStart"/>
      <w:r w:rsidR="00E83483">
        <w:rPr>
          <w:rFonts w:ascii="Cambria" w:eastAsia="Cambria" w:hAnsi="Cambria" w:cs="Cambria"/>
          <w:color w:val="000000"/>
        </w:rPr>
        <w:t>For</w:t>
      </w:r>
      <w:proofErr w:type="gramEnd"/>
      <w:r w:rsidR="00E83483">
        <w:rPr>
          <w:rFonts w:ascii="Cambria" w:eastAsia="Cambria" w:hAnsi="Cambria" w:cs="Cambria"/>
          <w:color w:val="000000"/>
        </w:rPr>
        <w:t xml:space="preserve"> Use</w:t>
      </w:r>
      <w:r>
        <w:rPr>
          <w:rFonts w:ascii="Cambria" w:eastAsia="Cambria" w:hAnsi="Cambria" w:cs="Cambria"/>
          <w:color w:val="000000"/>
        </w:rPr>
        <w:t xml:space="preserve"> </w:t>
      </w:r>
      <w:proofErr w:type="gramStart"/>
      <w:r>
        <w:rPr>
          <w:rFonts w:ascii="Cambria" w:eastAsia="Cambria" w:hAnsi="Cambria" w:cs="Cambria"/>
          <w:color w:val="000000"/>
        </w:rPr>
        <w:t xml:space="preserve">-  </w:t>
      </w:r>
      <w:r>
        <w:rPr>
          <w:rFonts w:ascii="Cambria" w:eastAsia="Cambria" w:hAnsi="Cambria" w:cs="Cambria"/>
        </w:rPr>
        <w:t>Use</w:t>
      </w:r>
      <w:proofErr w:type="gramEnd"/>
      <w:r>
        <w:rPr>
          <w:rFonts w:ascii="Cambria" w:eastAsia="Cambria" w:hAnsi="Cambria" w:cs="Cambria"/>
        </w:rPr>
        <w:t xml:space="preserve"> in hepatic impairment</w:t>
      </w:r>
      <w:r>
        <w:rPr>
          <w:rFonts w:ascii="Cambria" w:eastAsia="Cambria" w:hAnsi="Cambria" w:cs="Cambria"/>
          <w:i/>
          <w:color w:val="000000"/>
        </w:rPr>
        <w:t>.</w:t>
      </w:r>
    </w:p>
    <w:p w14:paraId="121E4809" w14:textId="77777777" w:rsidR="005972A9" w:rsidRDefault="004A79CA">
      <w:pPr>
        <w:pStyle w:val="Heading2"/>
        <w:numPr>
          <w:ilvl w:val="1"/>
          <w:numId w:val="4"/>
        </w:numPr>
        <w:spacing w:before="0" w:after="120"/>
      </w:pPr>
      <w:r>
        <w:t>Contraindications</w:t>
      </w:r>
    </w:p>
    <w:p w14:paraId="2EBE33D9" w14:textId="77777777" w:rsidR="005972A9" w:rsidRDefault="00DE29EE">
      <w:pPr>
        <w:rPr>
          <w:rFonts w:ascii="Cambria" w:eastAsia="Cambria" w:hAnsi="Cambria" w:cs="Cambria"/>
        </w:rPr>
      </w:pPr>
      <w:r>
        <w:rPr>
          <w:rFonts w:ascii="Cambria" w:eastAsia="Cambria" w:hAnsi="Cambria" w:cs="Cambria"/>
        </w:rPr>
        <w:t>Itovebi</w:t>
      </w:r>
      <w:r w:rsidR="004A79CA">
        <w:rPr>
          <w:rFonts w:ascii="Cambria" w:eastAsia="Cambria" w:hAnsi="Cambria" w:cs="Cambria"/>
        </w:rPr>
        <w:t xml:space="preserve"> is contraindicated in patients with a known hypersensitivity to inavolisib or any of the excipients.</w:t>
      </w:r>
    </w:p>
    <w:p w14:paraId="51D7D69C" w14:textId="77777777" w:rsidR="005972A9" w:rsidRDefault="004A79CA">
      <w:pPr>
        <w:pStyle w:val="Heading2"/>
        <w:numPr>
          <w:ilvl w:val="1"/>
          <w:numId w:val="4"/>
        </w:numPr>
        <w:spacing w:before="0" w:after="120"/>
      </w:pPr>
      <w:bookmarkStart w:id="4" w:name="_heading=h.2et92p0" w:colFirst="0" w:colLast="0"/>
      <w:bookmarkEnd w:id="4"/>
      <w:r>
        <w:t>Special warnings and precautions for use</w:t>
      </w:r>
    </w:p>
    <w:p w14:paraId="60510326" w14:textId="77777777" w:rsidR="005972A9" w:rsidRDefault="004A79CA" w:rsidP="00B4667A">
      <w:pPr>
        <w:pStyle w:val="Heading3"/>
        <w:ind w:firstLine="227"/>
      </w:pPr>
      <w:bookmarkStart w:id="5" w:name="_heading=h.tyjcwt" w:colFirst="0" w:colLast="0"/>
      <w:bookmarkEnd w:id="5"/>
      <w:r>
        <w:t>General</w:t>
      </w:r>
    </w:p>
    <w:p w14:paraId="1EF2B8E6" w14:textId="1DCC3D46" w:rsidR="005972A9" w:rsidRDefault="004A79CA">
      <w:pPr>
        <w:rPr>
          <w:rFonts w:ascii="Cambria" w:eastAsia="Cambria" w:hAnsi="Cambria" w:cs="Cambria"/>
          <w:u w:val="single"/>
        </w:rPr>
      </w:pPr>
      <w:proofErr w:type="spellStart"/>
      <w:r>
        <w:rPr>
          <w:rFonts w:ascii="Cambria" w:eastAsia="Cambria" w:hAnsi="Cambria" w:cs="Cambria"/>
          <w:u w:val="single"/>
        </w:rPr>
        <w:t>Hyperglycaemia</w:t>
      </w:r>
      <w:proofErr w:type="spellEnd"/>
    </w:p>
    <w:p w14:paraId="60AC1F34" w14:textId="34927117" w:rsidR="005972A9" w:rsidRDefault="00397488">
      <w:pPr>
        <w:pBdr>
          <w:top w:val="nil"/>
          <w:left w:val="nil"/>
          <w:bottom w:val="nil"/>
          <w:right w:val="nil"/>
          <w:between w:val="nil"/>
        </w:pBdr>
        <w:spacing w:after="250" w:line="280" w:lineRule="auto"/>
        <w:rPr>
          <w:rFonts w:ascii="Cambria" w:eastAsia="Cambria" w:hAnsi="Cambria" w:cs="Cambria"/>
          <w:color w:val="000000"/>
        </w:rPr>
      </w:pPr>
      <w:bookmarkStart w:id="6" w:name="_heading=h.3dy6vkm" w:colFirst="0" w:colLast="0"/>
      <w:bookmarkEnd w:id="6"/>
      <w:r>
        <w:rPr>
          <w:rFonts w:ascii="Cambria" w:eastAsia="Cambria" w:hAnsi="Cambria" w:cs="Cambria"/>
          <w:color w:val="000000"/>
        </w:rPr>
        <w:t xml:space="preserve">Severe </w:t>
      </w:r>
      <w:r w:rsidR="004A79CA">
        <w:rPr>
          <w:rFonts w:ascii="Cambria" w:eastAsia="Cambria" w:hAnsi="Cambria" w:cs="Cambria"/>
          <w:color w:val="000000"/>
        </w:rPr>
        <w:t>hyperglycaemia</w:t>
      </w:r>
      <w:r w:rsidR="00C8595E">
        <w:rPr>
          <w:rFonts w:ascii="Cambria" w:eastAsia="Cambria" w:hAnsi="Cambria" w:cs="Cambria"/>
          <w:color w:val="000000"/>
        </w:rPr>
        <w:t>, including complications such as life-</w:t>
      </w:r>
      <w:r w:rsidR="00F5323B">
        <w:rPr>
          <w:rFonts w:ascii="Cambria" w:eastAsia="Cambria" w:hAnsi="Cambria" w:cs="Cambria"/>
          <w:color w:val="000000"/>
        </w:rPr>
        <w:t>threatening</w:t>
      </w:r>
      <w:r w:rsidR="00C8595E">
        <w:rPr>
          <w:rFonts w:ascii="Cambria" w:eastAsia="Cambria" w:hAnsi="Cambria" w:cs="Cambria"/>
          <w:color w:val="000000"/>
        </w:rPr>
        <w:t xml:space="preserve"> ketoacidosis,</w:t>
      </w:r>
      <w:r w:rsidR="004A79CA">
        <w:rPr>
          <w:rFonts w:ascii="Cambria" w:eastAsia="Cambria" w:hAnsi="Cambria" w:cs="Cambria"/>
          <w:color w:val="000000"/>
        </w:rPr>
        <w:t xml:space="preserve"> </w:t>
      </w:r>
      <w:r>
        <w:rPr>
          <w:rFonts w:ascii="Cambria" w:eastAsia="Cambria" w:hAnsi="Cambria" w:cs="Cambria"/>
          <w:color w:val="000000"/>
        </w:rPr>
        <w:t>can occur</w:t>
      </w:r>
      <w:r w:rsidR="004A79CA">
        <w:rPr>
          <w:rFonts w:ascii="Cambria" w:eastAsia="Cambria" w:hAnsi="Cambria" w:cs="Cambria"/>
          <w:color w:val="000000"/>
        </w:rPr>
        <w:t xml:space="preserve"> in patients treated with </w:t>
      </w:r>
      <w:r w:rsidR="00DE29EE">
        <w:rPr>
          <w:rFonts w:ascii="Cambria" w:eastAsia="Cambria" w:hAnsi="Cambria" w:cs="Cambria"/>
          <w:color w:val="000000"/>
          <w:highlight w:val="white"/>
        </w:rPr>
        <w:t>Itovebi</w:t>
      </w:r>
      <w:r w:rsidR="004A79CA">
        <w:rPr>
          <w:rFonts w:ascii="Cambria" w:eastAsia="Cambria" w:hAnsi="Cambria" w:cs="Cambria"/>
          <w:color w:val="000000"/>
        </w:rPr>
        <w:t xml:space="preserve">. </w:t>
      </w:r>
    </w:p>
    <w:p w14:paraId="3068C714" w14:textId="77777777" w:rsidR="00397488" w:rsidRDefault="00397488" w:rsidP="00397488">
      <w:pPr>
        <w:pBdr>
          <w:top w:val="nil"/>
          <w:left w:val="nil"/>
          <w:bottom w:val="nil"/>
          <w:right w:val="nil"/>
          <w:between w:val="nil"/>
        </w:pBdr>
        <w:spacing w:after="250" w:line="280" w:lineRule="auto"/>
        <w:rPr>
          <w:rFonts w:ascii="Cambria" w:eastAsia="Cambria" w:hAnsi="Cambria" w:cs="Cambria"/>
          <w:color w:val="000000"/>
        </w:rPr>
      </w:pPr>
      <w:r w:rsidRPr="00397488">
        <w:rPr>
          <w:rFonts w:ascii="Cambria" w:eastAsia="Cambria" w:hAnsi="Cambria" w:cs="Cambria"/>
          <w:color w:val="000000"/>
        </w:rPr>
        <w:t xml:space="preserve">In </w:t>
      </w:r>
      <w:r>
        <w:rPr>
          <w:rFonts w:ascii="Cambria" w:eastAsia="Cambria" w:hAnsi="Cambria" w:cs="Cambria"/>
          <w:color w:val="000000"/>
        </w:rPr>
        <w:t xml:space="preserve">the </w:t>
      </w:r>
      <w:r w:rsidRPr="00397488">
        <w:rPr>
          <w:rFonts w:ascii="Cambria" w:eastAsia="Cambria" w:hAnsi="Cambria" w:cs="Cambria"/>
          <w:color w:val="000000"/>
        </w:rPr>
        <w:t>INAVO120</w:t>
      </w:r>
      <w:r>
        <w:rPr>
          <w:rFonts w:ascii="Cambria" w:eastAsia="Cambria" w:hAnsi="Cambria" w:cs="Cambria"/>
          <w:color w:val="000000"/>
        </w:rPr>
        <w:t xml:space="preserve"> pivotal clinical trial</w:t>
      </w:r>
      <w:r w:rsidRPr="00397488">
        <w:rPr>
          <w:rFonts w:ascii="Cambria" w:eastAsia="Cambria" w:hAnsi="Cambria" w:cs="Cambria"/>
          <w:color w:val="000000"/>
        </w:rPr>
        <w:t>, 46% of patients who received I</w:t>
      </w:r>
      <w:r>
        <w:rPr>
          <w:rFonts w:ascii="Cambria" w:eastAsia="Cambria" w:hAnsi="Cambria" w:cs="Cambria"/>
          <w:color w:val="000000"/>
        </w:rPr>
        <w:t>tovebi</w:t>
      </w:r>
      <w:r w:rsidRPr="00397488">
        <w:rPr>
          <w:rFonts w:ascii="Cambria" w:eastAsia="Cambria" w:hAnsi="Cambria" w:cs="Cambria"/>
          <w:color w:val="000000"/>
        </w:rPr>
        <w:t xml:space="preserve"> were treated with oral anti-hyperglyc</w:t>
      </w:r>
      <w:r>
        <w:rPr>
          <w:rFonts w:ascii="Cambria" w:eastAsia="Cambria" w:hAnsi="Cambria" w:cs="Cambria"/>
          <w:color w:val="000000"/>
        </w:rPr>
        <w:t>a</w:t>
      </w:r>
      <w:r w:rsidRPr="00397488">
        <w:rPr>
          <w:rFonts w:ascii="Cambria" w:eastAsia="Cambria" w:hAnsi="Cambria" w:cs="Cambria"/>
          <w:color w:val="000000"/>
        </w:rPr>
        <w:t xml:space="preserve">emic medications and 7% were treated with insulin to manage increased fasting glucose. </w:t>
      </w:r>
    </w:p>
    <w:p w14:paraId="4635EAF4" w14:textId="7109500D" w:rsidR="005972A9" w:rsidRDefault="00397488" w:rsidP="00397488">
      <w:pPr>
        <w:pBdr>
          <w:top w:val="nil"/>
          <w:left w:val="nil"/>
          <w:bottom w:val="nil"/>
          <w:right w:val="nil"/>
          <w:between w:val="nil"/>
        </w:pBdr>
        <w:spacing w:after="250" w:line="280" w:lineRule="auto"/>
        <w:rPr>
          <w:rFonts w:ascii="Cambria" w:eastAsia="Cambria" w:hAnsi="Cambria" w:cs="Cambria"/>
          <w:color w:val="000000"/>
        </w:rPr>
      </w:pPr>
      <w:r w:rsidRPr="00397488">
        <w:rPr>
          <w:rFonts w:ascii="Cambria" w:eastAsia="Cambria" w:hAnsi="Cambria" w:cs="Cambria"/>
          <w:color w:val="000000"/>
        </w:rPr>
        <w:t>The safety of I</w:t>
      </w:r>
      <w:r>
        <w:rPr>
          <w:rFonts w:ascii="Cambria" w:eastAsia="Cambria" w:hAnsi="Cambria" w:cs="Cambria"/>
          <w:color w:val="000000"/>
        </w:rPr>
        <w:t>tovebi</w:t>
      </w:r>
      <w:r w:rsidRPr="00397488">
        <w:rPr>
          <w:rFonts w:ascii="Cambria" w:eastAsia="Cambria" w:hAnsi="Cambria" w:cs="Cambria"/>
          <w:color w:val="000000"/>
        </w:rPr>
        <w:t xml:space="preserve"> in patients with Type 1 diabetes mellitus, or Type 2 diabetes mellitus requiring ongoing anti-hyperglyc</w:t>
      </w:r>
      <w:r>
        <w:rPr>
          <w:rFonts w:ascii="Cambria" w:eastAsia="Cambria" w:hAnsi="Cambria" w:cs="Cambria"/>
          <w:color w:val="000000"/>
        </w:rPr>
        <w:t>a</w:t>
      </w:r>
      <w:r w:rsidRPr="00397488">
        <w:rPr>
          <w:rFonts w:ascii="Cambria" w:eastAsia="Cambria" w:hAnsi="Cambria" w:cs="Cambria"/>
          <w:color w:val="000000"/>
        </w:rPr>
        <w:t>emic treatment have not been studied.</w:t>
      </w:r>
      <w:r w:rsidR="005630B7">
        <w:rPr>
          <w:rFonts w:ascii="Cambria" w:eastAsia="Cambria" w:hAnsi="Cambria" w:cs="Cambria"/>
          <w:color w:val="000000"/>
        </w:rPr>
        <w:t xml:space="preserve"> </w:t>
      </w:r>
      <w:r w:rsidR="005630B7" w:rsidRPr="005630B7">
        <w:rPr>
          <w:rFonts w:ascii="Cambria" w:eastAsia="Cambria" w:hAnsi="Cambria" w:cs="Cambria"/>
          <w:color w:val="000000"/>
        </w:rPr>
        <w:t>Patients with a history of well-controlled Type 2 diabetes mellitus may require intensified anti-hyperglyc</w:t>
      </w:r>
      <w:r w:rsidR="005630B7">
        <w:rPr>
          <w:rFonts w:ascii="Cambria" w:eastAsia="Cambria" w:hAnsi="Cambria" w:cs="Cambria"/>
          <w:color w:val="000000"/>
        </w:rPr>
        <w:t>a</w:t>
      </w:r>
      <w:r w:rsidR="005630B7" w:rsidRPr="005630B7">
        <w:rPr>
          <w:rFonts w:ascii="Cambria" w:eastAsia="Cambria" w:hAnsi="Cambria" w:cs="Cambria"/>
          <w:color w:val="000000"/>
        </w:rPr>
        <w:t>emic treatment and close monitoring of fasting glucose levels as clinically indicated. Itovebi should not be administered until fasting glucose levels are optimi</w:t>
      </w:r>
      <w:r w:rsidR="005630B7">
        <w:rPr>
          <w:rFonts w:ascii="Cambria" w:eastAsia="Cambria" w:hAnsi="Cambria" w:cs="Cambria"/>
          <w:color w:val="000000"/>
        </w:rPr>
        <w:t>s</w:t>
      </w:r>
      <w:r w:rsidR="005630B7" w:rsidRPr="005630B7">
        <w:rPr>
          <w:rFonts w:ascii="Cambria" w:eastAsia="Cambria" w:hAnsi="Cambria" w:cs="Cambria"/>
          <w:color w:val="000000"/>
        </w:rPr>
        <w:t>ed. Consultation with a healthcare professional experienced in the treatment of hyperglyc</w:t>
      </w:r>
      <w:r w:rsidR="005630B7">
        <w:rPr>
          <w:rFonts w:ascii="Cambria" w:eastAsia="Cambria" w:hAnsi="Cambria" w:cs="Cambria"/>
          <w:color w:val="000000"/>
        </w:rPr>
        <w:t>a</w:t>
      </w:r>
      <w:r w:rsidR="005630B7" w:rsidRPr="005630B7">
        <w:rPr>
          <w:rFonts w:ascii="Cambria" w:eastAsia="Cambria" w:hAnsi="Cambria" w:cs="Cambria"/>
          <w:color w:val="000000"/>
        </w:rPr>
        <w:t xml:space="preserve">emia should be considered before initiating Itovebi. </w:t>
      </w:r>
    </w:p>
    <w:p w14:paraId="1D835D0C" w14:textId="77777777" w:rsidR="005972A9" w:rsidRDefault="004A79CA">
      <w:pPr>
        <w:pBdr>
          <w:top w:val="nil"/>
          <w:left w:val="nil"/>
          <w:bottom w:val="nil"/>
          <w:right w:val="nil"/>
          <w:between w:val="nil"/>
        </w:pBdr>
        <w:spacing w:after="250" w:line="280" w:lineRule="auto"/>
        <w:rPr>
          <w:rFonts w:ascii="Cambria" w:eastAsia="Cambria" w:hAnsi="Cambria" w:cs="Cambria"/>
          <w:color w:val="000000"/>
        </w:rPr>
      </w:pPr>
      <w:bookmarkStart w:id="7" w:name="_heading=h.1t3h5sf" w:colFirst="0" w:colLast="0"/>
      <w:bookmarkEnd w:id="7"/>
      <w:r>
        <w:rPr>
          <w:rFonts w:ascii="Cambria" w:eastAsia="Cambria" w:hAnsi="Cambria" w:cs="Cambria"/>
          <w:color w:val="000000"/>
        </w:rPr>
        <w:t xml:space="preserve">Before initiating treatment with </w:t>
      </w:r>
      <w:r w:rsidR="00DE29EE">
        <w:rPr>
          <w:rFonts w:ascii="Cambria" w:eastAsia="Cambria" w:hAnsi="Cambria" w:cs="Cambria"/>
          <w:color w:val="000000"/>
        </w:rPr>
        <w:t>Itovebi</w:t>
      </w:r>
      <w:r>
        <w:rPr>
          <w:rFonts w:ascii="Cambria" w:eastAsia="Cambria" w:hAnsi="Cambria" w:cs="Cambria"/>
          <w:color w:val="000000"/>
        </w:rPr>
        <w:t>, fasting glucose levels (FPG or FBG) and HbA</w:t>
      </w:r>
      <w:r>
        <w:rPr>
          <w:rFonts w:ascii="Cambria" w:eastAsia="Cambria" w:hAnsi="Cambria" w:cs="Cambria"/>
          <w:color w:val="000000"/>
          <w:vertAlign w:val="subscript"/>
        </w:rPr>
        <w:t>1C</w:t>
      </w:r>
      <w:r>
        <w:rPr>
          <w:rFonts w:ascii="Cambria" w:eastAsia="Cambria" w:hAnsi="Cambria" w:cs="Cambria"/>
          <w:color w:val="000000"/>
        </w:rPr>
        <w:t xml:space="preserve"> levels should be tested, and fasting glucose levels should be optimised in all patients.</w:t>
      </w:r>
      <w:r>
        <w:rPr>
          <w:rFonts w:ascii="Cambria" w:eastAsia="Cambria" w:hAnsi="Cambria" w:cs="Cambria"/>
          <w:b/>
          <w:color w:val="548DD4"/>
        </w:rPr>
        <w:t xml:space="preserve"> </w:t>
      </w:r>
      <w:r>
        <w:rPr>
          <w:rFonts w:ascii="Cambria" w:eastAsia="Cambria" w:hAnsi="Cambria" w:cs="Cambria"/>
          <w:color w:val="000000"/>
        </w:rPr>
        <w:t xml:space="preserve">Patients should also be advised of the signs and symptoms of hyperglycaemia (e.g., excessive thirst, urinating </w:t>
      </w:r>
      <w:r>
        <w:rPr>
          <w:rFonts w:ascii="Cambria" w:eastAsia="Cambria" w:hAnsi="Cambria" w:cs="Cambria"/>
          <w:color w:val="000000"/>
        </w:rPr>
        <w:lastRenderedPageBreak/>
        <w:t xml:space="preserve">more often, blurred vision, mental confusion, difficulty breathing, or increased appetite with weight loss) and to immediately contact a healthcare professional if these symptoms occur. Optimal hydration should be maintained prior to and during treatment. </w:t>
      </w:r>
    </w:p>
    <w:p w14:paraId="539556FF" w14:textId="77777777" w:rsidR="005972A9" w:rsidRDefault="004A79CA">
      <w:pPr>
        <w:pBdr>
          <w:top w:val="nil"/>
          <w:left w:val="nil"/>
          <w:bottom w:val="nil"/>
          <w:right w:val="nil"/>
          <w:between w:val="nil"/>
        </w:pBdr>
        <w:spacing w:after="250" w:line="280" w:lineRule="auto"/>
        <w:rPr>
          <w:rFonts w:ascii="Cambria" w:eastAsia="Cambria" w:hAnsi="Cambria" w:cs="Cambria"/>
          <w:color w:val="000000"/>
        </w:rPr>
      </w:pPr>
      <w:r>
        <w:rPr>
          <w:rFonts w:ascii="Cambria" w:eastAsia="Cambria" w:hAnsi="Cambria" w:cs="Cambria"/>
          <w:color w:val="000000"/>
        </w:rPr>
        <w:t xml:space="preserve">After initiating treatment with </w:t>
      </w:r>
      <w:r w:rsidR="00DE29EE">
        <w:rPr>
          <w:rFonts w:ascii="Cambria" w:eastAsia="Cambria" w:hAnsi="Cambria" w:cs="Cambria"/>
          <w:color w:val="000000"/>
        </w:rPr>
        <w:t>Itovebi</w:t>
      </w:r>
      <w:r>
        <w:rPr>
          <w:rFonts w:ascii="Cambria" w:eastAsia="Cambria" w:hAnsi="Cambria" w:cs="Cambria"/>
          <w:color w:val="000000"/>
        </w:rPr>
        <w:t>, fasting glucose levels should be monitored or self-monitored once every 3 days for the first week (Day 1 to 7), then once every week for the next 3 weeks (Day 8 to 28), then once every 2 weeks for the next 8 weeks, then once every 4 weeks thereafter, and as clinically indicated. HbA</w:t>
      </w:r>
      <w:r>
        <w:rPr>
          <w:rFonts w:ascii="Cambria" w:eastAsia="Cambria" w:hAnsi="Cambria" w:cs="Cambria"/>
          <w:color w:val="000000"/>
          <w:vertAlign w:val="subscript"/>
        </w:rPr>
        <w:t>1C</w:t>
      </w:r>
      <w:r>
        <w:rPr>
          <w:rFonts w:ascii="Cambria" w:eastAsia="Cambria" w:hAnsi="Cambria" w:cs="Cambria"/>
          <w:color w:val="000000"/>
        </w:rPr>
        <w:t xml:space="preserve"> should be monitored every 3 months and as clinically indicated,</w:t>
      </w:r>
      <w:r>
        <w:rPr>
          <w:rFonts w:ascii="Cambria" w:eastAsia="Cambria" w:hAnsi="Cambria" w:cs="Cambria"/>
          <w:color w:val="FF0000"/>
        </w:rPr>
        <w:t xml:space="preserve"> </w:t>
      </w:r>
      <w:r>
        <w:rPr>
          <w:rFonts w:ascii="Cambria" w:eastAsia="Cambria" w:hAnsi="Cambria" w:cs="Cambria"/>
          <w:color w:val="000000"/>
        </w:rPr>
        <w:t>according to the instructions of a healthcare professional.</w:t>
      </w:r>
    </w:p>
    <w:p w14:paraId="233752F9" w14:textId="75C50878" w:rsidR="005972A9" w:rsidRDefault="004A79CA">
      <w:pPr>
        <w:pBdr>
          <w:top w:val="nil"/>
          <w:left w:val="nil"/>
          <w:bottom w:val="nil"/>
          <w:right w:val="nil"/>
          <w:between w:val="nil"/>
        </w:pBdr>
        <w:spacing w:after="250"/>
        <w:rPr>
          <w:rFonts w:ascii="Cambria" w:eastAsia="Cambria" w:hAnsi="Cambria" w:cs="Cambria"/>
          <w:color w:val="000000"/>
        </w:rPr>
      </w:pPr>
      <w:bookmarkStart w:id="8" w:name="_heading=h.4d34og8" w:colFirst="0" w:colLast="0"/>
      <w:bookmarkEnd w:id="8"/>
      <w:r>
        <w:rPr>
          <w:rFonts w:ascii="Cambria" w:eastAsia="Cambria" w:hAnsi="Cambria" w:cs="Cambria"/>
          <w:color w:val="000000"/>
        </w:rPr>
        <w:t>In patients with risk factors for hyperglycaemia including, but not limited to, (pre)diabetes, HbA</w:t>
      </w:r>
      <w:r>
        <w:rPr>
          <w:rFonts w:ascii="Cambria" w:eastAsia="Cambria" w:hAnsi="Cambria" w:cs="Cambria"/>
          <w:color w:val="000000"/>
          <w:vertAlign w:val="subscript"/>
        </w:rPr>
        <w:t>1C</w:t>
      </w:r>
      <w:r>
        <w:rPr>
          <w:rFonts w:ascii="Cambria" w:eastAsia="Cambria" w:hAnsi="Cambria" w:cs="Cambria"/>
          <w:color w:val="000000"/>
        </w:rPr>
        <w:t xml:space="preserve"> ≥ 5.7%, BMI ≥ 30 kg/m</w:t>
      </w:r>
      <w:r>
        <w:rPr>
          <w:rFonts w:ascii="Cambria" w:eastAsia="Cambria" w:hAnsi="Cambria" w:cs="Cambria"/>
          <w:color w:val="000000"/>
          <w:vertAlign w:val="superscript"/>
        </w:rPr>
        <w:t>2</w:t>
      </w:r>
      <w:r>
        <w:rPr>
          <w:rFonts w:ascii="Cambria" w:eastAsia="Cambria" w:hAnsi="Cambria" w:cs="Cambria"/>
          <w:color w:val="000000"/>
        </w:rPr>
        <w:t xml:space="preserve">, ≥ 45 years of age, history of gestational diabetes, and family history of diabetes mellitus, fasting glucose levels should be monitored or self-monitored </w:t>
      </w:r>
      <w:r w:rsidR="007A2117">
        <w:rPr>
          <w:rFonts w:ascii="Cambria" w:eastAsia="Cambria" w:hAnsi="Cambria" w:cs="Cambria"/>
          <w:color w:val="000000"/>
        </w:rPr>
        <w:t xml:space="preserve">more frequently </w:t>
      </w:r>
      <w:r>
        <w:rPr>
          <w:rFonts w:ascii="Cambria" w:eastAsia="Cambria" w:hAnsi="Cambria" w:cs="Cambria"/>
          <w:color w:val="000000"/>
        </w:rPr>
        <w:t xml:space="preserve">as clinically indicated. Anti-hyperglycaemic treatment should be initiated or adjusted as required (see section 4.2 </w:t>
      </w:r>
      <w:r w:rsidR="00E83483">
        <w:rPr>
          <w:rFonts w:ascii="Cambria" w:eastAsia="Cambria" w:hAnsi="Cambria" w:cs="Cambria"/>
          <w:color w:val="000000"/>
        </w:rPr>
        <w:t>Dose and Method of Administration</w:t>
      </w:r>
      <w:r>
        <w:rPr>
          <w:rFonts w:ascii="Cambria" w:eastAsia="Cambria" w:hAnsi="Cambria" w:cs="Cambria"/>
          <w:color w:val="000000"/>
        </w:rPr>
        <w:t xml:space="preserve"> –  Dose Modification).  Metformin prophylaxis was recommended for patients with risk factors for hyperglycaemia in the INAVO120 study.</w:t>
      </w:r>
    </w:p>
    <w:p w14:paraId="18B80E1B" w14:textId="31D89F38" w:rsidR="005972A9" w:rsidRDefault="004A79CA">
      <w:pPr>
        <w:pBdr>
          <w:top w:val="nil"/>
          <w:left w:val="nil"/>
          <w:bottom w:val="nil"/>
          <w:right w:val="nil"/>
          <w:between w:val="nil"/>
        </w:pBdr>
        <w:spacing w:after="250" w:line="280" w:lineRule="auto"/>
        <w:rPr>
          <w:rFonts w:ascii="Cambria" w:eastAsia="Cambria" w:hAnsi="Cambria" w:cs="Cambria"/>
          <w:color w:val="000000"/>
        </w:rPr>
      </w:pPr>
      <w:bookmarkStart w:id="9" w:name="_heading=h.2s8eyo1" w:colFirst="0" w:colLast="0"/>
      <w:bookmarkEnd w:id="9"/>
      <w:r>
        <w:rPr>
          <w:rFonts w:ascii="Cambria" w:eastAsia="Cambria" w:hAnsi="Cambria" w:cs="Cambria"/>
          <w:color w:val="000000"/>
        </w:rPr>
        <w:t xml:space="preserve">If a patient experiences hyperglycaemia after initiating treatment with </w:t>
      </w:r>
      <w:r w:rsidR="00DE29EE">
        <w:rPr>
          <w:rFonts w:ascii="Cambria" w:eastAsia="Cambria" w:hAnsi="Cambria" w:cs="Cambria"/>
          <w:color w:val="000000"/>
        </w:rPr>
        <w:t>Itovebi</w:t>
      </w:r>
      <w:r>
        <w:rPr>
          <w:rFonts w:ascii="Cambria" w:eastAsia="Cambria" w:hAnsi="Cambria" w:cs="Cambria"/>
          <w:color w:val="000000"/>
        </w:rPr>
        <w:t xml:space="preserve">, fasting glucose levels should be monitored more closely as clinically indicated. During treatment with anti-hyperglycaemic medication, fasting glucose levels should continue to be monitored at least once a week for 8 weeks, followed by once every 2 weeks, and as clinically indicated. </w:t>
      </w:r>
      <w:r w:rsidR="007A2117" w:rsidRPr="007A2117">
        <w:rPr>
          <w:rFonts w:ascii="Cambria" w:eastAsia="Cambria" w:hAnsi="Cambria" w:cs="Cambria"/>
          <w:color w:val="000000"/>
        </w:rPr>
        <w:t>Fasting glucose monitoring at home should be considered for patients who have risk factors for hyperglyc</w:t>
      </w:r>
      <w:r w:rsidR="007A2117">
        <w:rPr>
          <w:rFonts w:ascii="Cambria" w:eastAsia="Cambria" w:hAnsi="Cambria" w:cs="Cambria"/>
          <w:color w:val="000000"/>
        </w:rPr>
        <w:t>a</w:t>
      </w:r>
      <w:r w:rsidR="007A2117" w:rsidRPr="007A2117">
        <w:rPr>
          <w:rFonts w:ascii="Cambria" w:eastAsia="Cambria" w:hAnsi="Cambria" w:cs="Cambria"/>
          <w:color w:val="000000"/>
        </w:rPr>
        <w:t>emia or who experience hyperglyc</w:t>
      </w:r>
      <w:r w:rsidR="007A2117">
        <w:rPr>
          <w:rFonts w:ascii="Cambria" w:eastAsia="Cambria" w:hAnsi="Cambria" w:cs="Cambria"/>
          <w:color w:val="000000"/>
        </w:rPr>
        <w:t>a</w:t>
      </w:r>
      <w:r w:rsidR="007A2117" w:rsidRPr="007A2117">
        <w:rPr>
          <w:rFonts w:ascii="Cambria" w:eastAsia="Cambria" w:hAnsi="Cambria" w:cs="Cambria"/>
          <w:color w:val="000000"/>
        </w:rPr>
        <w:t>emia.</w:t>
      </w:r>
    </w:p>
    <w:p w14:paraId="2B00F071" w14:textId="46190C0E" w:rsidR="005972A9" w:rsidRDefault="004A79CA">
      <w:pPr>
        <w:pBdr>
          <w:top w:val="nil"/>
          <w:left w:val="nil"/>
          <w:bottom w:val="nil"/>
          <w:right w:val="nil"/>
          <w:between w:val="nil"/>
        </w:pBdr>
        <w:spacing w:after="250" w:line="280" w:lineRule="auto"/>
        <w:rPr>
          <w:rFonts w:ascii="Cambria" w:eastAsia="Cambria" w:hAnsi="Cambria" w:cs="Cambria"/>
          <w:color w:val="000000"/>
        </w:rPr>
      </w:pPr>
      <w:r>
        <w:rPr>
          <w:rFonts w:ascii="Cambria" w:eastAsia="Cambria" w:hAnsi="Cambria" w:cs="Cambria"/>
          <w:color w:val="000000"/>
        </w:rPr>
        <w:t>Based</w:t>
      </w:r>
      <w:r>
        <w:rPr>
          <w:rFonts w:ascii="Cambria" w:eastAsia="Cambria" w:hAnsi="Cambria" w:cs="Cambria"/>
          <w:b/>
          <w:color w:val="000000"/>
        </w:rPr>
        <w:t xml:space="preserve"> </w:t>
      </w:r>
      <w:r>
        <w:rPr>
          <w:rFonts w:ascii="Cambria" w:eastAsia="Cambria" w:hAnsi="Cambria" w:cs="Cambria"/>
          <w:color w:val="000000"/>
        </w:rPr>
        <w:t xml:space="preserve">on the severity of the hyperglycaemia, </w:t>
      </w:r>
      <w:r w:rsidR="00DE29EE">
        <w:rPr>
          <w:rFonts w:ascii="Cambria" w:eastAsia="Cambria" w:hAnsi="Cambria" w:cs="Cambria"/>
          <w:color w:val="000000"/>
          <w:highlight w:val="white"/>
        </w:rPr>
        <w:t>Itovebi</w:t>
      </w:r>
      <w:r>
        <w:rPr>
          <w:rFonts w:ascii="Cambria" w:eastAsia="Cambria" w:hAnsi="Cambria" w:cs="Cambria"/>
          <w:color w:val="000000"/>
          <w:highlight w:val="white"/>
        </w:rPr>
        <w:t xml:space="preserve"> </w:t>
      </w:r>
      <w:r>
        <w:rPr>
          <w:rFonts w:ascii="Cambria" w:eastAsia="Cambria" w:hAnsi="Cambria" w:cs="Cambria"/>
          <w:color w:val="000000"/>
        </w:rPr>
        <w:t xml:space="preserve">may require dose interruption, reduction, or discontinuation as described in  Table 2 (see section 4.2 </w:t>
      </w:r>
      <w:r w:rsidR="00E83483">
        <w:rPr>
          <w:rFonts w:ascii="Cambria" w:eastAsia="Cambria" w:hAnsi="Cambria" w:cs="Cambria"/>
          <w:color w:val="000000"/>
        </w:rPr>
        <w:t>Dose and Method of Administration</w:t>
      </w:r>
      <w:r>
        <w:rPr>
          <w:rFonts w:ascii="Cambria" w:eastAsia="Cambria" w:hAnsi="Cambria" w:cs="Cambria"/>
          <w:color w:val="000000"/>
        </w:rPr>
        <w:t xml:space="preserve"> –  Dose Modification). All patients should be instructed on lifestyle changes (e.g., dietary modifications, physical activity).</w:t>
      </w:r>
    </w:p>
    <w:p w14:paraId="47569C4D" w14:textId="70E5A282" w:rsidR="00446353" w:rsidRPr="00446353" w:rsidRDefault="00446353">
      <w:pPr>
        <w:pBdr>
          <w:top w:val="nil"/>
          <w:left w:val="nil"/>
          <w:bottom w:val="nil"/>
          <w:right w:val="nil"/>
          <w:between w:val="nil"/>
        </w:pBdr>
        <w:spacing w:after="250" w:line="280" w:lineRule="auto"/>
        <w:rPr>
          <w:rFonts w:ascii="Cambria" w:eastAsia="Cambria" w:hAnsi="Cambria" w:cs="Cambria"/>
          <w:color w:val="000000"/>
          <w:u w:val="single"/>
        </w:rPr>
      </w:pPr>
      <w:r w:rsidRPr="00446353">
        <w:rPr>
          <w:rFonts w:ascii="Cambria" w:eastAsia="Cambria" w:hAnsi="Cambria" w:cs="Cambria"/>
          <w:color w:val="000000"/>
          <w:u w:val="single"/>
        </w:rPr>
        <w:t>Stomatitis</w:t>
      </w:r>
    </w:p>
    <w:p w14:paraId="5BAE80E7" w14:textId="7837E6CA" w:rsidR="00446353" w:rsidRPr="00446353" w:rsidRDefault="00446353" w:rsidP="00446353">
      <w:pPr>
        <w:pBdr>
          <w:top w:val="nil"/>
          <w:left w:val="nil"/>
          <w:bottom w:val="nil"/>
          <w:right w:val="nil"/>
          <w:between w:val="nil"/>
        </w:pBdr>
        <w:spacing w:after="250" w:line="280" w:lineRule="auto"/>
        <w:rPr>
          <w:rFonts w:ascii="Cambria" w:eastAsia="Cambria" w:hAnsi="Cambria" w:cs="Cambria"/>
          <w:color w:val="000000"/>
        </w:rPr>
      </w:pPr>
      <w:r w:rsidRPr="00446353">
        <w:rPr>
          <w:rFonts w:ascii="Cambria" w:eastAsia="Cambria" w:hAnsi="Cambria" w:cs="Cambria"/>
          <w:color w:val="000000"/>
        </w:rPr>
        <w:t>Severe stomatitis can occur in patients treated with I</w:t>
      </w:r>
      <w:r>
        <w:rPr>
          <w:rFonts w:ascii="Cambria" w:eastAsia="Cambria" w:hAnsi="Cambria" w:cs="Cambria"/>
          <w:color w:val="000000"/>
        </w:rPr>
        <w:t>tovebi</w:t>
      </w:r>
      <w:r w:rsidRPr="00446353">
        <w:rPr>
          <w:rFonts w:ascii="Cambria" w:eastAsia="Cambria" w:hAnsi="Cambria" w:cs="Cambria"/>
          <w:color w:val="000000"/>
        </w:rPr>
        <w:t>.</w:t>
      </w:r>
    </w:p>
    <w:p w14:paraId="50940A43" w14:textId="5720738D" w:rsidR="00446353" w:rsidRPr="00446353" w:rsidRDefault="00446353" w:rsidP="00446353">
      <w:pPr>
        <w:pBdr>
          <w:top w:val="nil"/>
          <w:left w:val="nil"/>
          <w:bottom w:val="nil"/>
          <w:right w:val="nil"/>
          <w:between w:val="nil"/>
        </w:pBdr>
        <w:spacing w:after="250" w:line="280" w:lineRule="auto"/>
        <w:rPr>
          <w:rFonts w:ascii="Cambria" w:eastAsia="Cambria" w:hAnsi="Cambria" w:cs="Cambria"/>
          <w:color w:val="000000"/>
        </w:rPr>
      </w:pPr>
      <w:r w:rsidRPr="00446353">
        <w:rPr>
          <w:rFonts w:ascii="Cambria" w:eastAsia="Cambria" w:hAnsi="Cambria" w:cs="Cambria"/>
          <w:color w:val="000000"/>
        </w:rPr>
        <w:t>Stomatitis occurred in 51% of patients treated with I</w:t>
      </w:r>
      <w:r>
        <w:rPr>
          <w:rFonts w:ascii="Cambria" w:eastAsia="Cambria" w:hAnsi="Cambria" w:cs="Cambria"/>
          <w:color w:val="000000"/>
        </w:rPr>
        <w:t>tovebi</w:t>
      </w:r>
      <w:r w:rsidRPr="00446353">
        <w:rPr>
          <w:rFonts w:ascii="Cambria" w:eastAsia="Cambria" w:hAnsi="Cambria" w:cs="Cambria"/>
          <w:color w:val="000000"/>
        </w:rPr>
        <w:t xml:space="preserve"> in combination with palbociclib and fulvestrant, including Grade 3 events in 6% of patients. The median time to first onset was 13 days (range: 1 to 610 days).</w:t>
      </w:r>
    </w:p>
    <w:p w14:paraId="5A5A9F34" w14:textId="0D487835" w:rsidR="00446353" w:rsidRPr="00446353" w:rsidRDefault="00446353" w:rsidP="00446353">
      <w:pPr>
        <w:pBdr>
          <w:top w:val="nil"/>
          <w:left w:val="nil"/>
          <w:bottom w:val="nil"/>
          <w:right w:val="nil"/>
          <w:between w:val="nil"/>
        </w:pBdr>
        <w:spacing w:after="250" w:line="280" w:lineRule="auto"/>
        <w:rPr>
          <w:rFonts w:ascii="Cambria" w:eastAsia="Cambria" w:hAnsi="Cambria" w:cs="Cambria"/>
          <w:color w:val="000000"/>
        </w:rPr>
      </w:pPr>
      <w:r w:rsidRPr="00446353">
        <w:rPr>
          <w:rFonts w:ascii="Cambria" w:eastAsia="Cambria" w:hAnsi="Cambria" w:cs="Cambria"/>
          <w:color w:val="000000"/>
        </w:rPr>
        <w:t>Stomatitis led to interruption of I</w:t>
      </w:r>
      <w:r>
        <w:rPr>
          <w:rFonts w:ascii="Cambria" w:eastAsia="Cambria" w:hAnsi="Cambria" w:cs="Cambria"/>
          <w:color w:val="000000"/>
        </w:rPr>
        <w:t>tovebi</w:t>
      </w:r>
      <w:r w:rsidRPr="00446353">
        <w:rPr>
          <w:rFonts w:ascii="Cambria" w:eastAsia="Cambria" w:hAnsi="Cambria" w:cs="Cambria"/>
          <w:color w:val="000000"/>
        </w:rPr>
        <w:t xml:space="preserve"> in 10%, to dose reduction in 3.7%, and to </w:t>
      </w:r>
      <w:r>
        <w:rPr>
          <w:rFonts w:ascii="Cambria" w:eastAsia="Cambria" w:hAnsi="Cambria" w:cs="Cambria"/>
          <w:color w:val="000000"/>
        </w:rPr>
        <w:t>d</w:t>
      </w:r>
      <w:r w:rsidRPr="00446353">
        <w:rPr>
          <w:rFonts w:ascii="Cambria" w:eastAsia="Cambria" w:hAnsi="Cambria" w:cs="Cambria"/>
          <w:color w:val="000000"/>
        </w:rPr>
        <w:t>iscontinuation of I</w:t>
      </w:r>
      <w:r>
        <w:rPr>
          <w:rFonts w:ascii="Cambria" w:eastAsia="Cambria" w:hAnsi="Cambria" w:cs="Cambria"/>
          <w:color w:val="000000"/>
        </w:rPr>
        <w:t>tovebi</w:t>
      </w:r>
      <w:r w:rsidRPr="00446353">
        <w:rPr>
          <w:rFonts w:ascii="Cambria" w:eastAsia="Cambria" w:hAnsi="Cambria" w:cs="Cambria"/>
          <w:color w:val="000000"/>
        </w:rPr>
        <w:t xml:space="preserve"> in 0.6% of patients.</w:t>
      </w:r>
    </w:p>
    <w:p w14:paraId="619A7930" w14:textId="1F0B1FF7" w:rsidR="00446353" w:rsidRPr="00446353" w:rsidRDefault="000D50B4" w:rsidP="00446353">
      <w:pPr>
        <w:pBdr>
          <w:top w:val="nil"/>
          <w:left w:val="nil"/>
          <w:bottom w:val="nil"/>
          <w:right w:val="nil"/>
          <w:between w:val="nil"/>
        </w:pBdr>
        <w:spacing w:after="250" w:line="280" w:lineRule="auto"/>
        <w:rPr>
          <w:rFonts w:ascii="Cambria" w:eastAsia="Cambria" w:hAnsi="Cambria" w:cs="Cambria"/>
          <w:color w:val="000000"/>
        </w:rPr>
      </w:pPr>
      <w:r w:rsidRPr="000D50B4">
        <w:rPr>
          <w:rFonts w:ascii="Cambria" w:eastAsia="Cambria" w:hAnsi="Cambria" w:cs="Cambria"/>
          <w:color w:val="000000"/>
        </w:rPr>
        <w:t>Corticosteroid mouthwash was recommended for prophylaxis of stomatitis for all patients in clinical studies.</w:t>
      </w:r>
      <w:r>
        <w:rPr>
          <w:rFonts w:ascii="Cambria" w:eastAsia="Cambria" w:hAnsi="Cambria" w:cs="Cambria"/>
          <w:color w:val="000000"/>
        </w:rPr>
        <w:t xml:space="preserve"> </w:t>
      </w:r>
      <w:r w:rsidR="00446353" w:rsidRPr="00446353">
        <w:rPr>
          <w:rFonts w:ascii="Cambria" w:eastAsia="Cambria" w:hAnsi="Cambria" w:cs="Cambria"/>
          <w:color w:val="000000"/>
        </w:rPr>
        <w:t>In patients who received I</w:t>
      </w:r>
      <w:r w:rsidR="00446353">
        <w:rPr>
          <w:rFonts w:ascii="Cambria" w:eastAsia="Cambria" w:hAnsi="Cambria" w:cs="Cambria"/>
          <w:color w:val="000000"/>
        </w:rPr>
        <w:t>tovebi</w:t>
      </w:r>
      <w:r w:rsidR="00446353" w:rsidRPr="00446353">
        <w:rPr>
          <w:rFonts w:ascii="Cambria" w:eastAsia="Cambria" w:hAnsi="Cambria" w:cs="Cambria"/>
          <w:color w:val="000000"/>
        </w:rPr>
        <w:t xml:space="preserve"> in combination with palbociclib and </w:t>
      </w:r>
      <w:r w:rsidR="00446353" w:rsidRPr="00446353">
        <w:rPr>
          <w:rFonts w:ascii="Cambria" w:eastAsia="Cambria" w:hAnsi="Cambria" w:cs="Cambria"/>
          <w:color w:val="000000"/>
        </w:rPr>
        <w:lastRenderedPageBreak/>
        <w:t>fulvestrant, 38% used a mouthwash containing corticosteroid for management or prophylaxis of stomatitis.</w:t>
      </w:r>
      <w:r>
        <w:rPr>
          <w:rFonts w:ascii="Cambria" w:eastAsia="Cambria" w:hAnsi="Cambria" w:cs="Cambria"/>
          <w:color w:val="000000"/>
        </w:rPr>
        <w:t xml:space="preserve"> </w:t>
      </w:r>
    </w:p>
    <w:p w14:paraId="7C2374FB" w14:textId="63E08FC4" w:rsidR="000D50B4" w:rsidRDefault="000D50B4" w:rsidP="00446353">
      <w:pPr>
        <w:pBdr>
          <w:top w:val="nil"/>
          <w:left w:val="nil"/>
          <w:bottom w:val="nil"/>
          <w:right w:val="nil"/>
          <w:between w:val="nil"/>
        </w:pBdr>
        <w:spacing w:after="250" w:line="280" w:lineRule="auto"/>
        <w:rPr>
          <w:rFonts w:ascii="Cambria" w:eastAsia="Cambria" w:hAnsi="Cambria" w:cs="Cambria"/>
          <w:color w:val="000000"/>
        </w:rPr>
      </w:pPr>
      <w:r w:rsidRPr="000D50B4">
        <w:rPr>
          <w:rFonts w:ascii="Cambria" w:eastAsia="Cambria" w:hAnsi="Cambria" w:cs="Cambria"/>
          <w:color w:val="000000"/>
        </w:rPr>
        <w:t xml:space="preserve">Patients should be advised to start alcohol-free corticosteroid mouthwash at the first sign of stomatitis and to avoid alcohol- or peroxide-containing mouthwashes as they may exacerbate the condition (see section </w:t>
      </w:r>
      <w:r>
        <w:rPr>
          <w:rFonts w:ascii="Cambria" w:eastAsia="Cambria" w:hAnsi="Cambria" w:cs="Cambria"/>
          <w:color w:val="000000"/>
        </w:rPr>
        <w:t>4.8 Adverse Effects (Undesirable Effects) -</w:t>
      </w:r>
      <w:r w:rsidRPr="000D50B4">
        <w:rPr>
          <w:rFonts w:ascii="Cambria" w:eastAsia="Cambria" w:hAnsi="Cambria" w:cs="Cambria"/>
          <w:color w:val="000000"/>
        </w:rPr>
        <w:t xml:space="preserve"> Description of selected adverse</w:t>
      </w:r>
      <w:r w:rsidR="00CF5D01">
        <w:rPr>
          <w:rFonts w:ascii="Cambria" w:eastAsia="Cambria" w:hAnsi="Cambria" w:cs="Cambria"/>
          <w:color w:val="000000"/>
        </w:rPr>
        <w:t xml:space="preserve"> drug</w:t>
      </w:r>
      <w:r w:rsidRPr="000D50B4">
        <w:rPr>
          <w:rFonts w:ascii="Cambria" w:eastAsia="Cambria" w:hAnsi="Cambria" w:cs="Cambria"/>
          <w:color w:val="000000"/>
        </w:rPr>
        <w:t xml:space="preserve"> reactions). Dietary modifications (e.g., avoiding spicy foods) should be considered.</w:t>
      </w:r>
    </w:p>
    <w:p w14:paraId="36E6899C" w14:textId="0EA8D23C" w:rsidR="00446353" w:rsidRPr="00446353" w:rsidRDefault="00446353" w:rsidP="00446353">
      <w:pPr>
        <w:pBdr>
          <w:top w:val="nil"/>
          <w:left w:val="nil"/>
          <w:bottom w:val="nil"/>
          <w:right w:val="nil"/>
          <w:between w:val="nil"/>
        </w:pBdr>
        <w:spacing w:after="250" w:line="280" w:lineRule="auto"/>
        <w:rPr>
          <w:rFonts w:ascii="Cambria" w:eastAsia="Cambria" w:hAnsi="Cambria" w:cs="Cambria"/>
          <w:color w:val="000000"/>
        </w:rPr>
      </w:pPr>
      <w:r w:rsidRPr="00446353">
        <w:rPr>
          <w:rFonts w:ascii="Cambria" w:eastAsia="Cambria" w:hAnsi="Cambria" w:cs="Cambria"/>
          <w:color w:val="000000"/>
        </w:rPr>
        <w:t>Monitor patients for signs and symptoms of stomatitis. Withhold, reduce dose, or permanently discontinue I</w:t>
      </w:r>
      <w:r>
        <w:rPr>
          <w:rFonts w:ascii="Cambria" w:eastAsia="Cambria" w:hAnsi="Cambria" w:cs="Cambria"/>
          <w:color w:val="000000"/>
        </w:rPr>
        <w:t>tovebi</w:t>
      </w:r>
      <w:r w:rsidRPr="00446353">
        <w:rPr>
          <w:rFonts w:ascii="Cambria" w:eastAsia="Cambria" w:hAnsi="Cambria" w:cs="Cambria"/>
          <w:color w:val="000000"/>
        </w:rPr>
        <w:t xml:space="preserve"> based on severity </w:t>
      </w:r>
      <w:r>
        <w:rPr>
          <w:rFonts w:ascii="Cambria" w:eastAsia="Cambria" w:hAnsi="Cambria" w:cs="Cambria"/>
          <w:color w:val="000000"/>
        </w:rPr>
        <w:t xml:space="preserve">(see section 4.2 </w:t>
      </w:r>
      <w:r w:rsidR="00E83483">
        <w:rPr>
          <w:rFonts w:ascii="Cambria" w:eastAsia="Cambria" w:hAnsi="Cambria" w:cs="Cambria"/>
          <w:color w:val="000000"/>
        </w:rPr>
        <w:t>Dose and Method of Administration</w:t>
      </w:r>
      <w:r>
        <w:rPr>
          <w:rFonts w:ascii="Cambria" w:eastAsia="Cambria" w:hAnsi="Cambria" w:cs="Cambria"/>
          <w:color w:val="000000"/>
        </w:rPr>
        <w:t xml:space="preserve"> –  Dose Modification)</w:t>
      </w:r>
      <w:r w:rsidRPr="00446353">
        <w:rPr>
          <w:rFonts w:ascii="Cambria" w:eastAsia="Cambria" w:hAnsi="Cambria" w:cs="Cambria"/>
          <w:color w:val="000000"/>
        </w:rPr>
        <w:t>.</w:t>
      </w:r>
    </w:p>
    <w:p w14:paraId="06529EB5" w14:textId="532AFA31" w:rsidR="00446353" w:rsidRPr="000B1021" w:rsidRDefault="00446353">
      <w:pPr>
        <w:pBdr>
          <w:top w:val="nil"/>
          <w:left w:val="nil"/>
          <w:bottom w:val="nil"/>
          <w:right w:val="nil"/>
          <w:between w:val="nil"/>
        </w:pBdr>
        <w:spacing w:after="250" w:line="280" w:lineRule="auto"/>
        <w:rPr>
          <w:rFonts w:ascii="Cambria" w:eastAsia="Cambria" w:hAnsi="Cambria" w:cs="Cambria"/>
          <w:u w:val="single"/>
        </w:rPr>
      </w:pPr>
      <w:r w:rsidRPr="000B1021">
        <w:rPr>
          <w:rFonts w:ascii="Cambria" w:eastAsia="Cambria" w:hAnsi="Cambria" w:cs="Cambria"/>
          <w:u w:val="single"/>
        </w:rPr>
        <w:t>Diarrhoea</w:t>
      </w:r>
    </w:p>
    <w:p w14:paraId="2C50333E" w14:textId="73B730EB" w:rsidR="00446353" w:rsidRPr="000B1021" w:rsidRDefault="00446353" w:rsidP="00446353">
      <w:pPr>
        <w:pBdr>
          <w:top w:val="nil"/>
          <w:left w:val="nil"/>
          <w:bottom w:val="nil"/>
          <w:right w:val="nil"/>
          <w:between w:val="nil"/>
        </w:pBdr>
        <w:spacing w:after="250" w:line="280" w:lineRule="auto"/>
        <w:rPr>
          <w:rFonts w:ascii="Cambria" w:eastAsia="Cambria" w:hAnsi="Cambria" w:cs="Cambria"/>
          <w:bCs/>
        </w:rPr>
      </w:pPr>
      <w:r w:rsidRPr="000B1021">
        <w:rPr>
          <w:rFonts w:ascii="Cambria" w:eastAsia="Cambria" w:hAnsi="Cambria" w:cs="Cambria"/>
          <w:bCs/>
        </w:rPr>
        <w:t xml:space="preserve">Severe diarrhoea, including dehydration and acute kidney injury, can occur in patients treated with </w:t>
      </w:r>
      <w:r w:rsidRPr="000B1021">
        <w:rPr>
          <w:rFonts w:ascii="Cambria" w:eastAsia="Cambria" w:hAnsi="Cambria" w:cs="Cambria"/>
        </w:rPr>
        <w:t>Itovebi</w:t>
      </w:r>
      <w:r w:rsidRPr="000B1021">
        <w:rPr>
          <w:rFonts w:ascii="Cambria" w:eastAsia="Cambria" w:hAnsi="Cambria" w:cs="Cambria"/>
          <w:bCs/>
        </w:rPr>
        <w:t>.</w:t>
      </w:r>
    </w:p>
    <w:p w14:paraId="1BCAAEBD" w14:textId="484519D9" w:rsidR="00446353" w:rsidRPr="000B1021" w:rsidRDefault="00446353" w:rsidP="00446353">
      <w:pPr>
        <w:pBdr>
          <w:top w:val="nil"/>
          <w:left w:val="nil"/>
          <w:bottom w:val="nil"/>
          <w:right w:val="nil"/>
          <w:between w:val="nil"/>
        </w:pBdr>
        <w:spacing w:after="250" w:line="280" w:lineRule="auto"/>
        <w:rPr>
          <w:rFonts w:ascii="Cambria" w:eastAsia="Cambria" w:hAnsi="Cambria" w:cs="Cambria"/>
          <w:bCs/>
        </w:rPr>
      </w:pPr>
      <w:r w:rsidRPr="000B1021">
        <w:rPr>
          <w:rFonts w:ascii="Cambria" w:eastAsia="Cambria" w:hAnsi="Cambria" w:cs="Cambria"/>
          <w:bCs/>
        </w:rPr>
        <w:t xml:space="preserve">Diarrhoea occurred in 48% of patients treated with </w:t>
      </w:r>
      <w:r w:rsidRPr="000B1021">
        <w:rPr>
          <w:rFonts w:ascii="Cambria" w:eastAsia="Cambria" w:hAnsi="Cambria" w:cs="Cambria"/>
        </w:rPr>
        <w:t>Itovebi</w:t>
      </w:r>
      <w:r w:rsidRPr="000B1021">
        <w:rPr>
          <w:rFonts w:ascii="Cambria" w:eastAsia="Cambria" w:hAnsi="Cambria" w:cs="Cambria"/>
          <w:bCs/>
        </w:rPr>
        <w:t xml:space="preserve"> in combination with palbociclib and fulvestrant, including Grade 3 events in 3.7% of patients. The median time to first onset was 15 days (range: 2 to 602 days). Anti-diarrhoeal medicines were used in 28% (46/162) of patients who received </w:t>
      </w:r>
      <w:r w:rsidRPr="000B1021">
        <w:rPr>
          <w:rFonts w:ascii="Cambria" w:eastAsia="Cambria" w:hAnsi="Cambria" w:cs="Cambria"/>
        </w:rPr>
        <w:t>Itovebi</w:t>
      </w:r>
      <w:r w:rsidRPr="000B1021">
        <w:rPr>
          <w:rFonts w:ascii="Cambria" w:eastAsia="Cambria" w:hAnsi="Cambria" w:cs="Cambria"/>
          <w:bCs/>
        </w:rPr>
        <w:t xml:space="preserve"> in combination with palbociclib and fulvestrant to manage symptoms. Dose interruptions were required in 7% of patients, and dose reductions occurred in 1.2% of patients.</w:t>
      </w:r>
    </w:p>
    <w:p w14:paraId="4C307E47" w14:textId="77495D5F" w:rsidR="00446353" w:rsidRPr="000B1021" w:rsidRDefault="00446353" w:rsidP="00446353">
      <w:pPr>
        <w:pBdr>
          <w:top w:val="nil"/>
          <w:left w:val="nil"/>
          <w:bottom w:val="nil"/>
          <w:right w:val="nil"/>
          <w:between w:val="nil"/>
        </w:pBdr>
        <w:spacing w:after="250" w:line="280" w:lineRule="auto"/>
        <w:rPr>
          <w:rFonts w:ascii="Cambria" w:eastAsia="Cambria" w:hAnsi="Cambria" w:cs="Cambria"/>
          <w:bCs/>
        </w:rPr>
      </w:pPr>
      <w:r w:rsidRPr="000B1021">
        <w:rPr>
          <w:rFonts w:ascii="Cambria" w:eastAsia="Cambria" w:hAnsi="Cambria" w:cs="Cambria"/>
          <w:bCs/>
        </w:rPr>
        <w:t xml:space="preserve">Monitor patients for signs and symptoms of diarrhoea. Advise patients to increase oral fluids and start anti-diarrhoeal treatment at the first sign of diarrhoea while taking </w:t>
      </w:r>
      <w:r w:rsidRPr="000B1021">
        <w:rPr>
          <w:rFonts w:ascii="Cambria" w:eastAsia="Cambria" w:hAnsi="Cambria" w:cs="Cambria"/>
        </w:rPr>
        <w:t>Itovebi</w:t>
      </w:r>
      <w:r w:rsidRPr="000B1021">
        <w:rPr>
          <w:rFonts w:ascii="Cambria" w:eastAsia="Cambria" w:hAnsi="Cambria" w:cs="Cambria"/>
          <w:bCs/>
        </w:rPr>
        <w:t xml:space="preserve">. Withhold, reduce dose, or permanently discontinue </w:t>
      </w:r>
      <w:r w:rsidRPr="000B1021">
        <w:rPr>
          <w:rFonts w:ascii="Cambria" w:eastAsia="Cambria" w:hAnsi="Cambria" w:cs="Cambria"/>
        </w:rPr>
        <w:t>Itovebi</w:t>
      </w:r>
      <w:r w:rsidRPr="000B1021">
        <w:rPr>
          <w:rFonts w:ascii="Cambria" w:eastAsia="Cambria" w:hAnsi="Cambria" w:cs="Cambria"/>
          <w:bCs/>
        </w:rPr>
        <w:t xml:space="preserve"> based on severity </w:t>
      </w:r>
      <w:r w:rsidRPr="000B1021">
        <w:rPr>
          <w:rFonts w:ascii="Cambria" w:eastAsia="Cambria" w:hAnsi="Cambria" w:cs="Cambria"/>
        </w:rPr>
        <w:t xml:space="preserve">(see section 4.2 Dose and </w:t>
      </w:r>
      <w:r w:rsidR="00E83483" w:rsidRPr="000B1021">
        <w:rPr>
          <w:rFonts w:ascii="Cambria" w:eastAsia="Cambria" w:hAnsi="Cambria" w:cs="Cambria"/>
        </w:rPr>
        <w:t>M</w:t>
      </w:r>
      <w:r w:rsidRPr="000B1021">
        <w:rPr>
          <w:rFonts w:ascii="Cambria" w:eastAsia="Cambria" w:hAnsi="Cambria" w:cs="Cambria"/>
        </w:rPr>
        <w:t xml:space="preserve">ethod of </w:t>
      </w:r>
      <w:r w:rsidR="00E83483" w:rsidRPr="000B1021">
        <w:rPr>
          <w:rFonts w:ascii="Cambria" w:eastAsia="Cambria" w:hAnsi="Cambria" w:cs="Cambria"/>
        </w:rPr>
        <w:t>A</w:t>
      </w:r>
      <w:r w:rsidRPr="000B1021">
        <w:rPr>
          <w:rFonts w:ascii="Cambria" w:eastAsia="Cambria" w:hAnsi="Cambria" w:cs="Cambria"/>
        </w:rPr>
        <w:t>dministration –  Dose Modification)</w:t>
      </w:r>
      <w:r w:rsidRPr="000B1021">
        <w:rPr>
          <w:rFonts w:ascii="Cambria" w:eastAsia="Cambria" w:hAnsi="Cambria" w:cs="Cambria"/>
          <w:bCs/>
        </w:rPr>
        <w:t>.</w:t>
      </w:r>
    </w:p>
    <w:p w14:paraId="5E14E256" w14:textId="77777777" w:rsidR="005972A9" w:rsidRDefault="004A79CA" w:rsidP="000B1021">
      <w:pPr>
        <w:keepNext/>
        <w:rPr>
          <w:rFonts w:ascii="Cambria" w:eastAsia="Cambria" w:hAnsi="Cambria" w:cs="Cambria"/>
          <w:u w:val="single"/>
        </w:rPr>
      </w:pPr>
      <w:r>
        <w:rPr>
          <w:rFonts w:ascii="Cambria" w:eastAsia="Cambria" w:hAnsi="Cambria" w:cs="Cambria"/>
          <w:u w:val="single"/>
        </w:rPr>
        <w:t>Embryo</w:t>
      </w:r>
      <w:r w:rsidR="00F5400A">
        <w:rPr>
          <w:rFonts w:ascii="Cambria" w:eastAsia="Cambria" w:hAnsi="Cambria" w:cs="Cambria"/>
          <w:u w:val="single"/>
        </w:rPr>
        <w:t>f</w:t>
      </w:r>
      <w:r>
        <w:rPr>
          <w:rFonts w:ascii="Cambria" w:eastAsia="Cambria" w:hAnsi="Cambria" w:cs="Cambria"/>
          <w:u w:val="single"/>
        </w:rPr>
        <w:t xml:space="preserve">etal Toxicity  </w:t>
      </w:r>
      <w:r w:rsidR="00590E74">
        <w:rPr>
          <w:rFonts w:ascii="Cambria" w:eastAsia="Cambria" w:hAnsi="Cambria" w:cs="Cambria"/>
        </w:rPr>
        <w:t xml:space="preserve"> </w:t>
      </w:r>
    </w:p>
    <w:p w14:paraId="623BDB6D" w14:textId="44A48606" w:rsidR="005972A9" w:rsidRDefault="004A79CA">
      <w:pPr>
        <w:pBdr>
          <w:top w:val="nil"/>
          <w:left w:val="nil"/>
          <w:bottom w:val="nil"/>
          <w:right w:val="nil"/>
          <w:between w:val="nil"/>
        </w:pBdr>
        <w:spacing w:after="250" w:line="280" w:lineRule="auto"/>
        <w:rPr>
          <w:rFonts w:ascii="Cambria" w:eastAsia="Cambria" w:hAnsi="Cambria" w:cs="Cambria"/>
          <w:color w:val="000000"/>
        </w:rPr>
      </w:pPr>
      <w:bookmarkStart w:id="10" w:name="_heading=h.17dp8vu" w:colFirst="0" w:colLast="0"/>
      <w:bookmarkEnd w:id="10"/>
      <w:r>
        <w:rPr>
          <w:rFonts w:ascii="Cambria" w:eastAsia="Cambria" w:hAnsi="Cambria" w:cs="Cambria"/>
          <w:color w:val="000000"/>
        </w:rPr>
        <w:t xml:space="preserve">Based on the animal studies and pharmacological activity of inavolisib, </w:t>
      </w:r>
      <w:r w:rsidR="00DE29EE">
        <w:rPr>
          <w:rFonts w:ascii="Cambria" w:eastAsia="Cambria" w:hAnsi="Cambria" w:cs="Cambria"/>
          <w:color w:val="000000"/>
          <w:highlight w:val="white"/>
        </w:rPr>
        <w:t>Itovebi</w:t>
      </w:r>
      <w:r>
        <w:rPr>
          <w:rFonts w:ascii="Cambria" w:eastAsia="Cambria" w:hAnsi="Cambria" w:cs="Cambria"/>
          <w:color w:val="000000"/>
          <w:highlight w:val="white"/>
        </w:rPr>
        <w:t xml:space="preserve"> </w:t>
      </w:r>
      <w:r>
        <w:rPr>
          <w:rFonts w:ascii="Cambria" w:eastAsia="Cambria" w:hAnsi="Cambria" w:cs="Cambria"/>
          <w:color w:val="000000"/>
        </w:rPr>
        <w:t>is expected to cause fetal harm when administered to pregnant women (see section</w:t>
      </w:r>
      <w:r w:rsidR="00F71729">
        <w:rPr>
          <w:rFonts w:ascii="Cambria" w:eastAsia="Cambria" w:hAnsi="Cambria" w:cs="Cambria"/>
          <w:color w:val="000000"/>
        </w:rPr>
        <w:t xml:space="preserve"> </w:t>
      </w:r>
      <w:r w:rsidR="00F5400A">
        <w:rPr>
          <w:rFonts w:ascii="Cambria" w:eastAsia="Cambria" w:hAnsi="Cambria" w:cs="Cambria"/>
          <w:color w:val="000000"/>
        </w:rPr>
        <w:t>4.6 Use in pregnancy</w:t>
      </w:r>
      <w:r>
        <w:rPr>
          <w:rFonts w:ascii="Cambria" w:eastAsia="Cambria" w:hAnsi="Cambria" w:cs="Cambria"/>
          <w:color w:val="000000"/>
        </w:rPr>
        <w:t xml:space="preserve">). Pregnant women should be advised of potential risk to the fetus. Females of reproductive potential and male patients should be advised to use effective contraception during treatment with </w:t>
      </w:r>
      <w:r w:rsidR="00DE29EE">
        <w:rPr>
          <w:rFonts w:ascii="Cambria" w:eastAsia="Cambria" w:hAnsi="Cambria" w:cs="Cambria"/>
          <w:color w:val="000000"/>
          <w:highlight w:val="white"/>
        </w:rPr>
        <w:t>Itovebi</w:t>
      </w:r>
      <w:r>
        <w:rPr>
          <w:rFonts w:ascii="Cambria" w:eastAsia="Cambria" w:hAnsi="Cambria" w:cs="Cambria"/>
          <w:color w:val="000000"/>
        </w:rPr>
        <w:t xml:space="preserve"> and for 2 weeks after the last dose of </w:t>
      </w:r>
      <w:r w:rsidR="00DE29EE">
        <w:rPr>
          <w:rFonts w:ascii="Cambria" w:eastAsia="Cambria" w:hAnsi="Cambria" w:cs="Cambria"/>
          <w:color w:val="000000"/>
        </w:rPr>
        <w:t>Itovebi</w:t>
      </w:r>
      <w:r>
        <w:rPr>
          <w:rFonts w:ascii="Cambria" w:eastAsia="Cambria" w:hAnsi="Cambria" w:cs="Cambria"/>
          <w:color w:val="000000"/>
        </w:rPr>
        <w:t xml:space="preserve"> (see section</w:t>
      </w:r>
      <w:r w:rsidR="00AA4070">
        <w:rPr>
          <w:rFonts w:ascii="Cambria" w:eastAsia="Cambria" w:hAnsi="Cambria" w:cs="Cambria"/>
          <w:color w:val="000000"/>
        </w:rPr>
        <w:t xml:space="preserve"> </w:t>
      </w:r>
      <w:proofErr w:type="gramStart"/>
      <w:r>
        <w:rPr>
          <w:rFonts w:ascii="Cambria" w:eastAsia="Cambria" w:hAnsi="Cambria" w:cs="Cambria"/>
          <w:color w:val="000000"/>
        </w:rPr>
        <w:t>4.4  Special</w:t>
      </w:r>
      <w:proofErr w:type="gramEnd"/>
      <w:r>
        <w:rPr>
          <w:rFonts w:ascii="Cambria" w:eastAsia="Cambria" w:hAnsi="Cambria" w:cs="Cambria"/>
          <w:color w:val="000000"/>
        </w:rPr>
        <w:t xml:space="preserve"> </w:t>
      </w:r>
      <w:r w:rsidR="00E83483">
        <w:rPr>
          <w:rFonts w:ascii="Cambria" w:eastAsia="Cambria" w:hAnsi="Cambria" w:cs="Cambria"/>
          <w:color w:val="000000"/>
        </w:rPr>
        <w:t>W</w:t>
      </w:r>
      <w:r>
        <w:rPr>
          <w:rFonts w:ascii="Cambria" w:eastAsia="Cambria" w:hAnsi="Cambria" w:cs="Cambria"/>
          <w:color w:val="000000"/>
        </w:rPr>
        <w:t xml:space="preserve">arnings and </w:t>
      </w:r>
      <w:r w:rsidR="00E83483">
        <w:rPr>
          <w:rFonts w:ascii="Cambria" w:eastAsia="Cambria" w:hAnsi="Cambria" w:cs="Cambria"/>
          <w:color w:val="000000"/>
        </w:rPr>
        <w:t>P</w:t>
      </w:r>
      <w:r>
        <w:rPr>
          <w:rFonts w:ascii="Cambria" w:eastAsia="Cambria" w:hAnsi="Cambria" w:cs="Cambria"/>
          <w:color w:val="000000"/>
        </w:rPr>
        <w:t xml:space="preserve">recautions </w:t>
      </w:r>
      <w:proofErr w:type="gramStart"/>
      <w:r w:rsidR="00E83483">
        <w:rPr>
          <w:rFonts w:ascii="Cambria" w:eastAsia="Cambria" w:hAnsi="Cambria" w:cs="Cambria"/>
          <w:color w:val="000000"/>
        </w:rPr>
        <w:t>F</w:t>
      </w:r>
      <w:r>
        <w:rPr>
          <w:rFonts w:ascii="Cambria" w:eastAsia="Cambria" w:hAnsi="Cambria" w:cs="Cambria"/>
          <w:color w:val="000000"/>
        </w:rPr>
        <w:t>or</w:t>
      </w:r>
      <w:proofErr w:type="gramEnd"/>
      <w:r>
        <w:rPr>
          <w:rFonts w:ascii="Cambria" w:eastAsia="Cambria" w:hAnsi="Cambria" w:cs="Cambria"/>
          <w:color w:val="000000"/>
        </w:rPr>
        <w:t xml:space="preserve"> </w:t>
      </w:r>
      <w:r w:rsidR="00E83483">
        <w:rPr>
          <w:rFonts w:ascii="Cambria" w:eastAsia="Cambria" w:hAnsi="Cambria" w:cs="Cambria"/>
          <w:color w:val="000000"/>
        </w:rPr>
        <w:t>U</w:t>
      </w:r>
      <w:r>
        <w:rPr>
          <w:rFonts w:ascii="Cambria" w:eastAsia="Cambria" w:hAnsi="Cambria" w:cs="Cambria"/>
          <w:color w:val="000000"/>
        </w:rPr>
        <w:t>se</w:t>
      </w:r>
      <w:r w:rsidR="00F5400A">
        <w:rPr>
          <w:rFonts w:ascii="Cambria" w:eastAsia="Cambria" w:hAnsi="Cambria" w:cs="Cambria"/>
          <w:color w:val="000000"/>
        </w:rPr>
        <w:t xml:space="preserve"> </w:t>
      </w:r>
      <w:r>
        <w:rPr>
          <w:rFonts w:ascii="Cambria" w:eastAsia="Cambria" w:hAnsi="Cambria" w:cs="Cambria"/>
          <w:color w:val="000000"/>
        </w:rPr>
        <w:t xml:space="preserve">- Females and males of reproductive potential). </w:t>
      </w:r>
    </w:p>
    <w:p w14:paraId="2D5DCACD" w14:textId="77777777" w:rsidR="005972A9" w:rsidRDefault="004A79CA">
      <w:pPr>
        <w:rPr>
          <w:rFonts w:ascii="Cambria" w:eastAsia="Cambria" w:hAnsi="Cambria" w:cs="Cambria"/>
          <w:u w:val="single"/>
        </w:rPr>
      </w:pPr>
      <w:r>
        <w:rPr>
          <w:rFonts w:ascii="Cambria" w:eastAsia="Cambria" w:hAnsi="Cambria" w:cs="Cambria"/>
          <w:u w:val="single"/>
        </w:rPr>
        <w:t>Drug Abuse and Dependence</w:t>
      </w:r>
    </w:p>
    <w:p w14:paraId="0239EB06" w14:textId="1481420C" w:rsidR="005972A9" w:rsidRDefault="004A79CA">
      <w:pPr>
        <w:rPr>
          <w:rFonts w:ascii="Cambria" w:eastAsia="Cambria" w:hAnsi="Cambria" w:cs="Cambria"/>
        </w:rPr>
      </w:pPr>
      <w:r>
        <w:rPr>
          <w:rFonts w:ascii="Cambria" w:eastAsia="Cambria" w:hAnsi="Cambria" w:cs="Cambria"/>
        </w:rPr>
        <w:t xml:space="preserve">There is no evidence that </w:t>
      </w:r>
      <w:r w:rsidR="00DE29EE">
        <w:rPr>
          <w:rFonts w:ascii="Cambria" w:eastAsia="Cambria" w:hAnsi="Cambria" w:cs="Cambria"/>
        </w:rPr>
        <w:t>Itovebi</w:t>
      </w:r>
      <w:r>
        <w:rPr>
          <w:rFonts w:ascii="Cambria" w:eastAsia="Cambria" w:hAnsi="Cambria" w:cs="Cambria"/>
        </w:rPr>
        <w:t xml:space="preserve"> has the potential for drug abuse or dependence.</w:t>
      </w:r>
    </w:p>
    <w:p w14:paraId="02FA02C6" w14:textId="77777777" w:rsidR="005972A9" w:rsidRDefault="004A79CA" w:rsidP="00FD09EF">
      <w:pPr>
        <w:pageBreakBefore/>
        <w:rPr>
          <w:rFonts w:ascii="Cambria" w:eastAsia="Cambria" w:hAnsi="Cambria" w:cs="Cambria"/>
          <w:u w:val="single"/>
        </w:rPr>
      </w:pPr>
      <w:r>
        <w:rPr>
          <w:rFonts w:ascii="Cambria" w:eastAsia="Cambria" w:hAnsi="Cambria" w:cs="Cambria"/>
          <w:u w:val="single"/>
        </w:rPr>
        <w:lastRenderedPageBreak/>
        <w:t>Females and Males of Reproductive Potential</w:t>
      </w:r>
    </w:p>
    <w:p w14:paraId="4C49253F" w14:textId="77777777" w:rsidR="005972A9" w:rsidRDefault="004A79CA">
      <w:pPr>
        <w:spacing w:after="0" w:line="240" w:lineRule="auto"/>
        <w:rPr>
          <w:rFonts w:ascii="Cambria" w:eastAsia="Cambria" w:hAnsi="Cambria" w:cs="Cambria"/>
        </w:rPr>
      </w:pPr>
      <w:r>
        <w:rPr>
          <w:rFonts w:ascii="Cambria" w:eastAsia="Cambria" w:hAnsi="Cambria" w:cs="Cambria"/>
        </w:rPr>
        <w:t>Fertility</w:t>
      </w:r>
    </w:p>
    <w:p w14:paraId="2D26BF05" w14:textId="7EFF59B3" w:rsidR="005972A9" w:rsidRDefault="004A79CA">
      <w:pPr>
        <w:rPr>
          <w:rFonts w:ascii="Cambria" w:eastAsia="Cambria" w:hAnsi="Cambria" w:cs="Cambria"/>
        </w:rPr>
      </w:pPr>
      <w:r>
        <w:rPr>
          <w:rFonts w:ascii="Cambria" w:eastAsia="Cambria" w:hAnsi="Cambria" w:cs="Cambria"/>
        </w:rPr>
        <w:t xml:space="preserve">There are no clinical studies conducted to evaluate the effect of </w:t>
      </w:r>
      <w:r w:rsidR="00DE29EE">
        <w:rPr>
          <w:rFonts w:ascii="Cambria" w:eastAsia="Cambria" w:hAnsi="Cambria" w:cs="Cambria"/>
          <w:color w:val="000000"/>
          <w:highlight w:val="white"/>
        </w:rPr>
        <w:t>Itovebi</w:t>
      </w:r>
      <w:r>
        <w:rPr>
          <w:rFonts w:ascii="Cambria" w:eastAsia="Cambria" w:hAnsi="Cambria" w:cs="Cambria"/>
          <w:color w:val="00B050"/>
        </w:rPr>
        <w:t xml:space="preserve"> </w:t>
      </w:r>
      <w:r>
        <w:rPr>
          <w:rFonts w:ascii="Cambria" w:eastAsia="Cambria" w:hAnsi="Cambria" w:cs="Cambria"/>
        </w:rPr>
        <w:t xml:space="preserve">on fertility. Based on animal studies, inavolisib may impact fertility in females and males of reproductive potential (see </w:t>
      </w:r>
      <w:r w:rsidR="002E58A1">
        <w:rPr>
          <w:rFonts w:ascii="Cambria" w:eastAsia="Cambria" w:hAnsi="Cambria" w:cs="Cambria"/>
        </w:rPr>
        <w:t>section 4.6 Effects on fertility</w:t>
      </w:r>
      <w:r>
        <w:rPr>
          <w:rFonts w:ascii="Cambria" w:eastAsia="Cambria" w:hAnsi="Cambria" w:cs="Cambria"/>
        </w:rPr>
        <w:t>).</w:t>
      </w:r>
    </w:p>
    <w:p w14:paraId="427AEC8C" w14:textId="77777777" w:rsidR="005972A9" w:rsidRDefault="004A79CA">
      <w:pPr>
        <w:spacing w:after="0" w:line="240" w:lineRule="auto"/>
        <w:rPr>
          <w:rFonts w:ascii="Cambria" w:eastAsia="Cambria" w:hAnsi="Cambria" w:cs="Cambria"/>
        </w:rPr>
      </w:pPr>
      <w:r>
        <w:rPr>
          <w:rFonts w:ascii="Cambria" w:eastAsia="Cambria" w:hAnsi="Cambria" w:cs="Cambria"/>
        </w:rPr>
        <w:t>Pregnancy testing</w:t>
      </w:r>
    </w:p>
    <w:p w14:paraId="00D18683" w14:textId="4FCC6CD2" w:rsidR="005972A9" w:rsidRDefault="004A79CA">
      <w:pPr>
        <w:rPr>
          <w:rFonts w:ascii="Cambria" w:eastAsia="Cambria" w:hAnsi="Cambria" w:cs="Cambria"/>
        </w:rPr>
      </w:pPr>
      <w:r>
        <w:rPr>
          <w:rFonts w:ascii="Cambria" w:eastAsia="Cambria" w:hAnsi="Cambria" w:cs="Cambria"/>
        </w:rPr>
        <w:t xml:space="preserve">The pregnancy status of females of reproductive potential should be verified prior to initiating </w:t>
      </w:r>
      <w:r w:rsidR="00DE29EE">
        <w:rPr>
          <w:rFonts w:ascii="Cambria" w:eastAsia="Cambria" w:hAnsi="Cambria" w:cs="Cambria"/>
        </w:rPr>
        <w:t>Itovebi</w:t>
      </w:r>
      <w:r>
        <w:rPr>
          <w:rFonts w:ascii="Cambria" w:eastAsia="Cambria" w:hAnsi="Cambria" w:cs="Cambria"/>
        </w:rPr>
        <w:t xml:space="preserve"> therapy. Pregnant women should be clearly advised of the potential risk to the fetus.</w:t>
      </w:r>
    </w:p>
    <w:p w14:paraId="0122064B" w14:textId="77777777" w:rsidR="005972A9" w:rsidRDefault="004A79CA">
      <w:pPr>
        <w:spacing w:after="0" w:line="240" w:lineRule="auto"/>
        <w:rPr>
          <w:rFonts w:ascii="Cambria" w:eastAsia="Cambria" w:hAnsi="Cambria" w:cs="Cambria"/>
        </w:rPr>
      </w:pPr>
      <w:r>
        <w:rPr>
          <w:rFonts w:ascii="Cambria" w:eastAsia="Cambria" w:hAnsi="Cambria" w:cs="Cambria"/>
        </w:rPr>
        <w:t>Contraception</w:t>
      </w:r>
    </w:p>
    <w:p w14:paraId="11580F4A" w14:textId="0380EA82" w:rsidR="005972A9" w:rsidRDefault="004A79CA">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Female</w:t>
      </w:r>
    </w:p>
    <w:p w14:paraId="7A4F5704" w14:textId="5A816B3D" w:rsidR="005972A9" w:rsidRDefault="004A79CA">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Patients should be advised to use effective non-hormonal contraception during treatment with </w:t>
      </w:r>
      <w:r w:rsidR="00DE29EE">
        <w:rPr>
          <w:rFonts w:ascii="Cambria" w:eastAsia="Cambria" w:hAnsi="Cambria" w:cs="Cambria"/>
          <w:color w:val="000000"/>
          <w:highlight w:val="white"/>
        </w:rPr>
        <w:t>Itovebi</w:t>
      </w:r>
      <w:r>
        <w:rPr>
          <w:rFonts w:ascii="Cambria" w:eastAsia="Cambria" w:hAnsi="Cambria" w:cs="Cambria"/>
          <w:color w:val="000000"/>
        </w:rPr>
        <w:t xml:space="preserve"> and for 2 weeks after the last dose of </w:t>
      </w:r>
      <w:r w:rsidR="00DE29EE">
        <w:rPr>
          <w:rFonts w:ascii="Cambria" w:eastAsia="Cambria" w:hAnsi="Cambria" w:cs="Cambria"/>
          <w:color w:val="000000"/>
          <w:highlight w:val="white"/>
        </w:rPr>
        <w:t>Itovebi</w:t>
      </w:r>
      <w:r>
        <w:rPr>
          <w:rFonts w:ascii="Cambria" w:eastAsia="Cambria" w:hAnsi="Cambria" w:cs="Cambria"/>
          <w:color w:val="000000"/>
        </w:rPr>
        <w:t xml:space="preserve"> (see </w:t>
      </w:r>
      <w:proofErr w:type="gramStart"/>
      <w:r>
        <w:rPr>
          <w:rFonts w:ascii="Cambria" w:eastAsia="Cambria" w:hAnsi="Cambria" w:cs="Cambria"/>
          <w:color w:val="000000"/>
        </w:rPr>
        <w:t>section  4.4</w:t>
      </w:r>
      <w:proofErr w:type="gramEnd"/>
      <w:r>
        <w:rPr>
          <w:rFonts w:ascii="Cambria" w:eastAsia="Cambria" w:hAnsi="Cambria" w:cs="Cambria"/>
          <w:color w:val="000000"/>
        </w:rPr>
        <w:t xml:space="preserve"> </w:t>
      </w:r>
      <w:r w:rsidR="00E83483">
        <w:rPr>
          <w:rFonts w:ascii="Cambria" w:eastAsia="Cambria" w:hAnsi="Cambria" w:cs="Cambria"/>
          <w:color w:val="000000"/>
        </w:rPr>
        <w:t xml:space="preserve">Special Warnings and Precautions </w:t>
      </w:r>
      <w:proofErr w:type="gramStart"/>
      <w:r w:rsidR="00E83483">
        <w:rPr>
          <w:rFonts w:ascii="Cambria" w:eastAsia="Cambria" w:hAnsi="Cambria" w:cs="Cambria"/>
          <w:color w:val="000000"/>
        </w:rPr>
        <w:t>For</w:t>
      </w:r>
      <w:proofErr w:type="gramEnd"/>
      <w:r w:rsidR="00E83483">
        <w:rPr>
          <w:rFonts w:ascii="Cambria" w:eastAsia="Cambria" w:hAnsi="Cambria" w:cs="Cambria"/>
          <w:color w:val="000000"/>
        </w:rPr>
        <w:t xml:space="preserve"> Use</w:t>
      </w:r>
      <w:r>
        <w:rPr>
          <w:rFonts w:ascii="Cambria" w:eastAsia="Cambria" w:hAnsi="Cambria" w:cs="Cambria"/>
          <w:color w:val="000000"/>
        </w:rPr>
        <w:t xml:space="preserve"> </w:t>
      </w:r>
      <w:proofErr w:type="gramStart"/>
      <w:r>
        <w:rPr>
          <w:rFonts w:ascii="Cambria" w:eastAsia="Cambria" w:hAnsi="Cambria" w:cs="Cambria"/>
          <w:color w:val="000000"/>
        </w:rPr>
        <w:t>-  General</w:t>
      </w:r>
      <w:proofErr w:type="gramEnd"/>
      <w:r>
        <w:rPr>
          <w:rFonts w:ascii="Cambria" w:eastAsia="Cambria" w:hAnsi="Cambria" w:cs="Cambria"/>
          <w:color w:val="000000"/>
        </w:rPr>
        <w:t>).</w:t>
      </w:r>
    </w:p>
    <w:p w14:paraId="50CA30CC" w14:textId="77777777" w:rsidR="005972A9" w:rsidRDefault="005972A9">
      <w:pPr>
        <w:pBdr>
          <w:top w:val="nil"/>
          <w:left w:val="nil"/>
          <w:bottom w:val="nil"/>
          <w:right w:val="nil"/>
          <w:between w:val="nil"/>
        </w:pBdr>
        <w:spacing w:after="0" w:line="240" w:lineRule="auto"/>
        <w:rPr>
          <w:rFonts w:ascii="Cambria" w:eastAsia="Cambria" w:hAnsi="Cambria" w:cs="Cambria"/>
          <w:color w:val="000000"/>
        </w:rPr>
      </w:pPr>
    </w:p>
    <w:p w14:paraId="77BED966" w14:textId="58CC5C22" w:rsidR="005972A9" w:rsidRDefault="004A79CA">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Male</w:t>
      </w:r>
    </w:p>
    <w:p w14:paraId="6FA70F58" w14:textId="77F8249B" w:rsidR="005972A9" w:rsidRDefault="004A79CA">
      <w:pPr>
        <w:rPr>
          <w:rFonts w:ascii="Cambria" w:eastAsia="Cambria" w:hAnsi="Cambria" w:cs="Cambria"/>
        </w:rPr>
      </w:pPr>
      <w:r>
        <w:rPr>
          <w:rFonts w:ascii="Cambria" w:eastAsia="Cambria" w:hAnsi="Cambria" w:cs="Cambria"/>
        </w:rPr>
        <w:t xml:space="preserve">It is not known if </w:t>
      </w:r>
      <w:r w:rsidR="00DE29EE">
        <w:rPr>
          <w:rFonts w:ascii="Cambria" w:eastAsia="Cambria" w:hAnsi="Cambria" w:cs="Cambria"/>
          <w:highlight w:val="white"/>
        </w:rPr>
        <w:t>Itovebi</w:t>
      </w:r>
      <w:r>
        <w:rPr>
          <w:rFonts w:ascii="Cambria" w:eastAsia="Cambria" w:hAnsi="Cambria" w:cs="Cambria"/>
        </w:rPr>
        <w:t xml:space="preserve"> is present in semen. To avoid potential fetal exposure during pregnancy, male patients with female partners of childbearing potential or pregnant female partners should use a condom during treatment with </w:t>
      </w:r>
      <w:r w:rsidR="00DE29EE">
        <w:rPr>
          <w:rFonts w:ascii="Cambria" w:eastAsia="Cambria" w:hAnsi="Cambria" w:cs="Cambria"/>
          <w:highlight w:val="white"/>
        </w:rPr>
        <w:t>Itovebi</w:t>
      </w:r>
      <w:r>
        <w:rPr>
          <w:rFonts w:ascii="Cambria" w:eastAsia="Cambria" w:hAnsi="Cambria" w:cs="Cambria"/>
        </w:rPr>
        <w:t xml:space="preserve"> and for 2 weeks after the last dose of </w:t>
      </w:r>
      <w:r w:rsidR="00DE29EE">
        <w:rPr>
          <w:rFonts w:ascii="Cambria" w:eastAsia="Cambria" w:hAnsi="Cambria" w:cs="Cambria"/>
        </w:rPr>
        <w:t>Itovebi</w:t>
      </w:r>
      <w:r>
        <w:rPr>
          <w:rFonts w:ascii="Cambria" w:eastAsia="Cambria" w:hAnsi="Cambria" w:cs="Cambria"/>
        </w:rPr>
        <w:t xml:space="preserve"> (see section 4.4 </w:t>
      </w:r>
      <w:r w:rsidR="00E83483">
        <w:rPr>
          <w:rFonts w:ascii="Cambria" w:eastAsia="Cambria" w:hAnsi="Cambria" w:cs="Cambria"/>
          <w:color w:val="000000"/>
        </w:rPr>
        <w:t xml:space="preserve">Special Warnings and Precautions </w:t>
      </w:r>
      <w:proofErr w:type="gramStart"/>
      <w:r w:rsidR="00E83483">
        <w:rPr>
          <w:rFonts w:ascii="Cambria" w:eastAsia="Cambria" w:hAnsi="Cambria" w:cs="Cambria"/>
          <w:color w:val="000000"/>
        </w:rPr>
        <w:t>For</w:t>
      </w:r>
      <w:proofErr w:type="gramEnd"/>
      <w:r w:rsidR="00E83483">
        <w:rPr>
          <w:rFonts w:ascii="Cambria" w:eastAsia="Cambria" w:hAnsi="Cambria" w:cs="Cambria"/>
          <w:color w:val="000000"/>
        </w:rPr>
        <w:t xml:space="preserve"> Use</w:t>
      </w:r>
      <w:r>
        <w:rPr>
          <w:rFonts w:ascii="Cambria" w:eastAsia="Cambria" w:hAnsi="Cambria" w:cs="Cambria"/>
        </w:rPr>
        <w:t xml:space="preserve"> -</w:t>
      </w:r>
      <w:r w:rsidR="002E58A1">
        <w:rPr>
          <w:rFonts w:ascii="Cambria" w:eastAsia="Cambria" w:hAnsi="Cambria" w:cs="Cambria"/>
        </w:rPr>
        <w:t xml:space="preserve"> </w:t>
      </w:r>
      <w:r>
        <w:rPr>
          <w:rFonts w:ascii="Cambria" w:eastAsia="Cambria" w:hAnsi="Cambria" w:cs="Cambria"/>
        </w:rPr>
        <w:t>General).</w:t>
      </w:r>
    </w:p>
    <w:p w14:paraId="77049562" w14:textId="77777777" w:rsidR="005972A9" w:rsidRDefault="004A79CA" w:rsidP="00B4667A">
      <w:pPr>
        <w:pStyle w:val="Heading3"/>
        <w:spacing w:before="0"/>
        <w:ind w:firstLine="227"/>
        <w:rPr>
          <w:b w:val="0"/>
        </w:rPr>
      </w:pPr>
      <w:bookmarkStart w:id="11" w:name="_heading=h.3rdcrjn" w:colFirst="0" w:colLast="0"/>
      <w:bookmarkEnd w:id="11"/>
      <w:r>
        <w:t>Use in hepatic impairment</w:t>
      </w:r>
    </w:p>
    <w:p w14:paraId="05E3B888" w14:textId="646D5AB8" w:rsidR="005972A9" w:rsidRDefault="004A79CA">
      <w:pPr>
        <w:rPr>
          <w:rFonts w:ascii="Cambria" w:eastAsia="Cambria" w:hAnsi="Cambria" w:cs="Cambria"/>
        </w:rPr>
      </w:pPr>
      <w:r>
        <w:rPr>
          <w:rFonts w:ascii="Cambria" w:eastAsia="Cambria" w:hAnsi="Cambria" w:cs="Cambria"/>
        </w:rPr>
        <w:t xml:space="preserve">No dose adjustment is required in patients with mild hepatic impairment (total bilirubin &gt; ULN to ≤ 1.5 x ULN or AST &gt; ULN and total bilirubin ≤ ULN).  </w:t>
      </w:r>
      <w:r w:rsidR="00590E74">
        <w:rPr>
          <w:rFonts w:ascii="Cambria" w:eastAsia="Cambria" w:hAnsi="Cambria" w:cs="Cambria"/>
          <w:color w:val="3333FF"/>
        </w:rPr>
        <w:t xml:space="preserve"> </w:t>
      </w:r>
      <w:r>
        <w:rPr>
          <w:rFonts w:ascii="Cambria" w:eastAsia="Cambria" w:hAnsi="Cambria" w:cs="Cambria"/>
        </w:rPr>
        <w:t xml:space="preserve"> The safety and efficacy of </w:t>
      </w:r>
      <w:r w:rsidR="00DE29EE">
        <w:rPr>
          <w:rFonts w:ascii="Cambria" w:eastAsia="Cambria" w:hAnsi="Cambria" w:cs="Cambria"/>
          <w:color w:val="000000"/>
          <w:highlight w:val="white"/>
        </w:rPr>
        <w:t>Itovebi</w:t>
      </w:r>
      <w:r>
        <w:rPr>
          <w:rFonts w:ascii="Cambria" w:eastAsia="Cambria" w:hAnsi="Cambria" w:cs="Cambria"/>
        </w:rPr>
        <w:t xml:space="preserve"> in patients with moderate to severe hepatic impairment have not been studied. See section 4.2</w:t>
      </w:r>
      <w:r w:rsidR="00F71729">
        <w:rPr>
          <w:rFonts w:ascii="Cambria" w:eastAsia="Cambria" w:hAnsi="Cambria" w:cs="Cambria"/>
        </w:rPr>
        <w:t xml:space="preserve"> </w:t>
      </w:r>
      <w:r w:rsidR="00E83483">
        <w:rPr>
          <w:rFonts w:ascii="Cambria" w:eastAsia="Cambria" w:hAnsi="Cambria" w:cs="Cambria"/>
          <w:color w:val="000000"/>
        </w:rPr>
        <w:t>Dose and Method of Administration</w:t>
      </w:r>
      <w:r>
        <w:rPr>
          <w:rFonts w:ascii="Cambria" w:eastAsia="Cambria" w:hAnsi="Cambria" w:cs="Cambria"/>
        </w:rPr>
        <w:t xml:space="preserve"> - Special Populations and section 5.2 </w:t>
      </w:r>
      <w:r w:rsidR="00732AEB" w:rsidRPr="00732AEB">
        <w:rPr>
          <w:rFonts w:ascii="Cambria" w:eastAsia="Cambria" w:hAnsi="Cambria" w:cs="Cambria"/>
        </w:rPr>
        <w:t>Pharmacokinetic Properties</w:t>
      </w:r>
      <w:r>
        <w:rPr>
          <w:rFonts w:ascii="Cambria" w:eastAsia="Cambria" w:hAnsi="Cambria" w:cs="Cambria"/>
        </w:rPr>
        <w:t xml:space="preserve"> - Pharmacokinetics in Special Populations</w:t>
      </w:r>
      <w:r>
        <w:rPr>
          <w:rFonts w:ascii="Cambria" w:eastAsia="Cambria" w:hAnsi="Cambria" w:cs="Cambria"/>
          <w:i/>
        </w:rPr>
        <w:t>.</w:t>
      </w:r>
    </w:p>
    <w:p w14:paraId="0C2AEA7D" w14:textId="77777777" w:rsidR="005972A9" w:rsidRDefault="004A79CA" w:rsidP="00B4667A">
      <w:pPr>
        <w:pStyle w:val="Heading3"/>
        <w:spacing w:before="0"/>
        <w:ind w:firstLine="227"/>
        <w:rPr>
          <w:b w:val="0"/>
        </w:rPr>
      </w:pPr>
      <w:bookmarkStart w:id="12" w:name="_heading=h.26in1rg" w:colFirst="0" w:colLast="0"/>
      <w:bookmarkEnd w:id="12"/>
      <w:r>
        <w:t>Use in renal impairment</w:t>
      </w:r>
    </w:p>
    <w:p w14:paraId="65726FE9" w14:textId="3F2559C1" w:rsidR="005972A9" w:rsidRDefault="004A79CA">
      <w:pPr>
        <w:pBdr>
          <w:top w:val="nil"/>
          <w:left w:val="nil"/>
          <w:bottom w:val="nil"/>
          <w:right w:val="nil"/>
          <w:between w:val="nil"/>
        </w:pBdr>
        <w:spacing w:after="250"/>
        <w:rPr>
          <w:rFonts w:ascii="Cambria" w:eastAsia="Cambria" w:hAnsi="Cambria" w:cs="Cambria"/>
          <w:color w:val="000000"/>
        </w:rPr>
      </w:pPr>
      <w:r>
        <w:rPr>
          <w:rFonts w:ascii="Cambria" w:eastAsia="Cambria" w:hAnsi="Cambria" w:cs="Cambria"/>
          <w:color w:val="000000"/>
        </w:rPr>
        <w:t>No dose adjustment is required in patients with mild renal impairment (</w:t>
      </w:r>
      <w:r w:rsidR="0030504F">
        <w:rPr>
          <w:rFonts w:ascii="Cambria" w:eastAsia="Cambria" w:hAnsi="Cambria" w:cs="Cambria"/>
          <w:color w:val="000000"/>
        </w:rPr>
        <w:t xml:space="preserve">eGFR </w:t>
      </w:r>
      <w:r>
        <w:rPr>
          <w:rFonts w:ascii="Cambria" w:eastAsia="Cambria" w:hAnsi="Cambria" w:cs="Cambria"/>
          <w:color w:val="000000"/>
        </w:rPr>
        <w:t xml:space="preserve">60 to &lt; 90 mL/min) based on population pharmacokinetic analysis. </w:t>
      </w:r>
      <w:r w:rsidR="00446353">
        <w:rPr>
          <w:rFonts w:ascii="Cambria" w:eastAsia="Cambria" w:hAnsi="Cambria" w:cs="Cambria"/>
          <w:color w:val="000000"/>
        </w:rPr>
        <w:t>Reduce t</w:t>
      </w:r>
      <w:r w:rsidR="00446353" w:rsidRPr="004B488D">
        <w:rPr>
          <w:rFonts w:ascii="Cambria" w:eastAsia="Cambria" w:hAnsi="Cambria" w:cs="Cambria"/>
          <w:color w:val="000000"/>
        </w:rPr>
        <w:t>he dosage</w:t>
      </w:r>
      <w:r w:rsidR="00446353">
        <w:rPr>
          <w:rFonts w:ascii="Cambria" w:eastAsia="Cambria" w:hAnsi="Cambria" w:cs="Cambria"/>
          <w:color w:val="000000"/>
        </w:rPr>
        <w:t xml:space="preserve"> in</w:t>
      </w:r>
      <w:r w:rsidR="00446353" w:rsidRPr="004B488D">
        <w:rPr>
          <w:rFonts w:ascii="Cambria" w:eastAsia="Cambria" w:hAnsi="Cambria" w:cs="Cambria"/>
          <w:color w:val="000000"/>
        </w:rPr>
        <w:t xml:space="preserve"> patients with moderate renal impairment (eGFR 30 to</w:t>
      </w:r>
      <w:r w:rsidR="00446353">
        <w:rPr>
          <w:rFonts w:ascii="Cambria" w:eastAsia="Cambria" w:hAnsi="Cambria" w:cs="Cambria"/>
          <w:color w:val="000000"/>
        </w:rPr>
        <w:t xml:space="preserve"> </w:t>
      </w:r>
      <w:r w:rsidR="00446353" w:rsidRPr="004B488D">
        <w:rPr>
          <w:rFonts w:ascii="Cambria" w:eastAsia="Cambria" w:hAnsi="Cambria" w:cs="Cambria"/>
          <w:color w:val="000000"/>
        </w:rPr>
        <w:t xml:space="preserve">&lt; 60 mL/min based on CKD-EPI) </w:t>
      </w:r>
      <w:r w:rsidR="00446353">
        <w:rPr>
          <w:rFonts w:ascii="Cambria" w:eastAsia="Cambria" w:hAnsi="Cambria" w:cs="Cambria"/>
          <w:color w:val="000000"/>
        </w:rPr>
        <w:t xml:space="preserve">– see section 4.2 </w:t>
      </w:r>
      <w:r w:rsidR="00E83483">
        <w:rPr>
          <w:rFonts w:ascii="Cambria" w:eastAsia="Cambria" w:hAnsi="Cambria" w:cs="Cambria"/>
          <w:color w:val="000000"/>
        </w:rPr>
        <w:t>Dose and Method of Administration</w:t>
      </w:r>
      <w:r w:rsidR="00446353">
        <w:rPr>
          <w:rFonts w:ascii="Cambria" w:eastAsia="Cambria" w:hAnsi="Cambria" w:cs="Cambria"/>
          <w:color w:val="000000"/>
        </w:rPr>
        <w:t xml:space="preserve"> –  Dose modification)</w:t>
      </w:r>
      <w:r w:rsidR="00446353" w:rsidRPr="00433702">
        <w:rPr>
          <w:rFonts w:ascii="Cambria" w:eastAsia="Cambria" w:hAnsi="Cambria" w:cs="Cambria"/>
          <w:color w:val="000000"/>
        </w:rPr>
        <w:t>.</w:t>
      </w:r>
      <w:r w:rsidR="00FD6ED6">
        <w:rPr>
          <w:rFonts w:ascii="Cambria" w:eastAsia="Cambria" w:hAnsi="Cambria" w:cs="Cambria"/>
          <w:color w:val="000000"/>
        </w:rPr>
        <w:t xml:space="preserve"> </w:t>
      </w:r>
      <w:r>
        <w:rPr>
          <w:rFonts w:ascii="Cambria" w:eastAsia="Cambria" w:hAnsi="Cambria" w:cs="Cambria"/>
          <w:color w:val="000000"/>
        </w:rPr>
        <w:t xml:space="preserve">The safety and efficacy of </w:t>
      </w:r>
      <w:r w:rsidR="00DE29EE">
        <w:rPr>
          <w:rFonts w:ascii="Cambria" w:eastAsia="Cambria" w:hAnsi="Cambria" w:cs="Cambria"/>
          <w:color w:val="000000"/>
          <w:highlight w:val="white"/>
        </w:rPr>
        <w:t>Itovebi</w:t>
      </w:r>
      <w:r>
        <w:rPr>
          <w:rFonts w:ascii="Cambria" w:eastAsia="Cambria" w:hAnsi="Cambria" w:cs="Cambria"/>
          <w:color w:val="000000"/>
        </w:rPr>
        <w:t xml:space="preserve"> </w:t>
      </w:r>
      <w:r w:rsidR="00446353">
        <w:rPr>
          <w:rFonts w:ascii="Cambria" w:eastAsia="Cambria" w:hAnsi="Cambria" w:cs="Cambria"/>
          <w:color w:val="000000"/>
        </w:rPr>
        <w:t xml:space="preserve">have </w:t>
      </w:r>
      <w:r>
        <w:rPr>
          <w:rFonts w:ascii="Cambria" w:eastAsia="Cambria" w:hAnsi="Cambria" w:cs="Cambria"/>
          <w:color w:val="000000"/>
        </w:rPr>
        <w:t>not been established in patients with severe renal impairment.</w:t>
      </w:r>
      <w:r>
        <w:rPr>
          <w:rFonts w:ascii="Cambria" w:eastAsia="Cambria" w:hAnsi="Cambria" w:cs="Cambria"/>
          <w:b/>
          <w:color w:val="000000"/>
        </w:rPr>
        <w:t xml:space="preserve"> </w:t>
      </w:r>
      <w:r>
        <w:rPr>
          <w:rFonts w:ascii="Cambria" w:eastAsia="Cambria" w:hAnsi="Cambria" w:cs="Cambria"/>
          <w:color w:val="000000"/>
        </w:rPr>
        <w:t>See section 4.2</w:t>
      </w:r>
      <w:r w:rsidR="00FD6ED6">
        <w:rPr>
          <w:rFonts w:ascii="Cambria" w:eastAsia="Cambria" w:hAnsi="Cambria" w:cs="Cambria"/>
          <w:color w:val="000000"/>
        </w:rPr>
        <w:t xml:space="preserve"> </w:t>
      </w:r>
      <w:r w:rsidR="00E83483">
        <w:rPr>
          <w:rFonts w:ascii="Cambria" w:eastAsia="Cambria" w:hAnsi="Cambria" w:cs="Cambria"/>
          <w:color w:val="000000"/>
        </w:rPr>
        <w:t>Dose and Method of Administration</w:t>
      </w:r>
      <w:r>
        <w:rPr>
          <w:rFonts w:ascii="Cambria" w:eastAsia="Cambria" w:hAnsi="Cambria" w:cs="Cambria"/>
          <w:color w:val="000000"/>
        </w:rPr>
        <w:t xml:space="preserve"> - Special Populations and section 5.2 </w:t>
      </w:r>
      <w:r w:rsidR="00732AEB" w:rsidRPr="00433702">
        <w:rPr>
          <w:rFonts w:ascii="Cambria" w:eastAsia="Cambria" w:hAnsi="Cambria" w:cs="Cambria"/>
          <w:color w:val="000000"/>
        </w:rPr>
        <w:t xml:space="preserve">Pharmacokinetic </w:t>
      </w:r>
      <w:r w:rsidR="00732AEB">
        <w:rPr>
          <w:rFonts w:ascii="Cambria" w:eastAsia="Cambria" w:hAnsi="Cambria" w:cs="Cambria"/>
          <w:color w:val="000000"/>
        </w:rPr>
        <w:t>P</w:t>
      </w:r>
      <w:r w:rsidR="00732AEB" w:rsidRPr="00433702">
        <w:rPr>
          <w:rFonts w:ascii="Cambria" w:eastAsia="Cambria" w:hAnsi="Cambria" w:cs="Cambria"/>
          <w:color w:val="000000"/>
        </w:rPr>
        <w:t>roperties</w:t>
      </w:r>
      <w:r>
        <w:rPr>
          <w:rFonts w:ascii="Cambria" w:eastAsia="Cambria" w:hAnsi="Cambria" w:cs="Cambria"/>
          <w:color w:val="000000"/>
        </w:rPr>
        <w:t xml:space="preserve"> - Pharmacokinetics in Special Populations</w:t>
      </w:r>
      <w:r>
        <w:rPr>
          <w:rFonts w:ascii="Cambria" w:eastAsia="Cambria" w:hAnsi="Cambria" w:cs="Cambria"/>
          <w:i/>
          <w:color w:val="000000"/>
        </w:rPr>
        <w:t>.</w:t>
      </w:r>
    </w:p>
    <w:p w14:paraId="723C27D1" w14:textId="77777777" w:rsidR="005972A9" w:rsidRDefault="00DE29EE">
      <w:pPr>
        <w:rPr>
          <w:rFonts w:ascii="Cambria" w:eastAsia="Cambria" w:hAnsi="Cambria" w:cs="Cambria"/>
        </w:rPr>
      </w:pPr>
      <w:r>
        <w:rPr>
          <w:rFonts w:ascii="Cambria" w:eastAsia="Cambria" w:hAnsi="Cambria" w:cs="Cambria"/>
          <w:color w:val="000000"/>
          <w:highlight w:val="white"/>
        </w:rPr>
        <w:t>Itovebi</w:t>
      </w:r>
      <w:r w:rsidR="004A79CA">
        <w:rPr>
          <w:rFonts w:ascii="Cambria" w:eastAsia="Cambria" w:hAnsi="Cambria" w:cs="Cambria"/>
        </w:rPr>
        <w:t xml:space="preserve"> is known to be excreted by the kidney, and the risk of adverse reactions may be greater in patients with impaired renal function.</w:t>
      </w:r>
    </w:p>
    <w:p w14:paraId="08D06588" w14:textId="77777777" w:rsidR="005972A9" w:rsidRDefault="004A79CA" w:rsidP="00B4667A">
      <w:pPr>
        <w:pStyle w:val="Heading3"/>
        <w:spacing w:before="0"/>
        <w:ind w:firstLine="227"/>
      </w:pPr>
      <w:bookmarkStart w:id="13" w:name="_heading=h.lnxbz9" w:colFirst="0" w:colLast="0"/>
      <w:bookmarkEnd w:id="13"/>
      <w:r>
        <w:t>Use in the elderly</w:t>
      </w:r>
    </w:p>
    <w:p w14:paraId="3DD3B566" w14:textId="44127C54" w:rsidR="005972A9" w:rsidRDefault="004A79CA">
      <w:pPr>
        <w:pBdr>
          <w:top w:val="nil"/>
          <w:left w:val="nil"/>
          <w:bottom w:val="nil"/>
          <w:right w:val="nil"/>
          <w:between w:val="nil"/>
        </w:pBdr>
        <w:spacing w:after="250" w:line="280" w:lineRule="auto"/>
        <w:rPr>
          <w:rFonts w:ascii="Cambria" w:eastAsia="Cambria" w:hAnsi="Cambria" w:cs="Cambria"/>
          <w:color w:val="000000"/>
        </w:rPr>
      </w:pPr>
      <w:r>
        <w:rPr>
          <w:rFonts w:ascii="Cambria" w:eastAsia="Cambria" w:hAnsi="Cambria" w:cs="Cambria"/>
          <w:color w:val="000000"/>
        </w:rPr>
        <w:t xml:space="preserve">The safety and efficacy of </w:t>
      </w:r>
      <w:r w:rsidR="00DE29EE">
        <w:rPr>
          <w:rFonts w:ascii="Cambria" w:eastAsia="Cambria" w:hAnsi="Cambria" w:cs="Cambria"/>
          <w:color w:val="000000"/>
          <w:highlight w:val="white"/>
        </w:rPr>
        <w:t>Itovebi</w:t>
      </w:r>
      <w:r>
        <w:rPr>
          <w:rFonts w:ascii="Cambria" w:eastAsia="Cambria" w:hAnsi="Cambria" w:cs="Cambria"/>
          <w:color w:val="000000"/>
        </w:rPr>
        <w:t xml:space="preserve"> have been studied in geriatric patients up to 79 years of age. Of the 162 patients who received </w:t>
      </w:r>
      <w:r w:rsidR="00DE29EE">
        <w:rPr>
          <w:rFonts w:ascii="Cambria" w:eastAsia="Cambria" w:hAnsi="Cambria" w:cs="Cambria"/>
          <w:color w:val="000000"/>
        </w:rPr>
        <w:t>Itovebi</w:t>
      </w:r>
      <w:r>
        <w:rPr>
          <w:rFonts w:ascii="Cambria" w:eastAsia="Cambria" w:hAnsi="Cambria" w:cs="Cambria"/>
          <w:color w:val="000000"/>
        </w:rPr>
        <w:t xml:space="preserve"> in INAVO120, 14.8% were ≥ 65 years of age and 3% were ≥ 75 years of age.</w:t>
      </w:r>
    </w:p>
    <w:p w14:paraId="7DE2DD39" w14:textId="16F1042D" w:rsidR="005972A9" w:rsidRDefault="004A79CA">
      <w:pPr>
        <w:rPr>
          <w:rFonts w:ascii="Cambria" w:eastAsia="Cambria" w:hAnsi="Cambria" w:cs="Cambria"/>
        </w:rPr>
      </w:pPr>
      <w:bookmarkStart w:id="14" w:name="_heading=h.35nkun2" w:colFirst="0" w:colLast="0"/>
      <w:bookmarkEnd w:id="14"/>
      <w:r>
        <w:rPr>
          <w:rFonts w:ascii="Cambria" w:eastAsia="Cambria" w:hAnsi="Cambria" w:cs="Cambria"/>
        </w:rPr>
        <w:lastRenderedPageBreak/>
        <w:t xml:space="preserve">The available data on the efficacy of </w:t>
      </w:r>
      <w:r w:rsidR="00DE29EE">
        <w:rPr>
          <w:rFonts w:ascii="Cambria" w:eastAsia="Cambria" w:hAnsi="Cambria" w:cs="Cambria"/>
        </w:rPr>
        <w:t>Itovebi</w:t>
      </w:r>
      <w:r>
        <w:rPr>
          <w:rFonts w:ascii="Cambria" w:eastAsia="Cambria" w:hAnsi="Cambria" w:cs="Cambria"/>
        </w:rPr>
        <w:t xml:space="preserve"> in patients 65 years and older do not suggest overall differences compared to younger patients. Analysis of the safety of </w:t>
      </w:r>
      <w:r w:rsidR="00DE29EE">
        <w:rPr>
          <w:rFonts w:ascii="Cambria" w:eastAsia="Cambria" w:hAnsi="Cambria" w:cs="Cambria"/>
        </w:rPr>
        <w:t>Itovebi</w:t>
      </w:r>
      <w:r>
        <w:rPr>
          <w:rFonts w:ascii="Cambria" w:eastAsia="Cambria" w:hAnsi="Cambria" w:cs="Cambria"/>
        </w:rPr>
        <w:t xml:space="preserve"> comparing patients ≥ 65 years of age to younger patients </w:t>
      </w:r>
      <w:r w:rsidR="009F4DD1">
        <w:rPr>
          <w:rFonts w:ascii="Cambria" w:eastAsia="Cambria" w:hAnsi="Cambria" w:cs="Cambria"/>
        </w:rPr>
        <w:t>suggests</w:t>
      </w:r>
      <w:r>
        <w:rPr>
          <w:rFonts w:ascii="Cambria" w:eastAsia="Cambria" w:hAnsi="Cambria" w:cs="Cambria"/>
        </w:rPr>
        <w:t xml:space="preserve"> a higher incidence of </w:t>
      </w:r>
      <w:r w:rsidR="00DE29EE">
        <w:rPr>
          <w:rFonts w:ascii="Cambria" w:eastAsia="Cambria" w:hAnsi="Cambria" w:cs="Cambria"/>
        </w:rPr>
        <w:t>Itovebi</w:t>
      </w:r>
      <w:r>
        <w:rPr>
          <w:rFonts w:ascii="Cambria" w:eastAsia="Cambria" w:hAnsi="Cambria" w:cs="Cambria"/>
        </w:rPr>
        <w:t xml:space="preserve"> dosage modifications/interruptions (79.2% versus 68.1%). There are an insufficient number of patients ≥ 75 years of age to assess whether there are differences in safety or efficacy. </w:t>
      </w:r>
    </w:p>
    <w:p w14:paraId="034DC561" w14:textId="77777777" w:rsidR="005972A9" w:rsidRDefault="004A79CA" w:rsidP="00B4667A">
      <w:pPr>
        <w:pStyle w:val="Heading3"/>
        <w:spacing w:before="0"/>
        <w:ind w:firstLine="227"/>
      </w:pPr>
      <w:r>
        <w:t>Paediatric use</w:t>
      </w:r>
    </w:p>
    <w:p w14:paraId="5999BC7B" w14:textId="77777777" w:rsidR="005972A9" w:rsidRDefault="004A79CA">
      <w:pPr>
        <w:rPr>
          <w:rFonts w:ascii="Cambria" w:eastAsia="Cambria" w:hAnsi="Cambria" w:cs="Cambria"/>
        </w:rPr>
      </w:pPr>
      <w:r>
        <w:rPr>
          <w:rFonts w:ascii="Cambria" w:eastAsia="Cambria" w:hAnsi="Cambria" w:cs="Cambria"/>
        </w:rPr>
        <w:t xml:space="preserve">The safety and efficacy of </w:t>
      </w:r>
      <w:r w:rsidR="00DE29EE">
        <w:rPr>
          <w:rFonts w:ascii="Cambria" w:eastAsia="Cambria" w:hAnsi="Cambria" w:cs="Cambria"/>
          <w:color w:val="000000"/>
          <w:highlight w:val="white"/>
        </w:rPr>
        <w:t>Itovebi</w:t>
      </w:r>
      <w:r>
        <w:rPr>
          <w:rFonts w:ascii="Cambria" w:eastAsia="Cambria" w:hAnsi="Cambria" w:cs="Cambria"/>
        </w:rPr>
        <w:t xml:space="preserve"> in pediatric patients </w:t>
      </w:r>
      <w:proofErr w:type="gramStart"/>
      <w:r>
        <w:rPr>
          <w:rFonts w:ascii="Cambria" w:eastAsia="Cambria" w:hAnsi="Cambria" w:cs="Cambria"/>
        </w:rPr>
        <w:t>have</w:t>
      </w:r>
      <w:proofErr w:type="gramEnd"/>
      <w:r>
        <w:rPr>
          <w:rFonts w:ascii="Cambria" w:eastAsia="Cambria" w:hAnsi="Cambria" w:cs="Cambria"/>
        </w:rPr>
        <w:t xml:space="preserve"> not been established.</w:t>
      </w:r>
    </w:p>
    <w:p w14:paraId="79E094E5" w14:textId="77777777" w:rsidR="005972A9" w:rsidRDefault="004A79CA" w:rsidP="00B4667A">
      <w:pPr>
        <w:pStyle w:val="Heading3"/>
        <w:spacing w:before="0"/>
        <w:ind w:firstLine="227"/>
      </w:pPr>
      <w:r>
        <w:t>Effects on laboratory tests</w:t>
      </w:r>
    </w:p>
    <w:p w14:paraId="37BD20B5" w14:textId="60C66ADA" w:rsidR="005972A9" w:rsidRDefault="004A79CA">
      <w:pPr>
        <w:rPr>
          <w:rFonts w:ascii="Cambria" w:eastAsia="Cambria" w:hAnsi="Cambria" w:cs="Cambria"/>
        </w:rPr>
      </w:pPr>
      <w:r>
        <w:rPr>
          <w:rFonts w:ascii="Cambria" w:eastAsia="Cambria" w:hAnsi="Cambria" w:cs="Cambria"/>
        </w:rPr>
        <w:t xml:space="preserve">See section 4.8 Adverse </w:t>
      </w:r>
      <w:r w:rsidR="005C48E3">
        <w:rPr>
          <w:rFonts w:ascii="Cambria" w:eastAsia="Cambria" w:hAnsi="Cambria" w:cs="Cambria"/>
        </w:rPr>
        <w:t>E</w:t>
      </w:r>
      <w:r>
        <w:rPr>
          <w:rFonts w:ascii="Cambria" w:eastAsia="Cambria" w:hAnsi="Cambria" w:cs="Cambria"/>
        </w:rPr>
        <w:t xml:space="preserve">ffects (Undesirable </w:t>
      </w:r>
      <w:r w:rsidR="005C48E3">
        <w:rPr>
          <w:rFonts w:ascii="Cambria" w:eastAsia="Cambria" w:hAnsi="Cambria" w:cs="Cambria"/>
        </w:rPr>
        <w:t>E</w:t>
      </w:r>
      <w:r>
        <w:rPr>
          <w:rFonts w:ascii="Cambria" w:eastAsia="Cambria" w:hAnsi="Cambria" w:cs="Cambria"/>
        </w:rPr>
        <w:t>ffects)</w:t>
      </w:r>
      <w:r w:rsidR="00032E28">
        <w:rPr>
          <w:rFonts w:ascii="Cambria" w:eastAsia="Cambria" w:hAnsi="Cambria" w:cs="Cambria"/>
        </w:rPr>
        <w:t xml:space="preserve"> </w:t>
      </w:r>
      <w:r>
        <w:rPr>
          <w:rFonts w:ascii="Cambria" w:eastAsia="Cambria" w:hAnsi="Cambria" w:cs="Cambria"/>
        </w:rPr>
        <w:t>-</w:t>
      </w:r>
      <w:r w:rsidR="00032E28">
        <w:rPr>
          <w:rFonts w:ascii="Cambria" w:eastAsia="Cambria" w:hAnsi="Cambria" w:cs="Cambria"/>
        </w:rPr>
        <w:t xml:space="preserve"> </w:t>
      </w:r>
      <w:r>
        <w:rPr>
          <w:rFonts w:ascii="Cambria" w:eastAsia="Cambria" w:hAnsi="Cambria" w:cs="Cambria"/>
        </w:rPr>
        <w:t>Clinical Trials.</w:t>
      </w:r>
    </w:p>
    <w:p w14:paraId="6D9CA1FC" w14:textId="77777777" w:rsidR="005972A9" w:rsidRDefault="004A79CA">
      <w:pPr>
        <w:pStyle w:val="Heading2"/>
        <w:keepNext/>
        <w:keepLines/>
        <w:numPr>
          <w:ilvl w:val="1"/>
          <w:numId w:val="4"/>
        </w:numPr>
        <w:spacing w:before="0" w:after="120"/>
      </w:pPr>
      <w:bookmarkStart w:id="15" w:name="_heading=h.1ksv4uv" w:colFirst="0" w:colLast="0"/>
      <w:bookmarkEnd w:id="15"/>
      <w:r>
        <w:t>Interactions with other medicines and other forms of interactions</w:t>
      </w:r>
    </w:p>
    <w:p w14:paraId="2CFF1F68" w14:textId="77777777" w:rsidR="005972A9" w:rsidRDefault="004A79CA">
      <w:pPr>
        <w:rPr>
          <w:rFonts w:ascii="Cambria" w:eastAsia="Cambria" w:hAnsi="Cambria" w:cs="Cambria"/>
        </w:rPr>
      </w:pPr>
      <w:r>
        <w:rPr>
          <w:rFonts w:ascii="Cambria" w:eastAsia="Cambria" w:hAnsi="Cambria" w:cs="Cambria"/>
        </w:rPr>
        <w:t xml:space="preserve">No pharmacokinetic drug-drug interaction studies have been conducted with </w:t>
      </w:r>
      <w:r w:rsidR="00DE29EE">
        <w:rPr>
          <w:rFonts w:ascii="Cambria" w:eastAsia="Cambria" w:hAnsi="Cambria" w:cs="Cambria"/>
        </w:rPr>
        <w:t>Itovebi</w:t>
      </w:r>
      <w:r>
        <w:rPr>
          <w:rFonts w:ascii="Cambria" w:eastAsia="Cambria" w:hAnsi="Cambria" w:cs="Cambria"/>
        </w:rPr>
        <w:t xml:space="preserve">. </w:t>
      </w:r>
    </w:p>
    <w:p w14:paraId="5264B11F" w14:textId="77777777" w:rsidR="005972A9" w:rsidRDefault="004A79CA" w:rsidP="00B4667A">
      <w:pPr>
        <w:pStyle w:val="Heading3"/>
        <w:ind w:firstLine="227"/>
      </w:pPr>
      <w:r>
        <w:t>Effects of inavolisib on other drugs</w:t>
      </w:r>
    </w:p>
    <w:p w14:paraId="7BEBD204" w14:textId="6E142A55" w:rsidR="005972A9" w:rsidRDefault="004A79CA">
      <w:pPr>
        <w:rPr>
          <w:rFonts w:ascii="Cambria" w:eastAsia="Cambria" w:hAnsi="Cambria" w:cs="Cambria"/>
        </w:rPr>
      </w:pPr>
      <w:r>
        <w:rPr>
          <w:rFonts w:ascii="Cambria" w:eastAsia="Cambria" w:hAnsi="Cambria" w:cs="Cambria"/>
          <w:u w:val="single"/>
        </w:rPr>
        <w:t>CYP Substrates</w:t>
      </w:r>
    </w:p>
    <w:p w14:paraId="20E4E8E7" w14:textId="34F0BF65" w:rsidR="005972A9" w:rsidRDefault="004A79CA">
      <w:pPr>
        <w:rPr>
          <w:rFonts w:ascii="Cambria" w:eastAsia="Cambria" w:hAnsi="Cambria" w:cs="Cambria"/>
        </w:rPr>
      </w:pPr>
      <w:r>
        <w:rPr>
          <w:rFonts w:ascii="Cambria" w:eastAsia="Cambria" w:hAnsi="Cambria" w:cs="Cambria"/>
          <w:i/>
        </w:rPr>
        <w:t>In vitro</w:t>
      </w:r>
      <w:r w:rsidR="002E58A1">
        <w:rPr>
          <w:rFonts w:ascii="Cambria" w:eastAsia="Cambria" w:hAnsi="Cambria" w:cs="Cambria"/>
        </w:rPr>
        <w:t>, inavolisib induced CYP2B</w:t>
      </w:r>
      <w:proofErr w:type="gramStart"/>
      <w:r w:rsidR="002E58A1">
        <w:rPr>
          <w:rFonts w:ascii="Cambria" w:eastAsia="Cambria" w:hAnsi="Cambria" w:cs="Cambria"/>
        </w:rPr>
        <w:t>6</w:t>
      </w:r>
      <w:r w:rsidR="009E2DEF">
        <w:rPr>
          <w:rFonts w:ascii="Cambria" w:eastAsia="Cambria" w:hAnsi="Cambria" w:cs="Cambria"/>
        </w:rPr>
        <w:t xml:space="preserve">, </w:t>
      </w:r>
      <w:r w:rsidR="002E58A1">
        <w:rPr>
          <w:rFonts w:ascii="Cambria" w:eastAsia="Cambria" w:hAnsi="Cambria" w:cs="Cambria"/>
        </w:rPr>
        <w:t xml:space="preserve"> CYP</w:t>
      </w:r>
      <w:proofErr w:type="gramEnd"/>
      <w:r w:rsidR="002E58A1">
        <w:rPr>
          <w:rFonts w:ascii="Cambria" w:eastAsia="Cambria" w:hAnsi="Cambria" w:cs="Cambria"/>
        </w:rPr>
        <w:t>3A4</w:t>
      </w:r>
      <w:r w:rsidR="009E2DEF">
        <w:rPr>
          <w:rFonts w:ascii="Cambria" w:eastAsia="Cambria" w:hAnsi="Cambria" w:cs="Cambria"/>
        </w:rPr>
        <w:t>,</w:t>
      </w:r>
      <w:r w:rsidR="002E58A1">
        <w:rPr>
          <w:rFonts w:ascii="Cambria" w:eastAsia="Cambria" w:hAnsi="Cambria" w:cs="Cambria"/>
        </w:rPr>
        <w:t xml:space="preserve"> </w:t>
      </w:r>
      <w:r w:rsidR="009E2DEF">
        <w:rPr>
          <w:rFonts w:ascii="Cambria" w:eastAsia="Cambria" w:hAnsi="Cambria" w:cs="Cambria"/>
        </w:rPr>
        <w:t xml:space="preserve">CYP2C8, CYP2C9 and CYP2C19, </w:t>
      </w:r>
      <w:r w:rsidR="002E58A1">
        <w:rPr>
          <w:rFonts w:ascii="Cambria" w:eastAsia="Cambria" w:hAnsi="Cambria" w:cs="Cambria"/>
        </w:rPr>
        <w:t xml:space="preserve">and was a time-dependent inhibitor of CYP3A. Inavolisib was not an inducer of CYP1A2 and no clinically relevant inhibition of CYP1A2, CYP2B6, CYP2C8, CYP2C9, CYP2C19, or CYP2D6 was seen. </w:t>
      </w:r>
    </w:p>
    <w:p w14:paraId="08C7ACBB" w14:textId="6EA1D1FF" w:rsidR="005972A9" w:rsidRDefault="004A79CA">
      <w:pPr>
        <w:rPr>
          <w:rFonts w:ascii="Cambria" w:eastAsia="Cambria" w:hAnsi="Cambria" w:cs="Cambria"/>
        </w:rPr>
      </w:pPr>
      <w:r>
        <w:rPr>
          <w:rFonts w:ascii="Cambria" w:eastAsia="Cambria" w:hAnsi="Cambria" w:cs="Cambria"/>
          <w:u w:val="single"/>
        </w:rPr>
        <w:t>Transporters</w:t>
      </w:r>
    </w:p>
    <w:p w14:paraId="6F3A27FF" w14:textId="77777777" w:rsidR="005972A9" w:rsidRDefault="004A79CA">
      <w:pPr>
        <w:rPr>
          <w:rFonts w:ascii="Cambria" w:eastAsia="Cambria" w:hAnsi="Cambria" w:cs="Cambria"/>
        </w:rPr>
      </w:pPr>
      <w:r w:rsidRPr="008A3040">
        <w:rPr>
          <w:rFonts w:ascii="Cambria" w:eastAsia="Cambria" w:hAnsi="Cambria" w:cs="Cambria"/>
          <w:i/>
          <w:iCs/>
        </w:rPr>
        <w:t>In vitro</w:t>
      </w:r>
      <w:r>
        <w:rPr>
          <w:rFonts w:ascii="Cambria" w:eastAsia="Cambria" w:hAnsi="Cambria" w:cs="Cambria"/>
        </w:rPr>
        <w:t xml:space="preserve"> studies have shown that inavolisib does not appear to have the potential to inhibit any of the transporters tested (P-glycoprotein [P-gp], breast cancer resistance protein [BCRP], OATP1B1, OATP1B3, OCT1, OCT2, MATE1, MATE2K, OAT1, or OAT3) at clinically relevant concentrations.</w:t>
      </w:r>
    </w:p>
    <w:p w14:paraId="251D45F8" w14:textId="77777777" w:rsidR="005972A9" w:rsidRDefault="004A79CA" w:rsidP="00B4667A">
      <w:pPr>
        <w:pStyle w:val="Heading3"/>
        <w:ind w:firstLine="227"/>
      </w:pPr>
      <w:r>
        <w:t>Effects of other drugs on inavolisib</w:t>
      </w:r>
    </w:p>
    <w:p w14:paraId="6F11F6F5" w14:textId="532FCE3A" w:rsidR="005972A9" w:rsidRDefault="004A79CA" w:rsidP="00375767">
      <w:pPr>
        <w:keepNext/>
        <w:rPr>
          <w:rFonts w:ascii="Cambria" w:eastAsia="Cambria" w:hAnsi="Cambria" w:cs="Cambria"/>
        </w:rPr>
      </w:pPr>
      <w:r>
        <w:rPr>
          <w:rFonts w:ascii="Cambria" w:eastAsia="Cambria" w:hAnsi="Cambria" w:cs="Cambria"/>
          <w:u w:val="single"/>
        </w:rPr>
        <w:t>CYP Inhibitors/Inducers</w:t>
      </w:r>
    </w:p>
    <w:p w14:paraId="1F3C1A3B" w14:textId="77777777" w:rsidR="005972A9" w:rsidRDefault="002E58A1">
      <w:pPr>
        <w:rPr>
          <w:rFonts w:ascii="Cambria" w:eastAsia="Cambria" w:hAnsi="Cambria" w:cs="Cambria"/>
        </w:rPr>
      </w:pPr>
      <w:r>
        <w:rPr>
          <w:rFonts w:ascii="Cambria" w:eastAsia="Cambria" w:hAnsi="Cambria" w:cs="Cambria"/>
        </w:rPr>
        <w:t>Inavolisib is not a substrate for</w:t>
      </w:r>
      <w:r w:rsidR="004A79CA">
        <w:rPr>
          <w:rFonts w:ascii="Cambria" w:eastAsia="Cambria" w:hAnsi="Cambria" w:cs="Cambria"/>
        </w:rPr>
        <w:t xml:space="preserve"> CYP</w:t>
      </w:r>
      <w:r>
        <w:rPr>
          <w:rFonts w:ascii="Cambria" w:eastAsia="Cambria" w:hAnsi="Cambria" w:cs="Cambria"/>
        </w:rPr>
        <w:t>450</w:t>
      </w:r>
      <w:r w:rsidR="004A79CA">
        <w:rPr>
          <w:rFonts w:ascii="Cambria" w:eastAsia="Cambria" w:hAnsi="Cambria" w:cs="Cambria"/>
        </w:rPr>
        <w:t xml:space="preserve"> enzymes, suggesting a low likelihood of interaction between inavolisib and CYP inhibitors or inducers.</w:t>
      </w:r>
    </w:p>
    <w:p w14:paraId="5FC6FB69" w14:textId="18BF4022" w:rsidR="005972A9" w:rsidRDefault="004A79CA">
      <w:pPr>
        <w:rPr>
          <w:rFonts w:ascii="Cambria" w:eastAsia="Cambria" w:hAnsi="Cambria" w:cs="Cambria"/>
        </w:rPr>
      </w:pPr>
      <w:r>
        <w:rPr>
          <w:rFonts w:ascii="Cambria" w:eastAsia="Cambria" w:hAnsi="Cambria" w:cs="Cambria"/>
          <w:u w:val="single"/>
        </w:rPr>
        <w:t>Transporters</w:t>
      </w:r>
    </w:p>
    <w:p w14:paraId="6FA7CAE6" w14:textId="77777777" w:rsidR="005972A9" w:rsidRDefault="004A79CA">
      <w:pPr>
        <w:rPr>
          <w:rFonts w:ascii="Cambria" w:eastAsia="Cambria" w:hAnsi="Cambria" w:cs="Cambria"/>
        </w:rPr>
      </w:pPr>
      <w:r w:rsidRPr="008A3040">
        <w:rPr>
          <w:rFonts w:ascii="Cambria" w:eastAsia="Cambria" w:hAnsi="Cambria" w:cs="Cambria"/>
          <w:i/>
          <w:iCs/>
        </w:rPr>
        <w:t>In vitro</w:t>
      </w:r>
      <w:r>
        <w:rPr>
          <w:rFonts w:ascii="Cambria" w:eastAsia="Cambria" w:hAnsi="Cambria" w:cs="Cambria"/>
        </w:rPr>
        <w:t xml:space="preserve"> studies have shown that inavolisib is not a substrate of OATP1B1, OATP1B3, OCT1, OCT2, OAT1, OAT2, MATE1, or MATE2K, but is a substrate of P-gp and BCRP. However, based on the pharmacokinetic profile of inavolisib, inhibitors or inducers of P-gp and/or BCRP are not expected to have a clinically relevant drug-drug interaction with inavolisib.  </w:t>
      </w:r>
    </w:p>
    <w:p w14:paraId="131FDF01" w14:textId="7AD8D474" w:rsidR="005972A9" w:rsidRDefault="004A79CA" w:rsidP="000B6937">
      <w:pPr>
        <w:keepNext/>
        <w:rPr>
          <w:rFonts w:ascii="Cambria" w:eastAsia="Cambria" w:hAnsi="Cambria" w:cs="Cambria"/>
        </w:rPr>
      </w:pPr>
      <w:r>
        <w:rPr>
          <w:rFonts w:ascii="Cambria" w:eastAsia="Cambria" w:hAnsi="Cambria" w:cs="Cambria"/>
          <w:u w:val="single"/>
        </w:rPr>
        <w:t>Acid-reducing Agents</w:t>
      </w:r>
    </w:p>
    <w:p w14:paraId="48BAF02C" w14:textId="77777777" w:rsidR="005972A9" w:rsidRDefault="004A79CA">
      <w:pPr>
        <w:rPr>
          <w:rFonts w:ascii="Cambria" w:eastAsia="Cambria" w:hAnsi="Cambria" w:cs="Cambria"/>
        </w:rPr>
      </w:pPr>
      <w:r>
        <w:rPr>
          <w:rFonts w:ascii="Cambria" w:eastAsia="Cambria" w:hAnsi="Cambria" w:cs="Cambria"/>
        </w:rPr>
        <w:t>In clinical studies, concomitant use of proton pump inhibitors did not have a clinically meaningful effect on inavolisib exposure.</w:t>
      </w:r>
    </w:p>
    <w:p w14:paraId="469C9469" w14:textId="77777777" w:rsidR="005972A9" w:rsidRDefault="004A79CA">
      <w:pPr>
        <w:pStyle w:val="Heading2"/>
        <w:numPr>
          <w:ilvl w:val="1"/>
          <w:numId w:val="4"/>
        </w:numPr>
        <w:spacing w:before="0" w:after="120"/>
      </w:pPr>
      <w:r>
        <w:lastRenderedPageBreak/>
        <w:t xml:space="preserve">Fertility, pregnancy and lactation </w:t>
      </w:r>
    </w:p>
    <w:p w14:paraId="7FF66478" w14:textId="77777777" w:rsidR="005972A9" w:rsidRDefault="004A79CA" w:rsidP="00B4667A">
      <w:pPr>
        <w:pStyle w:val="Heading3"/>
        <w:spacing w:before="0"/>
        <w:ind w:firstLine="227"/>
      </w:pPr>
      <w:r>
        <w:t>Effects on fertility</w:t>
      </w:r>
    </w:p>
    <w:p w14:paraId="2A79581D" w14:textId="77777777" w:rsidR="005972A9" w:rsidRDefault="002E58A1">
      <w:pPr>
        <w:rPr>
          <w:rFonts w:ascii="Cambria" w:eastAsia="Cambria" w:hAnsi="Cambria" w:cs="Cambria"/>
        </w:rPr>
      </w:pPr>
      <w:r>
        <w:rPr>
          <w:rFonts w:ascii="Cambria" w:eastAsia="Cambria" w:hAnsi="Cambria" w:cs="Cambria"/>
        </w:rPr>
        <w:t>No</w:t>
      </w:r>
      <w:r w:rsidR="004A79CA">
        <w:rPr>
          <w:rFonts w:ascii="Cambria" w:eastAsia="Cambria" w:hAnsi="Cambria" w:cs="Cambria"/>
        </w:rPr>
        <w:t xml:space="preserve"> clinical studies </w:t>
      </w:r>
      <w:r>
        <w:rPr>
          <w:rFonts w:ascii="Cambria" w:eastAsia="Cambria" w:hAnsi="Cambria" w:cs="Cambria"/>
        </w:rPr>
        <w:t xml:space="preserve">have been </w:t>
      </w:r>
      <w:r w:rsidR="004A79CA">
        <w:rPr>
          <w:rFonts w:ascii="Cambria" w:eastAsia="Cambria" w:hAnsi="Cambria" w:cs="Cambria"/>
        </w:rPr>
        <w:t xml:space="preserve">conducted to evaluate the effect of </w:t>
      </w:r>
      <w:r w:rsidR="00DE29EE">
        <w:rPr>
          <w:rFonts w:ascii="Cambria" w:eastAsia="Cambria" w:hAnsi="Cambria" w:cs="Cambria"/>
          <w:color w:val="000000"/>
          <w:highlight w:val="white"/>
        </w:rPr>
        <w:t>Itovebi</w:t>
      </w:r>
      <w:r w:rsidR="004A79CA">
        <w:rPr>
          <w:rFonts w:ascii="Cambria" w:eastAsia="Cambria" w:hAnsi="Cambria" w:cs="Cambria"/>
          <w:color w:val="00B050"/>
        </w:rPr>
        <w:t xml:space="preserve"> </w:t>
      </w:r>
      <w:r w:rsidR="004A79CA">
        <w:rPr>
          <w:rFonts w:ascii="Cambria" w:eastAsia="Cambria" w:hAnsi="Cambria" w:cs="Cambria"/>
        </w:rPr>
        <w:t xml:space="preserve">on fertility. Based on animal studies, inavolisib may impact fertility in females and males of reproductive potential. </w:t>
      </w:r>
    </w:p>
    <w:p w14:paraId="0C362894" w14:textId="77777777" w:rsidR="00902533" w:rsidRDefault="002E58A1" w:rsidP="002E58A1">
      <w:pPr>
        <w:pBdr>
          <w:top w:val="nil"/>
          <w:left w:val="nil"/>
          <w:bottom w:val="nil"/>
          <w:right w:val="nil"/>
          <w:between w:val="nil"/>
        </w:pBdr>
        <w:spacing w:after="0"/>
        <w:rPr>
          <w:rFonts w:ascii="Cambria" w:eastAsia="Cambria" w:hAnsi="Cambria" w:cs="Cambria"/>
          <w:color w:val="000000"/>
        </w:rPr>
      </w:pPr>
      <w:r>
        <w:rPr>
          <w:rFonts w:ascii="Cambria" w:eastAsia="Cambria" w:hAnsi="Cambria" w:cs="Cambria"/>
          <w:color w:val="000000"/>
        </w:rPr>
        <w:t>In male rats, dose-dependent atrophy of the prostate and seminal vesicle and decreased organ weights without microscopic correlate in the epididymis and testis were observed</w:t>
      </w:r>
      <w:r w:rsidR="00902533">
        <w:rPr>
          <w:rFonts w:ascii="Cambria" w:eastAsia="Cambria" w:hAnsi="Cambria" w:cs="Cambria"/>
          <w:color w:val="000000"/>
        </w:rPr>
        <w:t xml:space="preserve"> at doses ≥ 1.5 mg/kg/day</w:t>
      </w:r>
      <w:r>
        <w:rPr>
          <w:rFonts w:ascii="Cambria" w:eastAsia="Cambria" w:hAnsi="Cambria" w:cs="Cambria"/>
          <w:color w:val="000000"/>
        </w:rPr>
        <w:t xml:space="preserve"> (≥ 0.4 times the exposure at a clinical dose of 9 mg</w:t>
      </w:r>
      <w:r w:rsidR="00902533">
        <w:rPr>
          <w:rFonts w:ascii="Cambria" w:eastAsia="Cambria" w:hAnsi="Cambria" w:cs="Cambria"/>
          <w:color w:val="000000"/>
        </w:rPr>
        <w:t xml:space="preserve"> PO based on AUC</w:t>
      </w:r>
      <w:r>
        <w:rPr>
          <w:rFonts w:ascii="Cambria" w:eastAsia="Cambria" w:hAnsi="Cambria" w:cs="Cambria"/>
          <w:color w:val="000000"/>
        </w:rPr>
        <w:t xml:space="preserve">). In </w:t>
      </w:r>
      <w:r w:rsidR="00902533">
        <w:rPr>
          <w:rFonts w:ascii="Cambria" w:eastAsia="Cambria" w:hAnsi="Cambria" w:cs="Cambria"/>
          <w:color w:val="000000"/>
        </w:rPr>
        <w:t>male</w:t>
      </w:r>
      <w:r>
        <w:rPr>
          <w:rFonts w:ascii="Cambria" w:eastAsia="Cambria" w:hAnsi="Cambria" w:cs="Cambria"/>
          <w:color w:val="000000"/>
        </w:rPr>
        <w:t xml:space="preserve"> dogs, focal inspissation of seminiferous tubule contents and multinucleated spermatids in the testis and epithelial degeneration/necrosis in the epididymis were observed</w:t>
      </w:r>
      <w:r w:rsidR="00902533">
        <w:rPr>
          <w:rFonts w:ascii="Cambria" w:eastAsia="Cambria" w:hAnsi="Cambria" w:cs="Cambria"/>
          <w:color w:val="000000"/>
        </w:rPr>
        <w:t xml:space="preserve"> following 4 weeks of dosing at 3 mg/kg/day</w:t>
      </w:r>
      <w:r>
        <w:rPr>
          <w:rFonts w:ascii="Cambria" w:eastAsia="Cambria" w:hAnsi="Cambria" w:cs="Cambria"/>
          <w:color w:val="000000"/>
        </w:rPr>
        <w:t xml:space="preserve"> (</w:t>
      </w:r>
      <w:r w:rsidR="00902533">
        <w:rPr>
          <w:rFonts w:ascii="Cambria" w:eastAsia="Cambria" w:hAnsi="Cambria" w:cs="Cambria"/>
          <w:color w:val="000000"/>
        </w:rPr>
        <w:t>5</w:t>
      </w:r>
      <w:r>
        <w:rPr>
          <w:rFonts w:ascii="Cambria" w:eastAsia="Cambria" w:hAnsi="Cambria" w:cs="Cambria"/>
          <w:color w:val="000000"/>
        </w:rPr>
        <w:t xml:space="preserve"> times the exposure at a clinical dose of 9 mg</w:t>
      </w:r>
      <w:r w:rsidR="00902533">
        <w:rPr>
          <w:rFonts w:ascii="Cambria" w:eastAsia="Cambria" w:hAnsi="Cambria" w:cs="Cambria"/>
          <w:color w:val="000000"/>
        </w:rPr>
        <w:t xml:space="preserve"> PO based on AUC</w:t>
      </w:r>
      <w:r>
        <w:rPr>
          <w:rFonts w:ascii="Cambria" w:eastAsia="Cambria" w:hAnsi="Cambria" w:cs="Cambria"/>
          <w:color w:val="000000"/>
        </w:rPr>
        <w:t>)</w:t>
      </w:r>
      <w:r w:rsidR="00902533">
        <w:rPr>
          <w:rFonts w:ascii="Cambria" w:eastAsia="Cambria" w:hAnsi="Cambria" w:cs="Cambria"/>
          <w:color w:val="000000"/>
        </w:rPr>
        <w:t xml:space="preserve"> and decreased sperm count was observed following 3 months of dosing at 1 mg/kg/day (similar to the human exposure at the recommended dose of 9 mg PO based on AUC). The findings in dogs were reversible</w:t>
      </w:r>
      <w:r>
        <w:rPr>
          <w:rFonts w:ascii="Cambria" w:eastAsia="Cambria" w:hAnsi="Cambria" w:cs="Cambria"/>
          <w:color w:val="000000"/>
        </w:rPr>
        <w:t xml:space="preserve">. </w:t>
      </w:r>
    </w:p>
    <w:p w14:paraId="14BF79A7" w14:textId="77777777" w:rsidR="00902533" w:rsidRDefault="00902533" w:rsidP="002E58A1">
      <w:pPr>
        <w:pBdr>
          <w:top w:val="nil"/>
          <w:left w:val="nil"/>
          <w:bottom w:val="nil"/>
          <w:right w:val="nil"/>
          <w:between w:val="nil"/>
        </w:pBdr>
        <w:spacing w:after="0"/>
        <w:rPr>
          <w:rFonts w:ascii="Cambria" w:eastAsia="Cambria" w:hAnsi="Cambria" w:cs="Cambria"/>
          <w:color w:val="000000"/>
        </w:rPr>
      </w:pPr>
    </w:p>
    <w:p w14:paraId="10AAC4E0" w14:textId="6B5B5841" w:rsidR="002E58A1" w:rsidRDefault="009E2DEF" w:rsidP="002E58A1">
      <w:pPr>
        <w:rPr>
          <w:rFonts w:ascii="Cambria" w:eastAsia="Cambria" w:hAnsi="Cambria" w:cs="Cambria"/>
        </w:rPr>
      </w:pPr>
      <w:r w:rsidRPr="009E2DEF">
        <w:rPr>
          <w:rFonts w:ascii="Cambria" w:eastAsia="Cambria" w:hAnsi="Cambria" w:cs="Cambria"/>
          <w:color w:val="000000"/>
        </w:rPr>
        <w:t>In female rats, atrophy in the uterus and vagina, decreased ovarian follicles, and</w:t>
      </w:r>
      <w:r>
        <w:rPr>
          <w:rFonts w:ascii="Cambria" w:eastAsia="Cambria" w:hAnsi="Cambria" w:cs="Cambria"/>
          <w:color w:val="000000"/>
        </w:rPr>
        <w:t>/or</w:t>
      </w:r>
      <w:r w:rsidRPr="009E2DEF">
        <w:rPr>
          <w:rFonts w:ascii="Cambria" w:eastAsia="Cambria" w:hAnsi="Cambria" w:cs="Cambria"/>
          <w:color w:val="000000"/>
        </w:rPr>
        <w:t xml:space="preserve"> findings suggestive of an interruption/alteration of the </w:t>
      </w:r>
      <w:r>
        <w:rPr>
          <w:rFonts w:ascii="Cambria" w:eastAsia="Cambria" w:hAnsi="Cambria" w:cs="Cambria"/>
          <w:color w:val="000000"/>
        </w:rPr>
        <w:t>o</w:t>
      </w:r>
      <w:r w:rsidRPr="009E2DEF">
        <w:rPr>
          <w:rFonts w:ascii="Cambria" w:eastAsia="Cambria" w:hAnsi="Cambria" w:cs="Cambria"/>
          <w:color w:val="000000"/>
        </w:rPr>
        <w:t xml:space="preserve">estrous cycle were observed following </w:t>
      </w:r>
      <w:r>
        <w:rPr>
          <w:rFonts w:ascii="Cambria" w:eastAsia="Cambria" w:hAnsi="Cambria" w:cs="Cambria"/>
          <w:color w:val="000000"/>
        </w:rPr>
        <w:t>4 weeks or</w:t>
      </w:r>
      <w:r w:rsidRPr="009E2DEF">
        <w:rPr>
          <w:rFonts w:ascii="Cambria" w:eastAsia="Cambria" w:hAnsi="Cambria" w:cs="Cambria"/>
          <w:color w:val="000000"/>
        </w:rPr>
        <w:t xml:space="preserve"> 3 months of dosing at doses ≥ 3 mg/kg/day (≥ 1.2 times the human exposure at the recommended dose of 9 mg/day based on AUC). Findings in the uterus, vagina, and </w:t>
      </w:r>
      <w:r w:rsidR="009E23CE">
        <w:rPr>
          <w:rFonts w:ascii="Cambria" w:eastAsia="Cambria" w:hAnsi="Cambria" w:cs="Cambria"/>
          <w:color w:val="000000"/>
        </w:rPr>
        <w:t>o</w:t>
      </w:r>
      <w:r w:rsidRPr="009E2DEF">
        <w:rPr>
          <w:rFonts w:ascii="Cambria" w:eastAsia="Cambria" w:hAnsi="Cambria" w:cs="Cambria"/>
          <w:color w:val="000000"/>
        </w:rPr>
        <w:t xml:space="preserve">estrous cycle observed in the 4-week toxicity study were not observed following </w:t>
      </w:r>
      <w:r>
        <w:rPr>
          <w:rFonts w:ascii="Cambria" w:eastAsia="Cambria" w:hAnsi="Cambria" w:cs="Cambria"/>
          <w:color w:val="000000"/>
        </w:rPr>
        <w:t xml:space="preserve">4 weeks of </w:t>
      </w:r>
      <w:r w:rsidRPr="009E2DEF">
        <w:rPr>
          <w:rFonts w:ascii="Cambria" w:eastAsia="Cambria" w:hAnsi="Cambria" w:cs="Cambria"/>
          <w:color w:val="000000"/>
        </w:rPr>
        <w:t>recovery. Recovery was not</w:t>
      </w:r>
      <w:r w:rsidRPr="009E2DEF">
        <w:t xml:space="preserve"> </w:t>
      </w:r>
      <w:r w:rsidRPr="009E2DEF">
        <w:rPr>
          <w:rFonts w:ascii="Cambria" w:eastAsia="Cambria" w:hAnsi="Cambria" w:cs="Cambria"/>
          <w:color w:val="000000"/>
        </w:rPr>
        <w:t>assessed in the 3-month study in rats.</w:t>
      </w:r>
    </w:p>
    <w:p w14:paraId="024F8A9D" w14:textId="77777777" w:rsidR="005972A9" w:rsidRDefault="004A79CA" w:rsidP="00B4667A">
      <w:pPr>
        <w:pStyle w:val="Heading3"/>
        <w:spacing w:before="0"/>
        <w:ind w:firstLine="227"/>
      </w:pPr>
      <w:r>
        <w:t>Use in pregnancy – Pregnancy Category D</w:t>
      </w:r>
    </w:p>
    <w:p w14:paraId="40855638" w14:textId="77777777" w:rsidR="005972A9" w:rsidRDefault="00DE29EE">
      <w:pPr>
        <w:spacing w:after="250"/>
        <w:rPr>
          <w:rFonts w:ascii="Cambria" w:eastAsia="Cambria" w:hAnsi="Cambria" w:cs="Cambria"/>
          <w:color w:val="000000"/>
        </w:rPr>
      </w:pPr>
      <w:r>
        <w:rPr>
          <w:rFonts w:ascii="Cambria" w:eastAsia="Cambria" w:hAnsi="Cambria" w:cs="Cambria"/>
          <w:color w:val="000000"/>
          <w:highlight w:val="white"/>
        </w:rPr>
        <w:t>Itovebi</w:t>
      </w:r>
      <w:r w:rsidR="004A79CA">
        <w:rPr>
          <w:rFonts w:ascii="Cambria" w:eastAsia="Cambria" w:hAnsi="Cambria" w:cs="Cambria"/>
          <w:color w:val="000000"/>
        </w:rPr>
        <w:t xml:space="preserve"> is not recommended during pregnancy. </w:t>
      </w:r>
    </w:p>
    <w:p w14:paraId="56496A20" w14:textId="6BD203DB" w:rsidR="00ED7640" w:rsidRDefault="004A79CA">
      <w:pPr>
        <w:rPr>
          <w:rFonts w:ascii="Cambria" w:eastAsia="Cambria" w:hAnsi="Cambria" w:cs="Cambria"/>
        </w:rPr>
      </w:pPr>
      <w:r>
        <w:rPr>
          <w:rFonts w:ascii="Cambria" w:eastAsia="Cambria" w:hAnsi="Cambria" w:cs="Cambria"/>
          <w:color w:val="000000"/>
        </w:rPr>
        <w:t xml:space="preserve">No clinical studies of </w:t>
      </w:r>
      <w:r w:rsidR="00DE29EE">
        <w:rPr>
          <w:rFonts w:ascii="Cambria" w:eastAsia="Cambria" w:hAnsi="Cambria" w:cs="Cambria"/>
          <w:color w:val="000000"/>
          <w:highlight w:val="white"/>
        </w:rPr>
        <w:t>Itovebi</w:t>
      </w:r>
      <w:r>
        <w:rPr>
          <w:rFonts w:ascii="Cambria" w:eastAsia="Cambria" w:hAnsi="Cambria" w:cs="Cambria"/>
          <w:color w:val="000000"/>
        </w:rPr>
        <w:t xml:space="preserve"> in pregnant women have been performed. Based on </w:t>
      </w:r>
      <w:r>
        <w:rPr>
          <w:rFonts w:ascii="Cambria" w:eastAsia="Cambria" w:hAnsi="Cambria" w:cs="Cambria"/>
        </w:rPr>
        <w:t>animal studies and the pharmacological activity of inavolisib</w:t>
      </w:r>
      <w:r>
        <w:rPr>
          <w:rFonts w:ascii="Cambria" w:eastAsia="Cambria" w:hAnsi="Cambria" w:cs="Cambria"/>
          <w:color w:val="000000"/>
        </w:rPr>
        <w:t xml:space="preserve">, </w:t>
      </w:r>
      <w:r w:rsidR="00DE29EE">
        <w:rPr>
          <w:rFonts w:ascii="Cambria" w:eastAsia="Cambria" w:hAnsi="Cambria" w:cs="Cambria"/>
          <w:color w:val="000000"/>
          <w:highlight w:val="white"/>
        </w:rPr>
        <w:t>Itovebi</w:t>
      </w:r>
      <w:r>
        <w:rPr>
          <w:rFonts w:ascii="Cambria" w:eastAsia="Cambria" w:hAnsi="Cambria" w:cs="Cambria"/>
          <w:color w:val="000000"/>
          <w:highlight w:val="white"/>
        </w:rPr>
        <w:t xml:space="preserve"> </w:t>
      </w:r>
      <w:r>
        <w:rPr>
          <w:rFonts w:ascii="Cambria" w:eastAsia="Cambria" w:hAnsi="Cambria" w:cs="Cambria"/>
          <w:color w:val="000000"/>
        </w:rPr>
        <w:t>is expected to cause fetal harm when administered to pregnant women, including teratogenicity and miscarriage (</w:t>
      </w:r>
      <w:r>
        <w:rPr>
          <w:rFonts w:ascii="Cambria" w:eastAsia="Cambria" w:hAnsi="Cambria" w:cs="Cambria"/>
        </w:rPr>
        <w:t>see section</w:t>
      </w:r>
      <w:r w:rsidR="005B0030">
        <w:rPr>
          <w:rFonts w:ascii="Cambria" w:eastAsia="Cambria" w:hAnsi="Cambria" w:cs="Cambria"/>
        </w:rPr>
        <w:t xml:space="preserve"> </w:t>
      </w:r>
      <w:r>
        <w:rPr>
          <w:rFonts w:ascii="Cambria" w:eastAsia="Cambria" w:hAnsi="Cambria" w:cs="Cambria"/>
        </w:rPr>
        <w:t xml:space="preserve">4.4  </w:t>
      </w:r>
      <w:r w:rsidR="00AA4070">
        <w:rPr>
          <w:rFonts w:ascii="Cambria" w:eastAsia="Cambria" w:hAnsi="Cambria" w:cs="Cambria"/>
        </w:rPr>
        <w:t xml:space="preserve"> </w:t>
      </w:r>
      <w:r>
        <w:rPr>
          <w:rFonts w:ascii="Cambria" w:eastAsia="Cambria" w:hAnsi="Cambria" w:cs="Cambria"/>
        </w:rPr>
        <w:t xml:space="preserve"> </w:t>
      </w:r>
      <w:r w:rsidR="00E83483">
        <w:rPr>
          <w:rFonts w:ascii="Cambria" w:eastAsia="Cambria" w:hAnsi="Cambria" w:cs="Cambria"/>
          <w:color w:val="000000"/>
        </w:rPr>
        <w:t xml:space="preserve">Special Warnings and Precautions </w:t>
      </w:r>
      <w:proofErr w:type="gramStart"/>
      <w:r w:rsidR="00E83483">
        <w:rPr>
          <w:rFonts w:ascii="Cambria" w:eastAsia="Cambria" w:hAnsi="Cambria" w:cs="Cambria"/>
          <w:color w:val="000000"/>
        </w:rPr>
        <w:t>For</w:t>
      </w:r>
      <w:proofErr w:type="gramEnd"/>
      <w:r w:rsidR="00E83483">
        <w:rPr>
          <w:rFonts w:ascii="Cambria" w:eastAsia="Cambria" w:hAnsi="Cambria" w:cs="Cambria"/>
          <w:color w:val="000000"/>
        </w:rPr>
        <w:t xml:space="preserve"> Use</w:t>
      </w:r>
      <w:r w:rsidR="005B0030">
        <w:rPr>
          <w:rFonts w:ascii="Cambria" w:eastAsia="Cambria" w:hAnsi="Cambria" w:cs="Cambria"/>
        </w:rPr>
        <w:t xml:space="preserve"> </w:t>
      </w:r>
      <w:r>
        <w:rPr>
          <w:rFonts w:ascii="Cambria" w:eastAsia="Cambria" w:hAnsi="Cambria" w:cs="Cambria"/>
        </w:rPr>
        <w:t xml:space="preserve">- Females and males of reproductive potential). </w:t>
      </w:r>
    </w:p>
    <w:p w14:paraId="59793EEA" w14:textId="331BFC78" w:rsidR="005972A9" w:rsidRPr="000B6937" w:rsidRDefault="00ED7640">
      <w:pPr>
        <w:rPr>
          <w:rFonts w:ascii="Cambria" w:eastAsia="Cambria" w:hAnsi="Cambria" w:cs="Cambria"/>
        </w:rPr>
      </w:pPr>
      <w:r w:rsidRPr="000B6937">
        <w:rPr>
          <w:rFonts w:ascii="Cambria" w:eastAsia="Cambria" w:hAnsi="Cambria" w:cs="Cambria"/>
          <w:lang w:val="en-AU"/>
        </w:rPr>
        <w:t>Oral administration of doses ≥ 2 mg/kg/day to pregnant rats during the period of organogenesis resulted in lower fetal body weights and placental weights, embryofetal death, fetal malformations (including kyphosis of vertebral column, fused thoracic arch, microphthalmia) and variations (including dilated renal pelvis, short supernumerary rib, wavy rib). At a dose of 2 mg/kg/day, maternal exposures were 0.8 times the human exposure at the recommended dose of 9 mg/day based on AUC.</w:t>
      </w:r>
    </w:p>
    <w:p w14:paraId="1B6F896D" w14:textId="77777777" w:rsidR="005972A9" w:rsidRDefault="004A79CA">
      <w:pPr>
        <w:rPr>
          <w:rFonts w:ascii="Cambria" w:eastAsia="Cambria" w:hAnsi="Cambria" w:cs="Cambria"/>
          <w:color w:val="000000"/>
          <w:u w:val="single"/>
        </w:rPr>
      </w:pPr>
      <w:r>
        <w:rPr>
          <w:rFonts w:ascii="Cambria" w:eastAsia="Cambria" w:hAnsi="Cambria" w:cs="Cambria"/>
          <w:color w:val="000000"/>
          <w:u w:val="single"/>
        </w:rPr>
        <w:t>Labour and Delivery</w:t>
      </w:r>
    </w:p>
    <w:p w14:paraId="20F7DC16" w14:textId="77777777" w:rsidR="005972A9" w:rsidRDefault="004A79CA">
      <w:pPr>
        <w:rPr>
          <w:rFonts w:ascii="Cambria" w:eastAsia="Cambria" w:hAnsi="Cambria" w:cs="Cambria"/>
        </w:rPr>
      </w:pPr>
      <w:r>
        <w:rPr>
          <w:rFonts w:ascii="Cambria" w:eastAsia="Cambria" w:hAnsi="Cambria" w:cs="Cambria"/>
        </w:rPr>
        <w:t xml:space="preserve">The use of </w:t>
      </w:r>
      <w:r w:rsidR="00DE29EE">
        <w:rPr>
          <w:rFonts w:ascii="Cambria" w:eastAsia="Cambria" w:hAnsi="Cambria" w:cs="Cambria"/>
          <w:color w:val="000000"/>
          <w:highlight w:val="white"/>
        </w:rPr>
        <w:t>Itovebi</w:t>
      </w:r>
      <w:r>
        <w:rPr>
          <w:rFonts w:ascii="Cambria" w:eastAsia="Cambria" w:hAnsi="Cambria" w:cs="Cambria"/>
        </w:rPr>
        <w:t xml:space="preserve"> during labour and delivery has not been established.</w:t>
      </w:r>
    </w:p>
    <w:p w14:paraId="5FC30863" w14:textId="77777777" w:rsidR="005972A9" w:rsidRDefault="004A79CA" w:rsidP="00B4667A">
      <w:pPr>
        <w:pStyle w:val="Heading3"/>
        <w:spacing w:before="0"/>
        <w:ind w:firstLine="227"/>
      </w:pPr>
      <w:r>
        <w:t xml:space="preserve">Use in lactation. </w:t>
      </w:r>
    </w:p>
    <w:p w14:paraId="5825BA58" w14:textId="77777777" w:rsidR="005972A9" w:rsidRDefault="004A79CA">
      <w:pPr>
        <w:pBdr>
          <w:top w:val="nil"/>
          <w:left w:val="nil"/>
          <w:bottom w:val="nil"/>
          <w:right w:val="nil"/>
          <w:between w:val="nil"/>
        </w:pBdr>
        <w:spacing w:after="250"/>
        <w:rPr>
          <w:rFonts w:ascii="Cambria" w:eastAsia="Cambria" w:hAnsi="Cambria" w:cs="Cambria"/>
          <w:color w:val="000000"/>
        </w:rPr>
      </w:pPr>
      <w:r>
        <w:rPr>
          <w:rFonts w:ascii="Cambria" w:eastAsia="Cambria" w:hAnsi="Cambria" w:cs="Cambria"/>
          <w:color w:val="000000"/>
        </w:rPr>
        <w:t xml:space="preserve">It is not known whether </w:t>
      </w:r>
      <w:r>
        <w:rPr>
          <w:rFonts w:ascii="Cambria" w:eastAsia="Cambria" w:hAnsi="Cambria" w:cs="Cambria"/>
          <w:color w:val="000000"/>
          <w:highlight w:val="white"/>
        </w:rPr>
        <w:t>inavolisib</w:t>
      </w:r>
      <w:r>
        <w:rPr>
          <w:rFonts w:ascii="Cambria" w:eastAsia="Cambria" w:hAnsi="Cambria" w:cs="Cambria"/>
          <w:color w:val="000000"/>
        </w:rPr>
        <w:t xml:space="preserve"> is excreted in human breast milk. </w:t>
      </w:r>
    </w:p>
    <w:p w14:paraId="3A6AAFE4" w14:textId="26C659A3" w:rsidR="005972A9" w:rsidRDefault="004A79CA">
      <w:pPr>
        <w:rPr>
          <w:rFonts w:ascii="Cambria" w:eastAsia="Cambria" w:hAnsi="Cambria" w:cs="Cambria"/>
        </w:rPr>
      </w:pPr>
      <w:r>
        <w:rPr>
          <w:rFonts w:ascii="Cambria" w:eastAsia="Cambria" w:hAnsi="Cambria" w:cs="Cambria"/>
        </w:rPr>
        <w:lastRenderedPageBreak/>
        <w:t xml:space="preserve">No studies have been conducted to assess the impact of </w:t>
      </w:r>
      <w:r>
        <w:rPr>
          <w:rFonts w:ascii="Cambria" w:eastAsia="Cambria" w:hAnsi="Cambria" w:cs="Cambria"/>
          <w:color w:val="000000"/>
          <w:highlight w:val="white"/>
        </w:rPr>
        <w:t>inavolisib</w:t>
      </w:r>
      <w:r>
        <w:rPr>
          <w:rFonts w:ascii="Cambria" w:eastAsia="Cambria" w:hAnsi="Cambria" w:cs="Cambria"/>
        </w:rPr>
        <w:t xml:space="preserve"> on milk production or its presence in breast milk. Because of the potential for serious adverse reactions in the breastfed infant, it is recommended that women should not breastfeed during </w:t>
      </w:r>
      <w:proofErr w:type="spellStart"/>
      <w:r w:rsidR="00DE29EE">
        <w:rPr>
          <w:rFonts w:ascii="Cambria" w:eastAsia="Cambria" w:hAnsi="Cambria" w:cs="Cambria"/>
        </w:rPr>
        <w:t>Itovebi</w:t>
      </w:r>
      <w:proofErr w:type="spellEnd"/>
      <w:r>
        <w:rPr>
          <w:rFonts w:ascii="Cambria" w:eastAsia="Cambria" w:hAnsi="Cambria" w:cs="Cambria"/>
        </w:rPr>
        <w:t xml:space="preserve"> treatment.</w:t>
      </w:r>
    </w:p>
    <w:p w14:paraId="29EA8337" w14:textId="77777777" w:rsidR="005972A9" w:rsidRDefault="004A79CA">
      <w:pPr>
        <w:pStyle w:val="Heading2"/>
        <w:numPr>
          <w:ilvl w:val="1"/>
          <w:numId w:val="4"/>
        </w:numPr>
        <w:spacing w:before="0" w:after="120"/>
      </w:pPr>
      <w:r>
        <w:t xml:space="preserve">Effects on ability to drive and use machines </w:t>
      </w:r>
    </w:p>
    <w:p w14:paraId="24B8901A" w14:textId="2F640CDB" w:rsidR="005972A9" w:rsidRDefault="00DE29EE">
      <w:pPr>
        <w:rPr>
          <w:rFonts w:ascii="Cambria" w:eastAsia="Cambria" w:hAnsi="Cambria" w:cs="Cambria"/>
        </w:rPr>
      </w:pPr>
      <w:r>
        <w:rPr>
          <w:rFonts w:ascii="Cambria" w:eastAsia="Cambria" w:hAnsi="Cambria" w:cs="Cambria"/>
          <w:color w:val="000000"/>
          <w:highlight w:val="white"/>
        </w:rPr>
        <w:t>Itovebi</w:t>
      </w:r>
      <w:r w:rsidR="004A79CA">
        <w:rPr>
          <w:rFonts w:ascii="Cambria" w:eastAsia="Cambria" w:hAnsi="Cambria" w:cs="Cambria"/>
          <w:color w:val="000000"/>
          <w:highlight w:val="white"/>
        </w:rPr>
        <w:t xml:space="preserve"> has</w:t>
      </w:r>
      <w:r w:rsidR="004A79CA">
        <w:rPr>
          <w:rFonts w:ascii="Cambria" w:eastAsia="Cambria" w:hAnsi="Cambria" w:cs="Cambria"/>
          <w:sz w:val="24"/>
          <w:szCs w:val="24"/>
        </w:rPr>
        <w:t xml:space="preserve"> </w:t>
      </w:r>
      <w:r w:rsidR="004A79CA">
        <w:rPr>
          <w:rFonts w:ascii="Cambria" w:eastAsia="Cambria" w:hAnsi="Cambria" w:cs="Cambria"/>
        </w:rPr>
        <w:t>no or negligible influence on the ability to drive or use machines.</w:t>
      </w:r>
    </w:p>
    <w:p w14:paraId="577CF4FC" w14:textId="77777777" w:rsidR="005972A9" w:rsidRDefault="004A79CA">
      <w:pPr>
        <w:pStyle w:val="Heading2"/>
        <w:keepNext/>
        <w:keepLines/>
        <w:numPr>
          <w:ilvl w:val="1"/>
          <w:numId w:val="4"/>
        </w:numPr>
        <w:spacing w:before="0" w:after="120"/>
      </w:pPr>
      <w:bookmarkStart w:id="16" w:name="_heading=h.44sinio" w:colFirst="0" w:colLast="0"/>
      <w:bookmarkEnd w:id="16"/>
      <w:r>
        <w:t>Adverse effects (Undesirable effects)</w:t>
      </w:r>
    </w:p>
    <w:p w14:paraId="6FCF4295" w14:textId="77777777" w:rsidR="005972A9" w:rsidRDefault="004A79CA" w:rsidP="00B4667A">
      <w:pPr>
        <w:pStyle w:val="Heading3"/>
        <w:ind w:firstLine="227"/>
      </w:pPr>
      <w:bookmarkStart w:id="17" w:name="_heading=h.2jxsxqh" w:colFirst="0" w:colLast="0"/>
      <w:bookmarkEnd w:id="17"/>
      <w:r>
        <w:t>Clinical Trials</w:t>
      </w:r>
    </w:p>
    <w:p w14:paraId="7D3A4290" w14:textId="77777777" w:rsidR="005972A9" w:rsidRDefault="004A79CA">
      <w:pPr>
        <w:rPr>
          <w:rFonts w:ascii="Cambria" w:eastAsia="Cambria" w:hAnsi="Cambria" w:cs="Cambria"/>
          <w:u w:val="single"/>
        </w:rPr>
      </w:pPr>
      <w:r>
        <w:rPr>
          <w:rFonts w:ascii="Cambria" w:eastAsia="Cambria" w:hAnsi="Cambria" w:cs="Cambria"/>
          <w:u w:val="single"/>
        </w:rPr>
        <w:t>Summary of Safety Profile</w:t>
      </w:r>
    </w:p>
    <w:p w14:paraId="136AE29D" w14:textId="4609220D" w:rsidR="00C72418" w:rsidRPr="000B1021" w:rsidRDefault="004A79CA" w:rsidP="00C72418">
      <w:pPr>
        <w:spacing w:after="250"/>
        <w:rPr>
          <w:rFonts w:ascii="Cambria" w:eastAsia="Cambria" w:hAnsi="Cambria" w:cs="Cambria"/>
        </w:rPr>
      </w:pPr>
      <w:bookmarkStart w:id="18" w:name="_heading=h.z337ya" w:colFirst="0" w:colLast="0"/>
      <w:bookmarkEnd w:id="18"/>
      <w:r>
        <w:rPr>
          <w:rFonts w:ascii="Cambria" w:eastAsia="Cambria" w:hAnsi="Cambria" w:cs="Cambria"/>
        </w:rPr>
        <w:t xml:space="preserve">The overall safety profile of </w:t>
      </w:r>
      <w:r w:rsidR="00DE29EE">
        <w:rPr>
          <w:rFonts w:ascii="Cambria" w:eastAsia="Cambria" w:hAnsi="Cambria" w:cs="Cambria"/>
          <w:color w:val="000000"/>
          <w:highlight w:val="white"/>
        </w:rPr>
        <w:t>Itovebi</w:t>
      </w:r>
      <w:r>
        <w:rPr>
          <w:rFonts w:ascii="Cambria" w:eastAsia="Cambria" w:hAnsi="Cambria" w:cs="Cambria"/>
        </w:rPr>
        <w:t xml:space="preserve"> is based on data from 162 patients with locally advanced or metastatic breast cancer who received </w:t>
      </w:r>
      <w:r w:rsidR="00DE29EE">
        <w:rPr>
          <w:rFonts w:ascii="Cambria" w:eastAsia="Cambria" w:hAnsi="Cambria" w:cs="Cambria"/>
          <w:color w:val="000000"/>
          <w:highlight w:val="white"/>
        </w:rPr>
        <w:t>Itovebi</w:t>
      </w:r>
      <w:r>
        <w:rPr>
          <w:rFonts w:ascii="Cambria" w:eastAsia="Cambria" w:hAnsi="Cambria" w:cs="Cambria"/>
        </w:rPr>
        <w:t xml:space="preserve"> in combination with palbociclib and fulvestrant in the INAVO120 Phase 3, randomised study. The median duration of </w:t>
      </w:r>
      <w:r w:rsidR="00DE29EE">
        <w:rPr>
          <w:rFonts w:ascii="Cambria" w:eastAsia="Cambria" w:hAnsi="Cambria" w:cs="Cambria"/>
          <w:color w:val="000000"/>
          <w:highlight w:val="white"/>
        </w:rPr>
        <w:t>Itovebi</w:t>
      </w:r>
      <w:r>
        <w:rPr>
          <w:rFonts w:ascii="Cambria" w:eastAsia="Cambria" w:hAnsi="Cambria" w:cs="Cambria"/>
        </w:rPr>
        <w:t xml:space="preserve"> treatment at the </w:t>
      </w:r>
      <w:r w:rsidRPr="000B1021">
        <w:rPr>
          <w:rFonts w:ascii="Cambria" w:eastAsia="Cambria" w:hAnsi="Cambria" w:cs="Cambria"/>
        </w:rPr>
        <w:t>time of the analysis was 9.2 months (range: 0 to 38.8 months).</w:t>
      </w:r>
    </w:p>
    <w:p w14:paraId="55F35534" w14:textId="16B0B05F" w:rsidR="00C72418" w:rsidRPr="000B1021" w:rsidRDefault="00C72418" w:rsidP="00C72418">
      <w:pPr>
        <w:spacing w:after="250"/>
        <w:rPr>
          <w:rFonts w:ascii="Cambria" w:eastAsia="Cambria" w:hAnsi="Cambria" w:cs="Cambria"/>
        </w:rPr>
      </w:pPr>
      <w:r w:rsidRPr="000B1021">
        <w:rPr>
          <w:rFonts w:ascii="Cambria" w:eastAsia="Cambria" w:hAnsi="Cambria" w:cs="Cambria"/>
        </w:rPr>
        <w:t>Fatal adverse reactions occurred in 3.7% of patients who received Itovebi with palbociclib and fulvestrant, including (0.6% each) acute coronary syndrome, cerebral haemorrhage, cerebrovascular accident, COVID-19 infection, and gastrointestinal haemorrhage.</w:t>
      </w:r>
    </w:p>
    <w:p w14:paraId="3F189901" w14:textId="54A7A3EF" w:rsidR="005972A9" w:rsidRPr="000B1021" w:rsidRDefault="00C72418" w:rsidP="00C72418">
      <w:pPr>
        <w:spacing w:after="250"/>
        <w:rPr>
          <w:rFonts w:ascii="Cambria" w:eastAsia="Cambria" w:hAnsi="Cambria" w:cs="Cambria"/>
        </w:rPr>
      </w:pPr>
      <w:r w:rsidRPr="000B1021">
        <w:rPr>
          <w:rFonts w:ascii="Cambria" w:eastAsia="Cambria" w:hAnsi="Cambria" w:cs="Cambria"/>
        </w:rPr>
        <w:t>Permanent discontinuation of Itovebi due to an adverse reaction occurred in 6% of patients. Adverse reactions which resulted in permanent discontinuation of Itovebi included hyperglycaemia (1.2%), and (0.6% each) stomatitis, gastric ulcer, intestinal perforation, anal abscess, increased ALT, decreased weight, bone pain, musculoskeletal pain, transitional cell carcinoma, and acute kidney injury.</w:t>
      </w:r>
    </w:p>
    <w:p w14:paraId="2DB29D99" w14:textId="5F4D0153" w:rsidR="005972A9" w:rsidRDefault="004A79CA">
      <w:pPr>
        <w:spacing w:after="250"/>
        <w:rPr>
          <w:rFonts w:ascii="Cambria" w:eastAsia="Cambria" w:hAnsi="Cambria" w:cs="Cambria"/>
        </w:rPr>
      </w:pPr>
      <w:r>
        <w:rPr>
          <w:rFonts w:ascii="Cambria" w:eastAsia="Cambria" w:hAnsi="Cambria" w:cs="Cambria"/>
        </w:rPr>
        <w:t xml:space="preserve">The safety of </w:t>
      </w:r>
      <w:r w:rsidR="00DE29EE">
        <w:rPr>
          <w:rFonts w:ascii="Cambria" w:eastAsia="Cambria" w:hAnsi="Cambria" w:cs="Cambria"/>
        </w:rPr>
        <w:t>Itovebi</w:t>
      </w:r>
      <w:r>
        <w:rPr>
          <w:rFonts w:ascii="Cambria" w:eastAsia="Cambria" w:hAnsi="Cambria" w:cs="Cambria"/>
        </w:rPr>
        <w:t xml:space="preserve"> was also evaluated in the GO39374 Phase 1, dose-escalation study in patients with </w:t>
      </w:r>
      <w:r>
        <w:rPr>
          <w:rFonts w:ascii="Cambria" w:eastAsia="Cambria" w:hAnsi="Cambria" w:cs="Cambria"/>
          <w:i/>
        </w:rPr>
        <w:t>PIK3CA</w:t>
      </w:r>
      <w:r>
        <w:rPr>
          <w:rFonts w:ascii="Cambria" w:eastAsia="Cambria" w:hAnsi="Cambria" w:cs="Cambria"/>
        </w:rPr>
        <w:t xml:space="preserve">-mutated, HR-positive, HER2-negative, locally advanced or metastatic breast cancer who were enrolled to receive </w:t>
      </w:r>
      <w:r w:rsidR="00DE29EE">
        <w:rPr>
          <w:rFonts w:ascii="Cambria" w:eastAsia="Cambria" w:hAnsi="Cambria" w:cs="Cambria"/>
        </w:rPr>
        <w:t>Itovebi</w:t>
      </w:r>
      <w:r>
        <w:rPr>
          <w:rFonts w:ascii="Cambria" w:eastAsia="Cambria" w:hAnsi="Cambria" w:cs="Cambria"/>
        </w:rPr>
        <w:t xml:space="preserve"> in combination with palbociclib and fulvestrant (n=20); in combination with palbociclib, fulvestrant, and metformin (n=20); and in combination with palbociclib and letrozole (n=33). The safety profile of </w:t>
      </w:r>
      <w:r w:rsidR="00DE29EE">
        <w:rPr>
          <w:rFonts w:ascii="Cambria" w:eastAsia="Cambria" w:hAnsi="Cambria" w:cs="Cambria"/>
        </w:rPr>
        <w:t>Itovebi</w:t>
      </w:r>
      <w:r>
        <w:rPr>
          <w:rFonts w:ascii="Cambria" w:eastAsia="Cambria" w:hAnsi="Cambria" w:cs="Cambria"/>
        </w:rPr>
        <w:t xml:space="preserve"> in Study GO39374 was generally consistent with that observed in INAVO120.</w:t>
      </w:r>
    </w:p>
    <w:p w14:paraId="3854AF14" w14:textId="77777777" w:rsidR="005972A9" w:rsidRDefault="004A79CA">
      <w:pPr>
        <w:spacing w:after="0" w:line="240" w:lineRule="auto"/>
        <w:rPr>
          <w:rFonts w:ascii="Cambria" w:eastAsia="Cambria" w:hAnsi="Cambria" w:cs="Cambria"/>
        </w:rPr>
      </w:pPr>
      <w:r>
        <w:rPr>
          <w:rFonts w:ascii="Cambria" w:eastAsia="Cambria" w:hAnsi="Cambria" w:cs="Cambria"/>
        </w:rPr>
        <w:t>Tabulated summary of adverse drug reactions from clinical trials</w:t>
      </w:r>
    </w:p>
    <w:p w14:paraId="23CD6A75" w14:textId="77777777" w:rsidR="005972A9" w:rsidRDefault="004A79CA">
      <w:pPr>
        <w:pBdr>
          <w:top w:val="nil"/>
          <w:left w:val="nil"/>
          <w:bottom w:val="nil"/>
          <w:right w:val="nil"/>
          <w:between w:val="nil"/>
        </w:pBdr>
        <w:spacing w:after="250"/>
        <w:rPr>
          <w:rFonts w:ascii="Cambria" w:eastAsia="Cambria" w:hAnsi="Cambria" w:cs="Cambria"/>
          <w:color w:val="000000"/>
        </w:rPr>
      </w:pPr>
      <w:bookmarkStart w:id="19" w:name="_heading=h.3j2qqm3" w:colFirst="0" w:colLast="0"/>
      <w:bookmarkEnd w:id="19"/>
      <w:r>
        <w:rPr>
          <w:rFonts w:ascii="Cambria" w:eastAsia="Cambria" w:hAnsi="Cambria" w:cs="Cambria"/>
          <w:color w:val="000000"/>
        </w:rPr>
        <w:t>Adverse drug reactions from the INAVO120 study are listed by MedDRA system organ class in Table 4. The corresponding frequency category for each adverse drug reaction is based on the following convention: very common (≥ 1/10), common (≥ 1/100 to &lt; 1/10), uncommon (≥ 1/1,000 to &lt; 1/100), rare (≥ 1/10,000 to &lt; 1/1,000), very rare (&lt; 1/10,000).</w:t>
      </w:r>
    </w:p>
    <w:p w14:paraId="1A79DC54" w14:textId="0BA760AD" w:rsidR="005972A9" w:rsidRDefault="004A79CA" w:rsidP="00FD09EF">
      <w:pPr>
        <w:keepNext/>
        <w:pageBreakBefore/>
        <w:pBdr>
          <w:top w:val="nil"/>
          <w:left w:val="nil"/>
          <w:bottom w:val="nil"/>
          <w:right w:val="nil"/>
          <w:between w:val="nil"/>
        </w:pBdr>
        <w:spacing w:line="240" w:lineRule="auto"/>
        <w:rPr>
          <w:rFonts w:ascii="Cambria" w:eastAsia="Cambria" w:hAnsi="Cambria" w:cs="Cambria"/>
          <w:b/>
          <w:color w:val="000000"/>
        </w:rPr>
      </w:pPr>
      <w:bookmarkStart w:id="20" w:name="_heading=h.1y810tw" w:colFirst="0" w:colLast="0"/>
      <w:bookmarkEnd w:id="20"/>
      <w:proofErr w:type="gramStart"/>
      <w:r>
        <w:rPr>
          <w:rFonts w:ascii="Cambria" w:eastAsia="Cambria" w:hAnsi="Cambria" w:cs="Cambria"/>
          <w:b/>
          <w:color w:val="000000"/>
        </w:rPr>
        <w:lastRenderedPageBreak/>
        <w:t>Table  4</w:t>
      </w:r>
      <w:proofErr w:type="gramEnd"/>
      <w:r>
        <w:rPr>
          <w:rFonts w:ascii="Cambria" w:eastAsia="Cambria" w:hAnsi="Cambria" w:cs="Cambria"/>
          <w:b/>
          <w:color w:val="000000"/>
        </w:rPr>
        <w:t xml:space="preserve"> Adverse Drug Reactions with ≥ 5% (All Grades) </w:t>
      </w:r>
      <w:proofErr w:type="gramStart"/>
      <w:r>
        <w:rPr>
          <w:rFonts w:ascii="Cambria" w:eastAsia="Cambria" w:hAnsi="Cambria" w:cs="Cambria"/>
          <w:b/>
          <w:color w:val="000000"/>
        </w:rPr>
        <w:t>or ≥ 2</w:t>
      </w:r>
      <w:proofErr w:type="gramEnd"/>
      <w:r>
        <w:rPr>
          <w:rFonts w:ascii="Cambria" w:eastAsia="Cambria" w:hAnsi="Cambria" w:cs="Cambria"/>
          <w:b/>
          <w:color w:val="000000"/>
        </w:rPr>
        <w:t xml:space="preserve">% (Grade 3-4) Higher Incidence in the </w:t>
      </w:r>
      <w:r w:rsidR="00DE29EE">
        <w:rPr>
          <w:rFonts w:ascii="Cambria" w:eastAsia="Cambria" w:hAnsi="Cambria" w:cs="Cambria"/>
          <w:b/>
          <w:color w:val="000000"/>
        </w:rPr>
        <w:t>Itovebi</w:t>
      </w:r>
      <w:r>
        <w:rPr>
          <w:rFonts w:ascii="Cambria" w:eastAsia="Cambria" w:hAnsi="Cambria" w:cs="Cambria"/>
          <w:b/>
          <w:color w:val="000000"/>
        </w:rPr>
        <w:t xml:space="preserve"> Arm in INAVO120</w:t>
      </w:r>
    </w:p>
    <w:tbl>
      <w:tblPr>
        <w:tblW w:w="912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2"/>
        <w:gridCol w:w="1660"/>
        <w:gridCol w:w="1118"/>
        <w:gridCol w:w="1192"/>
        <w:gridCol w:w="1193"/>
        <w:gridCol w:w="1284"/>
      </w:tblGrid>
      <w:tr w:rsidR="005972A9" w14:paraId="1B4D8464" w14:textId="77777777" w:rsidTr="00FD7B6F">
        <w:trPr>
          <w:tblHeader/>
        </w:trPr>
        <w:tc>
          <w:tcPr>
            <w:tcW w:w="2682" w:type="dxa"/>
            <w:vMerge w:val="restart"/>
            <w:shd w:val="clear" w:color="auto" w:fill="auto"/>
            <w:vAlign w:val="center"/>
          </w:tcPr>
          <w:p w14:paraId="5006437A"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b/>
                <w:color w:val="000000"/>
                <w:sz w:val="20"/>
                <w:szCs w:val="20"/>
              </w:rPr>
              <w:t>System Organ Class Adverse Reaction</w:t>
            </w:r>
          </w:p>
        </w:tc>
        <w:tc>
          <w:tcPr>
            <w:tcW w:w="3970" w:type="dxa"/>
            <w:gridSpan w:val="3"/>
            <w:shd w:val="clear" w:color="auto" w:fill="auto"/>
            <w:vAlign w:val="center"/>
          </w:tcPr>
          <w:p w14:paraId="1B578BAB" w14:textId="77777777" w:rsidR="005972A9" w:rsidRPr="00FD7B6F" w:rsidRDefault="00DE29EE" w:rsidP="00FD7B6F">
            <w:pPr>
              <w:pBdr>
                <w:top w:val="nil"/>
                <w:left w:val="nil"/>
                <w:bottom w:val="nil"/>
                <w:right w:val="nil"/>
                <w:between w:val="nil"/>
              </w:pBdr>
              <w:spacing w:before="50" w:after="5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Itovebi</w:t>
            </w:r>
            <w:r w:rsidR="004A79CA" w:rsidRPr="00FD7B6F">
              <w:rPr>
                <w:rFonts w:ascii="Cambria" w:eastAsia="Cambria" w:hAnsi="Cambria" w:cs="Cambria"/>
                <w:b/>
                <w:color w:val="000000"/>
                <w:sz w:val="20"/>
                <w:szCs w:val="20"/>
              </w:rPr>
              <w:t xml:space="preserve"> + Palbociclib + Fulvestrant</w:t>
            </w:r>
          </w:p>
          <w:p w14:paraId="0895EBA0"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b/>
                <w:color w:val="000000"/>
                <w:sz w:val="20"/>
                <w:szCs w:val="20"/>
              </w:rPr>
              <w:t>N=162</w:t>
            </w:r>
          </w:p>
        </w:tc>
        <w:tc>
          <w:tcPr>
            <w:tcW w:w="2477" w:type="dxa"/>
            <w:gridSpan w:val="2"/>
            <w:shd w:val="clear" w:color="auto" w:fill="auto"/>
          </w:tcPr>
          <w:p w14:paraId="7A7D1E0E"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b/>
                <w:color w:val="000000"/>
                <w:sz w:val="20"/>
                <w:szCs w:val="20"/>
              </w:rPr>
            </w:pPr>
            <w:r w:rsidRPr="00FD7B6F">
              <w:rPr>
                <w:rFonts w:ascii="Cambria" w:eastAsia="Cambria" w:hAnsi="Cambria" w:cs="Cambria"/>
                <w:b/>
                <w:color w:val="000000"/>
                <w:sz w:val="20"/>
                <w:szCs w:val="20"/>
              </w:rPr>
              <w:t>Placebo + Palbociclib + Fulvestrant</w:t>
            </w:r>
          </w:p>
          <w:p w14:paraId="2CF7037C"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b/>
                <w:color w:val="000000"/>
                <w:sz w:val="20"/>
                <w:szCs w:val="20"/>
              </w:rPr>
            </w:pPr>
            <w:r w:rsidRPr="00FD7B6F">
              <w:rPr>
                <w:rFonts w:ascii="Cambria" w:eastAsia="Cambria" w:hAnsi="Cambria" w:cs="Cambria"/>
                <w:b/>
                <w:color w:val="000000"/>
                <w:sz w:val="20"/>
                <w:szCs w:val="20"/>
              </w:rPr>
              <w:t>N=162</w:t>
            </w:r>
          </w:p>
        </w:tc>
      </w:tr>
      <w:tr w:rsidR="005972A9" w14:paraId="72E3B390" w14:textId="77777777" w:rsidTr="00FD7B6F">
        <w:trPr>
          <w:tblHeader/>
        </w:trPr>
        <w:tc>
          <w:tcPr>
            <w:tcW w:w="2682" w:type="dxa"/>
            <w:vMerge/>
            <w:shd w:val="clear" w:color="auto" w:fill="auto"/>
            <w:vAlign w:val="center"/>
          </w:tcPr>
          <w:p w14:paraId="07DCA9BA" w14:textId="77777777" w:rsidR="005972A9" w:rsidRPr="00FD7B6F" w:rsidRDefault="005972A9" w:rsidP="00FD7B6F">
            <w:pPr>
              <w:widowControl w:val="0"/>
              <w:pBdr>
                <w:top w:val="nil"/>
                <w:left w:val="nil"/>
                <w:bottom w:val="nil"/>
                <w:right w:val="nil"/>
                <w:between w:val="nil"/>
              </w:pBdr>
              <w:spacing w:after="0"/>
              <w:rPr>
                <w:rFonts w:ascii="Cambria" w:eastAsia="Cambria" w:hAnsi="Cambria" w:cs="Cambria"/>
                <w:b/>
                <w:color w:val="000000"/>
                <w:sz w:val="20"/>
                <w:szCs w:val="20"/>
              </w:rPr>
            </w:pPr>
          </w:p>
        </w:tc>
        <w:tc>
          <w:tcPr>
            <w:tcW w:w="1660" w:type="dxa"/>
            <w:shd w:val="clear" w:color="auto" w:fill="auto"/>
            <w:vAlign w:val="center"/>
          </w:tcPr>
          <w:p w14:paraId="3767FD4B"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b/>
                <w:color w:val="000000"/>
                <w:sz w:val="20"/>
                <w:szCs w:val="20"/>
              </w:rPr>
            </w:pPr>
            <w:r w:rsidRPr="00FD7B6F">
              <w:rPr>
                <w:rFonts w:ascii="Cambria" w:eastAsia="Cambria" w:hAnsi="Cambria" w:cs="Cambria"/>
                <w:b/>
                <w:color w:val="000000"/>
                <w:sz w:val="20"/>
                <w:szCs w:val="20"/>
              </w:rPr>
              <w:t>Frequency Category (All Grades)</w:t>
            </w:r>
          </w:p>
        </w:tc>
        <w:tc>
          <w:tcPr>
            <w:tcW w:w="1118" w:type="dxa"/>
            <w:shd w:val="clear" w:color="auto" w:fill="auto"/>
            <w:vAlign w:val="center"/>
          </w:tcPr>
          <w:p w14:paraId="2B6CECFB"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b/>
                <w:color w:val="000000"/>
                <w:sz w:val="20"/>
                <w:szCs w:val="20"/>
              </w:rPr>
            </w:pPr>
            <w:r w:rsidRPr="00FD7B6F">
              <w:rPr>
                <w:rFonts w:ascii="Cambria" w:eastAsia="Cambria" w:hAnsi="Cambria" w:cs="Cambria"/>
                <w:b/>
                <w:color w:val="000000"/>
                <w:sz w:val="20"/>
                <w:szCs w:val="20"/>
              </w:rPr>
              <w:t>All Grades (%)</w:t>
            </w:r>
          </w:p>
        </w:tc>
        <w:tc>
          <w:tcPr>
            <w:tcW w:w="1192" w:type="dxa"/>
            <w:shd w:val="clear" w:color="auto" w:fill="auto"/>
            <w:vAlign w:val="center"/>
          </w:tcPr>
          <w:p w14:paraId="0CCC1EA5"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b/>
                <w:color w:val="000000"/>
                <w:sz w:val="20"/>
                <w:szCs w:val="20"/>
              </w:rPr>
            </w:pPr>
            <w:r w:rsidRPr="00FD7B6F">
              <w:rPr>
                <w:rFonts w:ascii="Cambria" w:eastAsia="Cambria" w:hAnsi="Cambria" w:cs="Cambria"/>
                <w:b/>
                <w:color w:val="000000"/>
                <w:sz w:val="20"/>
                <w:szCs w:val="20"/>
              </w:rPr>
              <w:t>Grade 3-4 (%)</w:t>
            </w:r>
          </w:p>
        </w:tc>
        <w:tc>
          <w:tcPr>
            <w:tcW w:w="1193" w:type="dxa"/>
            <w:shd w:val="clear" w:color="auto" w:fill="auto"/>
            <w:vAlign w:val="center"/>
          </w:tcPr>
          <w:p w14:paraId="0DC06208"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b/>
                <w:color w:val="000000"/>
                <w:sz w:val="20"/>
                <w:szCs w:val="20"/>
              </w:rPr>
            </w:pPr>
            <w:r w:rsidRPr="00FD7B6F">
              <w:rPr>
                <w:rFonts w:ascii="Cambria" w:eastAsia="Cambria" w:hAnsi="Cambria" w:cs="Cambria"/>
                <w:b/>
                <w:color w:val="000000"/>
                <w:sz w:val="20"/>
                <w:szCs w:val="20"/>
              </w:rPr>
              <w:t>All Grades (%)</w:t>
            </w:r>
          </w:p>
        </w:tc>
        <w:tc>
          <w:tcPr>
            <w:tcW w:w="1284" w:type="dxa"/>
            <w:shd w:val="clear" w:color="auto" w:fill="auto"/>
            <w:vAlign w:val="center"/>
          </w:tcPr>
          <w:p w14:paraId="287D8853"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b/>
                <w:color w:val="000000"/>
                <w:sz w:val="20"/>
                <w:szCs w:val="20"/>
              </w:rPr>
            </w:pPr>
            <w:r w:rsidRPr="00FD7B6F">
              <w:rPr>
                <w:rFonts w:ascii="Cambria" w:eastAsia="Cambria" w:hAnsi="Cambria" w:cs="Cambria"/>
                <w:b/>
                <w:color w:val="000000"/>
                <w:sz w:val="20"/>
                <w:szCs w:val="20"/>
              </w:rPr>
              <w:t>Grade 3-4 (%)</w:t>
            </w:r>
          </w:p>
        </w:tc>
      </w:tr>
      <w:tr w:rsidR="005972A9" w14:paraId="734C8314" w14:textId="77777777" w:rsidTr="00FD7B6F">
        <w:tc>
          <w:tcPr>
            <w:tcW w:w="9129" w:type="dxa"/>
            <w:gridSpan w:val="6"/>
            <w:shd w:val="clear" w:color="auto" w:fill="auto"/>
          </w:tcPr>
          <w:p w14:paraId="246C8C3B"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b/>
                <w:color w:val="000000"/>
                <w:sz w:val="20"/>
                <w:szCs w:val="20"/>
              </w:rPr>
            </w:pPr>
            <w:r w:rsidRPr="00FD7B6F">
              <w:rPr>
                <w:rFonts w:ascii="Cambria" w:eastAsia="Cambria" w:hAnsi="Cambria" w:cs="Cambria"/>
                <w:b/>
                <w:color w:val="000000"/>
                <w:sz w:val="20"/>
                <w:szCs w:val="20"/>
              </w:rPr>
              <w:t>Infections and Infestations</w:t>
            </w:r>
          </w:p>
        </w:tc>
      </w:tr>
      <w:tr w:rsidR="005972A9" w14:paraId="7849066A" w14:textId="77777777" w:rsidTr="00FD7B6F">
        <w:tc>
          <w:tcPr>
            <w:tcW w:w="2682" w:type="dxa"/>
            <w:shd w:val="clear" w:color="auto" w:fill="auto"/>
          </w:tcPr>
          <w:p w14:paraId="594D99B0"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color w:val="000000"/>
                <w:sz w:val="20"/>
                <w:szCs w:val="20"/>
              </w:rPr>
              <w:t>Urinary Tract Infection</w:t>
            </w:r>
          </w:p>
        </w:tc>
        <w:tc>
          <w:tcPr>
            <w:tcW w:w="1660" w:type="dxa"/>
            <w:shd w:val="clear" w:color="auto" w:fill="auto"/>
          </w:tcPr>
          <w:p w14:paraId="110DE5DC"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Very Common</w:t>
            </w:r>
          </w:p>
        </w:tc>
        <w:tc>
          <w:tcPr>
            <w:tcW w:w="1118" w:type="dxa"/>
            <w:shd w:val="clear" w:color="auto" w:fill="auto"/>
          </w:tcPr>
          <w:p w14:paraId="5D37D222"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13</w:t>
            </w:r>
          </w:p>
        </w:tc>
        <w:tc>
          <w:tcPr>
            <w:tcW w:w="1192" w:type="dxa"/>
            <w:shd w:val="clear" w:color="auto" w:fill="auto"/>
          </w:tcPr>
          <w:p w14:paraId="41853872"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vertAlign w:val="superscript"/>
              </w:rPr>
            </w:pPr>
            <w:r w:rsidRPr="00FD7B6F">
              <w:rPr>
                <w:rFonts w:ascii="Cambria" w:eastAsia="Cambria" w:hAnsi="Cambria" w:cs="Cambria"/>
                <w:color w:val="000000"/>
                <w:sz w:val="20"/>
                <w:szCs w:val="20"/>
              </w:rPr>
              <w:t>1.2*</w:t>
            </w:r>
          </w:p>
        </w:tc>
        <w:tc>
          <w:tcPr>
            <w:tcW w:w="1193" w:type="dxa"/>
            <w:shd w:val="clear" w:color="auto" w:fill="auto"/>
          </w:tcPr>
          <w:p w14:paraId="2ED33BF1"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7.4</w:t>
            </w:r>
          </w:p>
        </w:tc>
        <w:tc>
          <w:tcPr>
            <w:tcW w:w="1284" w:type="dxa"/>
            <w:shd w:val="clear" w:color="auto" w:fill="auto"/>
          </w:tcPr>
          <w:p w14:paraId="78AF4DCF"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w:t>
            </w:r>
          </w:p>
        </w:tc>
      </w:tr>
      <w:tr w:rsidR="005972A9" w14:paraId="144358DD" w14:textId="77777777" w:rsidTr="00FD7B6F">
        <w:tc>
          <w:tcPr>
            <w:tcW w:w="9129" w:type="dxa"/>
            <w:gridSpan w:val="6"/>
            <w:shd w:val="clear" w:color="auto" w:fill="auto"/>
          </w:tcPr>
          <w:p w14:paraId="24881967"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b/>
                <w:color w:val="000000"/>
                <w:sz w:val="20"/>
                <w:szCs w:val="20"/>
              </w:rPr>
            </w:pPr>
            <w:r w:rsidRPr="00FD7B6F">
              <w:rPr>
                <w:rFonts w:ascii="Cambria" w:eastAsia="Cambria" w:hAnsi="Cambria" w:cs="Cambria"/>
                <w:b/>
                <w:color w:val="000000"/>
                <w:sz w:val="20"/>
                <w:szCs w:val="20"/>
              </w:rPr>
              <w:t>Blood and Lymphatic System Disorders</w:t>
            </w:r>
          </w:p>
        </w:tc>
      </w:tr>
      <w:tr w:rsidR="005972A9" w14:paraId="6AC592CD" w14:textId="77777777" w:rsidTr="00FD7B6F">
        <w:tc>
          <w:tcPr>
            <w:tcW w:w="2682" w:type="dxa"/>
            <w:shd w:val="clear" w:color="auto" w:fill="auto"/>
          </w:tcPr>
          <w:p w14:paraId="76B4E4F5"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vertAlign w:val="superscript"/>
              </w:rPr>
            </w:pPr>
            <w:proofErr w:type="spellStart"/>
            <w:r w:rsidRPr="00FD7B6F">
              <w:rPr>
                <w:rFonts w:ascii="Cambria" w:eastAsia="Cambria" w:hAnsi="Cambria" w:cs="Cambria"/>
                <w:color w:val="000000"/>
                <w:sz w:val="20"/>
                <w:szCs w:val="20"/>
              </w:rPr>
              <w:t>Thrombocytopenia</w:t>
            </w:r>
            <w:r w:rsidRPr="00FD7B6F">
              <w:rPr>
                <w:rFonts w:ascii="Cambria" w:eastAsia="Cambria" w:hAnsi="Cambria" w:cs="Cambria"/>
                <w:color w:val="000000"/>
                <w:sz w:val="20"/>
                <w:szCs w:val="20"/>
                <w:vertAlign w:val="superscript"/>
              </w:rPr>
              <w:t>a</w:t>
            </w:r>
            <w:proofErr w:type="spellEnd"/>
          </w:p>
        </w:tc>
        <w:tc>
          <w:tcPr>
            <w:tcW w:w="1660" w:type="dxa"/>
            <w:shd w:val="clear" w:color="auto" w:fill="auto"/>
          </w:tcPr>
          <w:p w14:paraId="14C08092"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Very Common</w:t>
            </w:r>
          </w:p>
        </w:tc>
        <w:tc>
          <w:tcPr>
            <w:tcW w:w="1118" w:type="dxa"/>
            <w:shd w:val="clear" w:color="auto" w:fill="auto"/>
          </w:tcPr>
          <w:p w14:paraId="3811145E"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48.1</w:t>
            </w:r>
          </w:p>
        </w:tc>
        <w:tc>
          <w:tcPr>
            <w:tcW w:w="1192" w:type="dxa"/>
            <w:shd w:val="clear" w:color="auto" w:fill="auto"/>
          </w:tcPr>
          <w:p w14:paraId="02471DE3"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14.2</w:t>
            </w:r>
          </w:p>
        </w:tc>
        <w:tc>
          <w:tcPr>
            <w:tcW w:w="1193" w:type="dxa"/>
            <w:shd w:val="clear" w:color="auto" w:fill="auto"/>
          </w:tcPr>
          <w:p w14:paraId="7D5248BB"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45.1</w:t>
            </w:r>
          </w:p>
        </w:tc>
        <w:tc>
          <w:tcPr>
            <w:tcW w:w="1284" w:type="dxa"/>
            <w:shd w:val="clear" w:color="auto" w:fill="auto"/>
          </w:tcPr>
          <w:p w14:paraId="58BD21C6"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4.3</w:t>
            </w:r>
          </w:p>
        </w:tc>
      </w:tr>
      <w:tr w:rsidR="005972A9" w14:paraId="4040A8CD" w14:textId="77777777" w:rsidTr="00FD7B6F">
        <w:tc>
          <w:tcPr>
            <w:tcW w:w="2682" w:type="dxa"/>
            <w:shd w:val="clear" w:color="auto" w:fill="auto"/>
          </w:tcPr>
          <w:p w14:paraId="389DB590"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vertAlign w:val="superscript"/>
              </w:rPr>
            </w:pPr>
            <w:r w:rsidRPr="00FD7B6F">
              <w:rPr>
                <w:rFonts w:ascii="Cambria" w:eastAsia="Cambria" w:hAnsi="Cambria" w:cs="Cambria"/>
                <w:color w:val="000000"/>
                <w:sz w:val="20"/>
                <w:szCs w:val="20"/>
              </w:rPr>
              <w:t>Anaemia</w:t>
            </w:r>
            <w:r w:rsidRPr="00FD7B6F">
              <w:rPr>
                <w:rFonts w:ascii="Cambria" w:eastAsia="Cambria" w:hAnsi="Cambria" w:cs="Cambria"/>
                <w:color w:val="000000"/>
                <w:sz w:val="20"/>
                <w:szCs w:val="20"/>
                <w:vertAlign w:val="superscript"/>
              </w:rPr>
              <w:t>b</w:t>
            </w:r>
          </w:p>
        </w:tc>
        <w:tc>
          <w:tcPr>
            <w:tcW w:w="1660" w:type="dxa"/>
            <w:shd w:val="clear" w:color="auto" w:fill="auto"/>
          </w:tcPr>
          <w:p w14:paraId="154B2F28"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Very Common</w:t>
            </w:r>
          </w:p>
        </w:tc>
        <w:tc>
          <w:tcPr>
            <w:tcW w:w="1118" w:type="dxa"/>
            <w:shd w:val="clear" w:color="auto" w:fill="auto"/>
          </w:tcPr>
          <w:p w14:paraId="005CBCD8"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37</w:t>
            </w:r>
          </w:p>
        </w:tc>
        <w:tc>
          <w:tcPr>
            <w:tcW w:w="1192" w:type="dxa"/>
            <w:shd w:val="clear" w:color="auto" w:fill="auto"/>
          </w:tcPr>
          <w:p w14:paraId="00C55D80"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vertAlign w:val="superscript"/>
              </w:rPr>
            </w:pPr>
            <w:r w:rsidRPr="00FD7B6F">
              <w:rPr>
                <w:rFonts w:ascii="Cambria" w:eastAsia="Cambria" w:hAnsi="Cambria" w:cs="Cambria"/>
                <w:color w:val="000000"/>
                <w:sz w:val="20"/>
                <w:szCs w:val="20"/>
              </w:rPr>
              <w:t>6.2*</w:t>
            </w:r>
          </w:p>
        </w:tc>
        <w:tc>
          <w:tcPr>
            <w:tcW w:w="1193" w:type="dxa"/>
            <w:shd w:val="clear" w:color="auto" w:fill="auto"/>
          </w:tcPr>
          <w:p w14:paraId="2EA09F5D"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36.4</w:t>
            </w:r>
          </w:p>
        </w:tc>
        <w:tc>
          <w:tcPr>
            <w:tcW w:w="1284" w:type="dxa"/>
            <w:shd w:val="clear" w:color="auto" w:fill="auto"/>
          </w:tcPr>
          <w:p w14:paraId="630E8CE9"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vertAlign w:val="superscript"/>
              </w:rPr>
            </w:pPr>
            <w:r w:rsidRPr="00FD7B6F">
              <w:rPr>
                <w:rFonts w:ascii="Cambria" w:eastAsia="Cambria" w:hAnsi="Cambria" w:cs="Cambria"/>
                <w:color w:val="000000"/>
                <w:sz w:val="20"/>
                <w:szCs w:val="20"/>
              </w:rPr>
              <w:t>1.9*</w:t>
            </w:r>
          </w:p>
        </w:tc>
      </w:tr>
      <w:tr w:rsidR="005972A9" w14:paraId="781A0418" w14:textId="77777777" w:rsidTr="00FD7B6F">
        <w:tc>
          <w:tcPr>
            <w:tcW w:w="9129" w:type="dxa"/>
            <w:gridSpan w:val="6"/>
            <w:shd w:val="clear" w:color="auto" w:fill="auto"/>
          </w:tcPr>
          <w:p w14:paraId="0B98985E"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b/>
                <w:color w:val="000000"/>
                <w:sz w:val="20"/>
                <w:szCs w:val="20"/>
              </w:rPr>
            </w:pPr>
            <w:r w:rsidRPr="00FD7B6F">
              <w:rPr>
                <w:rFonts w:ascii="Cambria" w:eastAsia="Cambria" w:hAnsi="Cambria" w:cs="Cambria"/>
                <w:b/>
                <w:color w:val="000000"/>
                <w:sz w:val="20"/>
                <w:szCs w:val="20"/>
              </w:rPr>
              <w:t>Metabolism and Nutrition Disorders</w:t>
            </w:r>
          </w:p>
        </w:tc>
      </w:tr>
      <w:tr w:rsidR="005972A9" w14:paraId="1FFE3CE7" w14:textId="77777777" w:rsidTr="00FD7B6F">
        <w:tc>
          <w:tcPr>
            <w:tcW w:w="2682" w:type="dxa"/>
            <w:shd w:val="clear" w:color="auto" w:fill="auto"/>
          </w:tcPr>
          <w:p w14:paraId="191C0488"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vertAlign w:val="superscript"/>
              </w:rPr>
            </w:pPr>
            <w:r w:rsidRPr="00FD7B6F">
              <w:rPr>
                <w:rFonts w:ascii="Cambria" w:eastAsia="Cambria" w:hAnsi="Cambria" w:cs="Cambria"/>
                <w:color w:val="000000"/>
                <w:sz w:val="20"/>
                <w:szCs w:val="20"/>
              </w:rPr>
              <w:t>Hyperglycaemia</w:t>
            </w:r>
            <w:r w:rsidRPr="00FD7B6F">
              <w:rPr>
                <w:rFonts w:ascii="Cambria" w:eastAsia="Cambria" w:hAnsi="Cambria" w:cs="Cambria"/>
                <w:color w:val="000000"/>
                <w:sz w:val="20"/>
                <w:szCs w:val="20"/>
                <w:vertAlign w:val="superscript"/>
              </w:rPr>
              <w:t>c</w:t>
            </w:r>
          </w:p>
        </w:tc>
        <w:tc>
          <w:tcPr>
            <w:tcW w:w="1660" w:type="dxa"/>
            <w:shd w:val="clear" w:color="auto" w:fill="auto"/>
          </w:tcPr>
          <w:p w14:paraId="62E699F7"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Very Common</w:t>
            </w:r>
          </w:p>
        </w:tc>
        <w:tc>
          <w:tcPr>
            <w:tcW w:w="1118" w:type="dxa"/>
            <w:shd w:val="clear" w:color="auto" w:fill="auto"/>
          </w:tcPr>
          <w:p w14:paraId="43AD7A4A"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59.9</w:t>
            </w:r>
          </w:p>
        </w:tc>
        <w:tc>
          <w:tcPr>
            <w:tcW w:w="1192" w:type="dxa"/>
            <w:shd w:val="clear" w:color="auto" w:fill="auto"/>
          </w:tcPr>
          <w:p w14:paraId="71392F63"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vertAlign w:val="superscript"/>
              </w:rPr>
            </w:pPr>
            <w:r w:rsidRPr="00FD7B6F">
              <w:rPr>
                <w:rFonts w:ascii="Cambria" w:eastAsia="Cambria" w:hAnsi="Cambria" w:cs="Cambria"/>
                <w:color w:val="000000"/>
                <w:sz w:val="20"/>
                <w:szCs w:val="20"/>
              </w:rPr>
              <w:t>5.6*</w:t>
            </w:r>
          </w:p>
        </w:tc>
        <w:tc>
          <w:tcPr>
            <w:tcW w:w="1193" w:type="dxa"/>
            <w:shd w:val="clear" w:color="auto" w:fill="auto"/>
          </w:tcPr>
          <w:p w14:paraId="39DBE63F"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9.9</w:t>
            </w:r>
          </w:p>
        </w:tc>
        <w:tc>
          <w:tcPr>
            <w:tcW w:w="1284" w:type="dxa"/>
            <w:shd w:val="clear" w:color="auto" w:fill="auto"/>
          </w:tcPr>
          <w:p w14:paraId="441CCD56"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w:t>
            </w:r>
          </w:p>
        </w:tc>
      </w:tr>
      <w:tr w:rsidR="005972A9" w14:paraId="028D9023" w14:textId="77777777" w:rsidTr="00FD7B6F">
        <w:tc>
          <w:tcPr>
            <w:tcW w:w="2682" w:type="dxa"/>
            <w:shd w:val="clear" w:color="auto" w:fill="auto"/>
          </w:tcPr>
          <w:p w14:paraId="77732987"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color w:val="000000"/>
                <w:sz w:val="20"/>
                <w:szCs w:val="20"/>
              </w:rPr>
              <w:t>Decreased appetite</w:t>
            </w:r>
          </w:p>
        </w:tc>
        <w:tc>
          <w:tcPr>
            <w:tcW w:w="1660" w:type="dxa"/>
            <w:shd w:val="clear" w:color="auto" w:fill="auto"/>
          </w:tcPr>
          <w:p w14:paraId="180D286A"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Very Common</w:t>
            </w:r>
          </w:p>
        </w:tc>
        <w:tc>
          <w:tcPr>
            <w:tcW w:w="1118" w:type="dxa"/>
            <w:shd w:val="clear" w:color="auto" w:fill="auto"/>
          </w:tcPr>
          <w:p w14:paraId="4BD43476"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23.5</w:t>
            </w:r>
          </w:p>
        </w:tc>
        <w:tc>
          <w:tcPr>
            <w:tcW w:w="1192" w:type="dxa"/>
            <w:shd w:val="clear" w:color="auto" w:fill="auto"/>
          </w:tcPr>
          <w:p w14:paraId="26ED776C"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w:t>
            </w:r>
          </w:p>
        </w:tc>
        <w:tc>
          <w:tcPr>
            <w:tcW w:w="1193" w:type="dxa"/>
            <w:shd w:val="clear" w:color="auto" w:fill="auto"/>
          </w:tcPr>
          <w:p w14:paraId="7F0B3AEE"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8.6</w:t>
            </w:r>
          </w:p>
        </w:tc>
        <w:tc>
          <w:tcPr>
            <w:tcW w:w="1284" w:type="dxa"/>
            <w:shd w:val="clear" w:color="auto" w:fill="auto"/>
          </w:tcPr>
          <w:p w14:paraId="6CE0AE59"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w:t>
            </w:r>
          </w:p>
        </w:tc>
      </w:tr>
      <w:tr w:rsidR="005972A9" w14:paraId="214720B5" w14:textId="77777777" w:rsidTr="00FD7B6F">
        <w:tc>
          <w:tcPr>
            <w:tcW w:w="2682" w:type="dxa"/>
            <w:shd w:val="clear" w:color="auto" w:fill="auto"/>
          </w:tcPr>
          <w:p w14:paraId="0BDF2F50"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color w:val="000000"/>
                <w:sz w:val="20"/>
                <w:szCs w:val="20"/>
              </w:rPr>
              <w:t>Hypokalaemia</w:t>
            </w:r>
          </w:p>
        </w:tc>
        <w:tc>
          <w:tcPr>
            <w:tcW w:w="1660" w:type="dxa"/>
            <w:shd w:val="clear" w:color="auto" w:fill="auto"/>
          </w:tcPr>
          <w:p w14:paraId="0C26C412"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Very Common</w:t>
            </w:r>
          </w:p>
        </w:tc>
        <w:tc>
          <w:tcPr>
            <w:tcW w:w="1118" w:type="dxa"/>
            <w:shd w:val="clear" w:color="auto" w:fill="auto"/>
          </w:tcPr>
          <w:p w14:paraId="463C8CE5"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16</w:t>
            </w:r>
          </w:p>
        </w:tc>
        <w:tc>
          <w:tcPr>
            <w:tcW w:w="1192" w:type="dxa"/>
            <w:shd w:val="clear" w:color="auto" w:fill="auto"/>
          </w:tcPr>
          <w:p w14:paraId="1BF5F7C7"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2.5</w:t>
            </w:r>
          </w:p>
        </w:tc>
        <w:tc>
          <w:tcPr>
            <w:tcW w:w="1193" w:type="dxa"/>
            <w:shd w:val="clear" w:color="auto" w:fill="auto"/>
          </w:tcPr>
          <w:p w14:paraId="462F3DEC"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6.2</w:t>
            </w:r>
          </w:p>
        </w:tc>
        <w:tc>
          <w:tcPr>
            <w:tcW w:w="1284" w:type="dxa"/>
            <w:shd w:val="clear" w:color="auto" w:fill="auto"/>
          </w:tcPr>
          <w:p w14:paraId="1D675C28"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w:t>
            </w:r>
          </w:p>
        </w:tc>
      </w:tr>
      <w:tr w:rsidR="005972A9" w14:paraId="683C92E0" w14:textId="77777777" w:rsidTr="00FD7B6F">
        <w:tc>
          <w:tcPr>
            <w:tcW w:w="2682" w:type="dxa"/>
            <w:shd w:val="clear" w:color="auto" w:fill="auto"/>
          </w:tcPr>
          <w:p w14:paraId="40BE7FBE"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color w:val="000000"/>
                <w:sz w:val="20"/>
                <w:szCs w:val="20"/>
              </w:rPr>
              <w:t>Hypocalcaemia</w:t>
            </w:r>
          </w:p>
        </w:tc>
        <w:tc>
          <w:tcPr>
            <w:tcW w:w="1660" w:type="dxa"/>
            <w:shd w:val="clear" w:color="auto" w:fill="auto"/>
          </w:tcPr>
          <w:p w14:paraId="67377A82"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Common</w:t>
            </w:r>
          </w:p>
        </w:tc>
        <w:tc>
          <w:tcPr>
            <w:tcW w:w="1118" w:type="dxa"/>
            <w:shd w:val="clear" w:color="auto" w:fill="auto"/>
          </w:tcPr>
          <w:p w14:paraId="5663A8F0"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8.6</w:t>
            </w:r>
          </w:p>
        </w:tc>
        <w:tc>
          <w:tcPr>
            <w:tcW w:w="1192" w:type="dxa"/>
            <w:shd w:val="clear" w:color="auto" w:fill="auto"/>
          </w:tcPr>
          <w:p w14:paraId="4854E59D"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1.2*</w:t>
            </w:r>
          </w:p>
        </w:tc>
        <w:tc>
          <w:tcPr>
            <w:tcW w:w="1193" w:type="dxa"/>
            <w:shd w:val="clear" w:color="auto" w:fill="auto"/>
          </w:tcPr>
          <w:p w14:paraId="7BF99D7C"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2.5</w:t>
            </w:r>
          </w:p>
        </w:tc>
        <w:tc>
          <w:tcPr>
            <w:tcW w:w="1284" w:type="dxa"/>
            <w:shd w:val="clear" w:color="auto" w:fill="auto"/>
          </w:tcPr>
          <w:p w14:paraId="321B9C01"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vertAlign w:val="superscript"/>
              </w:rPr>
            </w:pPr>
            <w:r w:rsidRPr="00FD7B6F">
              <w:rPr>
                <w:rFonts w:ascii="Cambria" w:eastAsia="Cambria" w:hAnsi="Cambria" w:cs="Cambria"/>
                <w:color w:val="000000"/>
                <w:sz w:val="20"/>
                <w:szCs w:val="20"/>
              </w:rPr>
              <w:t>0.6*</w:t>
            </w:r>
          </w:p>
        </w:tc>
      </w:tr>
      <w:tr w:rsidR="005972A9" w14:paraId="5E6E56A8" w14:textId="77777777" w:rsidTr="00FD7B6F">
        <w:tc>
          <w:tcPr>
            <w:tcW w:w="9129" w:type="dxa"/>
            <w:gridSpan w:val="6"/>
            <w:shd w:val="clear" w:color="auto" w:fill="auto"/>
          </w:tcPr>
          <w:p w14:paraId="76DB8446"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b/>
                <w:color w:val="000000"/>
                <w:sz w:val="20"/>
                <w:szCs w:val="20"/>
              </w:rPr>
            </w:pPr>
            <w:r w:rsidRPr="00FD7B6F">
              <w:rPr>
                <w:rFonts w:ascii="Cambria" w:eastAsia="Cambria" w:hAnsi="Cambria" w:cs="Cambria"/>
                <w:b/>
                <w:color w:val="000000"/>
                <w:sz w:val="20"/>
                <w:szCs w:val="20"/>
              </w:rPr>
              <w:t>Nervous System Disorders</w:t>
            </w:r>
          </w:p>
        </w:tc>
      </w:tr>
      <w:tr w:rsidR="005972A9" w14:paraId="618C89E7" w14:textId="77777777" w:rsidTr="00FD7B6F">
        <w:tc>
          <w:tcPr>
            <w:tcW w:w="2682" w:type="dxa"/>
            <w:shd w:val="clear" w:color="auto" w:fill="auto"/>
          </w:tcPr>
          <w:p w14:paraId="49FF5428"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color w:val="000000"/>
                <w:sz w:val="20"/>
                <w:szCs w:val="20"/>
              </w:rPr>
              <w:t>Headache</w:t>
            </w:r>
          </w:p>
        </w:tc>
        <w:tc>
          <w:tcPr>
            <w:tcW w:w="1660" w:type="dxa"/>
            <w:shd w:val="clear" w:color="auto" w:fill="auto"/>
          </w:tcPr>
          <w:p w14:paraId="634C564D"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Very Common</w:t>
            </w:r>
          </w:p>
        </w:tc>
        <w:tc>
          <w:tcPr>
            <w:tcW w:w="1118" w:type="dxa"/>
            <w:shd w:val="clear" w:color="auto" w:fill="auto"/>
          </w:tcPr>
          <w:p w14:paraId="0297A4AA"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21</w:t>
            </w:r>
          </w:p>
        </w:tc>
        <w:tc>
          <w:tcPr>
            <w:tcW w:w="1192" w:type="dxa"/>
            <w:shd w:val="clear" w:color="auto" w:fill="auto"/>
          </w:tcPr>
          <w:p w14:paraId="0E94B553"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w:t>
            </w:r>
          </w:p>
        </w:tc>
        <w:tc>
          <w:tcPr>
            <w:tcW w:w="1193" w:type="dxa"/>
            <w:shd w:val="clear" w:color="auto" w:fill="auto"/>
          </w:tcPr>
          <w:p w14:paraId="79FCE108"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13.6</w:t>
            </w:r>
          </w:p>
        </w:tc>
        <w:tc>
          <w:tcPr>
            <w:tcW w:w="1284" w:type="dxa"/>
            <w:shd w:val="clear" w:color="auto" w:fill="auto"/>
          </w:tcPr>
          <w:p w14:paraId="7551E35E"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w:t>
            </w:r>
          </w:p>
        </w:tc>
      </w:tr>
      <w:tr w:rsidR="005972A9" w14:paraId="190CD371" w14:textId="77777777" w:rsidTr="00FD7B6F">
        <w:tc>
          <w:tcPr>
            <w:tcW w:w="9129" w:type="dxa"/>
            <w:gridSpan w:val="6"/>
            <w:shd w:val="clear" w:color="auto" w:fill="auto"/>
          </w:tcPr>
          <w:p w14:paraId="67934D64"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b/>
                <w:color w:val="000000"/>
                <w:sz w:val="20"/>
                <w:szCs w:val="20"/>
              </w:rPr>
            </w:pPr>
            <w:r w:rsidRPr="00FD7B6F">
              <w:rPr>
                <w:rFonts w:ascii="Cambria" w:eastAsia="Cambria" w:hAnsi="Cambria" w:cs="Cambria"/>
                <w:b/>
                <w:color w:val="000000"/>
                <w:sz w:val="20"/>
                <w:szCs w:val="20"/>
              </w:rPr>
              <w:t>Eye Disorders</w:t>
            </w:r>
          </w:p>
        </w:tc>
      </w:tr>
      <w:tr w:rsidR="005972A9" w14:paraId="0E3541C2" w14:textId="77777777" w:rsidTr="00FD7B6F">
        <w:tc>
          <w:tcPr>
            <w:tcW w:w="2682" w:type="dxa"/>
            <w:shd w:val="clear" w:color="auto" w:fill="auto"/>
          </w:tcPr>
          <w:p w14:paraId="1C184EED"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color w:val="000000"/>
                <w:sz w:val="20"/>
                <w:szCs w:val="20"/>
              </w:rPr>
              <w:t>Dry eye</w:t>
            </w:r>
          </w:p>
        </w:tc>
        <w:tc>
          <w:tcPr>
            <w:tcW w:w="1660" w:type="dxa"/>
            <w:shd w:val="clear" w:color="auto" w:fill="auto"/>
          </w:tcPr>
          <w:p w14:paraId="6B988867"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Common</w:t>
            </w:r>
          </w:p>
        </w:tc>
        <w:tc>
          <w:tcPr>
            <w:tcW w:w="1118" w:type="dxa"/>
            <w:shd w:val="clear" w:color="auto" w:fill="auto"/>
          </w:tcPr>
          <w:p w14:paraId="55B5BAFF"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8.6</w:t>
            </w:r>
          </w:p>
        </w:tc>
        <w:tc>
          <w:tcPr>
            <w:tcW w:w="1192" w:type="dxa"/>
            <w:shd w:val="clear" w:color="auto" w:fill="auto"/>
          </w:tcPr>
          <w:p w14:paraId="37D3B1E9"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w:t>
            </w:r>
          </w:p>
        </w:tc>
        <w:tc>
          <w:tcPr>
            <w:tcW w:w="1193" w:type="dxa"/>
            <w:shd w:val="clear" w:color="auto" w:fill="auto"/>
          </w:tcPr>
          <w:p w14:paraId="4F5D195A"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3.1</w:t>
            </w:r>
          </w:p>
        </w:tc>
        <w:tc>
          <w:tcPr>
            <w:tcW w:w="1284" w:type="dxa"/>
            <w:shd w:val="clear" w:color="auto" w:fill="auto"/>
          </w:tcPr>
          <w:p w14:paraId="41A26624"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w:t>
            </w:r>
          </w:p>
        </w:tc>
      </w:tr>
      <w:tr w:rsidR="005972A9" w14:paraId="22D0CEAE" w14:textId="77777777" w:rsidTr="00FD7B6F">
        <w:tc>
          <w:tcPr>
            <w:tcW w:w="9129" w:type="dxa"/>
            <w:gridSpan w:val="6"/>
            <w:shd w:val="clear" w:color="auto" w:fill="auto"/>
          </w:tcPr>
          <w:p w14:paraId="2C285850"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b/>
                <w:color w:val="000000"/>
                <w:sz w:val="20"/>
                <w:szCs w:val="20"/>
              </w:rPr>
            </w:pPr>
            <w:r w:rsidRPr="00FD7B6F">
              <w:rPr>
                <w:rFonts w:ascii="Cambria" w:eastAsia="Cambria" w:hAnsi="Cambria" w:cs="Cambria"/>
                <w:b/>
                <w:color w:val="000000"/>
                <w:sz w:val="20"/>
                <w:szCs w:val="20"/>
              </w:rPr>
              <w:t>Gastrointestinal Disorders</w:t>
            </w:r>
          </w:p>
        </w:tc>
      </w:tr>
      <w:tr w:rsidR="005972A9" w14:paraId="27D1028D" w14:textId="77777777" w:rsidTr="00FD7B6F">
        <w:tc>
          <w:tcPr>
            <w:tcW w:w="2682" w:type="dxa"/>
            <w:shd w:val="clear" w:color="auto" w:fill="auto"/>
          </w:tcPr>
          <w:p w14:paraId="3F95A5FA"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vertAlign w:val="superscript"/>
              </w:rPr>
            </w:pPr>
            <w:r w:rsidRPr="00FD7B6F">
              <w:rPr>
                <w:rFonts w:ascii="Cambria" w:eastAsia="Cambria" w:hAnsi="Cambria" w:cs="Cambria"/>
                <w:color w:val="000000"/>
                <w:sz w:val="20"/>
                <w:szCs w:val="20"/>
              </w:rPr>
              <w:t>Stomatitis</w:t>
            </w:r>
            <w:r w:rsidRPr="00FD7B6F">
              <w:rPr>
                <w:rFonts w:ascii="Cambria" w:eastAsia="Cambria" w:hAnsi="Cambria" w:cs="Cambria"/>
                <w:color w:val="000000"/>
                <w:sz w:val="20"/>
                <w:szCs w:val="20"/>
                <w:vertAlign w:val="superscript"/>
              </w:rPr>
              <w:t>d</w:t>
            </w:r>
          </w:p>
        </w:tc>
        <w:tc>
          <w:tcPr>
            <w:tcW w:w="1660" w:type="dxa"/>
            <w:shd w:val="clear" w:color="auto" w:fill="auto"/>
          </w:tcPr>
          <w:p w14:paraId="6B0D4D92"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Very Common</w:t>
            </w:r>
          </w:p>
        </w:tc>
        <w:tc>
          <w:tcPr>
            <w:tcW w:w="1118" w:type="dxa"/>
            <w:shd w:val="clear" w:color="auto" w:fill="auto"/>
          </w:tcPr>
          <w:p w14:paraId="7865CD80"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51.2</w:t>
            </w:r>
          </w:p>
        </w:tc>
        <w:tc>
          <w:tcPr>
            <w:tcW w:w="1192" w:type="dxa"/>
            <w:shd w:val="clear" w:color="auto" w:fill="auto"/>
          </w:tcPr>
          <w:p w14:paraId="7489A441"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5.6*</w:t>
            </w:r>
          </w:p>
        </w:tc>
        <w:tc>
          <w:tcPr>
            <w:tcW w:w="1193" w:type="dxa"/>
            <w:shd w:val="clear" w:color="auto" w:fill="auto"/>
          </w:tcPr>
          <w:p w14:paraId="5F6F3C16"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26.5</w:t>
            </w:r>
          </w:p>
        </w:tc>
        <w:tc>
          <w:tcPr>
            <w:tcW w:w="1284" w:type="dxa"/>
            <w:shd w:val="clear" w:color="auto" w:fill="auto"/>
          </w:tcPr>
          <w:p w14:paraId="4960F62D"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w:t>
            </w:r>
          </w:p>
        </w:tc>
      </w:tr>
      <w:tr w:rsidR="005972A9" w14:paraId="4327A3A8" w14:textId="77777777" w:rsidTr="00FD7B6F">
        <w:tc>
          <w:tcPr>
            <w:tcW w:w="2682" w:type="dxa"/>
            <w:shd w:val="clear" w:color="auto" w:fill="auto"/>
          </w:tcPr>
          <w:p w14:paraId="185BABC6"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color w:val="000000"/>
                <w:sz w:val="20"/>
                <w:szCs w:val="20"/>
              </w:rPr>
              <w:t>Diarrhoea</w:t>
            </w:r>
          </w:p>
        </w:tc>
        <w:tc>
          <w:tcPr>
            <w:tcW w:w="1660" w:type="dxa"/>
            <w:shd w:val="clear" w:color="auto" w:fill="auto"/>
          </w:tcPr>
          <w:p w14:paraId="0FD98886"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Very Common</w:t>
            </w:r>
          </w:p>
        </w:tc>
        <w:tc>
          <w:tcPr>
            <w:tcW w:w="1118" w:type="dxa"/>
            <w:shd w:val="clear" w:color="auto" w:fill="auto"/>
          </w:tcPr>
          <w:p w14:paraId="27573BFF"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48.1</w:t>
            </w:r>
          </w:p>
        </w:tc>
        <w:tc>
          <w:tcPr>
            <w:tcW w:w="1192" w:type="dxa"/>
            <w:shd w:val="clear" w:color="auto" w:fill="auto"/>
          </w:tcPr>
          <w:p w14:paraId="58A56BC5"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3.7*</w:t>
            </w:r>
          </w:p>
        </w:tc>
        <w:tc>
          <w:tcPr>
            <w:tcW w:w="1193" w:type="dxa"/>
            <w:shd w:val="clear" w:color="auto" w:fill="auto"/>
          </w:tcPr>
          <w:p w14:paraId="5D243F01"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16</w:t>
            </w:r>
          </w:p>
        </w:tc>
        <w:tc>
          <w:tcPr>
            <w:tcW w:w="1284" w:type="dxa"/>
            <w:shd w:val="clear" w:color="auto" w:fill="auto"/>
          </w:tcPr>
          <w:p w14:paraId="5291EC6B"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w:t>
            </w:r>
          </w:p>
        </w:tc>
      </w:tr>
      <w:tr w:rsidR="005972A9" w14:paraId="7134F142" w14:textId="77777777" w:rsidTr="00FD7B6F">
        <w:tc>
          <w:tcPr>
            <w:tcW w:w="2682" w:type="dxa"/>
            <w:shd w:val="clear" w:color="auto" w:fill="auto"/>
          </w:tcPr>
          <w:p w14:paraId="62BE3540"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color w:val="000000"/>
                <w:sz w:val="20"/>
                <w:szCs w:val="20"/>
              </w:rPr>
              <w:t>Nausea</w:t>
            </w:r>
          </w:p>
        </w:tc>
        <w:tc>
          <w:tcPr>
            <w:tcW w:w="1660" w:type="dxa"/>
            <w:shd w:val="clear" w:color="auto" w:fill="auto"/>
          </w:tcPr>
          <w:p w14:paraId="360DD48F"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Very Common</w:t>
            </w:r>
          </w:p>
        </w:tc>
        <w:tc>
          <w:tcPr>
            <w:tcW w:w="1118" w:type="dxa"/>
            <w:shd w:val="clear" w:color="auto" w:fill="auto"/>
          </w:tcPr>
          <w:p w14:paraId="4BA03289"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27.8</w:t>
            </w:r>
          </w:p>
        </w:tc>
        <w:tc>
          <w:tcPr>
            <w:tcW w:w="1192" w:type="dxa"/>
            <w:shd w:val="clear" w:color="auto" w:fill="auto"/>
          </w:tcPr>
          <w:p w14:paraId="5BBFA1A3"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0.6*</w:t>
            </w:r>
          </w:p>
        </w:tc>
        <w:tc>
          <w:tcPr>
            <w:tcW w:w="1193" w:type="dxa"/>
            <w:shd w:val="clear" w:color="auto" w:fill="auto"/>
          </w:tcPr>
          <w:p w14:paraId="61A8CB52"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16.7</w:t>
            </w:r>
          </w:p>
        </w:tc>
        <w:tc>
          <w:tcPr>
            <w:tcW w:w="1284" w:type="dxa"/>
            <w:shd w:val="clear" w:color="auto" w:fill="auto"/>
          </w:tcPr>
          <w:p w14:paraId="238CF237"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w:t>
            </w:r>
          </w:p>
        </w:tc>
      </w:tr>
      <w:tr w:rsidR="005972A9" w14:paraId="73FD866C" w14:textId="77777777" w:rsidTr="00FD7B6F">
        <w:tc>
          <w:tcPr>
            <w:tcW w:w="2682" w:type="dxa"/>
            <w:shd w:val="clear" w:color="auto" w:fill="auto"/>
          </w:tcPr>
          <w:p w14:paraId="1718638B"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color w:val="000000"/>
                <w:sz w:val="20"/>
                <w:szCs w:val="20"/>
              </w:rPr>
              <w:t>Vomiting</w:t>
            </w:r>
          </w:p>
        </w:tc>
        <w:tc>
          <w:tcPr>
            <w:tcW w:w="1660" w:type="dxa"/>
            <w:shd w:val="clear" w:color="auto" w:fill="auto"/>
          </w:tcPr>
          <w:p w14:paraId="1DAF9AFF"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Very Common</w:t>
            </w:r>
          </w:p>
        </w:tc>
        <w:tc>
          <w:tcPr>
            <w:tcW w:w="1118" w:type="dxa"/>
            <w:shd w:val="clear" w:color="auto" w:fill="auto"/>
          </w:tcPr>
          <w:p w14:paraId="74D9F7C2"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14.8</w:t>
            </w:r>
          </w:p>
        </w:tc>
        <w:tc>
          <w:tcPr>
            <w:tcW w:w="1192" w:type="dxa"/>
            <w:shd w:val="clear" w:color="auto" w:fill="auto"/>
          </w:tcPr>
          <w:p w14:paraId="6902C67C"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0.6*</w:t>
            </w:r>
          </w:p>
        </w:tc>
        <w:tc>
          <w:tcPr>
            <w:tcW w:w="1193" w:type="dxa"/>
            <w:shd w:val="clear" w:color="auto" w:fill="auto"/>
          </w:tcPr>
          <w:p w14:paraId="2A856A60"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4.9</w:t>
            </w:r>
          </w:p>
        </w:tc>
        <w:tc>
          <w:tcPr>
            <w:tcW w:w="1284" w:type="dxa"/>
            <w:shd w:val="clear" w:color="auto" w:fill="auto"/>
          </w:tcPr>
          <w:p w14:paraId="5B4EAADB"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vertAlign w:val="superscript"/>
              </w:rPr>
            </w:pPr>
            <w:r w:rsidRPr="00FD7B6F">
              <w:rPr>
                <w:rFonts w:ascii="Cambria" w:eastAsia="Cambria" w:hAnsi="Cambria" w:cs="Cambria"/>
                <w:color w:val="000000"/>
                <w:sz w:val="20"/>
                <w:szCs w:val="20"/>
              </w:rPr>
              <w:t>1.2*</w:t>
            </w:r>
          </w:p>
        </w:tc>
      </w:tr>
      <w:tr w:rsidR="005972A9" w14:paraId="1088DD80" w14:textId="77777777" w:rsidTr="00FD7B6F">
        <w:tc>
          <w:tcPr>
            <w:tcW w:w="2682" w:type="dxa"/>
            <w:shd w:val="clear" w:color="auto" w:fill="auto"/>
          </w:tcPr>
          <w:p w14:paraId="601AC888"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color w:val="000000"/>
                <w:sz w:val="20"/>
                <w:szCs w:val="20"/>
              </w:rPr>
              <w:t>Dyspepsia</w:t>
            </w:r>
          </w:p>
        </w:tc>
        <w:tc>
          <w:tcPr>
            <w:tcW w:w="1660" w:type="dxa"/>
            <w:shd w:val="clear" w:color="auto" w:fill="auto"/>
          </w:tcPr>
          <w:p w14:paraId="7E8BE770"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Common</w:t>
            </w:r>
          </w:p>
        </w:tc>
        <w:tc>
          <w:tcPr>
            <w:tcW w:w="1118" w:type="dxa"/>
            <w:shd w:val="clear" w:color="auto" w:fill="auto"/>
          </w:tcPr>
          <w:p w14:paraId="583AB251"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8</w:t>
            </w:r>
          </w:p>
        </w:tc>
        <w:tc>
          <w:tcPr>
            <w:tcW w:w="1192" w:type="dxa"/>
            <w:shd w:val="clear" w:color="auto" w:fill="auto"/>
          </w:tcPr>
          <w:p w14:paraId="5ED7A65D"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w:t>
            </w:r>
          </w:p>
        </w:tc>
        <w:tc>
          <w:tcPr>
            <w:tcW w:w="1193" w:type="dxa"/>
            <w:shd w:val="clear" w:color="auto" w:fill="auto"/>
          </w:tcPr>
          <w:p w14:paraId="12162EEE"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2.5</w:t>
            </w:r>
          </w:p>
        </w:tc>
        <w:tc>
          <w:tcPr>
            <w:tcW w:w="1284" w:type="dxa"/>
            <w:shd w:val="clear" w:color="auto" w:fill="auto"/>
          </w:tcPr>
          <w:p w14:paraId="78131E93"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w:t>
            </w:r>
          </w:p>
        </w:tc>
      </w:tr>
      <w:tr w:rsidR="005972A9" w14:paraId="19449C15" w14:textId="77777777" w:rsidTr="00FD7B6F">
        <w:tc>
          <w:tcPr>
            <w:tcW w:w="9129" w:type="dxa"/>
            <w:gridSpan w:val="6"/>
            <w:shd w:val="clear" w:color="auto" w:fill="auto"/>
          </w:tcPr>
          <w:p w14:paraId="6DA620C8"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b/>
                <w:color w:val="000000"/>
                <w:sz w:val="20"/>
                <w:szCs w:val="20"/>
              </w:rPr>
            </w:pPr>
            <w:r w:rsidRPr="00FD7B6F">
              <w:rPr>
                <w:rFonts w:ascii="Cambria" w:eastAsia="Cambria" w:hAnsi="Cambria" w:cs="Cambria"/>
                <w:b/>
                <w:color w:val="000000"/>
                <w:sz w:val="20"/>
                <w:szCs w:val="20"/>
              </w:rPr>
              <w:t>Skin and Subcutaneous Tissue Disorders</w:t>
            </w:r>
          </w:p>
        </w:tc>
      </w:tr>
      <w:tr w:rsidR="005972A9" w14:paraId="60C9D631" w14:textId="77777777" w:rsidTr="00FD7B6F">
        <w:tc>
          <w:tcPr>
            <w:tcW w:w="2682" w:type="dxa"/>
            <w:shd w:val="clear" w:color="auto" w:fill="auto"/>
          </w:tcPr>
          <w:p w14:paraId="78249C2E"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vertAlign w:val="superscript"/>
              </w:rPr>
            </w:pPr>
            <w:r w:rsidRPr="00FD7B6F">
              <w:rPr>
                <w:rFonts w:ascii="Cambria" w:eastAsia="Cambria" w:hAnsi="Cambria" w:cs="Cambria"/>
                <w:color w:val="000000"/>
                <w:sz w:val="20"/>
                <w:szCs w:val="20"/>
              </w:rPr>
              <w:t>Rash</w:t>
            </w:r>
            <w:r w:rsidRPr="00FD7B6F">
              <w:rPr>
                <w:rFonts w:ascii="Cambria" w:eastAsia="Cambria" w:hAnsi="Cambria" w:cs="Cambria"/>
                <w:color w:val="000000"/>
                <w:sz w:val="20"/>
                <w:szCs w:val="20"/>
                <w:vertAlign w:val="superscript"/>
              </w:rPr>
              <w:t>e</w:t>
            </w:r>
          </w:p>
        </w:tc>
        <w:tc>
          <w:tcPr>
            <w:tcW w:w="1660" w:type="dxa"/>
            <w:shd w:val="clear" w:color="auto" w:fill="auto"/>
          </w:tcPr>
          <w:p w14:paraId="2F8886A6"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Very Common</w:t>
            </w:r>
          </w:p>
        </w:tc>
        <w:tc>
          <w:tcPr>
            <w:tcW w:w="1118" w:type="dxa"/>
            <w:shd w:val="clear" w:color="auto" w:fill="auto"/>
          </w:tcPr>
          <w:p w14:paraId="23A2648D"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25.3</w:t>
            </w:r>
          </w:p>
        </w:tc>
        <w:tc>
          <w:tcPr>
            <w:tcW w:w="1192" w:type="dxa"/>
            <w:shd w:val="clear" w:color="auto" w:fill="auto"/>
          </w:tcPr>
          <w:p w14:paraId="27F82B53"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w:t>
            </w:r>
          </w:p>
        </w:tc>
        <w:tc>
          <w:tcPr>
            <w:tcW w:w="1193" w:type="dxa"/>
            <w:shd w:val="clear" w:color="auto" w:fill="auto"/>
          </w:tcPr>
          <w:p w14:paraId="76A2C82B"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17.3</w:t>
            </w:r>
          </w:p>
        </w:tc>
        <w:tc>
          <w:tcPr>
            <w:tcW w:w="1284" w:type="dxa"/>
            <w:shd w:val="clear" w:color="auto" w:fill="auto"/>
          </w:tcPr>
          <w:p w14:paraId="5DE62297"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w:t>
            </w:r>
          </w:p>
        </w:tc>
      </w:tr>
      <w:tr w:rsidR="005972A9" w14:paraId="4B60D036" w14:textId="77777777" w:rsidTr="00FD7B6F">
        <w:tc>
          <w:tcPr>
            <w:tcW w:w="2682" w:type="dxa"/>
            <w:shd w:val="clear" w:color="auto" w:fill="auto"/>
          </w:tcPr>
          <w:p w14:paraId="3A2AFFC0"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color w:val="000000"/>
                <w:sz w:val="20"/>
                <w:szCs w:val="20"/>
              </w:rPr>
              <w:t>Alopecia</w:t>
            </w:r>
          </w:p>
        </w:tc>
        <w:tc>
          <w:tcPr>
            <w:tcW w:w="1660" w:type="dxa"/>
            <w:shd w:val="clear" w:color="auto" w:fill="auto"/>
          </w:tcPr>
          <w:p w14:paraId="1EA23C72"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Very Common</w:t>
            </w:r>
          </w:p>
        </w:tc>
        <w:tc>
          <w:tcPr>
            <w:tcW w:w="1118" w:type="dxa"/>
            <w:shd w:val="clear" w:color="auto" w:fill="auto"/>
          </w:tcPr>
          <w:p w14:paraId="50F5B722"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18.5</w:t>
            </w:r>
          </w:p>
        </w:tc>
        <w:tc>
          <w:tcPr>
            <w:tcW w:w="1192" w:type="dxa"/>
            <w:shd w:val="clear" w:color="auto" w:fill="auto"/>
          </w:tcPr>
          <w:p w14:paraId="7D7F6565"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w:t>
            </w:r>
          </w:p>
        </w:tc>
        <w:tc>
          <w:tcPr>
            <w:tcW w:w="1193" w:type="dxa"/>
            <w:shd w:val="clear" w:color="auto" w:fill="auto"/>
          </w:tcPr>
          <w:p w14:paraId="1B61CFED"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5.6</w:t>
            </w:r>
          </w:p>
        </w:tc>
        <w:tc>
          <w:tcPr>
            <w:tcW w:w="1284" w:type="dxa"/>
            <w:shd w:val="clear" w:color="auto" w:fill="auto"/>
          </w:tcPr>
          <w:p w14:paraId="127270DF"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w:t>
            </w:r>
          </w:p>
        </w:tc>
      </w:tr>
      <w:tr w:rsidR="005972A9" w14:paraId="6A8519C2" w14:textId="77777777" w:rsidTr="00FD7B6F">
        <w:tc>
          <w:tcPr>
            <w:tcW w:w="2682" w:type="dxa"/>
            <w:shd w:val="clear" w:color="auto" w:fill="auto"/>
          </w:tcPr>
          <w:p w14:paraId="5C20801B"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vertAlign w:val="superscript"/>
              </w:rPr>
            </w:pPr>
            <w:r w:rsidRPr="00FD7B6F">
              <w:rPr>
                <w:rFonts w:ascii="Cambria" w:eastAsia="Cambria" w:hAnsi="Cambria" w:cs="Cambria"/>
                <w:color w:val="000000"/>
                <w:sz w:val="20"/>
                <w:szCs w:val="20"/>
              </w:rPr>
              <w:t xml:space="preserve">Dry </w:t>
            </w:r>
            <w:proofErr w:type="spellStart"/>
            <w:r w:rsidRPr="00FD7B6F">
              <w:rPr>
                <w:rFonts w:ascii="Cambria" w:eastAsia="Cambria" w:hAnsi="Cambria" w:cs="Cambria"/>
                <w:color w:val="000000"/>
                <w:sz w:val="20"/>
                <w:szCs w:val="20"/>
              </w:rPr>
              <w:t>skin</w:t>
            </w:r>
            <w:r w:rsidRPr="00FD7B6F">
              <w:rPr>
                <w:rFonts w:ascii="Cambria" w:eastAsia="Cambria" w:hAnsi="Cambria" w:cs="Cambria"/>
                <w:color w:val="000000"/>
                <w:sz w:val="20"/>
                <w:szCs w:val="20"/>
                <w:vertAlign w:val="superscript"/>
              </w:rPr>
              <w:t>f</w:t>
            </w:r>
            <w:proofErr w:type="spellEnd"/>
          </w:p>
        </w:tc>
        <w:tc>
          <w:tcPr>
            <w:tcW w:w="1660" w:type="dxa"/>
            <w:shd w:val="clear" w:color="auto" w:fill="auto"/>
          </w:tcPr>
          <w:p w14:paraId="65DF7980"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Very Common</w:t>
            </w:r>
          </w:p>
        </w:tc>
        <w:tc>
          <w:tcPr>
            <w:tcW w:w="1118" w:type="dxa"/>
            <w:shd w:val="clear" w:color="auto" w:fill="auto"/>
          </w:tcPr>
          <w:p w14:paraId="494520B4"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13</w:t>
            </w:r>
          </w:p>
        </w:tc>
        <w:tc>
          <w:tcPr>
            <w:tcW w:w="1192" w:type="dxa"/>
            <w:shd w:val="clear" w:color="auto" w:fill="auto"/>
          </w:tcPr>
          <w:p w14:paraId="7C04873B"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w:t>
            </w:r>
          </w:p>
        </w:tc>
        <w:tc>
          <w:tcPr>
            <w:tcW w:w="1193" w:type="dxa"/>
            <w:shd w:val="clear" w:color="auto" w:fill="auto"/>
          </w:tcPr>
          <w:p w14:paraId="54C4ED93"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4.3</w:t>
            </w:r>
          </w:p>
        </w:tc>
        <w:tc>
          <w:tcPr>
            <w:tcW w:w="1284" w:type="dxa"/>
            <w:shd w:val="clear" w:color="auto" w:fill="auto"/>
          </w:tcPr>
          <w:p w14:paraId="21DB0615"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w:t>
            </w:r>
          </w:p>
        </w:tc>
      </w:tr>
      <w:tr w:rsidR="005972A9" w14:paraId="45280ED9" w14:textId="77777777" w:rsidTr="00FD7B6F">
        <w:tc>
          <w:tcPr>
            <w:tcW w:w="9129" w:type="dxa"/>
            <w:gridSpan w:val="6"/>
            <w:shd w:val="clear" w:color="auto" w:fill="auto"/>
          </w:tcPr>
          <w:p w14:paraId="0F3A2848"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b/>
                <w:color w:val="000000"/>
                <w:sz w:val="20"/>
                <w:szCs w:val="20"/>
              </w:rPr>
            </w:pPr>
            <w:r w:rsidRPr="00FD7B6F">
              <w:rPr>
                <w:rFonts w:ascii="Cambria" w:eastAsia="Cambria" w:hAnsi="Cambria" w:cs="Cambria"/>
                <w:b/>
                <w:color w:val="000000"/>
                <w:sz w:val="20"/>
                <w:szCs w:val="20"/>
              </w:rPr>
              <w:t>General Disorders and Administration Site Conditions</w:t>
            </w:r>
          </w:p>
        </w:tc>
      </w:tr>
      <w:tr w:rsidR="005972A9" w14:paraId="337DB73D" w14:textId="77777777" w:rsidTr="00FD7B6F">
        <w:tc>
          <w:tcPr>
            <w:tcW w:w="2682" w:type="dxa"/>
            <w:shd w:val="clear" w:color="auto" w:fill="auto"/>
          </w:tcPr>
          <w:p w14:paraId="2CCE799E"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color w:val="000000"/>
                <w:sz w:val="20"/>
                <w:szCs w:val="20"/>
              </w:rPr>
              <w:t>Fatigue</w:t>
            </w:r>
          </w:p>
        </w:tc>
        <w:tc>
          <w:tcPr>
            <w:tcW w:w="1660" w:type="dxa"/>
            <w:shd w:val="clear" w:color="auto" w:fill="auto"/>
          </w:tcPr>
          <w:p w14:paraId="081C73A0"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Very Common</w:t>
            </w:r>
          </w:p>
        </w:tc>
        <w:tc>
          <w:tcPr>
            <w:tcW w:w="1118" w:type="dxa"/>
            <w:shd w:val="clear" w:color="auto" w:fill="auto"/>
          </w:tcPr>
          <w:p w14:paraId="468C70B4"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37.7</w:t>
            </w:r>
          </w:p>
        </w:tc>
        <w:tc>
          <w:tcPr>
            <w:tcW w:w="1192" w:type="dxa"/>
            <w:shd w:val="clear" w:color="auto" w:fill="auto"/>
          </w:tcPr>
          <w:p w14:paraId="14CC9058"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1.9*</w:t>
            </w:r>
          </w:p>
        </w:tc>
        <w:tc>
          <w:tcPr>
            <w:tcW w:w="1193" w:type="dxa"/>
            <w:shd w:val="clear" w:color="auto" w:fill="auto"/>
          </w:tcPr>
          <w:p w14:paraId="06CA497A"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25.3</w:t>
            </w:r>
          </w:p>
        </w:tc>
        <w:tc>
          <w:tcPr>
            <w:tcW w:w="1284" w:type="dxa"/>
            <w:shd w:val="clear" w:color="auto" w:fill="auto"/>
          </w:tcPr>
          <w:p w14:paraId="19718811"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vertAlign w:val="superscript"/>
              </w:rPr>
            </w:pPr>
            <w:r w:rsidRPr="00FD7B6F">
              <w:rPr>
                <w:rFonts w:ascii="Cambria" w:eastAsia="Cambria" w:hAnsi="Cambria" w:cs="Cambria"/>
                <w:color w:val="000000"/>
                <w:sz w:val="20"/>
                <w:szCs w:val="20"/>
              </w:rPr>
              <w:t>1.2*</w:t>
            </w:r>
          </w:p>
        </w:tc>
      </w:tr>
      <w:tr w:rsidR="005972A9" w14:paraId="7A128340" w14:textId="77777777" w:rsidTr="00FD7B6F">
        <w:tc>
          <w:tcPr>
            <w:tcW w:w="9129" w:type="dxa"/>
            <w:gridSpan w:val="6"/>
            <w:shd w:val="clear" w:color="auto" w:fill="auto"/>
          </w:tcPr>
          <w:p w14:paraId="78EB6870"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b/>
                <w:color w:val="000000"/>
                <w:sz w:val="20"/>
                <w:szCs w:val="20"/>
              </w:rPr>
            </w:pPr>
            <w:r w:rsidRPr="00FD7B6F">
              <w:rPr>
                <w:rFonts w:ascii="Cambria" w:eastAsia="Cambria" w:hAnsi="Cambria" w:cs="Cambria"/>
                <w:b/>
                <w:color w:val="000000"/>
                <w:sz w:val="20"/>
                <w:szCs w:val="20"/>
              </w:rPr>
              <w:t>Investigations</w:t>
            </w:r>
          </w:p>
        </w:tc>
      </w:tr>
      <w:tr w:rsidR="005972A9" w14:paraId="62CBC900" w14:textId="77777777" w:rsidTr="00FD7B6F">
        <w:tc>
          <w:tcPr>
            <w:tcW w:w="2682" w:type="dxa"/>
            <w:shd w:val="clear" w:color="auto" w:fill="auto"/>
          </w:tcPr>
          <w:p w14:paraId="3342241D"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color w:val="000000"/>
                <w:sz w:val="20"/>
                <w:szCs w:val="20"/>
              </w:rPr>
              <w:t>Alanine aminotransferase increased</w:t>
            </w:r>
          </w:p>
        </w:tc>
        <w:tc>
          <w:tcPr>
            <w:tcW w:w="1660" w:type="dxa"/>
            <w:shd w:val="clear" w:color="auto" w:fill="auto"/>
          </w:tcPr>
          <w:p w14:paraId="0B703BBD"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Very Common</w:t>
            </w:r>
          </w:p>
        </w:tc>
        <w:tc>
          <w:tcPr>
            <w:tcW w:w="1118" w:type="dxa"/>
            <w:shd w:val="clear" w:color="auto" w:fill="auto"/>
          </w:tcPr>
          <w:p w14:paraId="6BB074E9"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17.3</w:t>
            </w:r>
          </w:p>
        </w:tc>
        <w:tc>
          <w:tcPr>
            <w:tcW w:w="1192" w:type="dxa"/>
            <w:shd w:val="clear" w:color="auto" w:fill="auto"/>
          </w:tcPr>
          <w:p w14:paraId="6B81F1C6"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3.7*</w:t>
            </w:r>
          </w:p>
        </w:tc>
        <w:tc>
          <w:tcPr>
            <w:tcW w:w="1193" w:type="dxa"/>
            <w:shd w:val="clear" w:color="auto" w:fill="auto"/>
          </w:tcPr>
          <w:p w14:paraId="73251EC1"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13</w:t>
            </w:r>
          </w:p>
        </w:tc>
        <w:tc>
          <w:tcPr>
            <w:tcW w:w="1284" w:type="dxa"/>
            <w:shd w:val="clear" w:color="auto" w:fill="auto"/>
          </w:tcPr>
          <w:p w14:paraId="7219CC9E"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vertAlign w:val="superscript"/>
              </w:rPr>
            </w:pPr>
            <w:r w:rsidRPr="00FD7B6F">
              <w:rPr>
                <w:rFonts w:ascii="Cambria" w:eastAsia="Cambria" w:hAnsi="Cambria" w:cs="Cambria"/>
                <w:color w:val="000000"/>
                <w:sz w:val="20"/>
                <w:szCs w:val="20"/>
              </w:rPr>
              <w:t>1.2*</w:t>
            </w:r>
          </w:p>
        </w:tc>
      </w:tr>
      <w:tr w:rsidR="005972A9" w14:paraId="717595CE" w14:textId="77777777" w:rsidTr="00FD7B6F">
        <w:tc>
          <w:tcPr>
            <w:tcW w:w="2682" w:type="dxa"/>
            <w:shd w:val="clear" w:color="auto" w:fill="auto"/>
          </w:tcPr>
          <w:p w14:paraId="3EEAEBBA"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color w:val="000000"/>
                <w:sz w:val="20"/>
                <w:szCs w:val="20"/>
              </w:rPr>
              <w:t>Weight decreased</w:t>
            </w:r>
          </w:p>
        </w:tc>
        <w:tc>
          <w:tcPr>
            <w:tcW w:w="1660" w:type="dxa"/>
            <w:shd w:val="clear" w:color="auto" w:fill="auto"/>
          </w:tcPr>
          <w:p w14:paraId="55621988"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Very Common</w:t>
            </w:r>
          </w:p>
        </w:tc>
        <w:tc>
          <w:tcPr>
            <w:tcW w:w="1118" w:type="dxa"/>
            <w:shd w:val="clear" w:color="auto" w:fill="auto"/>
          </w:tcPr>
          <w:p w14:paraId="2F7A63E1"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17.3</w:t>
            </w:r>
          </w:p>
        </w:tc>
        <w:tc>
          <w:tcPr>
            <w:tcW w:w="1192" w:type="dxa"/>
            <w:shd w:val="clear" w:color="auto" w:fill="auto"/>
          </w:tcPr>
          <w:p w14:paraId="055670AE"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3.7*</w:t>
            </w:r>
          </w:p>
        </w:tc>
        <w:tc>
          <w:tcPr>
            <w:tcW w:w="1193" w:type="dxa"/>
            <w:shd w:val="clear" w:color="auto" w:fill="auto"/>
          </w:tcPr>
          <w:p w14:paraId="602D70B1"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0.6</w:t>
            </w:r>
          </w:p>
        </w:tc>
        <w:tc>
          <w:tcPr>
            <w:tcW w:w="1284" w:type="dxa"/>
            <w:shd w:val="clear" w:color="auto" w:fill="auto"/>
          </w:tcPr>
          <w:p w14:paraId="4A4919F5"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w:t>
            </w:r>
          </w:p>
        </w:tc>
      </w:tr>
      <w:tr w:rsidR="005972A9" w14:paraId="3BA9E295" w14:textId="77777777" w:rsidTr="00FD7B6F">
        <w:tc>
          <w:tcPr>
            <w:tcW w:w="2682" w:type="dxa"/>
            <w:shd w:val="clear" w:color="auto" w:fill="auto"/>
          </w:tcPr>
          <w:p w14:paraId="4700FCD1"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color w:val="000000"/>
                <w:sz w:val="20"/>
                <w:szCs w:val="20"/>
              </w:rPr>
              <w:t>Blood insulin increased</w:t>
            </w:r>
          </w:p>
        </w:tc>
        <w:tc>
          <w:tcPr>
            <w:tcW w:w="1660" w:type="dxa"/>
            <w:shd w:val="clear" w:color="auto" w:fill="auto"/>
          </w:tcPr>
          <w:p w14:paraId="0BEFB6DF"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Common</w:t>
            </w:r>
          </w:p>
        </w:tc>
        <w:tc>
          <w:tcPr>
            <w:tcW w:w="1118" w:type="dxa"/>
            <w:shd w:val="clear" w:color="auto" w:fill="auto"/>
          </w:tcPr>
          <w:p w14:paraId="06472D6E"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6.2</w:t>
            </w:r>
          </w:p>
        </w:tc>
        <w:tc>
          <w:tcPr>
            <w:tcW w:w="1192" w:type="dxa"/>
            <w:shd w:val="clear" w:color="auto" w:fill="auto"/>
          </w:tcPr>
          <w:p w14:paraId="73A69313"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w:t>
            </w:r>
          </w:p>
        </w:tc>
        <w:tc>
          <w:tcPr>
            <w:tcW w:w="1193" w:type="dxa"/>
            <w:shd w:val="clear" w:color="auto" w:fill="auto"/>
          </w:tcPr>
          <w:p w14:paraId="58652FFE"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0.6</w:t>
            </w:r>
          </w:p>
        </w:tc>
        <w:tc>
          <w:tcPr>
            <w:tcW w:w="1284" w:type="dxa"/>
            <w:shd w:val="clear" w:color="auto" w:fill="auto"/>
          </w:tcPr>
          <w:p w14:paraId="3CEF1949"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w:t>
            </w:r>
          </w:p>
        </w:tc>
      </w:tr>
      <w:tr w:rsidR="005972A9" w14:paraId="4C8E5D0A" w14:textId="77777777" w:rsidTr="00FD7B6F">
        <w:tc>
          <w:tcPr>
            <w:tcW w:w="9129" w:type="dxa"/>
            <w:gridSpan w:val="6"/>
            <w:shd w:val="clear" w:color="auto" w:fill="auto"/>
          </w:tcPr>
          <w:p w14:paraId="7F663887" w14:textId="77777777" w:rsidR="005972A9" w:rsidRPr="00FD7B6F" w:rsidRDefault="004A79CA" w:rsidP="00FD7B6F">
            <w:pPr>
              <w:pBdr>
                <w:top w:val="nil"/>
                <w:left w:val="nil"/>
                <w:bottom w:val="nil"/>
                <w:right w:val="nil"/>
                <w:between w:val="nil"/>
              </w:pBdr>
              <w:spacing w:before="50" w:after="50" w:line="240" w:lineRule="auto"/>
              <w:ind w:left="115" w:hanging="115"/>
              <w:rPr>
                <w:rFonts w:ascii="Cambria" w:eastAsia="Cambria" w:hAnsi="Cambria" w:cs="Cambria"/>
                <w:color w:val="000000"/>
                <w:sz w:val="20"/>
                <w:szCs w:val="20"/>
              </w:rPr>
            </w:pPr>
            <w:r w:rsidRPr="00FD7B6F">
              <w:rPr>
                <w:rFonts w:ascii="Cambria" w:eastAsia="Cambria" w:hAnsi="Cambria" w:cs="Cambria"/>
                <w:color w:val="000000"/>
                <w:sz w:val="20"/>
                <w:szCs w:val="20"/>
              </w:rPr>
              <w:lastRenderedPageBreak/>
              <w:t>Grading according to CTCAE version 5.0.</w:t>
            </w:r>
          </w:p>
          <w:p w14:paraId="0F93A169" w14:textId="77777777" w:rsidR="005972A9" w:rsidRPr="00FD7B6F" w:rsidRDefault="004A79CA" w:rsidP="00FD7B6F">
            <w:pPr>
              <w:pBdr>
                <w:top w:val="nil"/>
                <w:left w:val="nil"/>
                <w:bottom w:val="nil"/>
                <w:right w:val="nil"/>
                <w:between w:val="nil"/>
              </w:pBdr>
              <w:spacing w:before="50" w:after="50" w:line="240" w:lineRule="auto"/>
              <w:ind w:left="115" w:hanging="115"/>
              <w:rPr>
                <w:rFonts w:ascii="Cambria" w:eastAsia="Cambria" w:hAnsi="Cambria" w:cs="Cambria"/>
                <w:color w:val="000000"/>
                <w:sz w:val="20"/>
                <w:szCs w:val="20"/>
              </w:rPr>
            </w:pPr>
            <w:r w:rsidRPr="00FD7B6F">
              <w:rPr>
                <w:rFonts w:ascii="Cambria" w:eastAsia="Cambria" w:hAnsi="Cambria" w:cs="Cambria"/>
                <w:color w:val="000000"/>
                <w:sz w:val="20"/>
                <w:szCs w:val="20"/>
              </w:rPr>
              <w:t>* No Grade 4 events were observed.</w:t>
            </w:r>
          </w:p>
          <w:p w14:paraId="2DA3F11E" w14:textId="77777777" w:rsidR="005972A9" w:rsidRPr="00FD7B6F" w:rsidRDefault="004A79CA" w:rsidP="00FD7B6F">
            <w:pPr>
              <w:pBdr>
                <w:top w:val="nil"/>
                <w:left w:val="nil"/>
                <w:bottom w:val="nil"/>
                <w:right w:val="nil"/>
                <w:between w:val="nil"/>
              </w:pBdr>
              <w:spacing w:before="50" w:after="50" w:line="240" w:lineRule="auto"/>
              <w:ind w:left="115" w:hanging="115"/>
              <w:rPr>
                <w:rFonts w:ascii="Cambria" w:eastAsia="Cambria" w:hAnsi="Cambria" w:cs="Cambria"/>
                <w:color w:val="000000"/>
                <w:sz w:val="20"/>
                <w:szCs w:val="20"/>
              </w:rPr>
            </w:pPr>
            <w:proofErr w:type="gramStart"/>
            <w:r w:rsidRPr="00FD7B6F">
              <w:rPr>
                <w:rFonts w:ascii="Cambria" w:eastAsia="Cambria" w:hAnsi="Cambria" w:cs="Cambria"/>
                <w:color w:val="000000"/>
                <w:sz w:val="20"/>
                <w:szCs w:val="20"/>
                <w:vertAlign w:val="superscript"/>
              </w:rPr>
              <w:t>a</w:t>
            </w:r>
            <w:r w:rsidRPr="00FD7B6F">
              <w:rPr>
                <w:rFonts w:ascii="Cambria" w:eastAsia="Cambria" w:hAnsi="Cambria" w:cs="Cambria"/>
                <w:color w:val="000000"/>
                <w:sz w:val="20"/>
                <w:szCs w:val="20"/>
              </w:rPr>
              <w:t xml:space="preserve"> Includes</w:t>
            </w:r>
            <w:proofErr w:type="gramEnd"/>
            <w:r w:rsidRPr="00FD7B6F">
              <w:rPr>
                <w:rFonts w:ascii="Cambria" w:eastAsia="Cambria" w:hAnsi="Cambria" w:cs="Cambria"/>
                <w:color w:val="000000"/>
                <w:sz w:val="20"/>
                <w:szCs w:val="20"/>
              </w:rPr>
              <w:t xml:space="preserve"> platelet count decreased and thrombocytopenia.</w:t>
            </w:r>
          </w:p>
          <w:p w14:paraId="0565D9AE" w14:textId="77777777" w:rsidR="005972A9" w:rsidRPr="00FD7B6F" w:rsidRDefault="004A79CA" w:rsidP="00FD7B6F">
            <w:pPr>
              <w:pBdr>
                <w:top w:val="nil"/>
                <w:left w:val="nil"/>
                <w:bottom w:val="nil"/>
                <w:right w:val="nil"/>
                <w:between w:val="nil"/>
              </w:pBdr>
              <w:spacing w:before="50" w:after="50" w:line="240" w:lineRule="auto"/>
              <w:ind w:left="115" w:hanging="115"/>
              <w:rPr>
                <w:rFonts w:ascii="Cambria" w:eastAsia="Cambria" w:hAnsi="Cambria" w:cs="Cambria"/>
                <w:color w:val="000000"/>
                <w:sz w:val="20"/>
                <w:szCs w:val="20"/>
              </w:rPr>
            </w:pPr>
            <w:r w:rsidRPr="00FD7B6F">
              <w:rPr>
                <w:rFonts w:ascii="Cambria" w:eastAsia="Cambria" w:hAnsi="Cambria" w:cs="Cambria"/>
                <w:color w:val="000000"/>
                <w:sz w:val="20"/>
                <w:szCs w:val="20"/>
                <w:vertAlign w:val="superscript"/>
              </w:rPr>
              <w:t>b</w:t>
            </w:r>
            <w:r w:rsidRPr="00FD7B6F">
              <w:rPr>
                <w:rFonts w:ascii="Cambria" w:eastAsia="Cambria" w:hAnsi="Cambria" w:cs="Cambria"/>
                <w:color w:val="000000"/>
                <w:sz w:val="20"/>
                <w:szCs w:val="20"/>
              </w:rPr>
              <w:t xml:space="preserve"> Includes anaemia and hemoglobin decreased.</w:t>
            </w:r>
          </w:p>
          <w:p w14:paraId="2F5C8A28" w14:textId="77777777" w:rsidR="005972A9" w:rsidRPr="00FD7B6F" w:rsidRDefault="004A79CA" w:rsidP="00FD7B6F">
            <w:pPr>
              <w:pBdr>
                <w:top w:val="nil"/>
                <w:left w:val="nil"/>
                <w:bottom w:val="nil"/>
                <w:right w:val="nil"/>
                <w:between w:val="nil"/>
              </w:pBdr>
              <w:spacing w:before="50" w:after="50" w:line="240" w:lineRule="auto"/>
              <w:ind w:left="115" w:hanging="115"/>
              <w:rPr>
                <w:rFonts w:ascii="Cambria" w:eastAsia="Cambria" w:hAnsi="Cambria" w:cs="Cambria"/>
                <w:color w:val="000000"/>
                <w:sz w:val="20"/>
                <w:szCs w:val="20"/>
              </w:rPr>
            </w:pPr>
            <w:r w:rsidRPr="00FD7B6F">
              <w:rPr>
                <w:rFonts w:ascii="Cambria" w:eastAsia="Cambria" w:hAnsi="Cambria" w:cs="Cambria"/>
                <w:color w:val="000000"/>
                <w:sz w:val="20"/>
                <w:szCs w:val="20"/>
                <w:vertAlign w:val="superscript"/>
              </w:rPr>
              <w:t>c</w:t>
            </w:r>
            <w:r w:rsidRPr="00FD7B6F">
              <w:rPr>
                <w:rFonts w:ascii="Cambria" w:eastAsia="Cambria" w:hAnsi="Cambria" w:cs="Cambria"/>
                <w:color w:val="000000"/>
                <w:sz w:val="20"/>
                <w:szCs w:val="20"/>
              </w:rPr>
              <w:t xml:space="preserve"> Includes hyperglycaemia, blood glucose increased, hyperglycaemic crisis, glycated serum protein increased, glucose tolerance impaired, diabetes mellitus, Type 2 diabetes mellitus, and glycosylated hemoglobin increased.</w:t>
            </w:r>
          </w:p>
          <w:p w14:paraId="0C2CDEE0" w14:textId="77777777" w:rsidR="005972A9" w:rsidRPr="00FD7B6F" w:rsidRDefault="004A79CA" w:rsidP="00FD7B6F">
            <w:pPr>
              <w:pBdr>
                <w:top w:val="nil"/>
                <w:left w:val="nil"/>
                <w:bottom w:val="nil"/>
                <w:right w:val="nil"/>
                <w:between w:val="nil"/>
              </w:pBdr>
              <w:spacing w:before="50" w:after="50" w:line="240" w:lineRule="auto"/>
              <w:ind w:left="115" w:hanging="115"/>
              <w:rPr>
                <w:rFonts w:ascii="Cambria" w:eastAsia="Cambria" w:hAnsi="Cambria" w:cs="Cambria"/>
                <w:color w:val="000000"/>
                <w:sz w:val="20"/>
                <w:szCs w:val="20"/>
              </w:rPr>
            </w:pPr>
            <w:proofErr w:type="gramStart"/>
            <w:r w:rsidRPr="00FD7B6F">
              <w:rPr>
                <w:rFonts w:ascii="Cambria" w:eastAsia="Cambria" w:hAnsi="Cambria" w:cs="Cambria"/>
                <w:color w:val="000000"/>
                <w:sz w:val="20"/>
                <w:szCs w:val="20"/>
                <w:vertAlign w:val="superscript"/>
              </w:rPr>
              <w:t>d</w:t>
            </w:r>
            <w:r w:rsidRPr="00FD7B6F">
              <w:rPr>
                <w:rFonts w:ascii="Cambria" w:eastAsia="Cambria" w:hAnsi="Cambria" w:cs="Cambria"/>
                <w:color w:val="000000"/>
                <w:sz w:val="20"/>
                <w:szCs w:val="20"/>
              </w:rPr>
              <w:t xml:space="preserve"> Includes</w:t>
            </w:r>
            <w:proofErr w:type="gramEnd"/>
            <w:r w:rsidRPr="00FD7B6F">
              <w:rPr>
                <w:rFonts w:ascii="Cambria" w:eastAsia="Cambria" w:hAnsi="Cambria" w:cs="Cambria"/>
                <w:color w:val="000000"/>
                <w:sz w:val="20"/>
                <w:szCs w:val="20"/>
              </w:rPr>
              <w:t xml:space="preserve"> aphthous ulcer, glossitis, glossodynia, lip ulceration, mouth ulceration, mucosal inflammation, and stomatitis. </w:t>
            </w:r>
          </w:p>
          <w:p w14:paraId="306EEFA6" w14:textId="77777777" w:rsidR="005972A9" w:rsidRPr="00FD7B6F" w:rsidRDefault="004A79CA" w:rsidP="00FD7B6F">
            <w:pPr>
              <w:pBdr>
                <w:top w:val="nil"/>
                <w:left w:val="nil"/>
                <w:bottom w:val="nil"/>
                <w:right w:val="nil"/>
                <w:between w:val="nil"/>
              </w:pBdr>
              <w:spacing w:before="50" w:after="50" w:line="240" w:lineRule="auto"/>
              <w:ind w:left="115" w:hanging="115"/>
              <w:rPr>
                <w:rFonts w:ascii="Cambria" w:eastAsia="Cambria" w:hAnsi="Cambria" w:cs="Cambria"/>
                <w:color w:val="000000"/>
                <w:sz w:val="20"/>
                <w:szCs w:val="20"/>
              </w:rPr>
            </w:pPr>
            <w:r w:rsidRPr="00FD7B6F">
              <w:rPr>
                <w:rFonts w:ascii="Cambria" w:eastAsia="Cambria" w:hAnsi="Cambria" w:cs="Cambria"/>
                <w:color w:val="000000"/>
                <w:sz w:val="20"/>
                <w:szCs w:val="20"/>
                <w:vertAlign w:val="superscript"/>
              </w:rPr>
              <w:t>e</w:t>
            </w:r>
            <w:r w:rsidRPr="00FD7B6F">
              <w:rPr>
                <w:rFonts w:ascii="Cambria" w:eastAsia="Cambria" w:hAnsi="Cambria" w:cs="Cambria"/>
                <w:color w:val="000000"/>
                <w:sz w:val="20"/>
                <w:szCs w:val="20"/>
              </w:rPr>
              <w:t xml:space="preserve"> Includes dermatitis, dermatitis acneiform, dermatitis bullous, erythema, folliculitis, rash, rash erythematous, rash maculo-papular, rash popular, rash pruritic, and rash pustular.</w:t>
            </w:r>
          </w:p>
          <w:p w14:paraId="2AEC7698" w14:textId="77777777" w:rsidR="005972A9" w:rsidRPr="00FD7B6F" w:rsidRDefault="004A79CA" w:rsidP="00FD7B6F">
            <w:pPr>
              <w:pBdr>
                <w:top w:val="nil"/>
                <w:left w:val="nil"/>
                <w:bottom w:val="nil"/>
                <w:right w:val="nil"/>
                <w:between w:val="nil"/>
              </w:pBdr>
              <w:spacing w:before="50" w:after="50" w:line="240" w:lineRule="auto"/>
              <w:ind w:left="115" w:hanging="115"/>
              <w:rPr>
                <w:rFonts w:ascii="Cambria" w:eastAsia="Cambria" w:hAnsi="Cambria" w:cs="Cambria"/>
                <w:color w:val="000000"/>
                <w:sz w:val="20"/>
                <w:szCs w:val="20"/>
              </w:rPr>
            </w:pPr>
            <w:r w:rsidRPr="00FD7B6F">
              <w:rPr>
                <w:rFonts w:ascii="Cambria" w:eastAsia="Cambria" w:hAnsi="Cambria" w:cs="Cambria"/>
                <w:color w:val="000000"/>
                <w:sz w:val="20"/>
                <w:szCs w:val="20"/>
                <w:vertAlign w:val="superscript"/>
              </w:rPr>
              <w:t>f</w:t>
            </w:r>
            <w:r w:rsidRPr="00FD7B6F">
              <w:rPr>
                <w:rFonts w:ascii="Cambria" w:eastAsia="Cambria" w:hAnsi="Cambria" w:cs="Cambria"/>
                <w:color w:val="000000"/>
                <w:sz w:val="20"/>
                <w:szCs w:val="20"/>
              </w:rPr>
              <w:t xml:space="preserve"> Includes dry skin, skin fissures, xerosis, and xeroderma.</w:t>
            </w:r>
          </w:p>
        </w:tc>
      </w:tr>
    </w:tbl>
    <w:p w14:paraId="0C942ED7" w14:textId="36FDE1C1" w:rsidR="005972A9" w:rsidRDefault="004A79CA" w:rsidP="00375767">
      <w:pPr>
        <w:pBdr>
          <w:top w:val="nil"/>
          <w:left w:val="nil"/>
          <w:bottom w:val="nil"/>
          <w:right w:val="nil"/>
          <w:between w:val="nil"/>
        </w:pBdr>
        <w:spacing w:before="120" w:after="0" w:line="240" w:lineRule="auto"/>
        <w:rPr>
          <w:rFonts w:ascii="Cambria" w:eastAsia="Cambria" w:hAnsi="Cambria" w:cs="Cambria"/>
          <w:color w:val="000000"/>
        </w:rPr>
      </w:pPr>
      <w:r>
        <w:rPr>
          <w:rFonts w:ascii="Cambria" w:eastAsia="Cambria" w:hAnsi="Cambria" w:cs="Cambria"/>
          <w:color w:val="000000"/>
        </w:rPr>
        <w:t xml:space="preserve">Other adverse reactions with &lt; 5% (all grades) or &lt; 2% (Grade 3-4) greater incidence reported in patients in the </w:t>
      </w:r>
      <w:r w:rsidR="00DE29EE">
        <w:rPr>
          <w:rFonts w:ascii="Cambria" w:eastAsia="Cambria" w:hAnsi="Cambria" w:cs="Cambria"/>
          <w:color w:val="000000"/>
        </w:rPr>
        <w:t>Itovebi</w:t>
      </w:r>
      <w:r>
        <w:rPr>
          <w:rFonts w:ascii="Cambria" w:eastAsia="Cambria" w:hAnsi="Cambria" w:cs="Cambria"/>
          <w:color w:val="000000"/>
        </w:rPr>
        <w:t xml:space="preserve"> arm than the placebo arm are presented below:</w:t>
      </w:r>
    </w:p>
    <w:p w14:paraId="2BD5984B" w14:textId="77777777" w:rsidR="005972A9" w:rsidRDefault="004A79CA">
      <w:pPr>
        <w:pBdr>
          <w:top w:val="nil"/>
          <w:left w:val="nil"/>
          <w:bottom w:val="nil"/>
          <w:right w:val="nil"/>
          <w:between w:val="nil"/>
        </w:pBdr>
        <w:spacing w:after="250"/>
        <w:rPr>
          <w:rFonts w:ascii="Cambria" w:eastAsia="Cambria" w:hAnsi="Cambria" w:cs="Cambria"/>
          <w:color w:val="000000"/>
        </w:rPr>
      </w:pPr>
      <w:r>
        <w:rPr>
          <w:rFonts w:ascii="Cambria" w:eastAsia="Cambria" w:hAnsi="Cambria" w:cs="Cambria"/>
          <w:color w:val="000000"/>
        </w:rPr>
        <w:t>Gastrointestinal Disorders: Abdominal pain, including abdominal pain, abdominal pain upper, abdominal pain lower (all grades: 15.4%; Grade 3: 0.6%; no Grade 4 events); dysgeusia, including dysgeusia, ageusia, and hypogeusia (all grades: 8.6%; Grade 3-4: 0%)</w:t>
      </w:r>
    </w:p>
    <w:p w14:paraId="3C4032D6" w14:textId="77777777" w:rsidR="005972A9" w:rsidRDefault="004A79CA">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Description of selected adverse drug reactions</w:t>
      </w:r>
    </w:p>
    <w:p w14:paraId="05EB216C" w14:textId="0470A6A7" w:rsidR="005972A9" w:rsidRDefault="004A79CA">
      <w:pPr>
        <w:pBdr>
          <w:top w:val="nil"/>
          <w:left w:val="nil"/>
          <w:bottom w:val="nil"/>
          <w:right w:val="nil"/>
          <w:between w:val="nil"/>
        </w:pBdr>
        <w:spacing w:after="0" w:line="240" w:lineRule="auto"/>
        <w:rPr>
          <w:rFonts w:ascii="Cambria" w:eastAsia="Cambria" w:hAnsi="Cambria" w:cs="Cambria"/>
          <w:color w:val="548DD4"/>
          <w:sz w:val="20"/>
          <w:szCs w:val="20"/>
        </w:rPr>
      </w:pPr>
      <w:bookmarkStart w:id="21" w:name="_heading=h.4i7ojhp" w:colFirst="0" w:colLast="0"/>
      <w:bookmarkEnd w:id="21"/>
      <w:proofErr w:type="spellStart"/>
      <w:r>
        <w:rPr>
          <w:rFonts w:ascii="Cambria" w:eastAsia="Cambria" w:hAnsi="Cambria" w:cs="Cambria"/>
          <w:color w:val="000000"/>
        </w:rPr>
        <w:t>Hyperglycaemia</w:t>
      </w:r>
      <w:proofErr w:type="spellEnd"/>
    </w:p>
    <w:p w14:paraId="286DF25E" w14:textId="76C5A556" w:rsidR="005972A9" w:rsidRDefault="004A79CA">
      <w:pPr>
        <w:pBdr>
          <w:top w:val="nil"/>
          <w:left w:val="nil"/>
          <w:bottom w:val="nil"/>
          <w:right w:val="nil"/>
          <w:between w:val="nil"/>
        </w:pBdr>
        <w:spacing w:after="250"/>
        <w:rPr>
          <w:rFonts w:ascii="Cambria" w:eastAsia="Cambria" w:hAnsi="Cambria" w:cs="Cambria"/>
          <w:b/>
          <w:color w:val="000000"/>
        </w:rPr>
      </w:pPr>
      <w:bookmarkStart w:id="22" w:name="_heading=h.2xcytpi" w:colFirst="0" w:colLast="0"/>
      <w:bookmarkEnd w:id="22"/>
      <w:r>
        <w:rPr>
          <w:rFonts w:ascii="Cambria" w:eastAsia="Cambria" w:hAnsi="Cambria" w:cs="Cambria"/>
          <w:color w:val="000000"/>
        </w:rPr>
        <w:t xml:space="preserve">In the INAVO120 study, </w:t>
      </w:r>
      <w:r w:rsidR="00C72418">
        <w:rPr>
          <w:rFonts w:ascii="Cambria" w:eastAsia="Cambria" w:hAnsi="Cambria" w:cs="Cambria"/>
          <w:color w:val="000000"/>
        </w:rPr>
        <w:t>i</w:t>
      </w:r>
      <w:r w:rsidR="00C72418" w:rsidRPr="00C72418">
        <w:rPr>
          <w:rFonts w:ascii="Cambria" w:eastAsia="Cambria" w:hAnsi="Cambria" w:cs="Cambria"/>
          <w:color w:val="000000"/>
        </w:rPr>
        <w:t>ncreased fasting glucose occurred in 85% of patients treated with I</w:t>
      </w:r>
      <w:r w:rsidR="00C72418">
        <w:rPr>
          <w:rFonts w:ascii="Cambria" w:eastAsia="Cambria" w:hAnsi="Cambria" w:cs="Cambria"/>
          <w:color w:val="000000"/>
        </w:rPr>
        <w:t>tovebi</w:t>
      </w:r>
      <w:r w:rsidR="00C72418" w:rsidRPr="00C72418">
        <w:rPr>
          <w:rFonts w:ascii="Cambria" w:eastAsia="Cambria" w:hAnsi="Cambria" w:cs="Cambria"/>
          <w:color w:val="000000"/>
        </w:rPr>
        <w:t xml:space="preserve">, including 22% of patients with Grade 2 (FPG &gt; </w:t>
      </w:r>
      <w:r w:rsidR="00DE4984">
        <w:rPr>
          <w:rFonts w:ascii="Cambria" w:eastAsia="Cambria" w:hAnsi="Cambria" w:cs="Cambria"/>
          <w:color w:val="000000"/>
        </w:rPr>
        <w:t>8.9</w:t>
      </w:r>
      <w:r w:rsidR="00C72418" w:rsidRPr="00C72418">
        <w:rPr>
          <w:rFonts w:ascii="Cambria" w:eastAsia="Cambria" w:hAnsi="Cambria" w:cs="Cambria"/>
          <w:color w:val="000000"/>
        </w:rPr>
        <w:t xml:space="preserve"> to </w:t>
      </w:r>
      <w:r w:rsidR="00DE4984">
        <w:rPr>
          <w:rFonts w:ascii="Cambria" w:eastAsia="Cambria" w:hAnsi="Cambria" w:cs="Cambria"/>
          <w:color w:val="000000"/>
        </w:rPr>
        <w:t>13.9 mmol/L</w:t>
      </w:r>
      <w:r w:rsidR="00C72418" w:rsidRPr="00C72418">
        <w:rPr>
          <w:rFonts w:ascii="Cambria" w:eastAsia="Cambria" w:hAnsi="Cambria" w:cs="Cambria"/>
          <w:color w:val="000000"/>
        </w:rPr>
        <w:t xml:space="preserve">), 12% with Grade 3 (FPG &gt; </w:t>
      </w:r>
      <w:r w:rsidR="00DE4984">
        <w:rPr>
          <w:rFonts w:ascii="Cambria" w:eastAsia="Cambria" w:hAnsi="Cambria" w:cs="Cambria"/>
          <w:color w:val="000000"/>
        </w:rPr>
        <w:t>13.9</w:t>
      </w:r>
      <w:r w:rsidR="00C72418" w:rsidRPr="00C72418">
        <w:rPr>
          <w:rFonts w:ascii="Cambria" w:eastAsia="Cambria" w:hAnsi="Cambria" w:cs="Cambria"/>
          <w:color w:val="000000"/>
        </w:rPr>
        <w:t xml:space="preserve"> to </w:t>
      </w:r>
      <w:r w:rsidR="00DE4984">
        <w:rPr>
          <w:rFonts w:ascii="Cambria" w:eastAsia="Cambria" w:hAnsi="Cambria" w:cs="Cambria"/>
          <w:color w:val="000000"/>
        </w:rPr>
        <w:t>27.8 mmol/</w:t>
      </w:r>
      <w:r w:rsidR="00C72418" w:rsidRPr="00C72418">
        <w:rPr>
          <w:rFonts w:ascii="Cambria" w:eastAsia="Cambria" w:hAnsi="Cambria" w:cs="Cambria"/>
          <w:color w:val="000000"/>
        </w:rPr>
        <w:t xml:space="preserve">L), and 0.6% with Grade 4 (FPG &gt; </w:t>
      </w:r>
      <w:r w:rsidR="00DE4984">
        <w:rPr>
          <w:rFonts w:ascii="Cambria" w:eastAsia="Cambria" w:hAnsi="Cambria" w:cs="Cambria"/>
          <w:color w:val="000000"/>
        </w:rPr>
        <w:t>27.8 mmol/</w:t>
      </w:r>
      <w:r w:rsidR="00DE4984" w:rsidRPr="00C72418">
        <w:rPr>
          <w:rFonts w:ascii="Cambria" w:eastAsia="Cambria" w:hAnsi="Cambria" w:cs="Cambria"/>
          <w:color w:val="000000"/>
        </w:rPr>
        <w:t>L</w:t>
      </w:r>
      <w:r w:rsidR="00C72418" w:rsidRPr="00C72418">
        <w:rPr>
          <w:rFonts w:ascii="Cambria" w:eastAsia="Cambria" w:hAnsi="Cambria" w:cs="Cambria"/>
          <w:color w:val="000000"/>
        </w:rPr>
        <w:t>)</w:t>
      </w:r>
      <w:r w:rsidR="00DE4984">
        <w:rPr>
          <w:rFonts w:ascii="Cambria" w:eastAsia="Cambria" w:hAnsi="Cambria" w:cs="Cambria"/>
          <w:color w:val="000000"/>
        </w:rPr>
        <w:t xml:space="preserve"> </w:t>
      </w:r>
      <w:r w:rsidR="00C72418" w:rsidRPr="00C72418">
        <w:rPr>
          <w:rFonts w:ascii="Cambria" w:eastAsia="Cambria" w:hAnsi="Cambria" w:cs="Cambria"/>
          <w:color w:val="000000"/>
        </w:rPr>
        <w:t>events.</w:t>
      </w:r>
      <w:r>
        <w:rPr>
          <w:rFonts w:ascii="Cambria" w:eastAsia="Cambria" w:hAnsi="Cambria" w:cs="Cambria"/>
          <w:color w:val="000000"/>
        </w:rPr>
        <w:t xml:space="preserve"> Among the patients who experienced hyperglycaemia, the rate of new onset of hyperglycaemia events was highest during the first two months of treatment (range: 1 to 32 months) with a median time to first onset of 7 days (range: 2 to 955 days). </w:t>
      </w:r>
    </w:p>
    <w:p w14:paraId="1CF7DA97" w14:textId="1764BB1F" w:rsidR="005972A9" w:rsidRDefault="004A79CA">
      <w:pPr>
        <w:pBdr>
          <w:top w:val="nil"/>
          <w:left w:val="nil"/>
          <w:bottom w:val="nil"/>
          <w:right w:val="nil"/>
          <w:between w:val="nil"/>
        </w:pBdr>
        <w:spacing w:after="250" w:line="280" w:lineRule="auto"/>
        <w:rPr>
          <w:rFonts w:ascii="Cambria" w:eastAsia="Cambria" w:hAnsi="Cambria" w:cs="Cambria"/>
          <w:color w:val="000000"/>
        </w:rPr>
      </w:pPr>
      <w:bookmarkStart w:id="23" w:name="_heading=h.1ci93xb" w:colFirst="0" w:colLast="0"/>
      <w:bookmarkEnd w:id="23"/>
      <w:r>
        <w:rPr>
          <w:rFonts w:ascii="Cambria" w:eastAsia="Cambria" w:hAnsi="Cambria" w:cs="Cambria"/>
          <w:color w:val="000000"/>
        </w:rPr>
        <w:t xml:space="preserve">In patients who received </w:t>
      </w:r>
      <w:r w:rsidR="00DE29EE">
        <w:rPr>
          <w:rFonts w:ascii="Cambria" w:eastAsia="Cambria" w:hAnsi="Cambria" w:cs="Cambria"/>
          <w:color w:val="000000"/>
          <w:highlight w:val="white"/>
        </w:rPr>
        <w:t>Itovebi</w:t>
      </w:r>
      <w:r>
        <w:rPr>
          <w:rFonts w:ascii="Cambria" w:eastAsia="Cambria" w:hAnsi="Cambria" w:cs="Cambria"/>
          <w:color w:val="000000"/>
          <w:highlight w:val="white"/>
        </w:rPr>
        <w:t xml:space="preserve"> in combination with palbociclib and fulvestrant</w:t>
      </w:r>
      <w:r>
        <w:rPr>
          <w:rFonts w:ascii="Cambria" w:eastAsia="Cambria" w:hAnsi="Cambria" w:cs="Cambria"/>
          <w:color w:val="000000"/>
        </w:rPr>
        <w:t xml:space="preserve">, 43.8% were managed with anti-hyperglycaemic medication including metformin as a single agent or in combination with other anti-hyperglycaemic medication (i.e., insulin, DPP-4 inhibitors, and sulfonylureas), SGLT2 inhibitors, thiazolidinediones, and DPP-4 inhibitors. In patients with fasting glucose levels &gt; 8.9 mmol/L with at least one level (see Table 2) improvement in fasting glucose levels (n=52), the median time to improvement was 8 days (range: 2 to 43 days). </w:t>
      </w:r>
    </w:p>
    <w:p w14:paraId="6B898F8C" w14:textId="70B615C7" w:rsidR="005972A9" w:rsidRDefault="004A79CA">
      <w:pPr>
        <w:pBdr>
          <w:top w:val="nil"/>
          <w:left w:val="nil"/>
          <w:bottom w:val="nil"/>
          <w:right w:val="nil"/>
          <w:between w:val="nil"/>
        </w:pBdr>
        <w:spacing w:after="250" w:line="280" w:lineRule="auto"/>
        <w:rPr>
          <w:rFonts w:ascii="Cambria" w:eastAsia="Cambria" w:hAnsi="Cambria" w:cs="Cambria"/>
          <w:b/>
          <w:color w:val="548DD4"/>
          <w:sz w:val="20"/>
          <w:szCs w:val="20"/>
        </w:rPr>
      </w:pPr>
      <w:r>
        <w:rPr>
          <w:rFonts w:ascii="Cambria" w:eastAsia="Cambria" w:hAnsi="Cambria" w:cs="Cambria"/>
          <w:color w:val="000000"/>
        </w:rPr>
        <w:t xml:space="preserve">Hyperglycaemia led to interruption of </w:t>
      </w:r>
      <w:r w:rsidR="00DE29EE">
        <w:rPr>
          <w:rFonts w:ascii="Cambria" w:eastAsia="Cambria" w:hAnsi="Cambria" w:cs="Cambria"/>
          <w:color w:val="000000"/>
        </w:rPr>
        <w:t>Itovebi</w:t>
      </w:r>
      <w:r>
        <w:rPr>
          <w:rFonts w:ascii="Cambria" w:eastAsia="Cambria" w:hAnsi="Cambria" w:cs="Cambria"/>
          <w:color w:val="000000"/>
        </w:rPr>
        <w:t xml:space="preserve"> in 27.8%, to dose reduction of </w:t>
      </w:r>
      <w:r w:rsidR="00DE29EE">
        <w:rPr>
          <w:rFonts w:ascii="Cambria" w:eastAsia="Cambria" w:hAnsi="Cambria" w:cs="Cambria"/>
          <w:color w:val="000000"/>
        </w:rPr>
        <w:t>Itovebi</w:t>
      </w:r>
      <w:r>
        <w:rPr>
          <w:rFonts w:ascii="Cambria" w:eastAsia="Cambria" w:hAnsi="Cambria" w:cs="Cambria"/>
          <w:color w:val="000000"/>
        </w:rPr>
        <w:t xml:space="preserve"> in 2.5%, and to discontinuation of </w:t>
      </w:r>
      <w:r w:rsidR="00DE29EE">
        <w:rPr>
          <w:rFonts w:ascii="Cambria" w:eastAsia="Cambria" w:hAnsi="Cambria" w:cs="Cambria"/>
          <w:color w:val="000000"/>
        </w:rPr>
        <w:t>Itovebi</w:t>
      </w:r>
      <w:r>
        <w:rPr>
          <w:rFonts w:ascii="Cambria" w:eastAsia="Cambria" w:hAnsi="Cambria" w:cs="Cambria"/>
          <w:color w:val="000000"/>
        </w:rPr>
        <w:t xml:space="preserve"> in 1.2% of patients.</w:t>
      </w:r>
    </w:p>
    <w:p w14:paraId="1754CCA5" w14:textId="28BE53C1" w:rsidR="005972A9" w:rsidRDefault="004A79CA" w:rsidP="00FD09EF">
      <w:pPr>
        <w:pageBreakBefore/>
        <w:pBdr>
          <w:top w:val="nil"/>
          <w:left w:val="nil"/>
          <w:bottom w:val="nil"/>
          <w:right w:val="nil"/>
          <w:between w:val="nil"/>
        </w:pBdr>
        <w:spacing w:after="0" w:line="240" w:lineRule="auto"/>
        <w:rPr>
          <w:rFonts w:ascii="Cambria" w:eastAsia="Cambria" w:hAnsi="Cambria" w:cs="Cambria"/>
          <w:b/>
          <w:color w:val="548DD4"/>
          <w:sz w:val="20"/>
          <w:szCs w:val="20"/>
        </w:rPr>
      </w:pPr>
      <w:r>
        <w:rPr>
          <w:rFonts w:ascii="Cambria" w:eastAsia="Cambria" w:hAnsi="Cambria" w:cs="Cambria"/>
          <w:color w:val="000000"/>
        </w:rPr>
        <w:lastRenderedPageBreak/>
        <w:t>Stomatitis</w:t>
      </w:r>
    </w:p>
    <w:p w14:paraId="2B3BA73D" w14:textId="79A76D82" w:rsidR="005972A9" w:rsidRDefault="00DE4984">
      <w:pPr>
        <w:pBdr>
          <w:top w:val="nil"/>
          <w:left w:val="nil"/>
          <w:bottom w:val="nil"/>
          <w:right w:val="nil"/>
          <w:between w:val="nil"/>
        </w:pBdr>
        <w:spacing w:after="250" w:line="280" w:lineRule="auto"/>
        <w:rPr>
          <w:rFonts w:ascii="Cambria" w:eastAsia="Cambria" w:hAnsi="Cambria" w:cs="Cambria"/>
          <w:color w:val="000000"/>
        </w:rPr>
      </w:pPr>
      <w:r w:rsidRPr="00DE4984">
        <w:rPr>
          <w:rFonts w:ascii="Cambria" w:eastAsia="Cambria" w:hAnsi="Cambria" w:cs="Cambria"/>
          <w:color w:val="000000"/>
        </w:rPr>
        <w:t xml:space="preserve">Severe stomatitis can occur in patients treated with </w:t>
      </w:r>
      <w:r>
        <w:rPr>
          <w:rFonts w:ascii="Cambria" w:eastAsia="Cambria" w:hAnsi="Cambria" w:cs="Cambria"/>
          <w:color w:val="000000"/>
        </w:rPr>
        <w:t xml:space="preserve">Itovebi. </w:t>
      </w:r>
      <w:r w:rsidR="004A79CA">
        <w:rPr>
          <w:rFonts w:ascii="Cambria" w:eastAsia="Cambria" w:hAnsi="Cambria" w:cs="Cambria"/>
          <w:color w:val="000000"/>
        </w:rPr>
        <w:t xml:space="preserve">Stomatitis was reported in 51.2% of patients treated with </w:t>
      </w:r>
      <w:r w:rsidR="00DE29EE">
        <w:rPr>
          <w:rFonts w:ascii="Cambria" w:eastAsia="Cambria" w:hAnsi="Cambria" w:cs="Cambria"/>
          <w:color w:val="000000"/>
        </w:rPr>
        <w:t>Itovebi</w:t>
      </w:r>
      <w:r w:rsidR="004A79CA">
        <w:rPr>
          <w:rFonts w:ascii="Cambria" w:eastAsia="Cambria" w:hAnsi="Cambria" w:cs="Cambria"/>
          <w:color w:val="000000"/>
        </w:rPr>
        <w:t xml:space="preserve"> in combination with palbociclib and fulvestrant; Grade 1 events were reported in 32.1% of patients, Grade 2 events in 13.6% of patients, and Grade 3 events in 5.6% of patients. No Grade 4 stomatitis events were reported. The median time to first onset was 13 days (range: 1 to 610 days). </w:t>
      </w:r>
    </w:p>
    <w:p w14:paraId="2A8BAC13" w14:textId="77777777" w:rsidR="005972A9" w:rsidRDefault="004A79CA">
      <w:pPr>
        <w:pBdr>
          <w:top w:val="nil"/>
          <w:left w:val="nil"/>
          <w:bottom w:val="nil"/>
          <w:right w:val="nil"/>
          <w:between w:val="nil"/>
        </w:pBdr>
        <w:spacing w:after="250" w:line="280" w:lineRule="auto"/>
        <w:rPr>
          <w:rFonts w:ascii="Cambria" w:eastAsia="Cambria" w:hAnsi="Cambria" w:cs="Cambria"/>
          <w:color w:val="000000"/>
        </w:rPr>
      </w:pPr>
      <w:r>
        <w:rPr>
          <w:rFonts w:ascii="Cambria" w:eastAsia="Cambria" w:hAnsi="Cambria" w:cs="Cambria"/>
          <w:color w:val="000000"/>
        </w:rPr>
        <w:t xml:space="preserve">Stomatitis led to interruption of </w:t>
      </w:r>
      <w:r w:rsidR="00DE29EE">
        <w:rPr>
          <w:rFonts w:ascii="Cambria" w:eastAsia="Cambria" w:hAnsi="Cambria" w:cs="Cambria"/>
          <w:color w:val="000000"/>
        </w:rPr>
        <w:t>Itovebi</w:t>
      </w:r>
      <w:r>
        <w:rPr>
          <w:rFonts w:ascii="Cambria" w:eastAsia="Cambria" w:hAnsi="Cambria" w:cs="Cambria"/>
          <w:color w:val="000000"/>
        </w:rPr>
        <w:t xml:space="preserve"> in 9.9%, to dose reduction of </w:t>
      </w:r>
      <w:r w:rsidR="00DE29EE">
        <w:rPr>
          <w:rFonts w:ascii="Cambria" w:eastAsia="Cambria" w:hAnsi="Cambria" w:cs="Cambria"/>
          <w:color w:val="000000"/>
        </w:rPr>
        <w:t>Itovebi</w:t>
      </w:r>
      <w:r>
        <w:rPr>
          <w:rFonts w:ascii="Cambria" w:eastAsia="Cambria" w:hAnsi="Cambria" w:cs="Cambria"/>
          <w:color w:val="000000"/>
        </w:rPr>
        <w:t xml:space="preserve"> in 3.7%, and to discontinuation of </w:t>
      </w:r>
      <w:r w:rsidR="00DE29EE">
        <w:rPr>
          <w:rFonts w:ascii="Cambria" w:eastAsia="Cambria" w:hAnsi="Cambria" w:cs="Cambria"/>
          <w:color w:val="000000"/>
        </w:rPr>
        <w:t>Itovebi</w:t>
      </w:r>
      <w:r>
        <w:rPr>
          <w:rFonts w:ascii="Cambria" w:eastAsia="Cambria" w:hAnsi="Cambria" w:cs="Cambria"/>
          <w:color w:val="000000"/>
        </w:rPr>
        <w:t xml:space="preserve"> in 0.6% of patients. </w:t>
      </w:r>
    </w:p>
    <w:p w14:paraId="4B55115E" w14:textId="77777777" w:rsidR="005972A9" w:rsidRDefault="004A79CA">
      <w:pPr>
        <w:pBdr>
          <w:top w:val="nil"/>
          <w:left w:val="nil"/>
          <w:bottom w:val="nil"/>
          <w:right w:val="nil"/>
          <w:between w:val="nil"/>
        </w:pBdr>
        <w:spacing w:after="250" w:line="280" w:lineRule="auto"/>
        <w:rPr>
          <w:rFonts w:ascii="Cambria" w:eastAsia="Cambria" w:hAnsi="Cambria" w:cs="Cambria"/>
          <w:color w:val="000000"/>
        </w:rPr>
      </w:pPr>
      <w:bookmarkStart w:id="24" w:name="_heading=h.3whwml4" w:colFirst="0" w:colLast="0"/>
      <w:bookmarkEnd w:id="24"/>
      <w:r>
        <w:rPr>
          <w:rFonts w:ascii="Cambria" w:eastAsia="Cambria" w:hAnsi="Cambria" w:cs="Cambria"/>
          <w:color w:val="000000"/>
        </w:rPr>
        <w:t xml:space="preserve">In patients who received </w:t>
      </w:r>
      <w:r w:rsidR="00DE29EE">
        <w:rPr>
          <w:rFonts w:ascii="Cambria" w:eastAsia="Cambria" w:hAnsi="Cambria" w:cs="Cambria"/>
          <w:color w:val="000000"/>
          <w:highlight w:val="white"/>
        </w:rPr>
        <w:t>Itovebi</w:t>
      </w:r>
      <w:r>
        <w:rPr>
          <w:rFonts w:ascii="Cambria" w:eastAsia="Cambria" w:hAnsi="Cambria" w:cs="Cambria"/>
          <w:color w:val="000000"/>
          <w:highlight w:val="white"/>
        </w:rPr>
        <w:t xml:space="preserve"> in combination with palbociclib and fulvestrant</w:t>
      </w:r>
      <w:r>
        <w:rPr>
          <w:rFonts w:ascii="Cambria" w:eastAsia="Cambria" w:hAnsi="Cambria" w:cs="Cambria"/>
          <w:color w:val="000000"/>
        </w:rPr>
        <w:t>, 24.1% used a mouthwash containing dexamethasone for management of stomatitis.</w:t>
      </w:r>
    </w:p>
    <w:p w14:paraId="19883365" w14:textId="77777777" w:rsidR="005972A9" w:rsidRDefault="004A79CA">
      <w:pPr>
        <w:pBdr>
          <w:top w:val="nil"/>
          <w:left w:val="nil"/>
          <w:bottom w:val="nil"/>
          <w:right w:val="nil"/>
          <w:between w:val="nil"/>
        </w:pBdr>
        <w:spacing w:after="250" w:line="280" w:lineRule="auto"/>
        <w:rPr>
          <w:rFonts w:ascii="Cambria" w:eastAsia="Cambria" w:hAnsi="Cambria" w:cs="Cambria"/>
          <w:color w:val="000000"/>
        </w:rPr>
      </w:pPr>
      <w:bookmarkStart w:id="25" w:name="_heading=h.2bn6wsx" w:colFirst="0" w:colLast="0"/>
      <w:bookmarkEnd w:id="25"/>
      <w:r>
        <w:rPr>
          <w:rFonts w:ascii="Cambria" w:eastAsia="Cambria" w:hAnsi="Cambria" w:cs="Cambria"/>
          <w:color w:val="000000"/>
        </w:rPr>
        <w:t xml:space="preserve">Corticosteroid mouthwash was recommended for prophylaxis of stomatitis in the INAVO120 study. Among patients who received </w:t>
      </w:r>
      <w:r w:rsidR="00DE29EE">
        <w:rPr>
          <w:rFonts w:ascii="Cambria" w:eastAsia="Cambria" w:hAnsi="Cambria" w:cs="Cambria"/>
          <w:color w:val="000000"/>
        </w:rPr>
        <w:t>Itovebi</w:t>
      </w:r>
      <w:r>
        <w:rPr>
          <w:rFonts w:ascii="Cambria" w:eastAsia="Cambria" w:hAnsi="Cambria" w:cs="Cambria"/>
          <w:color w:val="000000"/>
        </w:rPr>
        <w:t xml:space="preserve"> </w:t>
      </w:r>
      <w:r>
        <w:rPr>
          <w:rFonts w:ascii="Cambria" w:eastAsia="Cambria" w:hAnsi="Cambria" w:cs="Cambria"/>
          <w:color w:val="000000"/>
          <w:highlight w:val="white"/>
        </w:rPr>
        <w:t>in combination with palbociclib and fulvestrant</w:t>
      </w:r>
      <w:r>
        <w:rPr>
          <w:rFonts w:ascii="Cambria" w:eastAsia="Cambria" w:hAnsi="Cambria" w:cs="Cambria"/>
          <w:color w:val="000000"/>
        </w:rPr>
        <w:t xml:space="preserve">, prophylaxis containing dexamethasone or triamcinolone was used in 19.1% and 1.2% of patients, respectively. </w:t>
      </w:r>
    </w:p>
    <w:p w14:paraId="192860EB" w14:textId="7312AF18" w:rsidR="005972A9" w:rsidRDefault="00B04E2C" w:rsidP="00DE4984">
      <w:pPr>
        <w:keepNext/>
        <w:pBdr>
          <w:top w:val="nil"/>
          <w:left w:val="nil"/>
          <w:bottom w:val="nil"/>
          <w:right w:val="nil"/>
          <w:between w:val="nil"/>
        </w:pBdr>
        <w:spacing w:after="0" w:line="240" w:lineRule="auto"/>
        <w:rPr>
          <w:rFonts w:ascii="Cambria" w:eastAsia="Cambria" w:hAnsi="Cambria" w:cs="Cambria"/>
          <w:color w:val="000000"/>
        </w:rPr>
      </w:pPr>
      <w:proofErr w:type="spellStart"/>
      <w:r>
        <w:rPr>
          <w:rFonts w:ascii="Cambria" w:eastAsia="Cambria" w:hAnsi="Cambria" w:cs="Cambria"/>
          <w:color w:val="000000"/>
        </w:rPr>
        <w:t>Diarrhoea</w:t>
      </w:r>
      <w:proofErr w:type="spellEnd"/>
    </w:p>
    <w:p w14:paraId="3D1AC5D4" w14:textId="52938ECB" w:rsidR="005972A9" w:rsidRDefault="00DE4984">
      <w:pPr>
        <w:pBdr>
          <w:top w:val="nil"/>
          <w:left w:val="nil"/>
          <w:bottom w:val="nil"/>
          <w:right w:val="nil"/>
          <w:between w:val="nil"/>
        </w:pBdr>
        <w:spacing w:after="250" w:line="280" w:lineRule="auto"/>
        <w:rPr>
          <w:rFonts w:ascii="Cambria" w:eastAsia="Cambria" w:hAnsi="Cambria" w:cs="Cambria"/>
          <w:color w:val="000000"/>
        </w:rPr>
      </w:pPr>
      <w:r w:rsidRPr="00DE4984">
        <w:rPr>
          <w:rFonts w:ascii="Cambria" w:eastAsia="Cambria" w:hAnsi="Cambria" w:cs="Cambria"/>
          <w:color w:val="000000"/>
        </w:rPr>
        <w:t>Severe diarrh</w:t>
      </w:r>
      <w:r>
        <w:rPr>
          <w:rFonts w:ascii="Cambria" w:eastAsia="Cambria" w:hAnsi="Cambria" w:cs="Cambria"/>
          <w:color w:val="000000"/>
        </w:rPr>
        <w:t>o</w:t>
      </w:r>
      <w:r w:rsidRPr="00DE4984">
        <w:rPr>
          <w:rFonts w:ascii="Cambria" w:eastAsia="Cambria" w:hAnsi="Cambria" w:cs="Cambria"/>
          <w:color w:val="000000"/>
        </w:rPr>
        <w:t xml:space="preserve">ea, including dehydration and acute kidney injury, can occur in patients treated with </w:t>
      </w:r>
      <w:r>
        <w:rPr>
          <w:rFonts w:ascii="Cambria" w:eastAsia="Cambria" w:hAnsi="Cambria" w:cs="Cambria"/>
          <w:color w:val="000000"/>
        </w:rPr>
        <w:t xml:space="preserve">Itovebi. </w:t>
      </w:r>
      <w:r w:rsidR="00B04E2C">
        <w:rPr>
          <w:rFonts w:ascii="Cambria" w:eastAsia="Cambria" w:hAnsi="Cambria" w:cs="Cambria"/>
          <w:color w:val="000000"/>
        </w:rPr>
        <w:t>Diarrhoea</w:t>
      </w:r>
      <w:r w:rsidR="004A79CA">
        <w:rPr>
          <w:rFonts w:ascii="Cambria" w:eastAsia="Cambria" w:hAnsi="Cambria" w:cs="Cambria"/>
          <w:color w:val="000000"/>
        </w:rPr>
        <w:t xml:space="preserve"> was reported in 48.1% of patients treated with </w:t>
      </w:r>
      <w:r w:rsidR="00DE29EE">
        <w:rPr>
          <w:rFonts w:ascii="Cambria" w:eastAsia="Cambria" w:hAnsi="Cambria" w:cs="Cambria"/>
          <w:color w:val="000000"/>
        </w:rPr>
        <w:t>Itovebi</w:t>
      </w:r>
      <w:r w:rsidR="004A79CA">
        <w:rPr>
          <w:rFonts w:ascii="Cambria" w:eastAsia="Cambria" w:hAnsi="Cambria" w:cs="Cambria"/>
          <w:color w:val="000000"/>
        </w:rPr>
        <w:t xml:space="preserve"> in combination with palbociclib and fulvestrant; Grade 1 events were reported in 27.8% of patients, Grade 2 events in 16.7% of patients, and Grade 3 events in 3.7% of patients. No Grade 4 </w:t>
      </w:r>
      <w:r w:rsidR="00B04E2C">
        <w:rPr>
          <w:rFonts w:ascii="Cambria" w:eastAsia="Cambria" w:hAnsi="Cambria" w:cs="Cambria"/>
          <w:color w:val="000000"/>
        </w:rPr>
        <w:t>diarrhoea</w:t>
      </w:r>
      <w:r w:rsidR="004A79CA">
        <w:rPr>
          <w:rFonts w:ascii="Cambria" w:eastAsia="Cambria" w:hAnsi="Cambria" w:cs="Cambria"/>
          <w:color w:val="000000"/>
        </w:rPr>
        <w:t xml:space="preserve"> events were reported. The median time to first onset was 15 days (range: 2 to 602 days). </w:t>
      </w:r>
    </w:p>
    <w:p w14:paraId="4724212B" w14:textId="77777777" w:rsidR="005972A9" w:rsidRDefault="00B04E2C">
      <w:pPr>
        <w:pBdr>
          <w:top w:val="nil"/>
          <w:left w:val="nil"/>
          <w:bottom w:val="nil"/>
          <w:right w:val="nil"/>
          <w:between w:val="nil"/>
        </w:pBdr>
        <w:spacing w:after="250" w:line="280" w:lineRule="auto"/>
        <w:rPr>
          <w:rFonts w:ascii="Cambria" w:eastAsia="Cambria" w:hAnsi="Cambria" w:cs="Cambria"/>
          <w:color w:val="000000"/>
        </w:rPr>
      </w:pPr>
      <w:r>
        <w:rPr>
          <w:rFonts w:ascii="Cambria" w:eastAsia="Cambria" w:hAnsi="Cambria" w:cs="Cambria"/>
          <w:color w:val="000000"/>
        </w:rPr>
        <w:t>Diarrhoea</w:t>
      </w:r>
      <w:r w:rsidR="004A79CA">
        <w:rPr>
          <w:rFonts w:ascii="Cambria" w:eastAsia="Cambria" w:hAnsi="Cambria" w:cs="Cambria"/>
          <w:color w:val="000000"/>
        </w:rPr>
        <w:t xml:space="preserve"> led to </w:t>
      </w:r>
      <w:proofErr w:type="gramStart"/>
      <w:r w:rsidR="004A79CA">
        <w:rPr>
          <w:rFonts w:ascii="Cambria" w:eastAsia="Cambria" w:hAnsi="Cambria" w:cs="Cambria"/>
          <w:color w:val="000000"/>
        </w:rPr>
        <w:t>interruption</w:t>
      </w:r>
      <w:proofErr w:type="gramEnd"/>
      <w:r w:rsidR="004A79CA">
        <w:rPr>
          <w:rFonts w:ascii="Cambria" w:eastAsia="Cambria" w:hAnsi="Cambria" w:cs="Cambria"/>
          <w:color w:val="000000"/>
        </w:rPr>
        <w:t xml:space="preserve"> of </w:t>
      </w:r>
      <w:r w:rsidR="00DE29EE">
        <w:rPr>
          <w:rFonts w:ascii="Cambria" w:eastAsia="Cambria" w:hAnsi="Cambria" w:cs="Cambria"/>
          <w:color w:val="000000"/>
        </w:rPr>
        <w:t>Itovebi</w:t>
      </w:r>
      <w:r w:rsidR="004A79CA">
        <w:rPr>
          <w:rFonts w:ascii="Cambria" w:eastAsia="Cambria" w:hAnsi="Cambria" w:cs="Cambria"/>
          <w:color w:val="000000"/>
        </w:rPr>
        <w:t xml:space="preserve"> in 6.8%, to </w:t>
      </w:r>
      <w:proofErr w:type="gramStart"/>
      <w:r w:rsidR="004A79CA">
        <w:rPr>
          <w:rFonts w:ascii="Cambria" w:eastAsia="Cambria" w:hAnsi="Cambria" w:cs="Cambria"/>
          <w:color w:val="000000"/>
        </w:rPr>
        <w:t>dose</w:t>
      </w:r>
      <w:proofErr w:type="gramEnd"/>
      <w:r w:rsidR="004A79CA">
        <w:rPr>
          <w:rFonts w:ascii="Cambria" w:eastAsia="Cambria" w:hAnsi="Cambria" w:cs="Cambria"/>
          <w:color w:val="000000"/>
        </w:rPr>
        <w:t xml:space="preserve"> reduction of </w:t>
      </w:r>
      <w:r w:rsidR="00B4613A">
        <w:rPr>
          <w:rFonts w:ascii="Cambria" w:eastAsia="Cambria" w:hAnsi="Cambria" w:cs="Cambria"/>
          <w:color w:val="000000"/>
        </w:rPr>
        <w:t>Itovebi</w:t>
      </w:r>
      <w:r w:rsidR="004A79CA">
        <w:rPr>
          <w:rFonts w:ascii="Cambria" w:eastAsia="Cambria" w:hAnsi="Cambria" w:cs="Cambria"/>
          <w:color w:val="000000"/>
        </w:rPr>
        <w:t xml:space="preserve"> in 1.2%, and did not lead to discontinuation of </w:t>
      </w:r>
      <w:r w:rsidR="00DE29EE">
        <w:rPr>
          <w:rFonts w:ascii="Cambria" w:eastAsia="Cambria" w:hAnsi="Cambria" w:cs="Cambria"/>
          <w:color w:val="000000"/>
        </w:rPr>
        <w:t>Itovebi</w:t>
      </w:r>
      <w:r w:rsidR="004A79CA">
        <w:rPr>
          <w:rFonts w:ascii="Cambria" w:eastAsia="Cambria" w:hAnsi="Cambria" w:cs="Cambria"/>
          <w:color w:val="000000"/>
        </w:rPr>
        <w:t xml:space="preserve"> in any patients. </w:t>
      </w:r>
    </w:p>
    <w:p w14:paraId="50194F94" w14:textId="77777777" w:rsidR="005972A9" w:rsidRDefault="004A79CA">
      <w:pPr>
        <w:pBdr>
          <w:top w:val="nil"/>
          <w:left w:val="nil"/>
          <w:bottom w:val="nil"/>
          <w:right w:val="nil"/>
          <w:between w:val="nil"/>
        </w:pBdr>
        <w:spacing w:after="250" w:line="280" w:lineRule="auto"/>
        <w:rPr>
          <w:rFonts w:ascii="Cambria" w:eastAsia="Cambria" w:hAnsi="Cambria" w:cs="Cambria"/>
          <w:b/>
          <w:color w:val="548DD4"/>
          <w:sz w:val="20"/>
          <w:szCs w:val="20"/>
        </w:rPr>
      </w:pPr>
      <w:r>
        <w:rPr>
          <w:rFonts w:ascii="Cambria" w:eastAsia="Cambria" w:hAnsi="Cambria" w:cs="Cambria"/>
          <w:color w:val="000000"/>
        </w:rPr>
        <w:t>Anti-</w:t>
      </w:r>
      <w:r w:rsidR="00B04E2C">
        <w:rPr>
          <w:rFonts w:ascii="Cambria" w:eastAsia="Cambria" w:hAnsi="Cambria" w:cs="Cambria"/>
          <w:color w:val="000000"/>
        </w:rPr>
        <w:t>diarrhoea</w:t>
      </w:r>
      <w:r>
        <w:rPr>
          <w:rFonts w:ascii="Cambria" w:eastAsia="Cambria" w:hAnsi="Cambria" w:cs="Cambria"/>
          <w:color w:val="000000"/>
        </w:rPr>
        <w:t xml:space="preserve">l medicines (e.g., loperamide) were used in 28.4% of patients who received  </w:t>
      </w:r>
      <w:r w:rsidR="00DE29EE">
        <w:rPr>
          <w:rFonts w:ascii="Cambria" w:eastAsia="Cambria" w:hAnsi="Cambria" w:cs="Cambria"/>
          <w:color w:val="000000"/>
        </w:rPr>
        <w:t>Itovebi</w:t>
      </w:r>
      <w:r>
        <w:rPr>
          <w:rFonts w:ascii="Cambria" w:eastAsia="Cambria" w:hAnsi="Cambria" w:cs="Cambria"/>
          <w:color w:val="000000"/>
        </w:rPr>
        <w:t xml:space="preserve"> </w:t>
      </w:r>
      <w:r>
        <w:rPr>
          <w:rFonts w:ascii="Cambria" w:eastAsia="Cambria" w:hAnsi="Cambria" w:cs="Cambria"/>
          <w:color w:val="000000"/>
          <w:highlight w:val="white"/>
        </w:rPr>
        <w:t>in combination with palbociclib and fulvestrant</w:t>
      </w:r>
      <w:r>
        <w:rPr>
          <w:rFonts w:ascii="Cambria" w:eastAsia="Cambria" w:hAnsi="Cambria" w:cs="Cambria"/>
          <w:color w:val="000000"/>
        </w:rPr>
        <w:t xml:space="preserve"> to manage symptoms.</w:t>
      </w:r>
    </w:p>
    <w:p w14:paraId="760EBC40" w14:textId="77777777" w:rsidR="005972A9" w:rsidRDefault="004A79CA">
      <w:pPr>
        <w:rPr>
          <w:rFonts w:ascii="Cambria" w:eastAsia="Cambria" w:hAnsi="Cambria" w:cs="Cambria"/>
          <w:u w:val="single"/>
        </w:rPr>
      </w:pPr>
      <w:r>
        <w:rPr>
          <w:rFonts w:ascii="Cambria" w:eastAsia="Cambria" w:hAnsi="Cambria" w:cs="Cambria"/>
          <w:u w:val="single"/>
        </w:rPr>
        <w:t>Laboratory Abnormalities</w:t>
      </w:r>
    </w:p>
    <w:p w14:paraId="2E58DB23" w14:textId="77777777" w:rsidR="005972A9" w:rsidRDefault="004A79CA">
      <w:pPr>
        <w:pBdr>
          <w:top w:val="nil"/>
          <w:left w:val="nil"/>
          <w:bottom w:val="nil"/>
          <w:right w:val="nil"/>
          <w:between w:val="nil"/>
        </w:pBdr>
        <w:spacing w:line="240" w:lineRule="auto"/>
        <w:rPr>
          <w:rFonts w:ascii="Cambria" w:eastAsia="Cambria" w:hAnsi="Cambria" w:cs="Cambria"/>
          <w:color w:val="000000"/>
        </w:rPr>
      </w:pPr>
      <w:r>
        <w:rPr>
          <w:rFonts w:ascii="Cambria" w:eastAsia="Cambria" w:hAnsi="Cambria" w:cs="Cambria"/>
          <w:color w:val="000000"/>
        </w:rPr>
        <w:t>Table 5 summarises treatment-emergent shifts from baseline in laboratory abnormalities in the INAVO120 study.</w:t>
      </w:r>
    </w:p>
    <w:p w14:paraId="21DB992B" w14:textId="33ECF689" w:rsidR="005972A9" w:rsidRDefault="004A79CA">
      <w:pPr>
        <w:rPr>
          <w:rFonts w:ascii="Cambria" w:eastAsia="Cambria" w:hAnsi="Cambria" w:cs="Cambria"/>
          <w:b/>
        </w:rPr>
      </w:pPr>
      <w:bookmarkStart w:id="26" w:name="_heading=h.qsh70q" w:colFirst="0" w:colLast="0"/>
      <w:bookmarkEnd w:id="26"/>
      <w:r>
        <w:rPr>
          <w:rFonts w:ascii="Cambria" w:eastAsia="Cambria" w:hAnsi="Cambria" w:cs="Cambria"/>
          <w:b/>
        </w:rPr>
        <w:t xml:space="preserve">Table 5 Laboratory Abnormalities with a ≥ 2% (All Grades or Grade 3-4) Higher Incidence in the </w:t>
      </w:r>
      <w:proofErr w:type="spellStart"/>
      <w:r w:rsidR="00DE29EE">
        <w:rPr>
          <w:rFonts w:ascii="Cambria" w:eastAsia="Cambria" w:hAnsi="Cambria" w:cs="Cambria"/>
          <w:b/>
        </w:rPr>
        <w:t>Itovebi</w:t>
      </w:r>
      <w:proofErr w:type="spellEnd"/>
      <w:r>
        <w:rPr>
          <w:rFonts w:ascii="Cambria" w:eastAsia="Cambria" w:hAnsi="Cambria" w:cs="Cambria"/>
          <w:b/>
        </w:rPr>
        <w:t xml:space="preserve"> Arm in INAVO120</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8"/>
        <w:gridCol w:w="1317"/>
        <w:gridCol w:w="1738"/>
        <w:gridCol w:w="1252"/>
        <w:gridCol w:w="1235"/>
      </w:tblGrid>
      <w:tr w:rsidR="005972A9" w14:paraId="3530C048" w14:textId="77777777" w:rsidTr="000B1021">
        <w:trPr>
          <w:tblHeader/>
        </w:trPr>
        <w:tc>
          <w:tcPr>
            <w:tcW w:w="3088" w:type="dxa"/>
            <w:vMerge w:val="restart"/>
            <w:shd w:val="clear" w:color="auto" w:fill="auto"/>
            <w:vAlign w:val="center"/>
          </w:tcPr>
          <w:p w14:paraId="008FDD18"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b/>
                <w:color w:val="000000"/>
                <w:sz w:val="20"/>
                <w:szCs w:val="20"/>
              </w:rPr>
            </w:pPr>
            <w:r w:rsidRPr="00FD7B6F">
              <w:rPr>
                <w:rFonts w:ascii="Cambria" w:eastAsia="Cambria" w:hAnsi="Cambria" w:cs="Cambria"/>
                <w:b/>
                <w:color w:val="000000"/>
                <w:sz w:val="20"/>
                <w:szCs w:val="20"/>
              </w:rPr>
              <w:t>Laboratory Abnormality</w:t>
            </w:r>
          </w:p>
        </w:tc>
        <w:tc>
          <w:tcPr>
            <w:tcW w:w="3055" w:type="dxa"/>
            <w:gridSpan w:val="2"/>
            <w:shd w:val="clear" w:color="auto" w:fill="auto"/>
          </w:tcPr>
          <w:p w14:paraId="2A21865C" w14:textId="77777777" w:rsidR="005972A9" w:rsidRPr="00FD7B6F" w:rsidRDefault="00DE29EE" w:rsidP="00FD7B6F">
            <w:pPr>
              <w:pBdr>
                <w:top w:val="nil"/>
                <w:left w:val="nil"/>
                <w:bottom w:val="nil"/>
                <w:right w:val="nil"/>
                <w:between w:val="nil"/>
              </w:pBdr>
              <w:spacing w:before="50" w:after="5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Itovebi</w:t>
            </w:r>
            <w:r w:rsidR="004A79CA" w:rsidRPr="00FD7B6F">
              <w:rPr>
                <w:rFonts w:ascii="Cambria" w:eastAsia="Cambria" w:hAnsi="Cambria" w:cs="Cambria"/>
                <w:b/>
                <w:color w:val="000000"/>
                <w:sz w:val="20"/>
                <w:szCs w:val="20"/>
              </w:rPr>
              <w:t xml:space="preserve"> + Palbociclib + Fulvestrant</w:t>
            </w:r>
            <w:r w:rsidR="004A79CA" w:rsidRPr="00FD7B6F">
              <w:rPr>
                <w:rFonts w:ascii="Cambria" w:eastAsia="Cambria" w:hAnsi="Cambria" w:cs="Cambria"/>
                <w:b/>
                <w:color w:val="000000"/>
                <w:sz w:val="20"/>
                <w:szCs w:val="20"/>
                <w:vertAlign w:val="superscript"/>
              </w:rPr>
              <w:t>a</w:t>
            </w:r>
          </w:p>
        </w:tc>
        <w:tc>
          <w:tcPr>
            <w:tcW w:w="2487" w:type="dxa"/>
            <w:gridSpan w:val="2"/>
            <w:shd w:val="clear" w:color="auto" w:fill="auto"/>
          </w:tcPr>
          <w:p w14:paraId="632C4A71"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b/>
                <w:color w:val="000000"/>
                <w:sz w:val="20"/>
                <w:szCs w:val="20"/>
              </w:rPr>
            </w:pPr>
            <w:r w:rsidRPr="00FD7B6F">
              <w:rPr>
                <w:rFonts w:ascii="Cambria" w:eastAsia="Cambria" w:hAnsi="Cambria" w:cs="Cambria"/>
                <w:b/>
                <w:color w:val="000000"/>
                <w:sz w:val="20"/>
                <w:szCs w:val="20"/>
              </w:rPr>
              <w:t>Placebo + Palbociclib + Fulvestrant</w:t>
            </w:r>
            <w:r w:rsidRPr="00FD7B6F">
              <w:rPr>
                <w:rFonts w:ascii="Cambria" w:eastAsia="Cambria" w:hAnsi="Cambria" w:cs="Cambria"/>
                <w:b/>
                <w:color w:val="000000"/>
                <w:sz w:val="20"/>
                <w:szCs w:val="20"/>
                <w:vertAlign w:val="superscript"/>
              </w:rPr>
              <w:t>b</w:t>
            </w:r>
          </w:p>
        </w:tc>
      </w:tr>
      <w:tr w:rsidR="005972A9" w14:paraId="48B86636" w14:textId="77777777" w:rsidTr="000B1021">
        <w:trPr>
          <w:tblHeader/>
        </w:trPr>
        <w:tc>
          <w:tcPr>
            <w:tcW w:w="3088" w:type="dxa"/>
            <w:vMerge/>
            <w:shd w:val="clear" w:color="auto" w:fill="auto"/>
            <w:vAlign w:val="center"/>
          </w:tcPr>
          <w:p w14:paraId="2A4D699E" w14:textId="77777777" w:rsidR="005972A9" w:rsidRPr="00FD7B6F" w:rsidRDefault="005972A9" w:rsidP="00FD7B6F">
            <w:pPr>
              <w:widowControl w:val="0"/>
              <w:pBdr>
                <w:top w:val="nil"/>
                <w:left w:val="nil"/>
                <w:bottom w:val="nil"/>
                <w:right w:val="nil"/>
                <w:between w:val="nil"/>
              </w:pBdr>
              <w:spacing w:after="0"/>
              <w:rPr>
                <w:rFonts w:ascii="Cambria" w:eastAsia="Cambria" w:hAnsi="Cambria" w:cs="Cambria"/>
                <w:b/>
                <w:color w:val="000000"/>
                <w:sz w:val="20"/>
                <w:szCs w:val="20"/>
              </w:rPr>
            </w:pPr>
          </w:p>
        </w:tc>
        <w:tc>
          <w:tcPr>
            <w:tcW w:w="1317" w:type="dxa"/>
            <w:shd w:val="clear" w:color="auto" w:fill="auto"/>
          </w:tcPr>
          <w:p w14:paraId="76D9959B"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b/>
                <w:color w:val="000000"/>
                <w:sz w:val="20"/>
                <w:szCs w:val="20"/>
              </w:rPr>
            </w:pPr>
            <w:r w:rsidRPr="00FD7B6F">
              <w:rPr>
                <w:rFonts w:ascii="Cambria" w:eastAsia="Cambria" w:hAnsi="Cambria" w:cs="Cambria"/>
                <w:b/>
                <w:color w:val="000000"/>
                <w:sz w:val="20"/>
                <w:szCs w:val="20"/>
              </w:rPr>
              <w:t>All Grades (%)</w:t>
            </w:r>
          </w:p>
        </w:tc>
        <w:tc>
          <w:tcPr>
            <w:tcW w:w="1738" w:type="dxa"/>
            <w:shd w:val="clear" w:color="auto" w:fill="auto"/>
          </w:tcPr>
          <w:p w14:paraId="144D58E4"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b/>
                <w:color w:val="000000"/>
                <w:sz w:val="20"/>
                <w:szCs w:val="20"/>
              </w:rPr>
            </w:pPr>
            <w:r w:rsidRPr="00FD7B6F">
              <w:rPr>
                <w:rFonts w:ascii="Cambria" w:eastAsia="Cambria" w:hAnsi="Cambria" w:cs="Cambria"/>
                <w:b/>
                <w:color w:val="000000"/>
                <w:sz w:val="20"/>
                <w:szCs w:val="20"/>
              </w:rPr>
              <w:t>Grade 3-4 (%)</w:t>
            </w:r>
          </w:p>
        </w:tc>
        <w:tc>
          <w:tcPr>
            <w:tcW w:w="1252" w:type="dxa"/>
            <w:shd w:val="clear" w:color="auto" w:fill="auto"/>
            <w:vAlign w:val="center"/>
          </w:tcPr>
          <w:p w14:paraId="7657E6C9"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b/>
                <w:color w:val="000000"/>
                <w:sz w:val="20"/>
                <w:szCs w:val="20"/>
              </w:rPr>
            </w:pPr>
            <w:r w:rsidRPr="00FD7B6F">
              <w:rPr>
                <w:rFonts w:ascii="Cambria" w:eastAsia="Cambria" w:hAnsi="Cambria" w:cs="Cambria"/>
                <w:b/>
                <w:color w:val="000000"/>
                <w:sz w:val="20"/>
                <w:szCs w:val="20"/>
              </w:rPr>
              <w:t>All Grades (%)</w:t>
            </w:r>
          </w:p>
        </w:tc>
        <w:tc>
          <w:tcPr>
            <w:tcW w:w="1235" w:type="dxa"/>
            <w:shd w:val="clear" w:color="auto" w:fill="auto"/>
            <w:vAlign w:val="center"/>
          </w:tcPr>
          <w:p w14:paraId="253DA38F"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b/>
                <w:color w:val="000000"/>
                <w:sz w:val="20"/>
                <w:szCs w:val="20"/>
              </w:rPr>
            </w:pPr>
            <w:r w:rsidRPr="00FD7B6F">
              <w:rPr>
                <w:rFonts w:ascii="Cambria" w:eastAsia="Cambria" w:hAnsi="Cambria" w:cs="Cambria"/>
                <w:b/>
                <w:color w:val="000000"/>
                <w:sz w:val="20"/>
                <w:szCs w:val="20"/>
              </w:rPr>
              <w:t>Grade 3-4 (%)</w:t>
            </w:r>
          </w:p>
        </w:tc>
      </w:tr>
      <w:tr w:rsidR="005972A9" w14:paraId="64C98F56" w14:textId="77777777" w:rsidTr="00FD7B6F">
        <w:tc>
          <w:tcPr>
            <w:tcW w:w="8630" w:type="dxa"/>
            <w:gridSpan w:val="5"/>
            <w:shd w:val="clear" w:color="auto" w:fill="auto"/>
          </w:tcPr>
          <w:p w14:paraId="65360779"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b/>
                <w:color w:val="000000"/>
                <w:sz w:val="20"/>
                <w:szCs w:val="20"/>
              </w:rPr>
            </w:pPr>
            <w:r w:rsidRPr="00FD7B6F">
              <w:rPr>
                <w:rFonts w:ascii="Cambria" w:eastAsia="Cambria" w:hAnsi="Cambria" w:cs="Cambria"/>
                <w:b/>
                <w:color w:val="000000"/>
                <w:sz w:val="20"/>
                <w:szCs w:val="20"/>
              </w:rPr>
              <w:t>H</w:t>
            </w:r>
            <w:r w:rsidR="00032E28">
              <w:rPr>
                <w:rFonts w:ascii="Cambria" w:eastAsia="Cambria" w:hAnsi="Cambria" w:cs="Cambria"/>
                <w:b/>
                <w:color w:val="000000"/>
                <w:sz w:val="20"/>
                <w:szCs w:val="20"/>
              </w:rPr>
              <w:t>a</w:t>
            </w:r>
            <w:r w:rsidRPr="00FD7B6F">
              <w:rPr>
                <w:rFonts w:ascii="Cambria" w:eastAsia="Cambria" w:hAnsi="Cambria" w:cs="Cambria"/>
                <w:b/>
                <w:color w:val="000000"/>
                <w:sz w:val="20"/>
                <w:szCs w:val="20"/>
              </w:rPr>
              <w:t>ematology</w:t>
            </w:r>
          </w:p>
        </w:tc>
      </w:tr>
      <w:tr w:rsidR="005972A9" w14:paraId="284083C7" w14:textId="77777777" w:rsidTr="00FD7B6F">
        <w:tc>
          <w:tcPr>
            <w:tcW w:w="3088" w:type="dxa"/>
            <w:shd w:val="clear" w:color="auto" w:fill="auto"/>
          </w:tcPr>
          <w:p w14:paraId="238CC30A"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color w:val="000000"/>
                <w:sz w:val="20"/>
                <w:szCs w:val="20"/>
              </w:rPr>
              <w:t>Neutrophils (total, absolute) decreased</w:t>
            </w:r>
          </w:p>
        </w:tc>
        <w:tc>
          <w:tcPr>
            <w:tcW w:w="1317" w:type="dxa"/>
            <w:shd w:val="clear" w:color="auto" w:fill="auto"/>
          </w:tcPr>
          <w:p w14:paraId="6A232694"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95.1</w:t>
            </w:r>
          </w:p>
        </w:tc>
        <w:tc>
          <w:tcPr>
            <w:tcW w:w="1738" w:type="dxa"/>
            <w:shd w:val="clear" w:color="auto" w:fill="auto"/>
          </w:tcPr>
          <w:p w14:paraId="618BF4B3"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82</w:t>
            </w:r>
          </w:p>
        </w:tc>
        <w:tc>
          <w:tcPr>
            <w:tcW w:w="1252" w:type="dxa"/>
            <w:shd w:val="clear" w:color="auto" w:fill="auto"/>
          </w:tcPr>
          <w:p w14:paraId="5137574F"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97</w:t>
            </w:r>
          </w:p>
        </w:tc>
        <w:tc>
          <w:tcPr>
            <w:tcW w:w="1235" w:type="dxa"/>
            <w:shd w:val="clear" w:color="auto" w:fill="auto"/>
          </w:tcPr>
          <w:p w14:paraId="531D5B33"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78.8</w:t>
            </w:r>
          </w:p>
        </w:tc>
      </w:tr>
      <w:tr w:rsidR="005972A9" w14:paraId="5C7322A7" w14:textId="77777777" w:rsidTr="00FD7B6F">
        <w:tc>
          <w:tcPr>
            <w:tcW w:w="3088" w:type="dxa"/>
            <w:shd w:val="clear" w:color="auto" w:fill="auto"/>
          </w:tcPr>
          <w:p w14:paraId="4E0C3160"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color w:val="000000"/>
                <w:sz w:val="20"/>
                <w:szCs w:val="20"/>
              </w:rPr>
              <w:lastRenderedPageBreak/>
              <w:t>Haemoglobin decreased</w:t>
            </w:r>
          </w:p>
        </w:tc>
        <w:tc>
          <w:tcPr>
            <w:tcW w:w="1317" w:type="dxa"/>
            <w:shd w:val="clear" w:color="auto" w:fill="auto"/>
          </w:tcPr>
          <w:p w14:paraId="44CEFFAC"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87.5</w:t>
            </w:r>
          </w:p>
        </w:tc>
        <w:tc>
          <w:tcPr>
            <w:tcW w:w="1738" w:type="dxa"/>
            <w:shd w:val="clear" w:color="auto" w:fill="auto"/>
          </w:tcPr>
          <w:p w14:paraId="5433547B"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vertAlign w:val="superscript"/>
              </w:rPr>
            </w:pPr>
            <w:r w:rsidRPr="00FD7B6F">
              <w:rPr>
                <w:rFonts w:ascii="Cambria" w:eastAsia="Cambria" w:hAnsi="Cambria" w:cs="Cambria"/>
                <w:color w:val="000000"/>
                <w:sz w:val="20"/>
                <w:szCs w:val="20"/>
              </w:rPr>
              <w:t>7.5*</w:t>
            </w:r>
          </w:p>
        </w:tc>
        <w:tc>
          <w:tcPr>
            <w:tcW w:w="1252" w:type="dxa"/>
            <w:shd w:val="clear" w:color="auto" w:fill="auto"/>
          </w:tcPr>
          <w:p w14:paraId="503CDB35"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85.1</w:t>
            </w:r>
          </w:p>
        </w:tc>
        <w:tc>
          <w:tcPr>
            <w:tcW w:w="1235" w:type="dxa"/>
            <w:shd w:val="clear" w:color="auto" w:fill="auto"/>
          </w:tcPr>
          <w:p w14:paraId="49B26901"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2.5*</w:t>
            </w:r>
          </w:p>
        </w:tc>
      </w:tr>
      <w:tr w:rsidR="005972A9" w14:paraId="2C8E6513" w14:textId="77777777" w:rsidTr="00FD7B6F">
        <w:tc>
          <w:tcPr>
            <w:tcW w:w="3088" w:type="dxa"/>
            <w:shd w:val="clear" w:color="auto" w:fill="auto"/>
          </w:tcPr>
          <w:p w14:paraId="480551F6"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color w:val="000000"/>
                <w:sz w:val="20"/>
                <w:szCs w:val="20"/>
              </w:rPr>
              <w:t>Glucose (fasting) increased</w:t>
            </w:r>
            <w:r w:rsidRPr="00FD7B6F">
              <w:rPr>
                <w:rFonts w:ascii="Cambria" w:eastAsia="Cambria" w:hAnsi="Cambria" w:cs="Cambria"/>
                <w:color w:val="000000"/>
                <w:sz w:val="20"/>
                <w:szCs w:val="20"/>
                <w:vertAlign w:val="superscript"/>
              </w:rPr>
              <w:t>c</w:t>
            </w:r>
          </w:p>
        </w:tc>
        <w:tc>
          <w:tcPr>
            <w:tcW w:w="1317" w:type="dxa"/>
            <w:shd w:val="clear" w:color="auto" w:fill="auto"/>
          </w:tcPr>
          <w:p w14:paraId="0F26166C"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85.4</w:t>
            </w:r>
          </w:p>
        </w:tc>
        <w:tc>
          <w:tcPr>
            <w:tcW w:w="1738" w:type="dxa"/>
            <w:shd w:val="clear" w:color="auto" w:fill="auto"/>
          </w:tcPr>
          <w:p w14:paraId="4336EEB9"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12.1</w:t>
            </w:r>
          </w:p>
        </w:tc>
        <w:tc>
          <w:tcPr>
            <w:tcW w:w="1252" w:type="dxa"/>
            <w:shd w:val="clear" w:color="auto" w:fill="auto"/>
          </w:tcPr>
          <w:p w14:paraId="2D70FF9B"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42.9</w:t>
            </w:r>
          </w:p>
        </w:tc>
        <w:tc>
          <w:tcPr>
            <w:tcW w:w="1235" w:type="dxa"/>
            <w:shd w:val="clear" w:color="auto" w:fill="auto"/>
          </w:tcPr>
          <w:p w14:paraId="630AB353"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w:t>
            </w:r>
          </w:p>
        </w:tc>
      </w:tr>
      <w:tr w:rsidR="005972A9" w14:paraId="0082D627" w14:textId="77777777" w:rsidTr="00FD7B6F">
        <w:tc>
          <w:tcPr>
            <w:tcW w:w="3088" w:type="dxa"/>
            <w:shd w:val="clear" w:color="auto" w:fill="auto"/>
          </w:tcPr>
          <w:p w14:paraId="6DC84F49"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color w:val="000000"/>
                <w:sz w:val="20"/>
                <w:szCs w:val="20"/>
              </w:rPr>
              <w:t>Platelets decreased</w:t>
            </w:r>
          </w:p>
        </w:tc>
        <w:tc>
          <w:tcPr>
            <w:tcW w:w="1317" w:type="dxa"/>
            <w:shd w:val="clear" w:color="auto" w:fill="auto"/>
          </w:tcPr>
          <w:p w14:paraId="38968501"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83.8</w:t>
            </w:r>
          </w:p>
        </w:tc>
        <w:tc>
          <w:tcPr>
            <w:tcW w:w="1738" w:type="dxa"/>
            <w:shd w:val="clear" w:color="auto" w:fill="auto"/>
          </w:tcPr>
          <w:p w14:paraId="017936FB"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15.6</w:t>
            </w:r>
          </w:p>
        </w:tc>
        <w:tc>
          <w:tcPr>
            <w:tcW w:w="1252" w:type="dxa"/>
            <w:shd w:val="clear" w:color="auto" w:fill="auto"/>
          </w:tcPr>
          <w:p w14:paraId="223EF6D4"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71.4</w:t>
            </w:r>
          </w:p>
        </w:tc>
        <w:tc>
          <w:tcPr>
            <w:tcW w:w="1235" w:type="dxa"/>
            <w:shd w:val="clear" w:color="auto" w:fill="auto"/>
          </w:tcPr>
          <w:p w14:paraId="648FECF8"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3.7</w:t>
            </w:r>
          </w:p>
        </w:tc>
      </w:tr>
      <w:tr w:rsidR="005972A9" w14:paraId="01A65208" w14:textId="77777777" w:rsidTr="00FD7B6F">
        <w:tc>
          <w:tcPr>
            <w:tcW w:w="3088" w:type="dxa"/>
            <w:shd w:val="clear" w:color="auto" w:fill="auto"/>
          </w:tcPr>
          <w:p w14:paraId="365E4F1D"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color w:val="000000"/>
                <w:sz w:val="20"/>
                <w:szCs w:val="20"/>
              </w:rPr>
              <w:t>Lymphocytes (absolute) decreased</w:t>
            </w:r>
          </w:p>
        </w:tc>
        <w:tc>
          <w:tcPr>
            <w:tcW w:w="1317" w:type="dxa"/>
            <w:shd w:val="clear" w:color="auto" w:fill="auto"/>
          </w:tcPr>
          <w:p w14:paraId="5B0DE72C"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72.1</w:t>
            </w:r>
          </w:p>
        </w:tc>
        <w:tc>
          <w:tcPr>
            <w:tcW w:w="1738" w:type="dxa"/>
            <w:shd w:val="clear" w:color="auto" w:fill="auto"/>
          </w:tcPr>
          <w:p w14:paraId="3F6A6DE8"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9</w:t>
            </w:r>
          </w:p>
        </w:tc>
        <w:tc>
          <w:tcPr>
            <w:tcW w:w="1252" w:type="dxa"/>
            <w:shd w:val="clear" w:color="auto" w:fill="auto"/>
          </w:tcPr>
          <w:p w14:paraId="71073ED6"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68.2</w:t>
            </w:r>
          </w:p>
        </w:tc>
        <w:tc>
          <w:tcPr>
            <w:tcW w:w="1235" w:type="dxa"/>
            <w:shd w:val="clear" w:color="auto" w:fill="auto"/>
          </w:tcPr>
          <w:p w14:paraId="3E02849D"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14.4</w:t>
            </w:r>
          </w:p>
        </w:tc>
      </w:tr>
      <w:tr w:rsidR="005972A9" w14:paraId="42C2D8E8" w14:textId="77777777" w:rsidTr="00FD7B6F">
        <w:tc>
          <w:tcPr>
            <w:tcW w:w="8630" w:type="dxa"/>
            <w:gridSpan w:val="5"/>
            <w:shd w:val="clear" w:color="auto" w:fill="auto"/>
          </w:tcPr>
          <w:p w14:paraId="64A5ABF6"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b/>
                <w:color w:val="000000"/>
                <w:sz w:val="20"/>
                <w:szCs w:val="20"/>
              </w:rPr>
            </w:pPr>
            <w:r w:rsidRPr="00FD7B6F">
              <w:rPr>
                <w:rFonts w:ascii="Cambria" w:eastAsia="Cambria" w:hAnsi="Cambria" w:cs="Cambria"/>
                <w:b/>
                <w:color w:val="000000"/>
                <w:sz w:val="20"/>
                <w:szCs w:val="20"/>
              </w:rPr>
              <w:t>Chemistry</w:t>
            </w:r>
          </w:p>
        </w:tc>
      </w:tr>
      <w:tr w:rsidR="005972A9" w14:paraId="06BD6F90" w14:textId="77777777" w:rsidTr="00FD7B6F">
        <w:tc>
          <w:tcPr>
            <w:tcW w:w="3088" w:type="dxa"/>
            <w:shd w:val="clear" w:color="auto" w:fill="auto"/>
          </w:tcPr>
          <w:p w14:paraId="480807BC"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color w:val="000000"/>
                <w:sz w:val="20"/>
                <w:szCs w:val="20"/>
              </w:rPr>
              <w:t>Calcium decreased</w:t>
            </w:r>
          </w:p>
        </w:tc>
        <w:tc>
          <w:tcPr>
            <w:tcW w:w="1317" w:type="dxa"/>
            <w:shd w:val="clear" w:color="auto" w:fill="auto"/>
          </w:tcPr>
          <w:p w14:paraId="771D8DC3"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41.9</w:t>
            </w:r>
          </w:p>
        </w:tc>
        <w:tc>
          <w:tcPr>
            <w:tcW w:w="1738" w:type="dxa"/>
            <w:shd w:val="clear" w:color="auto" w:fill="auto"/>
          </w:tcPr>
          <w:p w14:paraId="43D46335"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3.1</w:t>
            </w:r>
          </w:p>
        </w:tc>
        <w:tc>
          <w:tcPr>
            <w:tcW w:w="1252" w:type="dxa"/>
            <w:shd w:val="clear" w:color="auto" w:fill="auto"/>
          </w:tcPr>
          <w:p w14:paraId="45EEBB59"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31.7</w:t>
            </w:r>
          </w:p>
        </w:tc>
        <w:tc>
          <w:tcPr>
            <w:tcW w:w="1235" w:type="dxa"/>
            <w:shd w:val="clear" w:color="auto" w:fill="auto"/>
          </w:tcPr>
          <w:p w14:paraId="72963007"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3.7</w:t>
            </w:r>
          </w:p>
        </w:tc>
      </w:tr>
      <w:tr w:rsidR="005972A9" w14:paraId="7A81E6C9" w14:textId="77777777" w:rsidTr="00FD7B6F">
        <w:tc>
          <w:tcPr>
            <w:tcW w:w="3088" w:type="dxa"/>
            <w:shd w:val="clear" w:color="auto" w:fill="auto"/>
          </w:tcPr>
          <w:p w14:paraId="2C6D93E5"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color w:val="000000"/>
                <w:sz w:val="20"/>
                <w:szCs w:val="20"/>
              </w:rPr>
              <w:t>Potassium decreased</w:t>
            </w:r>
          </w:p>
        </w:tc>
        <w:tc>
          <w:tcPr>
            <w:tcW w:w="1317" w:type="dxa"/>
            <w:shd w:val="clear" w:color="auto" w:fill="auto"/>
          </w:tcPr>
          <w:p w14:paraId="02CF94F5"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37.5</w:t>
            </w:r>
          </w:p>
        </w:tc>
        <w:tc>
          <w:tcPr>
            <w:tcW w:w="1738" w:type="dxa"/>
            <w:shd w:val="clear" w:color="auto" w:fill="auto"/>
          </w:tcPr>
          <w:p w14:paraId="70922988"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6.2</w:t>
            </w:r>
          </w:p>
        </w:tc>
        <w:tc>
          <w:tcPr>
            <w:tcW w:w="1252" w:type="dxa"/>
            <w:shd w:val="clear" w:color="auto" w:fill="auto"/>
          </w:tcPr>
          <w:p w14:paraId="32503EE5"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20.5</w:t>
            </w:r>
          </w:p>
        </w:tc>
        <w:tc>
          <w:tcPr>
            <w:tcW w:w="1235" w:type="dxa"/>
            <w:shd w:val="clear" w:color="auto" w:fill="auto"/>
          </w:tcPr>
          <w:p w14:paraId="4B89A4BE"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0.6*</w:t>
            </w:r>
          </w:p>
        </w:tc>
      </w:tr>
      <w:tr w:rsidR="005972A9" w14:paraId="46733B0B" w14:textId="77777777" w:rsidTr="00FD7B6F">
        <w:tc>
          <w:tcPr>
            <w:tcW w:w="3088" w:type="dxa"/>
            <w:shd w:val="clear" w:color="auto" w:fill="auto"/>
          </w:tcPr>
          <w:p w14:paraId="647F9E16"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color w:val="000000"/>
                <w:sz w:val="20"/>
                <w:szCs w:val="20"/>
              </w:rPr>
              <w:t>Creatinine increased</w:t>
            </w:r>
          </w:p>
        </w:tc>
        <w:tc>
          <w:tcPr>
            <w:tcW w:w="1317" w:type="dxa"/>
            <w:shd w:val="clear" w:color="auto" w:fill="auto"/>
          </w:tcPr>
          <w:p w14:paraId="0EE08F95"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37.5</w:t>
            </w:r>
          </w:p>
        </w:tc>
        <w:tc>
          <w:tcPr>
            <w:tcW w:w="1738" w:type="dxa"/>
            <w:shd w:val="clear" w:color="auto" w:fill="auto"/>
          </w:tcPr>
          <w:p w14:paraId="57F0F595"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vertAlign w:val="superscript"/>
              </w:rPr>
            </w:pPr>
            <w:r w:rsidRPr="00FD7B6F">
              <w:rPr>
                <w:rFonts w:ascii="Cambria" w:eastAsia="Cambria" w:hAnsi="Cambria" w:cs="Cambria"/>
                <w:color w:val="000000"/>
                <w:sz w:val="20"/>
                <w:szCs w:val="20"/>
              </w:rPr>
              <w:t>1.9*</w:t>
            </w:r>
          </w:p>
        </w:tc>
        <w:tc>
          <w:tcPr>
            <w:tcW w:w="1252" w:type="dxa"/>
            <w:shd w:val="clear" w:color="auto" w:fill="auto"/>
          </w:tcPr>
          <w:p w14:paraId="520A46A5"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29.8</w:t>
            </w:r>
          </w:p>
        </w:tc>
        <w:tc>
          <w:tcPr>
            <w:tcW w:w="1235" w:type="dxa"/>
            <w:shd w:val="clear" w:color="auto" w:fill="auto"/>
          </w:tcPr>
          <w:p w14:paraId="6F4508E5"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vertAlign w:val="superscript"/>
              </w:rPr>
            </w:pPr>
            <w:r w:rsidRPr="00FD7B6F">
              <w:rPr>
                <w:rFonts w:ascii="Cambria" w:eastAsia="Cambria" w:hAnsi="Cambria" w:cs="Cambria"/>
                <w:color w:val="000000"/>
                <w:sz w:val="20"/>
                <w:szCs w:val="20"/>
              </w:rPr>
              <w:t>1.2*</w:t>
            </w:r>
          </w:p>
        </w:tc>
      </w:tr>
      <w:tr w:rsidR="005972A9" w14:paraId="43A6C340" w14:textId="77777777" w:rsidTr="00FD7B6F">
        <w:tc>
          <w:tcPr>
            <w:tcW w:w="3088" w:type="dxa"/>
            <w:shd w:val="clear" w:color="auto" w:fill="auto"/>
          </w:tcPr>
          <w:p w14:paraId="4DACE698"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color w:val="000000"/>
                <w:sz w:val="20"/>
                <w:szCs w:val="20"/>
              </w:rPr>
              <w:t>ALT increased</w:t>
            </w:r>
          </w:p>
        </w:tc>
        <w:tc>
          <w:tcPr>
            <w:tcW w:w="1317" w:type="dxa"/>
            <w:shd w:val="clear" w:color="auto" w:fill="auto"/>
          </w:tcPr>
          <w:p w14:paraId="7D1727A3"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34.4</w:t>
            </w:r>
          </w:p>
        </w:tc>
        <w:tc>
          <w:tcPr>
            <w:tcW w:w="1738" w:type="dxa"/>
            <w:shd w:val="clear" w:color="auto" w:fill="auto"/>
          </w:tcPr>
          <w:p w14:paraId="7C5890EC"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3.1*</w:t>
            </w:r>
          </w:p>
        </w:tc>
        <w:tc>
          <w:tcPr>
            <w:tcW w:w="1252" w:type="dxa"/>
            <w:shd w:val="clear" w:color="auto" w:fill="auto"/>
          </w:tcPr>
          <w:p w14:paraId="6CBC9F8C"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28.6</w:t>
            </w:r>
          </w:p>
        </w:tc>
        <w:tc>
          <w:tcPr>
            <w:tcW w:w="1235" w:type="dxa"/>
            <w:shd w:val="clear" w:color="auto" w:fill="auto"/>
          </w:tcPr>
          <w:p w14:paraId="1B41BAC4"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1.2*</w:t>
            </w:r>
          </w:p>
        </w:tc>
      </w:tr>
      <w:tr w:rsidR="005972A9" w14:paraId="7DF45638" w14:textId="77777777" w:rsidTr="00FD7B6F">
        <w:tc>
          <w:tcPr>
            <w:tcW w:w="3088" w:type="dxa"/>
            <w:shd w:val="clear" w:color="auto" w:fill="auto"/>
          </w:tcPr>
          <w:p w14:paraId="6F9D441E"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color w:val="000000"/>
                <w:sz w:val="20"/>
                <w:szCs w:val="20"/>
              </w:rPr>
              <w:t>Sodium decreased</w:t>
            </w:r>
          </w:p>
        </w:tc>
        <w:tc>
          <w:tcPr>
            <w:tcW w:w="1317" w:type="dxa"/>
            <w:shd w:val="clear" w:color="auto" w:fill="auto"/>
          </w:tcPr>
          <w:p w14:paraId="7F4B12E1"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27.5</w:t>
            </w:r>
          </w:p>
        </w:tc>
        <w:tc>
          <w:tcPr>
            <w:tcW w:w="1738" w:type="dxa"/>
            <w:shd w:val="clear" w:color="auto" w:fill="auto"/>
          </w:tcPr>
          <w:p w14:paraId="7E2035CC"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2.5*</w:t>
            </w:r>
          </w:p>
        </w:tc>
        <w:tc>
          <w:tcPr>
            <w:tcW w:w="1252" w:type="dxa"/>
            <w:shd w:val="clear" w:color="auto" w:fill="auto"/>
          </w:tcPr>
          <w:p w14:paraId="34BCE140"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18.6</w:t>
            </w:r>
          </w:p>
        </w:tc>
        <w:tc>
          <w:tcPr>
            <w:tcW w:w="1235" w:type="dxa"/>
            <w:shd w:val="clear" w:color="auto" w:fill="auto"/>
          </w:tcPr>
          <w:p w14:paraId="4D1A1DC1"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2.5</w:t>
            </w:r>
          </w:p>
        </w:tc>
      </w:tr>
      <w:tr w:rsidR="005972A9" w14:paraId="1719844C" w14:textId="77777777" w:rsidTr="00FD7B6F">
        <w:tc>
          <w:tcPr>
            <w:tcW w:w="3088" w:type="dxa"/>
            <w:shd w:val="clear" w:color="auto" w:fill="auto"/>
          </w:tcPr>
          <w:p w14:paraId="219C8BC5"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color w:val="000000"/>
                <w:sz w:val="20"/>
                <w:szCs w:val="20"/>
              </w:rPr>
              <w:t>Magnesium decreased</w:t>
            </w:r>
          </w:p>
        </w:tc>
        <w:tc>
          <w:tcPr>
            <w:tcW w:w="1317" w:type="dxa"/>
            <w:shd w:val="clear" w:color="auto" w:fill="auto"/>
          </w:tcPr>
          <w:p w14:paraId="0DAACDED"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26.9</w:t>
            </w:r>
          </w:p>
        </w:tc>
        <w:tc>
          <w:tcPr>
            <w:tcW w:w="1738" w:type="dxa"/>
            <w:shd w:val="clear" w:color="auto" w:fill="auto"/>
          </w:tcPr>
          <w:p w14:paraId="6CAAA9E7"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0.6</w:t>
            </w:r>
          </w:p>
        </w:tc>
        <w:tc>
          <w:tcPr>
            <w:tcW w:w="1252" w:type="dxa"/>
            <w:shd w:val="clear" w:color="auto" w:fill="auto"/>
          </w:tcPr>
          <w:p w14:paraId="6A44F495"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20.5</w:t>
            </w:r>
          </w:p>
        </w:tc>
        <w:tc>
          <w:tcPr>
            <w:tcW w:w="1235" w:type="dxa"/>
            <w:shd w:val="clear" w:color="auto" w:fill="auto"/>
          </w:tcPr>
          <w:p w14:paraId="7267E718"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w:t>
            </w:r>
          </w:p>
        </w:tc>
      </w:tr>
      <w:tr w:rsidR="005972A9" w14:paraId="17CAD4F5" w14:textId="77777777" w:rsidTr="00FD7B6F">
        <w:tc>
          <w:tcPr>
            <w:tcW w:w="3088" w:type="dxa"/>
            <w:shd w:val="clear" w:color="auto" w:fill="auto"/>
          </w:tcPr>
          <w:p w14:paraId="48F525C2"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color w:val="000000"/>
                <w:sz w:val="20"/>
                <w:szCs w:val="20"/>
              </w:rPr>
              <w:t>Albumin decreased</w:t>
            </w:r>
          </w:p>
        </w:tc>
        <w:tc>
          <w:tcPr>
            <w:tcW w:w="1317" w:type="dxa"/>
            <w:shd w:val="clear" w:color="auto" w:fill="auto"/>
          </w:tcPr>
          <w:p w14:paraId="7FB66E9F"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25</w:t>
            </w:r>
          </w:p>
        </w:tc>
        <w:tc>
          <w:tcPr>
            <w:tcW w:w="1738" w:type="dxa"/>
            <w:shd w:val="clear" w:color="auto" w:fill="auto"/>
          </w:tcPr>
          <w:p w14:paraId="14BEC03A"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vertAlign w:val="superscript"/>
              </w:rPr>
            </w:pPr>
            <w:r w:rsidRPr="00FD7B6F">
              <w:rPr>
                <w:rFonts w:ascii="Cambria" w:eastAsia="Cambria" w:hAnsi="Cambria" w:cs="Cambria"/>
                <w:color w:val="000000"/>
                <w:sz w:val="20"/>
                <w:szCs w:val="20"/>
              </w:rPr>
              <w:t>0.6*</w:t>
            </w:r>
          </w:p>
        </w:tc>
        <w:tc>
          <w:tcPr>
            <w:tcW w:w="1252" w:type="dxa"/>
            <w:shd w:val="clear" w:color="auto" w:fill="auto"/>
          </w:tcPr>
          <w:p w14:paraId="74E12B49"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18.1</w:t>
            </w:r>
          </w:p>
        </w:tc>
        <w:tc>
          <w:tcPr>
            <w:tcW w:w="1235" w:type="dxa"/>
            <w:shd w:val="clear" w:color="auto" w:fill="auto"/>
          </w:tcPr>
          <w:p w14:paraId="7D4694E3"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w:t>
            </w:r>
          </w:p>
        </w:tc>
      </w:tr>
      <w:tr w:rsidR="005972A9" w14:paraId="567A5712" w14:textId="77777777" w:rsidTr="00FD7B6F">
        <w:tc>
          <w:tcPr>
            <w:tcW w:w="3088" w:type="dxa"/>
            <w:shd w:val="clear" w:color="auto" w:fill="auto"/>
          </w:tcPr>
          <w:p w14:paraId="5B5884A8"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color w:val="000000"/>
                <w:sz w:val="20"/>
                <w:szCs w:val="20"/>
              </w:rPr>
              <w:t>Lipase (fasting) increased</w:t>
            </w:r>
          </w:p>
        </w:tc>
        <w:tc>
          <w:tcPr>
            <w:tcW w:w="1317" w:type="dxa"/>
            <w:shd w:val="clear" w:color="auto" w:fill="auto"/>
          </w:tcPr>
          <w:p w14:paraId="6DE61013"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16</w:t>
            </w:r>
          </w:p>
        </w:tc>
        <w:tc>
          <w:tcPr>
            <w:tcW w:w="1738" w:type="dxa"/>
            <w:shd w:val="clear" w:color="auto" w:fill="auto"/>
          </w:tcPr>
          <w:p w14:paraId="2E038A16"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1.4*</w:t>
            </w:r>
          </w:p>
        </w:tc>
        <w:tc>
          <w:tcPr>
            <w:tcW w:w="1252" w:type="dxa"/>
            <w:shd w:val="clear" w:color="auto" w:fill="auto"/>
          </w:tcPr>
          <w:p w14:paraId="58D53818"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6.9</w:t>
            </w:r>
          </w:p>
        </w:tc>
        <w:tc>
          <w:tcPr>
            <w:tcW w:w="1235" w:type="dxa"/>
            <w:shd w:val="clear" w:color="auto" w:fill="auto"/>
          </w:tcPr>
          <w:p w14:paraId="06D5E337"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w:t>
            </w:r>
          </w:p>
        </w:tc>
      </w:tr>
      <w:tr w:rsidR="005972A9" w14:paraId="08A127D7" w14:textId="77777777" w:rsidTr="00FD7B6F">
        <w:tc>
          <w:tcPr>
            <w:tcW w:w="3088" w:type="dxa"/>
            <w:shd w:val="clear" w:color="auto" w:fill="auto"/>
          </w:tcPr>
          <w:p w14:paraId="2E6B402E"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vertAlign w:val="superscript"/>
              </w:rPr>
            </w:pPr>
            <w:r w:rsidRPr="00FD7B6F">
              <w:rPr>
                <w:rFonts w:ascii="Cambria" w:eastAsia="Cambria" w:hAnsi="Cambria" w:cs="Cambria"/>
                <w:color w:val="000000"/>
                <w:sz w:val="20"/>
                <w:szCs w:val="20"/>
              </w:rPr>
              <w:t>Glucose (fasting) decreased</w:t>
            </w:r>
            <w:r w:rsidRPr="00FD7B6F">
              <w:rPr>
                <w:rFonts w:ascii="Cambria" w:eastAsia="Cambria" w:hAnsi="Cambria" w:cs="Cambria"/>
                <w:color w:val="000000"/>
                <w:sz w:val="20"/>
                <w:szCs w:val="20"/>
                <w:vertAlign w:val="superscript"/>
              </w:rPr>
              <w:t>c</w:t>
            </w:r>
          </w:p>
        </w:tc>
        <w:tc>
          <w:tcPr>
            <w:tcW w:w="1317" w:type="dxa"/>
            <w:shd w:val="clear" w:color="auto" w:fill="auto"/>
          </w:tcPr>
          <w:p w14:paraId="6389FB1A"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6.4</w:t>
            </w:r>
          </w:p>
        </w:tc>
        <w:tc>
          <w:tcPr>
            <w:tcW w:w="1738" w:type="dxa"/>
            <w:shd w:val="clear" w:color="auto" w:fill="auto"/>
          </w:tcPr>
          <w:p w14:paraId="3F72FED8"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w:t>
            </w:r>
          </w:p>
        </w:tc>
        <w:tc>
          <w:tcPr>
            <w:tcW w:w="1252" w:type="dxa"/>
            <w:shd w:val="clear" w:color="auto" w:fill="auto"/>
          </w:tcPr>
          <w:p w14:paraId="39A77B9C"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3.2</w:t>
            </w:r>
          </w:p>
        </w:tc>
        <w:tc>
          <w:tcPr>
            <w:tcW w:w="1235" w:type="dxa"/>
            <w:shd w:val="clear" w:color="auto" w:fill="auto"/>
          </w:tcPr>
          <w:p w14:paraId="693DF306"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w:t>
            </w:r>
          </w:p>
        </w:tc>
      </w:tr>
      <w:tr w:rsidR="005972A9" w14:paraId="12181758" w14:textId="77777777" w:rsidTr="00FD7B6F">
        <w:tc>
          <w:tcPr>
            <w:tcW w:w="8630" w:type="dxa"/>
            <w:gridSpan w:val="5"/>
            <w:shd w:val="clear" w:color="auto" w:fill="auto"/>
          </w:tcPr>
          <w:p w14:paraId="298223D8" w14:textId="77777777" w:rsidR="005972A9" w:rsidRDefault="004A79CA" w:rsidP="00FD7B6F">
            <w:pPr>
              <w:pBdr>
                <w:top w:val="nil"/>
                <w:left w:val="nil"/>
                <w:bottom w:val="nil"/>
                <w:right w:val="nil"/>
                <w:between w:val="nil"/>
              </w:pBdr>
              <w:spacing w:before="50" w:after="50" w:line="240" w:lineRule="auto"/>
              <w:ind w:left="115" w:hanging="115"/>
              <w:rPr>
                <w:rFonts w:ascii="Cambria" w:eastAsia="Cambria" w:hAnsi="Cambria" w:cs="Cambria"/>
                <w:color w:val="000000"/>
                <w:sz w:val="20"/>
                <w:szCs w:val="20"/>
              </w:rPr>
            </w:pPr>
            <w:r w:rsidRPr="00FD7B6F">
              <w:rPr>
                <w:rFonts w:ascii="Cambria" w:eastAsia="Cambria" w:hAnsi="Cambria" w:cs="Cambria"/>
                <w:color w:val="000000"/>
                <w:sz w:val="20"/>
                <w:szCs w:val="20"/>
              </w:rPr>
              <w:t>ALT = alanine aminotransferase</w:t>
            </w:r>
          </w:p>
          <w:p w14:paraId="658AE9C5" w14:textId="05F30B6C" w:rsidR="00931DB7" w:rsidRPr="00FD7B6F" w:rsidRDefault="00931DB7" w:rsidP="00FD7B6F">
            <w:pPr>
              <w:pBdr>
                <w:top w:val="nil"/>
                <w:left w:val="nil"/>
                <w:bottom w:val="nil"/>
                <w:right w:val="nil"/>
                <w:between w:val="nil"/>
              </w:pBdr>
              <w:spacing w:before="50" w:after="50" w:line="240" w:lineRule="auto"/>
              <w:ind w:left="115" w:hanging="115"/>
              <w:rPr>
                <w:rFonts w:ascii="Cambria" w:eastAsia="Cambria" w:hAnsi="Cambria" w:cs="Cambria"/>
                <w:color w:val="000000"/>
                <w:sz w:val="20"/>
                <w:szCs w:val="20"/>
              </w:rPr>
            </w:pPr>
            <w:r>
              <w:rPr>
                <w:rFonts w:ascii="Cambria" w:eastAsia="Cambria" w:hAnsi="Cambria" w:cs="Cambria"/>
                <w:color w:val="000000"/>
                <w:sz w:val="20"/>
                <w:szCs w:val="20"/>
              </w:rPr>
              <w:t>Grading according to CTCAE version 5.0</w:t>
            </w:r>
          </w:p>
          <w:p w14:paraId="00A5ECEA" w14:textId="77777777" w:rsidR="005972A9" w:rsidRPr="00FD7B6F" w:rsidRDefault="004A79CA" w:rsidP="00FD7B6F">
            <w:pPr>
              <w:pBdr>
                <w:top w:val="nil"/>
                <w:left w:val="nil"/>
                <w:bottom w:val="nil"/>
                <w:right w:val="nil"/>
                <w:between w:val="nil"/>
              </w:pBdr>
              <w:spacing w:before="50" w:after="50" w:line="240" w:lineRule="auto"/>
              <w:ind w:left="115" w:hanging="115"/>
              <w:rPr>
                <w:rFonts w:ascii="Cambria" w:eastAsia="Cambria" w:hAnsi="Cambria" w:cs="Cambria"/>
                <w:color w:val="000000"/>
                <w:sz w:val="20"/>
                <w:szCs w:val="20"/>
                <w:vertAlign w:val="superscript"/>
              </w:rPr>
            </w:pPr>
            <w:r w:rsidRPr="00FD7B6F">
              <w:rPr>
                <w:rFonts w:ascii="Cambria" w:eastAsia="Cambria" w:hAnsi="Cambria" w:cs="Cambria"/>
                <w:color w:val="000000"/>
                <w:sz w:val="20"/>
                <w:szCs w:val="20"/>
              </w:rPr>
              <w:t>*</w:t>
            </w:r>
            <w:r w:rsidRPr="00FD7B6F">
              <w:rPr>
                <w:rFonts w:ascii="Cambria" w:eastAsia="Cambria" w:hAnsi="Cambria" w:cs="Cambria"/>
                <w:color w:val="000000"/>
                <w:sz w:val="20"/>
                <w:szCs w:val="20"/>
              </w:rPr>
              <w:tab/>
              <w:t>No Grade 4 events were observed.</w:t>
            </w:r>
          </w:p>
          <w:p w14:paraId="787E7F82" w14:textId="77777777" w:rsidR="005972A9" w:rsidRPr="00FD7B6F" w:rsidRDefault="004A79CA" w:rsidP="00FD7B6F">
            <w:pPr>
              <w:pBdr>
                <w:top w:val="nil"/>
                <w:left w:val="nil"/>
                <w:bottom w:val="nil"/>
                <w:right w:val="nil"/>
                <w:between w:val="nil"/>
              </w:pBdr>
              <w:spacing w:before="50" w:after="50" w:line="240" w:lineRule="auto"/>
              <w:ind w:left="115" w:hanging="115"/>
              <w:rPr>
                <w:rFonts w:ascii="Cambria" w:eastAsia="Cambria" w:hAnsi="Cambria" w:cs="Cambria"/>
                <w:color w:val="000000"/>
                <w:sz w:val="20"/>
                <w:szCs w:val="20"/>
              </w:rPr>
            </w:pPr>
            <w:proofErr w:type="spellStart"/>
            <w:r w:rsidRPr="00FD7B6F">
              <w:rPr>
                <w:rFonts w:ascii="Cambria" w:eastAsia="Cambria" w:hAnsi="Cambria" w:cs="Cambria"/>
                <w:color w:val="000000"/>
                <w:sz w:val="20"/>
                <w:szCs w:val="20"/>
                <w:vertAlign w:val="superscript"/>
              </w:rPr>
              <w:t>a</w:t>
            </w:r>
            <w:proofErr w:type="spellEnd"/>
            <w:r w:rsidRPr="00FD7B6F">
              <w:rPr>
                <w:rFonts w:ascii="Cambria" w:eastAsia="Cambria" w:hAnsi="Cambria" w:cs="Cambria"/>
                <w:color w:val="000000"/>
                <w:sz w:val="20"/>
                <w:szCs w:val="20"/>
              </w:rPr>
              <w:t xml:space="preserve"> </w:t>
            </w:r>
            <w:proofErr w:type="gramStart"/>
            <w:r w:rsidRPr="00FD7B6F">
              <w:rPr>
                <w:rFonts w:ascii="Cambria" w:eastAsia="Cambria" w:hAnsi="Cambria" w:cs="Cambria"/>
                <w:color w:val="000000"/>
                <w:sz w:val="20"/>
                <w:szCs w:val="20"/>
              </w:rPr>
              <w:t>The</w:t>
            </w:r>
            <w:proofErr w:type="gramEnd"/>
            <w:r w:rsidRPr="00FD7B6F">
              <w:rPr>
                <w:rFonts w:ascii="Cambria" w:eastAsia="Cambria" w:hAnsi="Cambria" w:cs="Cambria"/>
                <w:color w:val="000000"/>
                <w:sz w:val="20"/>
                <w:szCs w:val="20"/>
              </w:rPr>
              <w:t xml:space="preserve"> denominator used to calculate the rate varied from 122 to 160 based on the number of patients with a baseline value and at least one post-treatment value.</w:t>
            </w:r>
          </w:p>
          <w:p w14:paraId="27EE8867" w14:textId="77777777" w:rsidR="005972A9" w:rsidRPr="00FD7B6F" w:rsidRDefault="004A79CA" w:rsidP="00FD7B6F">
            <w:pPr>
              <w:pBdr>
                <w:top w:val="nil"/>
                <w:left w:val="nil"/>
                <w:bottom w:val="nil"/>
                <w:right w:val="nil"/>
                <w:between w:val="nil"/>
              </w:pBdr>
              <w:spacing w:before="50" w:after="50" w:line="240" w:lineRule="auto"/>
              <w:ind w:left="115" w:hanging="115"/>
              <w:rPr>
                <w:rFonts w:ascii="Cambria" w:eastAsia="Cambria" w:hAnsi="Cambria" w:cs="Cambria"/>
                <w:color w:val="000000"/>
                <w:sz w:val="20"/>
                <w:szCs w:val="20"/>
              </w:rPr>
            </w:pPr>
            <w:r w:rsidRPr="00FD7B6F">
              <w:rPr>
                <w:rFonts w:ascii="Cambria" w:eastAsia="Cambria" w:hAnsi="Cambria" w:cs="Cambria"/>
                <w:color w:val="000000"/>
                <w:sz w:val="20"/>
                <w:szCs w:val="20"/>
                <w:vertAlign w:val="superscript"/>
              </w:rPr>
              <w:t>b</w:t>
            </w:r>
            <w:r w:rsidRPr="00FD7B6F">
              <w:rPr>
                <w:rFonts w:ascii="Cambria" w:eastAsia="Cambria" w:hAnsi="Cambria" w:cs="Cambria"/>
                <w:color w:val="000000"/>
                <w:sz w:val="20"/>
                <w:szCs w:val="20"/>
              </w:rPr>
              <w:t xml:space="preserve"> </w:t>
            </w:r>
            <w:proofErr w:type="gramStart"/>
            <w:r w:rsidRPr="00FD7B6F">
              <w:rPr>
                <w:rFonts w:ascii="Cambria" w:eastAsia="Cambria" w:hAnsi="Cambria" w:cs="Cambria"/>
                <w:color w:val="000000"/>
                <w:sz w:val="20"/>
                <w:szCs w:val="20"/>
              </w:rPr>
              <w:t>The</w:t>
            </w:r>
            <w:proofErr w:type="gramEnd"/>
            <w:r w:rsidRPr="00FD7B6F">
              <w:rPr>
                <w:rFonts w:ascii="Cambria" w:eastAsia="Cambria" w:hAnsi="Cambria" w:cs="Cambria"/>
                <w:color w:val="000000"/>
                <w:sz w:val="20"/>
                <w:szCs w:val="20"/>
              </w:rPr>
              <w:t xml:space="preserve"> denominator used to calculate the rate varied from 131 to 161 based on the number of patients with a baseline value and at least one post-treatment value.</w:t>
            </w:r>
          </w:p>
          <w:p w14:paraId="04F3A546" w14:textId="77777777" w:rsidR="005972A9" w:rsidRPr="00FD7B6F" w:rsidRDefault="004A79CA" w:rsidP="00FD7B6F">
            <w:pPr>
              <w:pBdr>
                <w:top w:val="nil"/>
                <w:left w:val="nil"/>
                <w:bottom w:val="nil"/>
                <w:right w:val="nil"/>
                <w:between w:val="nil"/>
              </w:pBdr>
              <w:spacing w:before="50" w:after="50" w:line="240" w:lineRule="auto"/>
              <w:ind w:left="115" w:hanging="115"/>
              <w:rPr>
                <w:rFonts w:ascii="Cambria" w:eastAsia="Cambria" w:hAnsi="Cambria" w:cs="Cambria"/>
                <w:color w:val="000000"/>
                <w:sz w:val="20"/>
                <w:szCs w:val="20"/>
                <w:highlight w:val="yellow"/>
              </w:rPr>
            </w:pPr>
            <w:r w:rsidRPr="00FD7B6F">
              <w:rPr>
                <w:rFonts w:ascii="Cambria" w:eastAsia="Cambria" w:hAnsi="Cambria" w:cs="Cambria"/>
                <w:color w:val="000000"/>
                <w:sz w:val="20"/>
                <w:szCs w:val="20"/>
                <w:vertAlign w:val="superscript"/>
              </w:rPr>
              <w:t>c</w:t>
            </w:r>
            <w:r w:rsidRPr="00FD7B6F">
              <w:rPr>
                <w:rFonts w:ascii="Cambria" w:eastAsia="Cambria" w:hAnsi="Cambria" w:cs="Cambria"/>
                <w:color w:val="000000"/>
                <w:sz w:val="20"/>
                <w:szCs w:val="20"/>
                <w:vertAlign w:val="superscript"/>
              </w:rPr>
              <w:tab/>
            </w:r>
            <w:r w:rsidRPr="00FD7B6F">
              <w:rPr>
                <w:rFonts w:ascii="Cambria" w:eastAsia="Cambria" w:hAnsi="Cambria" w:cs="Cambria"/>
                <w:color w:val="000000"/>
                <w:sz w:val="20"/>
                <w:szCs w:val="20"/>
              </w:rPr>
              <w:t>Grading according to CTCAE version 4.03.</w:t>
            </w:r>
          </w:p>
        </w:tc>
      </w:tr>
    </w:tbl>
    <w:p w14:paraId="71C71F61" w14:textId="2C622932" w:rsidR="00931DB7" w:rsidRDefault="00931DB7">
      <w:pPr>
        <w:pStyle w:val="Heading3"/>
        <w:ind w:firstLine="227"/>
      </w:pPr>
      <w:r>
        <w:t>Post</w:t>
      </w:r>
      <w:r w:rsidR="00AC1474">
        <w:t>-</w:t>
      </w:r>
      <w:r>
        <w:t>marketing experience</w:t>
      </w:r>
    </w:p>
    <w:p w14:paraId="3D6E2EFF" w14:textId="6A6EFA1C" w:rsidR="00931DB7" w:rsidRDefault="00931DB7" w:rsidP="00931DB7">
      <w:pPr>
        <w:rPr>
          <w:rFonts w:ascii="Cambria" w:eastAsia="Cambria" w:hAnsi="Cambria" w:cs="Cambria"/>
          <w:color w:val="000000"/>
        </w:rPr>
      </w:pPr>
      <w:r w:rsidRPr="00AC1474">
        <w:rPr>
          <w:rFonts w:ascii="Cambria" w:eastAsia="Cambria" w:hAnsi="Cambria" w:cs="Cambria"/>
          <w:color w:val="000000"/>
        </w:rPr>
        <w:t>The following adverse drug reactions have been identified from post</w:t>
      </w:r>
      <w:r w:rsidR="00AC1474">
        <w:rPr>
          <w:rFonts w:ascii="Cambria" w:eastAsia="Cambria" w:hAnsi="Cambria" w:cs="Cambria"/>
          <w:color w:val="000000"/>
        </w:rPr>
        <w:t>-</w:t>
      </w:r>
      <w:r w:rsidRPr="00AC1474">
        <w:rPr>
          <w:rFonts w:ascii="Cambria" w:eastAsia="Cambria" w:hAnsi="Cambria" w:cs="Cambria"/>
          <w:color w:val="000000"/>
        </w:rPr>
        <w:t xml:space="preserve">marketing experience with Itovebi (Table </w:t>
      </w:r>
      <w:r w:rsidR="00AC1474">
        <w:rPr>
          <w:rFonts w:ascii="Cambria" w:eastAsia="Cambria" w:hAnsi="Cambria" w:cs="Cambria"/>
          <w:color w:val="000000"/>
        </w:rPr>
        <w:t>6</w:t>
      </w:r>
      <w:r w:rsidRPr="00AC1474">
        <w:rPr>
          <w:rFonts w:ascii="Cambria" w:eastAsia="Cambria" w:hAnsi="Cambria" w:cs="Cambria"/>
          <w:color w:val="000000"/>
        </w:rPr>
        <w:t>) based on spontaneous case reports and literature cases. Adverse drug reactions are listed according to system organ classes in MedDRA and the corresponding frequency category estimation for each adverse drug reaction is based on the following convention:</w:t>
      </w:r>
      <w:r w:rsidR="00AC1474" w:rsidRPr="00AC1474">
        <w:rPr>
          <w:rFonts w:ascii="Cambria" w:eastAsia="Cambria" w:hAnsi="Cambria" w:cs="Cambria"/>
          <w:color w:val="000000"/>
        </w:rPr>
        <w:t xml:space="preserve"> </w:t>
      </w:r>
      <w:r w:rsidR="00AC1474">
        <w:rPr>
          <w:rFonts w:ascii="Cambria" w:eastAsia="Cambria" w:hAnsi="Cambria" w:cs="Cambria"/>
          <w:color w:val="000000"/>
        </w:rPr>
        <w:t>very common (≥ 1/10), common (≥ 1/100 to &lt; 1/10), uncommon (≥ 1/1,000 to &lt; 1/100), rare (≥ 1/10,000 to &lt; 1/1,000), very rare (&lt; 1/10,000)</w:t>
      </w:r>
      <w:r w:rsidRPr="00AC1474">
        <w:rPr>
          <w:rFonts w:ascii="Cambria" w:eastAsia="Cambria" w:hAnsi="Cambria" w:cs="Cambria"/>
          <w:color w:val="000000"/>
        </w:rPr>
        <w:t xml:space="preserve">.  </w:t>
      </w:r>
    </w:p>
    <w:p w14:paraId="1EC3152C" w14:textId="5A7A5E61" w:rsidR="00AC1474" w:rsidRPr="00AC1474" w:rsidRDefault="00AC1474" w:rsidP="00AC1474">
      <w:pPr>
        <w:tabs>
          <w:tab w:val="left" w:pos="284"/>
        </w:tabs>
        <w:rPr>
          <w:rFonts w:ascii="Cambria" w:eastAsia="Cambria" w:hAnsi="Cambria" w:cs="Cambria"/>
          <w:b/>
          <w:bCs/>
          <w:color w:val="000000"/>
        </w:rPr>
      </w:pPr>
      <w:r w:rsidRPr="00AC1474">
        <w:rPr>
          <w:rFonts w:ascii="Cambria" w:eastAsia="Cambria" w:hAnsi="Cambria" w:cs="Cambria"/>
          <w:b/>
          <w:bCs/>
          <w:color w:val="000000"/>
        </w:rPr>
        <w:t>Table 6</w:t>
      </w:r>
      <w:r>
        <w:rPr>
          <w:rFonts w:ascii="Cambria" w:eastAsia="Cambria" w:hAnsi="Cambria" w:cs="Cambria"/>
          <w:b/>
          <w:bCs/>
          <w:color w:val="000000"/>
        </w:rPr>
        <w:tab/>
      </w:r>
      <w:r w:rsidRPr="00AC1474">
        <w:rPr>
          <w:rFonts w:ascii="Cambria" w:eastAsia="Cambria" w:hAnsi="Cambria" w:cs="Cambria"/>
          <w:b/>
          <w:bCs/>
          <w:color w:val="000000"/>
        </w:rPr>
        <w:t xml:space="preserve">Adverse Drug Reactions Reported </w:t>
      </w:r>
      <w:proofErr w:type="gramStart"/>
      <w:r w:rsidRPr="00AC1474">
        <w:rPr>
          <w:rFonts w:ascii="Cambria" w:eastAsia="Cambria" w:hAnsi="Cambria" w:cs="Cambria"/>
          <w:b/>
          <w:bCs/>
          <w:color w:val="000000"/>
        </w:rPr>
        <w:t>From</w:t>
      </w:r>
      <w:proofErr w:type="gramEnd"/>
      <w:r w:rsidRPr="00AC1474">
        <w:rPr>
          <w:rFonts w:ascii="Cambria" w:eastAsia="Cambria" w:hAnsi="Cambria" w:cs="Cambria"/>
          <w:b/>
          <w:bCs/>
          <w:color w:val="000000"/>
        </w:rPr>
        <w:t xml:space="preserve"> Post-Marketing Experience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B46749" w14:paraId="7B0568AE" w14:textId="77777777">
        <w:tc>
          <w:tcPr>
            <w:tcW w:w="3080" w:type="dxa"/>
            <w:shd w:val="clear" w:color="auto" w:fill="auto"/>
          </w:tcPr>
          <w:p w14:paraId="5336D735" w14:textId="77777777" w:rsidR="00AC1474" w:rsidRDefault="009B043D" w:rsidP="00931DB7">
            <w:pPr>
              <w:rPr>
                <w:rFonts w:ascii="Cambria" w:eastAsia="Cambria" w:hAnsi="Cambria" w:cs="Cambria"/>
                <w:b/>
                <w:bCs/>
                <w:color w:val="000000"/>
              </w:rPr>
            </w:pPr>
            <w:r>
              <w:rPr>
                <w:rFonts w:ascii="Cambria" w:eastAsia="Cambria" w:hAnsi="Cambria" w:cs="Cambria"/>
                <w:b/>
                <w:bCs/>
                <w:color w:val="000000"/>
              </w:rPr>
              <w:t>System Organ Class</w:t>
            </w:r>
          </w:p>
          <w:p w14:paraId="4A66AEDD" w14:textId="4D2443E1" w:rsidR="009B043D" w:rsidRDefault="009B043D" w:rsidP="00931DB7">
            <w:pPr>
              <w:rPr>
                <w:rFonts w:ascii="Cambria" w:eastAsia="Cambria" w:hAnsi="Cambria" w:cs="Cambria"/>
                <w:b/>
                <w:bCs/>
                <w:color w:val="000000"/>
              </w:rPr>
            </w:pPr>
            <w:r>
              <w:rPr>
                <w:rFonts w:ascii="Cambria" w:eastAsia="Cambria" w:hAnsi="Cambria" w:cs="Cambria"/>
                <w:b/>
                <w:bCs/>
                <w:color w:val="000000"/>
              </w:rPr>
              <w:t>Adverse Reaction</w:t>
            </w:r>
          </w:p>
        </w:tc>
        <w:tc>
          <w:tcPr>
            <w:tcW w:w="3081" w:type="dxa"/>
            <w:shd w:val="clear" w:color="auto" w:fill="auto"/>
          </w:tcPr>
          <w:p w14:paraId="604F256E" w14:textId="52D8E522" w:rsidR="00AC1474" w:rsidRDefault="009B043D" w:rsidP="00931DB7">
            <w:pPr>
              <w:rPr>
                <w:rFonts w:ascii="Cambria" w:eastAsia="Cambria" w:hAnsi="Cambria" w:cs="Cambria"/>
                <w:b/>
                <w:bCs/>
                <w:color w:val="000000"/>
              </w:rPr>
            </w:pPr>
            <w:r>
              <w:rPr>
                <w:rFonts w:ascii="Cambria" w:eastAsia="Cambria" w:hAnsi="Cambria" w:cs="Cambria"/>
                <w:b/>
                <w:bCs/>
                <w:color w:val="000000"/>
              </w:rPr>
              <w:t>Frequency category</w:t>
            </w:r>
          </w:p>
        </w:tc>
        <w:tc>
          <w:tcPr>
            <w:tcW w:w="3081" w:type="dxa"/>
            <w:shd w:val="clear" w:color="auto" w:fill="auto"/>
          </w:tcPr>
          <w:p w14:paraId="575BE24C" w14:textId="1FEDF0F9" w:rsidR="00AC1474" w:rsidRDefault="009B043D" w:rsidP="00931DB7">
            <w:pPr>
              <w:rPr>
                <w:rFonts w:ascii="Cambria" w:eastAsia="Cambria" w:hAnsi="Cambria" w:cs="Cambria"/>
                <w:b/>
                <w:bCs/>
                <w:color w:val="000000"/>
              </w:rPr>
            </w:pPr>
            <w:proofErr w:type="gramStart"/>
            <w:r>
              <w:rPr>
                <w:rFonts w:ascii="Cambria" w:eastAsia="Cambria" w:hAnsi="Cambria" w:cs="Cambria"/>
                <w:b/>
                <w:bCs/>
                <w:color w:val="000000"/>
              </w:rPr>
              <w:t>CDS</w:t>
            </w:r>
            <w:proofErr w:type="gramEnd"/>
            <w:r>
              <w:rPr>
                <w:rFonts w:ascii="Cambria" w:eastAsia="Cambria" w:hAnsi="Cambria" w:cs="Cambria"/>
                <w:b/>
                <w:bCs/>
                <w:color w:val="000000"/>
              </w:rPr>
              <w:t xml:space="preserve"> reference</w:t>
            </w:r>
          </w:p>
        </w:tc>
      </w:tr>
      <w:tr w:rsidR="009B043D" w14:paraId="1A41779B" w14:textId="77777777">
        <w:tc>
          <w:tcPr>
            <w:tcW w:w="9242" w:type="dxa"/>
            <w:gridSpan w:val="3"/>
            <w:shd w:val="clear" w:color="auto" w:fill="auto"/>
          </w:tcPr>
          <w:p w14:paraId="57F2D77B" w14:textId="316B087C" w:rsidR="009B043D" w:rsidRDefault="009B043D" w:rsidP="00931DB7">
            <w:pPr>
              <w:rPr>
                <w:rFonts w:ascii="Cambria" w:eastAsia="Cambria" w:hAnsi="Cambria" w:cs="Cambria"/>
                <w:b/>
                <w:bCs/>
                <w:color w:val="000000"/>
              </w:rPr>
            </w:pPr>
            <w:r>
              <w:rPr>
                <w:rFonts w:ascii="Cambria" w:eastAsia="Cambria" w:hAnsi="Cambria" w:cs="Cambria"/>
                <w:b/>
                <w:bCs/>
                <w:color w:val="000000"/>
              </w:rPr>
              <w:t>Metabolism and Nutrition Disorders</w:t>
            </w:r>
          </w:p>
        </w:tc>
      </w:tr>
      <w:tr w:rsidR="00B46749" w14:paraId="12E2EFFD" w14:textId="77777777">
        <w:tc>
          <w:tcPr>
            <w:tcW w:w="3080" w:type="dxa"/>
            <w:shd w:val="clear" w:color="auto" w:fill="auto"/>
          </w:tcPr>
          <w:p w14:paraId="5C963AB1" w14:textId="7168333A" w:rsidR="00AC1474" w:rsidRDefault="009B043D" w:rsidP="00931DB7">
            <w:pPr>
              <w:rPr>
                <w:rFonts w:ascii="Cambria" w:eastAsia="Cambria" w:hAnsi="Cambria" w:cs="Cambria"/>
                <w:color w:val="000000"/>
              </w:rPr>
            </w:pPr>
            <w:r>
              <w:rPr>
                <w:rFonts w:ascii="Cambria" w:eastAsia="Cambria" w:hAnsi="Cambria" w:cs="Cambria"/>
                <w:color w:val="000000"/>
              </w:rPr>
              <w:lastRenderedPageBreak/>
              <w:t>Ketoacidosis</w:t>
            </w:r>
          </w:p>
        </w:tc>
        <w:tc>
          <w:tcPr>
            <w:tcW w:w="3081" w:type="dxa"/>
            <w:shd w:val="clear" w:color="auto" w:fill="auto"/>
          </w:tcPr>
          <w:p w14:paraId="0A5679C9" w14:textId="5379887B" w:rsidR="00AC1474" w:rsidRDefault="009B043D" w:rsidP="00931DB7">
            <w:pPr>
              <w:rPr>
                <w:rFonts w:ascii="Cambria" w:eastAsia="Cambria" w:hAnsi="Cambria" w:cs="Cambria"/>
                <w:color w:val="000000"/>
              </w:rPr>
            </w:pPr>
            <w:proofErr w:type="spellStart"/>
            <w:r>
              <w:rPr>
                <w:rFonts w:ascii="Cambria" w:eastAsia="Cambria" w:hAnsi="Cambria" w:cs="Cambria"/>
                <w:color w:val="000000"/>
              </w:rPr>
              <w:t>Rare</w:t>
            </w:r>
            <w:r>
              <w:rPr>
                <w:rFonts w:ascii="Cambria" w:eastAsia="Cambria" w:hAnsi="Cambria" w:cs="Cambria"/>
                <w:color w:val="000000"/>
                <w:vertAlign w:val="superscript"/>
              </w:rPr>
              <w:t>a</w:t>
            </w:r>
            <w:proofErr w:type="spellEnd"/>
          </w:p>
        </w:tc>
        <w:tc>
          <w:tcPr>
            <w:tcW w:w="3081" w:type="dxa"/>
            <w:shd w:val="clear" w:color="auto" w:fill="auto"/>
          </w:tcPr>
          <w:p w14:paraId="328AD38F" w14:textId="6246BB3F" w:rsidR="00AC1474" w:rsidRDefault="009B043D" w:rsidP="00931DB7">
            <w:pPr>
              <w:rPr>
                <w:rFonts w:ascii="Cambria" w:eastAsia="Cambria" w:hAnsi="Cambria" w:cs="Cambria"/>
                <w:color w:val="000000"/>
              </w:rPr>
            </w:pPr>
            <w:r>
              <w:rPr>
                <w:rFonts w:ascii="Cambria" w:eastAsia="Cambria" w:hAnsi="Cambria" w:cs="Cambria"/>
                <w:color w:val="000000"/>
              </w:rPr>
              <w:t>[##]</w:t>
            </w:r>
          </w:p>
        </w:tc>
      </w:tr>
      <w:tr w:rsidR="009B043D" w14:paraId="71F9FD83" w14:textId="77777777">
        <w:tc>
          <w:tcPr>
            <w:tcW w:w="9242" w:type="dxa"/>
            <w:gridSpan w:val="3"/>
            <w:shd w:val="clear" w:color="auto" w:fill="auto"/>
          </w:tcPr>
          <w:p w14:paraId="7C6CB8C9" w14:textId="6E497BF6" w:rsidR="009B043D" w:rsidRDefault="009B043D" w:rsidP="00931DB7">
            <w:pPr>
              <w:rPr>
                <w:rFonts w:ascii="Cambria" w:eastAsia="Cambria" w:hAnsi="Cambria" w:cs="Cambria"/>
                <w:color w:val="000000"/>
                <w:sz w:val="20"/>
                <w:szCs w:val="20"/>
              </w:rPr>
            </w:pPr>
            <w:proofErr w:type="spellStart"/>
            <w:r>
              <w:rPr>
                <w:rFonts w:ascii="Cambria" w:eastAsia="Cambria" w:hAnsi="Cambria" w:cs="Cambria"/>
                <w:color w:val="000000"/>
                <w:sz w:val="20"/>
                <w:szCs w:val="20"/>
                <w:vertAlign w:val="superscript"/>
              </w:rPr>
              <w:t>a</w:t>
            </w:r>
            <w:r>
              <w:rPr>
                <w:rFonts w:ascii="Cambria" w:eastAsia="Cambria" w:hAnsi="Cambria" w:cs="Cambria"/>
                <w:color w:val="000000"/>
                <w:sz w:val="20"/>
                <w:szCs w:val="20"/>
              </w:rPr>
              <w:t>This</w:t>
            </w:r>
            <w:proofErr w:type="spellEnd"/>
            <w:r>
              <w:rPr>
                <w:rFonts w:ascii="Cambria" w:eastAsia="Cambria" w:hAnsi="Cambria" w:cs="Cambria"/>
                <w:color w:val="000000"/>
                <w:sz w:val="20"/>
                <w:szCs w:val="20"/>
              </w:rPr>
              <w:t xml:space="preserve"> adverse reaction was from </w:t>
            </w:r>
            <w:proofErr w:type="spellStart"/>
            <w:r>
              <w:rPr>
                <w:rFonts w:ascii="Cambria" w:eastAsia="Cambria" w:hAnsi="Cambria" w:cs="Cambria"/>
                <w:color w:val="000000"/>
                <w:sz w:val="20"/>
                <w:szCs w:val="20"/>
              </w:rPr>
              <w:t>postmarketing</w:t>
            </w:r>
            <w:proofErr w:type="spellEnd"/>
            <w:r>
              <w:rPr>
                <w:rFonts w:ascii="Cambria" w:eastAsia="Cambria" w:hAnsi="Cambria" w:cs="Cambria"/>
                <w:color w:val="000000"/>
                <w:sz w:val="20"/>
                <w:szCs w:val="20"/>
              </w:rPr>
              <w:t xml:space="preserve"> experience outside the clinical trial dataset. The frequency category was estimated as the upper limit of the 95% confidence interval calculated on the basis of the total number of patients exposed to inavolisib in clinical trials.</w:t>
            </w:r>
          </w:p>
        </w:tc>
      </w:tr>
    </w:tbl>
    <w:p w14:paraId="473190A6" w14:textId="77777777" w:rsidR="00AC1474" w:rsidRPr="00AC1474" w:rsidRDefault="00AC1474" w:rsidP="00931DB7">
      <w:pPr>
        <w:rPr>
          <w:rFonts w:ascii="Cambria" w:eastAsia="Cambria" w:hAnsi="Cambria" w:cs="Cambria"/>
          <w:color w:val="000000"/>
        </w:rPr>
      </w:pPr>
    </w:p>
    <w:p w14:paraId="41444530" w14:textId="71D0C94A" w:rsidR="005972A9" w:rsidRDefault="004A79CA">
      <w:pPr>
        <w:pStyle w:val="Heading3"/>
        <w:ind w:firstLine="227"/>
      </w:pPr>
      <w:r>
        <w:t>Reporting suspected adverse effects</w:t>
      </w:r>
    </w:p>
    <w:p w14:paraId="731F2172" w14:textId="77777777" w:rsidR="005972A9" w:rsidRDefault="004A79CA">
      <w:pPr>
        <w:rPr>
          <w:rFonts w:ascii="Cambria" w:eastAsia="Cambria" w:hAnsi="Cambria" w:cs="Cambria"/>
        </w:rPr>
      </w:pPr>
      <w:r>
        <w:rPr>
          <w:rFonts w:ascii="Cambria" w:eastAsia="Cambria" w:hAnsi="Cambria" w:cs="Cambria"/>
        </w:rPr>
        <w:t xml:space="preserve">Reporting suspected adverse reactions after registration of the medicinal product is important. It allows continued monitoring of the benefit-risk balance of the medicinal product. Healthcare professionals are asked to report any suspected adverse reactions at </w:t>
      </w:r>
      <w:hyperlink r:id="rId10">
        <w:r>
          <w:rPr>
            <w:rFonts w:ascii="Cambria" w:eastAsia="Cambria" w:hAnsi="Cambria" w:cs="Cambria"/>
            <w:color w:val="0000FF"/>
            <w:u w:val="single"/>
          </w:rPr>
          <w:t>www.tga.gov.au/reporting-problems</w:t>
        </w:r>
      </w:hyperlink>
      <w:r>
        <w:rPr>
          <w:rFonts w:ascii="Cambria" w:eastAsia="Cambria" w:hAnsi="Cambria" w:cs="Cambria"/>
        </w:rPr>
        <w:t>.</w:t>
      </w:r>
    </w:p>
    <w:p w14:paraId="0C52F88B" w14:textId="77777777" w:rsidR="005972A9" w:rsidRDefault="004A79CA">
      <w:pPr>
        <w:pStyle w:val="Heading2"/>
        <w:keepNext/>
        <w:keepLines/>
        <w:numPr>
          <w:ilvl w:val="1"/>
          <w:numId w:val="4"/>
        </w:numPr>
        <w:spacing w:before="0" w:after="120"/>
      </w:pPr>
      <w:r>
        <w:t>Overdose</w:t>
      </w:r>
    </w:p>
    <w:p w14:paraId="6615B626" w14:textId="1528F4D5" w:rsidR="005972A9" w:rsidRDefault="004A79CA">
      <w:pPr>
        <w:rPr>
          <w:rFonts w:ascii="Cambria" w:eastAsia="Cambria" w:hAnsi="Cambria" w:cs="Cambria"/>
        </w:rPr>
      </w:pPr>
      <w:r>
        <w:rPr>
          <w:rFonts w:ascii="Cambria" w:eastAsia="Cambria" w:hAnsi="Cambria" w:cs="Cambria"/>
        </w:rPr>
        <w:t xml:space="preserve">There is limited experience of overdose with </w:t>
      </w:r>
      <w:r w:rsidR="00DE29EE">
        <w:rPr>
          <w:rFonts w:ascii="Cambria" w:eastAsia="Cambria" w:hAnsi="Cambria" w:cs="Cambria"/>
        </w:rPr>
        <w:t>Itovebi</w:t>
      </w:r>
      <w:r>
        <w:rPr>
          <w:rFonts w:ascii="Cambria" w:eastAsia="Cambria" w:hAnsi="Cambria" w:cs="Cambria"/>
        </w:rPr>
        <w:t xml:space="preserve"> in clinical trials. In clinical studies, </w:t>
      </w:r>
      <w:r w:rsidR="00DE29EE">
        <w:rPr>
          <w:rFonts w:ascii="Cambria" w:eastAsia="Cambria" w:hAnsi="Cambria" w:cs="Cambria"/>
        </w:rPr>
        <w:t>Itovebi</w:t>
      </w:r>
      <w:r>
        <w:rPr>
          <w:rFonts w:ascii="Cambria" w:eastAsia="Cambria" w:hAnsi="Cambria" w:cs="Cambria"/>
        </w:rPr>
        <w:t xml:space="preserve"> was administered at doses up to 12 mg once daily.</w:t>
      </w:r>
    </w:p>
    <w:p w14:paraId="69F9BED9" w14:textId="5095911E" w:rsidR="005972A9" w:rsidRDefault="004A79CA">
      <w:pPr>
        <w:rPr>
          <w:rFonts w:ascii="Cambria" w:eastAsia="Cambria" w:hAnsi="Cambria" w:cs="Cambria"/>
        </w:rPr>
      </w:pPr>
      <w:r>
        <w:rPr>
          <w:rFonts w:ascii="Cambria" w:eastAsia="Cambria" w:hAnsi="Cambria" w:cs="Cambria"/>
        </w:rPr>
        <w:t>The highest dose administered in the INAVO120 study was 18 mg in one patient. The event of accidental overdosage was resolved in one day and did not require treatment or lead to dose modification of any study drugs.</w:t>
      </w:r>
    </w:p>
    <w:p w14:paraId="2D1B6C04" w14:textId="6F7976B3" w:rsidR="005972A9" w:rsidRDefault="004A79CA">
      <w:pPr>
        <w:rPr>
          <w:rFonts w:ascii="Cambria" w:eastAsia="Cambria" w:hAnsi="Cambria" w:cs="Cambria"/>
        </w:rPr>
      </w:pPr>
      <w:r>
        <w:rPr>
          <w:rFonts w:ascii="Cambria" w:eastAsia="Cambria" w:hAnsi="Cambria" w:cs="Cambria"/>
        </w:rPr>
        <w:t xml:space="preserve">Patients who experience overdose should be closely supervised and supportive care </w:t>
      </w:r>
      <w:proofErr w:type="gramStart"/>
      <w:r>
        <w:rPr>
          <w:rFonts w:ascii="Cambria" w:eastAsia="Cambria" w:hAnsi="Cambria" w:cs="Cambria"/>
        </w:rPr>
        <w:t>instituted</w:t>
      </w:r>
      <w:proofErr w:type="gramEnd"/>
      <w:r>
        <w:rPr>
          <w:rFonts w:ascii="Cambria" w:eastAsia="Cambria" w:hAnsi="Cambria" w:cs="Cambria"/>
        </w:rPr>
        <w:t xml:space="preserve">. There are no known antidotes for </w:t>
      </w:r>
      <w:proofErr w:type="spellStart"/>
      <w:r w:rsidR="00DE29EE">
        <w:rPr>
          <w:rFonts w:ascii="Cambria" w:eastAsia="Cambria" w:hAnsi="Cambria" w:cs="Cambria"/>
        </w:rPr>
        <w:t>Itovebi</w:t>
      </w:r>
      <w:proofErr w:type="spellEnd"/>
      <w:r>
        <w:rPr>
          <w:rFonts w:ascii="Cambria" w:eastAsia="Cambria" w:hAnsi="Cambria" w:cs="Cambria"/>
        </w:rPr>
        <w:t>.</w:t>
      </w:r>
    </w:p>
    <w:p w14:paraId="100B9F7C" w14:textId="77777777" w:rsidR="005972A9" w:rsidRDefault="004A79CA">
      <w:pPr>
        <w:rPr>
          <w:rFonts w:ascii="Cambria" w:eastAsia="Cambria" w:hAnsi="Cambria" w:cs="Cambria"/>
        </w:rPr>
      </w:pPr>
      <w:r>
        <w:rPr>
          <w:rFonts w:ascii="Cambria" w:eastAsia="Cambria" w:hAnsi="Cambria" w:cs="Cambria"/>
        </w:rPr>
        <w:t>For information on the management of overdose, contact the Poisons Information Centre on 13 11 26 (Australia).</w:t>
      </w:r>
    </w:p>
    <w:p w14:paraId="28F21D35" w14:textId="77777777" w:rsidR="005972A9" w:rsidRDefault="004A79CA">
      <w:pPr>
        <w:pStyle w:val="Heading1"/>
        <w:numPr>
          <w:ilvl w:val="0"/>
          <w:numId w:val="4"/>
        </w:numPr>
        <w:spacing w:before="0" w:after="120"/>
      </w:pPr>
      <w:r>
        <w:t>Pharmacological properties</w:t>
      </w:r>
    </w:p>
    <w:p w14:paraId="6B5746D4" w14:textId="77777777" w:rsidR="005972A9" w:rsidRDefault="004A79CA">
      <w:pPr>
        <w:pStyle w:val="Heading2"/>
        <w:numPr>
          <w:ilvl w:val="1"/>
          <w:numId w:val="4"/>
        </w:numPr>
        <w:spacing w:before="0" w:after="120"/>
      </w:pPr>
      <w:r>
        <w:t xml:space="preserve">Pharmacodynamic properties </w:t>
      </w:r>
    </w:p>
    <w:p w14:paraId="0E452549" w14:textId="77777777" w:rsidR="005972A9" w:rsidRDefault="004A79CA" w:rsidP="00B4667A">
      <w:pPr>
        <w:pStyle w:val="Heading3"/>
        <w:spacing w:before="0"/>
        <w:ind w:firstLine="227"/>
      </w:pPr>
      <w:r>
        <w:t>Mechanism of action</w:t>
      </w:r>
    </w:p>
    <w:p w14:paraId="0DB41526" w14:textId="754D4B56" w:rsidR="005972A9" w:rsidRDefault="004A79CA">
      <w:pPr>
        <w:rPr>
          <w:rFonts w:ascii="Cambria" w:eastAsia="Cambria" w:hAnsi="Cambria" w:cs="Cambria"/>
        </w:rPr>
      </w:pPr>
      <w:r>
        <w:rPr>
          <w:rFonts w:ascii="Cambria" w:eastAsia="Cambria" w:hAnsi="Cambria" w:cs="Cambria"/>
        </w:rPr>
        <w:t xml:space="preserve">Inavolisib is a potent </w:t>
      </w:r>
      <w:r w:rsidR="009E23CE">
        <w:rPr>
          <w:rFonts w:ascii="Cambria" w:eastAsia="Cambria" w:hAnsi="Cambria" w:cs="Cambria"/>
        </w:rPr>
        <w:t>(low picomolar K</w:t>
      </w:r>
      <w:r w:rsidR="009E23CE" w:rsidRPr="009E23CE">
        <w:rPr>
          <w:rFonts w:ascii="Cambria" w:eastAsia="Cambria" w:hAnsi="Cambria" w:cs="Cambria"/>
          <w:vertAlign w:val="subscript"/>
        </w:rPr>
        <w:t>i</w:t>
      </w:r>
      <w:r w:rsidR="009E23CE">
        <w:rPr>
          <w:rFonts w:ascii="Cambria" w:eastAsia="Cambria" w:hAnsi="Cambria" w:cs="Cambria"/>
        </w:rPr>
        <w:t>)</w:t>
      </w:r>
      <w:r>
        <w:rPr>
          <w:rFonts w:ascii="Cambria" w:eastAsia="Cambria" w:hAnsi="Cambria" w:cs="Cambria"/>
        </w:rPr>
        <w:t xml:space="preserve"> inhibitor of the phosphatidylinositol-4,5-bisphosphate 3-kinase (PI3K) catalytic subunit alpha isoform protein (p110α; encoded by the </w:t>
      </w:r>
      <w:r>
        <w:rPr>
          <w:rFonts w:ascii="Cambria" w:eastAsia="Cambria" w:hAnsi="Cambria" w:cs="Cambria"/>
          <w:i/>
        </w:rPr>
        <w:t>PIK3CA</w:t>
      </w:r>
      <w:r>
        <w:rPr>
          <w:rFonts w:ascii="Cambria" w:eastAsia="Cambria" w:hAnsi="Cambria" w:cs="Cambria"/>
        </w:rPr>
        <w:t xml:space="preserve"> gene). In addition, inavolisib promotes the degradation of mutated p110α (mutant degrader). The PI3K signaling pathway is commonly dysregulated in HR-positive breast cancer, often due to activating </w:t>
      </w:r>
      <w:r>
        <w:rPr>
          <w:rFonts w:ascii="Cambria" w:eastAsia="Cambria" w:hAnsi="Cambria" w:cs="Cambria"/>
          <w:i/>
        </w:rPr>
        <w:t>PIK3CA</w:t>
      </w:r>
      <w:r>
        <w:rPr>
          <w:rFonts w:ascii="Cambria" w:eastAsia="Cambria" w:hAnsi="Cambria" w:cs="Cambria"/>
        </w:rPr>
        <w:t xml:space="preserve"> mutations. With its dual mechanism of action, inavolisib inhibits the activity of downstream PI3K pathway targets, including AKT, resulting in reduced cellular proliferation and induction of apoptosis in </w:t>
      </w:r>
      <w:r>
        <w:rPr>
          <w:rFonts w:ascii="Cambria" w:eastAsia="Cambria" w:hAnsi="Cambria" w:cs="Cambria"/>
          <w:i/>
        </w:rPr>
        <w:t>PIK3CA</w:t>
      </w:r>
      <w:r>
        <w:rPr>
          <w:rFonts w:ascii="Cambria" w:eastAsia="Cambria" w:hAnsi="Cambria" w:cs="Cambria"/>
        </w:rPr>
        <w:t xml:space="preserve">-mutated breast cancer cell lines. In </w:t>
      </w:r>
      <w:r>
        <w:rPr>
          <w:rFonts w:ascii="Cambria" w:eastAsia="Cambria" w:hAnsi="Cambria" w:cs="Cambria"/>
          <w:i/>
        </w:rPr>
        <w:t>PIK3CA</w:t>
      </w:r>
      <w:r>
        <w:rPr>
          <w:rFonts w:ascii="Cambria" w:eastAsia="Cambria" w:hAnsi="Cambria" w:cs="Cambria"/>
        </w:rPr>
        <w:t>-mutated breast cancer xenograft models, inavolisib reduced tumour growth, which was more pronounced in combination with a CDK4/6 inhibitor (palbociclib) and endocrine therapy.</w:t>
      </w:r>
    </w:p>
    <w:p w14:paraId="509C0C0D" w14:textId="77777777" w:rsidR="005972A9" w:rsidRDefault="004A79CA" w:rsidP="00FD09EF">
      <w:pPr>
        <w:pStyle w:val="Heading3"/>
        <w:pageBreakBefore/>
        <w:spacing w:before="0"/>
        <w:ind w:firstLine="227"/>
      </w:pPr>
      <w:r>
        <w:lastRenderedPageBreak/>
        <w:t>Clinical trials</w:t>
      </w:r>
    </w:p>
    <w:p w14:paraId="0D871FE0" w14:textId="77777777" w:rsidR="005972A9" w:rsidRDefault="004A79CA">
      <w:pPr>
        <w:rPr>
          <w:rFonts w:ascii="Cambria" w:eastAsia="Cambria" w:hAnsi="Cambria" w:cs="Cambria"/>
        </w:rPr>
      </w:pPr>
      <w:r>
        <w:rPr>
          <w:rFonts w:ascii="Cambria" w:eastAsia="Cambria" w:hAnsi="Cambria" w:cs="Cambria"/>
          <w:u w:val="single"/>
        </w:rPr>
        <w:t xml:space="preserve">Locally Advanced or Metastatic Breast Cancer </w:t>
      </w:r>
    </w:p>
    <w:p w14:paraId="13DE7CFD" w14:textId="7E6F2C6E" w:rsidR="005972A9" w:rsidRDefault="004A79CA">
      <w:pPr>
        <w:spacing w:after="0" w:line="240" w:lineRule="auto"/>
        <w:rPr>
          <w:rFonts w:ascii="Cambria" w:eastAsia="Cambria" w:hAnsi="Cambria" w:cs="Cambria"/>
        </w:rPr>
      </w:pPr>
      <w:r>
        <w:rPr>
          <w:rFonts w:ascii="Cambria" w:eastAsia="Cambria" w:hAnsi="Cambria" w:cs="Cambria"/>
        </w:rPr>
        <w:t>INAVO120</w:t>
      </w:r>
    </w:p>
    <w:p w14:paraId="596DBA9E" w14:textId="0E6B56E0" w:rsidR="005972A9" w:rsidRDefault="004A79CA">
      <w:pPr>
        <w:pBdr>
          <w:top w:val="nil"/>
          <w:left w:val="nil"/>
          <w:bottom w:val="nil"/>
          <w:right w:val="nil"/>
          <w:between w:val="nil"/>
        </w:pBdr>
        <w:spacing w:after="250"/>
        <w:rPr>
          <w:rFonts w:ascii="Cambria" w:eastAsia="Cambria" w:hAnsi="Cambria" w:cs="Cambria"/>
          <w:color w:val="000000"/>
        </w:rPr>
      </w:pPr>
      <w:r>
        <w:rPr>
          <w:rFonts w:ascii="Cambria" w:eastAsia="Cambria" w:hAnsi="Cambria" w:cs="Cambria"/>
          <w:color w:val="000000"/>
        </w:rPr>
        <w:t xml:space="preserve">The efficacy of </w:t>
      </w:r>
      <w:r w:rsidR="00DE29EE">
        <w:rPr>
          <w:rFonts w:ascii="Cambria" w:eastAsia="Cambria" w:hAnsi="Cambria" w:cs="Cambria"/>
          <w:color w:val="000000"/>
          <w:highlight w:val="white"/>
        </w:rPr>
        <w:t>Itovebi</w:t>
      </w:r>
      <w:r>
        <w:rPr>
          <w:rFonts w:ascii="Cambria" w:eastAsia="Cambria" w:hAnsi="Cambria" w:cs="Cambria"/>
          <w:color w:val="000000"/>
        </w:rPr>
        <w:t xml:space="preserve"> in combination with palbociclib and fulvestrant was evaluated in a Phase </w:t>
      </w:r>
      <w:r w:rsidR="00F21FAE">
        <w:rPr>
          <w:rFonts w:ascii="Cambria" w:eastAsia="Cambria" w:hAnsi="Cambria" w:cs="Cambria"/>
          <w:color w:val="000000"/>
        </w:rPr>
        <w:t>3</w:t>
      </w:r>
      <w:r>
        <w:rPr>
          <w:rFonts w:ascii="Cambria" w:eastAsia="Cambria" w:hAnsi="Cambria" w:cs="Cambria"/>
          <w:color w:val="000000"/>
        </w:rPr>
        <w:t xml:space="preserve">, randomised, double-blind, placebo-controlled study in adult patients with </w:t>
      </w:r>
      <w:r>
        <w:rPr>
          <w:rFonts w:ascii="Cambria" w:eastAsia="Cambria" w:hAnsi="Cambria" w:cs="Cambria"/>
          <w:i/>
          <w:color w:val="000000"/>
        </w:rPr>
        <w:t>PIK3CA</w:t>
      </w:r>
      <w:r>
        <w:rPr>
          <w:rFonts w:ascii="Cambria" w:eastAsia="Cambria" w:hAnsi="Cambria" w:cs="Cambria"/>
          <w:color w:val="000000"/>
        </w:rPr>
        <w:t>-mutated, HR-positive, HER2-negative, locally advanced or metastatic breast cancer whose disease progressed during or within 12 months of completing adjuvant endocrine therapy and who have not received prior systemic therapy for locally advanced or metastatic disease. The study excluded patients with Type 1 diabetes mellitus or Type 2 diabetes mellitus requiring ongoing systemic therapy at the start of study treatment.</w:t>
      </w:r>
    </w:p>
    <w:p w14:paraId="619D2EE4" w14:textId="77777777" w:rsidR="005972A9" w:rsidRDefault="004A79CA">
      <w:pPr>
        <w:pBdr>
          <w:top w:val="nil"/>
          <w:left w:val="nil"/>
          <w:bottom w:val="nil"/>
          <w:right w:val="nil"/>
          <w:between w:val="nil"/>
        </w:pBdr>
        <w:spacing w:after="250"/>
        <w:rPr>
          <w:rFonts w:ascii="Cambria" w:eastAsia="Cambria" w:hAnsi="Cambria" w:cs="Cambria"/>
          <w:color w:val="000000"/>
        </w:rPr>
      </w:pPr>
      <w:r>
        <w:rPr>
          <w:rFonts w:ascii="Cambria" w:eastAsia="Cambria" w:hAnsi="Cambria" w:cs="Cambria"/>
          <w:i/>
          <w:color w:val="000000"/>
        </w:rPr>
        <w:t>PIK3CA</w:t>
      </w:r>
      <w:r>
        <w:rPr>
          <w:rFonts w:ascii="Cambria" w:eastAsia="Cambria" w:hAnsi="Cambria" w:cs="Cambria"/>
          <w:color w:val="000000"/>
        </w:rPr>
        <w:t xml:space="preserve"> mutation status was prospectively determined through </w:t>
      </w:r>
      <w:proofErr w:type="gramStart"/>
      <w:r>
        <w:rPr>
          <w:rFonts w:ascii="Cambria" w:eastAsia="Cambria" w:hAnsi="Cambria" w:cs="Cambria"/>
          <w:color w:val="000000"/>
        </w:rPr>
        <w:t>testing of</w:t>
      </w:r>
      <w:proofErr w:type="gramEnd"/>
      <w:r>
        <w:rPr>
          <w:rFonts w:ascii="Cambria" w:eastAsia="Cambria" w:hAnsi="Cambria" w:cs="Cambria"/>
          <w:color w:val="000000"/>
        </w:rPr>
        <w:t xml:space="preserve"> plasma-derived circulating tumour DNA (ctDNA) using a next-generation sequencing (NGS) assay at a central laboratory, or in local laboratories using various validated polymerase chain reaction (PCR) or NGS assays on tumour tissue or plasma.</w:t>
      </w:r>
    </w:p>
    <w:p w14:paraId="661CC574" w14:textId="2BCCD279" w:rsidR="005972A9" w:rsidRDefault="004A79CA">
      <w:pPr>
        <w:pBdr>
          <w:top w:val="nil"/>
          <w:left w:val="nil"/>
          <w:bottom w:val="nil"/>
          <w:right w:val="nil"/>
          <w:between w:val="nil"/>
        </w:pBdr>
        <w:spacing w:after="250"/>
        <w:rPr>
          <w:rFonts w:ascii="Cambria" w:eastAsia="Cambria" w:hAnsi="Cambria" w:cs="Cambria"/>
          <w:color w:val="7030A0"/>
        </w:rPr>
      </w:pPr>
      <w:r>
        <w:rPr>
          <w:rFonts w:ascii="Cambria" w:eastAsia="Cambria" w:hAnsi="Cambria" w:cs="Cambria"/>
          <w:color w:val="000000"/>
        </w:rPr>
        <w:t xml:space="preserve">A total of 325 patients were randomised 1:1 to receive either </w:t>
      </w:r>
      <w:r w:rsidR="00DE29EE">
        <w:rPr>
          <w:rFonts w:ascii="Cambria" w:eastAsia="Cambria" w:hAnsi="Cambria" w:cs="Cambria"/>
          <w:color w:val="000000"/>
          <w:highlight w:val="white"/>
        </w:rPr>
        <w:t>Itovebi</w:t>
      </w:r>
      <w:r>
        <w:rPr>
          <w:rFonts w:ascii="Cambria" w:eastAsia="Cambria" w:hAnsi="Cambria" w:cs="Cambria"/>
          <w:color w:val="000000"/>
        </w:rPr>
        <w:t xml:space="preserve"> 9 mg (n=161) or placebo (n=164) orally once daily, in combination with palbociclib and fulvestrant, until disease progression or unacceptable toxicity. In addition, pre/perimenopausal women and men received an LHRH agonist throughout therapy. Randomization was stratified by presence of visceral disease (yes or no), endocrine resistance (primary or secondary), and geographic region (North America/Western Europe, Asia, other).</w:t>
      </w:r>
    </w:p>
    <w:p w14:paraId="78CFF12B" w14:textId="46F09535" w:rsidR="005972A9" w:rsidRDefault="004A79CA">
      <w:pPr>
        <w:pBdr>
          <w:top w:val="nil"/>
          <w:left w:val="nil"/>
          <w:bottom w:val="nil"/>
          <w:right w:val="nil"/>
          <w:between w:val="nil"/>
        </w:pBdr>
        <w:spacing w:after="250"/>
        <w:rPr>
          <w:rFonts w:ascii="Cambria" w:eastAsia="Cambria" w:hAnsi="Cambria" w:cs="Cambria"/>
          <w:color w:val="000000"/>
        </w:rPr>
      </w:pPr>
      <w:bookmarkStart w:id="27" w:name="_heading=h.3as4poj" w:colFirst="0" w:colLast="0"/>
      <w:bookmarkEnd w:id="27"/>
      <w:r>
        <w:rPr>
          <w:rFonts w:ascii="Cambria" w:eastAsia="Cambria" w:hAnsi="Cambria" w:cs="Cambria"/>
          <w:color w:val="000000"/>
        </w:rPr>
        <w:t xml:space="preserve">The baseline demographic and disease characteristics </w:t>
      </w:r>
      <w:proofErr w:type="gramStart"/>
      <w:r>
        <w:rPr>
          <w:rFonts w:ascii="Cambria" w:eastAsia="Cambria" w:hAnsi="Cambria" w:cs="Cambria"/>
          <w:color w:val="000000"/>
        </w:rPr>
        <w:t>were:</w:t>
      </w:r>
      <w:proofErr w:type="gramEnd"/>
      <w:r>
        <w:rPr>
          <w:rFonts w:ascii="Cambria" w:eastAsia="Cambria" w:hAnsi="Cambria" w:cs="Cambria"/>
          <w:color w:val="000000"/>
        </w:rPr>
        <w:t xml:space="preserve"> median age 54 years (range: 27 to 79 years); 98.2% female</w:t>
      </w:r>
      <w:r w:rsidR="00F21FAE">
        <w:rPr>
          <w:rFonts w:ascii="Cambria" w:eastAsia="Cambria" w:hAnsi="Cambria" w:cs="Cambria"/>
          <w:color w:val="000000"/>
        </w:rPr>
        <w:t>;</w:t>
      </w:r>
      <w:r>
        <w:rPr>
          <w:rFonts w:ascii="Cambria" w:eastAsia="Cambria" w:hAnsi="Cambria" w:cs="Cambria"/>
          <w:color w:val="000000"/>
        </w:rPr>
        <w:t xml:space="preserve"> 38.2% were pre/perimenopausal; 58.8% White, 38.2% Asian, 2.5% unknown, 0.6% Black or African American; 6.2% Hispanic or Latino; and Eastern Cooperative Oncology Group (ECOG) performance status of 0 (63.4%) or 1 (36.3%). Tamoxifen (56.9%) and aromatase inhibitors (50.2%) were the most commonly used adjuvant endocrine therapies. The demographics and baseline disease characteristics were balanced and comparable between study arms.</w:t>
      </w:r>
    </w:p>
    <w:p w14:paraId="5C63EC64" w14:textId="77777777" w:rsidR="005972A9" w:rsidRDefault="004A79CA">
      <w:pPr>
        <w:pBdr>
          <w:top w:val="nil"/>
          <w:left w:val="nil"/>
          <w:bottom w:val="nil"/>
          <w:right w:val="nil"/>
          <w:between w:val="nil"/>
        </w:pBdr>
        <w:spacing w:after="250"/>
        <w:rPr>
          <w:rFonts w:ascii="Cambria" w:eastAsia="Cambria" w:hAnsi="Cambria" w:cs="Cambria"/>
          <w:color w:val="000000"/>
        </w:rPr>
      </w:pPr>
      <w:r>
        <w:rPr>
          <w:rFonts w:ascii="Cambria" w:eastAsia="Cambria" w:hAnsi="Cambria" w:cs="Cambria"/>
          <w:color w:val="000000"/>
        </w:rPr>
        <w:t>The primary efficacy outcome measure was investigator (INV)-assessed progression-free survival (PFS) per Response Evaluation Criteria in Solid Tumours (RECIST) version 1.1. The secondary efficacy outcome measures included overall survival (OS), objective response rate (ORR), best overall response (BOR), clinical benefit rate (CBR), duration of response (DOR), and time to confirmed deterioration (TTCD) in pain, physical function, role function, and global health status/health-related quality of life (HRQoL).</w:t>
      </w:r>
    </w:p>
    <w:p w14:paraId="00709638" w14:textId="58D0DB89" w:rsidR="005972A9" w:rsidRDefault="004A79CA">
      <w:pPr>
        <w:pBdr>
          <w:top w:val="nil"/>
          <w:left w:val="nil"/>
          <w:bottom w:val="nil"/>
          <w:right w:val="nil"/>
          <w:between w:val="nil"/>
        </w:pBdr>
        <w:spacing w:after="250"/>
        <w:rPr>
          <w:rFonts w:ascii="Cambria" w:eastAsia="Cambria" w:hAnsi="Cambria" w:cs="Cambria"/>
          <w:color w:val="00B050"/>
        </w:rPr>
      </w:pPr>
      <w:r>
        <w:rPr>
          <w:rFonts w:ascii="Cambria" w:eastAsia="Cambria" w:hAnsi="Cambria" w:cs="Cambria"/>
          <w:color w:val="000000"/>
        </w:rPr>
        <w:t>Efficacy results are summarized in</w:t>
      </w:r>
      <w:r>
        <w:rPr>
          <w:rFonts w:ascii="Cambria" w:eastAsia="Cambria" w:hAnsi="Cambria" w:cs="Cambria"/>
          <w:color w:val="0000FF"/>
        </w:rPr>
        <w:t xml:space="preserve"> </w:t>
      </w:r>
      <w:r>
        <w:rPr>
          <w:rFonts w:ascii="Cambria" w:eastAsia="Cambria" w:hAnsi="Cambria" w:cs="Cambria"/>
          <w:color w:val="000000"/>
        </w:rPr>
        <w:t xml:space="preserve">Table </w:t>
      </w:r>
      <w:r w:rsidR="009B043D">
        <w:rPr>
          <w:rFonts w:ascii="Cambria" w:eastAsia="Cambria" w:hAnsi="Cambria" w:cs="Cambria"/>
          <w:color w:val="000000"/>
        </w:rPr>
        <w:t>7</w:t>
      </w:r>
      <w:r w:rsidR="00853EC4">
        <w:rPr>
          <w:rFonts w:ascii="Cambria" w:eastAsia="Cambria" w:hAnsi="Cambria" w:cs="Cambria"/>
          <w:color w:val="000000"/>
        </w:rPr>
        <w:t xml:space="preserve"> and</w:t>
      </w:r>
      <w:r>
        <w:rPr>
          <w:rFonts w:ascii="Cambria" w:eastAsia="Cambria" w:hAnsi="Cambria" w:cs="Cambria"/>
          <w:color w:val="000000"/>
        </w:rPr>
        <w:t xml:space="preserve"> Figure 1. INV-assessed PFS results were supported by consistent results from </w:t>
      </w:r>
      <w:proofErr w:type="gramStart"/>
      <w:r>
        <w:rPr>
          <w:rFonts w:ascii="Cambria" w:eastAsia="Cambria" w:hAnsi="Cambria" w:cs="Cambria"/>
          <w:color w:val="000000"/>
        </w:rPr>
        <w:t>blinded</w:t>
      </w:r>
      <w:proofErr w:type="gramEnd"/>
      <w:r>
        <w:rPr>
          <w:rFonts w:ascii="Cambria" w:eastAsia="Cambria" w:hAnsi="Cambria" w:cs="Cambria"/>
          <w:color w:val="000000"/>
        </w:rPr>
        <w:t xml:space="preserve"> independent central review (BICR) assessment. </w:t>
      </w:r>
      <w:r w:rsidR="00853EC4" w:rsidRPr="00853EC4">
        <w:rPr>
          <w:rFonts w:ascii="Cambria" w:eastAsia="Cambria" w:hAnsi="Cambria" w:cs="Cambria"/>
          <w:color w:val="000000"/>
        </w:rPr>
        <w:t xml:space="preserve">At the time of the PFS analysis, OS data </w:t>
      </w:r>
      <w:proofErr w:type="gramStart"/>
      <w:r w:rsidR="00853EC4" w:rsidRPr="00853EC4">
        <w:rPr>
          <w:rFonts w:ascii="Cambria" w:eastAsia="Cambria" w:hAnsi="Cambria" w:cs="Cambria"/>
          <w:color w:val="000000"/>
        </w:rPr>
        <w:t>were</w:t>
      </w:r>
      <w:proofErr w:type="gramEnd"/>
      <w:r w:rsidR="00853EC4" w:rsidRPr="00853EC4">
        <w:rPr>
          <w:rFonts w:ascii="Cambria" w:eastAsia="Cambria" w:hAnsi="Cambria" w:cs="Cambria"/>
          <w:color w:val="000000"/>
        </w:rPr>
        <w:t xml:space="preserve"> not mature with 30% deaths in the overall population.</w:t>
      </w:r>
    </w:p>
    <w:p w14:paraId="7A3F864E" w14:textId="5F82F614" w:rsidR="005972A9" w:rsidRDefault="004A79CA">
      <w:pPr>
        <w:pBdr>
          <w:top w:val="nil"/>
          <w:left w:val="nil"/>
          <w:bottom w:val="nil"/>
          <w:right w:val="nil"/>
          <w:between w:val="nil"/>
        </w:pBdr>
        <w:spacing w:line="240" w:lineRule="auto"/>
        <w:rPr>
          <w:rFonts w:ascii="Cambria" w:eastAsia="Cambria" w:hAnsi="Cambria" w:cs="Cambria"/>
          <w:b/>
          <w:color w:val="000000"/>
        </w:rPr>
      </w:pPr>
      <w:r>
        <w:rPr>
          <w:rFonts w:ascii="Cambria" w:eastAsia="Cambria" w:hAnsi="Cambria" w:cs="Cambria"/>
          <w:b/>
          <w:color w:val="000000"/>
        </w:rPr>
        <w:lastRenderedPageBreak/>
        <w:t xml:space="preserve">Table </w:t>
      </w:r>
      <w:r w:rsidR="009B043D">
        <w:rPr>
          <w:rFonts w:ascii="Cambria" w:eastAsia="Cambria" w:hAnsi="Cambria" w:cs="Cambria"/>
          <w:b/>
          <w:color w:val="000000"/>
        </w:rPr>
        <w:t>7</w:t>
      </w:r>
      <w:r>
        <w:rPr>
          <w:rFonts w:ascii="Cambria" w:eastAsia="Cambria" w:hAnsi="Cambria" w:cs="Cambria"/>
          <w:b/>
          <w:color w:val="000000"/>
        </w:rPr>
        <w:tab/>
        <w:t>Efficacy Results in Patients with Locally Advanced or Metastatic Breast Cancer in INAVO120</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2606"/>
        <w:gridCol w:w="2429"/>
      </w:tblGrid>
      <w:tr w:rsidR="005972A9" w14:paraId="630B0A11" w14:textId="77777777" w:rsidTr="002808A3">
        <w:trPr>
          <w:tblHeader/>
        </w:trPr>
        <w:tc>
          <w:tcPr>
            <w:tcW w:w="3595" w:type="dxa"/>
            <w:shd w:val="clear" w:color="auto" w:fill="auto"/>
            <w:vAlign w:val="center"/>
          </w:tcPr>
          <w:p w14:paraId="721065BB"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b/>
                <w:color w:val="000000"/>
                <w:sz w:val="20"/>
                <w:szCs w:val="20"/>
              </w:rPr>
            </w:pPr>
            <w:r w:rsidRPr="00FD7B6F">
              <w:rPr>
                <w:rFonts w:ascii="Cambria" w:eastAsia="Cambria" w:hAnsi="Cambria" w:cs="Cambria"/>
                <w:b/>
                <w:color w:val="000000"/>
                <w:sz w:val="20"/>
                <w:szCs w:val="20"/>
              </w:rPr>
              <w:t>Efficacy Endpoint</w:t>
            </w:r>
          </w:p>
        </w:tc>
        <w:tc>
          <w:tcPr>
            <w:tcW w:w="2606" w:type="dxa"/>
            <w:shd w:val="clear" w:color="auto" w:fill="auto"/>
            <w:vAlign w:val="center"/>
          </w:tcPr>
          <w:p w14:paraId="7A1BA500" w14:textId="77777777" w:rsidR="005972A9" w:rsidRPr="00FD7B6F" w:rsidRDefault="00DE29EE" w:rsidP="00FD7B6F">
            <w:pPr>
              <w:pBdr>
                <w:top w:val="nil"/>
                <w:left w:val="nil"/>
                <w:bottom w:val="nil"/>
                <w:right w:val="nil"/>
                <w:between w:val="nil"/>
              </w:pBdr>
              <w:spacing w:before="50" w:after="5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Itovebi</w:t>
            </w:r>
            <w:r w:rsidR="004A79CA" w:rsidRPr="00FD7B6F">
              <w:rPr>
                <w:rFonts w:ascii="Cambria" w:eastAsia="Cambria" w:hAnsi="Cambria" w:cs="Cambria"/>
                <w:b/>
                <w:color w:val="000000"/>
                <w:sz w:val="20"/>
                <w:szCs w:val="20"/>
              </w:rPr>
              <w:t xml:space="preserve"> + Palbociclib + Fulvestrant</w:t>
            </w:r>
          </w:p>
          <w:p w14:paraId="1195EAC3"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b/>
                <w:color w:val="000000"/>
                <w:sz w:val="20"/>
                <w:szCs w:val="20"/>
              </w:rPr>
              <w:t>N=161</w:t>
            </w:r>
          </w:p>
        </w:tc>
        <w:tc>
          <w:tcPr>
            <w:tcW w:w="2429" w:type="dxa"/>
            <w:shd w:val="clear" w:color="auto" w:fill="auto"/>
            <w:vAlign w:val="center"/>
          </w:tcPr>
          <w:p w14:paraId="3F5BF4C3"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b/>
                <w:color w:val="000000"/>
                <w:sz w:val="20"/>
                <w:szCs w:val="20"/>
              </w:rPr>
            </w:pPr>
            <w:r w:rsidRPr="00FD7B6F">
              <w:rPr>
                <w:rFonts w:ascii="Cambria" w:eastAsia="Cambria" w:hAnsi="Cambria" w:cs="Cambria"/>
                <w:b/>
                <w:color w:val="000000"/>
                <w:sz w:val="20"/>
                <w:szCs w:val="20"/>
              </w:rPr>
              <w:t>Placebo + Palbociclib + Fulvestrant</w:t>
            </w:r>
          </w:p>
          <w:p w14:paraId="45C99FFA"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b/>
                <w:color w:val="000000"/>
                <w:sz w:val="20"/>
                <w:szCs w:val="20"/>
              </w:rPr>
            </w:pPr>
            <w:r w:rsidRPr="00FD7B6F">
              <w:rPr>
                <w:rFonts w:ascii="Cambria" w:eastAsia="Cambria" w:hAnsi="Cambria" w:cs="Cambria"/>
                <w:b/>
                <w:color w:val="000000"/>
                <w:sz w:val="20"/>
                <w:szCs w:val="20"/>
              </w:rPr>
              <w:t>N=164</w:t>
            </w:r>
          </w:p>
        </w:tc>
      </w:tr>
      <w:tr w:rsidR="005972A9" w14:paraId="1BECCF90" w14:textId="77777777" w:rsidTr="00FD7B6F">
        <w:tc>
          <w:tcPr>
            <w:tcW w:w="8630" w:type="dxa"/>
            <w:gridSpan w:val="3"/>
            <w:tcBorders>
              <w:bottom w:val="single" w:sz="4" w:space="0" w:color="000000"/>
            </w:tcBorders>
            <w:shd w:val="clear" w:color="auto" w:fill="auto"/>
          </w:tcPr>
          <w:p w14:paraId="398E1C9F"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b/>
                <w:i/>
                <w:color w:val="000000"/>
                <w:sz w:val="20"/>
                <w:szCs w:val="20"/>
              </w:rPr>
            </w:pPr>
            <w:r w:rsidRPr="00FD7B6F">
              <w:rPr>
                <w:rFonts w:ascii="Cambria" w:eastAsia="Cambria" w:hAnsi="Cambria" w:cs="Cambria"/>
                <w:b/>
                <w:i/>
                <w:color w:val="000000"/>
                <w:sz w:val="20"/>
                <w:szCs w:val="20"/>
              </w:rPr>
              <w:t>Primary Endpoint</w:t>
            </w:r>
          </w:p>
        </w:tc>
      </w:tr>
      <w:tr w:rsidR="005972A9" w14:paraId="427CAB70" w14:textId="77777777" w:rsidTr="00FD7B6F">
        <w:tc>
          <w:tcPr>
            <w:tcW w:w="8630" w:type="dxa"/>
            <w:gridSpan w:val="3"/>
            <w:tcBorders>
              <w:bottom w:val="nil"/>
            </w:tcBorders>
            <w:shd w:val="clear" w:color="auto" w:fill="auto"/>
          </w:tcPr>
          <w:p w14:paraId="66E38BF2"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b/>
                <w:color w:val="000000"/>
                <w:sz w:val="20"/>
                <w:szCs w:val="20"/>
              </w:rPr>
              <w:t>INV-Assessed Progression-Free Survival</w:t>
            </w:r>
            <w:r w:rsidRPr="00FD7B6F">
              <w:rPr>
                <w:rFonts w:ascii="Cambria" w:eastAsia="Cambria" w:hAnsi="Cambria" w:cs="Cambria"/>
                <w:b/>
                <w:color w:val="000000"/>
                <w:sz w:val="20"/>
                <w:szCs w:val="20"/>
                <w:vertAlign w:val="superscript"/>
              </w:rPr>
              <w:t>a</w:t>
            </w:r>
          </w:p>
        </w:tc>
      </w:tr>
      <w:tr w:rsidR="005972A9" w14:paraId="2EE6D397" w14:textId="77777777" w:rsidTr="00FD7B6F">
        <w:tc>
          <w:tcPr>
            <w:tcW w:w="3595" w:type="dxa"/>
            <w:tcBorders>
              <w:top w:val="nil"/>
              <w:bottom w:val="nil"/>
              <w:right w:val="nil"/>
            </w:tcBorders>
            <w:shd w:val="clear" w:color="auto" w:fill="auto"/>
          </w:tcPr>
          <w:p w14:paraId="43C9D070" w14:textId="77777777" w:rsidR="005972A9" w:rsidRPr="00FD7B6F" w:rsidRDefault="004A79CA" w:rsidP="00FD7B6F">
            <w:pPr>
              <w:pBdr>
                <w:top w:val="nil"/>
                <w:left w:val="nil"/>
                <w:bottom w:val="nil"/>
                <w:right w:val="nil"/>
                <w:between w:val="nil"/>
              </w:pBdr>
              <w:spacing w:before="50" w:after="50" w:line="240" w:lineRule="auto"/>
              <w:ind w:left="161"/>
              <w:rPr>
                <w:rFonts w:ascii="Cambria" w:eastAsia="Cambria" w:hAnsi="Cambria" w:cs="Cambria"/>
                <w:color w:val="000000"/>
                <w:sz w:val="20"/>
                <w:szCs w:val="20"/>
              </w:rPr>
            </w:pPr>
            <w:r w:rsidRPr="00FD7B6F">
              <w:rPr>
                <w:rFonts w:ascii="Cambria" w:eastAsia="Cambria" w:hAnsi="Cambria" w:cs="Cambria"/>
                <w:color w:val="000000"/>
                <w:sz w:val="20"/>
                <w:szCs w:val="20"/>
              </w:rPr>
              <w:t>Patients with event, n (%)</w:t>
            </w:r>
          </w:p>
        </w:tc>
        <w:tc>
          <w:tcPr>
            <w:tcW w:w="2606" w:type="dxa"/>
            <w:tcBorders>
              <w:top w:val="nil"/>
              <w:left w:val="nil"/>
              <w:bottom w:val="nil"/>
              <w:right w:val="nil"/>
            </w:tcBorders>
            <w:shd w:val="clear" w:color="auto" w:fill="auto"/>
            <w:vAlign w:val="center"/>
          </w:tcPr>
          <w:p w14:paraId="304E2FFB"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82 (50.9)</w:t>
            </w:r>
          </w:p>
        </w:tc>
        <w:tc>
          <w:tcPr>
            <w:tcW w:w="2429" w:type="dxa"/>
            <w:tcBorders>
              <w:top w:val="nil"/>
              <w:left w:val="nil"/>
              <w:bottom w:val="nil"/>
            </w:tcBorders>
            <w:shd w:val="clear" w:color="auto" w:fill="auto"/>
            <w:vAlign w:val="center"/>
          </w:tcPr>
          <w:p w14:paraId="42937B1D"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113 (68.9)</w:t>
            </w:r>
          </w:p>
        </w:tc>
      </w:tr>
      <w:tr w:rsidR="005972A9" w14:paraId="67E5222D" w14:textId="77777777" w:rsidTr="00FD7B6F">
        <w:tc>
          <w:tcPr>
            <w:tcW w:w="3595" w:type="dxa"/>
            <w:tcBorders>
              <w:top w:val="nil"/>
              <w:bottom w:val="nil"/>
              <w:right w:val="nil"/>
            </w:tcBorders>
            <w:shd w:val="clear" w:color="auto" w:fill="auto"/>
          </w:tcPr>
          <w:p w14:paraId="68500957" w14:textId="77777777" w:rsidR="005972A9" w:rsidRPr="00FD7B6F" w:rsidRDefault="004A79CA" w:rsidP="00FD7B6F">
            <w:pPr>
              <w:pBdr>
                <w:top w:val="nil"/>
                <w:left w:val="nil"/>
                <w:bottom w:val="nil"/>
                <w:right w:val="nil"/>
                <w:between w:val="nil"/>
              </w:pBdr>
              <w:spacing w:before="50" w:after="50" w:line="240" w:lineRule="auto"/>
              <w:ind w:left="161"/>
              <w:rPr>
                <w:rFonts w:ascii="Cambria" w:eastAsia="Cambria" w:hAnsi="Cambria" w:cs="Cambria"/>
                <w:color w:val="000000"/>
                <w:sz w:val="20"/>
                <w:szCs w:val="20"/>
              </w:rPr>
            </w:pPr>
            <w:r w:rsidRPr="00FD7B6F">
              <w:rPr>
                <w:rFonts w:ascii="Cambria" w:eastAsia="Cambria" w:hAnsi="Cambria" w:cs="Cambria"/>
                <w:color w:val="000000"/>
                <w:sz w:val="20"/>
                <w:szCs w:val="20"/>
              </w:rPr>
              <w:t>Median, months (95% CI)</w:t>
            </w:r>
          </w:p>
        </w:tc>
        <w:tc>
          <w:tcPr>
            <w:tcW w:w="2606" w:type="dxa"/>
            <w:tcBorders>
              <w:top w:val="nil"/>
              <w:left w:val="nil"/>
              <w:bottom w:val="nil"/>
              <w:right w:val="nil"/>
            </w:tcBorders>
            <w:shd w:val="clear" w:color="auto" w:fill="auto"/>
            <w:vAlign w:val="center"/>
          </w:tcPr>
          <w:p w14:paraId="6183455D"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15 (11.3, 20.5)</w:t>
            </w:r>
          </w:p>
        </w:tc>
        <w:tc>
          <w:tcPr>
            <w:tcW w:w="2429" w:type="dxa"/>
            <w:tcBorders>
              <w:top w:val="nil"/>
              <w:left w:val="nil"/>
              <w:bottom w:val="nil"/>
            </w:tcBorders>
            <w:shd w:val="clear" w:color="auto" w:fill="auto"/>
            <w:vAlign w:val="center"/>
          </w:tcPr>
          <w:p w14:paraId="0408FD2C"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7.3 (5.6, 9.3)</w:t>
            </w:r>
          </w:p>
        </w:tc>
      </w:tr>
      <w:tr w:rsidR="005972A9" w14:paraId="0F29006F" w14:textId="77777777" w:rsidTr="00FD7B6F">
        <w:tc>
          <w:tcPr>
            <w:tcW w:w="3595" w:type="dxa"/>
            <w:tcBorders>
              <w:top w:val="nil"/>
              <w:bottom w:val="nil"/>
              <w:right w:val="nil"/>
            </w:tcBorders>
            <w:shd w:val="clear" w:color="auto" w:fill="auto"/>
          </w:tcPr>
          <w:p w14:paraId="5C5D0418" w14:textId="77777777" w:rsidR="005972A9" w:rsidRPr="00FD7B6F" w:rsidRDefault="004A79CA" w:rsidP="00FD7B6F">
            <w:pPr>
              <w:pBdr>
                <w:top w:val="nil"/>
                <w:left w:val="nil"/>
                <w:bottom w:val="nil"/>
                <w:right w:val="nil"/>
                <w:between w:val="nil"/>
              </w:pBdr>
              <w:spacing w:before="50" w:after="50" w:line="240" w:lineRule="auto"/>
              <w:ind w:left="161"/>
              <w:rPr>
                <w:rFonts w:ascii="Cambria" w:eastAsia="Cambria" w:hAnsi="Cambria" w:cs="Cambria"/>
                <w:color w:val="000000"/>
                <w:sz w:val="20"/>
                <w:szCs w:val="20"/>
              </w:rPr>
            </w:pPr>
            <w:r w:rsidRPr="00FD7B6F">
              <w:rPr>
                <w:rFonts w:ascii="Cambria" w:eastAsia="Cambria" w:hAnsi="Cambria" w:cs="Cambria"/>
                <w:color w:val="000000"/>
                <w:sz w:val="20"/>
                <w:szCs w:val="20"/>
              </w:rPr>
              <w:t>Hazard ratio (95% CI)</w:t>
            </w:r>
          </w:p>
        </w:tc>
        <w:tc>
          <w:tcPr>
            <w:tcW w:w="5035" w:type="dxa"/>
            <w:gridSpan w:val="2"/>
            <w:tcBorders>
              <w:top w:val="nil"/>
              <w:left w:val="nil"/>
              <w:bottom w:val="nil"/>
            </w:tcBorders>
            <w:shd w:val="clear" w:color="auto" w:fill="auto"/>
            <w:vAlign w:val="center"/>
          </w:tcPr>
          <w:p w14:paraId="7772EE33"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0.43 (0.32, 0.59)</w:t>
            </w:r>
          </w:p>
        </w:tc>
      </w:tr>
      <w:tr w:rsidR="005972A9" w14:paraId="055BE216" w14:textId="77777777" w:rsidTr="00FD7B6F">
        <w:tc>
          <w:tcPr>
            <w:tcW w:w="3595" w:type="dxa"/>
            <w:tcBorders>
              <w:top w:val="nil"/>
              <w:bottom w:val="nil"/>
              <w:right w:val="nil"/>
            </w:tcBorders>
            <w:shd w:val="clear" w:color="auto" w:fill="auto"/>
          </w:tcPr>
          <w:p w14:paraId="33025700" w14:textId="77777777" w:rsidR="005972A9" w:rsidRPr="00FD7B6F" w:rsidRDefault="004A79CA" w:rsidP="00FD7B6F">
            <w:pPr>
              <w:pBdr>
                <w:top w:val="nil"/>
                <w:left w:val="nil"/>
                <w:bottom w:val="nil"/>
                <w:right w:val="nil"/>
                <w:between w:val="nil"/>
              </w:pBdr>
              <w:spacing w:before="50" w:after="50" w:line="240" w:lineRule="auto"/>
              <w:ind w:left="161"/>
              <w:rPr>
                <w:rFonts w:ascii="Cambria" w:eastAsia="Cambria" w:hAnsi="Cambria" w:cs="Cambria"/>
                <w:color w:val="000000"/>
                <w:sz w:val="20"/>
                <w:szCs w:val="20"/>
              </w:rPr>
            </w:pPr>
            <w:r w:rsidRPr="00FD7B6F">
              <w:rPr>
                <w:rFonts w:ascii="Cambria" w:eastAsia="Cambria" w:hAnsi="Cambria" w:cs="Cambria"/>
                <w:color w:val="000000"/>
                <w:sz w:val="20"/>
                <w:szCs w:val="20"/>
              </w:rPr>
              <w:t>p-value</w:t>
            </w:r>
          </w:p>
        </w:tc>
        <w:tc>
          <w:tcPr>
            <w:tcW w:w="5035" w:type="dxa"/>
            <w:gridSpan w:val="2"/>
            <w:tcBorders>
              <w:top w:val="nil"/>
              <w:left w:val="nil"/>
              <w:bottom w:val="nil"/>
            </w:tcBorders>
            <w:shd w:val="clear" w:color="auto" w:fill="auto"/>
            <w:vAlign w:val="center"/>
          </w:tcPr>
          <w:p w14:paraId="7BD06912"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&lt; 0.0001</w:t>
            </w:r>
          </w:p>
        </w:tc>
      </w:tr>
      <w:tr w:rsidR="005972A9" w14:paraId="77F22BD5" w14:textId="77777777" w:rsidTr="00FD7B6F">
        <w:tc>
          <w:tcPr>
            <w:tcW w:w="8630" w:type="dxa"/>
            <w:gridSpan w:val="3"/>
            <w:tcBorders>
              <w:bottom w:val="single" w:sz="4" w:space="0" w:color="000000"/>
            </w:tcBorders>
            <w:shd w:val="clear" w:color="auto" w:fill="auto"/>
          </w:tcPr>
          <w:p w14:paraId="30FD13ED"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b/>
                <w:i/>
                <w:color w:val="000000"/>
                <w:sz w:val="20"/>
                <w:szCs w:val="20"/>
              </w:rPr>
              <w:t>Secondary Endpoints</w:t>
            </w:r>
          </w:p>
        </w:tc>
      </w:tr>
      <w:tr w:rsidR="005972A9" w14:paraId="30DD4C04" w14:textId="77777777" w:rsidTr="00FD7B6F">
        <w:tc>
          <w:tcPr>
            <w:tcW w:w="8630" w:type="dxa"/>
            <w:gridSpan w:val="3"/>
            <w:tcBorders>
              <w:bottom w:val="nil"/>
            </w:tcBorders>
            <w:shd w:val="clear" w:color="auto" w:fill="auto"/>
          </w:tcPr>
          <w:p w14:paraId="20888830"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b/>
                <w:color w:val="000000"/>
                <w:sz w:val="20"/>
                <w:szCs w:val="20"/>
              </w:rPr>
            </w:pPr>
            <w:r w:rsidRPr="00FD7B6F">
              <w:rPr>
                <w:rFonts w:ascii="Cambria" w:eastAsia="Cambria" w:hAnsi="Cambria" w:cs="Cambria"/>
                <w:b/>
                <w:color w:val="000000"/>
                <w:sz w:val="20"/>
                <w:szCs w:val="20"/>
              </w:rPr>
              <w:t>Overall Survival</w:t>
            </w:r>
            <w:r w:rsidRPr="00FD7B6F">
              <w:rPr>
                <w:rFonts w:ascii="Cambria" w:eastAsia="Cambria" w:hAnsi="Cambria" w:cs="Cambria"/>
                <w:b/>
                <w:color w:val="000000"/>
                <w:sz w:val="20"/>
                <w:szCs w:val="20"/>
                <w:vertAlign w:val="superscript"/>
              </w:rPr>
              <w:t>b</w:t>
            </w:r>
          </w:p>
        </w:tc>
      </w:tr>
      <w:tr w:rsidR="005972A9" w14:paraId="41A8274F" w14:textId="77777777" w:rsidTr="00FD7B6F">
        <w:tc>
          <w:tcPr>
            <w:tcW w:w="3595" w:type="dxa"/>
            <w:tcBorders>
              <w:top w:val="nil"/>
              <w:bottom w:val="nil"/>
              <w:right w:val="nil"/>
            </w:tcBorders>
            <w:shd w:val="clear" w:color="auto" w:fill="auto"/>
          </w:tcPr>
          <w:p w14:paraId="34BA003C" w14:textId="77777777" w:rsidR="005972A9" w:rsidRPr="00FD7B6F" w:rsidRDefault="004A79CA" w:rsidP="00FD7B6F">
            <w:pPr>
              <w:pBdr>
                <w:top w:val="nil"/>
                <w:left w:val="nil"/>
                <w:bottom w:val="nil"/>
                <w:right w:val="nil"/>
                <w:between w:val="nil"/>
              </w:pBdr>
              <w:spacing w:before="50" w:after="50" w:line="240" w:lineRule="auto"/>
              <w:ind w:left="161"/>
              <w:rPr>
                <w:rFonts w:ascii="Cambria" w:eastAsia="Cambria" w:hAnsi="Cambria" w:cs="Cambria"/>
                <w:color w:val="000000"/>
                <w:sz w:val="20"/>
                <w:szCs w:val="20"/>
              </w:rPr>
            </w:pPr>
            <w:r w:rsidRPr="00FD7B6F">
              <w:rPr>
                <w:rFonts w:ascii="Cambria" w:eastAsia="Cambria" w:hAnsi="Cambria" w:cs="Cambria"/>
                <w:color w:val="000000"/>
                <w:sz w:val="20"/>
                <w:szCs w:val="20"/>
              </w:rPr>
              <w:t>Patients with event, n (%)</w:t>
            </w:r>
          </w:p>
        </w:tc>
        <w:tc>
          <w:tcPr>
            <w:tcW w:w="2606" w:type="dxa"/>
            <w:tcBorders>
              <w:top w:val="nil"/>
              <w:left w:val="nil"/>
              <w:bottom w:val="nil"/>
              <w:right w:val="nil"/>
            </w:tcBorders>
            <w:shd w:val="clear" w:color="auto" w:fill="auto"/>
            <w:vAlign w:val="center"/>
          </w:tcPr>
          <w:p w14:paraId="5EA7BBE9"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b/>
                <w:color w:val="000000"/>
                <w:sz w:val="20"/>
                <w:szCs w:val="20"/>
              </w:rPr>
            </w:pPr>
            <w:r w:rsidRPr="00FD7B6F">
              <w:rPr>
                <w:rFonts w:ascii="Cambria" w:eastAsia="Cambria" w:hAnsi="Cambria" w:cs="Cambria"/>
                <w:color w:val="000000"/>
                <w:sz w:val="20"/>
                <w:szCs w:val="20"/>
              </w:rPr>
              <w:t>42 (26.1)</w:t>
            </w:r>
          </w:p>
        </w:tc>
        <w:tc>
          <w:tcPr>
            <w:tcW w:w="2429" w:type="dxa"/>
            <w:tcBorders>
              <w:top w:val="nil"/>
              <w:left w:val="nil"/>
              <w:bottom w:val="nil"/>
            </w:tcBorders>
            <w:shd w:val="clear" w:color="auto" w:fill="auto"/>
            <w:vAlign w:val="center"/>
          </w:tcPr>
          <w:p w14:paraId="63E0C9BC"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b/>
                <w:color w:val="000000"/>
                <w:sz w:val="20"/>
                <w:szCs w:val="20"/>
              </w:rPr>
            </w:pPr>
            <w:r w:rsidRPr="00FD7B6F">
              <w:rPr>
                <w:rFonts w:ascii="Cambria" w:eastAsia="Cambria" w:hAnsi="Cambria" w:cs="Cambria"/>
                <w:color w:val="000000"/>
                <w:sz w:val="20"/>
                <w:szCs w:val="20"/>
              </w:rPr>
              <w:t>55 (33.5)</w:t>
            </w:r>
          </w:p>
        </w:tc>
      </w:tr>
      <w:tr w:rsidR="005972A9" w14:paraId="511FADE2" w14:textId="77777777" w:rsidTr="00FD7B6F">
        <w:tc>
          <w:tcPr>
            <w:tcW w:w="3595" w:type="dxa"/>
            <w:tcBorders>
              <w:top w:val="nil"/>
              <w:bottom w:val="nil"/>
              <w:right w:val="nil"/>
            </w:tcBorders>
            <w:shd w:val="clear" w:color="auto" w:fill="auto"/>
          </w:tcPr>
          <w:p w14:paraId="6AF8DEC2" w14:textId="77777777" w:rsidR="005972A9" w:rsidRPr="00FD7B6F" w:rsidRDefault="004A79CA" w:rsidP="00FD7B6F">
            <w:pPr>
              <w:pBdr>
                <w:top w:val="nil"/>
                <w:left w:val="nil"/>
                <w:bottom w:val="nil"/>
                <w:right w:val="nil"/>
                <w:between w:val="nil"/>
              </w:pBdr>
              <w:spacing w:before="50" w:after="50" w:line="240" w:lineRule="auto"/>
              <w:ind w:left="161"/>
              <w:rPr>
                <w:rFonts w:ascii="Cambria" w:eastAsia="Cambria" w:hAnsi="Cambria" w:cs="Cambria"/>
                <w:color w:val="000000"/>
                <w:sz w:val="20"/>
                <w:szCs w:val="20"/>
              </w:rPr>
            </w:pPr>
            <w:r w:rsidRPr="00FD7B6F">
              <w:rPr>
                <w:rFonts w:ascii="Cambria" w:eastAsia="Cambria" w:hAnsi="Cambria" w:cs="Cambria"/>
                <w:color w:val="000000"/>
                <w:sz w:val="20"/>
                <w:szCs w:val="20"/>
              </w:rPr>
              <w:t>Median, months (95% CI)</w:t>
            </w:r>
          </w:p>
        </w:tc>
        <w:tc>
          <w:tcPr>
            <w:tcW w:w="2606" w:type="dxa"/>
            <w:tcBorders>
              <w:top w:val="nil"/>
              <w:left w:val="nil"/>
              <w:bottom w:val="nil"/>
              <w:right w:val="nil"/>
            </w:tcBorders>
            <w:shd w:val="clear" w:color="auto" w:fill="auto"/>
            <w:vAlign w:val="center"/>
          </w:tcPr>
          <w:p w14:paraId="6886A93E"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b/>
                <w:color w:val="000000"/>
                <w:sz w:val="20"/>
                <w:szCs w:val="20"/>
              </w:rPr>
            </w:pPr>
            <w:r w:rsidRPr="00FD7B6F">
              <w:rPr>
                <w:rFonts w:ascii="Cambria" w:eastAsia="Cambria" w:hAnsi="Cambria" w:cs="Cambria"/>
                <w:color w:val="000000"/>
                <w:sz w:val="20"/>
                <w:szCs w:val="20"/>
              </w:rPr>
              <w:t>NE (27.3, NE)</w:t>
            </w:r>
          </w:p>
        </w:tc>
        <w:tc>
          <w:tcPr>
            <w:tcW w:w="2429" w:type="dxa"/>
            <w:tcBorders>
              <w:top w:val="nil"/>
              <w:left w:val="nil"/>
              <w:bottom w:val="nil"/>
            </w:tcBorders>
            <w:shd w:val="clear" w:color="auto" w:fill="auto"/>
            <w:vAlign w:val="center"/>
          </w:tcPr>
          <w:p w14:paraId="1117979A"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b/>
                <w:color w:val="000000"/>
                <w:sz w:val="20"/>
                <w:szCs w:val="20"/>
              </w:rPr>
            </w:pPr>
            <w:r w:rsidRPr="00FD7B6F">
              <w:rPr>
                <w:rFonts w:ascii="Cambria" w:eastAsia="Cambria" w:hAnsi="Cambria" w:cs="Cambria"/>
                <w:color w:val="000000"/>
                <w:sz w:val="20"/>
                <w:szCs w:val="20"/>
              </w:rPr>
              <w:t>31.1 (22.3, NE)</w:t>
            </w:r>
          </w:p>
        </w:tc>
      </w:tr>
      <w:tr w:rsidR="005972A9" w14:paraId="0A4FB6BD" w14:textId="77777777" w:rsidTr="00FD7B6F">
        <w:tc>
          <w:tcPr>
            <w:tcW w:w="3595" w:type="dxa"/>
            <w:tcBorders>
              <w:top w:val="nil"/>
              <w:bottom w:val="nil"/>
              <w:right w:val="nil"/>
            </w:tcBorders>
            <w:shd w:val="clear" w:color="auto" w:fill="auto"/>
          </w:tcPr>
          <w:p w14:paraId="475EA71F" w14:textId="77777777" w:rsidR="005972A9" w:rsidRPr="00FD7B6F" w:rsidRDefault="004A79CA" w:rsidP="00FD7B6F">
            <w:pPr>
              <w:pBdr>
                <w:top w:val="nil"/>
                <w:left w:val="nil"/>
                <w:bottom w:val="nil"/>
                <w:right w:val="nil"/>
                <w:between w:val="nil"/>
              </w:pBdr>
              <w:spacing w:before="50" w:after="50" w:line="240" w:lineRule="auto"/>
              <w:ind w:left="161"/>
              <w:rPr>
                <w:rFonts w:ascii="Cambria" w:eastAsia="Cambria" w:hAnsi="Cambria" w:cs="Cambria"/>
                <w:color w:val="000000"/>
                <w:sz w:val="20"/>
                <w:szCs w:val="20"/>
              </w:rPr>
            </w:pPr>
            <w:r w:rsidRPr="00FD7B6F">
              <w:rPr>
                <w:rFonts w:ascii="Cambria" w:eastAsia="Cambria" w:hAnsi="Cambria" w:cs="Cambria"/>
                <w:color w:val="000000"/>
                <w:sz w:val="20"/>
                <w:szCs w:val="20"/>
              </w:rPr>
              <w:t>Hazard ratio (95% CI)</w:t>
            </w:r>
          </w:p>
        </w:tc>
        <w:tc>
          <w:tcPr>
            <w:tcW w:w="5035" w:type="dxa"/>
            <w:gridSpan w:val="2"/>
            <w:tcBorders>
              <w:top w:val="nil"/>
              <w:left w:val="nil"/>
              <w:bottom w:val="nil"/>
            </w:tcBorders>
            <w:shd w:val="clear" w:color="auto" w:fill="auto"/>
            <w:vAlign w:val="center"/>
          </w:tcPr>
          <w:p w14:paraId="153E18F2"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b/>
                <w:color w:val="000000"/>
                <w:sz w:val="20"/>
                <w:szCs w:val="20"/>
              </w:rPr>
            </w:pPr>
            <w:r w:rsidRPr="00FD7B6F">
              <w:rPr>
                <w:rFonts w:ascii="Cambria" w:eastAsia="Cambria" w:hAnsi="Cambria" w:cs="Cambria"/>
                <w:color w:val="000000"/>
                <w:sz w:val="20"/>
                <w:szCs w:val="20"/>
              </w:rPr>
              <w:t>0.64 (0.43, 0.97)</w:t>
            </w:r>
          </w:p>
        </w:tc>
      </w:tr>
      <w:tr w:rsidR="005972A9" w14:paraId="4D647C6D" w14:textId="77777777" w:rsidTr="00FD7B6F">
        <w:tc>
          <w:tcPr>
            <w:tcW w:w="3595" w:type="dxa"/>
            <w:tcBorders>
              <w:top w:val="nil"/>
              <w:bottom w:val="single" w:sz="4" w:space="0" w:color="000000"/>
              <w:right w:val="nil"/>
            </w:tcBorders>
            <w:shd w:val="clear" w:color="auto" w:fill="auto"/>
          </w:tcPr>
          <w:p w14:paraId="2F221454" w14:textId="77777777" w:rsidR="005972A9" w:rsidRPr="00FD7B6F" w:rsidRDefault="004A79CA" w:rsidP="00FD7B6F">
            <w:pPr>
              <w:pBdr>
                <w:top w:val="nil"/>
                <w:left w:val="nil"/>
                <w:bottom w:val="nil"/>
                <w:right w:val="nil"/>
                <w:between w:val="nil"/>
              </w:pBdr>
              <w:spacing w:before="50" w:after="50" w:line="240" w:lineRule="auto"/>
              <w:ind w:left="161"/>
              <w:rPr>
                <w:rFonts w:ascii="Cambria" w:eastAsia="Cambria" w:hAnsi="Cambria" w:cs="Cambria"/>
                <w:color w:val="000000"/>
                <w:sz w:val="20"/>
                <w:szCs w:val="20"/>
              </w:rPr>
            </w:pPr>
            <w:r w:rsidRPr="00FD7B6F">
              <w:rPr>
                <w:rFonts w:ascii="Cambria" w:eastAsia="Cambria" w:hAnsi="Cambria" w:cs="Cambria"/>
                <w:color w:val="000000"/>
                <w:sz w:val="20"/>
                <w:szCs w:val="20"/>
              </w:rPr>
              <w:t>p-value</w:t>
            </w:r>
          </w:p>
        </w:tc>
        <w:tc>
          <w:tcPr>
            <w:tcW w:w="5035" w:type="dxa"/>
            <w:gridSpan w:val="2"/>
            <w:tcBorders>
              <w:top w:val="nil"/>
              <w:left w:val="nil"/>
              <w:bottom w:val="single" w:sz="4" w:space="0" w:color="000000"/>
            </w:tcBorders>
            <w:shd w:val="clear" w:color="auto" w:fill="auto"/>
            <w:vAlign w:val="center"/>
          </w:tcPr>
          <w:p w14:paraId="49729FAD"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b/>
                <w:color w:val="000000"/>
                <w:sz w:val="20"/>
                <w:szCs w:val="20"/>
              </w:rPr>
            </w:pPr>
            <w:r w:rsidRPr="00FD7B6F">
              <w:rPr>
                <w:rFonts w:ascii="Cambria" w:eastAsia="Cambria" w:hAnsi="Cambria" w:cs="Cambria"/>
                <w:color w:val="000000"/>
                <w:sz w:val="20"/>
                <w:szCs w:val="20"/>
              </w:rPr>
              <w:t>0.0338</w:t>
            </w:r>
          </w:p>
        </w:tc>
      </w:tr>
      <w:tr w:rsidR="005972A9" w14:paraId="3F0C616A" w14:textId="77777777" w:rsidTr="00FD7B6F">
        <w:tc>
          <w:tcPr>
            <w:tcW w:w="8630" w:type="dxa"/>
            <w:gridSpan w:val="3"/>
            <w:tcBorders>
              <w:bottom w:val="nil"/>
            </w:tcBorders>
            <w:shd w:val="clear" w:color="auto" w:fill="auto"/>
          </w:tcPr>
          <w:p w14:paraId="23062D81"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b/>
                <w:color w:val="000000"/>
                <w:sz w:val="20"/>
                <w:szCs w:val="20"/>
              </w:rPr>
              <w:t>Objective Response Rate</w:t>
            </w:r>
            <w:r w:rsidRPr="00FD7B6F">
              <w:rPr>
                <w:rFonts w:ascii="Cambria" w:eastAsia="Cambria" w:hAnsi="Cambria" w:cs="Cambria"/>
                <w:b/>
                <w:color w:val="000000"/>
                <w:sz w:val="20"/>
                <w:szCs w:val="20"/>
                <w:vertAlign w:val="superscript"/>
              </w:rPr>
              <w:t>a,c</w:t>
            </w:r>
          </w:p>
        </w:tc>
      </w:tr>
      <w:tr w:rsidR="005972A9" w14:paraId="199A9F19" w14:textId="77777777" w:rsidTr="00FD7B6F">
        <w:tc>
          <w:tcPr>
            <w:tcW w:w="3595" w:type="dxa"/>
            <w:tcBorders>
              <w:top w:val="nil"/>
              <w:bottom w:val="nil"/>
              <w:right w:val="nil"/>
            </w:tcBorders>
            <w:shd w:val="clear" w:color="auto" w:fill="auto"/>
          </w:tcPr>
          <w:p w14:paraId="5901F826" w14:textId="77777777" w:rsidR="005972A9" w:rsidRPr="00FD7B6F" w:rsidRDefault="004A79CA" w:rsidP="00FD7B6F">
            <w:pPr>
              <w:pBdr>
                <w:top w:val="nil"/>
                <w:left w:val="nil"/>
                <w:bottom w:val="nil"/>
                <w:right w:val="nil"/>
                <w:between w:val="nil"/>
              </w:pBdr>
              <w:spacing w:before="50" w:after="50" w:line="240" w:lineRule="auto"/>
              <w:ind w:left="161"/>
              <w:rPr>
                <w:rFonts w:ascii="Cambria" w:eastAsia="Cambria" w:hAnsi="Cambria" w:cs="Cambria"/>
                <w:color w:val="000000"/>
                <w:sz w:val="20"/>
                <w:szCs w:val="20"/>
              </w:rPr>
            </w:pPr>
            <w:r w:rsidRPr="00FD7B6F">
              <w:rPr>
                <w:rFonts w:ascii="Cambria" w:eastAsia="Cambria" w:hAnsi="Cambria" w:cs="Cambria"/>
                <w:color w:val="000000"/>
                <w:sz w:val="20"/>
                <w:szCs w:val="20"/>
              </w:rPr>
              <w:t>Patients with CR or PR, n (%)</w:t>
            </w:r>
          </w:p>
        </w:tc>
        <w:tc>
          <w:tcPr>
            <w:tcW w:w="2606" w:type="dxa"/>
            <w:tcBorders>
              <w:top w:val="nil"/>
              <w:left w:val="nil"/>
              <w:bottom w:val="nil"/>
              <w:right w:val="nil"/>
            </w:tcBorders>
            <w:shd w:val="clear" w:color="auto" w:fill="auto"/>
            <w:vAlign w:val="center"/>
          </w:tcPr>
          <w:p w14:paraId="3B999F13"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94 (58.4)</w:t>
            </w:r>
          </w:p>
        </w:tc>
        <w:tc>
          <w:tcPr>
            <w:tcW w:w="2429" w:type="dxa"/>
            <w:tcBorders>
              <w:top w:val="nil"/>
              <w:left w:val="nil"/>
              <w:bottom w:val="nil"/>
            </w:tcBorders>
            <w:shd w:val="clear" w:color="auto" w:fill="auto"/>
            <w:vAlign w:val="center"/>
          </w:tcPr>
          <w:p w14:paraId="0F786A81"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41 (25)</w:t>
            </w:r>
          </w:p>
        </w:tc>
      </w:tr>
      <w:tr w:rsidR="005972A9" w14:paraId="7F9149EF" w14:textId="77777777" w:rsidTr="00FD7B6F">
        <w:tc>
          <w:tcPr>
            <w:tcW w:w="3595" w:type="dxa"/>
            <w:tcBorders>
              <w:top w:val="nil"/>
              <w:bottom w:val="single" w:sz="4" w:space="0" w:color="000000"/>
              <w:right w:val="nil"/>
            </w:tcBorders>
            <w:shd w:val="clear" w:color="auto" w:fill="auto"/>
          </w:tcPr>
          <w:p w14:paraId="5BD63974" w14:textId="77777777" w:rsidR="005972A9" w:rsidRPr="00FD7B6F" w:rsidRDefault="004A79CA" w:rsidP="00FD7B6F">
            <w:pPr>
              <w:pBdr>
                <w:top w:val="nil"/>
                <w:left w:val="nil"/>
                <w:bottom w:val="nil"/>
                <w:right w:val="nil"/>
                <w:between w:val="nil"/>
              </w:pBdr>
              <w:spacing w:before="50" w:after="50" w:line="240" w:lineRule="auto"/>
              <w:ind w:left="161"/>
              <w:rPr>
                <w:rFonts w:ascii="Cambria" w:eastAsia="Cambria" w:hAnsi="Cambria" w:cs="Cambria"/>
                <w:color w:val="000000"/>
                <w:sz w:val="20"/>
                <w:szCs w:val="20"/>
              </w:rPr>
            </w:pPr>
            <w:r w:rsidRPr="00FD7B6F">
              <w:rPr>
                <w:rFonts w:ascii="Cambria" w:eastAsia="Cambria" w:hAnsi="Cambria" w:cs="Cambria"/>
                <w:color w:val="000000"/>
                <w:sz w:val="20"/>
                <w:szCs w:val="20"/>
              </w:rPr>
              <w:t>95% CI</w:t>
            </w:r>
          </w:p>
        </w:tc>
        <w:tc>
          <w:tcPr>
            <w:tcW w:w="2606" w:type="dxa"/>
            <w:tcBorders>
              <w:top w:val="nil"/>
              <w:left w:val="nil"/>
              <w:bottom w:val="single" w:sz="4" w:space="0" w:color="000000"/>
              <w:right w:val="nil"/>
            </w:tcBorders>
            <w:shd w:val="clear" w:color="auto" w:fill="auto"/>
            <w:vAlign w:val="center"/>
          </w:tcPr>
          <w:p w14:paraId="4466F9E5"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(50.4, 66.1)</w:t>
            </w:r>
          </w:p>
        </w:tc>
        <w:tc>
          <w:tcPr>
            <w:tcW w:w="2429" w:type="dxa"/>
            <w:tcBorders>
              <w:top w:val="nil"/>
              <w:left w:val="nil"/>
              <w:bottom w:val="single" w:sz="4" w:space="0" w:color="000000"/>
            </w:tcBorders>
            <w:shd w:val="clear" w:color="auto" w:fill="auto"/>
            <w:vAlign w:val="center"/>
          </w:tcPr>
          <w:p w14:paraId="3D8DAF77"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(18.6, 32.3)</w:t>
            </w:r>
          </w:p>
        </w:tc>
      </w:tr>
      <w:tr w:rsidR="005972A9" w14:paraId="1CF8259B" w14:textId="77777777" w:rsidTr="00FD7B6F">
        <w:tc>
          <w:tcPr>
            <w:tcW w:w="8630" w:type="dxa"/>
            <w:gridSpan w:val="3"/>
            <w:tcBorders>
              <w:bottom w:val="nil"/>
            </w:tcBorders>
            <w:shd w:val="clear" w:color="auto" w:fill="auto"/>
          </w:tcPr>
          <w:p w14:paraId="03CE50A3"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b/>
                <w:color w:val="000000"/>
                <w:sz w:val="20"/>
                <w:szCs w:val="20"/>
              </w:rPr>
              <w:t>Best Overall Response</w:t>
            </w:r>
            <w:r w:rsidRPr="00FD7B6F">
              <w:rPr>
                <w:rFonts w:ascii="Cambria" w:eastAsia="Cambria" w:hAnsi="Cambria" w:cs="Cambria"/>
                <w:b/>
                <w:color w:val="000000"/>
                <w:sz w:val="20"/>
                <w:szCs w:val="20"/>
                <w:vertAlign w:val="superscript"/>
              </w:rPr>
              <w:t>a,d</w:t>
            </w:r>
          </w:p>
        </w:tc>
      </w:tr>
      <w:tr w:rsidR="005972A9" w14:paraId="5431A376" w14:textId="77777777" w:rsidTr="00FD7B6F">
        <w:tc>
          <w:tcPr>
            <w:tcW w:w="3595" w:type="dxa"/>
            <w:tcBorders>
              <w:top w:val="nil"/>
              <w:bottom w:val="nil"/>
              <w:right w:val="nil"/>
            </w:tcBorders>
            <w:shd w:val="clear" w:color="auto" w:fill="auto"/>
          </w:tcPr>
          <w:p w14:paraId="76C75B1C" w14:textId="77777777" w:rsidR="005972A9" w:rsidRPr="00FD7B6F" w:rsidRDefault="004A79CA" w:rsidP="00FD7B6F">
            <w:pPr>
              <w:pBdr>
                <w:top w:val="nil"/>
                <w:left w:val="nil"/>
                <w:bottom w:val="nil"/>
                <w:right w:val="nil"/>
                <w:between w:val="nil"/>
              </w:pBdr>
              <w:spacing w:before="50" w:after="50" w:line="240" w:lineRule="auto"/>
              <w:ind w:left="160"/>
              <w:rPr>
                <w:rFonts w:ascii="Cambria" w:eastAsia="Cambria" w:hAnsi="Cambria" w:cs="Cambria"/>
                <w:color w:val="000000"/>
                <w:sz w:val="20"/>
                <w:szCs w:val="20"/>
              </w:rPr>
            </w:pPr>
            <w:r w:rsidRPr="00FD7B6F">
              <w:rPr>
                <w:rFonts w:ascii="Cambria" w:eastAsia="Cambria" w:hAnsi="Cambria" w:cs="Cambria"/>
                <w:color w:val="000000"/>
                <w:sz w:val="20"/>
                <w:szCs w:val="20"/>
              </w:rPr>
              <w:t>Patients with CR or PR, n (%)</w:t>
            </w:r>
          </w:p>
        </w:tc>
        <w:tc>
          <w:tcPr>
            <w:tcW w:w="2606" w:type="dxa"/>
            <w:tcBorders>
              <w:top w:val="nil"/>
              <w:left w:val="nil"/>
              <w:bottom w:val="nil"/>
              <w:right w:val="nil"/>
            </w:tcBorders>
            <w:shd w:val="clear" w:color="auto" w:fill="auto"/>
            <w:vAlign w:val="center"/>
          </w:tcPr>
          <w:p w14:paraId="58FF3D07"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103 (64)</w:t>
            </w:r>
          </w:p>
        </w:tc>
        <w:tc>
          <w:tcPr>
            <w:tcW w:w="2429" w:type="dxa"/>
            <w:tcBorders>
              <w:top w:val="nil"/>
              <w:left w:val="nil"/>
              <w:bottom w:val="nil"/>
            </w:tcBorders>
            <w:shd w:val="clear" w:color="auto" w:fill="auto"/>
            <w:vAlign w:val="center"/>
          </w:tcPr>
          <w:p w14:paraId="52D5191F"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49 (29.9)</w:t>
            </w:r>
          </w:p>
        </w:tc>
      </w:tr>
      <w:tr w:rsidR="005972A9" w14:paraId="1E712492" w14:textId="77777777" w:rsidTr="00FD7B6F">
        <w:tc>
          <w:tcPr>
            <w:tcW w:w="3595" w:type="dxa"/>
            <w:tcBorders>
              <w:top w:val="nil"/>
              <w:bottom w:val="single" w:sz="4" w:space="0" w:color="000000"/>
              <w:right w:val="nil"/>
            </w:tcBorders>
            <w:shd w:val="clear" w:color="auto" w:fill="auto"/>
          </w:tcPr>
          <w:p w14:paraId="0F58C09C" w14:textId="77777777" w:rsidR="005972A9" w:rsidRPr="00FD7B6F" w:rsidRDefault="004A79CA" w:rsidP="00FD7B6F">
            <w:pPr>
              <w:pBdr>
                <w:top w:val="nil"/>
                <w:left w:val="nil"/>
                <w:bottom w:val="nil"/>
                <w:right w:val="nil"/>
                <w:between w:val="nil"/>
              </w:pBdr>
              <w:spacing w:before="50" w:after="50" w:line="240" w:lineRule="auto"/>
              <w:ind w:left="152"/>
              <w:rPr>
                <w:rFonts w:ascii="Cambria" w:eastAsia="Cambria" w:hAnsi="Cambria" w:cs="Cambria"/>
                <w:color w:val="000000"/>
                <w:sz w:val="20"/>
                <w:szCs w:val="20"/>
              </w:rPr>
            </w:pPr>
            <w:r w:rsidRPr="00FD7B6F">
              <w:rPr>
                <w:rFonts w:ascii="Cambria" w:eastAsia="Cambria" w:hAnsi="Cambria" w:cs="Cambria"/>
                <w:color w:val="000000"/>
                <w:sz w:val="20"/>
                <w:szCs w:val="20"/>
              </w:rPr>
              <w:t>95% CI</w:t>
            </w:r>
          </w:p>
        </w:tc>
        <w:tc>
          <w:tcPr>
            <w:tcW w:w="2606" w:type="dxa"/>
            <w:tcBorders>
              <w:top w:val="nil"/>
              <w:left w:val="nil"/>
              <w:bottom w:val="single" w:sz="4" w:space="0" w:color="000000"/>
              <w:right w:val="nil"/>
            </w:tcBorders>
            <w:shd w:val="clear" w:color="auto" w:fill="auto"/>
            <w:vAlign w:val="center"/>
          </w:tcPr>
          <w:p w14:paraId="5AE1D2DF"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(56, 71.4)</w:t>
            </w:r>
          </w:p>
        </w:tc>
        <w:tc>
          <w:tcPr>
            <w:tcW w:w="2429" w:type="dxa"/>
            <w:tcBorders>
              <w:top w:val="nil"/>
              <w:left w:val="nil"/>
              <w:bottom w:val="single" w:sz="4" w:space="0" w:color="000000"/>
            </w:tcBorders>
            <w:shd w:val="clear" w:color="auto" w:fill="auto"/>
            <w:vAlign w:val="center"/>
          </w:tcPr>
          <w:p w14:paraId="2463A9AD"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(23, 37.5)</w:t>
            </w:r>
          </w:p>
        </w:tc>
      </w:tr>
      <w:tr w:rsidR="005972A9" w14:paraId="661F7E72" w14:textId="77777777" w:rsidTr="00FD7B6F">
        <w:tc>
          <w:tcPr>
            <w:tcW w:w="8630" w:type="dxa"/>
            <w:gridSpan w:val="3"/>
            <w:tcBorders>
              <w:top w:val="single" w:sz="4" w:space="0" w:color="000000"/>
              <w:bottom w:val="nil"/>
            </w:tcBorders>
            <w:shd w:val="clear" w:color="auto" w:fill="auto"/>
          </w:tcPr>
          <w:p w14:paraId="7594BCE4"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b/>
                <w:color w:val="000000"/>
                <w:sz w:val="20"/>
                <w:szCs w:val="20"/>
              </w:rPr>
              <w:t>Duration of Response</w:t>
            </w:r>
          </w:p>
        </w:tc>
      </w:tr>
      <w:tr w:rsidR="005972A9" w14:paraId="64B49E2A" w14:textId="77777777" w:rsidTr="00FD7B6F">
        <w:tc>
          <w:tcPr>
            <w:tcW w:w="3595" w:type="dxa"/>
            <w:tcBorders>
              <w:top w:val="nil"/>
              <w:bottom w:val="nil"/>
              <w:right w:val="nil"/>
            </w:tcBorders>
            <w:shd w:val="clear" w:color="auto" w:fill="auto"/>
          </w:tcPr>
          <w:p w14:paraId="6142D2EC" w14:textId="77777777" w:rsidR="005972A9" w:rsidRPr="00FD7B6F" w:rsidRDefault="004A79CA" w:rsidP="00FD7B6F">
            <w:pPr>
              <w:pBdr>
                <w:top w:val="nil"/>
                <w:left w:val="nil"/>
                <w:bottom w:val="nil"/>
                <w:right w:val="nil"/>
                <w:between w:val="nil"/>
              </w:pBdr>
              <w:spacing w:before="50" w:after="50" w:line="240" w:lineRule="auto"/>
              <w:ind w:left="150"/>
              <w:rPr>
                <w:rFonts w:ascii="Cambria" w:eastAsia="Cambria" w:hAnsi="Cambria" w:cs="Cambria"/>
                <w:color w:val="000000"/>
                <w:sz w:val="20"/>
                <w:szCs w:val="20"/>
              </w:rPr>
            </w:pPr>
            <w:r w:rsidRPr="00FD7B6F">
              <w:rPr>
                <w:rFonts w:ascii="Cambria" w:eastAsia="Cambria" w:hAnsi="Cambria" w:cs="Cambria"/>
                <w:color w:val="000000"/>
                <w:sz w:val="20"/>
                <w:szCs w:val="20"/>
              </w:rPr>
              <w:t>Median DOR, months (95% CI)</w:t>
            </w:r>
          </w:p>
        </w:tc>
        <w:tc>
          <w:tcPr>
            <w:tcW w:w="2606" w:type="dxa"/>
            <w:tcBorders>
              <w:top w:val="nil"/>
              <w:left w:val="nil"/>
              <w:bottom w:val="nil"/>
              <w:right w:val="nil"/>
            </w:tcBorders>
            <w:shd w:val="clear" w:color="auto" w:fill="auto"/>
            <w:vAlign w:val="center"/>
          </w:tcPr>
          <w:p w14:paraId="5BA29D12"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18.4 (10.4, 22.2)</w:t>
            </w:r>
          </w:p>
        </w:tc>
        <w:tc>
          <w:tcPr>
            <w:tcW w:w="2429" w:type="dxa"/>
            <w:tcBorders>
              <w:top w:val="nil"/>
              <w:left w:val="nil"/>
              <w:bottom w:val="nil"/>
            </w:tcBorders>
            <w:shd w:val="clear" w:color="auto" w:fill="auto"/>
            <w:vAlign w:val="center"/>
          </w:tcPr>
          <w:p w14:paraId="0870A69E"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9.6 (7.4, 16.6)</w:t>
            </w:r>
          </w:p>
        </w:tc>
      </w:tr>
      <w:tr w:rsidR="005972A9" w14:paraId="1696FD22" w14:textId="77777777" w:rsidTr="00FD7B6F">
        <w:tc>
          <w:tcPr>
            <w:tcW w:w="8630" w:type="dxa"/>
            <w:gridSpan w:val="3"/>
            <w:tcBorders>
              <w:bottom w:val="nil"/>
            </w:tcBorders>
            <w:shd w:val="clear" w:color="auto" w:fill="auto"/>
          </w:tcPr>
          <w:p w14:paraId="002495E4"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b/>
                <w:color w:val="000000"/>
                <w:sz w:val="20"/>
                <w:szCs w:val="20"/>
              </w:rPr>
              <w:t>Clinical Benefit Rate</w:t>
            </w:r>
          </w:p>
        </w:tc>
      </w:tr>
      <w:tr w:rsidR="005972A9" w14:paraId="0C19422F" w14:textId="77777777" w:rsidTr="00FD7B6F">
        <w:tc>
          <w:tcPr>
            <w:tcW w:w="3595" w:type="dxa"/>
            <w:tcBorders>
              <w:top w:val="nil"/>
              <w:bottom w:val="nil"/>
              <w:right w:val="nil"/>
            </w:tcBorders>
            <w:shd w:val="clear" w:color="auto" w:fill="auto"/>
          </w:tcPr>
          <w:p w14:paraId="3979C8C3" w14:textId="77777777" w:rsidR="005972A9" w:rsidRPr="00FD7B6F" w:rsidRDefault="004A79CA" w:rsidP="00FD7B6F">
            <w:pPr>
              <w:pBdr>
                <w:top w:val="nil"/>
                <w:left w:val="nil"/>
                <w:bottom w:val="nil"/>
                <w:right w:val="nil"/>
                <w:between w:val="nil"/>
              </w:pBdr>
              <w:spacing w:before="50" w:after="50" w:line="240" w:lineRule="auto"/>
              <w:ind w:left="160"/>
              <w:rPr>
                <w:rFonts w:ascii="Cambria" w:eastAsia="Cambria" w:hAnsi="Cambria" w:cs="Cambria"/>
                <w:color w:val="000000"/>
                <w:sz w:val="20"/>
                <w:szCs w:val="20"/>
              </w:rPr>
            </w:pPr>
            <w:r w:rsidRPr="00FD7B6F">
              <w:rPr>
                <w:rFonts w:ascii="Cambria" w:eastAsia="Cambria" w:hAnsi="Cambria" w:cs="Cambria"/>
                <w:color w:val="000000"/>
                <w:sz w:val="20"/>
                <w:szCs w:val="20"/>
              </w:rPr>
              <w:t>Patients, n (%)</w:t>
            </w:r>
          </w:p>
        </w:tc>
        <w:tc>
          <w:tcPr>
            <w:tcW w:w="2606" w:type="dxa"/>
            <w:tcBorders>
              <w:top w:val="nil"/>
              <w:left w:val="nil"/>
              <w:bottom w:val="nil"/>
              <w:right w:val="nil"/>
            </w:tcBorders>
            <w:shd w:val="clear" w:color="auto" w:fill="auto"/>
            <w:vAlign w:val="center"/>
          </w:tcPr>
          <w:p w14:paraId="1017A6A8"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121 (75.2)</w:t>
            </w:r>
          </w:p>
        </w:tc>
        <w:tc>
          <w:tcPr>
            <w:tcW w:w="2429" w:type="dxa"/>
            <w:tcBorders>
              <w:top w:val="nil"/>
              <w:left w:val="nil"/>
              <w:bottom w:val="nil"/>
            </w:tcBorders>
            <w:shd w:val="clear" w:color="auto" w:fill="auto"/>
            <w:vAlign w:val="center"/>
          </w:tcPr>
          <w:p w14:paraId="76614176"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77 (47)</w:t>
            </w:r>
          </w:p>
        </w:tc>
      </w:tr>
      <w:tr w:rsidR="005972A9" w14:paraId="0233EAE4" w14:textId="77777777" w:rsidTr="00FD7B6F">
        <w:tc>
          <w:tcPr>
            <w:tcW w:w="3595" w:type="dxa"/>
            <w:tcBorders>
              <w:top w:val="nil"/>
              <w:bottom w:val="single" w:sz="4" w:space="0" w:color="000000"/>
              <w:right w:val="nil"/>
            </w:tcBorders>
            <w:shd w:val="clear" w:color="auto" w:fill="auto"/>
          </w:tcPr>
          <w:p w14:paraId="400CB15B" w14:textId="77777777" w:rsidR="005972A9" w:rsidRPr="00FD7B6F" w:rsidRDefault="004A79CA" w:rsidP="00FD7B6F">
            <w:pPr>
              <w:pBdr>
                <w:top w:val="nil"/>
                <w:left w:val="nil"/>
                <w:bottom w:val="nil"/>
                <w:right w:val="nil"/>
                <w:between w:val="nil"/>
              </w:pBdr>
              <w:spacing w:before="50" w:after="50" w:line="240" w:lineRule="auto"/>
              <w:ind w:left="160"/>
              <w:rPr>
                <w:rFonts w:ascii="Cambria" w:eastAsia="Cambria" w:hAnsi="Cambria" w:cs="Cambria"/>
                <w:color w:val="000000"/>
                <w:sz w:val="20"/>
                <w:szCs w:val="20"/>
              </w:rPr>
            </w:pPr>
            <w:r w:rsidRPr="00FD7B6F">
              <w:rPr>
                <w:rFonts w:ascii="Cambria" w:eastAsia="Cambria" w:hAnsi="Cambria" w:cs="Cambria"/>
                <w:color w:val="000000"/>
                <w:sz w:val="20"/>
                <w:szCs w:val="20"/>
              </w:rPr>
              <w:t>95% CI</w:t>
            </w:r>
          </w:p>
        </w:tc>
        <w:tc>
          <w:tcPr>
            <w:tcW w:w="2606" w:type="dxa"/>
            <w:tcBorders>
              <w:top w:val="nil"/>
              <w:left w:val="nil"/>
              <w:bottom w:val="single" w:sz="4" w:space="0" w:color="000000"/>
              <w:right w:val="nil"/>
            </w:tcBorders>
            <w:shd w:val="clear" w:color="auto" w:fill="auto"/>
            <w:vAlign w:val="center"/>
          </w:tcPr>
          <w:p w14:paraId="41FCD74F"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(67.7, 81.6)</w:t>
            </w:r>
          </w:p>
        </w:tc>
        <w:tc>
          <w:tcPr>
            <w:tcW w:w="2429" w:type="dxa"/>
            <w:tcBorders>
              <w:top w:val="nil"/>
              <w:left w:val="nil"/>
              <w:bottom w:val="single" w:sz="4" w:space="0" w:color="000000"/>
            </w:tcBorders>
            <w:shd w:val="clear" w:color="auto" w:fill="auto"/>
            <w:vAlign w:val="center"/>
          </w:tcPr>
          <w:p w14:paraId="1BDCD714" w14:textId="77777777" w:rsidR="005972A9" w:rsidRPr="00FD7B6F" w:rsidRDefault="004A79CA" w:rsidP="00FD7B6F">
            <w:pPr>
              <w:pBdr>
                <w:top w:val="nil"/>
                <w:left w:val="nil"/>
                <w:bottom w:val="nil"/>
                <w:right w:val="nil"/>
                <w:between w:val="nil"/>
              </w:pBd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(39.1, 54.9)</w:t>
            </w:r>
          </w:p>
        </w:tc>
      </w:tr>
      <w:tr w:rsidR="005972A9" w14:paraId="40CEAA22" w14:textId="77777777" w:rsidTr="00FD7B6F">
        <w:trPr>
          <w:trHeight w:val="323"/>
        </w:trPr>
        <w:tc>
          <w:tcPr>
            <w:tcW w:w="8630" w:type="dxa"/>
            <w:gridSpan w:val="3"/>
            <w:shd w:val="clear" w:color="auto" w:fill="auto"/>
          </w:tcPr>
          <w:p w14:paraId="1CC6F164" w14:textId="77777777" w:rsidR="005972A9" w:rsidRPr="00FD7B6F" w:rsidRDefault="004A79CA" w:rsidP="00FD7B6F">
            <w:pPr>
              <w:pBdr>
                <w:top w:val="nil"/>
                <w:left w:val="nil"/>
                <w:bottom w:val="nil"/>
                <w:right w:val="nil"/>
                <w:between w:val="nil"/>
              </w:pBdr>
              <w:spacing w:before="50" w:after="50" w:line="240" w:lineRule="auto"/>
              <w:rPr>
                <w:rFonts w:ascii="Cambria" w:eastAsia="Cambria" w:hAnsi="Cambria" w:cs="Cambria"/>
                <w:color w:val="000000"/>
                <w:sz w:val="20"/>
                <w:szCs w:val="20"/>
              </w:rPr>
            </w:pPr>
            <w:r w:rsidRPr="00FD7B6F">
              <w:rPr>
                <w:rFonts w:ascii="Cambria" w:eastAsia="Cambria" w:hAnsi="Cambria" w:cs="Cambria"/>
                <w:color w:val="000000"/>
                <w:sz w:val="20"/>
                <w:szCs w:val="20"/>
              </w:rPr>
              <w:t>CI = confidence interval; CR = complete response; NE = not evaluable; PR = partial response</w:t>
            </w:r>
          </w:p>
          <w:p w14:paraId="17274487" w14:textId="77777777" w:rsidR="005972A9" w:rsidRPr="00FD7B6F" w:rsidRDefault="004A79CA" w:rsidP="00FD7B6F">
            <w:pPr>
              <w:pBdr>
                <w:top w:val="nil"/>
                <w:left w:val="nil"/>
                <w:bottom w:val="nil"/>
                <w:right w:val="nil"/>
                <w:between w:val="nil"/>
              </w:pBdr>
              <w:spacing w:before="50" w:after="50" w:line="240" w:lineRule="auto"/>
              <w:ind w:left="130" w:hanging="115"/>
              <w:rPr>
                <w:rFonts w:ascii="Cambria" w:eastAsia="Cambria" w:hAnsi="Cambria" w:cs="Cambria"/>
                <w:color w:val="000000"/>
                <w:sz w:val="20"/>
                <w:szCs w:val="20"/>
              </w:rPr>
            </w:pPr>
            <w:r w:rsidRPr="00FD7B6F">
              <w:rPr>
                <w:rFonts w:ascii="Cambria" w:eastAsia="Cambria" w:hAnsi="Cambria" w:cs="Cambria"/>
                <w:color w:val="000000"/>
                <w:sz w:val="20"/>
                <w:szCs w:val="20"/>
                <w:vertAlign w:val="superscript"/>
              </w:rPr>
              <w:t>a</w:t>
            </w:r>
            <w:r w:rsidRPr="00FD7B6F">
              <w:rPr>
                <w:rFonts w:ascii="Cambria" w:eastAsia="Cambria" w:hAnsi="Cambria" w:cs="Cambria"/>
                <w:color w:val="000000"/>
                <w:sz w:val="20"/>
                <w:szCs w:val="20"/>
              </w:rPr>
              <w:t xml:space="preserve"> Per RECIST version 1.1.</w:t>
            </w:r>
          </w:p>
          <w:p w14:paraId="587CA630" w14:textId="77777777" w:rsidR="005972A9" w:rsidRPr="00FD7B6F" w:rsidRDefault="004A79CA" w:rsidP="00FD7B6F">
            <w:pPr>
              <w:pBdr>
                <w:top w:val="nil"/>
                <w:left w:val="nil"/>
                <w:bottom w:val="nil"/>
                <w:right w:val="nil"/>
                <w:between w:val="nil"/>
              </w:pBdr>
              <w:spacing w:before="50" w:after="50" w:line="240" w:lineRule="auto"/>
              <w:ind w:left="130" w:hanging="115"/>
              <w:rPr>
                <w:rFonts w:ascii="Cambria" w:eastAsia="Cambria" w:hAnsi="Cambria" w:cs="Cambria"/>
                <w:color w:val="000000"/>
                <w:sz w:val="20"/>
                <w:szCs w:val="20"/>
              </w:rPr>
            </w:pPr>
            <w:r w:rsidRPr="00FD7B6F">
              <w:rPr>
                <w:rFonts w:ascii="Cambria" w:eastAsia="Cambria" w:hAnsi="Cambria" w:cs="Cambria"/>
                <w:color w:val="000000"/>
                <w:sz w:val="20"/>
                <w:szCs w:val="20"/>
                <w:vertAlign w:val="superscript"/>
              </w:rPr>
              <w:t>b</w:t>
            </w:r>
            <w:r w:rsidRPr="00FD7B6F">
              <w:rPr>
                <w:rFonts w:ascii="Cambria" w:eastAsia="Cambria" w:hAnsi="Cambria" w:cs="Cambria"/>
                <w:color w:val="000000"/>
                <w:sz w:val="20"/>
                <w:szCs w:val="20"/>
              </w:rPr>
              <w:t xml:space="preserve"> Based on interim analysis. Under the interim analysis stopping boundary (p ≤ 0.0098), statistical significance was not reached.</w:t>
            </w:r>
          </w:p>
          <w:p w14:paraId="410073A7" w14:textId="77777777" w:rsidR="005972A9" w:rsidRPr="00FD7B6F" w:rsidRDefault="004A79CA" w:rsidP="00FD7B6F">
            <w:pPr>
              <w:pBdr>
                <w:top w:val="nil"/>
                <w:left w:val="nil"/>
                <w:bottom w:val="nil"/>
                <w:right w:val="nil"/>
                <w:between w:val="nil"/>
              </w:pBdr>
              <w:spacing w:before="50" w:after="50" w:line="240" w:lineRule="auto"/>
              <w:ind w:left="130" w:hanging="115"/>
              <w:rPr>
                <w:rFonts w:ascii="Cambria" w:eastAsia="Cambria" w:hAnsi="Cambria" w:cs="Cambria"/>
                <w:color w:val="000000"/>
                <w:sz w:val="20"/>
                <w:szCs w:val="20"/>
              </w:rPr>
            </w:pPr>
            <w:r w:rsidRPr="00FD7B6F">
              <w:rPr>
                <w:rFonts w:ascii="Cambria" w:eastAsia="Cambria" w:hAnsi="Cambria" w:cs="Cambria"/>
                <w:color w:val="000000"/>
                <w:sz w:val="20"/>
                <w:szCs w:val="20"/>
                <w:vertAlign w:val="superscript"/>
              </w:rPr>
              <w:t>c</w:t>
            </w:r>
            <w:r w:rsidRPr="00FD7B6F">
              <w:rPr>
                <w:rFonts w:ascii="Cambria" w:eastAsia="Cambria" w:hAnsi="Cambria" w:cs="Cambria"/>
                <w:color w:val="000000"/>
                <w:sz w:val="20"/>
                <w:szCs w:val="20"/>
              </w:rPr>
              <w:t xml:space="preserve"> ORR is defined as the proportion of patients with a CR or PR on two consecutive occasions ≥ 4 weeks apart, as determined by the investigator.</w:t>
            </w:r>
          </w:p>
          <w:p w14:paraId="49619CF1" w14:textId="77777777" w:rsidR="005972A9" w:rsidRPr="00FD7B6F" w:rsidRDefault="004A79CA" w:rsidP="00FD7B6F">
            <w:pPr>
              <w:pBdr>
                <w:top w:val="nil"/>
                <w:left w:val="nil"/>
                <w:bottom w:val="nil"/>
                <w:right w:val="nil"/>
                <w:between w:val="nil"/>
              </w:pBdr>
              <w:spacing w:before="50" w:after="50" w:line="240" w:lineRule="auto"/>
              <w:ind w:left="130" w:hanging="115"/>
              <w:rPr>
                <w:rFonts w:ascii="Cambria" w:eastAsia="Cambria" w:hAnsi="Cambria" w:cs="Cambria"/>
                <w:color w:val="000000"/>
                <w:sz w:val="20"/>
                <w:szCs w:val="20"/>
              </w:rPr>
            </w:pPr>
            <w:r w:rsidRPr="00FD7B6F">
              <w:rPr>
                <w:rFonts w:ascii="Cambria" w:eastAsia="Cambria" w:hAnsi="Cambria" w:cs="Cambria"/>
                <w:color w:val="000000"/>
                <w:sz w:val="20"/>
                <w:szCs w:val="20"/>
                <w:vertAlign w:val="superscript"/>
              </w:rPr>
              <w:t>d</w:t>
            </w:r>
            <w:r w:rsidRPr="00FD7B6F">
              <w:rPr>
                <w:rFonts w:ascii="Cambria" w:eastAsia="Cambria" w:hAnsi="Cambria" w:cs="Cambria"/>
                <w:color w:val="000000"/>
                <w:sz w:val="20"/>
                <w:szCs w:val="20"/>
              </w:rPr>
              <w:t xml:space="preserve"> BOR is defined as the proportion of patients with a CR or PR, as determined by the investigator.</w:t>
            </w:r>
          </w:p>
        </w:tc>
      </w:tr>
    </w:tbl>
    <w:p w14:paraId="5361B95C" w14:textId="77777777" w:rsidR="005972A9" w:rsidRDefault="005972A9">
      <w:pPr>
        <w:pBdr>
          <w:top w:val="nil"/>
          <w:left w:val="nil"/>
          <w:bottom w:val="nil"/>
          <w:right w:val="nil"/>
          <w:between w:val="nil"/>
        </w:pBdr>
        <w:spacing w:after="250"/>
        <w:rPr>
          <w:rFonts w:ascii="Arial" w:eastAsia="Arial" w:hAnsi="Arial" w:cs="Arial"/>
          <w:color w:val="000000"/>
        </w:rPr>
      </w:pPr>
    </w:p>
    <w:p w14:paraId="6710E48C" w14:textId="77777777" w:rsidR="005972A9" w:rsidRDefault="004A79CA">
      <w:pPr>
        <w:keepNext/>
        <w:pBdr>
          <w:top w:val="nil"/>
          <w:left w:val="nil"/>
          <w:bottom w:val="nil"/>
          <w:right w:val="nil"/>
          <w:between w:val="nil"/>
        </w:pBdr>
        <w:spacing w:line="240" w:lineRule="auto"/>
        <w:rPr>
          <w:rFonts w:ascii="Cambria" w:eastAsia="Cambria" w:hAnsi="Cambria" w:cs="Cambria"/>
          <w:b/>
          <w:color w:val="000000"/>
        </w:rPr>
      </w:pPr>
      <w:r>
        <w:rPr>
          <w:rFonts w:ascii="Cambria" w:eastAsia="Cambria" w:hAnsi="Cambria" w:cs="Cambria"/>
          <w:b/>
          <w:color w:val="000000"/>
        </w:rPr>
        <w:lastRenderedPageBreak/>
        <w:t>Figure  1:</w:t>
      </w:r>
      <w:r>
        <w:rPr>
          <w:rFonts w:ascii="Cambria" w:eastAsia="Cambria" w:hAnsi="Cambria" w:cs="Cambria"/>
          <w:b/>
          <w:color w:val="000000"/>
        </w:rPr>
        <w:tab/>
        <w:t>INV-Assessed Progression-Free Survival in Patients with Locally Advanced or Metastatic Breast Cancer in INAVO120</w:t>
      </w:r>
    </w:p>
    <w:p w14:paraId="0E1CBECE" w14:textId="77777777" w:rsidR="005972A9" w:rsidRDefault="004E1508">
      <w:pPr>
        <w:pBdr>
          <w:top w:val="nil"/>
          <w:left w:val="nil"/>
          <w:bottom w:val="nil"/>
          <w:right w:val="nil"/>
          <w:between w:val="nil"/>
        </w:pBdr>
        <w:spacing w:after="250"/>
        <w:rPr>
          <w:rFonts w:ascii="Arial" w:eastAsia="Arial" w:hAnsi="Arial" w:cs="Arial"/>
          <w:color w:val="000000"/>
        </w:rPr>
      </w:pPr>
      <w:r>
        <w:rPr>
          <w:rFonts w:ascii="Arial" w:eastAsia="Arial" w:hAnsi="Arial" w:cs="Arial"/>
          <w:noProof/>
          <w:color w:val="000000"/>
        </w:rPr>
        <w:pict w14:anchorId="6FC24A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i1026" type="#_x0000_t75" style="width:451.9pt;height:328.85pt;visibility:visible">
            <v:imagedata r:id="rId11" o:title=""/>
          </v:shape>
        </w:pict>
      </w:r>
    </w:p>
    <w:p w14:paraId="7FD0A68B" w14:textId="77777777" w:rsidR="005972A9" w:rsidRDefault="004A79CA">
      <w:pPr>
        <w:pBdr>
          <w:top w:val="nil"/>
          <w:left w:val="nil"/>
          <w:bottom w:val="nil"/>
          <w:right w:val="nil"/>
          <w:between w:val="nil"/>
        </w:pBdr>
        <w:spacing w:after="250"/>
        <w:rPr>
          <w:rFonts w:ascii="Cambria" w:eastAsia="Cambria" w:hAnsi="Cambria" w:cs="Cambria"/>
          <w:color w:val="000000"/>
        </w:rPr>
      </w:pPr>
      <w:r>
        <w:rPr>
          <w:rFonts w:ascii="Cambria" w:eastAsia="Cambria" w:hAnsi="Cambria" w:cs="Cambria"/>
          <w:color w:val="000000"/>
        </w:rPr>
        <w:t xml:space="preserve">Prespecified PFS analyses per investigator assessment showed a generally consistent treatment effect in favor of the </w:t>
      </w:r>
      <w:r w:rsidR="00DE29EE">
        <w:rPr>
          <w:rFonts w:ascii="Cambria" w:eastAsia="Cambria" w:hAnsi="Cambria" w:cs="Cambria"/>
          <w:color w:val="000000"/>
        </w:rPr>
        <w:t>Itovebi</w:t>
      </w:r>
      <w:r>
        <w:rPr>
          <w:rFonts w:ascii="Cambria" w:eastAsia="Cambria" w:hAnsi="Cambria" w:cs="Cambria"/>
          <w:color w:val="000000"/>
        </w:rPr>
        <w:t xml:space="preserve"> arm in patient subgroups including age, sex, ethnicity, race, ECOG performance status, menopausal status, presence of visceral disease (yes or no), presence of liver metastases (yes or no), number of metastatic organ sites, and endocrine resistance (primary or secondary).</w:t>
      </w:r>
    </w:p>
    <w:p w14:paraId="08D23BB2" w14:textId="4C6D35EC" w:rsidR="005972A9" w:rsidRDefault="004A79CA" w:rsidP="000B1021">
      <w:pPr>
        <w:keepNext/>
        <w:pBdr>
          <w:top w:val="nil"/>
          <w:left w:val="nil"/>
          <w:bottom w:val="nil"/>
          <w:right w:val="nil"/>
          <w:between w:val="nil"/>
        </w:pBdr>
        <w:spacing w:after="250"/>
        <w:rPr>
          <w:rFonts w:ascii="Cambria" w:eastAsia="Cambria" w:hAnsi="Cambria" w:cs="Cambria"/>
          <w:color w:val="000000"/>
          <w:u w:val="single"/>
        </w:rPr>
      </w:pPr>
      <w:r>
        <w:rPr>
          <w:rFonts w:ascii="Cambria" w:eastAsia="Cambria" w:hAnsi="Cambria" w:cs="Cambria"/>
          <w:color w:val="000000"/>
          <w:u w:val="single"/>
        </w:rPr>
        <w:t>Patient-Reported Outcomes</w:t>
      </w:r>
    </w:p>
    <w:p w14:paraId="0448C720" w14:textId="77777777" w:rsidR="005972A9" w:rsidRDefault="004A79CA">
      <w:pPr>
        <w:pBdr>
          <w:top w:val="nil"/>
          <w:left w:val="nil"/>
          <w:bottom w:val="nil"/>
          <w:right w:val="nil"/>
          <w:between w:val="nil"/>
        </w:pBdr>
        <w:spacing w:after="250"/>
        <w:rPr>
          <w:rFonts w:ascii="Cambria" w:eastAsia="Cambria" w:hAnsi="Cambria" w:cs="Cambria"/>
          <w:color w:val="000000"/>
        </w:rPr>
      </w:pPr>
      <w:r>
        <w:rPr>
          <w:rFonts w:ascii="Cambria" w:eastAsia="Cambria" w:hAnsi="Cambria" w:cs="Cambria"/>
          <w:color w:val="000000"/>
        </w:rPr>
        <w:t xml:space="preserve">PFS results were supported by a longer time to clinically meaningful deterioration in patient-reported worst pain severity, defined as an increase of 2 or more points from baseline on the Brief Pain Inventory worst pain item score, favoring the </w:t>
      </w:r>
      <w:r w:rsidR="00DE29EE">
        <w:rPr>
          <w:rFonts w:ascii="Cambria" w:eastAsia="Cambria" w:hAnsi="Cambria" w:cs="Cambria"/>
          <w:color w:val="000000"/>
        </w:rPr>
        <w:t>Itovebi</w:t>
      </w:r>
      <w:r>
        <w:rPr>
          <w:rFonts w:ascii="Cambria" w:eastAsia="Cambria" w:hAnsi="Cambria" w:cs="Cambria"/>
          <w:color w:val="000000"/>
        </w:rPr>
        <w:t xml:space="preserve"> arm (median 30.9 months [95% CI: 16.6, NE] versus 18.1 months [95% CI: 13.1, NE]).</w:t>
      </w:r>
    </w:p>
    <w:p w14:paraId="770BD796" w14:textId="77777777" w:rsidR="005972A9" w:rsidRDefault="004A79CA">
      <w:pPr>
        <w:pBdr>
          <w:top w:val="nil"/>
          <w:left w:val="nil"/>
          <w:bottom w:val="nil"/>
          <w:right w:val="nil"/>
          <w:between w:val="nil"/>
        </w:pBdr>
        <w:spacing w:after="250"/>
        <w:rPr>
          <w:rFonts w:ascii="Cambria" w:eastAsia="Cambria" w:hAnsi="Cambria" w:cs="Cambria"/>
          <w:color w:val="000000"/>
        </w:rPr>
      </w:pPr>
      <w:r>
        <w:rPr>
          <w:rFonts w:ascii="Cambria" w:eastAsia="Cambria" w:hAnsi="Cambria" w:cs="Cambria"/>
          <w:color w:val="000000"/>
        </w:rPr>
        <w:t xml:space="preserve">Other patient-reported endpoints measured by the European Organization for Research and Treatment of Cancer Core Quality of Life Questionnaire (EORTC QLQ-C30) suggest that patients maintained their baseline levels of HRQoL, physical functioning, and role functioning while on treatment. Mean scores at baseline for HRQoL (65.5 and 66.3), physical function (80.4 and 80.1), and role function (80.2 and 79) in the </w:t>
      </w:r>
      <w:r w:rsidR="00DE29EE">
        <w:rPr>
          <w:rFonts w:ascii="Cambria" w:eastAsia="Cambria" w:hAnsi="Cambria" w:cs="Cambria"/>
          <w:color w:val="000000"/>
        </w:rPr>
        <w:t>Itovebi</w:t>
      </w:r>
      <w:r>
        <w:rPr>
          <w:rFonts w:ascii="Cambria" w:eastAsia="Cambria" w:hAnsi="Cambria" w:cs="Cambria"/>
          <w:color w:val="000000"/>
        </w:rPr>
        <w:t xml:space="preserve"> and placebo arms, respectively, were comparable </w:t>
      </w:r>
      <w:r>
        <w:rPr>
          <w:rFonts w:ascii="Cambria" w:eastAsia="Cambria" w:hAnsi="Cambria" w:cs="Cambria"/>
          <w:color w:val="000000"/>
        </w:rPr>
        <w:lastRenderedPageBreak/>
        <w:t xml:space="preserve">with no changes of 10 points or greater from baseline mean score observed during the course of treatment. Additionally, no differences in the median time to a confirmed ≥ 10-point, clinically meaningful deterioration in HRQoL (29 [95% CI: 15.8, NE] and 27.4 [95% CI: 15, NE] months), physical function (23.7 [95% CI: 18.4, 28.4] and 22.7 [95% CI: 13.3, 27.4] months), or role function (25.7 [95% CI: 18.4, NE] and 24.2 [95% CI: 7.4, NE] months) were observed between the </w:t>
      </w:r>
      <w:r w:rsidR="00DE29EE">
        <w:rPr>
          <w:rFonts w:ascii="Cambria" w:eastAsia="Cambria" w:hAnsi="Cambria" w:cs="Cambria"/>
          <w:color w:val="000000"/>
        </w:rPr>
        <w:t>Itovebi</w:t>
      </w:r>
      <w:r>
        <w:rPr>
          <w:rFonts w:ascii="Cambria" w:eastAsia="Cambria" w:hAnsi="Cambria" w:cs="Cambria"/>
          <w:color w:val="000000"/>
        </w:rPr>
        <w:t xml:space="preserve"> and placebo arms, respectively, indicating that patients in both arms maintained their day-to-day functioning and HRQoL for a similar duration of time. </w:t>
      </w:r>
    </w:p>
    <w:p w14:paraId="1C5A81D7" w14:textId="77777777" w:rsidR="005972A9" w:rsidRDefault="004A79CA">
      <w:pPr>
        <w:spacing w:after="250"/>
        <w:rPr>
          <w:rFonts w:ascii="Cambria" w:eastAsia="Cambria" w:hAnsi="Cambria" w:cs="Cambria"/>
          <w:color w:val="000000"/>
        </w:rPr>
      </w:pPr>
      <w:r>
        <w:rPr>
          <w:rFonts w:ascii="Cambria" w:eastAsia="Cambria" w:hAnsi="Cambria" w:cs="Cambria"/>
        </w:rPr>
        <w:t>Patients also reported on seven selected symptomatic toxicities (</w:t>
      </w:r>
      <w:r w:rsidR="00B04E2C">
        <w:rPr>
          <w:rFonts w:ascii="Cambria" w:eastAsia="Cambria" w:hAnsi="Cambria" w:cs="Cambria"/>
          <w:color w:val="000000"/>
        </w:rPr>
        <w:t>diarrhoea</w:t>
      </w:r>
      <w:r>
        <w:rPr>
          <w:rFonts w:ascii="Cambria" w:eastAsia="Cambria" w:hAnsi="Cambria" w:cs="Cambria"/>
          <w:color w:val="000000"/>
        </w:rPr>
        <w:t>, nausea, vomiting, fatigue, mouth sores, decreased appetite, and rash)</w:t>
      </w:r>
      <w:r>
        <w:rPr>
          <w:rFonts w:ascii="Cambria" w:eastAsia="Cambria" w:hAnsi="Cambria" w:cs="Cambria"/>
        </w:rPr>
        <w:t xml:space="preserve"> via the Patient-Reported Outcomes – Common Terminology Criteria for Adverse Events (PRO-CTCAE) corresponding to the known, reportable side effects of </w:t>
      </w:r>
      <w:r w:rsidR="00DE29EE">
        <w:rPr>
          <w:rFonts w:ascii="Cambria" w:eastAsia="Cambria" w:hAnsi="Cambria" w:cs="Cambria"/>
        </w:rPr>
        <w:t>Itovebi</w:t>
      </w:r>
      <w:r>
        <w:rPr>
          <w:rFonts w:ascii="Cambria" w:eastAsia="Cambria" w:hAnsi="Cambria" w:cs="Cambria"/>
        </w:rPr>
        <w:t xml:space="preserve">, palbociclib, and fulvestrant, as well as their overall level of bother </w:t>
      </w:r>
      <w:r>
        <w:rPr>
          <w:rFonts w:ascii="Cambria" w:eastAsia="Cambria" w:hAnsi="Cambria" w:cs="Cambria"/>
          <w:color w:val="000000"/>
        </w:rPr>
        <w:t>due to treatment side effects via a single item/question.</w:t>
      </w:r>
    </w:p>
    <w:p w14:paraId="5733E1C2" w14:textId="77777777" w:rsidR="005972A9" w:rsidRDefault="004A79CA">
      <w:pPr>
        <w:spacing w:after="250"/>
        <w:rPr>
          <w:rFonts w:ascii="Cambria" w:eastAsia="Cambria" w:hAnsi="Cambria" w:cs="Cambria"/>
          <w:color w:val="000000"/>
        </w:rPr>
      </w:pPr>
      <w:r>
        <w:rPr>
          <w:rFonts w:ascii="Cambria" w:eastAsia="Cambria" w:hAnsi="Cambria" w:cs="Cambria"/>
          <w:color w:val="000000"/>
        </w:rPr>
        <w:t xml:space="preserve">Completion rates in both arms were &gt; 90% at baseline and &gt; 80% at subsequent time points where &gt; 50% of </w:t>
      </w:r>
      <w:proofErr w:type="gramStart"/>
      <w:r>
        <w:rPr>
          <w:rFonts w:ascii="Cambria" w:eastAsia="Cambria" w:hAnsi="Cambria" w:cs="Cambria"/>
          <w:color w:val="000000"/>
        </w:rPr>
        <w:t>randomised</w:t>
      </w:r>
      <w:proofErr w:type="gramEnd"/>
      <w:r>
        <w:rPr>
          <w:rFonts w:ascii="Cambria" w:eastAsia="Cambria" w:hAnsi="Cambria" w:cs="Cambria"/>
          <w:color w:val="000000"/>
        </w:rPr>
        <w:t xml:space="preserve"> patients were on treatment.</w:t>
      </w:r>
    </w:p>
    <w:p w14:paraId="7C68A258" w14:textId="50848B0D" w:rsidR="005972A9" w:rsidRDefault="004A79CA">
      <w:pPr>
        <w:spacing w:after="250"/>
        <w:rPr>
          <w:rFonts w:ascii="Cambria" w:eastAsia="Cambria" w:hAnsi="Cambria" w:cs="Cambria"/>
          <w:color w:val="000000"/>
        </w:rPr>
      </w:pPr>
      <w:r>
        <w:rPr>
          <w:rFonts w:ascii="Cambria" w:eastAsia="Cambria" w:hAnsi="Cambria" w:cs="Cambria"/>
          <w:color w:val="000000"/>
        </w:rPr>
        <w:t xml:space="preserve">In both arms, </w:t>
      </w:r>
      <w:proofErr w:type="gramStart"/>
      <w:r>
        <w:rPr>
          <w:rFonts w:ascii="Cambria" w:eastAsia="Cambria" w:hAnsi="Cambria" w:cs="Cambria"/>
          <w:color w:val="000000"/>
        </w:rPr>
        <w:t>worst</w:t>
      </w:r>
      <w:proofErr w:type="gramEnd"/>
      <w:r>
        <w:rPr>
          <w:rFonts w:ascii="Cambria" w:eastAsia="Cambria" w:hAnsi="Cambria" w:cs="Cambria"/>
          <w:color w:val="000000"/>
        </w:rPr>
        <w:t xml:space="preserve"> post-baseline levels of ‘moderate’</w:t>
      </w:r>
      <w:proofErr w:type="gramStart"/>
      <w:r>
        <w:rPr>
          <w:rFonts w:ascii="Cambria" w:eastAsia="Cambria" w:hAnsi="Cambria" w:cs="Cambria"/>
          <w:color w:val="000000"/>
        </w:rPr>
        <w:t>/‘</w:t>
      </w:r>
      <w:proofErr w:type="gramEnd"/>
      <w:r>
        <w:rPr>
          <w:rFonts w:ascii="Cambria" w:eastAsia="Cambria" w:hAnsi="Cambria" w:cs="Cambria"/>
          <w:color w:val="000000"/>
        </w:rPr>
        <w:t xml:space="preserve">somewhat’ or less were reported by &gt; 70% of patients for decreased appetite, nausea, and vomiting, and by &gt; 60% of patients for mouth sores, </w:t>
      </w:r>
      <w:r w:rsidR="00B04E2C">
        <w:rPr>
          <w:rFonts w:ascii="Cambria" w:eastAsia="Cambria" w:hAnsi="Cambria" w:cs="Cambria"/>
          <w:color w:val="000000"/>
        </w:rPr>
        <w:t>diarrhoea</w:t>
      </w:r>
      <w:r>
        <w:rPr>
          <w:rFonts w:ascii="Cambria" w:eastAsia="Cambria" w:hAnsi="Cambria" w:cs="Cambria"/>
          <w:color w:val="000000"/>
        </w:rPr>
        <w:t xml:space="preserve">, and fatigue. Greater proportions of patients in the </w:t>
      </w:r>
      <w:r w:rsidR="00DE29EE">
        <w:rPr>
          <w:rFonts w:ascii="Cambria" w:eastAsia="Cambria" w:hAnsi="Cambria" w:cs="Cambria"/>
          <w:color w:val="000000"/>
        </w:rPr>
        <w:t>Itovebi</w:t>
      </w:r>
      <w:r>
        <w:rPr>
          <w:rFonts w:ascii="Cambria" w:eastAsia="Cambria" w:hAnsi="Cambria" w:cs="Cambria"/>
          <w:color w:val="000000"/>
        </w:rPr>
        <w:t xml:space="preserve"> arm reported post-baseline symptomatic toxicities at ‘severe’</w:t>
      </w:r>
      <w:proofErr w:type="gramStart"/>
      <w:r>
        <w:rPr>
          <w:rFonts w:ascii="Cambria" w:eastAsia="Cambria" w:hAnsi="Cambria" w:cs="Cambria"/>
          <w:color w:val="000000"/>
        </w:rPr>
        <w:t>/‘</w:t>
      </w:r>
      <w:proofErr w:type="gramEnd"/>
      <w:r>
        <w:rPr>
          <w:rFonts w:ascii="Cambria" w:eastAsia="Cambria" w:hAnsi="Cambria" w:cs="Cambria"/>
          <w:color w:val="000000"/>
        </w:rPr>
        <w:t>frequently’ or ‘very severe’</w:t>
      </w:r>
      <w:proofErr w:type="gramStart"/>
      <w:r>
        <w:rPr>
          <w:rFonts w:ascii="Cambria" w:eastAsia="Cambria" w:hAnsi="Cambria" w:cs="Cambria"/>
          <w:color w:val="000000"/>
        </w:rPr>
        <w:t>/‘</w:t>
      </w:r>
      <w:proofErr w:type="gramEnd"/>
      <w:r>
        <w:rPr>
          <w:rFonts w:ascii="Cambria" w:eastAsia="Cambria" w:hAnsi="Cambria" w:cs="Cambria"/>
          <w:color w:val="000000"/>
        </w:rPr>
        <w:t xml:space="preserve">almost constantly’ levels; these differences were greatest for mouth sores, decreased appetite, and </w:t>
      </w:r>
      <w:r w:rsidR="00B04E2C">
        <w:rPr>
          <w:rFonts w:ascii="Cambria" w:eastAsia="Cambria" w:hAnsi="Cambria" w:cs="Cambria"/>
          <w:color w:val="000000"/>
        </w:rPr>
        <w:t>diarrhoea</w:t>
      </w:r>
      <w:r>
        <w:rPr>
          <w:rFonts w:ascii="Cambria" w:eastAsia="Cambria" w:hAnsi="Cambria" w:cs="Cambria"/>
          <w:color w:val="000000"/>
        </w:rPr>
        <w:t xml:space="preserve"> (Table </w:t>
      </w:r>
      <w:r w:rsidR="009B043D">
        <w:rPr>
          <w:rFonts w:ascii="Cambria" w:eastAsia="Cambria" w:hAnsi="Cambria" w:cs="Cambria"/>
          <w:color w:val="000000"/>
        </w:rPr>
        <w:t>8</w:t>
      </w:r>
      <w:r>
        <w:rPr>
          <w:rFonts w:ascii="Cambria" w:eastAsia="Cambria" w:hAnsi="Cambria" w:cs="Cambria"/>
          <w:color w:val="000000"/>
        </w:rPr>
        <w:t xml:space="preserve">). Rash was reported in 53.9% and 40.5% of patients in the </w:t>
      </w:r>
      <w:r w:rsidR="00DE29EE">
        <w:rPr>
          <w:rFonts w:ascii="Cambria" w:eastAsia="Cambria" w:hAnsi="Cambria" w:cs="Cambria"/>
          <w:color w:val="000000"/>
        </w:rPr>
        <w:t>Itovebi</w:t>
      </w:r>
      <w:r>
        <w:rPr>
          <w:rFonts w:ascii="Cambria" w:eastAsia="Cambria" w:hAnsi="Cambria" w:cs="Cambria"/>
          <w:color w:val="000000"/>
        </w:rPr>
        <w:t xml:space="preserve"> and placebo arms, respectively, post-baseline.</w:t>
      </w:r>
    </w:p>
    <w:p w14:paraId="55290620" w14:textId="07D75A07" w:rsidR="005972A9" w:rsidRDefault="004A79CA" w:rsidP="000B1021">
      <w:pPr>
        <w:pageBreakBefore/>
        <w:pBdr>
          <w:top w:val="nil"/>
          <w:left w:val="nil"/>
          <w:bottom w:val="nil"/>
          <w:right w:val="nil"/>
          <w:between w:val="nil"/>
        </w:pBdr>
        <w:spacing w:line="240" w:lineRule="auto"/>
        <w:rPr>
          <w:rFonts w:ascii="Cambria" w:eastAsia="Cambria" w:hAnsi="Cambria" w:cs="Cambria"/>
          <w:b/>
          <w:color w:val="000000"/>
        </w:rPr>
      </w:pPr>
      <w:proofErr w:type="gramStart"/>
      <w:r>
        <w:rPr>
          <w:rFonts w:ascii="Cambria" w:eastAsia="Cambria" w:hAnsi="Cambria" w:cs="Cambria"/>
          <w:b/>
          <w:color w:val="000000"/>
        </w:rPr>
        <w:lastRenderedPageBreak/>
        <w:t xml:space="preserve">Table  </w:t>
      </w:r>
      <w:r w:rsidR="009B043D">
        <w:rPr>
          <w:rFonts w:ascii="Cambria" w:eastAsia="Cambria" w:hAnsi="Cambria" w:cs="Cambria"/>
          <w:b/>
          <w:color w:val="000000"/>
        </w:rPr>
        <w:t>8</w:t>
      </w:r>
      <w:r>
        <w:rPr>
          <w:rFonts w:ascii="Cambria" w:eastAsia="Cambria" w:hAnsi="Cambria" w:cs="Cambria"/>
          <w:b/>
          <w:color w:val="000000"/>
        </w:rPr>
        <w:t xml:space="preserve">: </w:t>
      </w:r>
      <w:r>
        <w:rPr>
          <w:rFonts w:ascii="Cambria" w:eastAsia="Cambria" w:hAnsi="Cambria" w:cs="Cambria"/>
          <w:b/>
          <w:color w:val="000000"/>
        </w:rPr>
        <w:tab/>
        <w:t>Proportion</w:t>
      </w:r>
      <w:proofErr w:type="gramEnd"/>
      <w:r>
        <w:rPr>
          <w:rFonts w:ascii="Cambria" w:eastAsia="Cambria" w:hAnsi="Cambria" w:cs="Cambria"/>
          <w:b/>
          <w:color w:val="000000"/>
        </w:rPr>
        <w:t xml:space="preserve"> of Patients Reporting Worst Post-</w:t>
      </w:r>
      <w:proofErr w:type="gramStart"/>
      <w:r>
        <w:rPr>
          <w:rFonts w:ascii="Cambria" w:eastAsia="Cambria" w:hAnsi="Cambria" w:cs="Cambria"/>
          <w:b/>
          <w:color w:val="000000"/>
        </w:rPr>
        <w:t>baseline</w:t>
      </w:r>
      <w:proofErr w:type="gramEnd"/>
      <w:r>
        <w:rPr>
          <w:rFonts w:ascii="Cambria" w:eastAsia="Cambria" w:hAnsi="Cambria" w:cs="Cambria"/>
          <w:b/>
          <w:color w:val="000000"/>
        </w:rPr>
        <w:t xml:space="preserve"> Levels of PRO-CTCAE Symptoms Items in INAVO120</w:t>
      </w:r>
    </w:p>
    <w:tbl>
      <w:tblPr>
        <w:tblW w:w="8779" w:type="dxa"/>
        <w:tblLayout w:type="fixed"/>
        <w:tblCellMar>
          <w:top w:w="15" w:type="dxa"/>
          <w:left w:w="15" w:type="dxa"/>
          <w:bottom w:w="15" w:type="dxa"/>
          <w:right w:w="15" w:type="dxa"/>
        </w:tblCellMar>
        <w:tblLook w:val="0400" w:firstRow="0" w:lastRow="0" w:firstColumn="0" w:lastColumn="0" w:noHBand="0" w:noVBand="1"/>
      </w:tblPr>
      <w:tblGrid>
        <w:gridCol w:w="1520"/>
        <w:gridCol w:w="1305"/>
        <w:gridCol w:w="1134"/>
        <w:gridCol w:w="1276"/>
        <w:gridCol w:w="1134"/>
        <w:gridCol w:w="1276"/>
        <w:gridCol w:w="1134"/>
      </w:tblGrid>
      <w:tr w:rsidR="005972A9" w14:paraId="2EC96A29" w14:textId="77777777" w:rsidTr="00FD7B6F">
        <w:trPr>
          <w:trHeight w:val="380"/>
        </w:trPr>
        <w:tc>
          <w:tcPr>
            <w:tcW w:w="1520"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21DCD2B8" w14:textId="77777777" w:rsidR="005972A9" w:rsidRPr="00FD7B6F" w:rsidRDefault="004A79CA" w:rsidP="00FD7B6F">
            <w:pPr>
              <w:spacing w:before="50" w:after="50" w:line="240" w:lineRule="auto"/>
              <w:rPr>
                <w:rFonts w:ascii="Cambria" w:eastAsia="Cambria" w:hAnsi="Cambria" w:cs="Cambria"/>
                <w:sz w:val="20"/>
                <w:szCs w:val="20"/>
              </w:rPr>
            </w:pPr>
            <w:r w:rsidRPr="00FD7B6F">
              <w:rPr>
                <w:rFonts w:ascii="Cambria" w:eastAsia="Cambria" w:hAnsi="Cambria" w:cs="Cambria"/>
                <w:b/>
                <w:color w:val="000000"/>
                <w:sz w:val="20"/>
                <w:szCs w:val="20"/>
              </w:rPr>
              <w:t>Symptom (Attribute)</w:t>
            </w:r>
            <w:r w:rsidRPr="00FD7B6F">
              <w:rPr>
                <w:rFonts w:ascii="Cambria" w:eastAsia="Cambria" w:hAnsi="Cambria" w:cs="Cambria"/>
                <w:b/>
                <w:color w:val="000000"/>
                <w:sz w:val="20"/>
                <w:szCs w:val="20"/>
                <w:vertAlign w:val="superscript"/>
              </w:rPr>
              <w:t>a</w:t>
            </w:r>
          </w:p>
        </w:tc>
        <w:tc>
          <w:tcPr>
            <w:tcW w:w="243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8C8F32"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b/>
                <w:color w:val="000000"/>
                <w:sz w:val="20"/>
                <w:szCs w:val="20"/>
              </w:rPr>
              <w:t>Baseline Score ≤ 1</w:t>
            </w:r>
            <w:r w:rsidRPr="00FD7B6F">
              <w:rPr>
                <w:rFonts w:ascii="Cambria" w:eastAsia="Cambria" w:hAnsi="Cambria" w:cs="Cambria"/>
                <w:b/>
                <w:color w:val="000000"/>
                <w:sz w:val="20"/>
                <w:szCs w:val="20"/>
                <w:vertAlign w:val="superscript"/>
              </w:rPr>
              <w:t>a</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5E4D67"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b/>
                <w:color w:val="000000"/>
                <w:sz w:val="20"/>
                <w:szCs w:val="20"/>
              </w:rPr>
              <w:t>Post-baseline Score ≤ 2</w:t>
            </w:r>
            <w:r w:rsidRPr="00FD7B6F">
              <w:rPr>
                <w:rFonts w:ascii="Cambria" w:eastAsia="Cambria" w:hAnsi="Cambria" w:cs="Cambria"/>
                <w:b/>
                <w:color w:val="000000"/>
                <w:sz w:val="20"/>
                <w:szCs w:val="20"/>
                <w:vertAlign w:val="superscript"/>
              </w:rPr>
              <w:t>a</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CC32E6"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b/>
                <w:color w:val="000000"/>
                <w:sz w:val="20"/>
                <w:szCs w:val="20"/>
              </w:rPr>
              <w:t>Post-baseline Score ≥ 3</w:t>
            </w:r>
            <w:r w:rsidRPr="00FD7B6F">
              <w:rPr>
                <w:rFonts w:ascii="Cambria" w:eastAsia="Cambria" w:hAnsi="Cambria" w:cs="Cambria"/>
                <w:b/>
                <w:color w:val="000000"/>
                <w:sz w:val="20"/>
                <w:szCs w:val="20"/>
                <w:vertAlign w:val="superscript"/>
              </w:rPr>
              <w:t>a</w:t>
            </w:r>
          </w:p>
        </w:tc>
      </w:tr>
      <w:tr w:rsidR="005972A9" w14:paraId="59DCDB61" w14:textId="77777777" w:rsidTr="00FD7B6F">
        <w:tc>
          <w:tcPr>
            <w:tcW w:w="15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FA811B" w14:textId="77777777" w:rsidR="005972A9" w:rsidRPr="00FD7B6F" w:rsidRDefault="005972A9" w:rsidP="00FD7B6F">
            <w:pPr>
              <w:spacing w:before="50" w:after="50" w:line="240" w:lineRule="auto"/>
              <w:rPr>
                <w:rFonts w:ascii="Cambria" w:eastAsia="Cambria" w:hAnsi="Cambria" w:cs="Cambria"/>
                <w:sz w:val="20"/>
                <w:szCs w:val="20"/>
              </w:rPr>
            </w:pP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37DD52" w14:textId="77777777" w:rsidR="005972A9" w:rsidRPr="00FD7B6F" w:rsidRDefault="004A79CA" w:rsidP="00FD7B6F">
            <w:pPr>
              <w:spacing w:before="50" w:after="50" w:line="240" w:lineRule="auto"/>
              <w:jc w:val="center"/>
              <w:rPr>
                <w:rFonts w:ascii="Cambria" w:eastAsia="Cambria" w:hAnsi="Cambria" w:cs="Cambria"/>
                <w:sz w:val="20"/>
                <w:szCs w:val="20"/>
              </w:rPr>
            </w:pPr>
            <w:proofErr w:type="spellStart"/>
            <w:r w:rsidRPr="00FD7B6F">
              <w:rPr>
                <w:rFonts w:ascii="Cambria" w:eastAsia="Cambria" w:hAnsi="Cambria" w:cs="Cambria"/>
                <w:b/>
                <w:color w:val="000000"/>
                <w:sz w:val="20"/>
                <w:szCs w:val="20"/>
              </w:rPr>
              <w:t>Inavo+P+F</w:t>
            </w:r>
            <w:proofErr w:type="spellEnd"/>
          </w:p>
          <w:p w14:paraId="22327E03"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b/>
                <w:color w:val="000000"/>
                <w:sz w:val="20"/>
                <w:szCs w:val="20"/>
              </w:rPr>
              <w:t>(N=148)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191029" w14:textId="77777777" w:rsidR="005972A9" w:rsidRPr="00FD7B6F" w:rsidRDefault="004A79CA" w:rsidP="00FD7B6F">
            <w:pPr>
              <w:spacing w:before="50" w:after="50" w:line="240" w:lineRule="auto"/>
              <w:jc w:val="center"/>
              <w:rPr>
                <w:rFonts w:ascii="Cambria" w:eastAsia="Cambria" w:hAnsi="Cambria" w:cs="Cambria"/>
                <w:sz w:val="20"/>
                <w:szCs w:val="20"/>
              </w:rPr>
            </w:pPr>
            <w:proofErr w:type="spellStart"/>
            <w:r w:rsidRPr="00FD7B6F">
              <w:rPr>
                <w:rFonts w:ascii="Cambria" w:eastAsia="Cambria" w:hAnsi="Cambria" w:cs="Cambria"/>
                <w:b/>
                <w:color w:val="000000"/>
                <w:sz w:val="20"/>
                <w:szCs w:val="20"/>
              </w:rPr>
              <w:t>Pbo+P+F</w:t>
            </w:r>
            <w:proofErr w:type="spellEnd"/>
          </w:p>
          <w:p w14:paraId="0A8DAAEC"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b/>
                <w:color w:val="000000"/>
                <w:sz w:val="20"/>
                <w:szCs w:val="20"/>
              </w:rPr>
              <w:t>(N=152)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E2D1C9" w14:textId="77777777" w:rsidR="005972A9" w:rsidRPr="00FD7B6F" w:rsidRDefault="004A79CA" w:rsidP="00FD7B6F">
            <w:pPr>
              <w:spacing w:before="50" w:after="50" w:line="240" w:lineRule="auto"/>
              <w:jc w:val="center"/>
              <w:rPr>
                <w:rFonts w:ascii="Cambria" w:eastAsia="Cambria" w:hAnsi="Cambria" w:cs="Cambria"/>
                <w:sz w:val="20"/>
                <w:szCs w:val="20"/>
              </w:rPr>
            </w:pPr>
            <w:proofErr w:type="spellStart"/>
            <w:r w:rsidRPr="00FD7B6F">
              <w:rPr>
                <w:rFonts w:ascii="Cambria" w:eastAsia="Cambria" w:hAnsi="Cambria" w:cs="Cambria"/>
                <w:b/>
                <w:color w:val="000000"/>
                <w:sz w:val="20"/>
                <w:szCs w:val="20"/>
              </w:rPr>
              <w:t>Inavo+P+F</w:t>
            </w:r>
            <w:proofErr w:type="spellEnd"/>
          </w:p>
          <w:p w14:paraId="5396F2BF"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b/>
                <w:color w:val="000000"/>
                <w:sz w:val="20"/>
                <w:szCs w:val="20"/>
              </w:rPr>
              <w:t>(N=152)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EB646C" w14:textId="77777777" w:rsidR="005972A9" w:rsidRPr="00FD7B6F" w:rsidRDefault="004A79CA" w:rsidP="00FD7B6F">
            <w:pPr>
              <w:spacing w:before="50" w:after="50" w:line="240" w:lineRule="auto"/>
              <w:jc w:val="center"/>
              <w:rPr>
                <w:rFonts w:ascii="Cambria" w:eastAsia="Cambria" w:hAnsi="Cambria" w:cs="Cambria"/>
                <w:sz w:val="20"/>
                <w:szCs w:val="20"/>
              </w:rPr>
            </w:pPr>
            <w:proofErr w:type="spellStart"/>
            <w:r w:rsidRPr="00FD7B6F">
              <w:rPr>
                <w:rFonts w:ascii="Cambria" w:eastAsia="Cambria" w:hAnsi="Cambria" w:cs="Cambria"/>
                <w:b/>
                <w:color w:val="000000"/>
                <w:sz w:val="20"/>
                <w:szCs w:val="20"/>
              </w:rPr>
              <w:t>Pbo+P+F</w:t>
            </w:r>
            <w:proofErr w:type="spellEnd"/>
          </w:p>
          <w:p w14:paraId="417877AC"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b/>
                <w:color w:val="000000"/>
                <w:sz w:val="20"/>
                <w:szCs w:val="20"/>
              </w:rPr>
              <w:t>(N=158)</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93E5AA" w14:textId="77777777" w:rsidR="005972A9" w:rsidRPr="00FD7B6F" w:rsidRDefault="004A79CA" w:rsidP="00FD7B6F">
            <w:pPr>
              <w:spacing w:before="50" w:after="50" w:line="240" w:lineRule="auto"/>
              <w:jc w:val="center"/>
              <w:rPr>
                <w:rFonts w:ascii="Cambria" w:eastAsia="Cambria" w:hAnsi="Cambria" w:cs="Cambria"/>
                <w:sz w:val="20"/>
                <w:szCs w:val="20"/>
              </w:rPr>
            </w:pPr>
            <w:proofErr w:type="spellStart"/>
            <w:r w:rsidRPr="00FD7B6F">
              <w:rPr>
                <w:rFonts w:ascii="Cambria" w:eastAsia="Cambria" w:hAnsi="Cambria" w:cs="Cambria"/>
                <w:b/>
                <w:color w:val="000000"/>
                <w:sz w:val="20"/>
                <w:szCs w:val="20"/>
              </w:rPr>
              <w:t>Inavo+P+F</w:t>
            </w:r>
            <w:proofErr w:type="spellEnd"/>
          </w:p>
          <w:p w14:paraId="55DE7EFA"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b/>
                <w:color w:val="000000"/>
                <w:sz w:val="20"/>
                <w:szCs w:val="20"/>
              </w:rPr>
              <w:t>(N=152)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BA1CF4" w14:textId="77777777" w:rsidR="005972A9" w:rsidRPr="00FD7B6F" w:rsidRDefault="004A79CA" w:rsidP="00FD7B6F">
            <w:pPr>
              <w:spacing w:before="50" w:after="50" w:line="240" w:lineRule="auto"/>
              <w:jc w:val="center"/>
              <w:rPr>
                <w:rFonts w:ascii="Cambria" w:eastAsia="Cambria" w:hAnsi="Cambria" w:cs="Cambria"/>
                <w:sz w:val="20"/>
                <w:szCs w:val="20"/>
              </w:rPr>
            </w:pPr>
            <w:proofErr w:type="spellStart"/>
            <w:r w:rsidRPr="00FD7B6F">
              <w:rPr>
                <w:rFonts w:ascii="Cambria" w:eastAsia="Cambria" w:hAnsi="Cambria" w:cs="Cambria"/>
                <w:b/>
                <w:color w:val="000000"/>
                <w:sz w:val="20"/>
                <w:szCs w:val="20"/>
              </w:rPr>
              <w:t>Pbo+P+F</w:t>
            </w:r>
            <w:proofErr w:type="spellEnd"/>
          </w:p>
          <w:p w14:paraId="25F59834"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b/>
                <w:color w:val="000000"/>
                <w:sz w:val="20"/>
                <w:szCs w:val="20"/>
              </w:rPr>
              <w:t>(N=158)</w:t>
            </w:r>
          </w:p>
        </w:tc>
      </w:tr>
      <w:tr w:rsidR="005972A9" w14:paraId="77AA35D1" w14:textId="77777777" w:rsidTr="00FD7B6F">
        <w:tc>
          <w:tcPr>
            <w:tcW w:w="15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D905F0" w14:textId="77777777" w:rsidR="005972A9" w:rsidRPr="00FD7B6F" w:rsidRDefault="004A79CA" w:rsidP="00FD7B6F">
            <w:pPr>
              <w:spacing w:before="50" w:after="50" w:line="240" w:lineRule="auto"/>
              <w:rPr>
                <w:rFonts w:ascii="Cambria" w:eastAsia="Cambria" w:hAnsi="Cambria" w:cs="Cambria"/>
                <w:sz w:val="20"/>
                <w:szCs w:val="20"/>
              </w:rPr>
            </w:pPr>
            <w:r w:rsidRPr="00FD7B6F">
              <w:rPr>
                <w:rFonts w:ascii="Cambria" w:eastAsia="Cambria" w:hAnsi="Cambria" w:cs="Cambria"/>
                <w:color w:val="000000"/>
                <w:sz w:val="20"/>
                <w:szCs w:val="20"/>
              </w:rPr>
              <w:t>Mouth sores (severity), %</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C578AB"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97.3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B2FF9B"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97.4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049BB9"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69.7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D6EDD0"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91.1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6E03B9"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30.2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91D521"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8.9</w:t>
            </w:r>
          </w:p>
        </w:tc>
      </w:tr>
      <w:tr w:rsidR="005972A9" w14:paraId="694D0DCC" w14:textId="77777777" w:rsidTr="00FD7B6F">
        <w:tc>
          <w:tcPr>
            <w:tcW w:w="15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DF832B" w14:textId="77777777" w:rsidR="005972A9" w:rsidRPr="00FD7B6F" w:rsidRDefault="004A79CA" w:rsidP="00FD7B6F">
            <w:pPr>
              <w:spacing w:before="50" w:after="50" w:line="240" w:lineRule="auto"/>
              <w:rPr>
                <w:rFonts w:ascii="Cambria" w:eastAsia="Cambria" w:hAnsi="Cambria" w:cs="Cambria"/>
                <w:sz w:val="20"/>
                <w:szCs w:val="20"/>
              </w:rPr>
            </w:pPr>
            <w:r w:rsidRPr="00FD7B6F">
              <w:rPr>
                <w:rFonts w:ascii="Cambria" w:eastAsia="Cambria" w:hAnsi="Cambria" w:cs="Cambria"/>
                <w:color w:val="000000"/>
                <w:sz w:val="20"/>
                <w:szCs w:val="20"/>
              </w:rPr>
              <w:t>Decreased appetite (severity), %</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B7E65B"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89.9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0D13D1"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91.5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BDFBD7"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73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732272"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87.4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FD6A39"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27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E0DB62"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12.7</w:t>
            </w:r>
          </w:p>
        </w:tc>
      </w:tr>
      <w:tr w:rsidR="005972A9" w14:paraId="5EE80433" w14:textId="77777777" w:rsidTr="00FD7B6F">
        <w:tc>
          <w:tcPr>
            <w:tcW w:w="15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174B16" w14:textId="77777777" w:rsidR="005972A9" w:rsidRPr="00FD7B6F" w:rsidRDefault="004A79CA" w:rsidP="00FD7B6F">
            <w:pPr>
              <w:spacing w:before="50" w:after="50" w:line="240" w:lineRule="auto"/>
              <w:rPr>
                <w:rFonts w:ascii="Cambria" w:eastAsia="Cambria" w:hAnsi="Cambria" w:cs="Cambria"/>
                <w:sz w:val="20"/>
                <w:szCs w:val="20"/>
              </w:rPr>
            </w:pPr>
            <w:r w:rsidRPr="00FD7B6F">
              <w:rPr>
                <w:rFonts w:ascii="Cambria" w:eastAsia="Cambria" w:hAnsi="Cambria" w:cs="Cambria"/>
                <w:color w:val="000000"/>
                <w:sz w:val="20"/>
                <w:szCs w:val="20"/>
              </w:rPr>
              <w:t>Nausea (frequency), %</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A86E20"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89.2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958104"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91.4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83438E"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80.3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C374E8"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86.7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68A55A"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19.7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9C2297"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13.3</w:t>
            </w:r>
          </w:p>
        </w:tc>
      </w:tr>
      <w:tr w:rsidR="005972A9" w14:paraId="4896EB02" w14:textId="77777777" w:rsidTr="00FD7B6F">
        <w:tc>
          <w:tcPr>
            <w:tcW w:w="15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F5F06C" w14:textId="77777777" w:rsidR="005972A9" w:rsidRPr="00FD7B6F" w:rsidRDefault="004A79CA" w:rsidP="00FD7B6F">
            <w:pPr>
              <w:spacing w:before="50" w:after="50" w:line="240" w:lineRule="auto"/>
              <w:rPr>
                <w:rFonts w:ascii="Cambria" w:eastAsia="Cambria" w:hAnsi="Cambria" w:cs="Cambria"/>
                <w:sz w:val="20"/>
                <w:szCs w:val="20"/>
              </w:rPr>
            </w:pPr>
            <w:r w:rsidRPr="00FD7B6F">
              <w:rPr>
                <w:rFonts w:ascii="Cambria" w:eastAsia="Cambria" w:hAnsi="Cambria" w:cs="Cambria"/>
                <w:color w:val="000000"/>
                <w:sz w:val="20"/>
                <w:szCs w:val="20"/>
              </w:rPr>
              <w:t>Vomiting (frequency), %</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15152F"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95.9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DA7D86"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98</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0E4229"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94.1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0D1FD9"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96.8</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8B9289"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5.9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816F47"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3.2</w:t>
            </w:r>
          </w:p>
        </w:tc>
      </w:tr>
      <w:tr w:rsidR="005972A9" w14:paraId="7AFAA324" w14:textId="77777777" w:rsidTr="00FD7B6F">
        <w:tc>
          <w:tcPr>
            <w:tcW w:w="15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C27B00" w14:textId="77777777" w:rsidR="005972A9" w:rsidRPr="00FD7B6F" w:rsidRDefault="00B04E2C" w:rsidP="00FD7B6F">
            <w:pPr>
              <w:spacing w:before="50" w:after="50" w:line="240" w:lineRule="auto"/>
              <w:rPr>
                <w:rFonts w:ascii="Cambria" w:eastAsia="Cambria" w:hAnsi="Cambria" w:cs="Cambria"/>
                <w:sz w:val="20"/>
                <w:szCs w:val="20"/>
              </w:rPr>
            </w:pPr>
            <w:r>
              <w:rPr>
                <w:rFonts w:ascii="Cambria" w:eastAsia="Cambria" w:hAnsi="Cambria" w:cs="Cambria"/>
                <w:color w:val="000000"/>
                <w:sz w:val="20"/>
                <w:szCs w:val="20"/>
              </w:rPr>
              <w:t>Diarrhoea</w:t>
            </w:r>
            <w:r w:rsidR="004A79CA" w:rsidRPr="00FD7B6F">
              <w:rPr>
                <w:rFonts w:ascii="Cambria" w:eastAsia="Cambria" w:hAnsi="Cambria" w:cs="Cambria"/>
                <w:color w:val="000000"/>
                <w:sz w:val="20"/>
                <w:szCs w:val="20"/>
              </w:rPr>
              <w:t xml:space="preserve"> (frequency), %</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F58F96"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91.2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922624"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93.5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CDF2D8"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67.1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EA120C"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89.9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C33E70"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32.9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3F0DA0"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10.1</w:t>
            </w:r>
          </w:p>
        </w:tc>
      </w:tr>
      <w:tr w:rsidR="005972A9" w14:paraId="01664B24" w14:textId="77777777" w:rsidTr="00FD7B6F">
        <w:tc>
          <w:tcPr>
            <w:tcW w:w="1520" w:type="dxa"/>
            <w:tcBorders>
              <w:top w:val="single" w:sz="8" w:space="0" w:color="000000"/>
              <w:left w:val="single" w:sz="8" w:space="0" w:color="000000"/>
              <w:bottom w:val="single" w:sz="18" w:space="0" w:color="000000"/>
              <w:right w:val="single" w:sz="8" w:space="0" w:color="000000"/>
            </w:tcBorders>
            <w:shd w:val="clear" w:color="auto" w:fill="auto"/>
            <w:tcMar>
              <w:top w:w="100" w:type="dxa"/>
              <w:left w:w="100" w:type="dxa"/>
              <w:bottom w:w="100" w:type="dxa"/>
              <w:right w:w="100" w:type="dxa"/>
            </w:tcMar>
          </w:tcPr>
          <w:p w14:paraId="7C518B1E" w14:textId="77777777" w:rsidR="005972A9" w:rsidRPr="00FD7B6F" w:rsidRDefault="004A79CA" w:rsidP="00FD7B6F">
            <w:pPr>
              <w:spacing w:before="50" w:after="50" w:line="240" w:lineRule="auto"/>
              <w:rPr>
                <w:rFonts w:ascii="Cambria" w:eastAsia="Cambria" w:hAnsi="Cambria" w:cs="Cambria"/>
                <w:sz w:val="20"/>
                <w:szCs w:val="20"/>
              </w:rPr>
            </w:pPr>
            <w:r w:rsidRPr="00FD7B6F">
              <w:rPr>
                <w:rFonts w:ascii="Cambria" w:eastAsia="Cambria" w:hAnsi="Cambria" w:cs="Cambria"/>
                <w:color w:val="000000"/>
                <w:sz w:val="20"/>
                <w:szCs w:val="20"/>
              </w:rPr>
              <w:t>Fatigue (severity), %</w:t>
            </w:r>
          </w:p>
        </w:tc>
        <w:tc>
          <w:tcPr>
            <w:tcW w:w="1305" w:type="dxa"/>
            <w:tcBorders>
              <w:top w:val="single" w:sz="8" w:space="0" w:color="000000"/>
              <w:left w:val="single" w:sz="8" w:space="0" w:color="000000"/>
              <w:bottom w:val="single" w:sz="18" w:space="0" w:color="000000"/>
              <w:right w:val="single" w:sz="8" w:space="0" w:color="000000"/>
            </w:tcBorders>
            <w:shd w:val="clear" w:color="auto" w:fill="auto"/>
            <w:tcMar>
              <w:top w:w="100" w:type="dxa"/>
              <w:left w:w="100" w:type="dxa"/>
              <w:bottom w:w="100" w:type="dxa"/>
              <w:right w:w="100" w:type="dxa"/>
            </w:tcMar>
          </w:tcPr>
          <w:p w14:paraId="5F530598"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73.6</w:t>
            </w:r>
          </w:p>
        </w:tc>
        <w:tc>
          <w:tcPr>
            <w:tcW w:w="1134" w:type="dxa"/>
            <w:tcBorders>
              <w:top w:val="single" w:sz="8" w:space="0" w:color="000000"/>
              <w:left w:val="single" w:sz="8" w:space="0" w:color="000000"/>
              <w:bottom w:val="single" w:sz="18" w:space="0" w:color="000000"/>
              <w:right w:val="single" w:sz="8" w:space="0" w:color="000000"/>
            </w:tcBorders>
            <w:shd w:val="clear" w:color="auto" w:fill="auto"/>
            <w:tcMar>
              <w:top w:w="100" w:type="dxa"/>
              <w:left w:w="100" w:type="dxa"/>
              <w:bottom w:w="100" w:type="dxa"/>
              <w:right w:w="100" w:type="dxa"/>
            </w:tcMar>
          </w:tcPr>
          <w:p w14:paraId="0F0A7043"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73</w:t>
            </w:r>
          </w:p>
        </w:tc>
        <w:tc>
          <w:tcPr>
            <w:tcW w:w="1276" w:type="dxa"/>
            <w:tcBorders>
              <w:top w:val="single" w:sz="8" w:space="0" w:color="000000"/>
              <w:left w:val="single" w:sz="8" w:space="0" w:color="000000"/>
              <w:bottom w:val="single" w:sz="18" w:space="0" w:color="000000"/>
              <w:right w:val="single" w:sz="8" w:space="0" w:color="000000"/>
            </w:tcBorders>
            <w:shd w:val="clear" w:color="auto" w:fill="auto"/>
            <w:tcMar>
              <w:top w:w="100" w:type="dxa"/>
              <w:left w:w="100" w:type="dxa"/>
              <w:bottom w:w="100" w:type="dxa"/>
              <w:right w:w="100" w:type="dxa"/>
            </w:tcMar>
          </w:tcPr>
          <w:p w14:paraId="1E817E3A"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63.2</w:t>
            </w:r>
          </w:p>
        </w:tc>
        <w:tc>
          <w:tcPr>
            <w:tcW w:w="1134" w:type="dxa"/>
            <w:tcBorders>
              <w:top w:val="single" w:sz="8" w:space="0" w:color="000000"/>
              <w:left w:val="single" w:sz="8" w:space="0" w:color="000000"/>
              <w:bottom w:val="single" w:sz="18" w:space="0" w:color="000000"/>
              <w:right w:val="single" w:sz="8" w:space="0" w:color="000000"/>
            </w:tcBorders>
            <w:shd w:val="clear" w:color="auto" w:fill="auto"/>
            <w:tcMar>
              <w:top w:w="100" w:type="dxa"/>
              <w:left w:w="100" w:type="dxa"/>
              <w:bottom w:w="100" w:type="dxa"/>
              <w:right w:w="100" w:type="dxa"/>
            </w:tcMar>
          </w:tcPr>
          <w:p w14:paraId="68D44046"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72.8</w:t>
            </w:r>
          </w:p>
        </w:tc>
        <w:tc>
          <w:tcPr>
            <w:tcW w:w="1276" w:type="dxa"/>
            <w:tcBorders>
              <w:top w:val="single" w:sz="8" w:space="0" w:color="000000"/>
              <w:left w:val="single" w:sz="8" w:space="0" w:color="000000"/>
              <w:bottom w:val="single" w:sz="18" w:space="0" w:color="000000"/>
              <w:right w:val="single" w:sz="8" w:space="0" w:color="000000"/>
            </w:tcBorders>
            <w:shd w:val="clear" w:color="auto" w:fill="auto"/>
            <w:tcMar>
              <w:top w:w="100" w:type="dxa"/>
              <w:left w:w="100" w:type="dxa"/>
              <w:bottom w:w="100" w:type="dxa"/>
              <w:right w:w="100" w:type="dxa"/>
            </w:tcMar>
          </w:tcPr>
          <w:p w14:paraId="31B2A907"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36.8</w:t>
            </w:r>
          </w:p>
        </w:tc>
        <w:tc>
          <w:tcPr>
            <w:tcW w:w="1134" w:type="dxa"/>
            <w:tcBorders>
              <w:top w:val="single" w:sz="8" w:space="0" w:color="000000"/>
              <w:left w:val="single" w:sz="8" w:space="0" w:color="000000"/>
              <w:bottom w:val="single" w:sz="18" w:space="0" w:color="000000"/>
              <w:right w:val="single" w:sz="8" w:space="0" w:color="000000"/>
            </w:tcBorders>
            <w:shd w:val="clear" w:color="auto" w:fill="auto"/>
            <w:tcMar>
              <w:top w:w="100" w:type="dxa"/>
              <w:left w:w="100" w:type="dxa"/>
              <w:bottom w:w="100" w:type="dxa"/>
              <w:right w:w="100" w:type="dxa"/>
            </w:tcMar>
          </w:tcPr>
          <w:p w14:paraId="2E0B4517" w14:textId="77777777" w:rsidR="005972A9" w:rsidRPr="00FD7B6F" w:rsidRDefault="004A79CA" w:rsidP="00FD7B6F">
            <w:pPr>
              <w:spacing w:before="50" w:after="50" w:line="240" w:lineRule="auto"/>
              <w:jc w:val="center"/>
              <w:rPr>
                <w:rFonts w:ascii="Cambria" w:eastAsia="Cambria" w:hAnsi="Cambria" w:cs="Cambria"/>
                <w:sz w:val="20"/>
                <w:szCs w:val="20"/>
              </w:rPr>
            </w:pPr>
            <w:r w:rsidRPr="00FD7B6F">
              <w:rPr>
                <w:rFonts w:ascii="Cambria" w:eastAsia="Cambria" w:hAnsi="Cambria" w:cs="Cambria"/>
                <w:color w:val="000000"/>
                <w:sz w:val="20"/>
                <w:szCs w:val="20"/>
              </w:rPr>
              <w:t>27.2</w:t>
            </w:r>
          </w:p>
        </w:tc>
      </w:tr>
    </w:tbl>
    <w:p w14:paraId="4C5D5801" w14:textId="77777777" w:rsidR="005972A9" w:rsidRPr="00375767" w:rsidRDefault="005972A9">
      <w:pPr>
        <w:pBdr>
          <w:top w:val="nil"/>
          <w:left w:val="nil"/>
          <w:bottom w:val="nil"/>
          <w:right w:val="nil"/>
          <w:between w:val="nil"/>
        </w:pBdr>
        <w:spacing w:after="100"/>
        <w:rPr>
          <w:rFonts w:ascii="Arial" w:eastAsia="Arial" w:hAnsi="Arial" w:cs="Arial"/>
          <w:color w:val="000000"/>
          <w:sz w:val="2"/>
          <w:szCs w:val="2"/>
        </w:rPr>
      </w:pPr>
    </w:p>
    <w:tbl>
      <w:tblPr>
        <w:tblW w:w="8779" w:type="dxa"/>
        <w:tblLayout w:type="fixed"/>
        <w:tblCellMar>
          <w:top w:w="15" w:type="dxa"/>
          <w:left w:w="15" w:type="dxa"/>
          <w:bottom w:w="15" w:type="dxa"/>
          <w:right w:w="15" w:type="dxa"/>
        </w:tblCellMar>
        <w:tblLook w:val="0400" w:firstRow="0" w:lastRow="0" w:firstColumn="0" w:lastColumn="0" w:noHBand="0" w:noVBand="1"/>
      </w:tblPr>
      <w:tblGrid>
        <w:gridCol w:w="1520"/>
        <w:gridCol w:w="1677"/>
        <w:gridCol w:w="2038"/>
        <w:gridCol w:w="1595"/>
        <w:gridCol w:w="1949"/>
      </w:tblGrid>
      <w:tr w:rsidR="00375767" w14:paraId="1F5D411E" w14:textId="77777777" w:rsidTr="00375767">
        <w:trPr>
          <w:tblHeader/>
        </w:trPr>
        <w:tc>
          <w:tcPr>
            <w:tcW w:w="1520" w:type="dxa"/>
            <w:vMerge w:val="restart"/>
            <w:tcBorders>
              <w:top w:val="single" w:sz="1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05F37C" w14:textId="77777777" w:rsidR="00375767" w:rsidRPr="00FD7B6F" w:rsidRDefault="00375767">
            <w:pPr>
              <w:spacing w:before="50" w:after="50" w:line="240" w:lineRule="auto"/>
              <w:rPr>
                <w:rFonts w:ascii="Cambria" w:eastAsia="Cambria" w:hAnsi="Cambria" w:cs="Cambria"/>
                <w:color w:val="000000"/>
                <w:sz w:val="20"/>
                <w:szCs w:val="20"/>
              </w:rPr>
            </w:pPr>
            <w:proofErr w:type="gramStart"/>
            <w:r w:rsidRPr="00FD7B6F">
              <w:rPr>
                <w:rFonts w:ascii="Cambria" w:eastAsia="Cambria" w:hAnsi="Cambria" w:cs="Cambria"/>
                <w:b/>
                <w:color w:val="000000"/>
                <w:sz w:val="20"/>
                <w:szCs w:val="20"/>
              </w:rPr>
              <w:t>Symptom</w:t>
            </w:r>
            <w:proofErr w:type="gramEnd"/>
            <w:r w:rsidRPr="00FD7B6F">
              <w:rPr>
                <w:rFonts w:ascii="Cambria" w:eastAsia="Cambria" w:hAnsi="Cambria" w:cs="Cambria"/>
                <w:b/>
                <w:color w:val="000000"/>
                <w:sz w:val="20"/>
                <w:szCs w:val="20"/>
              </w:rPr>
              <w:t xml:space="preserve"> (Attribute)</w:t>
            </w:r>
          </w:p>
        </w:tc>
        <w:tc>
          <w:tcPr>
            <w:tcW w:w="3715" w:type="dxa"/>
            <w:gridSpan w:val="2"/>
            <w:tcBorders>
              <w:top w:val="single" w:sz="1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5AA82C" w14:textId="77777777" w:rsidR="00375767" w:rsidRPr="00FD7B6F" w:rsidRDefault="00375767">
            <w:pPr>
              <w:spacing w:before="50" w:after="50" w:line="240" w:lineRule="auto"/>
              <w:jc w:val="center"/>
              <w:rPr>
                <w:rFonts w:ascii="Cambria" w:eastAsia="Cambria" w:hAnsi="Cambria" w:cs="Cambria"/>
                <w:b/>
                <w:color w:val="000000"/>
                <w:sz w:val="20"/>
                <w:szCs w:val="20"/>
              </w:rPr>
            </w:pPr>
            <w:r w:rsidRPr="00FD7B6F">
              <w:rPr>
                <w:rFonts w:ascii="Cambria" w:eastAsia="Cambria" w:hAnsi="Cambria" w:cs="Cambria"/>
                <w:b/>
                <w:color w:val="000000"/>
                <w:sz w:val="20"/>
                <w:szCs w:val="20"/>
              </w:rPr>
              <w:t>Baseline Presence</w:t>
            </w:r>
          </w:p>
        </w:tc>
        <w:tc>
          <w:tcPr>
            <w:tcW w:w="3544" w:type="dxa"/>
            <w:gridSpan w:val="2"/>
            <w:tcBorders>
              <w:top w:val="single" w:sz="1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F28ECE" w14:textId="77777777" w:rsidR="00375767" w:rsidRPr="00FD7B6F" w:rsidRDefault="00375767">
            <w:pPr>
              <w:spacing w:before="50" w:after="50" w:line="240" w:lineRule="auto"/>
              <w:jc w:val="center"/>
              <w:rPr>
                <w:rFonts w:ascii="Cambria" w:eastAsia="Cambria" w:hAnsi="Cambria" w:cs="Cambria"/>
                <w:b/>
                <w:color w:val="000000"/>
                <w:sz w:val="20"/>
                <w:szCs w:val="20"/>
              </w:rPr>
            </w:pPr>
            <w:r w:rsidRPr="00FD7B6F">
              <w:rPr>
                <w:rFonts w:ascii="Cambria" w:eastAsia="Cambria" w:hAnsi="Cambria" w:cs="Cambria"/>
                <w:b/>
                <w:color w:val="000000"/>
                <w:sz w:val="20"/>
                <w:szCs w:val="20"/>
              </w:rPr>
              <w:t>Post-baseline Presence</w:t>
            </w:r>
          </w:p>
        </w:tc>
      </w:tr>
      <w:tr w:rsidR="00375767" w14:paraId="401CB31D" w14:textId="77777777" w:rsidTr="00375767">
        <w:trPr>
          <w:tblHeader/>
        </w:trPr>
        <w:tc>
          <w:tcPr>
            <w:tcW w:w="1520" w:type="dxa"/>
            <w:vMerge/>
            <w:tcBorders>
              <w:top w:val="single" w:sz="1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97CBED" w14:textId="77777777" w:rsidR="00375767" w:rsidRPr="00FD7B6F" w:rsidRDefault="00375767">
            <w:pPr>
              <w:widowControl w:val="0"/>
              <w:pBdr>
                <w:top w:val="nil"/>
                <w:left w:val="nil"/>
                <w:bottom w:val="nil"/>
                <w:right w:val="nil"/>
                <w:between w:val="nil"/>
              </w:pBdr>
              <w:spacing w:after="0"/>
              <w:rPr>
                <w:rFonts w:ascii="Cambria" w:eastAsia="Cambria" w:hAnsi="Cambria" w:cs="Cambria"/>
                <w:b/>
                <w:color w:val="000000"/>
                <w:sz w:val="20"/>
                <w:szCs w:val="20"/>
              </w:rPr>
            </w:pP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772D7E" w14:textId="77777777" w:rsidR="00375767" w:rsidRPr="00FD7B6F" w:rsidRDefault="00375767">
            <w:pPr>
              <w:spacing w:before="50" w:after="50" w:line="240" w:lineRule="auto"/>
              <w:jc w:val="center"/>
              <w:rPr>
                <w:rFonts w:ascii="Cambria" w:eastAsia="Cambria" w:hAnsi="Cambria" w:cs="Cambria"/>
                <w:sz w:val="20"/>
                <w:szCs w:val="20"/>
              </w:rPr>
            </w:pPr>
            <w:proofErr w:type="spellStart"/>
            <w:r w:rsidRPr="00FD7B6F">
              <w:rPr>
                <w:rFonts w:ascii="Cambria" w:eastAsia="Cambria" w:hAnsi="Cambria" w:cs="Cambria"/>
                <w:b/>
                <w:color w:val="000000"/>
                <w:sz w:val="20"/>
                <w:szCs w:val="20"/>
              </w:rPr>
              <w:t>Inavo+P+F</w:t>
            </w:r>
            <w:proofErr w:type="spellEnd"/>
          </w:p>
          <w:p w14:paraId="78193846" w14:textId="77777777" w:rsidR="00375767" w:rsidRPr="00FD7B6F" w:rsidRDefault="00375767">
            <w:pPr>
              <w:spacing w:before="50" w:after="50" w:line="240" w:lineRule="auto"/>
              <w:jc w:val="center"/>
              <w:rPr>
                <w:rFonts w:ascii="Cambria" w:eastAsia="Cambria" w:hAnsi="Cambria" w:cs="Cambria"/>
                <w:color w:val="000000"/>
                <w:sz w:val="20"/>
                <w:szCs w:val="20"/>
              </w:rPr>
            </w:pPr>
            <w:r w:rsidRPr="00FD7B6F">
              <w:rPr>
                <w:rFonts w:ascii="Cambria" w:eastAsia="Cambria" w:hAnsi="Cambria" w:cs="Cambria"/>
                <w:b/>
                <w:color w:val="000000"/>
                <w:sz w:val="20"/>
                <w:szCs w:val="20"/>
              </w:rPr>
              <w:t>(N=148)</w:t>
            </w:r>
          </w:p>
        </w:tc>
        <w:tc>
          <w:tcPr>
            <w:tcW w:w="2038" w:type="dxa"/>
            <w:tcBorders>
              <w:top w:val="single" w:sz="8" w:space="0" w:color="000000"/>
              <w:left w:val="single" w:sz="8" w:space="0" w:color="000000"/>
              <w:bottom w:val="single" w:sz="8" w:space="0" w:color="000000"/>
              <w:right w:val="single" w:sz="8" w:space="0" w:color="000000"/>
            </w:tcBorders>
            <w:shd w:val="clear" w:color="auto" w:fill="auto"/>
          </w:tcPr>
          <w:p w14:paraId="7A90DF38" w14:textId="77777777" w:rsidR="00375767" w:rsidRPr="00FD7B6F" w:rsidRDefault="00375767">
            <w:pPr>
              <w:spacing w:before="50" w:after="50" w:line="240" w:lineRule="auto"/>
              <w:jc w:val="center"/>
              <w:rPr>
                <w:rFonts w:ascii="Cambria" w:eastAsia="Cambria" w:hAnsi="Cambria" w:cs="Cambria"/>
                <w:sz w:val="20"/>
                <w:szCs w:val="20"/>
              </w:rPr>
            </w:pPr>
            <w:proofErr w:type="spellStart"/>
            <w:r w:rsidRPr="00FD7B6F">
              <w:rPr>
                <w:rFonts w:ascii="Cambria" w:eastAsia="Cambria" w:hAnsi="Cambria" w:cs="Cambria"/>
                <w:b/>
                <w:color w:val="000000"/>
                <w:sz w:val="20"/>
                <w:szCs w:val="20"/>
              </w:rPr>
              <w:t>Pbo+P+F</w:t>
            </w:r>
            <w:proofErr w:type="spellEnd"/>
          </w:p>
          <w:p w14:paraId="22D0690C" w14:textId="77777777" w:rsidR="00375767" w:rsidRPr="00FD7B6F" w:rsidRDefault="00375767">
            <w:pPr>
              <w:spacing w:before="50" w:after="50" w:line="240" w:lineRule="auto"/>
              <w:jc w:val="center"/>
              <w:rPr>
                <w:rFonts w:ascii="Cambria" w:eastAsia="Cambria" w:hAnsi="Cambria" w:cs="Cambria"/>
                <w:color w:val="000000"/>
                <w:sz w:val="20"/>
                <w:szCs w:val="20"/>
              </w:rPr>
            </w:pPr>
            <w:r w:rsidRPr="00FD7B6F">
              <w:rPr>
                <w:rFonts w:ascii="Cambria" w:eastAsia="Cambria" w:hAnsi="Cambria" w:cs="Cambria"/>
                <w:b/>
                <w:color w:val="000000"/>
                <w:sz w:val="20"/>
                <w:szCs w:val="20"/>
              </w:rPr>
              <w:t>(N=152)</w:t>
            </w:r>
          </w:p>
        </w:tc>
        <w:tc>
          <w:tcPr>
            <w:tcW w:w="15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5AB505" w14:textId="77777777" w:rsidR="00375767" w:rsidRPr="00FD7B6F" w:rsidRDefault="00375767">
            <w:pPr>
              <w:spacing w:before="50" w:after="50" w:line="240" w:lineRule="auto"/>
              <w:jc w:val="center"/>
              <w:rPr>
                <w:rFonts w:ascii="Cambria" w:eastAsia="Cambria" w:hAnsi="Cambria" w:cs="Cambria"/>
                <w:sz w:val="20"/>
                <w:szCs w:val="20"/>
              </w:rPr>
            </w:pPr>
            <w:proofErr w:type="spellStart"/>
            <w:r w:rsidRPr="00FD7B6F">
              <w:rPr>
                <w:rFonts w:ascii="Cambria" w:eastAsia="Cambria" w:hAnsi="Cambria" w:cs="Cambria"/>
                <w:b/>
                <w:color w:val="000000"/>
                <w:sz w:val="20"/>
                <w:szCs w:val="20"/>
              </w:rPr>
              <w:t>Inavo+P+F</w:t>
            </w:r>
            <w:proofErr w:type="spellEnd"/>
          </w:p>
          <w:p w14:paraId="22DF5B7B" w14:textId="77777777" w:rsidR="00375767" w:rsidRPr="00FD7B6F" w:rsidRDefault="00375767">
            <w:pPr>
              <w:spacing w:before="50" w:after="50" w:line="240" w:lineRule="auto"/>
              <w:jc w:val="center"/>
              <w:rPr>
                <w:rFonts w:ascii="Cambria" w:eastAsia="Cambria" w:hAnsi="Cambria" w:cs="Cambria"/>
                <w:b/>
                <w:color w:val="000000"/>
                <w:sz w:val="20"/>
                <w:szCs w:val="20"/>
              </w:rPr>
            </w:pPr>
            <w:r w:rsidRPr="00FD7B6F">
              <w:rPr>
                <w:rFonts w:ascii="Cambria" w:eastAsia="Cambria" w:hAnsi="Cambria" w:cs="Cambria"/>
                <w:b/>
                <w:color w:val="000000"/>
                <w:sz w:val="20"/>
                <w:szCs w:val="20"/>
              </w:rPr>
              <w:t>(N=152)</w:t>
            </w:r>
          </w:p>
        </w:tc>
        <w:tc>
          <w:tcPr>
            <w:tcW w:w="1949" w:type="dxa"/>
            <w:tcBorders>
              <w:top w:val="single" w:sz="8" w:space="0" w:color="000000"/>
              <w:left w:val="single" w:sz="8" w:space="0" w:color="000000"/>
              <w:bottom w:val="single" w:sz="8" w:space="0" w:color="000000"/>
              <w:right w:val="single" w:sz="8" w:space="0" w:color="000000"/>
            </w:tcBorders>
            <w:shd w:val="clear" w:color="auto" w:fill="auto"/>
          </w:tcPr>
          <w:p w14:paraId="6DC54F47" w14:textId="77777777" w:rsidR="00375767" w:rsidRPr="00FD7B6F" w:rsidRDefault="00375767">
            <w:pPr>
              <w:spacing w:before="50" w:after="50" w:line="240" w:lineRule="auto"/>
              <w:jc w:val="center"/>
              <w:rPr>
                <w:rFonts w:ascii="Cambria" w:eastAsia="Cambria" w:hAnsi="Cambria" w:cs="Cambria"/>
                <w:b/>
                <w:color w:val="000000"/>
                <w:sz w:val="20"/>
                <w:szCs w:val="20"/>
              </w:rPr>
            </w:pPr>
            <w:proofErr w:type="spellStart"/>
            <w:r w:rsidRPr="00FD7B6F">
              <w:rPr>
                <w:rFonts w:ascii="Cambria" w:eastAsia="Cambria" w:hAnsi="Cambria" w:cs="Cambria"/>
                <w:b/>
                <w:color w:val="000000"/>
                <w:sz w:val="20"/>
                <w:szCs w:val="20"/>
              </w:rPr>
              <w:t>Pbo+P+F</w:t>
            </w:r>
            <w:proofErr w:type="spellEnd"/>
          </w:p>
          <w:p w14:paraId="457F4F94" w14:textId="77777777" w:rsidR="00375767" w:rsidRPr="00FD7B6F" w:rsidRDefault="00375767">
            <w:pPr>
              <w:spacing w:before="50" w:after="50" w:line="240" w:lineRule="auto"/>
              <w:jc w:val="center"/>
              <w:rPr>
                <w:rFonts w:ascii="Cambria" w:eastAsia="Cambria" w:hAnsi="Cambria" w:cs="Cambria"/>
                <w:color w:val="000000"/>
                <w:sz w:val="20"/>
                <w:szCs w:val="20"/>
              </w:rPr>
            </w:pPr>
            <w:r w:rsidRPr="00FD7B6F">
              <w:rPr>
                <w:rFonts w:ascii="Cambria" w:eastAsia="Cambria" w:hAnsi="Cambria" w:cs="Cambria"/>
                <w:b/>
                <w:color w:val="000000"/>
                <w:sz w:val="20"/>
                <w:szCs w:val="20"/>
              </w:rPr>
              <w:t>(N=158)</w:t>
            </w:r>
          </w:p>
        </w:tc>
      </w:tr>
      <w:tr w:rsidR="00375767" w14:paraId="28AB21F0" w14:textId="77777777">
        <w:tc>
          <w:tcPr>
            <w:tcW w:w="15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102AEA" w14:textId="77777777" w:rsidR="00375767" w:rsidRPr="00FD7B6F" w:rsidRDefault="00375767">
            <w:pPr>
              <w:spacing w:before="50" w:after="50" w:line="240" w:lineRule="auto"/>
              <w:rPr>
                <w:rFonts w:ascii="Cambria" w:eastAsia="Cambria" w:hAnsi="Cambria" w:cs="Cambria"/>
                <w:color w:val="000000"/>
                <w:sz w:val="20"/>
                <w:szCs w:val="20"/>
              </w:rPr>
            </w:pPr>
            <w:r w:rsidRPr="00FD7B6F">
              <w:rPr>
                <w:rFonts w:ascii="Cambria" w:eastAsia="Cambria" w:hAnsi="Cambria" w:cs="Cambria"/>
                <w:color w:val="000000"/>
                <w:sz w:val="20"/>
                <w:szCs w:val="20"/>
              </w:rPr>
              <w:t>Rash (yes/no), %</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4B2283" w14:textId="77777777" w:rsidR="00375767" w:rsidRPr="00FD7B6F" w:rsidRDefault="00375767">
            <w:pP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94.6 (No)</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77A45A" w14:textId="77777777" w:rsidR="00375767" w:rsidRPr="00FD7B6F" w:rsidRDefault="00375767">
            <w:pP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95.4 (No)</w:t>
            </w:r>
          </w:p>
        </w:tc>
        <w:tc>
          <w:tcPr>
            <w:tcW w:w="15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E8E358" w14:textId="77777777" w:rsidR="00375767" w:rsidRPr="00FD7B6F" w:rsidRDefault="00375767">
            <w:pP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53.9 (Yes)</w:t>
            </w:r>
          </w:p>
        </w:tc>
        <w:tc>
          <w:tcPr>
            <w:tcW w:w="1949" w:type="dxa"/>
            <w:tcBorders>
              <w:top w:val="single" w:sz="8" w:space="0" w:color="000000"/>
              <w:left w:val="single" w:sz="8" w:space="0" w:color="000000"/>
              <w:bottom w:val="single" w:sz="8" w:space="0" w:color="000000"/>
              <w:right w:val="single" w:sz="8" w:space="0" w:color="000000"/>
            </w:tcBorders>
            <w:shd w:val="clear" w:color="auto" w:fill="auto"/>
          </w:tcPr>
          <w:p w14:paraId="396667DB" w14:textId="77777777" w:rsidR="00375767" w:rsidRPr="00FD7B6F" w:rsidRDefault="00375767">
            <w:pPr>
              <w:spacing w:before="50" w:after="50" w:line="240" w:lineRule="auto"/>
              <w:jc w:val="center"/>
              <w:rPr>
                <w:rFonts w:ascii="Cambria" w:eastAsia="Cambria" w:hAnsi="Cambria" w:cs="Cambria"/>
                <w:color w:val="000000"/>
                <w:sz w:val="20"/>
                <w:szCs w:val="20"/>
              </w:rPr>
            </w:pPr>
            <w:r w:rsidRPr="00FD7B6F">
              <w:rPr>
                <w:rFonts w:ascii="Cambria" w:eastAsia="Cambria" w:hAnsi="Cambria" w:cs="Cambria"/>
                <w:color w:val="000000"/>
                <w:sz w:val="20"/>
                <w:szCs w:val="20"/>
              </w:rPr>
              <w:t>40.5 (Yes)</w:t>
            </w:r>
          </w:p>
        </w:tc>
      </w:tr>
      <w:tr w:rsidR="00375767" w14:paraId="04FE9AD3" w14:textId="77777777">
        <w:tc>
          <w:tcPr>
            <w:tcW w:w="8779"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41C4CF" w14:textId="77777777" w:rsidR="00375767" w:rsidRPr="00FD7B6F" w:rsidRDefault="00375767">
            <w:pPr>
              <w:pBdr>
                <w:top w:val="nil"/>
                <w:left w:val="nil"/>
                <w:bottom w:val="nil"/>
                <w:right w:val="nil"/>
                <w:between w:val="nil"/>
              </w:pBdr>
              <w:spacing w:before="50" w:after="50" w:line="240" w:lineRule="auto"/>
              <w:rPr>
                <w:rFonts w:ascii="Cambria" w:eastAsia="Cambria" w:hAnsi="Cambria" w:cs="Cambria"/>
                <w:color w:val="000000"/>
                <w:sz w:val="20"/>
                <w:szCs w:val="20"/>
              </w:rPr>
            </w:pPr>
            <w:proofErr w:type="spellStart"/>
            <w:r w:rsidRPr="00FD7B6F">
              <w:rPr>
                <w:rFonts w:ascii="Cambria" w:eastAsia="Cambria" w:hAnsi="Cambria" w:cs="Cambria"/>
                <w:color w:val="000000"/>
                <w:sz w:val="20"/>
                <w:szCs w:val="20"/>
              </w:rPr>
              <w:t>Inavo+P+F</w:t>
            </w:r>
            <w:proofErr w:type="spellEnd"/>
            <w:r w:rsidRPr="00FD7B6F">
              <w:rPr>
                <w:rFonts w:ascii="Cambria" w:eastAsia="Cambria" w:hAnsi="Cambria" w:cs="Cambria"/>
                <w:color w:val="000000"/>
                <w:sz w:val="20"/>
                <w:szCs w:val="20"/>
              </w:rPr>
              <w:t xml:space="preserve"> = </w:t>
            </w:r>
            <w:proofErr w:type="spellStart"/>
            <w:r>
              <w:rPr>
                <w:rFonts w:ascii="Cambria" w:eastAsia="Cambria" w:hAnsi="Cambria" w:cs="Cambria"/>
                <w:color w:val="000000"/>
                <w:sz w:val="20"/>
                <w:szCs w:val="20"/>
              </w:rPr>
              <w:t>Itovebi</w:t>
            </w:r>
            <w:proofErr w:type="spellEnd"/>
            <w:r w:rsidRPr="00FD7B6F">
              <w:rPr>
                <w:rFonts w:ascii="Cambria" w:eastAsia="Cambria" w:hAnsi="Cambria" w:cs="Cambria"/>
                <w:color w:val="000000"/>
                <w:sz w:val="20"/>
                <w:szCs w:val="20"/>
              </w:rPr>
              <w:t xml:space="preserve"> plus palbociclib and fulvestrant arm; N/A = not applicable; </w:t>
            </w:r>
            <w:proofErr w:type="spellStart"/>
            <w:r w:rsidRPr="00FD7B6F">
              <w:rPr>
                <w:rFonts w:ascii="Cambria" w:eastAsia="Cambria" w:hAnsi="Cambria" w:cs="Cambria"/>
                <w:color w:val="000000"/>
                <w:sz w:val="20"/>
                <w:szCs w:val="20"/>
              </w:rPr>
              <w:t>Pbo+P+F</w:t>
            </w:r>
            <w:proofErr w:type="spellEnd"/>
            <w:r w:rsidRPr="00FD7B6F">
              <w:rPr>
                <w:rFonts w:ascii="Cambria" w:eastAsia="Cambria" w:hAnsi="Cambria" w:cs="Cambria"/>
                <w:color w:val="000000"/>
                <w:sz w:val="20"/>
                <w:szCs w:val="20"/>
              </w:rPr>
              <w:t xml:space="preserve"> = placebo plus palbociclib and fulvestrant arm</w:t>
            </w:r>
          </w:p>
          <w:p w14:paraId="1E282420" w14:textId="77777777" w:rsidR="00375767" w:rsidRPr="00FD7B6F" w:rsidRDefault="00375767">
            <w:pPr>
              <w:pBdr>
                <w:top w:val="nil"/>
                <w:left w:val="nil"/>
                <w:bottom w:val="nil"/>
                <w:right w:val="nil"/>
                <w:between w:val="nil"/>
              </w:pBdr>
              <w:spacing w:before="50" w:after="50" w:line="240" w:lineRule="auto"/>
              <w:ind w:left="115" w:hanging="115"/>
              <w:rPr>
                <w:rFonts w:ascii="Cambria" w:eastAsia="Cambria" w:hAnsi="Cambria" w:cs="Cambria"/>
                <w:color w:val="000000"/>
                <w:sz w:val="20"/>
                <w:szCs w:val="20"/>
              </w:rPr>
            </w:pPr>
            <w:proofErr w:type="spellStart"/>
            <w:r w:rsidRPr="00FD7B6F">
              <w:rPr>
                <w:rFonts w:ascii="Cambria" w:eastAsia="Cambria" w:hAnsi="Cambria" w:cs="Cambria"/>
                <w:color w:val="000000"/>
                <w:sz w:val="20"/>
                <w:szCs w:val="20"/>
                <w:vertAlign w:val="superscript"/>
              </w:rPr>
              <w:t>a</w:t>
            </w:r>
            <w:proofErr w:type="spellEnd"/>
            <w:r w:rsidRPr="00FD7B6F">
              <w:rPr>
                <w:rFonts w:ascii="Cambria" w:eastAsia="Cambria" w:hAnsi="Cambria" w:cs="Cambria"/>
                <w:color w:val="000000"/>
                <w:sz w:val="20"/>
                <w:szCs w:val="20"/>
              </w:rPr>
              <w:t xml:space="preserve"> The symptom attribute scoring is defined by amount/frequency/severity with a score of 0 = ‘not at all’/‘never’/‘none’; 1 = ‘a little bit’/‘rarely’/‘mild’; 2 = ‘somewhat’/‘occasionally’/‘moderate’; 3 = ‘quite a bit’/‘frequently’/‘severe’; 4 = ‘very much’/‘almost constantly’/‘very severe’.</w:t>
            </w:r>
          </w:p>
        </w:tc>
      </w:tr>
    </w:tbl>
    <w:p w14:paraId="368630CC" w14:textId="77777777" w:rsidR="00375767" w:rsidRDefault="00375767">
      <w:pPr>
        <w:pBdr>
          <w:top w:val="nil"/>
          <w:left w:val="nil"/>
          <w:bottom w:val="nil"/>
          <w:right w:val="nil"/>
          <w:between w:val="nil"/>
        </w:pBdr>
        <w:spacing w:after="100"/>
        <w:rPr>
          <w:rFonts w:ascii="Arial" w:eastAsia="Arial" w:hAnsi="Arial" w:cs="Arial"/>
          <w:color w:val="000000"/>
        </w:rPr>
      </w:pPr>
    </w:p>
    <w:p w14:paraId="550AD906" w14:textId="77777777" w:rsidR="005972A9" w:rsidRDefault="004A79CA">
      <w:pPr>
        <w:pBdr>
          <w:top w:val="nil"/>
          <w:left w:val="nil"/>
          <w:bottom w:val="nil"/>
          <w:right w:val="nil"/>
          <w:between w:val="nil"/>
        </w:pBdr>
        <w:spacing w:after="250"/>
        <w:rPr>
          <w:rFonts w:ascii="Cambria" w:eastAsia="Cambria" w:hAnsi="Cambria" w:cs="Cambria"/>
          <w:color w:val="000000"/>
        </w:rPr>
      </w:pPr>
      <w:r>
        <w:rPr>
          <w:rFonts w:ascii="Cambria" w:eastAsia="Cambria" w:hAnsi="Cambria" w:cs="Cambria"/>
          <w:color w:val="000000"/>
        </w:rPr>
        <w:t>Patients reported low levels of overall bother from treatment side effects (i.e</w:t>
      </w:r>
      <w:proofErr w:type="gramStart"/>
      <w:r>
        <w:rPr>
          <w:rFonts w:ascii="Cambria" w:eastAsia="Cambria" w:hAnsi="Cambria" w:cs="Cambria"/>
          <w:color w:val="000000"/>
        </w:rPr>
        <w:t>., ‘</w:t>
      </w:r>
      <w:proofErr w:type="gramEnd"/>
      <w:r>
        <w:rPr>
          <w:rFonts w:ascii="Cambria" w:eastAsia="Cambria" w:hAnsi="Cambria" w:cs="Cambria"/>
          <w:color w:val="000000"/>
        </w:rPr>
        <w:t xml:space="preserve">not at all’ or ‘a little bit’) at baseline in both the </w:t>
      </w:r>
      <w:r w:rsidR="00DE29EE">
        <w:rPr>
          <w:rFonts w:ascii="Cambria" w:eastAsia="Cambria" w:hAnsi="Cambria" w:cs="Cambria"/>
          <w:color w:val="000000"/>
        </w:rPr>
        <w:t>Itovebi</w:t>
      </w:r>
      <w:r>
        <w:rPr>
          <w:rFonts w:ascii="Cambria" w:eastAsia="Cambria" w:hAnsi="Cambria" w:cs="Cambria"/>
          <w:color w:val="000000"/>
        </w:rPr>
        <w:t xml:space="preserve"> arm (91.2%) and placebo arm (94.1%). During the course of treatment, a similar proportion of patients in both arms (≥ 90% in each arm) reported </w:t>
      </w:r>
      <w:r>
        <w:rPr>
          <w:rFonts w:ascii="Cambria" w:eastAsia="Cambria" w:hAnsi="Cambria" w:cs="Cambria"/>
          <w:color w:val="000000"/>
        </w:rPr>
        <w:lastRenderedPageBreak/>
        <w:t xml:space="preserve">increased levels of bother, mostly at levels ‘moderate’/‘somewhat’ or less, suggesting that </w:t>
      </w:r>
      <w:r w:rsidR="00DE29EE">
        <w:rPr>
          <w:rFonts w:ascii="Cambria" w:eastAsia="Cambria" w:hAnsi="Cambria" w:cs="Cambria"/>
          <w:color w:val="000000"/>
        </w:rPr>
        <w:t>Itovebi</w:t>
      </w:r>
      <w:r>
        <w:rPr>
          <w:rFonts w:ascii="Cambria" w:eastAsia="Cambria" w:hAnsi="Cambria" w:cs="Cambria"/>
          <w:color w:val="000000"/>
        </w:rPr>
        <w:t xml:space="preserve"> did not increase treatment burden when added to palbociclib and fulvestrant.</w:t>
      </w:r>
    </w:p>
    <w:p w14:paraId="41C81E35" w14:textId="746B2694" w:rsidR="005972A9" w:rsidRDefault="004A79CA">
      <w:pPr>
        <w:pStyle w:val="Heading2"/>
        <w:keepNext/>
        <w:numPr>
          <w:ilvl w:val="1"/>
          <w:numId w:val="4"/>
        </w:numPr>
        <w:spacing w:before="0" w:after="120"/>
      </w:pPr>
      <w:bookmarkStart w:id="28" w:name="_heading=h.1pxezwc" w:colFirst="0" w:colLast="0"/>
      <w:bookmarkStart w:id="29" w:name="_heading=h.49x2ik5" w:colFirst="0" w:colLast="0"/>
      <w:bookmarkStart w:id="30" w:name="_heading=h.2p2csry" w:colFirst="0" w:colLast="0"/>
      <w:bookmarkEnd w:id="28"/>
      <w:bookmarkEnd w:id="29"/>
      <w:bookmarkEnd w:id="30"/>
      <w:r>
        <w:t xml:space="preserve">Pharmacokinetic properties </w:t>
      </w:r>
    </w:p>
    <w:p w14:paraId="353BBBA9" w14:textId="77777777" w:rsidR="005972A9" w:rsidRDefault="004A79CA">
      <w:pPr>
        <w:pBdr>
          <w:top w:val="nil"/>
          <w:left w:val="nil"/>
          <w:bottom w:val="nil"/>
          <w:right w:val="nil"/>
          <w:between w:val="nil"/>
        </w:pBdr>
        <w:spacing w:after="250"/>
        <w:rPr>
          <w:rFonts w:ascii="Cambria" w:eastAsia="Cambria" w:hAnsi="Cambria" w:cs="Cambria"/>
          <w:color w:val="000000"/>
        </w:rPr>
      </w:pPr>
      <w:r>
        <w:rPr>
          <w:rFonts w:ascii="Cambria" w:eastAsia="Cambria" w:hAnsi="Cambria" w:cs="Cambria"/>
          <w:color w:val="000000"/>
        </w:rPr>
        <w:t xml:space="preserve">The pharmacokinetics of inavolisib were characterized in patients with locally advanced or metastatic </w:t>
      </w:r>
      <w:r>
        <w:rPr>
          <w:rFonts w:ascii="Cambria" w:eastAsia="Cambria" w:hAnsi="Cambria" w:cs="Cambria"/>
          <w:i/>
          <w:color w:val="000000"/>
        </w:rPr>
        <w:t>PIK3CA</w:t>
      </w:r>
      <w:r>
        <w:rPr>
          <w:rFonts w:ascii="Cambria" w:eastAsia="Cambria" w:hAnsi="Cambria" w:cs="Cambria"/>
          <w:color w:val="000000"/>
        </w:rPr>
        <w:t>-mutated solid tumours, including breast cancer, under an oral dosing regimen ranging from 6 mg to 12 mg daily and in healthy subjects at 9 mg single dose.</w:t>
      </w:r>
      <w:r>
        <w:rPr>
          <w:rFonts w:ascii="Cambria" w:eastAsia="Cambria" w:hAnsi="Cambria" w:cs="Cambria"/>
          <w:color w:val="0000FF"/>
        </w:rPr>
        <w:t xml:space="preserve">  </w:t>
      </w:r>
      <w:r w:rsidR="00590E74">
        <w:rPr>
          <w:rFonts w:ascii="Cambria" w:eastAsia="Cambria" w:hAnsi="Cambria" w:cs="Cambria"/>
          <w:color w:val="0000FF"/>
        </w:rPr>
        <w:t xml:space="preserve"> </w:t>
      </w:r>
    </w:p>
    <w:p w14:paraId="4F9B0528" w14:textId="784D3AF1" w:rsidR="005972A9" w:rsidRDefault="004A79CA">
      <w:pPr>
        <w:pBdr>
          <w:top w:val="nil"/>
          <w:left w:val="nil"/>
          <w:bottom w:val="nil"/>
          <w:right w:val="nil"/>
          <w:between w:val="nil"/>
        </w:pBdr>
        <w:spacing w:after="250" w:line="280" w:lineRule="auto"/>
        <w:rPr>
          <w:rFonts w:ascii="Cambria" w:eastAsia="Cambria" w:hAnsi="Cambria" w:cs="Cambria"/>
          <w:color w:val="000000"/>
        </w:rPr>
      </w:pPr>
      <w:r>
        <w:rPr>
          <w:rFonts w:ascii="Cambria" w:eastAsia="Cambria" w:hAnsi="Cambria" w:cs="Cambria"/>
          <w:color w:val="000000"/>
        </w:rPr>
        <w:t>Inavolisib exhibited dose-proportional pharmacokinetics in patients with locally advanced or metastatic breast cancer over a dose range of 6 mg to 12 mg.</w:t>
      </w:r>
    </w:p>
    <w:p w14:paraId="0921A34E" w14:textId="320685D3" w:rsidR="005972A9" w:rsidRDefault="004A79CA">
      <w:pPr>
        <w:pBdr>
          <w:top w:val="nil"/>
          <w:left w:val="nil"/>
          <w:bottom w:val="nil"/>
          <w:right w:val="nil"/>
          <w:between w:val="nil"/>
        </w:pBdr>
        <w:spacing w:after="250" w:line="280" w:lineRule="auto"/>
        <w:rPr>
          <w:rFonts w:ascii="Cambria" w:eastAsia="Cambria" w:hAnsi="Cambria" w:cs="Cambria"/>
          <w:color w:val="000000"/>
        </w:rPr>
      </w:pPr>
      <w:r>
        <w:rPr>
          <w:rFonts w:ascii="Cambria" w:eastAsia="Cambria" w:hAnsi="Cambria" w:cs="Cambria"/>
          <w:color w:val="000000"/>
        </w:rPr>
        <w:t>The exposure-response correlation for the efficacy of inavolisib was not observed. Exposure-response relationships were observed for hyperglycaemia (CTCAE Grade ≥ 2) at doses of 3 mg to 12 mg (0.3 to 1.3 times the recommended dosage) and anemia (CTCAE Grade ≥ 2) at the recommended dosage of 9 mg.</w:t>
      </w:r>
    </w:p>
    <w:p w14:paraId="6A829DA8" w14:textId="77777777" w:rsidR="005972A9" w:rsidRDefault="004A79CA" w:rsidP="00B4667A">
      <w:pPr>
        <w:pStyle w:val="Heading3"/>
        <w:spacing w:before="0"/>
        <w:ind w:firstLine="227"/>
        <w:rPr>
          <w:b w:val="0"/>
        </w:rPr>
      </w:pPr>
      <w:r>
        <w:t>Absorption</w:t>
      </w:r>
    </w:p>
    <w:p w14:paraId="2FE72A52" w14:textId="59802E51" w:rsidR="005972A9" w:rsidRDefault="004A79CA">
      <w:pPr>
        <w:pBdr>
          <w:top w:val="nil"/>
          <w:left w:val="nil"/>
          <w:bottom w:val="nil"/>
          <w:right w:val="nil"/>
          <w:between w:val="nil"/>
        </w:pBdr>
        <w:spacing w:after="250"/>
        <w:rPr>
          <w:rFonts w:ascii="Cambria" w:eastAsia="Cambria" w:hAnsi="Cambria" w:cs="Cambria"/>
          <w:color w:val="000000"/>
        </w:rPr>
      </w:pPr>
      <w:r>
        <w:rPr>
          <w:rFonts w:ascii="Cambria" w:eastAsia="Cambria" w:hAnsi="Cambria" w:cs="Cambria"/>
          <w:color w:val="000000"/>
        </w:rPr>
        <w:t>The time to maximum plasma concentration (</w:t>
      </w:r>
      <w:proofErr w:type="spellStart"/>
      <w:r>
        <w:rPr>
          <w:rFonts w:ascii="Cambria" w:eastAsia="Cambria" w:hAnsi="Cambria" w:cs="Cambria"/>
          <w:color w:val="000000"/>
        </w:rPr>
        <w:t>T</w:t>
      </w:r>
      <w:r>
        <w:rPr>
          <w:rFonts w:ascii="Cambria" w:eastAsia="Cambria" w:hAnsi="Cambria" w:cs="Cambria"/>
          <w:color w:val="000000"/>
          <w:vertAlign w:val="subscript"/>
        </w:rPr>
        <w:t>max</w:t>
      </w:r>
      <w:proofErr w:type="spellEnd"/>
      <w:r>
        <w:rPr>
          <w:rFonts w:ascii="Cambria" w:eastAsia="Cambria" w:hAnsi="Cambria" w:cs="Cambria"/>
          <w:color w:val="000000"/>
        </w:rPr>
        <w:t xml:space="preserve">) was reached after a median of 3 hours (range: 0.5 to 4 hours) at steady </w:t>
      </w:r>
      <w:proofErr w:type="gramStart"/>
      <w:r>
        <w:rPr>
          <w:rFonts w:ascii="Cambria" w:eastAsia="Cambria" w:hAnsi="Cambria" w:cs="Cambria"/>
          <w:color w:val="000000"/>
        </w:rPr>
        <w:t>state</w:t>
      </w:r>
      <w:proofErr w:type="gramEnd"/>
      <w:r>
        <w:rPr>
          <w:rFonts w:ascii="Cambria" w:eastAsia="Cambria" w:hAnsi="Cambria" w:cs="Cambria"/>
          <w:color w:val="000000"/>
        </w:rPr>
        <w:t xml:space="preserve"> following 9 mg once daily dosing of </w:t>
      </w:r>
      <w:proofErr w:type="spellStart"/>
      <w:r>
        <w:rPr>
          <w:rFonts w:ascii="Cambria" w:eastAsia="Cambria" w:hAnsi="Cambria" w:cs="Cambria"/>
          <w:color w:val="000000"/>
        </w:rPr>
        <w:t>inavolisib</w:t>
      </w:r>
      <w:proofErr w:type="spellEnd"/>
      <w:r>
        <w:rPr>
          <w:rFonts w:ascii="Cambria" w:eastAsia="Cambria" w:hAnsi="Cambria" w:cs="Cambria"/>
          <w:color w:val="000000"/>
        </w:rPr>
        <w:t>, under fasted conditions.</w:t>
      </w:r>
    </w:p>
    <w:p w14:paraId="524F6208" w14:textId="20C7B7F8" w:rsidR="005972A9" w:rsidRDefault="004A79CA">
      <w:pPr>
        <w:pBdr>
          <w:top w:val="nil"/>
          <w:left w:val="nil"/>
          <w:bottom w:val="nil"/>
          <w:right w:val="nil"/>
          <w:between w:val="nil"/>
        </w:pBdr>
        <w:spacing w:after="250"/>
        <w:rPr>
          <w:rFonts w:ascii="Cambria" w:eastAsia="Cambria" w:hAnsi="Cambria" w:cs="Cambria"/>
          <w:color w:val="000000"/>
        </w:rPr>
      </w:pPr>
      <w:r>
        <w:rPr>
          <w:rFonts w:ascii="Cambria" w:eastAsia="Cambria" w:hAnsi="Cambria" w:cs="Cambria"/>
          <w:color w:val="000000"/>
        </w:rPr>
        <w:t>With 9 mg once daily dosing, the geometric mean accumulation ratio was 2.04.</w:t>
      </w:r>
    </w:p>
    <w:p w14:paraId="4A70A95E" w14:textId="086348E3" w:rsidR="005972A9" w:rsidRDefault="004A79CA">
      <w:pPr>
        <w:pBdr>
          <w:top w:val="nil"/>
          <w:left w:val="nil"/>
          <w:bottom w:val="nil"/>
          <w:right w:val="nil"/>
          <w:between w:val="nil"/>
        </w:pBdr>
        <w:spacing w:after="250"/>
        <w:rPr>
          <w:rFonts w:ascii="Cambria" w:eastAsia="Cambria" w:hAnsi="Cambria" w:cs="Cambria"/>
          <w:color w:val="000000"/>
        </w:rPr>
      </w:pPr>
      <w:r>
        <w:rPr>
          <w:rFonts w:ascii="Cambria" w:eastAsia="Cambria" w:hAnsi="Cambria" w:cs="Cambria"/>
          <w:color w:val="000000"/>
        </w:rPr>
        <w:t xml:space="preserve">The absolute bioavailability of </w:t>
      </w:r>
      <w:proofErr w:type="spellStart"/>
      <w:r>
        <w:rPr>
          <w:rFonts w:ascii="Cambria" w:eastAsia="Cambria" w:hAnsi="Cambria" w:cs="Cambria"/>
          <w:color w:val="000000"/>
        </w:rPr>
        <w:t>inavolisib</w:t>
      </w:r>
      <w:proofErr w:type="spellEnd"/>
      <w:r>
        <w:rPr>
          <w:rFonts w:ascii="Cambria" w:eastAsia="Cambria" w:hAnsi="Cambria" w:cs="Cambria"/>
          <w:color w:val="000000"/>
        </w:rPr>
        <w:t xml:space="preserve"> was 76%.</w:t>
      </w:r>
    </w:p>
    <w:p w14:paraId="5F1E5A88" w14:textId="07D01F8A" w:rsidR="005972A9" w:rsidRDefault="004A79CA">
      <w:pPr>
        <w:pBdr>
          <w:top w:val="nil"/>
          <w:left w:val="nil"/>
          <w:bottom w:val="nil"/>
          <w:right w:val="nil"/>
          <w:between w:val="nil"/>
        </w:pBdr>
        <w:spacing w:after="250"/>
        <w:rPr>
          <w:rFonts w:ascii="Arial" w:eastAsia="Arial" w:hAnsi="Arial" w:cs="Arial"/>
          <w:color w:val="000000"/>
        </w:rPr>
      </w:pPr>
      <w:bookmarkStart w:id="31" w:name="_heading=h.147n2zr" w:colFirst="0" w:colLast="0"/>
      <w:bookmarkEnd w:id="31"/>
      <w:r>
        <w:rPr>
          <w:rFonts w:ascii="Cambria" w:eastAsia="Cambria" w:hAnsi="Cambria" w:cs="Cambria"/>
          <w:color w:val="000000"/>
        </w:rPr>
        <w:t>No clinically significant effect of food on inavolisib exposure was observed. The geometric mean ratio (GMR) (90% CI) for AUC</w:t>
      </w:r>
      <w:r>
        <w:rPr>
          <w:rFonts w:ascii="Cambria" w:eastAsia="Cambria" w:hAnsi="Cambria" w:cs="Cambria"/>
          <w:color w:val="000000"/>
          <w:vertAlign w:val="subscript"/>
        </w:rPr>
        <w:t>0-24</w:t>
      </w:r>
      <w:r>
        <w:rPr>
          <w:rFonts w:ascii="Cambria" w:eastAsia="Cambria" w:hAnsi="Cambria" w:cs="Cambria"/>
          <w:color w:val="000000"/>
        </w:rPr>
        <w:t xml:space="preserve"> comparing the fed to the fasted state was 0.895 (0.737 – 1.09) after a single dose and 0.876 (0.701 – 1.09) at steady state. The GMR (90% CI) for </w:t>
      </w:r>
      <w:proofErr w:type="spellStart"/>
      <w:r>
        <w:rPr>
          <w:rFonts w:ascii="Cambria" w:eastAsia="Cambria" w:hAnsi="Cambria" w:cs="Cambria"/>
          <w:color w:val="000000"/>
        </w:rPr>
        <w:t>C</w:t>
      </w:r>
      <w:r>
        <w:rPr>
          <w:rFonts w:ascii="Cambria" w:eastAsia="Cambria" w:hAnsi="Cambria" w:cs="Cambria"/>
          <w:color w:val="000000"/>
          <w:vertAlign w:val="subscript"/>
        </w:rPr>
        <w:t>max</w:t>
      </w:r>
      <w:proofErr w:type="spellEnd"/>
      <w:r>
        <w:rPr>
          <w:rFonts w:ascii="Cambria" w:eastAsia="Cambria" w:hAnsi="Cambria" w:cs="Cambria"/>
          <w:color w:val="000000"/>
        </w:rPr>
        <w:t xml:space="preserve"> comparing the fed to the fasted state was 0.925 (0.748 – 1.14) after a single dose and 0.910 (0.712 – 1.16) at steady state.</w:t>
      </w:r>
    </w:p>
    <w:p w14:paraId="2A83F603" w14:textId="77777777" w:rsidR="005972A9" w:rsidRDefault="004A79CA" w:rsidP="00B4667A">
      <w:pPr>
        <w:pStyle w:val="Heading3"/>
        <w:spacing w:before="0"/>
        <w:ind w:firstLine="227"/>
        <w:rPr>
          <w:b w:val="0"/>
        </w:rPr>
      </w:pPr>
      <w:r>
        <w:t>Distribution</w:t>
      </w:r>
    </w:p>
    <w:p w14:paraId="2381AC6E" w14:textId="69A8F181" w:rsidR="005972A9" w:rsidRDefault="004A79CA">
      <w:pPr>
        <w:pBdr>
          <w:top w:val="nil"/>
          <w:left w:val="nil"/>
          <w:bottom w:val="nil"/>
          <w:right w:val="nil"/>
          <w:between w:val="nil"/>
        </w:pBdr>
        <w:spacing w:after="250"/>
        <w:rPr>
          <w:rFonts w:ascii="Cambria" w:eastAsia="Cambria" w:hAnsi="Cambria" w:cs="Cambria"/>
          <w:color w:val="000000"/>
        </w:rPr>
      </w:pPr>
      <w:r>
        <w:rPr>
          <w:rFonts w:ascii="Cambria" w:eastAsia="Cambria" w:hAnsi="Cambria" w:cs="Cambria"/>
          <w:color w:val="000000"/>
        </w:rPr>
        <w:t>Plasma protein binding of inavolisib</w:t>
      </w:r>
      <w:r w:rsidR="00ED7640">
        <w:rPr>
          <w:rFonts w:ascii="Cambria" w:eastAsia="Cambria" w:hAnsi="Cambria" w:cs="Cambria"/>
          <w:color w:val="000000"/>
        </w:rPr>
        <w:t xml:space="preserve"> </w:t>
      </w:r>
      <w:r w:rsidR="00C30C70">
        <w:rPr>
          <w:rFonts w:ascii="Cambria" w:eastAsia="Cambria" w:hAnsi="Cambria" w:cs="Cambria"/>
          <w:color w:val="000000"/>
        </w:rPr>
        <w:t>is</w:t>
      </w:r>
      <w:r w:rsidR="00ED7640">
        <w:rPr>
          <w:rFonts w:ascii="Cambria" w:eastAsia="Cambria" w:hAnsi="Cambria" w:cs="Cambria"/>
          <w:color w:val="000000"/>
        </w:rPr>
        <w:t xml:space="preserve"> 37%</w:t>
      </w:r>
      <w:r>
        <w:rPr>
          <w:rFonts w:ascii="Cambria" w:eastAsia="Cambria" w:hAnsi="Cambria" w:cs="Cambria"/>
          <w:color w:val="000000"/>
        </w:rPr>
        <w:t>.</w:t>
      </w:r>
      <w:r>
        <w:rPr>
          <w:rFonts w:ascii="Cambria" w:eastAsia="Cambria" w:hAnsi="Cambria" w:cs="Cambria"/>
          <w:color w:val="0000FF"/>
        </w:rPr>
        <w:t xml:space="preserve"> </w:t>
      </w:r>
      <w:r>
        <w:rPr>
          <w:rFonts w:ascii="Cambria" w:eastAsia="Cambria" w:hAnsi="Cambria" w:cs="Cambria"/>
          <w:color w:val="000000"/>
        </w:rPr>
        <w:t xml:space="preserve">In humans, the estimated steady state oral volume of distribution is 155 </w:t>
      </w:r>
      <w:proofErr w:type="gramStart"/>
      <w:r>
        <w:rPr>
          <w:rFonts w:ascii="Cambria" w:eastAsia="Cambria" w:hAnsi="Cambria" w:cs="Cambria"/>
          <w:color w:val="000000"/>
        </w:rPr>
        <w:t>L</w:t>
      </w:r>
      <w:proofErr w:type="gramEnd"/>
      <w:r>
        <w:rPr>
          <w:rFonts w:ascii="Cambria" w:eastAsia="Cambria" w:hAnsi="Cambria" w:cs="Cambria"/>
          <w:color w:val="000000"/>
        </w:rPr>
        <w:t xml:space="preserve"> and the blood-to-plasma ratio is approximately 0.794.</w:t>
      </w:r>
    </w:p>
    <w:p w14:paraId="40C0BB8C" w14:textId="77777777" w:rsidR="005972A9" w:rsidRDefault="004A79CA" w:rsidP="00B4667A">
      <w:pPr>
        <w:pStyle w:val="Heading3"/>
        <w:spacing w:before="0"/>
        <w:ind w:firstLine="227"/>
        <w:rPr>
          <w:b w:val="0"/>
        </w:rPr>
      </w:pPr>
      <w:r>
        <w:t>Metabolism</w:t>
      </w:r>
    </w:p>
    <w:p w14:paraId="3CE7BD8E" w14:textId="404BD2F6" w:rsidR="005972A9" w:rsidRDefault="004A79CA">
      <w:pPr>
        <w:spacing w:after="250"/>
        <w:rPr>
          <w:rFonts w:ascii="Cambria" w:eastAsia="Cambria" w:hAnsi="Cambria" w:cs="Cambria"/>
        </w:rPr>
      </w:pPr>
      <w:r>
        <w:rPr>
          <w:rFonts w:ascii="Cambria" w:eastAsia="Cambria" w:hAnsi="Cambria" w:cs="Cambria"/>
        </w:rPr>
        <w:t xml:space="preserve">Minimal metabolism of inavolisib was detected </w:t>
      </w:r>
      <w:r>
        <w:rPr>
          <w:rFonts w:ascii="Cambria" w:eastAsia="Cambria" w:hAnsi="Cambria" w:cs="Cambria"/>
          <w:i/>
        </w:rPr>
        <w:t>in vitro</w:t>
      </w:r>
      <w:r>
        <w:rPr>
          <w:rFonts w:ascii="Cambria" w:eastAsia="Cambria" w:hAnsi="Cambria" w:cs="Cambria"/>
        </w:rPr>
        <w:t xml:space="preserve"> in human liver microsome incubations.</w:t>
      </w:r>
    </w:p>
    <w:p w14:paraId="215FC64E" w14:textId="2A4F4652" w:rsidR="005972A9" w:rsidRDefault="004A79CA">
      <w:pPr>
        <w:spacing w:after="250"/>
      </w:pPr>
      <w:r>
        <w:rPr>
          <w:rFonts w:ascii="Cambria" w:eastAsia="Cambria" w:hAnsi="Cambria" w:cs="Cambria"/>
        </w:rPr>
        <w:t>Following oral administration of a single radiolabeled 9 mg dose of inavolisib to healthy subjects, parent drug was the most prominent drug-related compound in plasma and urine. Total metabolites in the excreta accounted for 42% (35% in faeces and 7% in urine) of the dose.</w:t>
      </w:r>
    </w:p>
    <w:p w14:paraId="72477061" w14:textId="77777777" w:rsidR="005972A9" w:rsidRDefault="004A79CA" w:rsidP="00B4667A">
      <w:pPr>
        <w:pStyle w:val="Heading3"/>
        <w:spacing w:before="0"/>
        <w:ind w:firstLine="227"/>
        <w:rPr>
          <w:b w:val="0"/>
        </w:rPr>
      </w:pPr>
      <w:r>
        <w:lastRenderedPageBreak/>
        <w:t xml:space="preserve">Excretion </w:t>
      </w:r>
    </w:p>
    <w:p w14:paraId="39AF3578" w14:textId="0CD300E3" w:rsidR="005972A9" w:rsidRDefault="004A79CA">
      <w:pPr>
        <w:pBdr>
          <w:top w:val="nil"/>
          <w:left w:val="nil"/>
          <w:bottom w:val="nil"/>
          <w:right w:val="nil"/>
          <w:between w:val="nil"/>
        </w:pBdr>
        <w:spacing w:after="250"/>
        <w:rPr>
          <w:rFonts w:ascii="Cambria" w:eastAsia="Cambria" w:hAnsi="Cambria" w:cs="Cambria"/>
          <w:color w:val="000000"/>
        </w:rPr>
      </w:pPr>
      <w:r>
        <w:rPr>
          <w:rFonts w:ascii="Cambria" w:eastAsia="Cambria" w:hAnsi="Cambria" w:cs="Cambria"/>
          <w:color w:val="000000"/>
        </w:rPr>
        <w:t xml:space="preserve">Following oral administration of a single radiolabeled 9 mg dose of inavolisib to healthy subjects, 48.5% of the administered dose was recovered in urine (40.4% unchanged) and 48% in faeces (10.8% unchanged). </w:t>
      </w:r>
    </w:p>
    <w:p w14:paraId="11A31CBB" w14:textId="42CC5CC2" w:rsidR="005972A9" w:rsidRDefault="004A79CA">
      <w:pPr>
        <w:pBdr>
          <w:top w:val="nil"/>
          <w:left w:val="nil"/>
          <w:bottom w:val="nil"/>
          <w:right w:val="nil"/>
          <w:between w:val="nil"/>
        </w:pBdr>
        <w:spacing w:after="250"/>
        <w:rPr>
          <w:rFonts w:ascii="Cambria" w:eastAsia="Cambria" w:hAnsi="Cambria" w:cs="Cambria"/>
          <w:color w:val="000000"/>
        </w:rPr>
      </w:pPr>
      <w:r>
        <w:rPr>
          <w:rFonts w:ascii="Cambria" w:eastAsia="Cambria" w:hAnsi="Cambria" w:cs="Cambria"/>
          <w:color w:val="000000"/>
        </w:rPr>
        <w:t xml:space="preserve">In clinical studies, the geometric mean of the individual elimination half-life estimate for inavolisib was 16.4 hours following a single 9 mg dose. The estimated total clearance of </w:t>
      </w:r>
      <w:proofErr w:type="spellStart"/>
      <w:r>
        <w:rPr>
          <w:rFonts w:ascii="Cambria" w:eastAsia="Cambria" w:hAnsi="Cambria" w:cs="Cambria"/>
          <w:color w:val="000000"/>
        </w:rPr>
        <w:t>inavolisib</w:t>
      </w:r>
      <w:proofErr w:type="spellEnd"/>
      <w:r>
        <w:rPr>
          <w:rFonts w:ascii="Cambria" w:eastAsia="Cambria" w:hAnsi="Cambria" w:cs="Cambria"/>
          <w:color w:val="000000"/>
        </w:rPr>
        <w:t xml:space="preserve"> is 8.83 L/hr.</w:t>
      </w:r>
    </w:p>
    <w:p w14:paraId="3991E722" w14:textId="77777777" w:rsidR="005972A9" w:rsidRDefault="004A79CA">
      <w:pPr>
        <w:pStyle w:val="Heading3"/>
        <w:keepLines w:val="0"/>
        <w:spacing w:before="0" w:after="240" w:line="240" w:lineRule="auto"/>
        <w:ind w:left="1412" w:hanging="1412"/>
      </w:pPr>
      <w:bookmarkStart w:id="32" w:name="_heading=h.3o7alnk" w:colFirst="0" w:colLast="0"/>
      <w:bookmarkEnd w:id="32"/>
      <w:r>
        <w:t xml:space="preserve">Pharmacokinetics in Special Populations </w:t>
      </w:r>
    </w:p>
    <w:p w14:paraId="2D5CDBD8" w14:textId="77777777" w:rsidR="005972A9" w:rsidRDefault="004A79CA">
      <w:pPr>
        <w:rPr>
          <w:rFonts w:ascii="Cambria" w:eastAsia="Cambria" w:hAnsi="Cambria" w:cs="Cambria"/>
          <w:u w:val="single"/>
        </w:rPr>
      </w:pPr>
      <w:bookmarkStart w:id="33" w:name="_heading=h.23ckvvd" w:colFirst="0" w:colLast="0"/>
      <w:bookmarkEnd w:id="33"/>
      <w:r>
        <w:rPr>
          <w:rFonts w:ascii="Cambria" w:eastAsia="Cambria" w:hAnsi="Cambria" w:cs="Cambria"/>
          <w:u w:val="single"/>
        </w:rPr>
        <w:t>Paediatric Population</w:t>
      </w:r>
    </w:p>
    <w:p w14:paraId="5E6AB4CD" w14:textId="77777777" w:rsidR="005972A9" w:rsidRDefault="004A79CA">
      <w:pPr>
        <w:pBdr>
          <w:top w:val="nil"/>
          <w:left w:val="nil"/>
          <w:bottom w:val="nil"/>
          <w:right w:val="nil"/>
          <w:between w:val="nil"/>
        </w:pBdr>
        <w:spacing w:after="250"/>
        <w:rPr>
          <w:rFonts w:ascii="Cambria" w:eastAsia="Cambria" w:hAnsi="Cambria" w:cs="Cambria"/>
          <w:color w:val="000000"/>
        </w:rPr>
      </w:pPr>
      <w:r>
        <w:rPr>
          <w:rFonts w:ascii="Cambria" w:eastAsia="Cambria" w:hAnsi="Cambria" w:cs="Cambria"/>
          <w:color w:val="000000"/>
        </w:rPr>
        <w:t>No studies have been conducted to investigate the pharmacokinetics of inavolisib in paediatric patients.</w:t>
      </w:r>
    </w:p>
    <w:p w14:paraId="3EA6F351" w14:textId="77777777" w:rsidR="005972A9" w:rsidRDefault="004A79CA">
      <w:pPr>
        <w:rPr>
          <w:rFonts w:ascii="Cambria" w:eastAsia="Cambria" w:hAnsi="Cambria" w:cs="Cambria"/>
          <w:u w:val="single"/>
        </w:rPr>
      </w:pPr>
      <w:bookmarkStart w:id="34" w:name="_heading=h.ihv636" w:colFirst="0" w:colLast="0"/>
      <w:bookmarkEnd w:id="34"/>
      <w:r>
        <w:rPr>
          <w:rFonts w:ascii="Cambria" w:eastAsia="Cambria" w:hAnsi="Cambria" w:cs="Cambria"/>
          <w:u w:val="single"/>
        </w:rPr>
        <w:t>Geriatric Population</w:t>
      </w:r>
    </w:p>
    <w:p w14:paraId="25D131E9" w14:textId="3ED61DB4" w:rsidR="005972A9" w:rsidRDefault="004A79CA">
      <w:pPr>
        <w:pBdr>
          <w:top w:val="nil"/>
          <w:left w:val="nil"/>
          <w:bottom w:val="nil"/>
          <w:right w:val="nil"/>
          <w:between w:val="nil"/>
        </w:pBdr>
        <w:spacing w:after="250"/>
        <w:rPr>
          <w:rFonts w:ascii="Cambria" w:eastAsia="Cambria" w:hAnsi="Cambria" w:cs="Cambria"/>
          <w:color w:val="000000"/>
        </w:rPr>
      </w:pPr>
      <w:r>
        <w:rPr>
          <w:rFonts w:ascii="Cambria" w:eastAsia="Cambria" w:hAnsi="Cambria" w:cs="Cambria"/>
          <w:color w:val="000000"/>
        </w:rPr>
        <w:t>No differences in inavolisib pharmacokinetics were noted between patients 65 years of age and older and those under 65 years based on population pharmacokinetic analysis.</w:t>
      </w:r>
    </w:p>
    <w:p w14:paraId="6574760F" w14:textId="77777777" w:rsidR="005972A9" w:rsidRDefault="004A79CA">
      <w:pPr>
        <w:rPr>
          <w:rFonts w:ascii="Cambria" w:eastAsia="Cambria" w:hAnsi="Cambria" w:cs="Cambria"/>
          <w:u w:val="single"/>
        </w:rPr>
      </w:pPr>
      <w:bookmarkStart w:id="35" w:name="_heading=h.32hioqz" w:colFirst="0" w:colLast="0"/>
      <w:bookmarkEnd w:id="35"/>
      <w:r>
        <w:rPr>
          <w:rFonts w:ascii="Cambria" w:eastAsia="Cambria" w:hAnsi="Cambria" w:cs="Cambria"/>
          <w:u w:val="single"/>
        </w:rPr>
        <w:t>Renal Impairment</w:t>
      </w:r>
    </w:p>
    <w:p w14:paraId="3FE2030D" w14:textId="5B78CA4E" w:rsidR="005972A9" w:rsidRDefault="00782D54" w:rsidP="00782D54">
      <w:pPr>
        <w:pBdr>
          <w:top w:val="nil"/>
          <w:left w:val="nil"/>
          <w:bottom w:val="nil"/>
          <w:right w:val="nil"/>
          <w:between w:val="nil"/>
        </w:pBdr>
        <w:spacing w:after="250" w:line="240" w:lineRule="auto"/>
        <w:rPr>
          <w:rFonts w:ascii="Cambria" w:eastAsia="Cambria" w:hAnsi="Cambria" w:cs="Cambria"/>
          <w:color w:val="000000"/>
        </w:rPr>
      </w:pPr>
      <w:bookmarkStart w:id="36" w:name="_heading=h.1hmsyys" w:colFirst="0" w:colLast="0"/>
      <w:bookmarkEnd w:id="36"/>
      <w:r w:rsidRPr="00782D54">
        <w:rPr>
          <w:rFonts w:ascii="Cambria" w:eastAsia="Cambria" w:hAnsi="Cambria" w:cs="Cambria"/>
          <w:color w:val="000000"/>
        </w:rPr>
        <w:t xml:space="preserve">No clinically significant differences in the pharmacokinetics of inavolisib were observed in patients with mild renal impairment compared to patients with normal renal function. </w:t>
      </w:r>
      <w:proofErr w:type="spellStart"/>
      <w:r w:rsidRPr="00782D54">
        <w:rPr>
          <w:rFonts w:ascii="Cambria" w:eastAsia="Cambria" w:hAnsi="Cambria" w:cs="Cambria"/>
          <w:color w:val="000000"/>
        </w:rPr>
        <w:t>Inavolisib</w:t>
      </w:r>
      <w:proofErr w:type="spellEnd"/>
      <w:r w:rsidRPr="00782D54">
        <w:rPr>
          <w:rFonts w:ascii="Cambria" w:eastAsia="Cambria" w:hAnsi="Cambria" w:cs="Cambria"/>
          <w:color w:val="000000"/>
        </w:rPr>
        <w:t xml:space="preserve"> AUC </w:t>
      </w:r>
      <w:r w:rsidR="00F21FAE">
        <w:rPr>
          <w:rFonts w:ascii="Cambria" w:eastAsia="Cambria" w:hAnsi="Cambria" w:cs="Cambria"/>
          <w:color w:val="000000"/>
        </w:rPr>
        <w:t xml:space="preserve">and </w:t>
      </w:r>
      <w:proofErr w:type="spellStart"/>
      <w:r w:rsidR="00F21FAE">
        <w:rPr>
          <w:rFonts w:ascii="Cambria" w:eastAsia="Cambria" w:hAnsi="Cambria" w:cs="Cambria"/>
          <w:color w:val="000000"/>
        </w:rPr>
        <w:t>C</w:t>
      </w:r>
      <w:r w:rsidR="00F21FAE" w:rsidRPr="00F21FAE">
        <w:rPr>
          <w:rFonts w:ascii="Cambria" w:eastAsia="Cambria" w:hAnsi="Cambria" w:cs="Cambria"/>
          <w:color w:val="000000"/>
          <w:vertAlign w:val="subscript"/>
        </w:rPr>
        <w:t>max</w:t>
      </w:r>
      <w:proofErr w:type="spellEnd"/>
      <w:r w:rsidR="00F21FAE">
        <w:rPr>
          <w:rFonts w:ascii="Cambria" w:eastAsia="Cambria" w:hAnsi="Cambria" w:cs="Cambria"/>
          <w:color w:val="000000"/>
        </w:rPr>
        <w:t xml:space="preserve"> were</w:t>
      </w:r>
      <w:r w:rsidRPr="00782D54">
        <w:rPr>
          <w:rFonts w:ascii="Cambria" w:eastAsia="Cambria" w:hAnsi="Cambria" w:cs="Cambria"/>
          <w:color w:val="000000"/>
        </w:rPr>
        <w:t xml:space="preserve"> 73%</w:t>
      </w:r>
      <w:r w:rsidR="00F21FAE">
        <w:rPr>
          <w:rFonts w:ascii="Cambria" w:eastAsia="Cambria" w:hAnsi="Cambria" w:cs="Cambria"/>
          <w:color w:val="000000"/>
        </w:rPr>
        <w:t xml:space="preserve"> and 11%</w:t>
      </w:r>
      <w:r w:rsidRPr="00782D54">
        <w:rPr>
          <w:rFonts w:ascii="Cambria" w:eastAsia="Cambria" w:hAnsi="Cambria" w:cs="Cambria"/>
          <w:color w:val="000000"/>
        </w:rPr>
        <w:t xml:space="preserve"> higher in patients with moderate renal impairment compared to patients with normal</w:t>
      </w:r>
      <w:r>
        <w:rPr>
          <w:rFonts w:ascii="Cambria" w:eastAsia="Cambria" w:hAnsi="Cambria" w:cs="Cambria"/>
          <w:color w:val="000000"/>
        </w:rPr>
        <w:t xml:space="preserve"> </w:t>
      </w:r>
      <w:r w:rsidRPr="00782D54">
        <w:rPr>
          <w:rFonts w:ascii="Cambria" w:eastAsia="Cambria" w:hAnsi="Cambria" w:cs="Cambria"/>
          <w:color w:val="000000"/>
        </w:rPr>
        <w:t>renal function (eGFR ≥ 90 mL/min)</w:t>
      </w:r>
      <w:r w:rsidR="00F21FAE">
        <w:rPr>
          <w:rFonts w:ascii="Cambria" w:eastAsia="Cambria" w:hAnsi="Cambria" w:cs="Cambria"/>
          <w:color w:val="000000"/>
        </w:rPr>
        <w:t>, respectively</w:t>
      </w:r>
      <w:r w:rsidRPr="00782D54">
        <w:rPr>
          <w:rFonts w:ascii="Cambria" w:eastAsia="Cambria" w:hAnsi="Cambria" w:cs="Cambria"/>
          <w:color w:val="000000"/>
        </w:rPr>
        <w:t>.</w:t>
      </w:r>
      <w:r>
        <w:rPr>
          <w:rFonts w:ascii="Cambria" w:eastAsia="Cambria" w:hAnsi="Cambria" w:cs="Cambria"/>
          <w:color w:val="000000"/>
        </w:rPr>
        <w:t xml:space="preserve"> </w:t>
      </w:r>
      <w:r w:rsidRPr="00782D54">
        <w:rPr>
          <w:rFonts w:ascii="Cambria" w:eastAsia="Cambria" w:hAnsi="Cambria" w:cs="Cambria"/>
          <w:color w:val="000000"/>
        </w:rPr>
        <w:t xml:space="preserve">The effect of severe renal impairment (eGFR &lt; 30 mL/min) on the pharmacokinetics of </w:t>
      </w:r>
      <w:proofErr w:type="spellStart"/>
      <w:r w:rsidR="00F21FAE">
        <w:rPr>
          <w:rFonts w:ascii="Cambria" w:eastAsia="Cambria" w:hAnsi="Cambria" w:cs="Cambria"/>
          <w:color w:val="000000"/>
        </w:rPr>
        <w:t>Itovebi</w:t>
      </w:r>
      <w:proofErr w:type="spellEnd"/>
      <w:r w:rsidRPr="00782D54">
        <w:rPr>
          <w:rFonts w:ascii="Cambria" w:eastAsia="Cambria" w:hAnsi="Cambria" w:cs="Cambria"/>
          <w:color w:val="000000"/>
        </w:rPr>
        <w:t xml:space="preserve"> is unknown.</w:t>
      </w:r>
    </w:p>
    <w:p w14:paraId="5C9BEF40" w14:textId="77777777" w:rsidR="005972A9" w:rsidRDefault="004A79CA">
      <w:pPr>
        <w:rPr>
          <w:rFonts w:ascii="Cambria" w:eastAsia="Cambria" w:hAnsi="Cambria" w:cs="Cambria"/>
          <w:u w:val="single"/>
        </w:rPr>
      </w:pPr>
      <w:bookmarkStart w:id="37" w:name="_heading=h.41mghml" w:colFirst="0" w:colLast="0"/>
      <w:bookmarkEnd w:id="37"/>
      <w:r>
        <w:rPr>
          <w:rFonts w:ascii="Cambria" w:eastAsia="Cambria" w:hAnsi="Cambria" w:cs="Cambria"/>
          <w:u w:val="single"/>
        </w:rPr>
        <w:t>Hepatic Impairment</w:t>
      </w:r>
    </w:p>
    <w:p w14:paraId="653648CF" w14:textId="784BD566" w:rsidR="005972A9" w:rsidRDefault="004A79CA">
      <w:pPr>
        <w:pBdr>
          <w:top w:val="nil"/>
          <w:left w:val="nil"/>
          <w:bottom w:val="nil"/>
          <w:right w:val="nil"/>
          <w:between w:val="nil"/>
        </w:pBdr>
        <w:spacing w:after="250"/>
        <w:rPr>
          <w:rFonts w:ascii="Arial" w:eastAsia="Arial" w:hAnsi="Arial" w:cs="Arial"/>
          <w:color w:val="000000"/>
        </w:rPr>
      </w:pPr>
      <w:bookmarkStart w:id="38" w:name="_heading=h.2grqrue" w:colFirst="0" w:colLast="0"/>
      <w:bookmarkEnd w:id="38"/>
      <w:r>
        <w:rPr>
          <w:rFonts w:ascii="Cambria" w:eastAsia="Cambria" w:hAnsi="Cambria" w:cs="Cambria"/>
          <w:color w:val="000000"/>
        </w:rPr>
        <w:t xml:space="preserve">Population pharmacokinetic analyses indicated that mild hepatic impairment is not a significant covariate on </w:t>
      </w:r>
      <w:r w:rsidR="00DE29EE">
        <w:rPr>
          <w:rFonts w:ascii="Cambria" w:eastAsia="Cambria" w:hAnsi="Cambria" w:cs="Cambria"/>
          <w:color w:val="000000"/>
          <w:highlight w:val="white"/>
        </w:rPr>
        <w:t>Itovebi</w:t>
      </w:r>
      <w:r>
        <w:rPr>
          <w:rFonts w:ascii="Cambria" w:eastAsia="Cambria" w:hAnsi="Cambria" w:cs="Cambria"/>
          <w:color w:val="000000"/>
          <w:highlight w:val="white"/>
        </w:rPr>
        <w:t xml:space="preserve"> exposure</w:t>
      </w:r>
      <w:r>
        <w:rPr>
          <w:rFonts w:ascii="Cambria" w:eastAsia="Cambria" w:hAnsi="Cambria" w:cs="Cambria"/>
          <w:color w:val="000000"/>
        </w:rPr>
        <w:t xml:space="preserve">. The pharmacokinetics of inavolisib in patients with mild hepatic impairment (total bilirubin &gt; ULN to ≤ 1.5 x ULN or AST &gt; ULN and total bilirubin ≤ ULN) were similar to those in patients with normal hepatic function. The effect of moderate to severe hepatic impairment on </w:t>
      </w:r>
      <w:r w:rsidR="00DE29EE">
        <w:rPr>
          <w:rFonts w:ascii="Cambria" w:eastAsia="Cambria" w:hAnsi="Cambria" w:cs="Cambria"/>
          <w:color w:val="000000"/>
          <w:highlight w:val="white"/>
        </w:rPr>
        <w:t>Itovebi</w:t>
      </w:r>
      <w:r>
        <w:rPr>
          <w:rFonts w:ascii="Cambria" w:eastAsia="Cambria" w:hAnsi="Cambria" w:cs="Cambria"/>
          <w:color w:val="000000"/>
        </w:rPr>
        <w:t xml:space="preserve"> pharmacokinetics has not been studied.</w:t>
      </w:r>
    </w:p>
    <w:p w14:paraId="6E940FE1" w14:textId="77777777" w:rsidR="005972A9" w:rsidRDefault="004A79CA">
      <w:pPr>
        <w:pStyle w:val="Heading2"/>
        <w:keepNext/>
        <w:numPr>
          <w:ilvl w:val="1"/>
          <w:numId w:val="4"/>
        </w:numPr>
        <w:spacing w:before="0" w:after="120"/>
      </w:pPr>
      <w:r>
        <w:t>Preclinical safety data</w:t>
      </w:r>
    </w:p>
    <w:p w14:paraId="41320D0B" w14:textId="77777777" w:rsidR="005972A9" w:rsidRDefault="004A79CA" w:rsidP="00B4667A">
      <w:pPr>
        <w:pStyle w:val="Heading3"/>
        <w:spacing w:before="0"/>
        <w:ind w:firstLine="227"/>
      </w:pPr>
      <w:r>
        <w:t>Genotoxicity</w:t>
      </w:r>
    </w:p>
    <w:p w14:paraId="382B44D3" w14:textId="5F818327" w:rsidR="005972A9" w:rsidRDefault="004A79CA">
      <w:pPr>
        <w:pBdr>
          <w:top w:val="nil"/>
          <w:left w:val="nil"/>
          <w:bottom w:val="nil"/>
          <w:right w:val="nil"/>
          <w:between w:val="nil"/>
        </w:pBdr>
        <w:spacing w:after="250"/>
        <w:rPr>
          <w:rFonts w:ascii="Cambria" w:eastAsia="Cambria" w:hAnsi="Cambria" w:cs="Cambria"/>
          <w:color w:val="000000"/>
        </w:rPr>
      </w:pPr>
      <w:r>
        <w:rPr>
          <w:rFonts w:ascii="Cambria" w:eastAsia="Cambria" w:hAnsi="Cambria" w:cs="Cambria"/>
          <w:color w:val="000000"/>
        </w:rPr>
        <w:t>Inavolisib was not mutagenic in the bacterial mutagen</w:t>
      </w:r>
      <w:r w:rsidR="00ED7640">
        <w:rPr>
          <w:rFonts w:ascii="Cambria" w:eastAsia="Cambria" w:hAnsi="Cambria" w:cs="Cambria"/>
          <w:color w:val="000000"/>
        </w:rPr>
        <w:t>icity</w:t>
      </w:r>
      <w:r>
        <w:rPr>
          <w:rFonts w:ascii="Cambria" w:eastAsia="Cambria" w:hAnsi="Cambria" w:cs="Cambria"/>
          <w:color w:val="000000"/>
        </w:rPr>
        <w:t xml:space="preserve"> assay.</w:t>
      </w:r>
    </w:p>
    <w:p w14:paraId="6EFC26B8" w14:textId="0E4335B2" w:rsidR="00ED7640" w:rsidRDefault="004A79CA">
      <w:pPr>
        <w:rPr>
          <w:rFonts w:ascii="Cambria" w:eastAsia="Cambria" w:hAnsi="Cambria" w:cs="Cambria"/>
          <w:color w:val="2D11FB"/>
        </w:rPr>
      </w:pPr>
      <w:r>
        <w:rPr>
          <w:rFonts w:ascii="Cambria" w:eastAsia="Cambria" w:hAnsi="Cambria" w:cs="Cambria"/>
        </w:rPr>
        <w:t xml:space="preserve">Inavolisib </w:t>
      </w:r>
      <w:r w:rsidR="00ED7640">
        <w:rPr>
          <w:rFonts w:ascii="Cambria" w:eastAsia="Cambria" w:hAnsi="Cambria" w:cs="Cambria"/>
        </w:rPr>
        <w:t xml:space="preserve">was </w:t>
      </w:r>
      <w:r>
        <w:rPr>
          <w:rFonts w:ascii="Cambria" w:eastAsia="Cambria" w:hAnsi="Cambria" w:cs="Cambria"/>
        </w:rPr>
        <w:t xml:space="preserve">clastogenic </w:t>
      </w:r>
      <w:r>
        <w:rPr>
          <w:rFonts w:ascii="Cambria" w:eastAsia="Cambria" w:hAnsi="Cambria" w:cs="Cambria"/>
          <w:i/>
        </w:rPr>
        <w:t>in vitro</w:t>
      </w:r>
      <w:r w:rsidR="00ED7640">
        <w:rPr>
          <w:rFonts w:ascii="Cambria" w:eastAsia="Cambria" w:hAnsi="Cambria" w:cs="Cambria"/>
          <w:i/>
        </w:rPr>
        <w:t xml:space="preserve"> </w:t>
      </w:r>
      <w:r w:rsidR="00ED7640" w:rsidRPr="00ED7640">
        <w:rPr>
          <w:rFonts w:ascii="Cambria" w:eastAsia="Cambria" w:hAnsi="Cambria" w:cs="Cambria"/>
          <w:iCs/>
        </w:rPr>
        <w:t>in a human lymphocyte micronucleus assay</w:t>
      </w:r>
      <w:r>
        <w:rPr>
          <w:rFonts w:ascii="Cambria" w:eastAsia="Cambria" w:hAnsi="Cambria" w:cs="Cambria"/>
        </w:rPr>
        <w:t xml:space="preserve">; however, there was no evidence of inavolisib-induced </w:t>
      </w:r>
      <w:r>
        <w:rPr>
          <w:rFonts w:ascii="Cambria" w:eastAsia="Cambria" w:hAnsi="Cambria" w:cs="Cambria"/>
          <w:i/>
        </w:rPr>
        <w:t>in vivo</w:t>
      </w:r>
      <w:r>
        <w:rPr>
          <w:rFonts w:ascii="Cambria" w:eastAsia="Cambria" w:hAnsi="Cambria" w:cs="Cambria"/>
        </w:rPr>
        <w:t xml:space="preserve"> genotoxicity (clastogenicity, aneugenicity, or DNA damage) in the micronucleus and comet study in rats at </w:t>
      </w:r>
      <w:r w:rsidR="00ED7640">
        <w:rPr>
          <w:rFonts w:ascii="Cambria" w:eastAsia="Cambria" w:hAnsi="Cambria" w:cs="Cambria"/>
        </w:rPr>
        <w:t xml:space="preserve">daily oral </w:t>
      </w:r>
      <w:r>
        <w:rPr>
          <w:rFonts w:ascii="Cambria" w:eastAsia="Cambria" w:hAnsi="Cambria" w:cs="Cambria"/>
        </w:rPr>
        <w:t xml:space="preserve">doses up to </w:t>
      </w:r>
      <w:r w:rsidR="00ED7640">
        <w:rPr>
          <w:rFonts w:ascii="Cambria" w:eastAsia="Cambria" w:hAnsi="Cambria" w:cs="Cambria"/>
        </w:rPr>
        <w:t>40 mg/kg resulting in exposures (AUC)</w:t>
      </w:r>
      <w:r>
        <w:rPr>
          <w:rFonts w:ascii="Cambria" w:eastAsia="Cambria" w:hAnsi="Cambria" w:cs="Cambria"/>
        </w:rPr>
        <w:t xml:space="preserve"> 16 times the exposure at a clinical dose of 9 mg.</w:t>
      </w:r>
    </w:p>
    <w:p w14:paraId="5A665967" w14:textId="77777777" w:rsidR="005972A9" w:rsidRPr="000B6937" w:rsidRDefault="00ED7640">
      <w:pPr>
        <w:rPr>
          <w:rFonts w:ascii="Cambria" w:eastAsia="Cambria" w:hAnsi="Cambria" w:cs="Cambria"/>
        </w:rPr>
      </w:pPr>
      <w:r w:rsidRPr="000B6937">
        <w:rPr>
          <w:rFonts w:ascii="Cambria" w:eastAsia="Cambria" w:hAnsi="Cambria" w:cs="Cambria"/>
        </w:rPr>
        <w:lastRenderedPageBreak/>
        <w:t>Inavolisib does not pose a genotoxic risk in humans.</w:t>
      </w:r>
      <w:r w:rsidR="00590E74" w:rsidRPr="000B6937">
        <w:rPr>
          <w:rFonts w:ascii="Cambria" w:eastAsia="Cambria" w:hAnsi="Cambria" w:cs="Cambria"/>
        </w:rPr>
        <w:t xml:space="preserve"> </w:t>
      </w:r>
    </w:p>
    <w:p w14:paraId="2380A84D" w14:textId="77777777" w:rsidR="005972A9" w:rsidRDefault="004A79CA" w:rsidP="00B4667A">
      <w:pPr>
        <w:pStyle w:val="Heading3"/>
        <w:spacing w:before="0"/>
        <w:ind w:firstLine="227"/>
      </w:pPr>
      <w:r>
        <w:t>Carcinogenicity</w:t>
      </w:r>
    </w:p>
    <w:p w14:paraId="19C54A52" w14:textId="77777777" w:rsidR="005972A9" w:rsidRDefault="004A79CA">
      <w:pPr>
        <w:pBdr>
          <w:top w:val="nil"/>
          <w:left w:val="nil"/>
          <w:bottom w:val="nil"/>
          <w:right w:val="nil"/>
          <w:between w:val="nil"/>
        </w:pBdr>
        <w:spacing w:after="250"/>
        <w:rPr>
          <w:rFonts w:ascii="Cambria" w:eastAsia="Cambria" w:hAnsi="Cambria" w:cs="Cambria"/>
          <w:color w:val="000000"/>
        </w:rPr>
      </w:pPr>
      <w:r>
        <w:rPr>
          <w:rFonts w:ascii="Cambria" w:eastAsia="Cambria" w:hAnsi="Cambria" w:cs="Cambria"/>
          <w:color w:val="000000"/>
        </w:rPr>
        <w:t>No carcinogenicity studies with inavolisib have been conducted.</w:t>
      </w:r>
    </w:p>
    <w:p w14:paraId="40C0F60B" w14:textId="77777777" w:rsidR="005972A9" w:rsidRDefault="004A79CA">
      <w:pPr>
        <w:pStyle w:val="Heading3"/>
        <w:ind w:firstLine="227"/>
      </w:pPr>
      <w:bookmarkStart w:id="39" w:name="_heading=h.vx1227" w:colFirst="0" w:colLast="0"/>
      <w:bookmarkStart w:id="40" w:name="_heading=h.3fwokq0" w:colFirst="0" w:colLast="0"/>
      <w:bookmarkEnd w:id="39"/>
      <w:bookmarkEnd w:id="40"/>
      <w:r>
        <w:t>Other</w:t>
      </w:r>
    </w:p>
    <w:p w14:paraId="45ABDE0F" w14:textId="3FD49CC0" w:rsidR="005972A9" w:rsidRDefault="004A79CA">
      <w:pPr>
        <w:pBdr>
          <w:top w:val="nil"/>
          <w:left w:val="nil"/>
          <w:bottom w:val="nil"/>
          <w:right w:val="nil"/>
          <w:between w:val="nil"/>
        </w:pBdr>
        <w:spacing w:after="250"/>
        <w:rPr>
          <w:rFonts w:ascii="Cambria" w:eastAsia="Cambria" w:hAnsi="Cambria" w:cs="Cambria"/>
          <w:color w:val="000000"/>
        </w:rPr>
      </w:pPr>
      <w:r>
        <w:rPr>
          <w:rFonts w:ascii="Cambria" w:eastAsia="Cambria" w:hAnsi="Cambria" w:cs="Cambria"/>
          <w:color w:val="000000"/>
        </w:rPr>
        <w:t>Adverse reactions not observed in clinical studies, but seen in animals at exposure levels similar to clinical exposure levels and with possible relevance to clinical use, included inflammation in dogs and eye lens degeneration in rats. The inflammation is consistent with the anticipated pharmacologic</w:t>
      </w:r>
      <w:r w:rsidR="009E23CE">
        <w:rPr>
          <w:rFonts w:ascii="Cambria" w:eastAsia="Cambria" w:hAnsi="Cambria" w:cs="Cambria"/>
          <w:color w:val="000000"/>
        </w:rPr>
        <w:t>al</w:t>
      </w:r>
      <w:r>
        <w:rPr>
          <w:rFonts w:ascii="Cambria" w:eastAsia="Cambria" w:hAnsi="Cambria" w:cs="Cambria"/>
          <w:color w:val="000000"/>
        </w:rPr>
        <w:t xml:space="preserve"> effects of PI3K inhibition, was generally dose-dependent and reversible, and is considered to be clinically monitorable and/or manageable. Lens fib</w:t>
      </w:r>
      <w:r w:rsidR="009E23CE">
        <w:rPr>
          <w:rFonts w:ascii="Cambria" w:eastAsia="Cambria" w:hAnsi="Cambria" w:cs="Cambria"/>
          <w:color w:val="000000"/>
        </w:rPr>
        <w:t>re</w:t>
      </w:r>
      <w:r>
        <w:rPr>
          <w:rFonts w:ascii="Cambria" w:eastAsia="Cambria" w:hAnsi="Cambria" w:cs="Cambria"/>
          <w:color w:val="000000"/>
        </w:rPr>
        <w:t xml:space="preserve"> degeneration observed in some rats</w:t>
      </w:r>
      <w:r w:rsidR="009E23CE">
        <w:rPr>
          <w:rFonts w:ascii="Cambria" w:eastAsia="Cambria" w:hAnsi="Cambria" w:cs="Cambria"/>
          <w:color w:val="000000"/>
        </w:rPr>
        <w:t xml:space="preserve"> at 10 mg/kg/day</w:t>
      </w:r>
      <w:r>
        <w:rPr>
          <w:rFonts w:ascii="Cambria" w:eastAsia="Cambria" w:hAnsi="Cambria" w:cs="Cambria"/>
          <w:color w:val="000000"/>
        </w:rPr>
        <w:t xml:space="preserve"> (≥ 3.6 times the exposure at a clinical dose of 9 mg</w:t>
      </w:r>
      <w:r w:rsidR="009E23CE">
        <w:rPr>
          <w:rFonts w:ascii="Cambria" w:eastAsia="Cambria" w:hAnsi="Cambria" w:cs="Cambria"/>
          <w:color w:val="000000"/>
        </w:rPr>
        <w:t xml:space="preserve"> based on AUC</w:t>
      </w:r>
      <w:r>
        <w:rPr>
          <w:rFonts w:ascii="Cambria" w:eastAsia="Cambria" w:hAnsi="Cambria" w:cs="Cambria"/>
          <w:color w:val="000000"/>
        </w:rPr>
        <w:t>) was considered irreversible.</w:t>
      </w:r>
    </w:p>
    <w:p w14:paraId="6D72CC06" w14:textId="77777777" w:rsidR="005972A9" w:rsidRDefault="004A79CA">
      <w:pPr>
        <w:pStyle w:val="Heading1"/>
        <w:numPr>
          <w:ilvl w:val="0"/>
          <w:numId w:val="4"/>
        </w:numPr>
        <w:spacing w:before="0" w:after="120"/>
      </w:pPr>
      <w:r>
        <w:t>Pharmaceutical particulars</w:t>
      </w:r>
    </w:p>
    <w:p w14:paraId="6809F591" w14:textId="77777777" w:rsidR="005972A9" w:rsidRDefault="004A79CA">
      <w:pPr>
        <w:pStyle w:val="Heading2"/>
        <w:numPr>
          <w:ilvl w:val="1"/>
          <w:numId w:val="4"/>
        </w:numPr>
        <w:spacing w:before="0" w:after="120"/>
      </w:pPr>
      <w:bookmarkStart w:id="41" w:name="_heading=h.1v1yuxt" w:colFirst="0" w:colLast="0"/>
      <w:bookmarkEnd w:id="41"/>
      <w:r>
        <w:t>List of excipients</w:t>
      </w:r>
      <w:r>
        <w:rPr>
          <w:color w:val="2D11FB"/>
        </w:rPr>
        <w:t xml:space="preserve"> </w:t>
      </w:r>
      <w:r>
        <w:rPr>
          <w:b w:val="0"/>
          <w:color w:val="2D11FB"/>
        </w:rPr>
        <w:t xml:space="preserve"> </w:t>
      </w:r>
      <w:r w:rsidR="00590E74">
        <w:rPr>
          <w:color w:val="2D11FB"/>
        </w:rPr>
        <w:t xml:space="preserve"> </w:t>
      </w:r>
    </w:p>
    <w:p w14:paraId="611EB163" w14:textId="77777777" w:rsidR="005972A9" w:rsidRDefault="004A79CA">
      <w:pPr>
        <w:spacing w:after="0" w:line="240" w:lineRule="auto"/>
        <w:rPr>
          <w:rFonts w:ascii="Cambria" w:eastAsia="Cambria" w:hAnsi="Cambria" w:cs="Cambria"/>
        </w:rPr>
      </w:pPr>
      <w:r>
        <w:rPr>
          <w:rFonts w:ascii="Cambria" w:eastAsia="Cambria" w:hAnsi="Cambria" w:cs="Cambria"/>
        </w:rPr>
        <w:t>Microcrystalline cellulose</w:t>
      </w:r>
    </w:p>
    <w:p w14:paraId="71880A83" w14:textId="77777777" w:rsidR="005972A9" w:rsidRDefault="004A79CA">
      <w:pPr>
        <w:spacing w:after="0" w:line="240" w:lineRule="auto"/>
        <w:rPr>
          <w:rFonts w:ascii="Cambria" w:eastAsia="Cambria" w:hAnsi="Cambria" w:cs="Cambria"/>
        </w:rPr>
      </w:pPr>
      <w:r>
        <w:rPr>
          <w:rFonts w:ascii="Cambria" w:eastAsia="Cambria" w:hAnsi="Cambria" w:cs="Cambria"/>
        </w:rPr>
        <w:t>Lactose</w:t>
      </w:r>
    </w:p>
    <w:p w14:paraId="0B0844D8" w14:textId="77777777" w:rsidR="005972A9" w:rsidRDefault="004A79CA">
      <w:pPr>
        <w:spacing w:after="0" w:line="240" w:lineRule="auto"/>
        <w:rPr>
          <w:rFonts w:ascii="Cambria" w:eastAsia="Cambria" w:hAnsi="Cambria" w:cs="Cambria"/>
        </w:rPr>
      </w:pPr>
      <w:r>
        <w:rPr>
          <w:rFonts w:ascii="Cambria" w:eastAsia="Cambria" w:hAnsi="Cambria" w:cs="Cambria"/>
        </w:rPr>
        <w:t>Sodium starch glycollate</w:t>
      </w:r>
    </w:p>
    <w:p w14:paraId="5745D2AE" w14:textId="77777777" w:rsidR="005972A9" w:rsidRDefault="004A79CA">
      <w:pPr>
        <w:spacing w:after="0" w:line="240" w:lineRule="auto"/>
        <w:rPr>
          <w:rFonts w:ascii="Cambria" w:eastAsia="Cambria" w:hAnsi="Cambria" w:cs="Cambria"/>
        </w:rPr>
      </w:pPr>
      <w:r>
        <w:rPr>
          <w:rFonts w:ascii="Cambria" w:eastAsia="Cambria" w:hAnsi="Cambria" w:cs="Cambria"/>
        </w:rPr>
        <w:t>Magnesium stearate</w:t>
      </w:r>
    </w:p>
    <w:p w14:paraId="2CB0509A" w14:textId="77777777" w:rsidR="005972A9" w:rsidRDefault="004A79CA">
      <w:pPr>
        <w:spacing w:after="0" w:line="240" w:lineRule="auto"/>
        <w:rPr>
          <w:rFonts w:ascii="Cambria" w:eastAsia="Cambria" w:hAnsi="Cambria" w:cs="Cambria"/>
        </w:rPr>
      </w:pPr>
      <w:r>
        <w:rPr>
          <w:rFonts w:ascii="Cambria" w:eastAsia="Cambria" w:hAnsi="Cambria" w:cs="Cambria"/>
        </w:rPr>
        <w:t>Polyvinyl alcohol</w:t>
      </w:r>
    </w:p>
    <w:p w14:paraId="0310F34C" w14:textId="77777777" w:rsidR="005972A9" w:rsidRDefault="004A79CA">
      <w:pPr>
        <w:spacing w:after="0" w:line="240" w:lineRule="auto"/>
        <w:rPr>
          <w:rFonts w:ascii="Cambria" w:eastAsia="Cambria" w:hAnsi="Cambria" w:cs="Cambria"/>
        </w:rPr>
      </w:pPr>
      <w:r>
        <w:rPr>
          <w:rFonts w:ascii="Cambria" w:eastAsia="Cambria" w:hAnsi="Cambria" w:cs="Cambria"/>
        </w:rPr>
        <w:t>Titanium dioxide</w:t>
      </w:r>
    </w:p>
    <w:p w14:paraId="3C526BCC" w14:textId="77777777" w:rsidR="005972A9" w:rsidRDefault="004A79CA">
      <w:pPr>
        <w:spacing w:after="0" w:line="240" w:lineRule="auto"/>
        <w:rPr>
          <w:rFonts w:ascii="Cambria" w:eastAsia="Cambria" w:hAnsi="Cambria" w:cs="Cambria"/>
        </w:rPr>
      </w:pPr>
      <w:r>
        <w:rPr>
          <w:rFonts w:ascii="Cambria" w:eastAsia="Cambria" w:hAnsi="Cambria" w:cs="Cambria"/>
        </w:rPr>
        <w:t>Macrogol/polyethylene glycol</w:t>
      </w:r>
    </w:p>
    <w:p w14:paraId="40FE4C00" w14:textId="77777777" w:rsidR="005972A9" w:rsidRDefault="004A79CA">
      <w:pPr>
        <w:spacing w:after="0" w:line="240" w:lineRule="auto"/>
        <w:rPr>
          <w:rFonts w:ascii="Cambria" w:eastAsia="Cambria" w:hAnsi="Cambria" w:cs="Cambria"/>
        </w:rPr>
      </w:pPr>
      <w:r>
        <w:rPr>
          <w:rFonts w:ascii="Cambria" w:eastAsia="Cambria" w:hAnsi="Cambria" w:cs="Cambria"/>
        </w:rPr>
        <w:t>Purified talc</w:t>
      </w:r>
    </w:p>
    <w:p w14:paraId="76B67323" w14:textId="77777777" w:rsidR="005972A9" w:rsidRDefault="004A79CA">
      <w:pPr>
        <w:spacing w:after="0" w:line="240" w:lineRule="auto"/>
        <w:rPr>
          <w:rFonts w:ascii="Cambria" w:eastAsia="Cambria" w:hAnsi="Cambria" w:cs="Cambria"/>
        </w:rPr>
      </w:pPr>
      <w:r>
        <w:rPr>
          <w:rFonts w:ascii="Cambria" w:eastAsia="Cambria" w:hAnsi="Cambria" w:cs="Cambria"/>
        </w:rPr>
        <w:t>Iron oxide red</w:t>
      </w:r>
    </w:p>
    <w:p w14:paraId="506C0F6F" w14:textId="77777777" w:rsidR="005972A9" w:rsidRDefault="004A79CA">
      <w:pPr>
        <w:spacing w:after="240" w:line="240" w:lineRule="auto"/>
        <w:rPr>
          <w:rFonts w:ascii="Cambria" w:eastAsia="Cambria" w:hAnsi="Cambria" w:cs="Cambria"/>
        </w:rPr>
      </w:pPr>
      <w:r>
        <w:rPr>
          <w:rFonts w:ascii="Cambria" w:eastAsia="Cambria" w:hAnsi="Cambria" w:cs="Cambria"/>
        </w:rPr>
        <w:t>Iron oxide yellow (9 mg tablet only)</w:t>
      </w:r>
    </w:p>
    <w:p w14:paraId="5C98E9C4" w14:textId="77777777" w:rsidR="005972A9" w:rsidRDefault="004A79CA">
      <w:pPr>
        <w:pStyle w:val="Heading2"/>
        <w:keepNext/>
        <w:keepLines/>
        <w:numPr>
          <w:ilvl w:val="1"/>
          <w:numId w:val="4"/>
        </w:numPr>
        <w:spacing w:before="0" w:after="120"/>
      </w:pPr>
      <w:r>
        <w:t xml:space="preserve">Incompatibilities </w:t>
      </w:r>
    </w:p>
    <w:p w14:paraId="714CF93D" w14:textId="77777777" w:rsidR="005972A9" w:rsidRDefault="004A79CA">
      <w:pPr>
        <w:rPr>
          <w:rFonts w:ascii="Cambria" w:eastAsia="Cambria" w:hAnsi="Cambria" w:cs="Cambria"/>
        </w:rPr>
      </w:pPr>
      <w:r>
        <w:rPr>
          <w:rFonts w:ascii="Cambria" w:eastAsia="Cambria" w:hAnsi="Cambria" w:cs="Cambria"/>
        </w:rPr>
        <w:t xml:space="preserve">Refer to section  4.5  Interactions with other medicines and other forms of interactions. </w:t>
      </w:r>
    </w:p>
    <w:p w14:paraId="31028EB9" w14:textId="77777777" w:rsidR="005972A9" w:rsidRDefault="004A79CA">
      <w:pPr>
        <w:pStyle w:val="Heading2"/>
        <w:numPr>
          <w:ilvl w:val="1"/>
          <w:numId w:val="4"/>
        </w:numPr>
        <w:spacing w:before="0" w:after="120"/>
      </w:pPr>
      <w:r>
        <w:t xml:space="preserve">Shelf life </w:t>
      </w:r>
    </w:p>
    <w:p w14:paraId="4A2A28E5" w14:textId="77777777" w:rsidR="005972A9" w:rsidRDefault="004A79CA">
      <w:pPr>
        <w:rPr>
          <w:rFonts w:ascii="Cambria" w:eastAsia="Cambria" w:hAnsi="Cambria" w:cs="Cambria"/>
        </w:rPr>
      </w:pPr>
      <w:r>
        <w:rPr>
          <w:rFonts w:ascii="Cambria" w:eastAsia="Cambria" w:hAnsi="Cambria" w:cs="Cambria"/>
        </w:rPr>
        <w:t>In Australia, information on the shelf life can be found on the public summary of the Australian Register of Therapeutic Goods (ARTG). The expiry date can be found on the packaging.</w:t>
      </w:r>
    </w:p>
    <w:p w14:paraId="4E6FC34A" w14:textId="77777777" w:rsidR="005972A9" w:rsidRDefault="004A79CA">
      <w:pPr>
        <w:pStyle w:val="Heading2"/>
        <w:keepNext/>
        <w:keepLines/>
        <w:numPr>
          <w:ilvl w:val="1"/>
          <w:numId w:val="4"/>
        </w:numPr>
        <w:spacing w:before="0" w:after="120"/>
      </w:pPr>
      <w:r>
        <w:t xml:space="preserve">Special precautions for storage </w:t>
      </w:r>
    </w:p>
    <w:p w14:paraId="30A3CF84" w14:textId="4C82ED1D" w:rsidR="005972A9" w:rsidRDefault="004A79CA">
      <w:pPr>
        <w:rPr>
          <w:rFonts w:ascii="Cambria" w:eastAsia="Cambria" w:hAnsi="Cambria" w:cs="Cambria"/>
        </w:rPr>
      </w:pPr>
      <w:r>
        <w:rPr>
          <w:rFonts w:ascii="Cambria" w:eastAsia="Cambria" w:hAnsi="Cambria" w:cs="Cambria"/>
        </w:rPr>
        <w:t>Store below 30°C.</w:t>
      </w:r>
    </w:p>
    <w:p w14:paraId="175CC86F" w14:textId="77777777" w:rsidR="005972A9" w:rsidRDefault="004A79CA">
      <w:pPr>
        <w:pStyle w:val="Heading2"/>
        <w:numPr>
          <w:ilvl w:val="1"/>
          <w:numId w:val="4"/>
        </w:numPr>
        <w:spacing w:before="0" w:after="120"/>
      </w:pPr>
      <w:r>
        <w:t xml:space="preserve">Nature and contents of container </w:t>
      </w:r>
    </w:p>
    <w:p w14:paraId="5D81F6C1" w14:textId="77777777" w:rsidR="003A5816" w:rsidRDefault="00DE29EE">
      <w:pPr>
        <w:rPr>
          <w:rFonts w:ascii="Cambria" w:eastAsia="Cambria" w:hAnsi="Cambria" w:cs="Cambria"/>
        </w:rPr>
      </w:pPr>
      <w:r>
        <w:rPr>
          <w:rFonts w:ascii="Cambria" w:eastAsia="Cambria" w:hAnsi="Cambria" w:cs="Cambria"/>
        </w:rPr>
        <w:t>Itovebi</w:t>
      </w:r>
      <w:r w:rsidR="004A79CA">
        <w:rPr>
          <w:rFonts w:ascii="Cambria" w:eastAsia="Cambria" w:hAnsi="Cambria" w:cs="Cambria"/>
        </w:rPr>
        <w:t xml:space="preserve"> </w:t>
      </w:r>
      <w:r w:rsidR="003A5816" w:rsidRPr="003A5816">
        <w:rPr>
          <w:rFonts w:ascii="Cambria" w:eastAsia="Cambria" w:hAnsi="Cambria" w:cs="Cambria"/>
        </w:rPr>
        <w:t>3 mg and 9 mg film-coated tablets are supplied in cartons of 28 tablets (4 aluminium blister cards, each with 7 tablets, per carton).</w:t>
      </w:r>
    </w:p>
    <w:p w14:paraId="5DE43F4D" w14:textId="77777777" w:rsidR="005972A9" w:rsidRDefault="004A79CA" w:rsidP="00FD09EF">
      <w:pPr>
        <w:pStyle w:val="Heading2"/>
        <w:pageBreakBefore/>
        <w:numPr>
          <w:ilvl w:val="1"/>
          <w:numId w:val="4"/>
        </w:numPr>
        <w:spacing w:before="0" w:after="120"/>
        <w:ind w:left="578" w:hanging="578"/>
      </w:pPr>
      <w:r>
        <w:lastRenderedPageBreak/>
        <w:t xml:space="preserve">Special precautions for disposal </w:t>
      </w:r>
    </w:p>
    <w:p w14:paraId="185D4A1C" w14:textId="77777777" w:rsidR="005972A9" w:rsidRDefault="004A79CA">
      <w:pPr>
        <w:rPr>
          <w:rFonts w:ascii="Cambria" w:eastAsia="Cambria" w:hAnsi="Cambria" w:cs="Cambria"/>
        </w:rPr>
      </w:pPr>
      <w:r>
        <w:rPr>
          <w:rFonts w:ascii="Cambria" w:eastAsia="Cambria" w:hAnsi="Cambria" w:cs="Cambria"/>
        </w:rPr>
        <w:t>The release of pharmaceuticals in the environment should be minimised. Medicines should not be disposed of via wastewater and disposal through household waste should be avoided. Any unused medicine or waste material should be disposed of by taking to a local pharmacy.</w:t>
      </w:r>
    </w:p>
    <w:p w14:paraId="4DF0E58B" w14:textId="77777777" w:rsidR="005972A9" w:rsidRDefault="004A79CA">
      <w:pPr>
        <w:pStyle w:val="Heading2"/>
        <w:numPr>
          <w:ilvl w:val="1"/>
          <w:numId w:val="4"/>
        </w:numPr>
        <w:spacing w:before="0" w:after="120"/>
      </w:pPr>
      <w:r>
        <w:t>Physicochemical properties</w:t>
      </w:r>
    </w:p>
    <w:p w14:paraId="2DA2E960" w14:textId="6D4A36D0" w:rsidR="005972A9" w:rsidRDefault="004A79CA">
      <w:pPr>
        <w:pStyle w:val="Heading3"/>
        <w:spacing w:before="0" w:after="120"/>
        <w:ind w:firstLine="227"/>
      </w:pPr>
      <w:r>
        <w:t>Chemical structure:</w:t>
      </w:r>
    </w:p>
    <w:p w14:paraId="5DDFE695" w14:textId="77777777" w:rsidR="005972A9" w:rsidRDefault="004E1508">
      <w:r>
        <w:rPr>
          <w:noProof/>
        </w:rPr>
        <w:pict w14:anchorId="29573747">
          <v:shape id="image2.png" o:spid="_x0000_i1027" type="#_x0000_t75" style="width:127.35pt;height:97.25pt;visibility:visible">
            <v:imagedata r:id="rId12" o:title=""/>
          </v:shape>
        </w:pict>
      </w:r>
    </w:p>
    <w:p w14:paraId="719DD2BE" w14:textId="77777777" w:rsidR="005972A9" w:rsidRDefault="004A79CA">
      <w:pPr>
        <w:pStyle w:val="Heading3"/>
        <w:spacing w:before="0" w:after="120"/>
        <w:ind w:firstLine="227"/>
        <w:rPr>
          <w:b w:val="0"/>
          <w:color w:val="111827"/>
          <w:highlight w:val="white"/>
        </w:rPr>
      </w:pPr>
      <w:r>
        <w:t xml:space="preserve">CAS number: </w:t>
      </w:r>
      <w:r>
        <w:rPr>
          <w:b w:val="0"/>
          <w:color w:val="111827"/>
          <w:highlight w:val="white"/>
        </w:rPr>
        <w:t xml:space="preserve">2060571-02-8 </w:t>
      </w:r>
      <w:r w:rsidR="00590E74">
        <w:rPr>
          <w:color w:val="2D11FB"/>
          <w:highlight w:val="white"/>
        </w:rPr>
        <w:t xml:space="preserve"> </w:t>
      </w:r>
    </w:p>
    <w:p w14:paraId="4EAAC373" w14:textId="77777777" w:rsidR="005972A9" w:rsidRDefault="004A79CA">
      <w:pPr>
        <w:pStyle w:val="Heading3"/>
        <w:ind w:firstLine="227"/>
      </w:pPr>
      <w:r>
        <w:t xml:space="preserve">Chemical name: </w:t>
      </w:r>
      <w:r>
        <w:rPr>
          <w:b w:val="0"/>
        </w:rPr>
        <w:t xml:space="preserve">(2S)-2-[[2-[(4S)-4-(difluoromethyl)-2-oxo-1,3-oxazolidin-3-yl]-5,6-dihydroimidazo[1,2-d][1,4]benzoxazepin-9-yl]amino]propenamide </w:t>
      </w:r>
      <w:r w:rsidR="00590E74">
        <w:rPr>
          <w:color w:val="2D11FB"/>
          <w:highlight w:val="white"/>
        </w:rPr>
        <w:t xml:space="preserve"> </w:t>
      </w:r>
    </w:p>
    <w:p w14:paraId="0818F982" w14:textId="6FCDA7AE" w:rsidR="005972A9" w:rsidRDefault="004A79CA">
      <w:pPr>
        <w:pStyle w:val="Heading3"/>
        <w:ind w:firstLine="227"/>
      </w:pPr>
      <w:r>
        <w:t xml:space="preserve">Empirical formula: </w:t>
      </w:r>
      <w:r>
        <w:rPr>
          <w:b w:val="0"/>
        </w:rPr>
        <w:t>C</w:t>
      </w:r>
      <w:r>
        <w:rPr>
          <w:b w:val="0"/>
          <w:vertAlign w:val="subscript"/>
        </w:rPr>
        <w:t>18</w:t>
      </w:r>
      <w:r>
        <w:rPr>
          <w:b w:val="0"/>
        </w:rPr>
        <w:t>H</w:t>
      </w:r>
      <w:r>
        <w:rPr>
          <w:b w:val="0"/>
          <w:vertAlign w:val="subscript"/>
        </w:rPr>
        <w:t>19</w:t>
      </w:r>
      <w:r>
        <w:rPr>
          <w:b w:val="0"/>
        </w:rPr>
        <w:t>F</w:t>
      </w:r>
      <w:r>
        <w:rPr>
          <w:b w:val="0"/>
          <w:vertAlign w:val="subscript"/>
        </w:rPr>
        <w:t>2</w:t>
      </w:r>
      <w:r>
        <w:rPr>
          <w:b w:val="0"/>
        </w:rPr>
        <w:t>N</w:t>
      </w:r>
      <w:r>
        <w:rPr>
          <w:b w:val="0"/>
          <w:vertAlign w:val="subscript"/>
        </w:rPr>
        <w:t>5</w:t>
      </w:r>
      <w:r>
        <w:rPr>
          <w:b w:val="0"/>
        </w:rPr>
        <w:t>O</w:t>
      </w:r>
      <w:r>
        <w:rPr>
          <w:b w:val="0"/>
          <w:vertAlign w:val="subscript"/>
        </w:rPr>
        <w:t>4</w:t>
      </w:r>
    </w:p>
    <w:p w14:paraId="4128A4D4" w14:textId="77777777" w:rsidR="005972A9" w:rsidRDefault="005972A9"/>
    <w:p w14:paraId="4F48201F" w14:textId="77777777" w:rsidR="005972A9" w:rsidRDefault="004A79CA">
      <w:pPr>
        <w:pStyle w:val="Heading1"/>
        <w:numPr>
          <w:ilvl w:val="0"/>
          <w:numId w:val="4"/>
        </w:numPr>
        <w:spacing w:before="0" w:after="120"/>
      </w:pPr>
      <w:r>
        <w:t>Medicine schedule (Poisons Standard)</w:t>
      </w:r>
    </w:p>
    <w:p w14:paraId="1D052D90" w14:textId="77777777" w:rsidR="005972A9" w:rsidRDefault="004A79CA">
      <w:pPr>
        <w:rPr>
          <w:rFonts w:ascii="Cambria" w:eastAsia="Cambria" w:hAnsi="Cambria" w:cs="Cambria"/>
        </w:rPr>
      </w:pPr>
      <w:r>
        <w:rPr>
          <w:rFonts w:ascii="Cambria" w:eastAsia="Cambria" w:hAnsi="Cambria" w:cs="Cambria"/>
        </w:rPr>
        <w:t>Schedule 4 – Prescription Only Medicine</w:t>
      </w:r>
    </w:p>
    <w:p w14:paraId="6AB1C128" w14:textId="77777777" w:rsidR="005972A9" w:rsidRDefault="004A79CA">
      <w:pPr>
        <w:pStyle w:val="Heading1"/>
        <w:numPr>
          <w:ilvl w:val="0"/>
          <w:numId w:val="4"/>
        </w:numPr>
        <w:spacing w:before="0" w:after="120"/>
      </w:pPr>
      <w:r>
        <w:t>Sponsor</w:t>
      </w:r>
    </w:p>
    <w:p w14:paraId="404BFF30" w14:textId="77777777" w:rsidR="005972A9" w:rsidRDefault="004A79CA">
      <w:pPr>
        <w:spacing w:after="0" w:line="240" w:lineRule="auto"/>
        <w:rPr>
          <w:rFonts w:ascii="Cambria" w:eastAsia="Cambria" w:hAnsi="Cambria" w:cs="Cambria"/>
        </w:rPr>
      </w:pPr>
      <w:r>
        <w:rPr>
          <w:rFonts w:ascii="Cambria" w:eastAsia="Cambria" w:hAnsi="Cambria" w:cs="Cambria"/>
        </w:rPr>
        <w:t>Roche Products Pty Limited</w:t>
      </w:r>
    </w:p>
    <w:p w14:paraId="3E899E3E" w14:textId="77777777" w:rsidR="005972A9" w:rsidRDefault="004A79CA">
      <w:pPr>
        <w:spacing w:after="0" w:line="240" w:lineRule="auto"/>
        <w:rPr>
          <w:rFonts w:ascii="Cambria" w:eastAsia="Cambria" w:hAnsi="Cambria" w:cs="Cambria"/>
        </w:rPr>
      </w:pPr>
      <w:r>
        <w:rPr>
          <w:rFonts w:ascii="Cambria" w:eastAsia="Cambria" w:hAnsi="Cambria" w:cs="Cambria"/>
        </w:rPr>
        <w:t>ABN 70 000 132 865</w:t>
      </w:r>
    </w:p>
    <w:p w14:paraId="40888724" w14:textId="77777777" w:rsidR="005972A9" w:rsidRDefault="004A79CA">
      <w:pPr>
        <w:spacing w:after="0" w:line="240" w:lineRule="auto"/>
        <w:rPr>
          <w:rFonts w:ascii="Cambria" w:eastAsia="Cambria" w:hAnsi="Cambria" w:cs="Cambria"/>
        </w:rPr>
      </w:pPr>
      <w:r>
        <w:rPr>
          <w:rFonts w:ascii="Cambria" w:eastAsia="Cambria" w:hAnsi="Cambria" w:cs="Cambria"/>
        </w:rPr>
        <w:t xml:space="preserve">Level 8, 30-34 Hickson Road </w:t>
      </w:r>
    </w:p>
    <w:p w14:paraId="50B54904" w14:textId="77777777" w:rsidR="005972A9" w:rsidRDefault="004A79CA">
      <w:pPr>
        <w:spacing w:after="0" w:line="240" w:lineRule="auto"/>
        <w:rPr>
          <w:rFonts w:ascii="Cambria" w:eastAsia="Cambria" w:hAnsi="Cambria" w:cs="Cambria"/>
        </w:rPr>
      </w:pPr>
      <w:r>
        <w:rPr>
          <w:rFonts w:ascii="Cambria" w:eastAsia="Cambria" w:hAnsi="Cambria" w:cs="Cambria"/>
        </w:rPr>
        <w:t>Sydney NSW 2000</w:t>
      </w:r>
    </w:p>
    <w:p w14:paraId="55BF0F98" w14:textId="77777777" w:rsidR="005972A9" w:rsidRDefault="004A79CA">
      <w:pPr>
        <w:spacing w:after="0" w:line="240" w:lineRule="auto"/>
        <w:rPr>
          <w:rFonts w:ascii="Cambria" w:eastAsia="Cambria" w:hAnsi="Cambria" w:cs="Cambria"/>
        </w:rPr>
      </w:pPr>
      <w:r>
        <w:rPr>
          <w:rFonts w:ascii="Cambria" w:eastAsia="Cambria" w:hAnsi="Cambria" w:cs="Cambria"/>
        </w:rPr>
        <w:t>AUSTRALIA</w:t>
      </w:r>
    </w:p>
    <w:p w14:paraId="1DC61EB3" w14:textId="77777777" w:rsidR="005972A9" w:rsidRDefault="005972A9">
      <w:pPr>
        <w:spacing w:after="0" w:line="240" w:lineRule="auto"/>
        <w:rPr>
          <w:rFonts w:ascii="Cambria" w:eastAsia="Cambria" w:hAnsi="Cambria" w:cs="Cambria"/>
        </w:rPr>
      </w:pPr>
    </w:p>
    <w:p w14:paraId="549482C1" w14:textId="77777777" w:rsidR="005972A9" w:rsidRDefault="004A79CA">
      <w:pPr>
        <w:spacing w:after="240" w:line="240" w:lineRule="auto"/>
        <w:rPr>
          <w:rFonts w:ascii="Cambria" w:eastAsia="Cambria" w:hAnsi="Cambria" w:cs="Cambria"/>
        </w:rPr>
      </w:pPr>
      <w:r>
        <w:rPr>
          <w:rFonts w:ascii="Cambria" w:eastAsia="Cambria" w:hAnsi="Cambria" w:cs="Cambria"/>
        </w:rPr>
        <w:t>Medical enquiries: 1800 233 950</w:t>
      </w:r>
    </w:p>
    <w:p w14:paraId="60691C20" w14:textId="0C32578F" w:rsidR="005972A9" w:rsidRDefault="004A79CA">
      <w:pPr>
        <w:pStyle w:val="Heading1"/>
        <w:numPr>
          <w:ilvl w:val="0"/>
          <w:numId w:val="4"/>
        </w:numPr>
        <w:spacing w:before="0" w:after="120"/>
      </w:pPr>
      <w:r>
        <w:t>Date of first approval</w:t>
      </w:r>
    </w:p>
    <w:p w14:paraId="3B68D4B0" w14:textId="77777777" w:rsidR="005972A9" w:rsidRDefault="005972A9"/>
    <w:p w14:paraId="7E62A79A" w14:textId="1696BA0F" w:rsidR="00375767" w:rsidRPr="00375767" w:rsidRDefault="004A79CA" w:rsidP="00FD09EF">
      <w:pPr>
        <w:pStyle w:val="Heading1"/>
        <w:pageBreakBefore/>
        <w:numPr>
          <w:ilvl w:val="0"/>
          <w:numId w:val="4"/>
        </w:numPr>
        <w:spacing w:before="0" w:after="120"/>
        <w:ind w:left="431" w:hanging="431"/>
      </w:pPr>
      <w:r>
        <w:lastRenderedPageBreak/>
        <w:t xml:space="preserve">Date of revision </w:t>
      </w:r>
    </w:p>
    <w:p w14:paraId="29C4C3A5" w14:textId="77777777" w:rsidR="005972A9" w:rsidRDefault="004A79CA">
      <w:pPr>
        <w:pStyle w:val="Heading2"/>
        <w:spacing w:before="0" w:after="120"/>
      </w:pPr>
      <w:r>
        <w:t>Summary table of changes</w:t>
      </w:r>
    </w:p>
    <w:tbl>
      <w:tblPr>
        <w:tblW w:w="9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6A0" w:firstRow="1" w:lastRow="0" w:firstColumn="1" w:lastColumn="0" w:noHBand="1" w:noVBand="1"/>
      </w:tblPr>
      <w:tblGrid>
        <w:gridCol w:w="1371"/>
        <w:gridCol w:w="7635"/>
      </w:tblGrid>
      <w:tr w:rsidR="005972A9" w14:paraId="64D5DD8C" w14:textId="77777777" w:rsidTr="00FD7B6F">
        <w:tc>
          <w:tcPr>
            <w:tcW w:w="1371" w:type="dxa"/>
            <w:tcBorders>
              <w:top w:val="single" w:sz="8" w:space="0" w:color="000000"/>
              <w:left w:val="single" w:sz="8" w:space="0" w:color="000000"/>
              <w:bottom w:val="single" w:sz="18" w:space="0" w:color="000000"/>
              <w:right w:val="single" w:sz="8" w:space="0" w:color="000000"/>
            </w:tcBorders>
            <w:shd w:val="clear" w:color="auto" w:fill="F2F2F2"/>
            <w:vAlign w:val="center"/>
          </w:tcPr>
          <w:p w14:paraId="7C925ECA" w14:textId="77777777" w:rsidR="005972A9" w:rsidRPr="00FD7B6F" w:rsidRDefault="004A79CA" w:rsidP="00FD7B6F">
            <w:pPr>
              <w:spacing w:after="0" w:line="240" w:lineRule="auto"/>
              <w:rPr>
                <w:rFonts w:ascii="Cambria" w:eastAsia="Cambria" w:hAnsi="Cambria" w:cs="Cambria"/>
                <w:b/>
                <w:sz w:val="20"/>
                <w:szCs w:val="20"/>
              </w:rPr>
            </w:pPr>
            <w:r w:rsidRPr="00FD7B6F">
              <w:rPr>
                <w:rFonts w:ascii="Cambria" w:eastAsia="Cambria" w:hAnsi="Cambria" w:cs="Cambria"/>
                <w:b/>
                <w:sz w:val="20"/>
                <w:szCs w:val="20"/>
              </w:rPr>
              <w:t>Section Changed</w:t>
            </w:r>
          </w:p>
        </w:tc>
        <w:tc>
          <w:tcPr>
            <w:tcW w:w="7635" w:type="dxa"/>
            <w:tcBorders>
              <w:top w:val="single" w:sz="8" w:space="0" w:color="000000"/>
              <w:left w:val="single" w:sz="8" w:space="0" w:color="000000"/>
              <w:bottom w:val="single" w:sz="18" w:space="0" w:color="000000"/>
              <w:right w:val="single" w:sz="8" w:space="0" w:color="000000"/>
            </w:tcBorders>
            <w:shd w:val="clear" w:color="auto" w:fill="F2F2F2"/>
            <w:vAlign w:val="center"/>
          </w:tcPr>
          <w:p w14:paraId="164B6106" w14:textId="77777777" w:rsidR="005972A9" w:rsidRPr="00FD7B6F" w:rsidRDefault="004A79CA" w:rsidP="00FD7B6F">
            <w:pPr>
              <w:spacing w:after="0" w:line="240" w:lineRule="auto"/>
              <w:rPr>
                <w:rFonts w:ascii="Cambria" w:eastAsia="Cambria" w:hAnsi="Cambria" w:cs="Cambria"/>
                <w:b/>
                <w:sz w:val="20"/>
                <w:szCs w:val="20"/>
              </w:rPr>
            </w:pPr>
            <w:r w:rsidRPr="00FD7B6F">
              <w:rPr>
                <w:rFonts w:ascii="Cambria" w:eastAsia="Cambria" w:hAnsi="Cambria" w:cs="Cambria"/>
                <w:b/>
                <w:sz w:val="20"/>
                <w:szCs w:val="20"/>
              </w:rPr>
              <w:t>Summary of new information</w:t>
            </w:r>
          </w:p>
        </w:tc>
      </w:tr>
      <w:tr w:rsidR="005972A9" w14:paraId="59F27F9C" w14:textId="77777777" w:rsidTr="00FD7B6F">
        <w:tc>
          <w:tcPr>
            <w:tcW w:w="1371" w:type="dxa"/>
            <w:shd w:val="clear" w:color="auto" w:fill="auto"/>
            <w:vAlign w:val="center"/>
          </w:tcPr>
          <w:p w14:paraId="7BA130CD" w14:textId="77777777" w:rsidR="005972A9" w:rsidRPr="00FD7B6F" w:rsidRDefault="005972A9" w:rsidP="00FD7B6F">
            <w:pPr>
              <w:spacing w:after="0" w:line="240" w:lineRule="auto"/>
              <w:rPr>
                <w:rFonts w:ascii="Cambria" w:eastAsia="Cambria" w:hAnsi="Cambria" w:cs="Cambria"/>
                <w:b/>
                <w:sz w:val="24"/>
                <w:szCs w:val="24"/>
              </w:rPr>
            </w:pPr>
          </w:p>
        </w:tc>
        <w:tc>
          <w:tcPr>
            <w:tcW w:w="7635" w:type="dxa"/>
            <w:shd w:val="clear" w:color="auto" w:fill="auto"/>
            <w:vAlign w:val="center"/>
          </w:tcPr>
          <w:p w14:paraId="71DA2CB8" w14:textId="77777777" w:rsidR="005972A9" w:rsidRPr="00FD7B6F" w:rsidRDefault="00375767" w:rsidP="00FD7B6F">
            <w:pPr>
              <w:spacing w:after="0" w:line="240" w:lineRule="auto"/>
              <w:rPr>
                <w:rFonts w:ascii="Cambria" w:eastAsia="Cambria" w:hAnsi="Cambria" w:cs="Cambria"/>
                <w:sz w:val="24"/>
                <w:szCs w:val="24"/>
              </w:rPr>
            </w:pPr>
            <w:r>
              <w:rPr>
                <w:rFonts w:ascii="Cambria" w:eastAsia="Cambria" w:hAnsi="Cambria" w:cs="Cambria"/>
                <w:sz w:val="24"/>
                <w:szCs w:val="24"/>
              </w:rPr>
              <w:t>New document</w:t>
            </w:r>
          </w:p>
        </w:tc>
      </w:tr>
      <w:tr w:rsidR="005972A9" w14:paraId="556D46F4" w14:textId="77777777" w:rsidTr="00FD7B6F">
        <w:tc>
          <w:tcPr>
            <w:tcW w:w="1371" w:type="dxa"/>
            <w:shd w:val="clear" w:color="auto" w:fill="auto"/>
            <w:vAlign w:val="center"/>
          </w:tcPr>
          <w:p w14:paraId="47166BBF" w14:textId="77777777" w:rsidR="005972A9" w:rsidRPr="00FD7B6F" w:rsidRDefault="005972A9" w:rsidP="00FD7B6F">
            <w:pPr>
              <w:spacing w:after="0" w:line="240" w:lineRule="auto"/>
              <w:rPr>
                <w:rFonts w:ascii="Cambria" w:eastAsia="Cambria" w:hAnsi="Cambria" w:cs="Cambria"/>
                <w:b/>
                <w:sz w:val="24"/>
                <w:szCs w:val="24"/>
              </w:rPr>
            </w:pPr>
          </w:p>
        </w:tc>
        <w:tc>
          <w:tcPr>
            <w:tcW w:w="7635" w:type="dxa"/>
            <w:shd w:val="clear" w:color="auto" w:fill="auto"/>
            <w:vAlign w:val="center"/>
          </w:tcPr>
          <w:p w14:paraId="423063B1" w14:textId="77777777" w:rsidR="005972A9" w:rsidRPr="00FD7B6F" w:rsidRDefault="005972A9" w:rsidP="00FD7B6F">
            <w:pPr>
              <w:spacing w:after="0" w:line="240" w:lineRule="auto"/>
              <w:rPr>
                <w:rFonts w:ascii="Cambria" w:eastAsia="Cambria" w:hAnsi="Cambria" w:cs="Cambria"/>
                <w:sz w:val="24"/>
                <w:szCs w:val="24"/>
              </w:rPr>
            </w:pPr>
          </w:p>
        </w:tc>
      </w:tr>
      <w:tr w:rsidR="005972A9" w14:paraId="27AC6382" w14:textId="77777777" w:rsidTr="00FD7B6F">
        <w:tc>
          <w:tcPr>
            <w:tcW w:w="1371" w:type="dxa"/>
            <w:shd w:val="clear" w:color="auto" w:fill="auto"/>
            <w:vAlign w:val="center"/>
          </w:tcPr>
          <w:p w14:paraId="5C47EDAF" w14:textId="77777777" w:rsidR="005972A9" w:rsidRPr="00FD7B6F" w:rsidRDefault="005972A9" w:rsidP="00FD7B6F">
            <w:pPr>
              <w:spacing w:after="0" w:line="240" w:lineRule="auto"/>
              <w:rPr>
                <w:rFonts w:ascii="Cambria" w:eastAsia="Cambria" w:hAnsi="Cambria" w:cs="Cambria"/>
                <w:b/>
                <w:sz w:val="24"/>
                <w:szCs w:val="24"/>
              </w:rPr>
            </w:pPr>
          </w:p>
        </w:tc>
        <w:tc>
          <w:tcPr>
            <w:tcW w:w="7635" w:type="dxa"/>
            <w:shd w:val="clear" w:color="auto" w:fill="auto"/>
            <w:vAlign w:val="center"/>
          </w:tcPr>
          <w:p w14:paraId="4E7633C1" w14:textId="77777777" w:rsidR="005972A9" w:rsidRPr="00FD7B6F" w:rsidRDefault="005972A9" w:rsidP="00FD7B6F">
            <w:pPr>
              <w:spacing w:after="0" w:line="240" w:lineRule="auto"/>
              <w:rPr>
                <w:rFonts w:ascii="Cambria" w:eastAsia="Cambria" w:hAnsi="Cambria" w:cs="Cambria"/>
                <w:sz w:val="24"/>
                <w:szCs w:val="24"/>
              </w:rPr>
            </w:pPr>
          </w:p>
        </w:tc>
      </w:tr>
    </w:tbl>
    <w:p w14:paraId="767FA965" w14:textId="77777777" w:rsidR="005972A9" w:rsidRDefault="005972A9">
      <w:pPr>
        <w:spacing w:after="120"/>
        <w:rPr>
          <w:rFonts w:ascii="Cambria" w:eastAsia="Cambria" w:hAnsi="Cambria" w:cs="Cambria"/>
        </w:rPr>
      </w:pPr>
    </w:p>
    <w:sectPr w:rsidR="005972A9">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96D0C" w14:textId="77777777" w:rsidR="006037D7" w:rsidRDefault="006037D7">
      <w:pPr>
        <w:spacing w:after="0" w:line="240" w:lineRule="auto"/>
      </w:pPr>
      <w:r>
        <w:separator/>
      </w:r>
    </w:p>
  </w:endnote>
  <w:endnote w:type="continuationSeparator" w:id="0">
    <w:p w14:paraId="478C0EA7" w14:textId="77777777" w:rsidR="006037D7" w:rsidRDefault="00603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0EFFDB8B-3C74-4D6B-8F2D-C3D16B4B3196}"/>
    <w:embedBold r:id="rId2" w:fontKey="{7DB21577-8B4E-48E9-8AC6-F3CC0FAC8DE2}"/>
    <w:embedItalic r:id="rId3" w:fontKey="{B7E623FD-0EE4-49CB-8613-770260921138}"/>
  </w:font>
  <w:font w:name="Cambria">
    <w:panose1 w:val="02040503050406030204"/>
    <w:charset w:val="00"/>
    <w:family w:val="roman"/>
    <w:pitch w:val="variable"/>
    <w:sig w:usb0="E00006FF" w:usb1="420024FF" w:usb2="02000000" w:usb3="00000000" w:csb0="0000019F" w:csb1="00000000"/>
    <w:embedRegular r:id="rId4" w:fontKey="{8FB8B6D7-4579-4D57-B62D-A76ABBBA62F9}"/>
    <w:embedBold r:id="rId5" w:fontKey="{226F3A75-FBF3-4327-B0AA-FCEE06139A04}"/>
    <w:embedItalic r:id="rId6" w:fontKey="{DE28F957-23CF-44BD-A51F-B37C11C7DC90}"/>
    <w:embedBoldItalic r:id="rId7" w:fontKey="{CCFC8C45-3828-40C4-81AC-8D9C32F0492E}"/>
  </w:font>
  <w:font w:name="Tahoma">
    <w:panose1 w:val="020B0604030504040204"/>
    <w:charset w:val="00"/>
    <w:family w:val="swiss"/>
    <w:pitch w:val="variable"/>
    <w:sig w:usb0="E1002EFF" w:usb1="C000605B" w:usb2="00000029" w:usb3="00000000" w:csb0="000101FF" w:csb1="00000000"/>
    <w:embedRegular r:id="rId8" w:fontKey="{27D45073-CE7B-42DB-82C1-4AC2226C69AF}"/>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embedRegular r:id="rId9" w:subsetted="1" w:fontKey="{666218BA-8B57-4D5B-8696-3040546A40D1}"/>
  </w:font>
  <w:font w:name="Georgia">
    <w:panose1 w:val="02040502050405020303"/>
    <w:charset w:val="00"/>
    <w:family w:val="roman"/>
    <w:pitch w:val="variable"/>
    <w:sig w:usb0="00000287" w:usb1="00000000" w:usb2="00000000" w:usb3="00000000" w:csb0="0000009F" w:csb1="00000000"/>
    <w:embedRegular r:id="rId10" w:fontKey="{7BF19685-CF3B-41A9-8A39-181EA6E176AF}"/>
    <w:embedItalic r:id="rId11" w:fontKey="{6D0187C5-987D-4545-B915-8FC86C4C89B7}"/>
  </w:font>
  <w:font w:name="Wingdings 3">
    <w:panose1 w:val="05040102010807070707"/>
    <w:charset w:val="02"/>
    <w:family w:val="roman"/>
    <w:pitch w:val="variable"/>
    <w:sig w:usb0="00000000" w:usb1="10000000" w:usb2="00000000" w:usb3="00000000" w:csb0="80000000" w:csb1="00000000"/>
    <w:embedRegular r:id="rId12" w:fontKey="{D8A5E427-FCD9-4DF4-9ED0-BD24B08A0ACA}"/>
  </w:font>
  <w:font w:name="Aptos Display">
    <w:charset w:val="00"/>
    <w:family w:val="swiss"/>
    <w:pitch w:val="variable"/>
    <w:sig w:usb0="20000287" w:usb1="00000003" w:usb2="00000000" w:usb3="00000000" w:csb0="0000019F" w:csb1="00000000"/>
    <w:embedRegular r:id="rId13" w:fontKey="{B8CECC61-6B20-44EA-A1E6-337D9A50ABC3}"/>
  </w:font>
  <w:font w:name="Aptos">
    <w:charset w:val="00"/>
    <w:family w:val="swiss"/>
    <w:pitch w:val="variable"/>
    <w:sig w:usb0="20000287" w:usb1="00000003" w:usb2="00000000" w:usb3="00000000" w:csb0="0000019F" w:csb1="00000000"/>
    <w:embedRegular r:id="rId14" w:fontKey="{BE4A85FB-FB9C-4363-9292-E9C99C25FC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83ABC" w14:textId="77777777" w:rsidR="005972A9" w:rsidRDefault="005972A9">
    <w:pPr>
      <w:pBdr>
        <w:top w:val="nil"/>
        <w:left w:val="nil"/>
        <w:bottom w:val="nil"/>
        <w:right w:val="nil"/>
        <w:between w:val="nil"/>
      </w:pBdr>
      <w:tabs>
        <w:tab w:val="center" w:pos="4513"/>
        <w:tab w:val="right" w:pos="9026"/>
      </w:tabs>
      <w:spacing w:after="0" w:line="240" w:lineRule="auto"/>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22494" w14:textId="64B67BF3" w:rsidR="005972A9" w:rsidRDefault="00C206E6" w:rsidP="00420B21">
    <w:pPr>
      <w:pBdr>
        <w:top w:val="nil"/>
        <w:left w:val="nil"/>
        <w:bottom w:val="nil"/>
        <w:right w:val="nil"/>
        <w:between w:val="nil"/>
      </w:pBdr>
      <w:tabs>
        <w:tab w:val="center" w:pos="4513"/>
        <w:tab w:val="right" w:pos="9026"/>
      </w:tabs>
      <w:spacing w:after="0" w:line="240" w:lineRule="auto"/>
      <w:rPr>
        <w:rFonts w:ascii="Cambria" w:eastAsia="Cambria" w:hAnsi="Cambria" w:cs="Cambria"/>
        <w:color w:val="000000"/>
        <w:sz w:val="20"/>
        <w:szCs w:val="20"/>
      </w:rPr>
    </w:pPr>
    <w:proofErr w:type="spellStart"/>
    <w:r>
      <w:rPr>
        <w:rFonts w:ascii="Cambria" w:eastAsia="Cambria" w:hAnsi="Cambria" w:cs="Cambria"/>
        <w:color w:val="000000"/>
        <w:sz w:val="20"/>
        <w:szCs w:val="20"/>
      </w:rPr>
      <w:t>Itovebi</w:t>
    </w:r>
    <w:proofErr w:type="spellEnd"/>
    <w:r>
      <w:rPr>
        <w:rFonts w:ascii="Cambria" w:eastAsia="Cambria" w:hAnsi="Cambria" w:cs="Cambria"/>
        <w:color w:val="000000"/>
        <w:sz w:val="20"/>
        <w:szCs w:val="20"/>
      </w:rPr>
      <w:t xml:space="preserve"> 20250304_d</w:t>
    </w:r>
    <w:r w:rsidR="00420B21">
      <w:rPr>
        <w:rFonts w:ascii="Cambria" w:eastAsia="Cambria" w:hAnsi="Cambria" w:cs="Cambria"/>
        <w:color w:val="000000"/>
        <w:sz w:val="20"/>
        <w:szCs w:val="20"/>
      </w:rPr>
      <w:tab/>
    </w:r>
    <w:r w:rsidR="00420B21">
      <w:rPr>
        <w:rFonts w:ascii="Cambria" w:eastAsia="Cambria" w:hAnsi="Cambria" w:cs="Cambria"/>
        <w:color w:val="000000"/>
        <w:sz w:val="20"/>
        <w:szCs w:val="20"/>
      </w:rPr>
      <w:tab/>
    </w:r>
    <w:r w:rsidR="004A79CA">
      <w:rPr>
        <w:rFonts w:ascii="Cambria" w:eastAsia="Cambria" w:hAnsi="Cambria" w:cs="Cambria"/>
        <w:color w:val="000000"/>
        <w:sz w:val="20"/>
        <w:szCs w:val="20"/>
      </w:rPr>
      <w:fldChar w:fldCharType="begin"/>
    </w:r>
    <w:r w:rsidR="004A79CA">
      <w:rPr>
        <w:rFonts w:ascii="Cambria" w:eastAsia="Cambria" w:hAnsi="Cambria" w:cs="Cambria"/>
        <w:color w:val="000000"/>
        <w:sz w:val="20"/>
        <w:szCs w:val="20"/>
      </w:rPr>
      <w:instrText>PAGE</w:instrText>
    </w:r>
    <w:r w:rsidR="004A79CA">
      <w:rPr>
        <w:rFonts w:ascii="Cambria" w:eastAsia="Cambria" w:hAnsi="Cambria" w:cs="Cambria"/>
        <w:color w:val="000000"/>
        <w:sz w:val="20"/>
        <w:szCs w:val="20"/>
      </w:rPr>
      <w:fldChar w:fldCharType="separate"/>
    </w:r>
    <w:r w:rsidR="00DA0F9E">
      <w:rPr>
        <w:rFonts w:ascii="Cambria" w:eastAsia="Cambria" w:hAnsi="Cambria" w:cs="Cambria"/>
        <w:noProof/>
        <w:color w:val="000000"/>
        <w:sz w:val="20"/>
        <w:szCs w:val="20"/>
      </w:rPr>
      <w:t>1</w:t>
    </w:r>
    <w:r w:rsidR="004A79CA">
      <w:rPr>
        <w:rFonts w:ascii="Cambria" w:eastAsia="Cambria" w:hAnsi="Cambria" w:cs="Cambria"/>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0C7A0" w14:textId="77777777" w:rsidR="005972A9" w:rsidRDefault="005972A9">
    <w:pPr>
      <w:pBdr>
        <w:top w:val="nil"/>
        <w:left w:val="nil"/>
        <w:bottom w:val="nil"/>
        <w:right w:val="nil"/>
        <w:between w:val="nil"/>
      </w:pBdr>
      <w:tabs>
        <w:tab w:val="center" w:pos="4513"/>
        <w:tab w:val="right" w:pos="9026"/>
      </w:tabs>
      <w:spacing w:after="0" w:line="240" w:lineRule="auto"/>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44C8C" w14:textId="77777777" w:rsidR="006037D7" w:rsidRDefault="006037D7">
      <w:pPr>
        <w:spacing w:after="0" w:line="240" w:lineRule="auto"/>
      </w:pPr>
      <w:r>
        <w:separator/>
      </w:r>
    </w:p>
  </w:footnote>
  <w:footnote w:type="continuationSeparator" w:id="0">
    <w:p w14:paraId="0B45F857" w14:textId="77777777" w:rsidR="006037D7" w:rsidRDefault="006037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6AB34" w14:textId="77777777" w:rsidR="005972A9" w:rsidRDefault="005972A9">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127AB" w14:textId="77777777" w:rsidR="004E1508" w:rsidRPr="004E1508" w:rsidRDefault="004E1508" w:rsidP="004E1508">
    <w:pPr>
      <w:spacing w:before="120" w:after="0" w:line="240" w:lineRule="auto"/>
      <w:rPr>
        <w:rFonts w:ascii="Cambria" w:eastAsia="Cambria" w:hAnsi="Cambria" w:cs="Times New Roman"/>
        <w:sz w:val="24"/>
        <w:szCs w:val="24"/>
        <w:lang w:val="en-AU"/>
      </w:rPr>
    </w:pPr>
  </w:p>
  <w:tbl>
    <w:tblPr>
      <w:tblStyle w:val="TableGrid1"/>
      <w:tblW w:w="0" w:type="auto"/>
      <w:tblInd w:w="-318" w:type="dxa"/>
      <w:shd w:val="clear" w:color="auto" w:fill="E4F2E0"/>
      <w:tblLook w:val="04A0" w:firstRow="1" w:lastRow="0" w:firstColumn="1" w:lastColumn="0" w:noHBand="0" w:noVBand="1"/>
    </w:tblPr>
    <w:tblGrid>
      <w:gridCol w:w="9498"/>
    </w:tblGrid>
    <w:tr w:rsidR="004E1508" w:rsidRPr="004E1508" w14:paraId="064E5C46" w14:textId="77777777" w:rsidTr="009C1DF0">
      <w:trPr>
        <w:trHeight w:val="1012"/>
      </w:trPr>
      <w:tc>
        <w:tcPr>
          <w:tcW w:w="9498" w:type="dxa"/>
          <w:shd w:val="clear" w:color="auto" w:fill="E4F2E0"/>
        </w:tcPr>
        <w:p w14:paraId="355B9C92" w14:textId="77777777" w:rsidR="004E1508" w:rsidRPr="004E1508" w:rsidRDefault="004E1508" w:rsidP="004E1508">
          <w:pPr>
            <w:tabs>
              <w:tab w:val="center" w:pos="4513"/>
              <w:tab w:val="right" w:pos="9026"/>
            </w:tabs>
            <w:spacing w:after="0" w:line="240" w:lineRule="auto"/>
            <w:rPr>
              <w:rFonts w:ascii="Cambria" w:hAnsi="Cambria"/>
              <w:b/>
              <w:bCs/>
              <w:sz w:val="18"/>
              <w:szCs w:val="18"/>
              <w:lang w:val="en-AU"/>
            </w:rPr>
          </w:pPr>
          <w:bookmarkStart w:id="42" w:name="_Hlk109054010"/>
          <w:proofErr w:type="spellStart"/>
          <w:r w:rsidRPr="004E1508">
            <w:rPr>
              <w:rFonts w:ascii="Cambria" w:hAnsi="Cambria"/>
              <w:b/>
              <w:bCs/>
              <w:sz w:val="18"/>
              <w:szCs w:val="18"/>
              <w:lang w:val="en-AU"/>
            </w:rPr>
            <w:t>AusPAR</w:t>
          </w:r>
          <w:proofErr w:type="spellEnd"/>
          <w:r w:rsidRPr="004E1508">
            <w:rPr>
              <w:rFonts w:ascii="Cambria" w:hAnsi="Cambria"/>
              <w:b/>
              <w:bCs/>
              <w:sz w:val="18"/>
              <w:szCs w:val="18"/>
              <w:lang w:val="en-AU"/>
            </w:rPr>
            <w:t xml:space="preserve"> - ITOVEBI - </w:t>
          </w:r>
          <w:proofErr w:type="spellStart"/>
          <w:r w:rsidRPr="004E1508">
            <w:rPr>
              <w:rFonts w:ascii="Cambria" w:hAnsi="Cambria"/>
              <w:b/>
              <w:bCs/>
              <w:sz w:val="18"/>
              <w:szCs w:val="18"/>
              <w:lang w:val="en-AU"/>
            </w:rPr>
            <w:t>inavolisib</w:t>
          </w:r>
          <w:proofErr w:type="spellEnd"/>
          <w:r w:rsidRPr="004E1508">
            <w:rPr>
              <w:rFonts w:ascii="Cambria" w:hAnsi="Cambria"/>
              <w:b/>
              <w:bCs/>
              <w:sz w:val="18"/>
              <w:szCs w:val="18"/>
              <w:lang w:val="en-AU"/>
            </w:rPr>
            <w:t xml:space="preserve"> - Roche Products Pty Ltd - PM-2024-01518-1-4 - Type A</w:t>
          </w:r>
        </w:p>
        <w:p w14:paraId="16925187" w14:textId="77777777" w:rsidR="004E1508" w:rsidRPr="004E1508" w:rsidRDefault="004E1508" w:rsidP="004E1508">
          <w:pPr>
            <w:tabs>
              <w:tab w:val="center" w:pos="4513"/>
              <w:tab w:val="right" w:pos="9026"/>
            </w:tabs>
            <w:spacing w:after="0" w:line="240" w:lineRule="auto"/>
            <w:rPr>
              <w:rFonts w:ascii="Cambria" w:hAnsi="Cambria"/>
              <w:b/>
              <w:bCs/>
              <w:sz w:val="18"/>
              <w:szCs w:val="18"/>
              <w:lang w:val="en-AU"/>
            </w:rPr>
          </w:pPr>
          <w:r w:rsidRPr="004E1508">
            <w:rPr>
              <w:rFonts w:ascii="Cambria" w:hAnsi="Cambria"/>
              <w:b/>
              <w:bCs/>
              <w:sz w:val="18"/>
              <w:szCs w:val="18"/>
              <w:lang w:val="en-AU"/>
            </w:rPr>
            <w:t>Date of Finalisation: 25 July 2025.</w:t>
          </w:r>
          <w:r w:rsidRPr="004E1508">
            <w:rPr>
              <w:rFonts w:ascii="Cambria" w:hAnsi="Cambria"/>
              <w:b/>
              <w:sz w:val="18"/>
              <w:szCs w:val="18"/>
              <w:lang w:val="en-AU"/>
            </w:rPr>
            <w:t xml:space="preserve"> This is the Product Information that was approved with the submission described in this </w:t>
          </w:r>
          <w:proofErr w:type="spellStart"/>
          <w:r w:rsidRPr="004E1508">
            <w:rPr>
              <w:rFonts w:ascii="Cambria" w:hAnsi="Cambria"/>
              <w:b/>
              <w:sz w:val="18"/>
              <w:szCs w:val="18"/>
              <w:lang w:val="en-AU"/>
            </w:rPr>
            <w:t>AusPAR</w:t>
          </w:r>
          <w:proofErr w:type="spellEnd"/>
          <w:r w:rsidRPr="004E1508">
            <w:rPr>
              <w:rFonts w:ascii="Cambria" w:hAnsi="Cambria"/>
              <w:b/>
              <w:sz w:val="18"/>
              <w:szCs w:val="18"/>
              <w:lang w:val="en-AU"/>
            </w:rPr>
            <w:t>. It may have been superseded. For the most recent PI, please refer to the TGA website at &lt;</w:t>
          </w:r>
          <w:hyperlink r:id="rId1" w:history="1">
            <w:r w:rsidRPr="004E1508">
              <w:rPr>
                <w:rFonts w:ascii="Cambria" w:hAnsi="Cambria"/>
                <w:b/>
                <w:color w:val="0000FF"/>
                <w:sz w:val="18"/>
                <w:szCs w:val="18"/>
                <w:u w:val="single"/>
                <w:lang w:val="en-AU"/>
              </w:rPr>
              <w:t>https://www.tga.gov.au/product-information-pi</w:t>
            </w:r>
          </w:hyperlink>
          <w:r w:rsidRPr="004E1508">
            <w:rPr>
              <w:rFonts w:ascii="Cambria" w:hAnsi="Cambria"/>
              <w:b/>
              <w:sz w:val="18"/>
              <w:szCs w:val="18"/>
              <w:lang w:val="en-AU"/>
            </w:rPr>
            <w:t>&gt;</w:t>
          </w:r>
        </w:p>
      </w:tc>
    </w:tr>
    <w:bookmarkEnd w:id="42"/>
  </w:tbl>
  <w:p w14:paraId="1A3C2CE4" w14:textId="7680CB38" w:rsidR="005972A9" w:rsidRPr="004E1508" w:rsidRDefault="005972A9" w:rsidP="004E1508">
    <w:pPr>
      <w:pStyle w:val="Header"/>
      <w:rPr>
        <w:lang w:val="en-A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FC014" w14:textId="77777777" w:rsidR="005972A9" w:rsidRDefault="005972A9">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D42B7"/>
    <w:multiLevelType w:val="hybridMultilevel"/>
    <w:tmpl w:val="69D0A932"/>
    <w:lvl w:ilvl="0" w:tplc="4CB65612">
      <w:numFmt w:val="bullet"/>
      <w:lvlText w:val=""/>
      <w:lvlJc w:val="left"/>
      <w:pPr>
        <w:ind w:left="381" w:hanging="274"/>
      </w:pPr>
      <w:rPr>
        <w:rFonts w:ascii="Symbol" w:eastAsia="Symbol" w:hAnsi="Symbol" w:cs="Symbol" w:hint="default"/>
        <w:b w:val="0"/>
        <w:bCs w:val="0"/>
        <w:i w:val="0"/>
        <w:iCs w:val="0"/>
        <w:spacing w:val="0"/>
        <w:w w:val="100"/>
        <w:sz w:val="22"/>
        <w:szCs w:val="22"/>
        <w:lang w:val="en-US" w:eastAsia="en-US" w:bidi="ar-SA"/>
      </w:rPr>
    </w:lvl>
    <w:lvl w:ilvl="1" w:tplc="46A6DF86">
      <w:numFmt w:val="bullet"/>
      <w:lvlText w:val="•"/>
      <w:lvlJc w:val="left"/>
      <w:pPr>
        <w:ind w:left="953" w:hanging="274"/>
      </w:pPr>
      <w:rPr>
        <w:rFonts w:hint="default"/>
        <w:lang w:val="en-US" w:eastAsia="en-US" w:bidi="ar-SA"/>
      </w:rPr>
    </w:lvl>
    <w:lvl w:ilvl="2" w:tplc="D6BC6D02">
      <w:numFmt w:val="bullet"/>
      <w:lvlText w:val="•"/>
      <w:lvlJc w:val="left"/>
      <w:pPr>
        <w:ind w:left="1526" w:hanging="274"/>
      </w:pPr>
      <w:rPr>
        <w:rFonts w:hint="default"/>
        <w:lang w:val="en-US" w:eastAsia="en-US" w:bidi="ar-SA"/>
      </w:rPr>
    </w:lvl>
    <w:lvl w:ilvl="3" w:tplc="474A66A4">
      <w:numFmt w:val="bullet"/>
      <w:lvlText w:val="•"/>
      <w:lvlJc w:val="left"/>
      <w:pPr>
        <w:ind w:left="2099" w:hanging="274"/>
      </w:pPr>
      <w:rPr>
        <w:rFonts w:hint="default"/>
        <w:lang w:val="en-US" w:eastAsia="en-US" w:bidi="ar-SA"/>
      </w:rPr>
    </w:lvl>
    <w:lvl w:ilvl="4" w:tplc="2E7A7E68">
      <w:numFmt w:val="bullet"/>
      <w:lvlText w:val="•"/>
      <w:lvlJc w:val="left"/>
      <w:pPr>
        <w:ind w:left="2672" w:hanging="274"/>
      </w:pPr>
      <w:rPr>
        <w:rFonts w:hint="default"/>
        <w:lang w:val="en-US" w:eastAsia="en-US" w:bidi="ar-SA"/>
      </w:rPr>
    </w:lvl>
    <w:lvl w:ilvl="5" w:tplc="D632D41A">
      <w:numFmt w:val="bullet"/>
      <w:lvlText w:val="•"/>
      <w:lvlJc w:val="left"/>
      <w:pPr>
        <w:ind w:left="3245" w:hanging="274"/>
      </w:pPr>
      <w:rPr>
        <w:rFonts w:hint="default"/>
        <w:lang w:val="en-US" w:eastAsia="en-US" w:bidi="ar-SA"/>
      </w:rPr>
    </w:lvl>
    <w:lvl w:ilvl="6" w:tplc="AA504026">
      <w:numFmt w:val="bullet"/>
      <w:lvlText w:val="•"/>
      <w:lvlJc w:val="left"/>
      <w:pPr>
        <w:ind w:left="3818" w:hanging="274"/>
      </w:pPr>
      <w:rPr>
        <w:rFonts w:hint="default"/>
        <w:lang w:val="en-US" w:eastAsia="en-US" w:bidi="ar-SA"/>
      </w:rPr>
    </w:lvl>
    <w:lvl w:ilvl="7" w:tplc="65108724">
      <w:numFmt w:val="bullet"/>
      <w:lvlText w:val="•"/>
      <w:lvlJc w:val="left"/>
      <w:pPr>
        <w:ind w:left="4391" w:hanging="274"/>
      </w:pPr>
      <w:rPr>
        <w:rFonts w:hint="default"/>
        <w:lang w:val="en-US" w:eastAsia="en-US" w:bidi="ar-SA"/>
      </w:rPr>
    </w:lvl>
    <w:lvl w:ilvl="8" w:tplc="EFF2BEF4">
      <w:numFmt w:val="bullet"/>
      <w:lvlText w:val="•"/>
      <w:lvlJc w:val="left"/>
      <w:pPr>
        <w:ind w:left="4964" w:hanging="274"/>
      </w:pPr>
      <w:rPr>
        <w:rFonts w:hint="default"/>
        <w:lang w:val="en-US" w:eastAsia="en-US" w:bidi="ar-SA"/>
      </w:rPr>
    </w:lvl>
  </w:abstractNum>
  <w:abstractNum w:abstractNumId="1" w15:restartNumberingAfterBreak="0">
    <w:nsid w:val="0BAB3F0E"/>
    <w:multiLevelType w:val="hybridMultilevel"/>
    <w:tmpl w:val="76841EB0"/>
    <w:lvl w:ilvl="0" w:tplc="BD724508">
      <w:numFmt w:val="bullet"/>
      <w:lvlText w:val=""/>
      <w:lvlJc w:val="left"/>
      <w:pPr>
        <w:ind w:left="381" w:hanging="274"/>
      </w:pPr>
      <w:rPr>
        <w:rFonts w:ascii="Symbol" w:hAnsi="Symbol" w:cs="Symbol" w:hint="default"/>
        <w:b/>
        <w:bCs w:val="0"/>
        <w:i w:val="0"/>
        <w:iCs w:val="0"/>
        <w:spacing w:val="0"/>
        <w:w w:val="100"/>
        <w:sz w:val="20"/>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DA1027"/>
    <w:multiLevelType w:val="multilevel"/>
    <w:tmpl w:val="DA9C3C5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F75E63"/>
    <w:multiLevelType w:val="hybridMultilevel"/>
    <w:tmpl w:val="8F3425C4"/>
    <w:lvl w:ilvl="0" w:tplc="27F081B8">
      <w:numFmt w:val="bullet"/>
      <w:lvlText w:val=""/>
      <w:lvlJc w:val="left"/>
      <w:pPr>
        <w:ind w:left="381" w:hanging="274"/>
      </w:pPr>
      <w:rPr>
        <w:rFonts w:ascii="Symbol" w:eastAsia="Symbol" w:hAnsi="Symbol" w:cs="Symbol" w:hint="default"/>
        <w:b w:val="0"/>
        <w:bCs w:val="0"/>
        <w:i w:val="0"/>
        <w:iCs w:val="0"/>
        <w:spacing w:val="0"/>
        <w:w w:val="100"/>
        <w:sz w:val="22"/>
        <w:szCs w:val="22"/>
        <w:lang w:val="en-US" w:eastAsia="en-US" w:bidi="ar-SA"/>
      </w:rPr>
    </w:lvl>
    <w:lvl w:ilvl="1" w:tplc="EAAC8D8C">
      <w:numFmt w:val="bullet"/>
      <w:lvlText w:val="•"/>
      <w:lvlJc w:val="left"/>
      <w:pPr>
        <w:ind w:left="953" w:hanging="274"/>
      </w:pPr>
      <w:rPr>
        <w:rFonts w:hint="default"/>
        <w:lang w:val="en-US" w:eastAsia="en-US" w:bidi="ar-SA"/>
      </w:rPr>
    </w:lvl>
    <w:lvl w:ilvl="2" w:tplc="C554AFA8">
      <w:numFmt w:val="bullet"/>
      <w:lvlText w:val="•"/>
      <w:lvlJc w:val="left"/>
      <w:pPr>
        <w:ind w:left="1526" w:hanging="274"/>
      </w:pPr>
      <w:rPr>
        <w:rFonts w:hint="default"/>
        <w:lang w:val="en-US" w:eastAsia="en-US" w:bidi="ar-SA"/>
      </w:rPr>
    </w:lvl>
    <w:lvl w:ilvl="3" w:tplc="5630C43C">
      <w:numFmt w:val="bullet"/>
      <w:lvlText w:val="•"/>
      <w:lvlJc w:val="left"/>
      <w:pPr>
        <w:ind w:left="2099" w:hanging="274"/>
      </w:pPr>
      <w:rPr>
        <w:rFonts w:hint="default"/>
        <w:lang w:val="en-US" w:eastAsia="en-US" w:bidi="ar-SA"/>
      </w:rPr>
    </w:lvl>
    <w:lvl w:ilvl="4" w:tplc="DF8E0F6A">
      <w:numFmt w:val="bullet"/>
      <w:lvlText w:val="•"/>
      <w:lvlJc w:val="left"/>
      <w:pPr>
        <w:ind w:left="2672" w:hanging="274"/>
      </w:pPr>
      <w:rPr>
        <w:rFonts w:hint="default"/>
        <w:lang w:val="en-US" w:eastAsia="en-US" w:bidi="ar-SA"/>
      </w:rPr>
    </w:lvl>
    <w:lvl w:ilvl="5" w:tplc="B6661566">
      <w:numFmt w:val="bullet"/>
      <w:lvlText w:val="•"/>
      <w:lvlJc w:val="left"/>
      <w:pPr>
        <w:ind w:left="3245" w:hanging="274"/>
      </w:pPr>
      <w:rPr>
        <w:rFonts w:hint="default"/>
        <w:lang w:val="en-US" w:eastAsia="en-US" w:bidi="ar-SA"/>
      </w:rPr>
    </w:lvl>
    <w:lvl w:ilvl="6" w:tplc="509CC1EC">
      <w:numFmt w:val="bullet"/>
      <w:lvlText w:val="•"/>
      <w:lvlJc w:val="left"/>
      <w:pPr>
        <w:ind w:left="3818" w:hanging="274"/>
      </w:pPr>
      <w:rPr>
        <w:rFonts w:hint="default"/>
        <w:lang w:val="en-US" w:eastAsia="en-US" w:bidi="ar-SA"/>
      </w:rPr>
    </w:lvl>
    <w:lvl w:ilvl="7" w:tplc="07767FBA">
      <w:numFmt w:val="bullet"/>
      <w:lvlText w:val="•"/>
      <w:lvlJc w:val="left"/>
      <w:pPr>
        <w:ind w:left="4391" w:hanging="274"/>
      </w:pPr>
      <w:rPr>
        <w:rFonts w:hint="default"/>
        <w:lang w:val="en-US" w:eastAsia="en-US" w:bidi="ar-SA"/>
      </w:rPr>
    </w:lvl>
    <w:lvl w:ilvl="8" w:tplc="7F6CC6C2">
      <w:numFmt w:val="bullet"/>
      <w:lvlText w:val="•"/>
      <w:lvlJc w:val="left"/>
      <w:pPr>
        <w:ind w:left="4964" w:hanging="274"/>
      </w:pPr>
      <w:rPr>
        <w:rFonts w:hint="default"/>
        <w:lang w:val="en-US" w:eastAsia="en-US" w:bidi="ar-SA"/>
      </w:rPr>
    </w:lvl>
  </w:abstractNum>
  <w:abstractNum w:abstractNumId="4" w15:restartNumberingAfterBreak="0">
    <w:nsid w:val="3A7732D2"/>
    <w:multiLevelType w:val="multilevel"/>
    <w:tmpl w:val="D3A4BE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0CB7F3F"/>
    <w:multiLevelType w:val="hybridMultilevel"/>
    <w:tmpl w:val="D9A0760C"/>
    <w:lvl w:ilvl="0" w:tplc="282A282E">
      <w:numFmt w:val="bullet"/>
      <w:lvlText w:val=""/>
      <w:lvlJc w:val="left"/>
      <w:pPr>
        <w:ind w:left="381" w:hanging="274"/>
      </w:pPr>
      <w:rPr>
        <w:rFonts w:ascii="Symbol" w:eastAsia="Symbol" w:hAnsi="Symbol" w:cs="Symbol" w:hint="default"/>
        <w:b w:val="0"/>
        <w:bCs w:val="0"/>
        <w:i w:val="0"/>
        <w:iCs w:val="0"/>
        <w:spacing w:val="0"/>
        <w:w w:val="100"/>
        <w:sz w:val="22"/>
        <w:szCs w:val="22"/>
        <w:lang w:val="en-US" w:eastAsia="en-US" w:bidi="ar-SA"/>
      </w:rPr>
    </w:lvl>
    <w:lvl w:ilvl="1" w:tplc="DB280A1E">
      <w:numFmt w:val="bullet"/>
      <w:lvlText w:val="•"/>
      <w:lvlJc w:val="left"/>
      <w:pPr>
        <w:ind w:left="953" w:hanging="274"/>
      </w:pPr>
      <w:rPr>
        <w:rFonts w:hint="default"/>
        <w:lang w:val="en-US" w:eastAsia="en-US" w:bidi="ar-SA"/>
      </w:rPr>
    </w:lvl>
    <w:lvl w:ilvl="2" w:tplc="9BF6D60E">
      <w:numFmt w:val="bullet"/>
      <w:lvlText w:val="•"/>
      <w:lvlJc w:val="left"/>
      <w:pPr>
        <w:ind w:left="1526" w:hanging="274"/>
      </w:pPr>
      <w:rPr>
        <w:rFonts w:hint="default"/>
        <w:lang w:val="en-US" w:eastAsia="en-US" w:bidi="ar-SA"/>
      </w:rPr>
    </w:lvl>
    <w:lvl w:ilvl="3" w:tplc="6590AD34">
      <w:numFmt w:val="bullet"/>
      <w:lvlText w:val="•"/>
      <w:lvlJc w:val="left"/>
      <w:pPr>
        <w:ind w:left="2099" w:hanging="274"/>
      </w:pPr>
      <w:rPr>
        <w:rFonts w:hint="default"/>
        <w:lang w:val="en-US" w:eastAsia="en-US" w:bidi="ar-SA"/>
      </w:rPr>
    </w:lvl>
    <w:lvl w:ilvl="4" w:tplc="3C804DA6">
      <w:numFmt w:val="bullet"/>
      <w:lvlText w:val="•"/>
      <w:lvlJc w:val="left"/>
      <w:pPr>
        <w:ind w:left="2672" w:hanging="274"/>
      </w:pPr>
      <w:rPr>
        <w:rFonts w:hint="default"/>
        <w:lang w:val="en-US" w:eastAsia="en-US" w:bidi="ar-SA"/>
      </w:rPr>
    </w:lvl>
    <w:lvl w:ilvl="5" w:tplc="70060120">
      <w:numFmt w:val="bullet"/>
      <w:lvlText w:val="•"/>
      <w:lvlJc w:val="left"/>
      <w:pPr>
        <w:ind w:left="3245" w:hanging="274"/>
      </w:pPr>
      <w:rPr>
        <w:rFonts w:hint="default"/>
        <w:lang w:val="en-US" w:eastAsia="en-US" w:bidi="ar-SA"/>
      </w:rPr>
    </w:lvl>
    <w:lvl w:ilvl="6" w:tplc="6B620D42">
      <w:numFmt w:val="bullet"/>
      <w:lvlText w:val="•"/>
      <w:lvlJc w:val="left"/>
      <w:pPr>
        <w:ind w:left="3818" w:hanging="274"/>
      </w:pPr>
      <w:rPr>
        <w:rFonts w:hint="default"/>
        <w:lang w:val="en-US" w:eastAsia="en-US" w:bidi="ar-SA"/>
      </w:rPr>
    </w:lvl>
    <w:lvl w:ilvl="7" w:tplc="0C1A7BDE">
      <w:numFmt w:val="bullet"/>
      <w:lvlText w:val="•"/>
      <w:lvlJc w:val="left"/>
      <w:pPr>
        <w:ind w:left="4391" w:hanging="274"/>
      </w:pPr>
      <w:rPr>
        <w:rFonts w:hint="default"/>
        <w:lang w:val="en-US" w:eastAsia="en-US" w:bidi="ar-SA"/>
      </w:rPr>
    </w:lvl>
    <w:lvl w:ilvl="8" w:tplc="749CE724">
      <w:numFmt w:val="bullet"/>
      <w:lvlText w:val="•"/>
      <w:lvlJc w:val="left"/>
      <w:pPr>
        <w:ind w:left="4964" w:hanging="274"/>
      </w:pPr>
      <w:rPr>
        <w:rFonts w:hint="default"/>
        <w:lang w:val="en-US" w:eastAsia="en-US" w:bidi="ar-SA"/>
      </w:rPr>
    </w:lvl>
  </w:abstractNum>
  <w:abstractNum w:abstractNumId="6" w15:restartNumberingAfterBreak="0">
    <w:nsid w:val="413710D7"/>
    <w:multiLevelType w:val="hybridMultilevel"/>
    <w:tmpl w:val="78942066"/>
    <w:lvl w:ilvl="0" w:tplc="B27A6EA4">
      <w:numFmt w:val="bullet"/>
      <w:lvlText w:val=""/>
      <w:lvlJc w:val="left"/>
      <w:pPr>
        <w:ind w:left="382" w:hanging="274"/>
      </w:pPr>
      <w:rPr>
        <w:rFonts w:ascii="Symbol" w:hAnsi="Symbol" w:cs="Symbol" w:hint="default"/>
        <w:b/>
        <w:bCs w:val="0"/>
        <w:i w:val="0"/>
        <w:iCs w:val="0"/>
        <w:spacing w:val="0"/>
        <w:w w:val="100"/>
        <w:sz w:val="20"/>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36427C6"/>
    <w:multiLevelType w:val="multilevel"/>
    <w:tmpl w:val="46FCA7C8"/>
    <w:lvl w:ilvl="0">
      <w:start w:val="1"/>
      <w:numFmt w:val="bullet"/>
      <w:pStyle w:val="Heading1"/>
      <w:lvlText w:val="●"/>
      <w:lvlJc w:val="left"/>
      <w:pPr>
        <w:ind w:left="720" w:hanging="360"/>
      </w:pPr>
      <w:rPr>
        <w:rFonts w:ascii="Noto Sans Symbols" w:eastAsia="Noto Sans Symbols" w:hAnsi="Noto Sans Symbols" w:cs="Noto Sans Symbols"/>
        <w:vertAlign w:val="baseline"/>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8" w15:restartNumberingAfterBreak="0">
    <w:nsid w:val="467E222F"/>
    <w:multiLevelType w:val="hybridMultilevel"/>
    <w:tmpl w:val="3DE626DA"/>
    <w:lvl w:ilvl="0" w:tplc="E74608E8">
      <w:numFmt w:val="bullet"/>
      <w:lvlText w:val=""/>
      <w:lvlJc w:val="left"/>
      <w:pPr>
        <w:ind w:left="382" w:hanging="274"/>
      </w:pPr>
      <w:rPr>
        <w:rFonts w:ascii="Symbol" w:eastAsia="Symbol" w:hAnsi="Symbol" w:cs="Symbol" w:hint="default"/>
        <w:b w:val="0"/>
        <w:bCs w:val="0"/>
        <w:i w:val="0"/>
        <w:iCs w:val="0"/>
        <w:spacing w:val="0"/>
        <w:w w:val="100"/>
        <w:sz w:val="22"/>
        <w:szCs w:val="22"/>
        <w:lang w:val="en-US" w:eastAsia="en-US" w:bidi="ar-SA"/>
      </w:rPr>
    </w:lvl>
    <w:lvl w:ilvl="1" w:tplc="2C4A8FD6">
      <w:numFmt w:val="bullet"/>
      <w:lvlText w:val="•"/>
      <w:lvlJc w:val="left"/>
      <w:pPr>
        <w:ind w:left="953" w:hanging="274"/>
      </w:pPr>
      <w:rPr>
        <w:rFonts w:hint="default"/>
        <w:lang w:val="en-US" w:eastAsia="en-US" w:bidi="ar-SA"/>
      </w:rPr>
    </w:lvl>
    <w:lvl w:ilvl="2" w:tplc="8F7AD3CC">
      <w:numFmt w:val="bullet"/>
      <w:lvlText w:val="•"/>
      <w:lvlJc w:val="left"/>
      <w:pPr>
        <w:ind w:left="1526" w:hanging="274"/>
      </w:pPr>
      <w:rPr>
        <w:rFonts w:hint="default"/>
        <w:lang w:val="en-US" w:eastAsia="en-US" w:bidi="ar-SA"/>
      </w:rPr>
    </w:lvl>
    <w:lvl w:ilvl="3" w:tplc="DDDE4B30">
      <w:numFmt w:val="bullet"/>
      <w:lvlText w:val="•"/>
      <w:lvlJc w:val="left"/>
      <w:pPr>
        <w:ind w:left="2099" w:hanging="274"/>
      </w:pPr>
      <w:rPr>
        <w:rFonts w:hint="default"/>
        <w:lang w:val="en-US" w:eastAsia="en-US" w:bidi="ar-SA"/>
      </w:rPr>
    </w:lvl>
    <w:lvl w:ilvl="4" w:tplc="F880CC5E">
      <w:numFmt w:val="bullet"/>
      <w:lvlText w:val="•"/>
      <w:lvlJc w:val="left"/>
      <w:pPr>
        <w:ind w:left="2672" w:hanging="274"/>
      </w:pPr>
      <w:rPr>
        <w:rFonts w:hint="default"/>
        <w:lang w:val="en-US" w:eastAsia="en-US" w:bidi="ar-SA"/>
      </w:rPr>
    </w:lvl>
    <w:lvl w:ilvl="5" w:tplc="D3C4A848">
      <w:numFmt w:val="bullet"/>
      <w:lvlText w:val="•"/>
      <w:lvlJc w:val="left"/>
      <w:pPr>
        <w:ind w:left="3245" w:hanging="274"/>
      </w:pPr>
      <w:rPr>
        <w:rFonts w:hint="default"/>
        <w:lang w:val="en-US" w:eastAsia="en-US" w:bidi="ar-SA"/>
      </w:rPr>
    </w:lvl>
    <w:lvl w:ilvl="6" w:tplc="7E1C8312">
      <w:numFmt w:val="bullet"/>
      <w:lvlText w:val="•"/>
      <w:lvlJc w:val="left"/>
      <w:pPr>
        <w:ind w:left="3818" w:hanging="274"/>
      </w:pPr>
      <w:rPr>
        <w:rFonts w:hint="default"/>
        <w:lang w:val="en-US" w:eastAsia="en-US" w:bidi="ar-SA"/>
      </w:rPr>
    </w:lvl>
    <w:lvl w:ilvl="7" w:tplc="E496E58A">
      <w:numFmt w:val="bullet"/>
      <w:lvlText w:val="•"/>
      <w:lvlJc w:val="left"/>
      <w:pPr>
        <w:ind w:left="4391" w:hanging="274"/>
      </w:pPr>
      <w:rPr>
        <w:rFonts w:hint="default"/>
        <w:lang w:val="en-US" w:eastAsia="en-US" w:bidi="ar-SA"/>
      </w:rPr>
    </w:lvl>
    <w:lvl w:ilvl="8" w:tplc="A2E2486C">
      <w:numFmt w:val="bullet"/>
      <w:lvlText w:val="•"/>
      <w:lvlJc w:val="left"/>
      <w:pPr>
        <w:ind w:left="4964" w:hanging="274"/>
      </w:pPr>
      <w:rPr>
        <w:rFonts w:hint="default"/>
        <w:lang w:val="en-US" w:eastAsia="en-US" w:bidi="ar-SA"/>
      </w:rPr>
    </w:lvl>
  </w:abstractNum>
  <w:abstractNum w:abstractNumId="9" w15:restartNumberingAfterBreak="0">
    <w:nsid w:val="47990DD0"/>
    <w:multiLevelType w:val="hybridMultilevel"/>
    <w:tmpl w:val="15BADD98"/>
    <w:lvl w:ilvl="0" w:tplc="AF7834FC">
      <w:numFmt w:val="bullet"/>
      <w:lvlText w:val=""/>
      <w:lvlJc w:val="left"/>
      <w:pPr>
        <w:ind w:left="382" w:hanging="274"/>
      </w:pPr>
      <w:rPr>
        <w:rFonts w:ascii="Symbol" w:eastAsia="Symbol" w:hAnsi="Symbol" w:cs="Symbol" w:hint="default"/>
        <w:b w:val="0"/>
        <w:bCs w:val="0"/>
        <w:i w:val="0"/>
        <w:iCs w:val="0"/>
        <w:spacing w:val="0"/>
        <w:w w:val="100"/>
        <w:sz w:val="22"/>
        <w:szCs w:val="22"/>
        <w:lang w:val="en-US" w:eastAsia="en-US" w:bidi="ar-SA"/>
      </w:rPr>
    </w:lvl>
    <w:lvl w:ilvl="1" w:tplc="371C92CE">
      <w:numFmt w:val="bullet"/>
      <w:lvlText w:val="•"/>
      <w:lvlJc w:val="left"/>
      <w:pPr>
        <w:ind w:left="953" w:hanging="274"/>
      </w:pPr>
      <w:rPr>
        <w:rFonts w:hint="default"/>
        <w:lang w:val="en-US" w:eastAsia="en-US" w:bidi="ar-SA"/>
      </w:rPr>
    </w:lvl>
    <w:lvl w:ilvl="2" w:tplc="958CC432">
      <w:numFmt w:val="bullet"/>
      <w:lvlText w:val="•"/>
      <w:lvlJc w:val="left"/>
      <w:pPr>
        <w:ind w:left="1526" w:hanging="274"/>
      </w:pPr>
      <w:rPr>
        <w:rFonts w:hint="default"/>
        <w:lang w:val="en-US" w:eastAsia="en-US" w:bidi="ar-SA"/>
      </w:rPr>
    </w:lvl>
    <w:lvl w:ilvl="3" w:tplc="3D344C68">
      <w:numFmt w:val="bullet"/>
      <w:lvlText w:val="•"/>
      <w:lvlJc w:val="left"/>
      <w:pPr>
        <w:ind w:left="2099" w:hanging="274"/>
      </w:pPr>
      <w:rPr>
        <w:rFonts w:hint="default"/>
        <w:lang w:val="en-US" w:eastAsia="en-US" w:bidi="ar-SA"/>
      </w:rPr>
    </w:lvl>
    <w:lvl w:ilvl="4" w:tplc="9D02F7DE">
      <w:numFmt w:val="bullet"/>
      <w:lvlText w:val="•"/>
      <w:lvlJc w:val="left"/>
      <w:pPr>
        <w:ind w:left="2672" w:hanging="274"/>
      </w:pPr>
      <w:rPr>
        <w:rFonts w:hint="default"/>
        <w:lang w:val="en-US" w:eastAsia="en-US" w:bidi="ar-SA"/>
      </w:rPr>
    </w:lvl>
    <w:lvl w:ilvl="5" w:tplc="857A0B44">
      <w:numFmt w:val="bullet"/>
      <w:lvlText w:val="•"/>
      <w:lvlJc w:val="left"/>
      <w:pPr>
        <w:ind w:left="3245" w:hanging="274"/>
      </w:pPr>
      <w:rPr>
        <w:rFonts w:hint="default"/>
        <w:lang w:val="en-US" w:eastAsia="en-US" w:bidi="ar-SA"/>
      </w:rPr>
    </w:lvl>
    <w:lvl w:ilvl="6" w:tplc="A7BA342E">
      <w:numFmt w:val="bullet"/>
      <w:lvlText w:val="•"/>
      <w:lvlJc w:val="left"/>
      <w:pPr>
        <w:ind w:left="3818" w:hanging="274"/>
      </w:pPr>
      <w:rPr>
        <w:rFonts w:hint="default"/>
        <w:lang w:val="en-US" w:eastAsia="en-US" w:bidi="ar-SA"/>
      </w:rPr>
    </w:lvl>
    <w:lvl w:ilvl="7" w:tplc="5A2CCA42">
      <w:numFmt w:val="bullet"/>
      <w:lvlText w:val="•"/>
      <w:lvlJc w:val="left"/>
      <w:pPr>
        <w:ind w:left="4391" w:hanging="274"/>
      </w:pPr>
      <w:rPr>
        <w:rFonts w:hint="default"/>
        <w:lang w:val="en-US" w:eastAsia="en-US" w:bidi="ar-SA"/>
      </w:rPr>
    </w:lvl>
    <w:lvl w:ilvl="8" w:tplc="CB18EC9E">
      <w:numFmt w:val="bullet"/>
      <w:lvlText w:val="•"/>
      <w:lvlJc w:val="left"/>
      <w:pPr>
        <w:ind w:left="4964" w:hanging="274"/>
      </w:pPr>
      <w:rPr>
        <w:rFonts w:hint="default"/>
        <w:lang w:val="en-US" w:eastAsia="en-US" w:bidi="ar-SA"/>
      </w:rPr>
    </w:lvl>
  </w:abstractNum>
  <w:abstractNum w:abstractNumId="10" w15:restartNumberingAfterBreak="0">
    <w:nsid w:val="482E5535"/>
    <w:multiLevelType w:val="hybridMultilevel"/>
    <w:tmpl w:val="372273CC"/>
    <w:lvl w:ilvl="0" w:tplc="36FCEFC0">
      <w:numFmt w:val="bullet"/>
      <w:lvlText w:val=""/>
      <w:lvlJc w:val="left"/>
      <w:pPr>
        <w:ind w:left="381" w:hanging="274"/>
      </w:pPr>
      <w:rPr>
        <w:rFonts w:ascii="Symbol" w:hAnsi="Symbol" w:cs="Symbol" w:hint="default"/>
        <w:b/>
        <w:bCs w:val="0"/>
        <w:i w:val="0"/>
        <w:iCs w:val="0"/>
        <w:spacing w:val="0"/>
        <w:w w:val="100"/>
        <w:sz w:val="20"/>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164AC4"/>
    <w:multiLevelType w:val="hybridMultilevel"/>
    <w:tmpl w:val="EA0C83B6"/>
    <w:lvl w:ilvl="0" w:tplc="79F04BC4">
      <w:numFmt w:val="bullet"/>
      <w:lvlText w:val=""/>
      <w:lvlJc w:val="left"/>
      <w:pPr>
        <w:ind w:left="467" w:hanging="360"/>
      </w:pPr>
      <w:rPr>
        <w:rFonts w:ascii="Symbol" w:eastAsia="Symbol" w:hAnsi="Symbol" w:cs="Symbol" w:hint="default"/>
        <w:spacing w:val="0"/>
        <w:w w:val="99"/>
        <w:lang w:val="en-US" w:eastAsia="en-US" w:bidi="ar-SA"/>
      </w:rPr>
    </w:lvl>
    <w:lvl w:ilvl="1" w:tplc="2458BD70">
      <w:numFmt w:val="bullet"/>
      <w:lvlText w:val="o"/>
      <w:lvlJc w:val="left"/>
      <w:pPr>
        <w:ind w:left="878" w:hanging="404"/>
      </w:pPr>
      <w:rPr>
        <w:rFonts w:ascii="Courier New" w:eastAsia="Courier New" w:hAnsi="Courier New" w:cs="Courier New" w:hint="default"/>
        <w:b w:val="0"/>
        <w:bCs w:val="0"/>
        <w:i w:val="0"/>
        <w:iCs w:val="0"/>
        <w:spacing w:val="0"/>
        <w:w w:val="100"/>
        <w:sz w:val="24"/>
        <w:szCs w:val="24"/>
        <w:lang w:val="en-US" w:eastAsia="en-US" w:bidi="ar-SA"/>
      </w:rPr>
    </w:lvl>
    <w:lvl w:ilvl="2" w:tplc="E344356E">
      <w:numFmt w:val="bullet"/>
      <w:lvlText w:val="•"/>
      <w:lvlJc w:val="left"/>
      <w:pPr>
        <w:ind w:left="2019" w:hanging="404"/>
      </w:pPr>
      <w:rPr>
        <w:rFonts w:hint="default"/>
        <w:lang w:val="en-US" w:eastAsia="en-US" w:bidi="ar-SA"/>
      </w:rPr>
    </w:lvl>
    <w:lvl w:ilvl="3" w:tplc="37485686">
      <w:numFmt w:val="bullet"/>
      <w:lvlText w:val="•"/>
      <w:lvlJc w:val="left"/>
      <w:pPr>
        <w:ind w:left="3159" w:hanging="404"/>
      </w:pPr>
      <w:rPr>
        <w:rFonts w:hint="default"/>
        <w:lang w:val="en-US" w:eastAsia="en-US" w:bidi="ar-SA"/>
      </w:rPr>
    </w:lvl>
    <w:lvl w:ilvl="4" w:tplc="E26E23D0">
      <w:numFmt w:val="bullet"/>
      <w:lvlText w:val="•"/>
      <w:lvlJc w:val="left"/>
      <w:pPr>
        <w:ind w:left="4298" w:hanging="404"/>
      </w:pPr>
      <w:rPr>
        <w:rFonts w:hint="default"/>
        <w:lang w:val="en-US" w:eastAsia="en-US" w:bidi="ar-SA"/>
      </w:rPr>
    </w:lvl>
    <w:lvl w:ilvl="5" w:tplc="46209CA8">
      <w:numFmt w:val="bullet"/>
      <w:lvlText w:val="•"/>
      <w:lvlJc w:val="left"/>
      <w:pPr>
        <w:ind w:left="5438" w:hanging="404"/>
      </w:pPr>
      <w:rPr>
        <w:rFonts w:hint="default"/>
        <w:lang w:val="en-US" w:eastAsia="en-US" w:bidi="ar-SA"/>
      </w:rPr>
    </w:lvl>
    <w:lvl w:ilvl="6" w:tplc="84EA7F52">
      <w:numFmt w:val="bullet"/>
      <w:lvlText w:val="•"/>
      <w:lvlJc w:val="left"/>
      <w:pPr>
        <w:ind w:left="6577" w:hanging="404"/>
      </w:pPr>
      <w:rPr>
        <w:rFonts w:hint="default"/>
        <w:lang w:val="en-US" w:eastAsia="en-US" w:bidi="ar-SA"/>
      </w:rPr>
    </w:lvl>
    <w:lvl w:ilvl="7" w:tplc="00B6B2DA">
      <w:numFmt w:val="bullet"/>
      <w:lvlText w:val="•"/>
      <w:lvlJc w:val="left"/>
      <w:pPr>
        <w:ind w:left="7717" w:hanging="404"/>
      </w:pPr>
      <w:rPr>
        <w:rFonts w:hint="default"/>
        <w:lang w:val="en-US" w:eastAsia="en-US" w:bidi="ar-SA"/>
      </w:rPr>
    </w:lvl>
    <w:lvl w:ilvl="8" w:tplc="D0CCE174">
      <w:numFmt w:val="bullet"/>
      <w:lvlText w:val="•"/>
      <w:lvlJc w:val="left"/>
      <w:pPr>
        <w:ind w:left="8856" w:hanging="404"/>
      </w:pPr>
      <w:rPr>
        <w:rFonts w:hint="default"/>
        <w:lang w:val="en-US" w:eastAsia="en-US" w:bidi="ar-SA"/>
      </w:rPr>
    </w:lvl>
  </w:abstractNum>
  <w:abstractNum w:abstractNumId="12" w15:restartNumberingAfterBreak="0">
    <w:nsid w:val="50B90232"/>
    <w:multiLevelType w:val="hybridMultilevel"/>
    <w:tmpl w:val="BD7A6FA0"/>
    <w:lvl w:ilvl="0" w:tplc="E722A744">
      <w:numFmt w:val="bullet"/>
      <w:lvlText w:val=""/>
      <w:lvlJc w:val="left"/>
      <w:pPr>
        <w:ind w:left="381" w:hanging="274"/>
      </w:pPr>
      <w:rPr>
        <w:rFonts w:ascii="Symbol" w:eastAsia="Symbol" w:hAnsi="Symbol" w:cs="Symbol" w:hint="default"/>
        <w:b w:val="0"/>
        <w:bCs w:val="0"/>
        <w:i w:val="0"/>
        <w:iCs w:val="0"/>
        <w:spacing w:val="0"/>
        <w:w w:val="100"/>
        <w:sz w:val="22"/>
        <w:szCs w:val="22"/>
        <w:lang w:val="en-US" w:eastAsia="en-US" w:bidi="ar-SA"/>
      </w:rPr>
    </w:lvl>
    <w:lvl w:ilvl="1" w:tplc="8410D8FE">
      <w:numFmt w:val="bullet"/>
      <w:lvlText w:val="•"/>
      <w:lvlJc w:val="left"/>
      <w:pPr>
        <w:ind w:left="953" w:hanging="274"/>
      </w:pPr>
      <w:rPr>
        <w:rFonts w:hint="default"/>
        <w:lang w:val="en-US" w:eastAsia="en-US" w:bidi="ar-SA"/>
      </w:rPr>
    </w:lvl>
    <w:lvl w:ilvl="2" w:tplc="21229C76">
      <w:numFmt w:val="bullet"/>
      <w:lvlText w:val="•"/>
      <w:lvlJc w:val="left"/>
      <w:pPr>
        <w:ind w:left="1526" w:hanging="274"/>
      </w:pPr>
      <w:rPr>
        <w:rFonts w:hint="default"/>
        <w:lang w:val="en-US" w:eastAsia="en-US" w:bidi="ar-SA"/>
      </w:rPr>
    </w:lvl>
    <w:lvl w:ilvl="3" w:tplc="EFA09410">
      <w:numFmt w:val="bullet"/>
      <w:lvlText w:val="•"/>
      <w:lvlJc w:val="left"/>
      <w:pPr>
        <w:ind w:left="2099" w:hanging="274"/>
      </w:pPr>
      <w:rPr>
        <w:rFonts w:hint="default"/>
        <w:lang w:val="en-US" w:eastAsia="en-US" w:bidi="ar-SA"/>
      </w:rPr>
    </w:lvl>
    <w:lvl w:ilvl="4" w:tplc="B2063C56">
      <w:numFmt w:val="bullet"/>
      <w:lvlText w:val="•"/>
      <w:lvlJc w:val="left"/>
      <w:pPr>
        <w:ind w:left="2672" w:hanging="274"/>
      </w:pPr>
      <w:rPr>
        <w:rFonts w:hint="default"/>
        <w:lang w:val="en-US" w:eastAsia="en-US" w:bidi="ar-SA"/>
      </w:rPr>
    </w:lvl>
    <w:lvl w:ilvl="5" w:tplc="F83CD5CC">
      <w:numFmt w:val="bullet"/>
      <w:lvlText w:val="•"/>
      <w:lvlJc w:val="left"/>
      <w:pPr>
        <w:ind w:left="3245" w:hanging="274"/>
      </w:pPr>
      <w:rPr>
        <w:rFonts w:hint="default"/>
        <w:lang w:val="en-US" w:eastAsia="en-US" w:bidi="ar-SA"/>
      </w:rPr>
    </w:lvl>
    <w:lvl w:ilvl="6" w:tplc="8D403B98">
      <w:numFmt w:val="bullet"/>
      <w:lvlText w:val="•"/>
      <w:lvlJc w:val="left"/>
      <w:pPr>
        <w:ind w:left="3818" w:hanging="274"/>
      </w:pPr>
      <w:rPr>
        <w:rFonts w:hint="default"/>
        <w:lang w:val="en-US" w:eastAsia="en-US" w:bidi="ar-SA"/>
      </w:rPr>
    </w:lvl>
    <w:lvl w:ilvl="7" w:tplc="BC827BF8">
      <w:numFmt w:val="bullet"/>
      <w:lvlText w:val="•"/>
      <w:lvlJc w:val="left"/>
      <w:pPr>
        <w:ind w:left="4391" w:hanging="274"/>
      </w:pPr>
      <w:rPr>
        <w:rFonts w:hint="default"/>
        <w:lang w:val="en-US" w:eastAsia="en-US" w:bidi="ar-SA"/>
      </w:rPr>
    </w:lvl>
    <w:lvl w:ilvl="8" w:tplc="70DAF3A2">
      <w:numFmt w:val="bullet"/>
      <w:lvlText w:val="•"/>
      <w:lvlJc w:val="left"/>
      <w:pPr>
        <w:ind w:left="4964" w:hanging="274"/>
      </w:pPr>
      <w:rPr>
        <w:rFonts w:hint="default"/>
        <w:lang w:val="en-US" w:eastAsia="en-US" w:bidi="ar-SA"/>
      </w:rPr>
    </w:lvl>
  </w:abstractNum>
  <w:abstractNum w:abstractNumId="13" w15:restartNumberingAfterBreak="0">
    <w:nsid w:val="723E722B"/>
    <w:multiLevelType w:val="hybridMultilevel"/>
    <w:tmpl w:val="62BE8714"/>
    <w:lvl w:ilvl="0" w:tplc="AEAA44E4">
      <w:numFmt w:val="bullet"/>
      <w:lvlText w:val=""/>
      <w:lvlJc w:val="left"/>
      <w:pPr>
        <w:ind w:left="381" w:hanging="274"/>
      </w:pPr>
      <w:rPr>
        <w:rFonts w:ascii="Symbol" w:eastAsia="Symbol" w:hAnsi="Symbol" w:cs="Symbol" w:hint="default"/>
        <w:b w:val="0"/>
        <w:bCs w:val="0"/>
        <w:i w:val="0"/>
        <w:iCs w:val="0"/>
        <w:spacing w:val="0"/>
        <w:w w:val="100"/>
        <w:sz w:val="22"/>
        <w:szCs w:val="22"/>
        <w:lang w:val="en-US" w:eastAsia="en-US" w:bidi="ar-SA"/>
      </w:rPr>
    </w:lvl>
    <w:lvl w:ilvl="1" w:tplc="4E543AC0">
      <w:numFmt w:val="bullet"/>
      <w:lvlText w:val="•"/>
      <w:lvlJc w:val="left"/>
      <w:pPr>
        <w:ind w:left="953" w:hanging="274"/>
      </w:pPr>
      <w:rPr>
        <w:rFonts w:hint="default"/>
        <w:lang w:val="en-US" w:eastAsia="en-US" w:bidi="ar-SA"/>
      </w:rPr>
    </w:lvl>
    <w:lvl w:ilvl="2" w:tplc="4BCAD6DC">
      <w:numFmt w:val="bullet"/>
      <w:lvlText w:val="•"/>
      <w:lvlJc w:val="left"/>
      <w:pPr>
        <w:ind w:left="1526" w:hanging="274"/>
      </w:pPr>
      <w:rPr>
        <w:rFonts w:hint="default"/>
        <w:lang w:val="en-US" w:eastAsia="en-US" w:bidi="ar-SA"/>
      </w:rPr>
    </w:lvl>
    <w:lvl w:ilvl="3" w:tplc="6B446736">
      <w:numFmt w:val="bullet"/>
      <w:lvlText w:val="•"/>
      <w:lvlJc w:val="left"/>
      <w:pPr>
        <w:ind w:left="2099" w:hanging="274"/>
      </w:pPr>
      <w:rPr>
        <w:rFonts w:hint="default"/>
        <w:lang w:val="en-US" w:eastAsia="en-US" w:bidi="ar-SA"/>
      </w:rPr>
    </w:lvl>
    <w:lvl w:ilvl="4" w:tplc="EE8277A2">
      <w:numFmt w:val="bullet"/>
      <w:lvlText w:val="•"/>
      <w:lvlJc w:val="left"/>
      <w:pPr>
        <w:ind w:left="2672" w:hanging="274"/>
      </w:pPr>
      <w:rPr>
        <w:rFonts w:hint="default"/>
        <w:lang w:val="en-US" w:eastAsia="en-US" w:bidi="ar-SA"/>
      </w:rPr>
    </w:lvl>
    <w:lvl w:ilvl="5" w:tplc="011CD580">
      <w:numFmt w:val="bullet"/>
      <w:lvlText w:val="•"/>
      <w:lvlJc w:val="left"/>
      <w:pPr>
        <w:ind w:left="3245" w:hanging="274"/>
      </w:pPr>
      <w:rPr>
        <w:rFonts w:hint="default"/>
        <w:lang w:val="en-US" w:eastAsia="en-US" w:bidi="ar-SA"/>
      </w:rPr>
    </w:lvl>
    <w:lvl w:ilvl="6" w:tplc="279E2C78">
      <w:numFmt w:val="bullet"/>
      <w:lvlText w:val="•"/>
      <w:lvlJc w:val="left"/>
      <w:pPr>
        <w:ind w:left="3818" w:hanging="274"/>
      </w:pPr>
      <w:rPr>
        <w:rFonts w:hint="default"/>
        <w:lang w:val="en-US" w:eastAsia="en-US" w:bidi="ar-SA"/>
      </w:rPr>
    </w:lvl>
    <w:lvl w:ilvl="7" w:tplc="5F443CA2">
      <w:numFmt w:val="bullet"/>
      <w:lvlText w:val="•"/>
      <w:lvlJc w:val="left"/>
      <w:pPr>
        <w:ind w:left="4391" w:hanging="274"/>
      </w:pPr>
      <w:rPr>
        <w:rFonts w:hint="default"/>
        <w:lang w:val="en-US" w:eastAsia="en-US" w:bidi="ar-SA"/>
      </w:rPr>
    </w:lvl>
    <w:lvl w:ilvl="8" w:tplc="6A443E0A">
      <w:numFmt w:val="bullet"/>
      <w:lvlText w:val="•"/>
      <w:lvlJc w:val="left"/>
      <w:pPr>
        <w:ind w:left="4964" w:hanging="274"/>
      </w:pPr>
      <w:rPr>
        <w:rFonts w:hint="default"/>
        <w:lang w:val="en-US" w:eastAsia="en-US" w:bidi="ar-SA"/>
      </w:rPr>
    </w:lvl>
  </w:abstractNum>
  <w:abstractNum w:abstractNumId="14" w15:restartNumberingAfterBreak="0">
    <w:nsid w:val="740536E1"/>
    <w:multiLevelType w:val="multilevel"/>
    <w:tmpl w:val="212858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C4065F6"/>
    <w:multiLevelType w:val="hybridMultilevel"/>
    <w:tmpl w:val="B9D6F37C"/>
    <w:lvl w:ilvl="0" w:tplc="A5902B2C">
      <w:numFmt w:val="bullet"/>
      <w:lvlText w:val=""/>
      <w:lvlJc w:val="left"/>
      <w:pPr>
        <w:ind w:left="381" w:hanging="274"/>
      </w:pPr>
      <w:rPr>
        <w:rFonts w:ascii="Symbol" w:eastAsia="Symbol" w:hAnsi="Symbol" w:cs="Symbol" w:hint="default"/>
        <w:b w:val="0"/>
        <w:bCs w:val="0"/>
        <w:i w:val="0"/>
        <w:iCs w:val="0"/>
        <w:spacing w:val="0"/>
        <w:w w:val="100"/>
        <w:sz w:val="22"/>
        <w:szCs w:val="22"/>
        <w:lang w:val="en-US" w:eastAsia="en-US" w:bidi="ar-SA"/>
      </w:rPr>
    </w:lvl>
    <w:lvl w:ilvl="1" w:tplc="96C6B180">
      <w:numFmt w:val="bullet"/>
      <w:lvlText w:val="•"/>
      <w:lvlJc w:val="left"/>
      <w:pPr>
        <w:ind w:left="953" w:hanging="274"/>
      </w:pPr>
      <w:rPr>
        <w:rFonts w:hint="default"/>
        <w:lang w:val="en-US" w:eastAsia="en-US" w:bidi="ar-SA"/>
      </w:rPr>
    </w:lvl>
    <w:lvl w:ilvl="2" w:tplc="110C4572">
      <w:numFmt w:val="bullet"/>
      <w:lvlText w:val="•"/>
      <w:lvlJc w:val="left"/>
      <w:pPr>
        <w:ind w:left="1526" w:hanging="274"/>
      </w:pPr>
      <w:rPr>
        <w:rFonts w:hint="default"/>
        <w:lang w:val="en-US" w:eastAsia="en-US" w:bidi="ar-SA"/>
      </w:rPr>
    </w:lvl>
    <w:lvl w:ilvl="3" w:tplc="96B4DBC0">
      <w:numFmt w:val="bullet"/>
      <w:lvlText w:val="•"/>
      <w:lvlJc w:val="left"/>
      <w:pPr>
        <w:ind w:left="2099" w:hanging="274"/>
      </w:pPr>
      <w:rPr>
        <w:rFonts w:hint="default"/>
        <w:lang w:val="en-US" w:eastAsia="en-US" w:bidi="ar-SA"/>
      </w:rPr>
    </w:lvl>
    <w:lvl w:ilvl="4" w:tplc="E9843220">
      <w:numFmt w:val="bullet"/>
      <w:lvlText w:val="•"/>
      <w:lvlJc w:val="left"/>
      <w:pPr>
        <w:ind w:left="2672" w:hanging="274"/>
      </w:pPr>
      <w:rPr>
        <w:rFonts w:hint="default"/>
        <w:lang w:val="en-US" w:eastAsia="en-US" w:bidi="ar-SA"/>
      </w:rPr>
    </w:lvl>
    <w:lvl w:ilvl="5" w:tplc="82C668F4">
      <w:numFmt w:val="bullet"/>
      <w:lvlText w:val="•"/>
      <w:lvlJc w:val="left"/>
      <w:pPr>
        <w:ind w:left="3245" w:hanging="274"/>
      </w:pPr>
      <w:rPr>
        <w:rFonts w:hint="default"/>
        <w:lang w:val="en-US" w:eastAsia="en-US" w:bidi="ar-SA"/>
      </w:rPr>
    </w:lvl>
    <w:lvl w:ilvl="6" w:tplc="CF604954">
      <w:numFmt w:val="bullet"/>
      <w:lvlText w:val="•"/>
      <w:lvlJc w:val="left"/>
      <w:pPr>
        <w:ind w:left="3818" w:hanging="274"/>
      </w:pPr>
      <w:rPr>
        <w:rFonts w:hint="default"/>
        <w:lang w:val="en-US" w:eastAsia="en-US" w:bidi="ar-SA"/>
      </w:rPr>
    </w:lvl>
    <w:lvl w:ilvl="7" w:tplc="6F0EDA3E">
      <w:numFmt w:val="bullet"/>
      <w:lvlText w:val="•"/>
      <w:lvlJc w:val="left"/>
      <w:pPr>
        <w:ind w:left="4391" w:hanging="274"/>
      </w:pPr>
      <w:rPr>
        <w:rFonts w:hint="default"/>
        <w:lang w:val="en-US" w:eastAsia="en-US" w:bidi="ar-SA"/>
      </w:rPr>
    </w:lvl>
    <w:lvl w:ilvl="8" w:tplc="1678542A">
      <w:numFmt w:val="bullet"/>
      <w:lvlText w:val="•"/>
      <w:lvlJc w:val="left"/>
      <w:pPr>
        <w:ind w:left="4964" w:hanging="274"/>
      </w:pPr>
      <w:rPr>
        <w:rFonts w:hint="default"/>
        <w:lang w:val="en-US" w:eastAsia="en-US" w:bidi="ar-SA"/>
      </w:rPr>
    </w:lvl>
  </w:abstractNum>
  <w:num w:numId="1" w16cid:durableId="1624264668">
    <w:abstractNumId w:val="7"/>
  </w:num>
  <w:num w:numId="2" w16cid:durableId="285079">
    <w:abstractNumId w:val="2"/>
  </w:num>
  <w:num w:numId="3" w16cid:durableId="769399401">
    <w:abstractNumId w:val="14"/>
  </w:num>
  <w:num w:numId="4" w16cid:durableId="1630472829">
    <w:abstractNumId w:val="4"/>
  </w:num>
  <w:num w:numId="5" w16cid:durableId="463892249">
    <w:abstractNumId w:val="9"/>
  </w:num>
  <w:num w:numId="6" w16cid:durableId="670765487">
    <w:abstractNumId w:val="11"/>
  </w:num>
  <w:num w:numId="7" w16cid:durableId="1845389998">
    <w:abstractNumId w:val="3"/>
  </w:num>
  <w:num w:numId="8" w16cid:durableId="1886326695">
    <w:abstractNumId w:val="0"/>
  </w:num>
  <w:num w:numId="9" w16cid:durableId="456292470">
    <w:abstractNumId w:val="8"/>
  </w:num>
  <w:num w:numId="10" w16cid:durableId="812598409">
    <w:abstractNumId w:val="5"/>
  </w:num>
  <w:num w:numId="11" w16cid:durableId="161119650">
    <w:abstractNumId w:val="15"/>
  </w:num>
  <w:num w:numId="12" w16cid:durableId="860780427">
    <w:abstractNumId w:val="13"/>
  </w:num>
  <w:num w:numId="13" w16cid:durableId="1962569255">
    <w:abstractNumId w:val="12"/>
  </w:num>
  <w:num w:numId="14" w16cid:durableId="1493716450">
    <w:abstractNumId w:val="1"/>
  </w:num>
  <w:num w:numId="15" w16cid:durableId="300811956">
    <w:abstractNumId w:val="10"/>
  </w:num>
  <w:num w:numId="16" w16cid:durableId="3055977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972A9"/>
    <w:rsid w:val="00032E28"/>
    <w:rsid w:val="000750D6"/>
    <w:rsid w:val="00095A58"/>
    <w:rsid w:val="000B1021"/>
    <w:rsid w:val="000B6937"/>
    <w:rsid w:val="000D50B4"/>
    <w:rsid w:val="000E0006"/>
    <w:rsid w:val="00107701"/>
    <w:rsid w:val="001C7391"/>
    <w:rsid w:val="001D769F"/>
    <w:rsid w:val="001E4D38"/>
    <w:rsid w:val="001E7682"/>
    <w:rsid w:val="00212064"/>
    <w:rsid w:val="00222FD8"/>
    <w:rsid w:val="002519F2"/>
    <w:rsid w:val="00263556"/>
    <w:rsid w:val="002808A3"/>
    <w:rsid w:val="00290D71"/>
    <w:rsid w:val="002A63F0"/>
    <w:rsid w:val="002E58A1"/>
    <w:rsid w:val="002F7A0E"/>
    <w:rsid w:val="0030504F"/>
    <w:rsid w:val="003076D5"/>
    <w:rsid w:val="00331808"/>
    <w:rsid w:val="00332284"/>
    <w:rsid w:val="00375767"/>
    <w:rsid w:val="00397488"/>
    <w:rsid w:val="003A5816"/>
    <w:rsid w:val="003B05E6"/>
    <w:rsid w:val="003F5ED4"/>
    <w:rsid w:val="00401A39"/>
    <w:rsid w:val="00420B21"/>
    <w:rsid w:val="00424830"/>
    <w:rsid w:val="004306B5"/>
    <w:rsid w:val="00433702"/>
    <w:rsid w:val="00446353"/>
    <w:rsid w:val="00452736"/>
    <w:rsid w:val="00472C1C"/>
    <w:rsid w:val="00472E82"/>
    <w:rsid w:val="004902EB"/>
    <w:rsid w:val="004A79CA"/>
    <w:rsid w:val="004B488D"/>
    <w:rsid w:val="004B62E8"/>
    <w:rsid w:val="004E1508"/>
    <w:rsid w:val="004E2454"/>
    <w:rsid w:val="005630B7"/>
    <w:rsid w:val="00567A52"/>
    <w:rsid w:val="00572FD0"/>
    <w:rsid w:val="00576A8B"/>
    <w:rsid w:val="00590E74"/>
    <w:rsid w:val="005972A9"/>
    <w:rsid w:val="005A26AD"/>
    <w:rsid w:val="005B0030"/>
    <w:rsid w:val="005C48E3"/>
    <w:rsid w:val="005E3C08"/>
    <w:rsid w:val="0060211C"/>
    <w:rsid w:val="006037D7"/>
    <w:rsid w:val="0061744F"/>
    <w:rsid w:val="006315C0"/>
    <w:rsid w:val="006A09A2"/>
    <w:rsid w:val="006B2643"/>
    <w:rsid w:val="006D392D"/>
    <w:rsid w:val="006D5779"/>
    <w:rsid w:val="006F7C93"/>
    <w:rsid w:val="00712774"/>
    <w:rsid w:val="00732AEB"/>
    <w:rsid w:val="00744CBA"/>
    <w:rsid w:val="007526E2"/>
    <w:rsid w:val="00782D54"/>
    <w:rsid w:val="007A2117"/>
    <w:rsid w:val="007C7747"/>
    <w:rsid w:val="007D7C36"/>
    <w:rsid w:val="00814627"/>
    <w:rsid w:val="00853EC4"/>
    <w:rsid w:val="0087020C"/>
    <w:rsid w:val="008757CB"/>
    <w:rsid w:val="00896C59"/>
    <w:rsid w:val="008A3040"/>
    <w:rsid w:val="008E7BC4"/>
    <w:rsid w:val="008F5DEA"/>
    <w:rsid w:val="00902533"/>
    <w:rsid w:val="00931DB7"/>
    <w:rsid w:val="00947EF7"/>
    <w:rsid w:val="00996E54"/>
    <w:rsid w:val="009A1C08"/>
    <w:rsid w:val="009B043D"/>
    <w:rsid w:val="009B1042"/>
    <w:rsid w:val="009B6B13"/>
    <w:rsid w:val="009E23CE"/>
    <w:rsid w:val="009E2DEF"/>
    <w:rsid w:val="009F4DD1"/>
    <w:rsid w:val="00A421A9"/>
    <w:rsid w:val="00AA03D5"/>
    <w:rsid w:val="00AA4070"/>
    <w:rsid w:val="00AB1B89"/>
    <w:rsid w:val="00AB56E6"/>
    <w:rsid w:val="00AC1474"/>
    <w:rsid w:val="00B04E2C"/>
    <w:rsid w:val="00B20967"/>
    <w:rsid w:val="00B20CA5"/>
    <w:rsid w:val="00B4613A"/>
    <w:rsid w:val="00B4667A"/>
    <w:rsid w:val="00B46749"/>
    <w:rsid w:val="00B4794F"/>
    <w:rsid w:val="00B9325E"/>
    <w:rsid w:val="00BD4E38"/>
    <w:rsid w:val="00C003AA"/>
    <w:rsid w:val="00C206E6"/>
    <w:rsid w:val="00C3035D"/>
    <w:rsid w:val="00C30C70"/>
    <w:rsid w:val="00C72418"/>
    <w:rsid w:val="00C8595E"/>
    <w:rsid w:val="00C9174E"/>
    <w:rsid w:val="00CC140B"/>
    <w:rsid w:val="00CC2C75"/>
    <w:rsid w:val="00CD6727"/>
    <w:rsid w:val="00CF291D"/>
    <w:rsid w:val="00CF48AD"/>
    <w:rsid w:val="00CF5D01"/>
    <w:rsid w:val="00CF5F60"/>
    <w:rsid w:val="00D32ECE"/>
    <w:rsid w:val="00D61D3B"/>
    <w:rsid w:val="00D66CF8"/>
    <w:rsid w:val="00DA0F9E"/>
    <w:rsid w:val="00DA1A12"/>
    <w:rsid w:val="00DB467D"/>
    <w:rsid w:val="00DC1111"/>
    <w:rsid w:val="00DE29EE"/>
    <w:rsid w:val="00DE4984"/>
    <w:rsid w:val="00DE5C32"/>
    <w:rsid w:val="00DF4C98"/>
    <w:rsid w:val="00E2117C"/>
    <w:rsid w:val="00E364E8"/>
    <w:rsid w:val="00E52130"/>
    <w:rsid w:val="00E6428C"/>
    <w:rsid w:val="00E83483"/>
    <w:rsid w:val="00E85545"/>
    <w:rsid w:val="00ED4262"/>
    <w:rsid w:val="00ED7640"/>
    <w:rsid w:val="00F1144E"/>
    <w:rsid w:val="00F21FAE"/>
    <w:rsid w:val="00F470D2"/>
    <w:rsid w:val="00F5323B"/>
    <w:rsid w:val="00F5400A"/>
    <w:rsid w:val="00F5691E"/>
    <w:rsid w:val="00F71729"/>
    <w:rsid w:val="00F97835"/>
    <w:rsid w:val="00FD09EF"/>
    <w:rsid w:val="00FD6ED6"/>
    <w:rsid w:val="00FD7B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6E1095"/>
  <w15:docId w15:val="{E3C7CBA5-385B-4A3A-BB93-329F9F397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rPr>
  </w:style>
  <w:style w:type="paragraph" w:styleId="Heading1">
    <w:name w:val="heading 1"/>
    <w:basedOn w:val="Normal"/>
    <w:next w:val="Normal"/>
    <w:link w:val="Heading1Char"/>
    <w:uiPriority w:val="9"/>
    <w:qFormat/>
    <w:rsid w:val="001A3992"/>
    <w:pPr>
      <w:keepNext/>
      <w:keepLines/>
      <w:numPr>
        <w:numId w:val="1"/>
      </w:numPr>
      <w:spacing w:before="480" w:after="0"/>
      <w:outlineLvl w:val="0"/>
    </w:pPr>
    <w:rPr>
      <w:rFonts w:ascii="Cambria" w:eastAsia="Times New Roman" w:hAnsi="Cambria" w:cs="Times New Roman"/>
      <w:b/>
      <w:bCs/>
      <w:caps/>
      <w:sz w:val="28"/>
      <w:szCs w:val="28"/>
    </w:rPr>
  </w:style>
  <w:style w:type="paragraph" w:styleId="Heading2">
    <w:name w:val="heading 2"/>
    <w:basedOn w:val="Normal"/>
    <w:next w:val="Normal"/>
    <w:link w:val="Heading2Char"/>
    <w:uiPriority w:val="9"/>
    <w:unhideWhenUsed/>
    <w:qFormat/>
    <w:rsid w:val="001A3992"/>
    <w:pPr>
      <w:numPr>
        <w:ilvl w:val="1"/>
        <w:numId w:val="1"/>
      </w:numPr>
      <w:spacing w:before="240"/>
      <w:ind w:left="578" w:hanging="578"/>
      <w:outlineLvl w:val="1"/>
    </w:pPr>
    <w:rPr>
      <w:rFonts w:ascii="Cambria" w:hAnsi="Cambria"/>
      <w:b/>
      <w:smallCaps/>
      <w:sz w:val="24"/>
    </w:rPr>
  </w:style>
  <w:style w:type="paragraph" w:styleId="Heading3">
    <w:name w:val="heading 3"/>
    <w:basedOn w:val="Normal"/>
    <w:next w:val="Normal"/>
    <w:link w:val="Heading3Char"/>
    <w:uiPriority w:val="9"/>
    <w:unhideWhenUsed/>
    <w:qFormat/>
    <w:rsid w:val="001A3992"/>
    <w:pPr>
      <w:keepNext/>
      <w:keepLines/>
      <w:spacing w:before="200" w:after="0"/>
      <w:ind w:left="227"/>
      <w:outlineLvl w:val="2"/>
    </w:pPr>
    <w:rPr>
      <w:rFonts w:ascii="Cambria" w:eastAsia="Times New Roman" w:hAnsi="Cambria" w:cs="Times New Roman"/>
      <w:b/>
      <w:bCs/>
    </w:rPr>
  </w:style>
  <w:style w:type="paragraph" w:styleId="Heading4">
    <w:name w:val="heading 4"/>
    <w:basedOn w:val="Normal"/>
    <w:next w:val="Normal"/>
    <w:link w:val="Heading4Char"/>
    <w:uiPriority w:val="9"/>
    <w:semiHidden/>
    <w:unhideWhenUsed/>
    <w:qFormat/>
    <w:rsid w:val="001A3992"/>
    <w:pPr>
      <w:keepNext/>
      <w:keepLines/>
      <w:numPr>
        <w:ilvl w:val="3"/>
        <w:numId w:val="1"/>
      </w:numPr>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rsid w:val="001A3992"/>
    <w:pPr>
      <w:keepNext/>
      <w:keepLines/>
      <w:numPr>
        <w:ilvl w:val="4"/>
        <w:numId w:val="1"/>
      </w:numPr>
      <w:spacing w:before="20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1A3992"/>
    <w:pPr>
      <w:keepNext/>
      <w:keepLines/>
      <w:numPr>
        <w:ilvl w:val="5"/>
        <w:numId w:val="1"/>
      </w:numPr>
      <w:spacing w:before="20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1A3992"/>
    <w:pPr>
      <w:keepNext/>
      <w:keepLines/>
      <w:numPr>
        <w:ilvl w:val="6"/>
        <w:numId w:val="1"/>
      </w:numPr>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1A3992"/>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1A3992"/>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1A3992"/>
    <w:rPr>
      <w:rFonts w:ascii="Cambria" w:eastAsia="Times New Roman" w:hAnsi="Cambria" w:cs="Times New Roman"/>
      <w:b/>
      <w:bCs/>
      <w:caps/>
      <w:sz w:val="28"/>
      <w:szCs w:val="28"/>
    </w:rPr>
  </w:style>
  <w:style w:type="character" w:customStyle="1" w:styleId="Heading2Char">
    <w:name w:val="Heading 2 Char"/>
    <w:link w:val="Heading2"/>
    <w:uiPriority w:val="9"/>
    <w:rsid w:val="001A3992"/>
    <w:rPr>
      <w:rFonts w:ascii="Cambria" w:hAnsi="Cambria"/>
      <w:b/>
      <w:smallCaps/>
      <w:sz w:val="24"/>
    </w:rPr>
  </w:style>
  <w:style w:type="character" w:customStyle="1" w:styleId="Heading3Char">
    <w:name w:val="Heading 3 Char"/>
    <w:link w:val="Heading3"/>
    <w:uiPriority w:val="9"/>
    <w:rsid w:val="001A3992"/>
    <w:rPr>
      <w:rFonts w:ascii="Cambria" w:eastAsia="Times New Roman" w:hAnsi="Cambria" w:cs="Times New Roman"/>
      <w:b/>
      <w:bCs/>
    </w:rPr>
  </w:style>
  <w:style w:type="character" w:customStyle="1" w:styleId="Heading4Char">
    <w:name w:val="Heading 4 Char"/>
    <w:link w:val="Heading4"/>
    <w:uiPriority w:val="9"/>
    <w:semiHidden/>
    <w:rsid w:val="001A3992"/>
    <w:rPr>
      <w:rFonts w:ascii="Cambria" w:eastAsia="Times New Roman" w:hAnsi="Cambria" w:cs="Times New Roman"/>
      <w:b/>
      <w:bCs/>
      <w:i/>
      <w:iCs/>
      <w:color w:val="4F81BD"/>
    </w:rPr>
  </w:style>
  <w:style w:type="character" w:customStyle="1" w:styleId="Heading5Char">
    <w:name w:val="Heading 5 Char"/>
    <w:link w:val="Heading5"/>
    <w:uiPriority w:val="9"/>
    <w:semiHidden/>
    <w:rsid w:val="001A3992"/>
    <w:rPr>
      <w:rFonts w:ascii="Cambria" w:eastAsia="Times New Roman" w:hAnsi="Cambria" w:cs="Times New Roman"/>
      <w:color w:val="243F60"/>
    </w:rPr>
  </w:style>
  <w:style w:type="character" w:customStyle="1" w:styleId="Heading6Char">
    <w:name w:val="Heading 6 Char"/>
    <w:link w:val="Heading6"/>
    <w:uiPriority w:val="9"/>
    <w:semiHidden/>
    <w:rsid w:val="001A3992"/>
    <w:rPr>
      <w:rFonts w:ascii="Cambria" w:eastAsia="Times New Roman" w:hAnsi="Cambria" w:cs="Times New Roman"/>
      <w:i/>
      <w:iCs/>
      <w:color w:val="243F60"/>
    </w:rPr>
  </w:style>
  <w:style w:type="character" w:customStyle="1" w:styleId="Heading7Char">
    <w:name w:val="Heading 7 Char"/>
    <w:link w:val="Heading7"/>
    <w:uiPriority w:val="9"/>
    <w:semiHidden/>
    <w:rsid w:val="001A3992"/>
    <w:rPr>
      <w:rFonts w:ascii="Cambria" w:eastAsia="Times New Roman" w:hAnsi="Cambria" w:cs="Times New Roman"/>
      <w:i/>
      <w:iCs/>
      <w:color w:val="404040"/>
    </w:rPr>
  </w:style>
  <w:style w:type="character" w:customStyle="1" w:styleId="Heading8Char">
    <w:name w:val="Heading 8 Char"/>
    <w:link w:val="Heading8"/>
    <w:uiPriority w:val="9"/>
    <w:semiHidden/>
    <w:rsid w:val="001A3992"/>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1A3992"/>
    <w:rPr>
      <w:rFonts w:ascii="Cambria" w:eastAsia="Times New Roman" w:hAnsi="Cambria" w:cs="Times New Roman"/>
      <w:i/>
      <w:iCs/>
      <w:color w:val="404040"/>
      <w:sz w:val="20"/>
      <w:szCs w:val="20"/>
    </w:rPr>
  </w:style>
  <w:style w:type="paragraph" w:styleId="ListParagraph">
    <w:name w:val="List Paragraph"/>
    <w:basedOn w:val="Normal"/>
    <w:qFormat/>
    <w:rsid w:val="001A3992"/>
    <w:pPr>
      <w:ind w:left="720"/>
      <w:contextualSpacing/>
    </w:pPr>
    <w:rPr>
      <w:rFonts w:ascii="Cambria" w:hAnsi="Cambria"/>
    </w:rPr>
  </w:style>
  <w:style w:type="character" w:styleId="CommentReference">
    <w:name w:val="annotation reference"/>
    <w:uiPriority w:val="99"/>
    <w:semiHidden/>
    <w:unhideWhenUsed/>
    <w:rsid w:val="001A3992"/>
    <w:rPr>
      <w:sz w:val="16"/>
      <w:szCs w:val="16"/>
    </w:rPr>
  </w:style>
  <w:style w:type="paragraph" w:styleId="CommentText">
    <w:name w:val="annotation text"/>
    <w:aliases w:val="Comment Text Char Char,Comment Text Char Char Char Char,Comment Text Char Char Char Char Char Char1 Ch,Comment Text Char Char1,Comment Text Char Char1 Char Char,Comment Text Char1 Char Char,Comment Text Char1 Char Char Char Char1 Char"/>
    <w:basedOn w:val="Normal"/>
    <w:link w:val="CommentTextChar"/>
    <w:unhideWhenUsed/>
    <w:qFormat/>
    <w:rsid w:val="001A3992"/>
    <w:pPr>
      <w:spacing w:line="240" w:lineRule="auto"/>
    </w:pPr>
    <w:rPr>
      <w:rFonts w:ascii="Cambria" w:hAnsi="Cambria"/>
      <w:sz w:val="20"/>
      <w:szCs w:val="20"/>
    </w:rPr>
  </w:style>
  <w:style w:type="character" w:customStyle="1" w:styleId="CommentTextChar">
    <w:name w:val="Comment Text Char"/>
    <w:aliases w:val="Comment Text Char Char Char,Comment Text Char Char Char Char Char,Comment Text Char Char Char Char Char Char1 Ch Char,Comment Text Char Char1 Char,Comment Text Char Char1 Char Char Char,Comment Text Char1 Char Char Char"/>
    <w:link w:val="CommentText"/>
    <w:rsid w:val="001A3992"/>
    <w:rPr>
      <w:rFonts w:ascii="Cambria" w:hAnsi="Cambria"/>
      <w:sz w:val="20"/>
      <w:szCs w:val="20"/>
    </w:rPr>
  </w:style>
  <w:style w:type="paragraph" w:styleId="FootnoteText">
    <w:name w:val="footnote text"/>
    <w:basedOn w:val="Normal"/>
    <w:link w:val="FootnoteTextChar"/>
    <w:uiPriority w:val="99"/>
    <w:rsid w:val="001A3992"/>
    <w:pPr>
      <w:keepLines/>
      <w:spacing w:before="180" w:after="180"/>
    </w:pPr>
    <w:rPr>
      <w:rFonts w:cs="Times New Roman"/>
      <w:sz w:val="20"/>
    </w:rPr>
  </w:style>
  <w:style w:type="character" w:customStyle="1" w:styleId="FootnoteTextChar">
    <w:name w:val="Footnote Text Char"/>
    <w:link w:val="FootnoteText"/>
    <w:uiPriority w:val="99"/>
    <w:rsid w:val="001A3992"/>
    <w:rPr>
      <w:rFonts w:ascii="Calibri" w:eastAsia="Calibri" w:hAnsi="Calibri" w:cs="Times New Roman"/>
      <w:sz w:val="20"/>
    </w:rPr>
  </w:style>
  <w:style w:type="character" w:styleId="FootnoteReference">
    <w:name w:val="footnote reference"/>
    <w:uiPriority w:val="99"/>
    <w:unhideWhenUsed/>
    <w:rsid w:val="001A3992"/>
    <w:rPr>
      <w:vertAlign w:val="superscript"/>
    </w:rPr>
  </w:style>
  <w:style w:type="paragraph" w:styleId="ListBullet">
    <w:name w:val="List Bullet"/>
    <w:basedOn w:val="Normal"/>
    <w:uiPriority w:val="99"/>
    <w:unhideWhenUsed/>
    <w:rsid w:val="001A3992"/>
    <w:pPr>
      <w:ind w:left="425" w:hanging="425"/>
      <w:contextualSpacing/>
    </w:pPr>
    <w:rPr>
      <w:rFonts w:ascii="Cambria" w:hAnsi="Cambria"/>
    </w:rPr>
  </w:style>
  <w:style w:type="character" w:styleId="Hyperlink">
    <w:name w:val="Hyperlink"/>
    <w:uiPriority w:val="99"/>
    <w:unhideWhenUsed/>
    <w:rsid w:val="001A3992"/>
    <w:rPr>
      <w:color w:val="0000FF"/>
      <w:u w:val="single"/>
    </w:rPr>
  </w:style>
  <w:style w:type="table" w:styleId="LightGrid">
    <w:name w:val="Light Grid"/>
    <w:basedOn w:val="TableNormal"/>
    <w:uiPriority w:val="62"/>
    <w:rsid w:val="001A399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Footer">
    <w:name w:val="footer"/>
    <w:basedOn w:val="Normal"/>
    <w:link w:val="FooterChar"/>
    <w:uiPriority w:val="99"/>
    <w:unhideWhenUsed/>
    <w:rsid w:val="001A3992"/>
    <w:pPr>
      <w:tabs>
        <w:tab w:val="center" w:pos="4513"/>
        <w:tab w:val="right" w:pos="9026"/>
      </w:tabs>
      <w:spacing w:after="0" w:line="240" w:lineRule="auto"/>
    </w:pPr>
    <w:rPr>
      <w:rFonts w:ascii="Cambria" w:hAnsi="Cambria"/>
    </w:rPr>
  </w:style>
  <w:style w:type="character" w:customStyle="1" w:styleId="FooterChar">
    <w:name w:val="Footer Char"/>
    <w:link w:val="Footer"/>
    <w:uiPriority w:val="99"/>
    <w:rsid w:val="001A3992"/>
    <w:rPr>
      <w:rFonts w:ascii="Cambria" w:hAnsi="Cambria"/>
    </w:rPr>
  </w:style>
  <w:style w:type="paragraph" w:styleId="BalloonText">
    <w:name w:val="Balloon Text"/>
    <w:basedOn w:val="Normal"/>
    <w:link w:val="BalloonTextChar"/>
    <w:uiPriority w:val="99"/>
    <w:semiHidden/>
    <w:unhideWhenUsed/>
    <w:rsid w:val="001A399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A3992"/>
    <w:rPr>
      <w:rFonts w:ascii="Tahoma" w:hAnsi="Tahoma" w:cs="Tahoma"/>
      <w:sz w:val="16"/>
      <w:szCs w:val="16"/>
    </w:rPr>
  </w:style>
  <w:style w:type="paragraph" w:styleId="Header">
    <w:name w:val="header"/>
    <w:basedOn w:val="Normal"/>
    <w:link w:val="HeaderChar"/>
    <w:uiPriority w:val="99"/>
    <w:unhideWhenUsed/>
    <w:rsid w:val="00CA6C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CCF"/>
  </w:style>
  <w:style w:type="paragraph" w:styleId="Bibliography">
    <w:name w:val="Bibliography"/>
    <w:basedOn w:val="Normal"/>
    <w:next w:val="Normal"/>
    <w:uiPriority w:val="37"/>
    <w:unhideWhenUsed/>
    <w:rsid w:val="00F40D57"/>
  </w:style>
  <w:style w:type="paragraph" w:customStyle="1" w:styleId="xInstruxCustomColorRGB84141212">
    <w:name w:val="xInstrux +Custom Color (RGB(84141212))"/>
    <w:basedOn w:val="Normal"/>
    <w:qFormat/>
    <w:rsid w:val="003750CE"/>
    <w:pPr>
      <w:spacing w:after="120" w:line="280" w:lineRule="exact"/>
    </w:pPr>
    <w:rPr>
      <w:rFonts w:ascii="Arial" w:eastAsia="Times New Roman" w:hAnsi="Arial" w:cs="Times New Roman"/>
      <w:b/>
      <w:bCs/>
      <w:color w:val="548DD4"/>
      <w:sz w:val="20"/>
      <w:szCs w:val="28"/>
      <w:lang w:eastAsia="ja-JP"/>
    </w:rPr>
  </w:style>
  <w:style w:type="paragraph" w:styleId="Caption">
    <w:name w:val="caption"/>
    <w:basedOn w:val="Normal"/>
    <w:next w:val="Normal"/>
    <w:uiPriority w:val="35"/>
    <w:unhideWhenUsed/>
    <w:qFormat/>
    <w:rsid w:val="003750CE"/>
    <w:pPr>
      <w:spacing w:line="240" w:lineRule="auto"/>
    </w:pPr>
    <w:rPr>
      <w:i/>
      <w:iCs/>
      <w:color w:val="1F497D"/>
      <w:sz w:val="18"/>
      <w:szCs w:val="18"/>
    </w:rPr>
  </w:style>
  <w:style w:type="paragraph" w:customStyle="1" w:styleId="TableCell11Left">
    <w:name w:val="Table Cell 11 Left"/>
    <w:basedOn w:val="Normal"/>
    <w:rsid w:val="003750CE"/>
    <w:pPr>
      <w:keepLines/>
      <w:spacing w:before="50" w:after="50" w:line="240" w:lineRule="exact"/>
    </w:pPr>
    <w:rPr>
      <w:rFonts w:ascii="Arial" w:eastAsia="SimSun" w:hAnsi="Arial" w:cs="Times New Roman"/>
      <w:szCs w:val="24"/>
      <w:lang w:eastAsia="zh-CN"/>
    </w:rPr>
  </w:style>
  <w:style w:type="paragraph" w:customStyle="1" w:styleId="Paragraph">
    <w:name w:val="Paragraph"/>
    <w:basedOn w:val="Normal"/>
    <w:link w:val="ParagraphChar"/>
    <w:qFormat/>
    <w:rsid w:val="006B3A47"/>
    <w:pPr>
      <w:spacing w:after="250" w:line="300" w:lineRule="atLeast"/>
    </w:pPr>
    <w:rPr>
      <w:rFonts w:ascii="Arial" w:eastAsia="SimSun" w:hAnsi="Arial" w:cs="Times New Roman"/>
      <w:szCs w:val="24"/>
      <w:lang w:eastAsia="zh-CN"/>
    </w:rPr>
  </w:style>
  <w:style w:type="character" w:customStyle="1" w:styleId="ParagraphChar">
    <w:name w:val="Paragraph Char"/>
    <w:link w:val="Paragraph"/>
    <w:qFormat/>
    <w:rsid w:val="006B3A47"/>
    <w:rPr>
      <w:rFonts w:ascii="Arial" w:eastAsia="SimSun" w:hAnsi="Arial" w:cs="Times New Roman"/>
      <w:szCs w:val="24"/>
      <w:lang w:val="en-US" w:eastAsia="zh-CN"/>
    </w:rPr>
  </w:style>
  <w:style w:type="character" w:customStyle="1" w:styleId="FreeText">
    <w:name w:val="_Free Text"/>
    <w:uiPriority w:val="1"/>
    <w:qFormat/>
    <w:rsid w:val="006B3A47"/>
    <w:rPr>
      <w:color w:val="7030A0"/>
    </w:rPr>
  </w:style>
  <w:style w:type="paragraph" w:customStyle="1" w:styleId="TableTitle">
    <w:name w:val="Table Title"/>
    <w:basedOn w:val="Normal"/>
    <w:next w:val="Paragraph"/>
    <w:link w:val="TableTitleChar"/>
    <w:qFormat/>
    <w:rsid w:val="006B3A47"/>
    <w:pPr>
      <w:keepNext/>
      <w:keepLines/>
      <w:tabs>
        <w:tab w:val="left" w:pos="1152"/>
      </w:tabs>
      <w:spacing w:before="40" w:after="160" w:line="280" w:lineRule="exact"/>
      <w:ind w:left="1152" w:hanging="1152"/>
    </w:pPr>
    <w:rPr>
      <w:rFonts w:ascii="Arial" w:eastAsia="SimSun" w:hAnsi="Arial" w:cs="Times New Roman"/>
      <w:b/>
      <w:sz w:val="24"/>
      <w:szCs w:val="24"/>
      <w:lang w:eastAsia="zh-CN"/>
    </w:rPr>
  </w:style>
  <w:style w:type="character" w:customStyle="1" w:styleId="TableTitleChar">
    <w:name w:val="Table Title Char"/>
    <w:aliases w:val="(major) Char1,H1 Char1,Heading 1 (part) Char,Heading 1 Char1,Heading 11 Char1,Level 1 Char,Lv1 Char1,NDA Heading 1 Char1,Outline1 Char,PHX_Heading 1 Char1,Part Char1,Titol 1 Char1,Titre 11 Char1,h1 Char1,heading 1 Char1,myheading Char1"/>
    <w:link w:val="TableTitle"/>
    <w:locked/>
    <w:rsid w:val="006B3A47"/>
    <w:rPr>
      <w:rFonts w:ascii="Arial" w:eastAsia="SimSun" w:hAnsi="Arial" w:cs="Times New Roman"/>
      <w:b/>
      <w:sz w:val="24"/>
      <w:szCs w:val="24"/>
      <w:lang w:val="en-US" w:eastAsia="zh-CN"/>
    </w:rPr>
  </w:style>
  <w:style w:type="table" w:styleId="TableGrid">
    <w:name w:val="Table Grid"/>
    <w:aliases w:val="Header Table,Table Grid No Line"/>
    <w:basedOn w:val="TableNormal"/>
    <w:uiPriority w:val="39"/>
    <w:rsid w:val="006B3A47"/>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894AD3"/>
    <w:rPr>
      <w:i/>
      <w:iCs/>
    </w:rPr>
  </w:style>
  <w:style w:type="character" w:customStyle="1" w:styleId="Variables">
    <w:name w:val="_Variables"/>
    <w:uiPriority w:val="1"/>
    <w:qFormat/>
    <w:rsid w:val="00DA78D1"/>
    <w:rPr>
      <w:color w:val="00B050"/>
    </w:rPr>
  </w:style>
  <w:style w:type="paragraph" w:customStyle="1" w:styleId="xInstruxCustomColorRGB84">
    <w:name w:val="xInstrux +Custom Color(RGB(84"/>
    <w:basedOn w:val="Normal"/>
    <w:link w:val="xInstruxCustomColorRGB84Char"/>
    <w:autoRedefine/>
    <w:qFormat/>
    <w:rsid w:val="00DA78D1"/>
    <w:pPr>
      <w:spacing w:after="0" w:line="240" w:lineRule="auto"/>
    </w:pPr>
    <w:rPr>
      <w:rFonts w:ascii="Arial" w:eastAsia="Times New Roman" w:hAnsi="Arial" w:cs="Times New Roman"/>
      <w:bCs/>
      <w:i/>
      <w:iCs/>
      <w:lang w:eastAsia="ja-JP"/>
    </w:rPr>
  </w:style>
  <w:style w:type="character" w:customStyle="1" w:styleId="xInstruxCustomColorRGB84Char">
    <w:name w:val="xInstrux +Custom Color(RGB(84 Char"/>
    <w:link w:val="xInstruxCustomColorRGB84"/>
    <w:rsid w:val="00DA78D1"/>
    <w:rPr>
      <w:rFonts w:ascii="Arial" w:eastAsia="Times New Roman" w:hAnsi="Arial" w:cs="Times New Roman"/>
      <w:bCs/>
      <w:i/>
      <w:iCs/>
      <w:lang w:val="en-US" w:eastAsia="ja-JP"/>
    </w:rPr>
  </w:style>
  <w:style w:type="paragraph" w:customStyle="1" w:styleId="ParagraphList">
    <w:name w:val="Paragraph List"/>
    <w:basedOn w:val="Paragraph"/>
    <w:next w:val="Paragraph"/>
    <w:qFormat/>
    <w:rsid w:val="000F6758"/>
    <w:pPr>
      <w:keepNext/>
      <w:spacing w:after="100"/>
    </w:pPr>
  </w:style>
  <w:style w:type="character" w:customStyle="1" w:styleId="PickList">
    <w:name w:val="_Pick List"/>
    <w:uiPriority w:val="1"/>
    <w:qFormat/>
    <w:rsid w:val="00111711"/>
    <w:rPr>
      <w:color w:val="FF0000"/>
      <w:szCs w:val="22"/>
    </w:rPr>
  </w:style>
  <w:style w:type="paragraph" w:styleId="CommentSubject">
    <w:name w:val="annotation subject"/>
    <w:basedOn w:val="CommentText"/>
    <w:next w:val="CommentText"/>
    <w:link w:val="CommentSubjectChar"/>
    <w:uiPriority w:val="99"/>
    <w:semiHidden/>
    <w:unhideWhenUsed/>
    <w:rsid w:val="00934B60"/>
    <w:rPr>
      <w:rFonts w:ascii="Calibri" w:hAnsi="Calibri"/>
      <w:b/>
      <w:bCs/>
    </w:rPr>
  </w:style>
  <w:style w:type="character" w:customStyle="1" w:styleId="CommentSubjectChar">
    <w:name w:val="Comment Subject Char"/>
    <w:link w:val="CommentSubject"/>
    <w:uiPriority w:val="99"/>
    <w:semiHidden/>
    <w:rsid w:val="00934B60"/>
    <w:rPr>
      <w:rFonts w:ascii="Cambria" w:hAnsi="Cambria"/>
      <w:b/>
      <w:bCs/>
      <w:sz w:val="20"/>
      <w:szCs w:val="20"/>
    </w:rPr>
  </w:style>
  <w:style w:type="character" w:styleId="UnresolvedMention">
    <w:name w:val="Unresolved Mention"/>
    <w:uiPriority w:val="99"/>
    <w:semiHidden/>
    <w:unhideWhenUsed/>
    <w:rsid w:val="00934B6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rFonts w:ascii="Arial" w:eastAsia="Arial" w:hAnsi="Arial" w:cs="Arial"/>
      <w:sz w:val="24"/>
      <w:szCs w:val="24"/>
    </w:rPr>
    <w:tblPr>
      <w:tblStyleRowBandSize w:val="1"/>
      <w:tblStyleColBandSize w:val="1"/>
    </w:tblPr>
  </w:style>
  <w:style w:type="table" w:customStyle="1" w:styleId="a2">
    <w:basedOn w:val="TableNormal"/>
    <w:rPr>
      <w:rFonts w:ascii="Arial" w:eastAsia="Arial" w:hAnsi="Arial" w:cs="Arial"/>
      <w:sz w:val="24"/>
      <w:szCs w:val="24"/>
    </w:rPr>
    <w:tblPr>
      <w:tblStyleRowBandSize w:val="1"/>
      <w:tblStyleColBandSize w:val="1"/>
    </w:tblPr>
  </w:style>
  <w:style w:type="table" w:customStyle="1" w:styleId="a3">
    <w:basedOn w:val="TableNormal"/>
    <w:rPr>
      <w:rFonts w:ascii="Arial" w:eastAsia="Arial" w:hAnsi="Arial" w:cs="Arial"/>
      <w:sz w:val="24"/>
      <w:szCs w:val="24"/>
    </w:rPr>
    <w:tblPr>
      <w:tblStyleRowBandSize w:val="1"/>
      <w:tblStyleColBandSize w:val="1"/>
    </w:tblPr>
  </w:style>
  <w:style w:type="table" w:customStyle="1" w:styleId="a4">
    <w:basedOn w:val="TableNormal"/>
    <w:rPr>
      <w:rFonts w:ascii="Arial" w:eastAsia="Arial" w:hAnsi="Arial" w:cs="Arial"/>
      <w:sz w:val="24"/>
      <w:szCs w:val="24"/>
    </w:rPr>
    <w:tblPr>
      <w:tblStyleRowBandSize w:val="1"/>
      <w:tblStyleColBandSize w:val="1"/>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rPr>
      <w:rFonts w:ascii="Arial" w:eastAsia="Arial" w:hAnsi="Arial" w:cs="Arial"/>
      <w:sz w:val="24"/>
      <w:szCs w:val="24"/>
    </w:rPr>
    <w:tblPr>
      <w:tblStyleRowBandSize w:val="1"/>
      <w:tblStyleColBandSize w:val="1"/>
      <w:tblCellMar>
        <w:top w:w="57" w:type="dxa"/>
        <w:bottom w:w="57" w:type="dxa"/>
      </w:tblCellMar>
    </w:tblPr>
    <w:tblStylePr w:type="firstRow">
      <w:pPr>
        <w:spacing w:before="0" w:after="0" w:line="240" w:lineRule="auto"/>
      </w:pPr>
      <w:rPr>
        <w:rFonts w:ascii="Cambria" w:eastAsia="Cambria" w:hAnsi="Cambria" w:cs="Cambria"/>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Cambria" w:hAnsi="Cambria" w:cs="Cambria"/>
        <w:b/>
      </w:rPr>
      <w:tblPr/>
      <w:tcPr>
        <w:tcBorders>
          <w:top w:val="sing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7">
    <w:basedOn w:val="TableNormal"/>
    <w:tblPr>
      <w:tblStyleRowBandSize w:val="1"/>
      <w:tblStyleColBandSize w:val="1"/>
      <w:tblCellMar>
        <w:top w:w="15" w:type="dxa"/>
        <w:left w:w="15" w:type="dxa"/>
        <w:bottom w:w="15" w:type="dxa"/>
        <w:right w:w="15" w:type="dxa"/>
      </w:tblCellMar>
    </w:tblPr>
  </w:style>
  <w:style w:type="paragraph" w:styleId="Revision">
    <w:name w:val="Revision"/>
    <w:hidden/>
    <w:uiPriority w:val="99"/>
    <w:semiHidden/>
    <w:rsid w:val="00C9174E"/>
    <w:rPr>
      <w:sz w:val="22"/>
      <w:szCs w:val="22"/>
      <w:lang w:val="en-US"/>
    </w:rPr>
  </w:style>
  <w:style w:type="paragraph" w:customStyle="1" w:styleId="TableParagraph">
    <w:name w:val="Table Paragraph"/>
    <w:basedOn w:val="Normal"/>
    <w:uiPriority w:val="1"/>
    <w:qFormat/>
    <w:rsid w:val="00A421A9"/>
    <w:pPr>
      <w:widowControl w:val="0"/>
      <w:autoSpaceDE w:val="0"/>
      <w:autoSpaceDN w:val="0"/>
      <w:spacing w:before="37" w:after="0" w:line="240" w:lineRule="auto"/>
    </w:pPr>
    <w:rPr>
      <w:rFonts w:ascii="Times New Roman" w:eastAsia="Times New Roman" w:hAnsi="Times New Roman" w:cs="Times New Roman"/>
      <w:lang w:eastAsia="en-US"/>
    </w:rPr>
  </w:style>
  <w:style w:type="table" w:customStyle="1" w:styleId="TableGrid1">
    <w:name w:val="Table Grid1"/>
    <w:basedOn w:val="TableNormal"/>
    <w:next w:val="TableGrid"/>
    <w:uiPriority w:val="59"/>
    <w:rsid w:val="004E1508"/>
    <w:rPr>
      <w:rFonts w:ascii="Times New Roman" w:eastAsia="Cambria" w:hAnsi="Times New Roman" w:cs="Times New Roman"/>
      <w:lang w:eastAsia="en-US"/>
    </w:rPr>
    <w:tblPr>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02318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tga.gov.au/reporting-problems"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tga.gov.au/reporting-problem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32S11</b:Tag>
    <b:SourceType>Report</b:SourceType>
    <b:Guid>{99BC9449-64AF-4DD1-8D6A-C64993BF2114}</b:Guid>
    <b:Title>Module 3.2.S.1 General information</b:Title>
    <b:Year>2024</b:Year>
    <b:Author>
      <b:Author>
        <b:NameList>
          <b:Person>
            <b:Last>eCTD</b:Last>
          </b:Person>
        </b:NameList>
      </b:Author>
    </b:Author>
    <b:RefOrder>1</b:RefOrder>
  </b:Source>
  <b:Source>
    <b:Tag>32P81</b:Tag>
    <b:SourceType>Report</b:SourceType>
    <b:Guid>{C63173E0-455B-4686-B35C-950D33301738}</b:Guid>
    <b:Author>
      <b:Author>
        <b:NameList>
          <b:Person>
            <b:Last>eCTD</b:Last>
          </b:Person>
        </b:NameList>
      </b:Author>
    </b:Author>
    <b:Year>2024</b:Year>
    <b:Title>Module 3, Section 3.2.P.8.1 Stability Summary and Conclusion [Inavolisib, Film-coated Tablets, 3 mg and 9 mg]</b:Title>
    <b:RefOrder>2</b:RefOrder>
  </b:Source>
  <b:Source>
    <b:Tag>32P1</b:Tag>
    <b:SourceType>Report</b:SourceType>
    <b:Guid>{9915D853-5DEC-4BB4-BB39-FC874FC789B3}</b:Guid>
    <b:Author>
      <b:Author>
        <b:NameList>
          <b:Person>
            <b:Last>eCTD</b:Last>
          </b:Person>
        </b:NameList>
      </b:Author>
    </b:Author>
    <b:Title>Module 3, Section 3.2.P.1 Description and Composition of the Drug Product [Inavolisib, Film-coated Tablets, 3 mg and 9 mg]</b:Title>
    <b:Year>2024</b:Year>
    <b:RefOrder>3</b:RefOrder>
  </b:Source>
  <b:Source>
    <b:Tag>274</b:Tag>
    <b:SourceType>Report</b:SourceType>
    <b:Guid>{42111A0D-2A1B-4F00-B976-7B6E97318D92}</b:Guid>
    <b:Author>
      <b:Author>
        <b:NameList>
          <b:Person>
            <b:Last>eCTD</b:Last>
          </b:Person>
        </b:NameList>
      </b:Author>
    </b:Author>
    <b:Title>Module 2, Section 2.7.4 Summary of Clinical Safety</b:Title>
    <b:Year>2024</b:Year>
    <b:RefOrder>4</b:RefOrder>
  </b:Source>
  <b:Source>
    <b:Tag>273</b:Tag>
    <b:SourceType>Report</b:SourceType>
    <b:Guid>{C7601706-BBB8-44ED-9533-493B4550B84D}</b:Guid>
    <b:Author>
      <b:Author>
        <b:NameList>
          <b:Person>
            <b:Last>eCTD</b:Last>
          </b:Person>
        </b:NameList>
      </b:Author>
    </b:Author>
    <b:Title>Module 2, Section 2.7.3 Summary of Clinical Efficacy</b:Title>
    <b:Year>2024</b:Year>
    <b:RefOrder>5</b:RefOrder>
  </b:Source>
  <b:Source>
    <b:Tag>272</b:Tag>
    <b:SourceType>Report</b:SourceType>
    <b:Guid>{97E77FC7-87C9-4A47-99DE-DB6D5691E1E5}</b:Guid>
    <b:Author>
      <b:Author>
        <b:NameList>
          <b:Person>
            <b:Last>eCTD</b:Last>
          </b:Person>
        </b:NameList>
      </b:Author>
    </b:Author>
    <b:Title>Module 2, Section 2.7.2 Summary of Clinical Pharmacology Studies</b:Title>
    <b:Year>2024</b:Year>
    <b:RefOrder>6</b:RefOrder>
  </b:Source>
  <b:Source>
    <b:Tag>271</b:Tag>
    <b:SourceType>Report</b:SourceType>
    <b:Guid>{D57C7A67-8277-48F4-A350-443E3D4BBCCF}</b:Guid>
    <b:Author>
      <b:Author>
        <b:NameList>
          <b:Person>
            <b:Last>eCTD</b:Last>
          </b:Person>
        </b:NameList>
      </b:Author>
    </b:Author>
    <b:Title>Module 2, Section 2.7.1 Summary of Biopharmaceutic Studies and Associated Analytical Methods</b:Title>
    <b:Year>2024</b:Year>
    <b:RefOrder>7</b:RefOrder>
  </b:Source>
  <b:Source>
    <b:Tag>25</b:Tag>
    <b:SourceType>Report</b:SourceType>
    <b:Guid>{B7FCC45D-38F3-497A-A091-2746F538DAC3}</b:Guid>
    <b:Author>
      <b:Author>
        <b:NameList>
          <b:Person>
            <b:Last>eCTD</b:Last>
          </b:Person>
        </b:NameList>
      </b:Author>
    </b:Author>
    <b:Title>Module 2, Section 2.5 Clinical Overview</b:Title>
    <b:Year>2024</b:Year>
    <b:RefOrder>8</b:RefOrder>
  </b:Source>
  <b:Source>
    <b:Tag>24</b:Tag>
    <b:SourceType>Report</b:SourceType>
    <b:Guid>{22D58055-BAE4-4952-B022-4748CF83DC66}</b:Guid>
    <b:Title>Module 2, Section 2.4, Nonclinical Overview</b:Title>
    <b:Author>
      <b:Author>
        <b:NameList>
          <b:Person>
            <b:Last>eCTD</b:Last>
          </b:Person>
        </b:NameList>
      </b:Author>
    </b:Author>
    <b:LCID>en-AU</b:LCID>
    <b:Year>2024</b:Year>
    <b:RefOrder>9</b:RefOrder>
  </b:Source>
  <b:Source>
    <b:Tag>INAVO120</b:Tag>
    <b:SourceType>Report</b:SourceType>
    <b:Guid>{4EC33E42-1736-48A6-8756-BAFC48A6769B}</b:Guid>
    <b:Author>
      <b:Author>
        <b:NameList>
          <b:Person>
            <b:Last>eCTD</b:Last>
          </b:Person>
        </b:NameList>
      </b:Author>
    </b:Author>
    <b:Title>A Phase III, Randomized, Double-Blind, Placebo-Controlled Study Evaluating the Efficacy and Safety of Inavolisib plus Palbociclib and Fulvestrant versus...or Metastatic Breast Cancer. Report No. 1126696.</b:Title>
    <b:Year>2024</b:Year>
    <b:ThesisType>Primary Clinical Study Report - Study WO41554 (INAVO120)</b:ThesisType>
    <b:RefOrder>10</b:RefOrder>
  </b:Source>
  <b:Source>
    <b:Tag>GO39374</b:Tag>
    <b:SourceType>Report</b:SourceType>
    <b:Guid>{4483F368-013E-43C8-8E4D-74EE570BD73E}</b:Guid>
    <b:Title>A Phase I, open-label, dose-escalation study evaluating the safety, tolerability, and pharmacokinetics of GDC-0077 as a single agent in patients with locally advanced or metastatic PIK3CA-mutant solid...PIK3CA-mutant breast cancer. Report no. 1125233.</b:Title>
    <b:Year>2024</b:Year>
    <b:Author>
      <b:Author>
        <b:NameList>
          <b:Person>
            <b:Last>eCTD</b:Last>
          </b:Person>
        </b:NameList>
      </b:Author>
    </b:Author>
    <b:ThesisType>Interim Clinical Study Report - Study GO39374.</b:ThesisType>
    <b:RefOrder>11</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uB0eH/FdmDOmsti1a8VTxlo9eQ==">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gAciExZVhFdXFSMEsydjJRTTA2X20tMDZXM1JqbENITldscXY=</go:docsCustomData>
</go:gDocsCustomXmlDataStorage>
</file>

<file path=customXml/itemProps1.xml><?xml version="1.0" encoding="utf-8"?>
<ds:datastoreItem xmlns:ds="http://schemas.openxmlformats.org/officeDocument/2006/customXml" ds:itemID="{A2CE50AC-9F6E-4B33-A141-16CD3AA286A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27</Pages>
  <Words>8081</Words>
  <Characters>45741</Characters>
  <Application>Microsoft Office Word</Application>
  <DocSecurity>0</DocSecurity>
  <Lines>1270</Lines>
  <Paragraphs>868</Paragraphs>
  <ScaleCrop>false</ScaleCrop>
  <HeadingPairs>
    <vt:vector size="2" baseType="variant">
      <vt:variant>
        <vt:lpstr>Title</vt:lpstr>
      </vt:variant>
      <vt:variant>
        <vt:i4>1</vt:i4>
      </vt:variant>
    </vt:vector>
  </HeadingPairs>
  <TitlesOfParts>
    <vt:vector size="1" baseType="lpstr">
      <vt:lpstr>Attachment: Product information for ITOVEBI</vt:lpstr>
    </vt:vector>
  </TitlesOfParts>
  <Company/>
  <LinksUpToDate>false</LinksUpToDate>
  <CharactersWithSpaces>52954</CharactersWithSpaces>
  <SharedDoc>false</SharedDoc>
  <HLinks>
    <vt:vector size="12" baseType="variant">
      <vt:variant>
        <vt:i4>5898317</vt:i4>
      </vt:variant>
      <vt:variant>
        <vt:i4>6</vt:i4>
      </vt:variant>
      <vt:variant>
        <vt:i4>0</vt:i4>
      </vt:variant>
      <vt:variant>
        <vt:i4>5</vt:i4>
      </vt:variant>
      <vt:variant>
        <vt:lpwstr>http://www.tga.gov.au/reporting-problems</vt:lpwstr>
      </vt:variant>
      <vt:variant>
        <vt:lpwstr/>
      </vt:variant>
      <vt:variant>
        <vt:i4>5898317</vt:i4>
      </vt:variant>
      <vt:variant>
        <vt:i4>3</vt:i4>
      </vt:variant>
      <vt:variant>
        <vt:i4>0</vt:i4>
      </vt:variant>
      <vt:variant>
        <vt:i4>5</vt:i4>
      </vt:variant>
      <vt:variant>
        <vt:lpwstr>http://www.tga.gov.au/reporting-problems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for ITOVEBI</dc:title>
  <dc:subject>Prescription medicines</dc:subject>
  <dc:creator>Roche Products Pty Ltd</dc:creator>
  <cp:keywords/>
  <cp:lastPrinted>2024-04-11T13:11:00Z</cp:lastPrinted>
  <dcterms:created xsi:type="dcterms:W3CDTF">2025-08-12T00:51:00Z</dcterms:created>
  <dcterms:modified xsi:type="dcterms:W3CDTF">2025-08-12T01:02:00Z</dcterms:modified>
</cp:coreProperties>
</file>