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3006FE3C" w:rsidR="00F02AEC" w:rsidRPr="00215D48" w:rsidRDefault="00346EC2" w:rsidP="007452E8">
            <w:pPr>
              <w:pStyle w:val="Title"/>
            </w:pPr>
            <w:r w:rsidRPr="00346EC2">
              <w:t>Australian Public Assessment Report for</w:t>
            </w:r>
            <w:r w:rsidR="00207474">
              <w:t xml:space="preserve"> </w:t>
            </w:r>
            <w:r w:rsidR="006029C9">
              <w:t>IQIRVO</w:t>
            </w:r>
          </w:p>
        </w:tc>
      </w:tr>
      <w:tr w:rsidR="00F02AEC" w:rsidRPr="00215D48" w14:paraId="318A40A3" w14:textId="77777777" w:rsidTr="00346EC2">
        <w:trPr>
          <w:trHeight w:val="995"/>
        </w:trPr>
        <w:tc>
          <w:tcPr>
            <w:tcW w:w="8720" w:type="dxa"/>
          </w:tcPr>
          <w:p w14:paraId="1AA7C701" w14:textId="3568949D" w:rsidR="00F02AEC" w:rsidRPr="00215D48" w:rsidRDefault="00346EC2" w:rsidP="007452E8">
            <w:pPr>
              <w:pStyle w:val="Subtitle"/>
              <w:ind w:left="0"/>
            </w:pPr>
            <w:r w:rsidRPr="00346EC2">
              <w:t>Active ingredient:</w:t>
            </w:r>
            <w:r w:rsidR="00BF46DC">
              <w:t xml:space="preserve"> </w:t>
            </w:r>
            <w:bookmarkStart w:id="0" w:name="_Hlk206073406"/>
            <w:proofErr w:type="spellStart"/>
            <w:r w:rsidR="00BD2531">
              <w:t>E</w:t>
            </w:r>
            <w:r w:rsidR="00F52BAD" w:rsidRPr="00F52BAD">
              <w:t>lafibranor</w:t>
            </w:r>
            <w:bookmarkEnd w:id="0"/>
            <w:proofErr w:type="spellEnd"/>
          </w:p>
        </w:tc>
      </w:tr>
      <w:tr w:rsidR="00346EC2" w:rsidRPr="00215D48" w14:paraId="362CCAE4" w14:textId="77777777" w:rsidTr="007452E8">
        <w:trPr>
          <w:trHeight w:val="1916"/>
        </w:trPr>
        <w:tc>
          <w:tcPr>
            <w:tcW w:w="8720" w:type="dxa"/>
          </w:tcPr>
          <w:p w14:paraId="709C45C0" w14:textId="317DA9BC" w:rsidR="00346EC2" w:rsidRPr="00215D48" w:rsidRDefault="00346EC2" w:rsidP="007452E8">
            <w:pPr>
              <w:pStyle w:val="Subtitle"/>
              <w:ind w:left="0"/>
            </w:pPr>
            <w:r w:rsidRPr="00346EC2">
              <w:t>Sponsor:</w:t>
            </w:r>
            <w:r w:rsidR="00C77B19">
              <w:t xml:space="preserve"> </w:t>
            </w:r>
            <w:bookmarkStart w:id="1" w:name="_Hlk206073459"/>
            <w:r w:rsidR="00A54148" w:rsidRPr="00A54148">
              <w:t>Ipsen Pty Ltd</w:t>
            </w:r>
            <w:bookmarkEnd w:id="1"/>
          </w:p>
        </w:tc>
      </w:tr>
      <w:tr w:rsidR="00F02AEC" w:rsidRPr="00215D48" w14:paraId="37F2AA1F" w14:textId="77777777" w:rsidTr="007452E8">
        <w:tc>
          <w:tcPr>
            <w:tcW w:w="8720" w:type="dxa"/>
          </w:tcPr>
          <w:p w14:paraId="1FDE8DCD" w14:textId="62095CA0" w:rsidR="00F02AEC" w:rsidRPr="00215D48" w:rsidRDefault="00F36C69" w:rsidP="007452E8">
            <w:pPr>
              <w:pStyle w:val="Date"/>
            </w:pPr>
            <w:r>
              <w:t>J</w:t>
            </w:r>
            <w:r w:rsidR="00A54148">
              <w:t>uly</w:t>
            </w:r>
            <w:r w:rsidR="004960BD">
              <w:t xml:space="preserve"> </w:t>
            </w:r>
            <w:r>
              <w:t>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010FE2EE"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02D4CFD0" w14:textId="151CDDEE" w:rsidR="00C82F86"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06075810" w:history="1">
            <w:r w:rsidR="00C82F86" w:rsidRPr="00565415">
              <w:rPr>
                <w:rStyle w:val="Hyperlink"/>
                <w:noProof/>
              </w:rPr>
              <w:t>List of abbreviations</w:t>
            </w:r>
            <w:r w:rsidR="00C82F86">
              <w:rPr>
                <w:noProof/>
                <w:webHidden/>
              </w:rPr>
              <w:tab/>
            </w:r>
            <w:r w:rsidR="00C82F86">
              <w:rPr>
                <w:noProof/>
                <w:webHidden/>
              </w:rPr>
              <w:fldChar w:fldCharType="begin"/>
            </w:r>
            <w:r w:rsidR="00C82F86">
              <w:rPr>
                <w:noProof/>
                <w:webHidden/>
              </w:rPr>
              <w:instrText xml:space="preserve"> PAGEREF _Toc206075810 \h </w:instrText>
            </w:r>
            <w:r w:rsidR="00C82F86">
              <w:rPr>
                <w:noProof/>
                <w:webHidden/>
              </w:rPr>
            </w:r>
            <w:r w:rsidR="00C82F86">
              <w:rPr>
                <w:noProof/>
                <w:webHidden/>
              </w:rPr>
              <w:fldChar w:fldCharType="separate"/>
            </w:r>
            <w:r w:rsidR="00C82F86">
              <w:rPr>
                <w:noProof/>
                <w:webHidden/>
              </w:rPr>
              <w:t>4</w:t>
            </w:r>
            <w:r w:rsidR="00C82F86">
              <w:rPr>
                <w:noProof/>
                <w:webHidden/>
              </w:rPr>
              <w:fldChar w:fldCharType="end"/>
            </w:r>
          </w:hyperlink>
        </w:p>
        <w:p w14:paraId="393510FD" w14:textId="7090E947" w:rsidR="00C82F86" w:rsidRDefault="00C82F8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75811" w:history="1">
            <w:r w:rsidRPr="00565415">
              <w:rPr>
                <w:rStyle w:val="Hyperlink"/>
                <w:noProof/>
              </w:rPr>
              <w:t>IQIRVO (elafibranor) submission</w:t>
            </w:r>
            <w:r>
              <w:rPr>
                <w:noProof/>
                <w:webHidden/>
              </w:rPr>
              <w:tab/>
            </w:r>
            <w:r>
              <w:rPr>
                <w:noProof/>
                <w:webHidden/>
              </w:rPr>
              <w:fldChar w:fldCharType="begin"/>
            </w:r>
            <w:r>
              <w:rPr>
                <w:noProof/>
                <w:webHidden/>
              </w:rPr>
              <w:instrText xml:space="preserve"> PAGEREF _Toc206075811 \h </w:instrText>
            </w:r>
            <w:r>
              <w:rPr>
                <w:noProof/>
                <w:webHidden/>
              </w:rPr>
            </w:r>
            <w:r>
              <w:rPr>
                <w:noProof/>
                <w:webHidden/>
              </w:rPr>
              <w:fldChar w:fldCharType="separate"/>
            </w:r>
            <w:r>
              <w:rPr>
                <w:noProof/>
                <w:webHidden/>
              </w:rPr>
              <w:t>5</w:t>
            </w:r>
            <w:r>
              <w:rPr>
                <w:noProof/>
                <w:webHidden/>
              </w:rPr>
              <w:fldChar w:fldCharType="end"/>
            </w:r>
          </w:hyperlink>
        </w:p>
        <w:p w14:paraId="43D99D1E" w14:textId="281AE3BB"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12" w:history="1">
            <w:r w:rsidRPr="00565415">
              <w:rPr>
                <w:rStyle w:val="Hyperlink"/>
                <w:noProof/>
              </w:rPr>
              <w:t>Proposed indication</w:t>
            </w:r>
            <w:r>
              <w:rPr>
                <w:noProof/>
                <w:webHidden/>
              </w:rPr>
              <w:tab/>
            </w:r>
            <w:r>
              <w:rPr>
                <w:noProof/>
                <w:webHidden/>
              </w:rPr>
              <w:fldChar w:fldCharType="begin"/>
            </w:r>
            <w:r>
              <w:rPr>
                <w:noProof/>
                <w:webHidden/>
              </w:rPr>
              <w:instrText xml:space="preserve"> PAGEREF _Toc206075812 \h </w:instrText>
            </w:r>
            <w:r>
              <w:rPr>
                <w:noProof/>
                <w:webHidden/>
              </w:rPr>
            </w:r>
            <w:r>
              <w:rPr>
                <w:noProof/>
                <w:webHidden/>
              </w:rPr>
              <w:fldChar w:fldCharType="separate"/>
            </w:r>
            <w:r>
              <w:rPr>
                <w:noProof/>
                <w:webHidden/>
              </w:rPr>
              <w:t>6</w:t>
            </w:r>
            <w:r>
              <w:rPr>
                <w:noProof/>
                <w:webHidden/>
              </w:rPr>
              <w:fldChar w:fldCharType="end"/>
            </w:r>
          </w:hyperlink>
        </w:p>
        <w:p w14:paraId="0E6D6543" w14:textId="3A1F1D27"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13" w:history="1">
            <w:r w:rsidRPr="00565415">
              <w:rPr>
                <w:rStyle w:val="Hyperlink"/>
                <w:noProof/>
              </w:rPr>
              <w:t>The condition</w:t>
            </w:r>
            <w:r>
              <w:rPr>
                <w:noProof/>
                <w:webHidden/>
              </w:rPr>
              <w:tab/>
            </w:r>
            <w:r>
              <w:rPr>
                <w:noProof/>
                <w:webHidden/>
              </w:rPr>
              <w:fldChar w:fldCharType="begin"/>
            </w:r>
            <w:r>
              <w:rPr>
                <w:noProof/>
                <w:webHidden/>
              </w:rPr>
              <w:instrText xml:space="preserve"> PAGEREF _Toc206075813 \h </w:instrText>
            </w:r>
            <w:r>
              <w:rPr>
                <w:noProof/>
                <w:webHidden/>
              </w:rPr>
            </w:r>
            <w:r>
              <w:rPr>
                <w:noProof/>
                <w:webHidden/>
              </w:rPr>
              <w:fldChar w:fldCharType="separate"/>
            </w:r>
            <w:r>
              <w:rPr>
                <w:noProof/>
                <w:webHidden/>
              </w:rPr>
              <w:t>6</w:t>
            </w:r>
            <w:r>
              <w:rPr>
                <w:noProof/>
                <w:webHidden/>
              </w:rPr>
              <w:fldChar w:fldCharType="end"/>
            </w:r>
          </w:hyperlink>
        </w:p>
        <w:p w14:paraId="15D27B42" w14:textId="75A48730"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14" w:history="1">
            <w:r w:rsidRPr="00565415">
              <w:rPr>
                <w:rStyle w:val="Hyperlink"/>
                <w:noProof/>
              </w:rPr>
              <w:t>Current treatment options</w:t>
            </w:r>
            <w:r>
              <w:rPr>
                <w:noProof/>
                <w:webHidden/>
              </w:rPr>
              <w:tab/>
            </w:r>
            <w:r>
              <w:rPr>
                <w:noProof/>
                <w:webHidden/>
              </w:rPr>
              <w:fldChar w:fldCharType="begin"/>
            </w:r>
            <w:r>
              <w:rPr>
                <w:noProof/>
                <w:webHidden/>
              </w:rPr>
              <w:instrText xml:space="preserve"> PAGEREF _Toc206075814 \h </w:instrText>
            </w:r>
            <w:r>
              <w:rPr>
                <w:noProof/>
                <w:webHidden/>
              </w:rPr>
            </w:r>
            <w:r>
              <w:rPr>
                <w:noProof/>
                <w:webHidden/>
              </w:rPr>
              <w:fldChar w:fldCharType="separate"/>
            </w:r>
            <w:r>
              <w:rPr>
                <w:noProof/>
                <w:webHidden/>
              </w:rPr>
              <w:t>6</w:t>
            </w:r>
            <w:r>
              <w:rPr>
                <w:noProof/>
                <w:webHidden/>
              </w:rPr>
              <w:fldChar w:fldCharType="end"/>
            </w:r>
          </w:hyperlink>
        </w:p>
        <w:p w14:paraId="46CF4421" w14:textId="7EA2FC72"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15" w:history="1">
            <w:r w:rsidRPr="00565415">
              <w:rPr>
                <w:rStyle w:val="Hyperlink"/>
                <w:noProof/>
              </w:rPr>
              <w:t>Clinical rationale</w:t>
            </w:r>
            <w:r>
              <w:rPr>
                <w:noProof/>
                <w:webHidden/>
              </w:rPr>
              <w:tab/>
            </w:r>
            <w:r>
              <w:rPr>
                <w:noProof/>
                <w:webHidden/>
              </w:rPr>
              <w:fldChar w:fldCharType="begin"/>
            </w:r>
            <w:r>
              <w:rPr>
                <w:noProof/>
                <w:webHidden/>
              </w:rPr>
              <w:instrText xml:space="preserve"> PAGEREF _Toc206075815 \h </w:instrText>
            </w:r>
            <w:r>
              <w:rPr>
                <w:noProof/>
                <w:webHidden/>
              </w:rPr>
            </w:r>
            <w:r>
              <w:rPr>
                <w:noProof/>
                <w:webHidden/>
              </w:rPr>
              <w:fldChar w:fldCharType="separate"/>
            </w:r>
            <w:r>
              <w:rPr>
                <w:noProof/>
                <w:webHidden/>
              </w:rPr>
              <w:t>8</w:t>
            </w:r>
            <w:r>
              <w:rPr>
                <w:noProof/>
                <w:webHidden/>
              </w:rPr>
              <w:fldChar w:fldCharType="end"/>
            </w:r>
          </w:hyperlink>
        </w:p>
        <w:p w14:paraId="187585D3" w14:textId="2ECD0342"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16" w:history="1">
            <w:r w:rsidRPr="00565415">
              <w:rPr>
                <w:rStyle w:val="Hyperlink"/>
                <w:noProof/>
              </w:rPr>
              <w:t>Regulatory status</w:t>
            </w:r>
            <w:r>
              <w:rPr>
                <w:noProof/>
                <w:webHidden/>
              </w:rPr>
              <w:tab/>
            </w:r>
            <w:r>
              <w:rPr>
                <w:noProof/>
                <w:webHidden/>
              </w:rPr>
              <w:fldChar w:fldCharType="begin"/>
            </w:r>
            <w:r>
              <w:rPr>
                <w:noProof/>
                <w:webHidden/>
              </w:rPr>
              <w:instrText xml:space="preserve"> PAGEREF _Toc206075816 \h </w:instrText>
            </w:r>
            <w:r>
              <w:rPr>
                <w:noProof/>
                <w:webHidden/>
              </w:rPr>
            </w:r>
            <w:r>
              <w:rPr>
                <w:noProof/>
                <w:webHidden/>
              </w:rPr>
              <w:fldChar w:fldCharType="separate"/>
            </w:r>
            <w:r>
              <w:rPr>
                <w:noProof/>
                <w:webHidden/>
              </w:rPr>
              <w:t>8</w:t>
            </w:r>
            <w:r>
              <w:rPr>
                <w:noProof/>
                <w:webHidden/>
              </w:rPr>
              <w:fldChar w:fldCharType="end"/>
            </w:r>
          </w:hyperlink>
        </w:p>
        <w:p w14:paraId="6F9BAF57" w14:textId="2701E640"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17" w:history="1">
            <w:r w:rsidRPr="00565415">
              <w:rPr>
                <w:rStyle w:val="Hyperlink"/>
                <w:noProof/>
              </w:rPr>
              <w:t>Australian regulatory status</w:t>
            </w:r>
            <w:r>
              <w:rPr>
                <w:noProof/>
                <w:webHidden/>
              </w:rPr>
              <w:tab/>
            </w:r>
            <w:r>
              <w:rPr>
                <w:noProof/>
                <w:webHidden/>
              </w:rPr>
              <w:fldChar w:fldCharType="begin"/>
            </w:r>
            <w:r>
              <w:rPr>
                <w:noProof/>
                <w:webHidden/>
              </w:rPr>
              <w:instrText xml:space="preserve"> PAGEREF _Toc206075817 \h </w:instrText>
            </w:r>
            <w:r>
              <w:rPr>
                <w:noProof/>
                <w:webHidden/>
              </w:rPr>
            </w:r>
            <w:r>
              <w:rPr>
                <w:noProof/>
                <w:webHidden/>
              </w:rPr>
              <w:fldChar w:fldCharType="separate"/>
            </w:r>
            <w:r>
              <w:rPr>
                <w:noProof/>
                <w:webHidden/>
              </w:rPr>
              <w:t>8</w:t>
            </w:r>
            <w:r>
              <w:rPr>
                <w:noProof/>
                <w:webHidden/>
              </w:rPr>
              <w:fldChar w:fldCharType="end"/>
            </w:r>
          </w:hyperlink>
        </w:p>
        <w:p w14:paraId="42A28595" w14:textId="651B6BA0"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18" w:history="1">
            <w:r w:rsidRPr="00565415">
              <w:rPr>
                <w:rStyle w:val="Hyperlink"/>
                <w:noProof/>
              </w:rPr>
              <w:t>International regulatory status</w:t>
            </w:r>
            <w:r>
              <w:rPr>
                <w:noProof/>
                <w:webHidden/>
              </w:rPr>
              <w:tab/>
            </w:r>
            <w:r>
              <w:rPr>
                <w:noProof/>
                <w:webHidden/>
              </w:rPr>
              <w:fldChar w:fldCharType="begin"/>
            </w:r>
            <w:r>
              <w:rPr>
                <w:noProof/>
                <w:webHidden/>
              </w:rPr>
              <w:instrText xml:space="preserve"> PAGEREF _Toc206075818 \h </w:instrText>
            </w:r>
            <w:r>
              <w:rPr>
                <w:noProof/>
                <w:webHidden/>
              </w:rPr>
            </w:r>
            <w:r>
              <w:rPr>
                <w:noProof/>
                <w:webHidden/>
              </w:rPr>
              <w:fldChar w:fldCharType="separate"/>
            </w:r>
            <w:r>
              <w:rPr>
                <w:noProof/>
                <w:webHidden/>
              </w:rPr>
              <w:t>8</w:t>
            </w:r>
            <w:r>
              <w:rPr>
                <w:noProof/>
                <w:webHidden/>
              </w:rPr>
              <w:fldChar w:fldCharType="end"/>
            </w:r>
          </w:hyperlink>
        </w:p>
        <w:p w14:paraId="6FEB6B09" w14:textId="66A685AA"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19" w:history="1">
            <w:r w:rsidRPr="00565415">
              <w:rPr>
                <w:rStyle w:val="Hyperlink"/>
                <w:noProof/>
              </w:rPr>
              <w:t>Registration timeline</w:t>
            </w:r>
            <w:r>
              <w:rPr>
                <w:noProof/>
                <w:webHidden/>
              </w:rPr>
              <w:tab/>
            </w:r>
            <w:r>
              <w:rPr>
                <w:noProof/>
                <w:webHidden/>
              </w:rPr>
              <w:fldChar w:fldCharType="begin"/>
            </w:r>
            <w:r>
              <w:rPr>
                <w:noProof/>
                <w:webHidden/>
              </w:rPr>
              <w:instrText xml:space="preserve"> PAGEREF _Toc206075819 \h </w:instrText>
            </w:r>
            <w:r>
              <w:rPr>
                <w:noProof/>
                <w:webHidden/>
              </w:rPr>
            </w:r>
            <w:r>
              <w:rPr>
                <w:noProof/>
                <w:webHidden/>
              </w:rPr>
              <w:fldChar w:fldCharType="separate"/>
            </w:r>
            <w:r>
              <w:rPr>
                <w:noProof/>
                <w:webHidden/>
              </w:rPr>
              <w:t>8</w:t>
            </w:r>
            <w:r>
              <w:rPr>
                <w:noProof/>
                <w:webHidden/>
              </w:rPr>
              <w:fldChar w:fldCharType="end"/>
            </w:r>
          </w:hyperlink>
        </w:p>
        <w:p w14:paraId="3576242B" w14:textId="6FD50AC6" w:rsidR="00C82F86" w:rsidRDefault="00C82F8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75820" w:history="1">
            <w:r w:rsidRPr="00565415">
              <w:rPr>
                <w:rStyle w:val="Hyperlink"/>
                <w:noProof/>
              </w:rPr>
              <w:t>Assessment overview</w:t>
            </w:r>
            <w:r>
              <w:rPr>
                <w:noProof/>
                <w:webHidden/>
              </w:rPr>
              <w:tab/>
            </w:r>
            <w:r>
              <w:rPr>
                <w:noProof/>
                <w:webHidden/>
              </w:rPr>
              <w:fldChar w:fldCharType="begin"/>
            </w:r>
            <w:r>
              <w:rPr>
                <w:noProof/>
                <w:webHidden/>
              </w:rPr>
              <w:instrText xml:space="preserve"> PAGEREF _Toc206075820 \h </w:instrText>
            </w:r>
            <w:r>
              <w:rPr>
                <w:noProof/>
                <w:webHidden/>
              </w:rPr>
            </w:r>
            <w:r>
              <w:rPr>
                <w:noProof/>
                <w:webHidden/>
              </w:rPr>
              <w:fldChar w:fldCharType="separate"/>
            </w:r>
            <w:r>
              <w:rPr>
                <w:noProof/>
                <w:webHidden/>
              </w:rPr>
              <w:t>9</w:t>
            </w:r>
            <w:r>
              <w:rPr>
                <w:noProof/>
                <w:webHidden/>
              </w:rPr>
              <w:fldChar w:fldCharType="end"/>
            </w:r>
          </w:hyperlink>
        </w:p>
        <w:p w14:paraId="10564EAE" w14:textId="581B0A34"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21" w:history="1">
            <w:r w:rsidRPr="00565415">
              <w:rPr>
                <w:rStyle w:val="Hyperlink"/>
                <w:noProof/>
              </w:rPr>
              <w:t>Quality evaluation summary</w:t>
            </w:r>
            <w:r>
              <w:rPr>
                <w:noProof/>
                <w:webHidden/>
              </w:rPr>
              <w:tab/>
            </w:r>
            <w:r>
              <w:rPr>
                <w:noProof/>
                <w:webHidden/>
              </w:rPr>
              <w:fldChar w:fldCharType="begin"/>
            </w:r>
            <w:r>
              <w:rPr>
                <w:noProof/>
                <w:webHidden/>
              </w:rPr>
              <w:instrText xml:space="preserve"> PAGEREF _Toc206075821 \h </w:instrText>
            </w:r>
            <w:r>
              <w:rPr>
                <w:noProof/>
                <w:webHidden/>
              </w:rPr>
            </w:r>
            <w:r>
              <w:rPr>
                <w:noProof/>
                <w:webHidden/>
              </w:rPr>
              <w:fldChar w:fldCharType="separate"/>
            </w:r>
            <w:r>
              <w:rPr>
                <w:noProof/>
                <w:webHidden/>
              </w:rPr>
              <w:t>9</w:t>
            </w:r>
            <w:r>
              <w:rPr>
                <w:noProof/>
                <w:webHidden/>
              </w:rPr>
              <w:fldChar w:fldCharType="end"/>
            </w:r>
          </w:hyperlink>
        </w:p>
        <w:p w14:paraId="5A152082" w14:textId="1D215426"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22" w:history="1">
            <w:r w:rsidRPr="00565415">
              <w:rPr>
                <w:rStyle w:val="Hyperlink"/>
                <w:noProof/>
              </w:rPr>
              <w:t>Nonclinical evaluation summary</w:t>
            </w:r>
            <w:r>
              <w:rPr>
                <w:noProof/>
                <w:webHidden/>
              </w:rPr>
              <w:tab/>
            </w:r>
            <w:r>
              <w:rPr>
                <w:noProof/>
                <w:webHidden/>
              </w:rPr>
              <w:fldChar w:fldCharType="begin"/>
            </w:r>
            <w:r>
              <w:rPr>
                <w:noProof/>
                <w:webHidden/>
              </w:rPr>
              <w:instrText xml:space="preserve"> PAGEREF _Toc206075822 \h </w:instrText>
            </w:r>
            <w:r>
              <w:rPr>
                <w:noProof/>
                <w:webHidden/>
              </w:rPr>
            </w:r>
            <w:r>
              <w:rPr>
                <w:noProof/>
                <w:webHidden/>
              </w:rPr>
              <w:fldChar w:fldCharType="separate"/>
            </w:r>
            <w:r>
              <w:rPr>
                <w:noProof/>
                <w:webHidden/>
              </w:rPr>
              <w:t>10</w:t>
            </w:r>
            <w:r>
              <w:rPr>
                <w:noProof/>
                <w:webHidden/>
              </w:rPr>
              <w:fldChar w:fldCharType="end"/>
            </w:r>
          </w:hyperlink>
        </w:p>
        <w:p w14:paraId="778CF703" w14:textId="54BF00A0"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23" w:history="1">
            <w:r w:rsidRPr="00565415">
              <w:rPr>
                <w:rStyle w:val="Hyperlink"/>
                <w:noProof/>
              </w:rPr>
              <w:t>Clinical evaluation summary</w:t>
            </w:r>
            <w:r>
              <w:rPr>
                <w:noProof/>
                <w:webHidden/>
              </w:rPr>
              <w:tab/>
            </w:r>
            <w:r>
              <w:rPr>
                <w:noProof/>
                <w:webHidden/>
              </w:rPr>
              <w:fldChar w:fldCharType="begin"/>
            </w:r>
            <w:r>
              <w:rPr>
                <w:noProof/>
                <w:webHidden/>
              </w:rPr>
              <w:instrText xml:space="preserve"> PAGEREF _Toc206075823 \h </w:instrText>
            </w:r>
            <w:r>
              <w:rPr>
                <w:noProof/>
                <w:webHidden/>
              </w:rPr>
            </w:r>
            <w:r>
              <w:rPr>
                <w:noProof/>
                <w:webHidden/>
              </w:rPr>
              <w:fldChar w:fldCharType="separate"/>
            </w:r>
            <w:r>
              <w:rPr>
                <w:noProof/>
                <w:webHidden/>
              </w:rPr>
              <w:t>11</w:t>
            </w:r>
            <w:r>
              <w:rPr>
                <w:noProof/>
                <w:webHidden/>
              </w:rPr>
              <w:fldChar w:fldCharType="end"/>
            </w:r>
          </w:hyperlink>
        </w:p>
        <w:p w14:paraId="75ED1B7B" w14:textId="7D3D0C7E"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24" w:history="1">
            <w:r w:rsidRPr="00565415">
              <w:rPr>
                <w:rStyle w:val="Hyperlink"/>
                <w:noProof/>
              </w:rPr>
              <w:t>Summary of clinical studies</w:t>
            </w:r>
            <w:r>
              <w:rPr>
                <w:noProof/>
                <w:webHidden/>
              </w:rPr>
              <w:tab/>
            </w:r>
            <w:r>
              <w:rPr>
                <w:noProof/>
                <w:webHidden/>
              </w:rPr>
              <w:fldChar w:fldCharType="begin"/>
            </w:r>
            <w:r>
              <w:rPr>
                <w:noProof/>
                <w:webHidden/>
              </w:rPr>
              <w:instrText xml:space="preserve"> PAGEREF _Toc206075824 \h </w:instrText>
            </w:r>
            <w:r>
              <w:rPr>
                <w:noProof/>
                <w:webHidden/>
              </w:rPr>
            </w:r>
            <w:r>
              <w:rPr>
                <w:noProof/>
                <w:webHidden/>
              </w:rPr>
              <w:fldChar w:fldCharType="separate"/>
            </w:r>
            <w:r>
              <w:rPr>
                <w:noProof/>
                <w:webHidden/>
              </w:rPr>
              <w:t>11</w:t>
            </w:r>
            <w:r>
              <w:rPr>
                <w:noProof/>
                <w:webHidden/>
              </w:rPr>
              <w:fldChar w:fldCharType="end"/>
            </w:r>
          </w:hyperlink>
        </w:p>
        <w:p w14:paraId="24444561" w14:textId="0AACE05E"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25" w:history="1">
            <w:r w:rsidRPr="00565415">
              <w:rPr>
                <w:rStyle w:val="Hyperlink"/>
                <w:noProof/>
              </w:rPr>
              <w:t>Pharmacology</w:t>
            </w:r>
            <w:r>
              <w:rPr>
                <w:noProof/>
                <w:webHidden/>
              </w:rPr>
              <w:tab/>
            </w:r>
            <w:r>
              <w:rPr>
                <w:noProof/>
                <w:webHidden/>
              </w:rPr>
              <w:fldChar w:fldCharType="begin"/>
            </w:r>
            <w:r>
              <w:rPr>
                <w:noProof/>
                <w:webHidden/>
              </w:rPr>
              <w:instrText xml:space="preserve"> PAGEREF _Toc206075825 \h </w:instrText>
            </w:r>
            <w:r>
              <w:rPr>
                <w:noProof/>
                <w:webHidden/>
              </w:rPr>
            </w:r>
            <w:r>
              <w:rPr>
                <w:noProof/>
                <w:webHidden/>
              </w:rPr>
              <w:fldChar w:fldCharType="separate"/>
            </w:r>
            <w:r>
              <w:rPr>
                <w:noProof/>
                <w:webHidden/>
              </w:rPr>
              <w:t>11</w:t>
            </w:r>
            <w:r>
              <w:rPr>
                <w:noProof/>
                <w:webHidden/>
              </w:rPr>
              <w:fldChar w:fldCharType="end"/>
            </w:r>
          </w:hyperlink>
        </w:p>
        <w:p w14:paraId="6A267247" w14:textId="12C8BA2B"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26" w:history="1">
            <w:r w:rsidRPr="00565415">
              <w:rPr>
                <w:rStyle w:val="Hyperlink"/>
                <w:noProof/>
              </w:rPr>
              <w:t>Safety</w:t>
            </w:r>
            <w:r>
              <w:rPr>
                <w:noProof/>
                <w:webHidden/>
              </w:rPr>
              <w:tab/>
            </w:r>
            <w:r>
              <w:rPr>
                <w:noProof/>
                <w:webHidden/>
              </w:rPr>
              <w:fldChar w:fldCharType="begin"/>
            </w:r>
            <w:r>
              <w:rPr>
                <w:noProof/>
                <w:webHidden/>
              </w:rPr>
              <w:instrText xml:space="preserve"> PAGEREF _Toc206075826 \h </w:instrText>
            </w:r>
            <w:r>
              <w:rPr>
                <w:noProof/>
                <w:webHidden/>
              </w:rPr>
            </w:r>
            <w:r>
              <w:rPr>
                <w:noProof/>
                <w:webHidden/>
              </w:rPr>
              <w:fldChar w:fldCharType="separate"/>
            </w:r>
            <w:r>
              <w:rPr>
                <w:noProof/>
                <w:webHidden/>
              </w:rPr>
              <w:t>19</w:t>
            </w:r>
            <w:r>
              <w:rPr>
                <w:noProof/>
                <w:webHidden/>
              </w:rPr>
              <w:fldChar w:fldCharType="end"/>
            </w:r>
          </w:hyperlink>
        </w:p>
        <w:p w14:paraId="5FFAF80A" w14:textId="0085DF37"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27" w:history="1">
            <w:r w:rsidRPr="00565415">
              <w:rPr>
                <w:rStyle w:val="Hyperlink"/>
                <w:noProof/>
                <w:lang w:eastAsia="en-AU"/>
              </w:rPr>
              <w:t xml:space="preserve">Risk management plan evaluation </w:t>
            </w:r>
            <w:r w:rsidRPr="00565415">
              <w:rPr>
                <w:rStyle w:val="Hyperlink"/>
                <w:noProof/>
              </w:rPr>
              <w:t>summary</w:t>
            </w:r>
            <w:r>
              <w:rPr>
                <w:noProof/>
                <w:webHidden/>
              </w:rPr>
              <w:tab/>
            </w:r>
            <w:r>
              <w:rPr>
                <w:noProof/>
                <w:webHidden/>
              </w:rPr>
              <w:fldChar w:fldCharType="begin"/>
            </w:r>
            <w:r>
              <w:rPr>
                <w:noProof/>
                <w:webHidden/>
              </w:rPr>
              <w:instrText xml:space="preserve"> PAGEREF _Toc206075827 \h </w:instrText>
            </w:r>
            <w:r>
              <w:rPr>
                <w:noProof/>
                <w:webHidden/>
              </w:rPr>
            </w:r>
            <w:r>
              <w:rPr>
                <w:noProof/>
                <w:webHidden/>
              </w:rPr>
              <w:fldChar w:fldCharType="separate"/>
            </w:r>
            <w:r>
              <w:rPr>
                <w:noProof/>
                <w:webHidden/>
              </w:rPr>
              <w:t>21</w:t>
            </w:r>
            <w:r>
              <w:rPr>
                <w:noProof/>
                <w:webHidden/>
              </w:rPr>
              <w:fldChar w:fldCharType="end"/>
            </w:r>
          </w:hyperlink>
        </w:p>
        <w:p w14:paraId="3A0A8734" w14:textId="2AC3BAC2"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28" w:history="1">
            <w:r w:rsidRPr="00565415">
              <w:rPr>
                <w:rStyle w:val="Hyperlink"/>
                <w:noProof/>
              </w:rPr>
              <w:t>Risk-benefit analysis</w:t>
            </w:r>
            <w:r>
              <w:rPr>
                <w:noProof/>
                <w:webHidden/>
              </w:rPr>
              <w:tab/>
            </w:r>
            <w:r>
              <w:rPr>
                <w:noProof/>
                <w:webHidden/>
              </w:rPr>
              <w:fldChar w:fldCharType="begin"/>
            </w:r>
            <w:r>
              <w:rPr>
                <w:noProof/>
                <w:webHidden/>
              </w:rPr>
              <w:instrText xml:space="preserve"> PAGEREF _Toc206075828 \h </w:instrText>
            </w:r>
            <w:r>
              <w:rPr>
                <w:noProof/>
                <w:webHidden/>
              </w:rPr>
            </w:r>
            <w:r>
              <w:rPr>
                <w:noProof/>
                <w:webHidden/>
              </w:rPr>
              <w:fldChar w:fldCharType="separate"/>
            </w:r>
            <w:r>
              <w:rPr>
                <w:noProof/>
                <w:webHidden/>
              </w:rPr>
              <w:t>21</w:t>
            </w:r>
            <w:r>
              <w:rPr>
                <w:noProof/>
                <w:webHidden/>
              </w:rPr>
              <w:fldChar w:fldCharType="end"/>
            </w:r>
          </w:hyperlink>
        </w:p>
        <w:p w14:paraId="40F19B20" w14:textId="0C84693A"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29" w:history="1">
            <w:r w:rsidRPr="00565415">
              <w:rPr>
                <w:rStyle w:val="Hyperlink"/>
                <w:noProof/>
              </w:rPr>
              <w:t>Indication</w:t>
            </w:r>
            <w:r>
              <w:rPr>
                <w:noProof/>
                <w:webHidden/>
              </w:rPr>
              <w:tab/>
            </w:r>
            <w:r>
              <w:rPr>
                <w:noProof/>
                <w:webHidden/>
              </w:rPr>
              <w:fldChar w:fldCharType="begin"/>
            </w:r>
            <w:r>
              <w:rPr>
                <w:noProof/>
                <w:webHidden/>
              </w:rPr>
              <w:instrText xml:space="preserve"> PAGEREF _Toc206075829 \h </w:instrText>
            </w:r>
            <w:r>
              <w:rPr>
                <w:noProof/>
                <w:webHidden/>
              </w:rPr>
            </w:r>
            <w:r>
              <w:rPr>
                <w:noProof/>
                <w:webHidden/>
              </w:rPr>
              <w:fldChar w:fldCharType="separate"/>
            </w:r>
            <w:r>
              <w:rPr>
                <w:noProof/>
                <w:webHidden/>
              </w:rPr>
              <w:t>21</w:t>
            </w:r>
            <w:r>
              <w:rPr>
                <w:noProof/>
                <w:webHidden/>
              </w:rPr>
              <w:fldChar w:fldCharType="end"/>
            </w:r>
          </w:hyperlink>
        </w:p>
        <w:p w14:paraId="0FD8EE2C" w14:textId="0AD48620"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30" w:history="1">
            <w:r w:rsidRPr="00565415">
              <w:rPr>
                <w:rStyle w:val="Hyperlink"/>
                <w:noProof/>
              </w:rPr>
              <w:t>Efficacy</w:t>
            </w:r>
            <w:r>
              <w:rPr>
                <w:noProof/>
                <w:webHidden/>
              </w:rPr>
              <w:tab/>
            </w:r>
            <w:r>
              <w:rPr>
                <w:noProof/>
                <w:webHidden/>
              </w:rPr>
              <w:fldChar w:fldCharType="begin"/>
            </w:r>
            <w:r>
              <w:rPr>
                <w:noProof/>
                <w:webHidden/>
              </w:rPr>
              <w:instrText xml:space="preserve"> PAGEREF _Toc206075830 \h </w:instrText>
            </w:r>
            <w:r>
              <w:rPr>
                <w:noProof/>
                <w:webHidden/>
              </w:rPr>
            </w:r>
            <w:r>
              <w:rPr>
                <w:noProof/>
                <w:webHidden/>
              </w:rPr>
              <w:fldChar w:fldCharType="separate"/>
            </w:r>
            <w:r>
              <w:rPr>
                <w:noProof/>
                <w:webHidden/>
              </w:rPr>
              <w:t>22</w:t>
            </w:r>
            <w:r>
              <w:rPr>
                <w:noProof/>
                <w:webHidden/>
              </w:rPr>
              <w:fldChar w:fldCharType="end"/>
            </w:r>
          </w:hyperlink>
        </w:p>
        <w:p w14:paraId="1035D5C5" w14:textId="6CCE9C12"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31" w:history="1">
            <w:r w:rsidRPr="00565415">
              <w:rPr>
                <w:rStyle w:val="Hyperlink"/>
                <w:noProof/>
              </w:rPr>
              <w:t>Safety</w:t>
            </w:r>
            <w:r>
              <w:rPr>
                <w:noProof/>
                <w:webHidden/>
              </w:rPr>
              <w:tab/>
            </w:r>
            <w:r>
              <w:rPr>
                <w:noProof/>
                <w:webHidden/>
              </w:rPr>
              <w:fldChar w:fldCharType="begin"/>
            </w:r>
            <w:r>
              <w:rPr>
                <w:noProof/>
                <w:webHidden/>
              </w:rPr>
              <w:instrText xml:space="preserve"> PAGEREF _Toc206075831 \h </w:instrText>
            </w:r>
            <w:r>
              <w:rPr>
                <w:noProof/>
                <w:webHidden/>
              </w:rPr>
            </w:r>
            <w:r>
              <w:rPr>
                <w:noProof/>
                <w:webHidden/>
              </w:rPr>
              <w:fldChar w:fldCharType="separate"/>
            </w:r>
            <w:r>
              <w:rPr>
                <w:noProof/>
                <w:webHidden/>
              </w:rPr>
              <w:t>22</w:t>
            </w:r>
            <w:r>
              <w:rPr>
                <w:noProof/>
                <w:webHidden/>
              </w:rPr>
              <w:fldChar w:fldCharType="end"/>
            </w:r>
          </w:hyperlink>
        </w:p>
        <w:p w14:paraId="7C569A7D" w14:textId="1BDEFC8A"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32" w:history="1">
            <w:r w:rsidRPr="00565415">
              <w:rPr>
                <w:rStyle w:val="Hyperlink"/>
                <w:noProof/>
              </w:rPr>
              <w:t>Proposed conditions of registration</w:t>
            </w:r>
            <w:r>
              <w:rPr>
                <w:noProof/>
                <w:webHidden/>
              </w:rPr>
              <w:tab/>
            </w:r>
            <w:r>
              <w:rPr>
                <w:noProof/>
                <w:webHidden/>
              </w:rPr>
              <w:fldChar w:fldCharType="begin"/>
            </w:r>
            <w:r>
              <w:rPr>
                <w:noProof/>
                <w:webHidden/>
              </w:rPr>
              <w:instrText xml:space="preserve"> PAGEREF _Toc206075832 \h </w:instrText>
            </w:r>
            <w:r>
              <w:rPr>
                <w:noProof/>
                <w:webHidden/>
              </w:rPr>
            </w:r>
            <w:r>
              <w:rPr>
                <w:noProof/>
                <w:webHidden/>
              </w:rPr>
              <w:fldChar w:fldCharType="separate"/>
            </w:r>
            <w:r>
              <w:rPr>
                <w:noProof/>
                <w:webHidden/>
              </w:rPr>
              <w:t>22</w:t>
            </w:r>
            <w:r>
              <w:rPr>
                <w:noProof/>
                <w:webHidden/>
              </w:rPr>
              <w:fldChar w:fldCharType="end"/>
            </w:r>
          </w:hyperlink>
        </w:p>
        <w:p w14:paraId="2171A8E5" w14:textId="731D5092"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33" w:history="1">
            <w:r w:rsidRPr="00565415">
              <w:rPr>
                <w:rStyle w:val="Hyperlink"/>
                <w:noProof/>
              </w:rPr>
              <w:t>Conclusions</w:t>
            </w:r>
            <w:r>
              <w:rPr>
                <w:noProof/>
                <w:webHidden/>
              </w:rPr>
              <w:tab/>
            </w:r>
            <w:r>
              <w:rPr>
                <w:noProof/>
                <w:webHidden/>
              </w:rPr>
              <w:fldChar w:fldCharType="begin"/>
            </w:r>
            <w:r>
              <w:rPr>
                <w:noProof/>
                <w:webHidden/>
              </w:rPr>
              <w:instrText xml:space="preserve"> PAGEREF _Toc206075833 \h </w:instrText>
            </w:r>
            <w:r>
              <w:rPr>
                <w:noProof/>
                <w:webHidden/>
              </w:rPr>
            </w:r>
            <w:r>
              <w:rPr>
                <w:noProof/>
                <w:webHidden/>
              </w:rPr>
              <w:fldChar w:fldCharType="separate"/>
            </w:r>
            <w:r>
              <w:rPr>
                <w:noProof/>
                <w:webHidden/>
              </w:rPr>
              <w:t>22</w:t>
            </w:r>
            <w:r>
              <w:rPr>
                <w:noProof/>
                <w:webHidden/>
              </w:rPr>
              <w:fldChar w:fldCharType="end"/>
            </w:r>
          </w:hyperlink>
        </w:p>
        <w:p w14:paraId="206919DB" w14:textId="58CE999E" w:rsidR="00C82F86" w:rsidRDefault="00C82F8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75834" w:history="1">
            <w:r w:rsidRPr="00565415">
              <w:rPr>
                <w:rStyle w:val="Hyperlink"/>
                <w:noProof/>
              </w:rPr>
              <w:t>Advisory Committee considerations</w:t>
            </w:r>
            <w:r>
              <w:rPr>
                <w:noProof/>
                <w:webHidden/>
              </w:rPr>
              <w:tab/>
            </w:r>
            <w:r>
              <w:rPr>
                <w:noProof/>
                <w:webHidden/>
              </w:rPr>
              <w:fldChar w:fldCharType="begin"/>
            </w:r>
            <w:r>
              <w:rPr>
                <w:noProof/>
                <w:webHidden/>
              </w:rPr>
              <w:instrText xml:space="preserve"> PAGEREF _Toc206075834 \h </w:instrText>
            </w:r>
            <w:r>
              <w:rPr>
                <w:noProof/>
                <w:webHidden/>
              </w:rPr>
            </w:r>
            <w:r>
              <w:rPr>
                <w:noProof/>
                <w:webHidden/>
              </w:rPr>
              <w:fldChar w:fldCharType="separate"/>
            </w:r>
            <w:r>
              <w:rPr>
                <w:noProof/>
                <w:webHidden/>
              </w:rPr>
              <w:t>23</w:t>
            </w:r>
            <w:r>
              <w:rPr>
                <w:noProof/>
                <w:webHidden/>
              </w:rPr>
              <w:fldChar w:fldCharType="end"/>
            </w:r>
          </w:hyperlink>
        </w:p>
        <w:p w14:paraId="7B11B707" w14:textId="4F30980F" w:rsidR="00C82F86" w:rsidRDefault="00C82F8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75835" w:history="1">
            <w:r w:rsidRPr="00565415">
              <w:rPr>
                <w:rStyle w:val="Hyperlink"/>
                <w:noProof/>
              </w:rPr>
              <w:t>Assessment outcome</w:t>
            </w:r>
            <w:r>
              <w:rPr>
                <w:noProof/>
                <w:webHidden/>
              </w:rPr>
              <w:tab/>
            </w:r>
            <w:r>
              <w:rPr>
                <w:noProof/>
                <w:webHidden/>
              </w:rPr>
              <w:fldChar w:fldCharType="begin"/>
            </w:r>
            <w:r>
              <w:rPr>
                <w:noProof/>
                <w:webHidden/>
              </w:rPr>
              <w:instrText xml:space="preserve"> PAGEREF _Toc206075835 \h </w:instrText>
            </w:r>
            <w:r>
              <w:rPr>
                <w:noProof/>
                <w:webHidden/>
              </w:rPr>
            </w:r>
            <w:r>
              <w:rPr>
                <w:noProof/>
                <w:webHidden/>
              </w:rPr>
              <w:fldChar w:fldCharType="separate"/>
            </w:r>
            <w:r>
              <w:rPr>
                <w:noProof/>
                <w:webHidden/>
              </w:rPr>
              <w:t>24</w:t>
            </w:r>
            <w:r>
              <w:rPr>
                <w:noProof/>
                <w:webHidden/>
              </w:rPr>
              <w:fldChar w:fldCharType="end"/>
            </w:r>
          </w:hyperlink>
        </w:p>
        <w:p w14:paraId="71A78AE4" w14:textId="2455A24A" w:rsidR="00C82F86" w:rsidRDefault="00C82F8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75836" w:history="1">
            <w:r w:rsidRPr="00565415">
              <w:rPr>
                <w:rStyle w:val="Hyperlink"/>
                <w:noProof/>
              </w:rPr>
              <w:t>Specific conditions of registration</w:t>
            </w:r>
            <w:r>
              <w:rPr>
                <w:noProof/>
                <w:webHidden/>
              </w:rPr>
              <w:tab/>
            </w:r>
            <w:r>
              <w:rPr>
                <w:noProof/>
                <w:webHidden/>
              </w:rPr>
              <w:fldChar w:fldCharType="begin"/>
            </w:r>
            <w:r>
              <w:rPr>
                <w:noProof/>
                <w:webHidden/>
              </w:rPr>
              <w:instrText xml:space="preserve"> PAGEREF _Toc206075836 \h </w:instrText>
            </w:r>
            <w:r>
              <w:rPr>
                <w:noProof/>
                <w:webHidden/>
              </w:rPr>
            </w:r>
            <w:r>
              <w:rPr>
                <w:noProof/>
                <w:webHidden/>
              </w:rPr>
              <w:fldChar w:fldCharType="separate"/>
            </w:r>
            <w:r>
              <w:rPr>
                <w:noProof/>
                <w:webHidden/>
              </w:rPr>
              <w:t>24</w:t>
            </w:r>
            <w:r>
              <w:rPr>
                <w:noProof/>
                <w:webHidden/>
              </w:rPr>
              <w:fldChar w:fldCharType="end"/>
            </w:r>
          </w:hyperlink>
        </w:p>
        <w:p w14:paraId="438836B4" w14:textId="18775043" w:rsidR="00C82F86" w:rsidRDefault="00C82F8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75837" w:history="1">
            <w:r w:rsidRPr="00565415">
              <w:rPr>
                <w:rStyle w:val="Hyperlink"/>
                <w:noProof/>
              </w:rPr>
              <w:t>Product Information and Consumer Medicines Information</w:t>
            </w:r>
            <w:r>
              <w:rPr>
                <w:noProof/>
                <w:webHidden/>
              </w:rPr>
              <w:tab/>
            </w:r>
            <w:r>
              <w:rPr>
                <w:noProof/>
                <w:webHidden/>
              </w:rPr>
              <w:fldChar w:fldCharType="begin"/>
            </w:r>
            <w:r>
              <w:rPr>
                <w:noProof/>
                <w:webHidden/>
              </w:rPr>
              <w:instrText xml:space="preserve"> PAGEREF _Toc206075837 \h </w:instrText>
            </w:r>
            <w:r>
              <w:rPr>
                <w:noProof/>
                <w:webHidden/>
              </w:rPr>
            </w:r>
            <w:r>
              <w:rPr>
                <w:noProof/>
                <w:webHidden/>
              </w:rPr>
              <w:fldChar w:fldCharType="separate"/>
            </w:r>
            <w:r>
              <w:rPr>
                <w:noProof/>
                <w:webHidden/>
              </w:rPr>
              <w:t>25</w:t>
            </w:r>
            <w:r>
              <w:rPr>
                <w:noProof/>
                <w:webHidden/>
              </w:rPr>
              <w:fldChar w:fldCharType="end"/>
            </w:r>
          </w:hyperlink>
        </w:p>
        <w:p w14:paraId="77659F2D" w14:textId="5BA76431" w:rsidR="00F02AEC" w:rsidRPr="00215D48" w:rsidRDefault="00F02AEC" w:rsidP="007452E8">
          <w:r w:rsidRPr="00215D48">
            <w:fldChar w:fldCharType="end"/>
          </w:r>
        </w:p>
      </w:sdtContent>
    </w:sdt>
    <w:p w14:paraId="10987AE2" w14:textId="77777777" w:rsidR="00F02AEC" w:rsidRPr="00215D48" w:rsidRDefault="00F02AEC" w:rsidP="000111F4">
      <w:r w:rsidRPr="00215D48">
        <w:br w:type="page"/>
      </w:r>
    </w:p>
    <w:p w14:paraId="1E73AB93" w14:textId="77777777" w:rsidR="00324B33" w:rsidRDefault="00324B33" w:rsidP="000111F4">
      <w:pPr>
        <w:pStyle w:val="Heading2"/>
      </w:pPr>
      <w:bookmarkStart w:id="2" w:name="_Toc98931917"/>
      <w:bookmarkStart w:id="3" w:name="_Toc103679287"/>
      <w:bookmarkStart w:id="4" w:name="_Toc323739589"/>
      <w:bookmarkStart w:id="5" w:name="_Toc356305216"/>
      <w:bookmarkStart w:id="6" w:name="_Toc206075810"/>
      <w:r>
        <w:lastRenderedPageBreak/>
        <w:t>List of abbreviations</w:t>
      </w:r>
      <w:bookmarkEnd w:id="2"/>
      <w:bookmarkEnd w:id="3"/>
      <w:bookmarkEnd w:id="6"/>
    </w:p>
    <w:tbl>
      <w:tblPr>
        <w:tblStyle w:val="TableTGAblue2023"/>
        <w:tblW w:w="5000" w:type="pct"/>
        <w:tblLook w:val="04A0" w:firstRow="1" w:lastRow="0" w:firstColumn="1" w:lastColumn="0" w:noHBand="0" w:noVBand="1"/>
      </w:tblPr>
      <w:tblGrid>
        <w:gridCol w:w="2174"/>
        <w:gridCol w:w="6886"/>
      </w:tblGrid>
      <w:tr w:rsidR="007B336C" w:rsidRPr="006E740F" w14:paraId="7570971A" w14:textId="77777777" w:rsidTr="00671A11">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7C5862F9" w14:textId="77777777" w:rsidR="007B336C" w:rsidRPr="006E740F" w:rsidRDefault="007B336C" w:rsidP="00671A11">
            <w:pPr>
              <w:rPr>
                <w:szCs w:val="22"/>
              </w:rPr>
            </w:pPr>
            <w:r w:rsidRPr="006E740F">
              <w:rPr>
                <w:szCs w:val="22"/>
              </w:rPr>
              <w:t>Abbreviation</w:t>
            </w:r>
          </w:p>
        </w:tc>
        <w:tc>
          <w:tcPr>
            <w:tcW w:w="3800" w:type="pct"/>
          </w:tcPr>
          <w:p w14:paraId="65D9F3F3" w14:textId="77777777" w:rsidR="007B336C" w:rsidRPr="006E740F" w:rsidRDefault="007B336C" w:rsidP="00671A11">
            <w:pPr>
              <w:cnfStyle w:val="100000000000" w:firstRow="1" w:lastRow="0" w:firstColumn="0" w:lastColumn="0" w:oddVBand="0" w:evenVBand="0" w:oddHBand="0" w:evenHBand="0" w:firstRowFirstColumn="0" w:firstRowLastColumn="0" w:lastRowFirstColumn="0" w:lastRowLastColumn="0"/>
              <w:rPr>
                <w:szCs w:val="22"/>
              </w:rPr>
            </w:pPr>
            <w:r w:rsidRPr="006E740F">
              <w:rPr>
                <w:szCs w:val="22"/>
              </w:rPr>
              <w:t>Meaning</w:t>
            </w:r>
          </w:p>
        </w:tc>
      </w:tr>
      <w:tr w:rsidR="007B336C" w:rsidRPr="006E740F" w14:paraId="2F814372"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61BAE0" w14:textId="77777777" w:rsidR="007B336C" w:rsidRPr="006E740F" w:rsidRDefault="007B336C" w:rsidP="00671A11">
            <w:pPr>
              <w:rPr>
                <w:szCs w:val="22"/>
              </w:rPr>
            </w:pPr>
            <w:r w:rsidRPr="006E740F">
              <w:rPr>
                <w:szCs w:val="22"/>
              </w:rPr>
              <w:t>ACM</w:t>
            </w:r>
          </w:p>
        </w:tc>
        <w:tc>
          <w:tcPr>
            <w:tcW w:w="3800" w:type="pct"/>
          </w:tcPr>
          <w:p w14:paraId="6F4B1C15"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Advisory Committee on Medicines</w:t>
            </w:r>
          </w:p>
        </w:tc>
      </w:tr>
      <w:tr w:rsidR="007B336C" w:rsidRPr="006E740F" w14:paraId="2F3B7FB9"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D0542F6" w14:textId="77777777" w:rsidR="007B336C" w:rsidRPr="006E740F" w:rsidRDefault="007B336C" w:rsidP="00671A11">
            <w:pPr>
              <w:rPr>
                <w:szCs w:val="22"/>
              </w:rPr>
            </w:pPr>
            <w:r w:rsidRPr="006E740F">
              <w:rPr>
                <w:szCs w:val="22"/>
              </w:rPr>
              <w:t>ALP</w:t>
            </w:r>
          </w:p>
        </w:tc>
        <w:tc>
          <w:tcPr>
            <w:tcW w:w="3800" w:type="pct"/>
          </w:tcPr>
          <w:p w14:paraId="1DE682FA"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alkaline phosphatase</w:t>
            </w:r>
          </w:p>
        </w:tc>
      </w:tr>
      <w:tr w:rsidR="007B336C" w:rsidRPr="006E740F" w14:paraId="1A703B4D"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89F99F3" w14:textId="77777777" w:rsidR="007B336C" w:rsidRPr="006E740F" w:rsidRDefault="007B336C" w:rsidP="00671A11">
            <w:pPr>
              <w:rPr>
                <w:szCs w:val="22"/>
              </w:rPr>
            </w:pPr>
            <w:r w:rsidRPr="006E740F">
              <w:rPr>
                <w:szCs w:val="22"/>
              </w:rPr>
              <w:t>AMA</w:t>
            </w:r>
          </w:p>
        </w:tc>
        <w:tc>
          <w:tcPr>
            <w:tcW w:w="3800" w:type="pct"/>
          </w:tcPr>
          <w:p w14:paraId="3DE1CC87"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anti-mitochondrial antibodies</w:t>
            </w:r>
          </w:p>
        </w:tc>
      </w:tr>
      <w:tr w:rsidR="007B336C" w:rsidRPr="006E740F" w14:paraId="2D444C33"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E9FADCC" w14:textId="77777777" w:rsidR="007B336C" w:rsidRPr="006E740F" w:rsidRDefault="007B336C" w:rsidP="00671A11">
            <w:pPr>
              <w:rPr>
                <w:szCs w:val="22"/>
              </w:rPr>
            </w:pPr>
            <w:r w:rsidRPr="006E740F">
              <w:rPr>
                <w:szCs w:val="22"/>
              </w:rPr>
              <w:t>ARTG</w:t>
            </w:r>
          </w:p>
        </w:tc>
        <w:tc>
          <w:tcPr>
            <w:tcW w:w="3800" w:type="pct"/>
          </w:tcPr>
          <w:p w14:paraId="2EDB471F"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Australian Register of Therapeutic Goods</w:t>
            </w:r>
          </w:p>
        </w:tc>
      </w:tr>
      <w:tr w:rsidR="007B336C" w:rsidRPr="006E740F" w14:paraId="3A2DC3C9"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02C157F" w14:textId="77777777" w:rsidR="007B336C" w:rsidRPr="006E740F" w:rsidRDefault="007B336C" w:rsidP="00671A11">
            <w:pPr>
              <w:rPr>
                <w:szCs w:val="22"/>
              </w:rPr>
            </w:pPr>
            <w:r w:rsidRPr="006E740F">
              <w:rPr>
                <w:szCs w:val="22"/>
              </w:rPr>
              <w:t>AUC</w:t>
            </w:r>
            <w:r w:rsidRPr="006E740F">
              <w:rPr>
                <w:szCs w:val="22"/>
                <w:vertAlign w:val="subscript"/>
              </w:rPr>
              <w:t>0-24</w:t>
            </w:r>
          </w:p>
        </w:tc>
        <w:tc>
          <w:tcPr>
            <w:tcW w:w="3800" w:type="pct"/>
          </w:tcPr>
          <w:p w14:paraId="2641823A"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area under the plasma concentration-time curve over 24 hours</w:t>
            </w:r>
          </w:p>
        </w:tc>
      </w:tr>
      <w:tr w:rsidR="007B336C" w:rsidRPr="006E740F" w14:paraId="417A691C"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8BCD243" w14:textId="77777777" w:rsidR="007B336C" w:rsidRPr="006E740F" w:rsidRDefault="007B336C" w:rsidP="00671A11">
            <w:pPr>
              <w:rPr>
                <w:szCs w:val="22"/>
              </w:rPr>
            </w:pPr>
            <w:proofErr w:type="spellStart"/>
            <w:r w:rsidRPr="006E740F">
              <w:rPr>
                <w:szCs w:val="22"/>
              </w:rPr>
              <w:t>C</w:t>
            </w:r>
            <w:r w:rsidRPr="006E740F">
              <w:rPr>
                <w:szCs w:val="22"/>
                <w:vertAlign w:val="subscript"/>
              </w:rPr>
              <w:t>max</w:t>
            </w:r>
            <w:proofErr w:type="spellEnd"/>
          </w:p>
        </w:tc>
        <w:tc>
          <w:tcPr>
            <w:tcW w:w="3800" w:type="pct"/>
          </w:tcPr>
          <w:p w14:paraId="4EDAF874"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maximum concentration</w:t>
            </w:r>
          </w:p>
        </w:tc>
      </w:tr>
      <w:tr w:rsidR="007B336C" w:rsidRPr="006E740F" w14:paraId="4D1E50AF"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01F3164" w14:textId="77777777" w:rsidR="007B336C" w:rsidRPr="006E740F" w:rsidRDefault="007B336C" w:rsidP="00671A11">
            <w:pPr>
              <w:rPr>
                <w:szCs w:val="22"/>
              </w:rPr>
            </w:pPr>
            <w:r w:rsidRPr="006E740F">
              <w:rPr>
                <w:szCs w:val="22"/>
              </w:rPr>
              <w:t>EMA</w:t>
            </w:r>
          </w:p>
        </w:tc>
        <w:tc>
          <w:tcPr>
            <w:tcW w:w="3800" w:type="pct"/>
          </w:tcPr>
          <w:p w14:paraId="17B6711E"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European Medicines Agency</w:t>
            </w:r>
          </w:p>
        </w:tc>
      </w:tr>
      <w:tr w:rsidR="007B336C" w:rsidRPr="006E740F" w14:paraId="2F43D751"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0A19AD" w14:textId="77777777" w:rsidR="007B336C" w:rsidRPr="006E740F" w:rsidRDefault="007B336C" w:rsidP="00671A11">
            <w:pPr>
              <w:rPr>
                <w:szCs w:val="22"/>
              </w:rPr>
            </w:pPr>
            <w:r w:rsidRPr="006E740F">
              <w:rPr>
                <w:szCs w:val="22"/>
              </w:rPr>
              <w:t>LLN</w:t>
            </w:r>
          </w:p>
        </w:tc>
        <w:tc>
          <w:tcPr>
            <w:tcW w:w="3800" w:type="pct"/>
          </w:tcPr>
          <w:p w14:paraId="6187BBFE"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Lower limit of normal</w:t>
            </w:r>
          </w:p>
        </w:tc>
      </w:tr>
      <w:tr w:rsidR="007B336C" w:rsidRPr="006E740F" w14:paraId="43DE9C4D"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8A8024F" w14:textId="77777777" w:rsidR="007B336C" w:rsidRPr="006E740F" w:rsidRDefault="007B336C" w:rsidP="00671A11">
            <w:pPr>
              <w:rPr>
                <w:szCs w:val="22"/>
              </w:rPr>
            </w:pPr>
            <w:r w:rsidRPr="006E740F">
              <w:rPr>
                <w:szCs w:val="22"/>
              </w:rPr>
              <w:t>NRS</w:t>
            </w:r>
          </w:p>
        </w:tc>
        <w:tc>
          <w:tcPr>
            <w:tcW w:w="3800" w:type="pct"/>
          </w:tcPr>
          <w:p w14:paraId="406D8045"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Numeric Rating Scale</w:t>
            </w:r>
          </w:p>
        </w:tc>
      </w:tr>
      <w:tr w:rsidR="007B336C" w:rsidRPr="006E740F" w14:paraId="47F9C85F"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1F0984" w14:textId="77777777" w:rsidR="007B336C" w:rsidRPr="006E740F" w:rsidRDefault="007B336C" w:rsidP="00671A11">
            <w:pPr>
              <w:rPr>
                <w:szCs w:val="22"/>
              </w:rPr>
            </w:pPr>
            <w:r w:rsidRPr="006E740F">
              <w:rPr>
                <w:szCs w:val="22"/>
              </w:rPr>
              <w:t>OCA</w:t>
            </w:r>
          </w:p>
        </w:tc>
        <w:tc>
          <w:tcPr>
            <w:tcW w:w="3800" w:type="pct"/>
          </w:tcPr>
          <w:p w14:paraId="17BCFB1A"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proofErr w:type="spellStart"/>
            <w:r w:rsidRPr="006E740F">
              <w:rPr>
                <w:szCs w:val="22"/>
              </w:rPr>
              <w:t>obeticholic</w:t>
            </w:r>
            <w:proofErr w:type="spellEnd"/>
            <w:r w:rsidRPr="006E740F">
              <w:rPr>
                <w:szCs w:val="22"/>
              </w:rPr>
              <w:t xml:space="preserve"> acid</w:t>
            </w:r>
          </w:p>
        </w:tc>
      </w:tr>
      <w:tr w:rsidR="007B336C" w:rsidRPr="006E740F" w14:paraId="4D8C646D"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488B9A1" w14:textId="77777777" w:rsidR="007B336C" w:rsidRPr="006E740F" w:rsidRDefault="007B336C" w:rsidP="00671A11">
            <w:pPr>
              <w:rPr>
                <w:szCs w:val="22"/>
              </w:rPr>
            </w:pPr>
            <w:r w:rsidRPr="006E740F">
              <w:rPr>
                <w:szCs w:val="22"/>
              </w:rPr>
              <w:t>PBC</w:t>
            </w:r>
          </w:p>
        </w:tc>
        <w:tc>
          <w:tcPr>
            <w:tcW w:w="3800" w:type="pct"/>
          </w:tcPr>
          <w:p w14:paraId="1C463C84"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primary biliary cholangitis</w:t>
            </w:r>
          </w:p>
        </w:tc>
      </w:tr>
      <w:tr w:rsidR="007B336C" w:rsidRPr="006E740F" w14:paraId="75BFCF37"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F58696" w14:textId="77777777" w:rsidR="007B336C" w:rsidRPr="006E740F" w:rsidRDefault="007B336C" w:rsidP="00671A11">
            <w:pPr>
              <w:rPr>
                <w:szCs w:val="22"/>
              </w:rPr>
            </w:pPr>
            <w:r w:rsidRPr="006E740F">
              <w:rPr>
                <w:szCs w:val="22"/>
              </w:rPr>
              <w:t>PD</w:t>
            </w:r>
          </w:p>
        </w:tc>
        <w:tc>
          <w:tcPr>
            <w:tcW w:w="3800" w:type="pct"/>
          </w:tcPr>
          <w:p w14:paraId="6F38EBED"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pharmacodynamic(s)</w:t>
            </w:r>
          </w:p>
        </w:tc>
      </w:tr>
      <w:tr w:rsidR="007B336C" w:rsidRPr="006E740F" w14:paraId="7B5D2785"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A7D7561" w14:textId="77777777" w:rsidR="007B336C" w:rsidRPr="006E740F" w:rsidRDefault="007B336C" w:rsidP="00671A11">
            <w:pPr>
              <w:rPr>
                <w:szCs w:val="22"/>
              </w:rPr>
            </w:pPr>
            <w:r w:rsidRPr="006E740F">
              <w:rPr>
                <w:szCs w:val="22"/>
              </w:rPr>
              <w:t>PI</w:t>
            </w:r>
          </w:p>
        </w:tc>
        <w:tc>
          <w:tcPr>
            <w:tcW w:w="3800" w:type="pct"/>
          </w:tcPr>
          <w:p w14:paraId="1A0CE295"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Product Information</w:t>
            </w:r>
          </w:p>
        </w:tc>
      </w:tr>
      <w:tr w:rsidR="007B336C" w:rsidRPr="006E740F" w14:paraId="7C909B83"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C21EC4" w14:textId="77777777" w:rsidR="007B336C" w:rsidRPr="006E740F" w:rsidRDefault="007B336C" w:rsidP="00671A11">
            <w:pPr>
              <w:rPr>
                <w:szCs w:val="22"/>
              </w:rPr>
            </w:pPr>
            <w:r w:rsidRPr="006E740F">
              <w:rPr>
                <w:szCs w:val="22"/>
              </w:rPr>
              <w:t>PK</w:t>
            </w:r>
          </w:p>
        </w:tc>
        <w:tc>
          <w:tcPr>
            <w:tcW w:w="3800" w:type="pct"/>
          </w:tcPr>
          <w:p w14:paraId="15230C03"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pharmacokinetic(s)</w:t>
            </w:r>
          </w:p>
        </w:tc>
      </w:tr>
      <w:tr w:rsidR="007B336C" w:rsidRPr="006E740F" w14:paraId="5ECB43D3"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2AAFB48" w14:textId="77777777" w:rsidR="007B336C" w:rsidRPr="006E740F" w:rsidRDefault="007B336C" w:rsidP="00671A11">
            <w:pPr>
              <w:rPr>
                <w:szCs w:val="22"/>
              </w:rPr>
            </w:pPr>
            <w:proofErr w:type="spellStart"/>
            <w:r w:rsidRPr="006E740F">
              <w:rPr>
                <w:szCs w:val="22"/>
              </w:rPr>
              <w:t>popPK</w:t>
            </w:r>
            <w:proofErr w:type="spellEnd"/>
          </w:p>
        </w:tc>
        <w:tc>
          <w:tcPr>
            <w:tcW w:w="3800" w:type="pct"/>
          </w:tcPr>
          <w:p w14:paraId="0476DB64"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population pharmacokinetic(s)</w:t>
            </w:r>
          </w:p>
        </w:tc>
      </w:tr>
      <w:tr w:rsidR="007B336C" w:rsidRPr="006E740F" w14:paraId="41F96336"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6F5CDD8" w14:textId="77777777" w:rsidR="007B336C" w:rsidRPr="006E740F" w:rsidRDefault="007B336C" w:rsidP="00671A11">
            <w:pPr>
              <w:rPr>
                <w:szCs w:val="22"/>
              </w:rPr>
            </w:pPr>
            <w:r w:rsidRPr="006E740F">
              <w:rPr>
                <w:szCs w:val="22"/>
              </w:rPr>
              <w:t>PPAR</w:t>
            </w:r>
          </w:p>
        </w:tc>
        <w:tc>
          <w:tcPr>
            <w:tcW w:w="3800" w:type="pct"/>
          </w:tcPr>
          <w:p w14:paraId="0EE6A94B"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peroxisome proliferator-activated receptor</w:t>
            </w:r>
          </w:p>
        </w:tc>
      </w:tr>
      <w:tr w:rsidR="007B336C" w:rsidRPr="006E740F" w14:paraId="1027D4B7"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5FD49A" w14:textId="77777777" w:rsidR="007B336C" w:rsidRPr="006E740F" w:rsidRDefault="007B336C" w:rsidP="00671A11">
            <w:pPr>
              <w:rPr>
                <w:szCs w:val="22"/>
              </w:rPr>
            </w:pPr>
            <w:r w:rsidRPr="006E740F">
              <w:rPr>
                <w:szCs w:val="22"/>
              </w:rPr>
              <w:t>RMP</w:t>
            </w:r>
          </w:p>
        </w:tc>
        <w:tc>
          <w:tcPr>
            <w:tcW w:w="3800" w:type="pct"/>
          </w:tcPr>
          <w:p w14:paraId="526BE472"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Risk management plan</w:t>
            </w:r>
          </w:p>
        </w:tc>
      </w:tr>
      <w:tr w:rsidR="007B336C" w:rsidRPr="006E740F" w14:paraId="3286D31E"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3182826" w14:textId="77777777" w:rsidR="007B336C" w:rsidRPr="006E740F" w:rsidRDefault="007B336C" w:rsidP="00671A11">
            <w:pPr>
              <w:rPr>
                <w:szCs w:val="22"/>
              </w:rPr>
            </w:pPr>
            <w:r w:rsidRPr="006E740F">
              <w:rPr>
                <w:szCs w:val="22"/>
              </w:rPr>
              <w:t xml:space="preserve">t½ </w:t>
            </w:r>
          </w:p>
        </w:tc>
        <w:tc>
          <w:tcPr>
            <w:tcW w:w="3800" w:type="pct"/>
          </w:tcPr>
          <w:p w14:paraId="30C9386F"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terminal elimination half-life</w:t>
            </w:r>
          </w:p>
        </w:tc>
      </w:tr>
      <w:tr w:rsidR="007B336C" w:rsidRPr="006E740F" w14:paraId="5101CDA8"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95DE2BD" w14:textId="77777777" w:rsidR="007B336C" w:rsidRPr="006E740F" w:rsidRDefault="007B336C" w:rsidP="00671A11">
            <w:pPr>
              <w:rPr>
                <w:szCs w:val="22"/>
              </w:rPr>
            </w:pPr>
            <w:r w:rsidRPr="006E740F">
              <w:rPr>
                <w:szCs w:val="22"/>
              </w:rPr>
              <w:t>TEAE</w:t>
            </w:r>
          </w:p>
        </w:tc>
        <w:tc>
          <w:tcPr>
            <w:tcW w:w="3800" w:type="pct"/>
          </w:tcPr>
          <w:p w14:paraId="21D05962"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Treatment emergent adverse event</w:t>
            </w:r>
          </w:p>
        </w:tc>
      </w:tr>
      <w:tr w:rsidR="007B336C" w:rsidRPr="006E740F" w14:paraId="215BAE64"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D3B83B1" w14:textId="77777777" w:rsidR="007B336C" w:rsidRPr="006E740F" w:rsidRDefault="007B336C" w:rsidP="00671A11">
            <w:pPr>
              <w:rPr>
                <w:szCs w:val="22"/>
              </w:rPr>
            </w:pPr>
            <w:r w:rsidRPr="006E740F">
              <w:rPr>
                <w:szCs w:val="22"/>
              </w:rPr>
              <w:t>TGA</w:t>
            </w:r>
          </w:p>
        </w:tc>
        <w:tc>
          <w:tcPr>
            <w:tcW w:w="3800" w:type="pct"/>
          </w:tcPr>
          <w:p w14:paraId="7F37F916"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Therapeutic Goods Administration</w:t>
            </w:r>
          </w:p>
        </w:tc>
      </w:tr>
      <w:tr w:rsidR="007B336C" w:rsidRPr="006E740F" w14:paraId="044A6EB0"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53DED4C" w14:textId="77777777" w:rsidR="007B336C" w:rsidRPr="006E740F" w:rsidRDefault="007B336C" w:rsidP="00671A11">
            <w:pPr>
              <w:rPr>
                <w:szCs w:val="22"/>
              </w:rPr>
            </w:pPr>
            <w:proofErr w:type="spellStart"/>
            <w:r w:rsidRPr="006E740F">
              <w:rPr>
                <w:szCs w:val="22"/>
              </w:rPr>
              <w:t>T</w:t>
            </w:r>
            <w:r w:rsidRPr="006E740F">
              <w:rPr>
                <w:szCs w:val="22"/>
                <w:vertAlign w:val="subscript"/>
              </w:rPr>
              <w:t>max</w:t>
            </w:r>
            <w:proofErr w:type="spellEnd"/>
            <w:r w:rsidRPr="006E740F">
              <w:rPr>
                <w:szCs w:val="22"/>
              </w:rPr>
              <w:t xml:space="preserve"> </w:t>
            </w:r>
          </w:p>
        </w:tc>
        <w:tc>
          <w:tcPr>
            <w:tcW w:w="3800" w:type="pct"/>
          </w:tcPr>
          <w:p w14:paraId="43C55493"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time to maximum concentration</w:t>
            </w:r>
          </w:p>
        </w:tc>
      </w:tr>
      <w:tr w:rsidR="007B336C" w:rsidRPr="006E740F" w14:paraId="04631F5D" w14:textId="77777777" w:rsidTr="00671A11">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684FCE7" w14:textId="77777777" w:rsidR="007B336C" w:rsidRPr="006E740F" w:rsidRDefault="007B336C" w:rsidP="00671A11">
            <w:pPr>
              <w:rPr>
                <w:szCs w:val="22"/>
              </w:rPr>
            </w:pPr>
            <w:r w:rsidRPr="006E740F">
              <w:rPr>
                <w:szCs w:val="22"/>
              </w:rPr>
              <w:t>ULN</w:t>
            </w:r>
          </w:p>
        </w:tc>
        <w:tc>
          <w:tcPr>
            <w:tcW w:w="3800" w:type="pct"/>
          </w:tcPr>
          <w:p w14:paraId="26E6EEC7" w14:textId="77777777" w:rsidR="007B336C" w:rsidRPr="006E740F" w:rsidRDefault="007B336C" w:rsidP="00671A11">
            <w:pPr>
              <w:cnfStyle w:val="000000000000" w:firstRow="0" w:lastRow="0" w:firstColumn="0" w:lastColumn="0" w:oddVBand="0" w:evenVBand="0" w:oddHBand="0" w:evenHBand="0" w:firstRowFirstColumn="0" w:firstRowLastColumn="0" w:lastRowFirstColumn="0" w:lastRowLastColumn="0"/>
              <w:rPr>
                <w:szCs w:val="22"/>
              </w:rPr>
            </w:pPr>
            <w:r w:rsidRPr="006E740F">
              <w:rPr>
                <w:szCs w:val="22"/>
              </w:rPr>
              <w:t>upper limit of normal</w:t>
            </w:r>
          </w:p>
        </w:tc>
      </w:tr>
    </w:tbl>
    <w:p w14:paraId="44C2A39C" w14:textId="7BC6F71E" w:rsidR="00324B33" w:rsidRDefault="006029C9" w:rsidP="000111F4">
      <w:pPr>
        <w:pStyle w:val="Heading2"/>
        <w:pageBreakBefore/>
      </w:pPr>
      <w:bookmarkStart w:id="7" w:name="_Toc206075811"/>
      <w:r w:rsidRPr="000111F4">
        <w:lastRenderedPageBreak/>
        <w:t>IQIRVO</w:t>
      </w:r>
      <w:r w:rsidR="00BE3BB6" w:rsidRPr="00BE3BB6">
        <w:t xml:space="preserve"> </w:t>
      </w:r>
      <w:r w:rsidR="00BE3BB6">
        <w:t>(</w:t>
      </w:r>
      <w:proofErr w:type="spellStart"/>
      <w:r w:rsidR="00BE3BB6" w:rsidRPr="00BE3BB6">
        <w:t>elafibranor</w:t>
      </w:r>
      <w:proofErr w:type="spellEnd"/>
      <w:r w:rsidR="00BE3BB6">
        <w:t>)</w:t>
      </w:r>
      <w:r w:rsidR="001B5CA6" w:rsidRPr="001B5CA6">
        <w:t xml:space="preserve"> submission</w:t>
      </w:r>
      <w:bookmarkEnd w:id="7"/>
    </w:p>
    <w:tbl>
      <w:tblPr>
        <w:tblW w:w="5001" w:type="pct"/>
        <w:tblLook w:val="01E0" w:firstRow="1" w:lastRow="1" w:firstColumn="1" w:lastColumn="1" w:noHBand="0" w:noVBand="0"/>
      </w:tblPr>
      <w:tblGrid>
        <w:gridCol w:w="2863"/>
        <w:gridCol w:w="6209"/>
      </w:tblGrid>
      <w:tr w:rsidR="004C5054" w:rsidRPr="00BD5DBD" w14:paraId="54BF6BCA" w14:textId="77777777" w:rsidTr="004C5054">
        <w:tc>
          <w:tcPr>
            <w:tcW w:w="1578" w:type="pct"/>
          </w:tcPr>
          <w:p w14:paraId="0DF11F98" w14:textId="6ED5779B" w:rsidR="004C5054" w:rsidRPr="00BD5DBD" w:rsidRDefault="004C5054" w:rsidP="00AB4EC2">
            <w:pPr>
              <w:rPr>
                <w:i/>
                <w:szCs w:val="22"/>
              </w:rPr>
            </w:pPr>
            <w:r w:rsidRPr="00BD5DBD">
              <w:rPr>
                <w:i/>
                <w:szCs w:val="22"/>
              </w:rPr>
              <w:t>Type of submission:</w:t>
            </w:r>
          </w:p>
        </w:tc>
        <w:tc>
          <w:tcPr>
            <w:tcW w:w="3422" w:type="pct"/>
          </w:tcPr>
          <w:p w14:paraId="7655CDA7" w14:textId="7F9EDBFE" w:rsidR="004C5054" w:rsidRPr="00BD5DBD" w:rsidRDefault="004C5054" w:rsidP="00AB4EC2">
            <w:pPr>
              <w:rPr>
                <w:szCs w:val="22"/>
              </w:rPr>
            </w:pPr>
            <w:r w:rsidRPr="00BD5DBD">
              <w:rPr>
                <w:szCs w:val="22"/>
              </w:rPr>
              <w:t>New chemical</w:t>
            </w:r>
            <w:r>
              <w:rPr>
                <w:szCs w:val="22"/>
              </w:rPr>
              <w:t xml:space="preserve"> </w:t>
            </w:r>
            <w:r w:rsidRPr="00BD5DBD">
              <w:rPr>
                <w:szCs w:val="22"/>
              </w:rPr>
              <w:t>entity</w:t>
            </w:r>
          </w:p>
        </w:tc>
      </w:tr>
      <w:tr w:rsidR="004C5054" w:rsidRPr="00BD5DBD" w14:paraId="6D006681" w14:textId="77777777" w:rsidTr="004C5054">
        <w:tc>
          <w:tcPr>
            <w:tcW w:w="1578" w:type="pct"/>
          </w:tcPr>
          <w:p w14:paraId="4E97026B" w14:textId="7C4FB683" w:rsidR="004C5054" w:rsidRPr="00BD5DBD" w:rsidRDefault="004C5054" w:rsidP="00AB4EC2">
            <w:pPr>
              <w:rPr>
                <w:i/>
                <w:szCs w:val="22"/>
              </w:rPr>
            </w:pPr>
            <w:r w:rsidRPr="00BD5DBD">
              <w:rPr>
                <w:i/>
                <w:szCs w:val="22"/>
              </w:rPr>
              <w:t>Product name</w:t>
            </w:r>
            <w:r>
              <w:rPr>
                <w:i/>
                <w:szCs w:val="22"/>
              </w:rPr>
              <w:t>:</w:t>
            </w:r>
          </w:p>
        </w:tc>
        <w:tc>
          <w:tcPr>
            <w:tcW w:w="3422" w:type="pct"/>
          </w:tcPr>
          <w:p w14:paraId="12449B24" w14:textId="63EA5F6F" w:rsidR="004C5054" w:rsidRPr="00BD5DBD" w:rsidRDefault="006029C9" w:rsidP="00AB4EC2">
            <w:pPr>
              <w:rPr>
                <w:szCs w:val="22"/>
              </w:rPr>
            </w:pPr>
            <w:r>
              <w:rPr>
                <w:szCs w:val="22"/>
              </w:rPr>
              <w:t>IQIRVO</w:t>
            </w:r>
          </w:p>
        </w:tc>
      </w:tr>
      <w:tr w:rsidR="004C5054" w:rsidRPr="00BD5DBD" w14:paraId="1BF3CE8A" w14:textId="77777777" w:rsidTr="004C5054">
        <w:tc>
          <w:tcPr>
            <w:tcW w:w="1578" w:type="pct"/>
          </w:tcPr>
          <w:p w14:paraId="43694612" w14:textId="4A5C4790" w:rsidR="004C5054" w:rsidRPr="00BD5DBD" w:rsidRDefault="004C5054" w:rsidP="00AB4EC2">
            <w:pPr>
              <w:rPr>
                <w:i/>
                <w:szCs w:val="22"/>
              </w:rPr>
            </w:pPr>
            <w:r w:rsidRPr="00BD5DBD">
              <w:rPr>
                <w:i/>
                <w:szCs w:val="22"/>
              </w:rPr>
              <w:t>Active ingredient:</w:t>
            </w:r>
          </w:p>
        </w:tc>
        <w:tc>
          <w:tcPr>
            <w:tcW w:w="3422" w:type="pct"/>
          </w:tcPr>
          <w:p w14:paraId="38B1E6E6" w14:textId="34DF504C" w:rsidR="004C5054" w:rsidRPr="00BD5DBD" w:rsidRDefault="00414275" w:rsidP="00AB4EC2">
            <w:pPr>
              <w:rPr>
                <w:szCs w:val="22"/>
              </w:rPr>
            </w:pPr>
            <w:proofErr w:type="spellStart"/>
            <w:r w:rsidRPr="00414275">
              <w:rPr>
                <w:szCs w:val="22"/>
              </w:rPr>
              <w:t>elafibranor</w:t>
            </w:r>
            <w:proofErr w:type="spellEnd"/>
          </w:p>
        </w:tc>
      </w:tr>
      <w:tr w:rsidR="004C5054" w:rsidRPr="00BD5DBD" w14:paraId="5EA402F3" w14:textId="77777777" w:rsidTr="004C5054">
        <w:tc>
          <w:tcPr>
            <w:tcW w:w="1578" w:type="pct"/>
          </w:tcPr>
          <w:p w14:paraId="73473475" w14:textId="77777777" w:rsidR="004C5054" w:rsidRPr="00BD5DBD" w:rsidRDefault="004C5054" w:rsidP="00AB4EC2">
            <w:pPr>
              <w:rPr>
                <w:i/>
                <w:szCs w:val="22"/>
              </w:rPr>
            </w:pPr>
            <w:r w:rsidRPr="00BD5DBD">
              <w:rPr>
                <w:i/>
                <w:szCs w:val="22"/>
              </w:rPr>
              <w:t>Decision:</w:t>
            </w:r>
          </w:p>
        </w:tc>
        <w:tc>
          <w:tcPr>
            <w:tcW w:w="3422" w:type="pct"/>
          </w:tcPr>
          <w:p w14:paraId="0DB472C7" w14:textId="474618B5" w:rsidR="004C5054" w:rsidRPr="00BD5DBD" w:rsidRDefault="004C5054" w:rsidP="00AB4EC2">
            <w:pPr>
              <w:rPr>
                <w:szCs w:val="22"/>
              </w:rPr>
            </w:pPr>
            <w:r w:rsidRPr="00BD5DBD">
              <w:rPr>
                <w:szCs w:val="22"/>
              </w:rPr>
              <w:t>Approved</w:t>
            </w:r>
          </w:p>
        </w:tc>
      </w:tr>
      <w:tr w:rsidR="004C5054" w:rsidRPr="00BD5DBD" w14:paraId="6A62065B" w14:textId="77777777" w:rsidTr="004C5054">
        <w:tc>
          <w:tcPr>
            <w:tcW w:w="1578" w:type="pct"/>
          </w:tcPr>
          <w:p w14:paraId="55120921" w14:textId="77777777" w:rsidR="004C5054" w:rsidRPr="00BD5DBD" w:rsidRDefault="004C5054" w:rsidP="00AB4EC2">
            <w:r w:rsidRPr="00BD5DBD">
              <w:rPr>
                <w:i/>
                <w:szCs w:val="22"/>
              </w:rPr>
              <w:t>Date of decision:</w:t>
            </w:r>
          </w:p>
        </w:tc>
        <w:tc>
          <w:tcPr>
            <w:tcW w:w="3422" w:type="pct"/>
          </w:tcPr>
          <w:p w14:paraId="2FF52390" w14:textId="4910EA97" w:rsidR="004C5054" w:rsidRPr="00BD5DBD" w:rsidRDefault="00F2763B" w:rsidP="00AB4EC2">
            <w:pPr>
              <w:rPr>
                <w:szCs w:val="22"/>
              </w:rPr>
            </w:pPr>
            <w:r w:rsidRPr="00F2763B">
              <w:rPr>
                <w:szCs w:val="22"/>
              </w:rPr>
              <w:t>18 March 2025</w:t>
            </w:r>
          </w:p>
        </w:tc>
      </w:tr>
      <w:tr w:rsidR="004C5054" w:rsidRPr="00BD5DBD" w14:paraId="7D32D925" w14:textId="77777777" w:rsidTr="004C5054">
        <w:tc>
          <w:tcPr>
            <w:tcW w:w="1578" w:type="pct"/>
          </w:tcPr>
          <w:p w14:paraId="44D415C2" w14:textId="57F1659D" w:rsidR="004C5054" w:rsidRPr="00BD5DBD" w:rsidRDefault="004C5054" w:rsidP="004C5054">
            <w:pPr>
              <w:rPr>
                <w:i/>
                <w:szCs w:val="22"/>
              </w:rPr>
            </w:pPr>
            <w:r w:rsidRPr="00BD5DBD">
              <w:rPr>
                <w:i/>
                <w:szCs w:val="22"/>
              </w:rPr>
              <w:t>Approved therapeutic use for the current submission:</w:t>
            </w:r>
          </w:p>
        </w:tc>
        <w:tc>
          <w:tcPr>
            <w:tcW w:w="3422" w:type="pct"/>
          </w:tcPr>
          <w:p w14:paraId="17539975" w14:textId="35103520" w:rsidR="004C5054" w:rsidRPr="00BD5DBD" w:rsidRDefault="006029C9" w:rsidP="004C5054">
            <w:pPr>
              <w:rPr>
                <w:szCs w:val="22"/>
              </w:rPr>
            </w:pPr>
            <w:r>
              <w:rPr>
                <w:szCs w:val="22"/>
              </w:rPr>
              <w:t>IQIRVO</w:t>
            </w:r>
            <w:r w:rsidR="00F155D1" w:rsidRPr="00F155D1">
              <w:rPr>
                <w:szCs w:val="22"/>
              </w:rPr>
              <w:t xml:space="preserve"> is indicated for the treatment of primary biliary</w:t>
            </w:r>
            <w:r w:rsidR="00F155D1">
              <w:rPr>
                <w:szCs w:val="22"/>
              </w:rPr>
              <w:t xml:space="preserve"> </w:t>
            </w:r>
            <w:r w:rsidR="00F155D1" w:rsidRPr="00F155D1">
              <w:rPr>
                <w:szCs w:val="22"/>
              </w:rPr>
              <w:t>cholangitis (PBC) in combination with ursodeoxycholic acid (UDCA) in adults with an inadequate response to UDCA, or as monotherapy in adults unable to tolerate UDCA.</w:t>
            </w:r>
          </w:p>
        </w:tc>
      </w:tr>
      <w:tr w:rsidR="004C5054" w:rsidRPr="00BD5DBD" w14:paraId="63F08B44" w14:textId="77777777" w:rsidTr="004C5054">
        <w:tc>
          <w:tcPr>
            <w:tcW w:w="1578" w:type="pct"/>
          </w:tcPr>
          <w:p w14:paraId="3465F4E3" w14:textId="77777777" w:rsidR="004C5054" w:rsidRPr="00BD5DBD" w:rsidRDefault="004C5054" w:rsidP="004C5054">
            <w:pPr>
              <w:rPr>
                <w:i/>
                <w:szCs w:val="22"/>
              </w:rPr>
            </w:pPr>
            <w:r w:rsidRPr="00BD5DBD">
              <w:rPr>
                <w:i/>
                <w:szCs w:val="22"/>
              </w:rPr>
              <w:t>Date of entry onto ARTG:</w:t>
            </w:r>
          </w:p>
        </w:tc>
        <w:tc>
          <w:tcPr>
            <w:tcW w:w="3422" w:type="pct"/>
          </w:tcPr>
          <w:p w14:paraId="46707976" w14:textId="2E26F69F" w:rsidR="004C5054" w:rsidRPr="00BD5DBD" w:rsidRDefault="00F3780E" w:rsidP="004C5054">
            <w:pPr>
              <w:rPr>
                <w:szCs w:val="22"/>
              </w:rPr>
            </w:pPr>
            <w:r w:rsidRPr="00F3780E">
              <w:rPr>
                <w:szCs w:val="22"/>
              </w:rPr>
              <w:t>25 March 2025</w:t>
            </w:r>
          </w:p>
        </w:tc>
      </w:tr>
      <w:tr w:rsidR="004C5054" w:rsidRPr="00BD5DBD" w14:paraId="1938CCD7" w14:textId="77777777" w:rsidTr="004C5054">
        <w:tc>
          <w:tcPr>
            <w:tcW w:w="1578" w:type="pct"/>
          </w:tcPr>
          <w:p w14:paraId="1E1BA305" w14:textId="32F00486" w:rsidR="004C5054" w:rsidRPr="00BD5DBD" w:rsidRDefault="004C5054" w:rsidP="004C5054">
            <w:pPr>
              <w:rPr>
                <w:i/>
                <w:szCs w:val="22"/>
              </w:rPr>
            </w:pPr>
            <w:r w:rsidRPr="00BD5DBD">
              <w:rPr>
                <w:i/>
                <w:szCs w:val="22"/>
              </w:rPr>
              <w:t>ARTG numbers:</w:t>
            </w:r>
          </w:p>
        </w:tc>
        <w:tc>
          <w:tcPr>
            <w:tcW w:w="3422" w:type="pct"/>
          </w:tcPr>
          <w:p w14:paraId="2549BF33" w14:textId="379BBA89" w:rsidR="004C5054" w:rsidRPr="00BD5DBD" w:rsidRDefault="006029C9" w:rsidP="004C5054">
            <w:pPr>
              <w:rPr>
                <w:szCs w:val="22"/>
              </w:rPr>
            </w:pPr>
            <w:r>
              <w:rPr>
                <w:szCs w:val="22"/>
              </w:rPr>
              <w:t>IQIRVO</w:t>
            </w:r>
            <w:r w:rsidR="00F3780E" w:rsidRPr="00F3780E">
              <w:rPr>
                <w:szCs w:val="22"/>
              </w:rPr>
              <w:t xml:space="preserve"> </w:t>
            </w:r>
            <w:proofErr w:type="spellStart"/>
            <w:r w:rsidR="00F3780E" w:rsidRPr="00F3780E">
              <w:rPr>
                <w:szCs w:val="22"/>
              </w:rPr>
              <w:t>elafibranor</w:t>
            </w:r>
            <w:proofErr w:type="spellEnd"/>
            <w:r w:rsidR="00F3780E" w:rsidRPr="00F3780E">
              <w:rPr>
                <w:szCs w:val="22"/>
              </w:rPr>
              <w:t xml:space="preserve"> 80 mg film-coated tablets bottle (</w:t>
            </w:r>
            <w:hyperlink r:id="rId18" w:history="1">
              <w:r w:rsidR="00F3780E" w:rsidRPr="005E33BC">
                <w:rPr>
                  <w:rStyle w:val="Hyperlink"/>
                  <w:szCs w:val="22"/>
                </w:rPr>
                <w:t>441770</w:t>
              </w:r>
            </w:hyperlink>
            <w:r w:rsidR="00F3780E" w:rsidRPr="00F3780E">
              <w:rPr>
                <w:szCs w:val="22"/>
              </w:rPr>
              <w:t>)</w:t>
            </w:r>
          </w:p>
        </w:tc>
      </w:tr>
      <w:tr w:rsidR="004C5054" w:rsidRPr="00BD5DBD" w14:paraId="2D0A9B56" w14:textId="77777777" w:rsidTr="004C5054">
        <w:tc>
          <w:tcPr>
            <w:tcW w:w="1578" w:type="pct"/>
          </w:tcPr>
          <w:p w14:paraId="15A48FA4" w14:textId="0F571744" w:rsidR="004C5054" w:rsidRPr="00BD5DBD" w:rsidRDefault="004C5054" w:rsidP="004C5054">
            <w:pPr>
              <w:rPr>
                <w:i/>
                <w:szCs w:val="22"/>
              </w:rPr>
            </w:pPr>
            <w:r w:rsidRPr="00BD5DBD">
              <w:rPr>
                <w:rFonts w:ascii="Wingdings 3" w:hAnsi="Wingdings 3"/>
                <w:szCs w:val="22"/>
                <w:lang w:eastAsia="en-AU"/>
              </w:rPr>
              <w:t></w:t>
            </w:r>
            <w:hyperlink r:id="rId19" w:history="1">
              <w:r w:rsidRPr="00BD5DBD">
                <w:rPr>
                  <w:rStyle w:val="Hyperlink"/>
                  <w:i/>
                  <w:szCs w:val="22"/>
                </w:rPr>
                <w:t>Black Triangle Scheme</w:t>
              </w:r>
            </w:hyperlink>
            <w:r w:rsidRPr="00BD5DBD">
              <w:rPr>
                <w:i/>
                <w:szCs w:val="22"/>
              </w:rPr>
              <w:t>:</w:t>
            </w:r>
          </w:p>
        </w:tc>
        <w:tc>
          <w:tcPr>
            <w:tcW w:w="3422" w:type="pct"/>
          </w:tcPr>
          <w:p w14:paraId="65273AE0" w14:textId="1DA21E24" w:rsidR="004C5054" w:rsidRPr="00BD5DBD" w:rsidRDefault="004C5054" w:rsidP="004C5054">
            <w:pPr>
              <w:rPr>
                <w:szCs w:val="22"/>
              </w:rPr>
            </w:pPr>
            <w:r w:rsidRPr="00BD5DBD">
              <w:rPr>
                <w:szCs w:val="22"/>
              </w:rPr>
              <w:t>Yes</w:t>
            </w:r>
          </w:p>
        </w:tc>
      </w:tr>
      <w:tr w:rsidR="004C5054" w:rsidRPr="00BD5DBD" w14:paraId="5F5F972F" w14:textId="77777777" w:rsidTr="004C5054">
        <w:tc>
          <w:tcPr>
            <w:tcW w:w="1578" w:type="pct"/>
          </w:tcPr>
          <w:p w14:paraId="0AF604AB" w14:textId="77777777" w:rsidR="004C5054" w:rsidRPr="00BD5DBD" w:rsidRDefault="004C5054" w:rsidP="004C5054">
            <w:pPr>
              <w:rPr>
                <w:i/>
                <w:szCs w:val="22"/>
              </w:rPr>
            </w:pPr>
            <w:r w:rsidRPr="00BD5DBD">
              <w:rPr>
                <w:i/>
                <w:szCs w:val="22"/>
              </w:rPr>
              <w:t>Sponsor’s name and address:</w:t>
            </w:r>
          </w:p>
        </w:tc>
        <w:tc>
          <w:tcPr>
            <w:tcW w:w="3422" w:type="pct"/>
          </w:tcPr>
          <w:p w14:paraId="1B1DC01B" w14:textId="0EF301F2" w:rsidR="004C5054" w:rsidRPr="00BD5DBD" w:rsidRDefault="001A0C7C" w:rsidP="001A0C7C">
            <w:pPr>
              <w:rPr>
                <w:szCs w:val="22"/>
              </w:rPr>
            </w:pPr>
            <w:r w:rsidRPr="001A0C7C">
              <w:rPr>
                <w:szCs w:val="22"/>
              </w:rPr>
              <w:t>Ipsen Pty Ltd</w:t>
            </w:r>
            <w:r>
              <w:rPr>
                <w:szCs w:val="22"/>
              </w:rPr>
              <w:t xml:space="preserve">, </w:t>
            </w:r>
            <w:r w:rsidRPr="001A0C7C">
              <w:rPr>
                <w:szCs w:val="22"/>
              </w:rPr>
              <w:t>627 Chapel Street</w:t>
            </w:r>
            <w:r>
              <w:rPr>
                <w:szCs w:val="22"/>
              </w:rPr>
              <w:t xml:space="preserve">, </w:t>
            </w:r>
            <w:r w:rsidRPr="001A0C7C">
              <w:rPr>
                <w:szCs w:val="22"/>
              </w:rPr>
              <w:t>South Yarra</w:t>
            </w:r>
            <w:r>
              <w:rPr>
                <w:szCs w:val="22"/>
              </w:rPr>
              <w:t>,</w:t>
            </w:r>
            <w:r w:rsidRPr="001A0C7C">
              <w:rPr>
                <w:szCs w:val="22"/>
              </w:rPr>
              <w:t xml:space="preserve"> Victoria</w:t>
            </w:r>
            <w:r>
              <w:rPr>
                <w:szCs w:val="22"/>
              </w:rPr>
              <w:t>,</w:t>
            </w:r>
            <w:r w:rsidRPr="001A0C7C">
              <w:rPr>
                <w:szCs w:val="22"/>
              </w:rPr>
              <w:t xml:space="preserve"> 3141</w:t>
            </w:r>
          </w:p>
        </w:tc>
      </w:tr>
      <w:tr w:rsidR="004C5054" w:rsidRPr="00BD5DBD" w14:paraId="3FBEB0B5" w14:textId="77777777" w:rsidTr="004C5054">
        <w:tc>
          <w:tcPr>
            <w:tcW w:w="1578" w:type="pct"/>
          </w:tcPr>
          <w:p w14:paraId="7137DBEF" w14:textId="06CEA376" w:rsidR="004C5054" w:rsidRPr="00BD5DBD" w:rsidRDefault="004C5054" w:rsidP="004C5054">
            <w:pPr>
              <w:rPr>
                <w:i/>
                <w:szCs w:val="22"/>
              </w:rPr>
            </w:pPr>
            <w:r w:rsidRPr="00BD5DBD">
              <w:rPr>
                <w:i/>
                <w:szCs w:val="22"/>
              </w:rPr>
              <w:t>Dose form:</w:t>
            </w:r>
          </w:p>
        </w:tc>
        <w:tc>
          <w:tcPr>
            <w:tcW w:w="3422" w:type="pct"/>
          </w:tcPr>
          <w:p w14:paraId="06FD5551" w14:textId="3A25C827" w:rsidR="004C5054" w:rsidRPr="00BD5DBD" w:rsidRDefault="00D07AF2" w:rsidP="004C5054">
            <w:pPr>
              <w:rPr>
                <w:szCs w:val="22"/>
              </w:rPr>
            </w:pPr>
            <w:r w:rsidRPr="00D07AF2">
              <w:rPr>
                <w:szCs w:val="22"/>
              </w:rPr>
              <w:t>film-coated tablet</w:t>
            </w:r>
          </w:p>
        </w:tc>
      </w:tr>
      <w:tr w:rsidR="004C5054" w:rsidRPr="00BD5DBD" w14:paraId="3F5A37A6" w14:textId="77777777" w:rsidTr="004C5054">
        <w:tc>
          <w:tcPr>
            <w:tcW w:w="1578" w:type="pct"/>
          </w:tcPr>
          <w:p w14:paraId="118DF702" w14:textId="40618BB5" w:rsidR="004C5054" w:rsidRPr="00BD5DBD" w:rsidRDefault="004C5054" w:rsidP="004C5054">
            <w:pPr>
              <w:rPr>
                <w:i/>
                <w:szCs w:val="22"/>
              </w:rPr>
            </w:pPr>
            <w:r w:rsidRPr="00BD5DBD">
              <w:rPr>
                <w:i/>
                <w:szCs w:val="22"/>
              </w:rPr>
              <w:t>Strength:</w:t>
            </w:r>
          </w:p>
        </w:tc>
        <w:tc>
          <w:tcPr>
            <w:tcW w:w="3422" w:type="pct"/>
          </w:tcPr>
          <w:p w14:paraId="0E49C6BF" w14:textId="7B8F6C39" w:rsidR="004C5054" w:rsidRPr="00BD5DBD" w:rsidRDefault="00B41AE6" w:rsidP="004C5054">
            <w:pPr>
              <w:rPr>
                <w:szCs w:val="22"/>
              </w:rPr>
            </w:pPr>
            <w:r w:rsidRPr="00B41AE6">
              <w:rPr>
                <w:szCs w:val="22"/>
              </w:rPr>
              <w:t>80 mg</w:t>
            </w:r>
          </w:p>
        </w:tc>
      </w:tr>
      <w:tr w:rsidR="004C5054" w:rsidRPr="00BD5DBD" w14:paraId="52199EFA" w14:textId="77777777" w:rsidTr="004C5054">
        <w:tc>
          <w:tcPr>
            <w:tcW w:w="1578" w:type="pct"/>
          </w:tcPr>
          <w:p w14:paraId="03159FDE" w14:textId="79396E2D" w:rsidR="004C5054" w:rsidRPr="00BD5DBD" w:rsidRDefault="004C5054" w:rsidP="004C5054">
            <w:pPr>
              <w:rPr>
                <w:i/>
                <w:szCs w:val="22"/>
              </w:rPr>
            </w:pPr>
            <w:r w:rsidRPr="00BD5DBD">
              <w:rPr>
                <w:i/>
                <w:szCs w:val="22"/>
              </w:rPr>
              <w:t>Container:</w:t>
            </w:r>
          </w:p>
        </w:tc>
        <w:tc>
          <w:tcPr>
            <w:tcW w:w="3422" w:type="pct"/>
          </w:tcPr>
          <w:p w14:paraId="6FA2C2D7" w14:textId="3184410B" w:rsidR="004C5054" w:rsidRPr="00BD5DBD" w:rsidRDefault="00B44304" w:rsidP="004C5054">
            <w:pPr>
              <w:rPr>
                <w:szCs w:val="22"/>
              </w:rPr>
            </w:pPr>
            <w:r w:rsidRPr="00B44304">
              <w:rPr>
                <w:szCs w:val="22"/>
              </w:rPr>
              <w:t xml:space="preserve">HDPE bottle with a child-resistant polypropylene closure with integrated </w:t>
            </w:r>
            <w:r w:rsidR="007B336C" w:rsidRPr="00B44304">
              <w:rPr>
                <w:szCs w:val="22"/>
              </w:rPr>
              <w:t>desiccant</w:t>
            </w:r>
            <w:r w:rsidRPr="00B44304">
              <w:rPr>
                <w:szCs w:val="22"/>
              </w:rPr>
              <w:t xml:space="preserve"> unit.</w:t>
            </w:r>
          </w:p>
        </w:tc>
      </w:tr>
      <w:tr w:rsidR="004C5054" w:rsidRPr="00BD5DBD" w14:paraId="1AA09744" w14:textId="77777777" w:rsidTr="004C5054">
        <w:tc>
          <w:tcPr>
            <w:tcW w:w="1578" w:type="pct"/>
          </w:tcPr>
          <w:p w14:paraId="3BF4CABE" w14:textId="3CEA6405" w:rsidR="004C5054" w:rsidRPr="00BD5DBD" w:rsidRDefault="004C5054" w:rsidP="004C5054">
            <w:pPr>
              <w:rPr>
                <w:i/>
                <w:szCs w:val="22"/>
              </w:rPr>
            </w:pPr>
            <w:r w:rsidRPr="00BD5DBD">
              <w:rPr>
                <w:i/>
                <w:szCs w:val="22"/>
              </w:rPr>
              <w:t>Pack size:</w:t>
            </w:r>
          </w:p>
        </w:tc>
        <w:tc>
          <w:tcPr>
            <w:tcW w:w="3422" w:type="pct"/>
          </w:tcPr>
          <w:p w14:paraId="3912A068" w14:textId="576D0C71" w:rsidR="004C5054" w:rsidRPr="00BD5DBD" w:rsidRDefault="00CC19DE" w:rsidP="004C5054">
            <w:pPr>
              <w:rPr>
                <w:szCs w:val="22"/>
              </w:rPr>
            </w:pPr>
            <w:r w:rsidRPr="00CC19DE">
              <w:rPr>
                <w:szCs w:val="22"/>
              </w:rPr>
              <w:t>30 film-coated tablets</w:t>
            </w:r>
            <w:r>
              <w:rPr>
                <w:szCs w:val="22"/>
              </w:rPr>
              <w:t xml:space="preserve"> per bottle</w:t>
            </w:r>
          </w:p>
        </w:tc>
      </w:tr>
      <w:tr w:rsidR="004C5054" w:rsidRPr="00BD5DBD" w14:paraId="72A1822D" w14:textId="77777777" w:rsidTr="004C5054">
        <w:tc>
          <w:tcPr>
            <w:tcW w:w="1578" w:type="pct"/>
          </w:tcPr>
          <w:p w14:paraId="46A8584B" w14:textId="390313A9" w:rsidR="004C5054" w:rsidRPr="00BD5DBD" w:rsidRDefault="004C5054" w:rsidP="004C5054">
            <w:pPr>
              <w:rPr>
                <w:i/>
                <w:szCs w:val="22"/>
              </w:rPr>
            </w:pPr>
            <w:r w:rsidRPr="00BD5DBD">
              <w:rPr>
                <w:i/>
                <w:szCs w:val="22"/>
              </w:rPr>
              <w:t>Route of administration:</w:t>
            </w:r>
          </w:p>
        </w:tc>
        <w:tc>
          <w:tcPr>
            <w:tcW w:w="3422" w:type="pct"/>
          </w:tcPr>
          <w:p w14:paraId="4350177A" w14:textId="59D46EE4" w:rsidR="004C5054" w:rsidRPr="00BD5DBD" w:rsidRDefault="00CC19DE" w:rsidP="004C5054">
            <w:pPr>
              <w:rPr>
                <w:szCs w:val="22"/>
              </w:rPr>
            </w:pPr>
            <w:r>
              <w:rPr>
                <w:szCs w:val="22"/>
              </w:rPr>
              <w:t>oral</w:t>
            </w:r>
          </w:p>
        </w:tc>
      </w:tr>
      <w:tr w:rsidR="004C5054" w:rsidRPr="00BD5DBD" w14:paraId="6B85C3C8" w14:textId="77777777" w:rsidTr="004C5054">
        <w:tc>
          <w:tcPr>
            <w:tcW w:w="1578" w:type="pct"/>
          </w:tcPr>
          <w:p w14:paraId="390BF6E7" w14:textId="77777777" w:rsidR="004C5054" w:rsidRPr="00BD5DBD" w:rsidRDefault="004C5054" w:rsidP="004C5054">
            <w:pPr>
              <w:rPr>
                <w:i/>
                <w:szCs w:val="22"/>
              </w:rPr>
            </w:pPr>
            <w:r w:rsidRPr="00BD5DBD">
              <w:rPr>
                <w:i/>
                <w:szCs w:val="22"/>
              </w:rPr>
              <w:t>Dosage:</w:t>
            </w:r>
          </w:p>
        </w:tc>
        <w:tc>
          <w:tcPr>
            <w:tcW w:w="3422" w:type="pct"/>
          </w:tcPr>
          <w:p w14:paraId="1B0BCDD1" w14:textId="710E0F6D" w:rsidR="004C5054" w:rsidRDefault="00B263D0" w:rsidP="004C5054">
            <w:pPr>
              <w:rPr>
                <w:szCs w:val="22"/>
              </w:rPr>
            </w:pPr>
            <w:r w:rsidRPr="00B263D0">
              <w:rPr>
                <w:szCs w:val="22"/>
              </w:rPr>
              <w:t>80 mg once daily</w:t>
            </w:r>
          </w:p>
          <w:p w14:paraId="2EE392DC" w14:textId="5AE51E1E" w:rsidR="004C5054" w:rsidRPr="00BD5DBD" w:rsidRDefault="004C5054" w:rsidP="004C5054">
            <w:pPr>
              <w:rPr>
                <w:szCs w:val="22"/>
              </w:rPr>
            </w:pPr>
            <w:r w:rsidRPr="00BD5DBD">
              <w:rPr>
                <w:szCs w:val="22"/>
              </w:rPr>
              <w:t>For further information regarding dosage</w:t>
            </w:r>
            <w:r>
              <w:rPr>
                <w:szCs w:val="22"/>
              </w:rPr>
              <w:t xml:space="preserve"> r</w:t>
            </w:r>
            <w:r w:rsidRPr="00BD5DBD">
              <w:rPr>
                <w:szCs w:val="22"/>
              </w:rPr>
              <w:t xml:space="preserve">efer to the </w:t>
            </w:r>
            <w:hyperlink r:id="rId20" w:history="1">
              <w:r w:rsidRPr="004C5054">
                <w:rPr>
                  <w:rStyle w:val="Hyperlink"/>
                  <w:szCs w:val="22"/>
                </w:rPr>
                <w:t>Product Information</w:t>
              </w:r>
            </w:hyperlink>
            <w:r w:rsidRPr="00BD5DBD">
              <w:rPr>
                <w:szCs w:val="22"/>
              </w:rPr>
              <w:t>.</w:t>
            </w:r>
          </w:p>
        </w:tc>
      </w:tr>
      <w:tr w:rsidR="004C5054" w:rsidRPr="00BD5DBD" w14:paraId="12E49C21" w14:textId="77777777" w:rsidTr="004C5054">
        <w:tc>
          <w:tcPr>
            <w:tcW w:w="1578" w:type="pct"/>
          </w:tcPr>
          <w:p w14:paraId="05B4C2E6" w14:textId="062A11E9" w:rsidR="001071F0" w:rsidRPr="000111F4" w:rsidRDefault="004C5054" w:rsidP="000111F4">
            <w:pPr>
              <w:rPr>
                <w:i/>
                <w:szCs w:val="22"/>
              </w:rPr>
            </w:pPr>
            <w:r w:rsidRPr="00BD5DBD">
              <w:rPr>
                <w:i/>
                <w:szCs w:val="22"/>
              </w:rPr>
              <w:t>Pregnancy category:</w:t>
            </w:r>
          </w:p>
        </w:tc>
        <w:tc>
          <w:tcPr>
            <w:tcW w:w="3422" w:type="pct"/>
          </w:tcPr>
          <w:p w14:paraId="1B80F9B3" w14:textId="77777777" w:rsidR="004C5054" w:rsidRDefault="004C5054" w:rsidP="004C5054">
            <w:r>
              <w:t>Category D</w:t>
            </w:r>
          </w:p>
          <w:p w14:paraId="3DF819D9" w14:textId="6706AD0F" w:rsidR="004C5054" w:rsidRDefault="004C5054" w:rsidP="004C5054">
            <w:r>
              <w:t xml:space="preserve">Drugs which have caused, are suspected to have caused or may be expected to cause, an increased incidence of human </w:t>
            </w:r>
            <w:proofErr w:type="spellStart"/>
            <w:r>
              <w:t>fetal</w:t>
            </w:r>
            <w:proofErr w:type="spellEnd"/>
            <w:r>
              <w:t xml:space="preserve"> malformations or irreversible damage. These drugs may also have adverse pharmacological effects.</w:t>
            </w:r>
          </w:p>
          <w:p w14:paraId="3586E3F9" w14:textId="7A7B4B5A" w:rsidR="001071F0" w:rsidRPr="001071F0" w:rsidRDefault="004C5054" w:rsidP="000111F4">
            <w:r w:rsidRPr="00BD5DBD">
              <w:t xml:space="preserve">The use of any medicine during pregnancy requires careful consideration of both risks and benefits by the treating health professional. </w:t>
            </w:r>
            <w:r>
              <w:t xml:space="preserve">The </w:t>
            </w:r>
            <w:hyperlink r:id="rId21" w:history="1">
              <w:r w:rsidRPr="00065FDF">
                <w:rPr>
                  <w:rStyle w:val="Hyperlink"/>
                  <w:szCs w:val="22"/>
                </w:rPr>
                <w:t>pregnancy database</w:t>
              </w:r>
            </w:hyperlink>
            <w:r>
              <w:t xml:space="preserve"> </w:t>
            </w:r>
            <w:r w:rsidRPr="00BD5DBD">
              <w:t xml:space="preserve">must not be used as the sole basis of decision making in the use of medicines during pregnancy. The TGA does not provide advice on the use of medicines in pregnancy for specific cases. More information is available from </w:t>
            </w:r>
            <w:hyperlink r:id="rId22" w:history="1">
              <w:r w:rsidRPr="00C059D0">
                <w:rPr>
                  <w:rStyle w:val="Hyperlink"/>
                  <w:szCs w:val="22"/>
                </w:rPr>
                <w:t>obstetric drug information services</w:t>
              </w:r>
            </w:hyperlink>
            <w:r w:rsidRPr="00BD5DBD">
              <w:t xml:space="preserve"> in your </w:t>
            </w:r>
            <w:r>
              <w:t>s</w:t>
            </w:r>
            <w:r w:rsidRPr="00BD5DBD">
              <w:t xml:space="preserve">tate or </w:t>
            </w:r>
            <w:r>
              <w:t>t</w:t>
            </w:r>
            <w:r w:rsidRPr="00BD5DBD">
              <w:t>erritory.</w:t>
            </w:r>
          </w:p>
        </w:tc>
      </w:tr>
    </w:tbl>
    <w:p w14:paraId="51F2479F" w14:textId="4B44F17A" w:rsidR="00324B33" w:rsidRDefault="00574BAB" w:rsidP="000111F4">
      <w:pPr>
        <w:pStyle w:val="Heading3"/>
      </w:pPr>
      <w:bookmarkStart w:id="8" w:name="_Toc206075812"/>
      <w:r>
        <w:lastRenderedPageBreak/>
        <w:t>P</w:t>
      </w:r>
      <w:r w:rsidR="006D0E86" w:rsidRPr="006D0E86">
        <w:t xml:space="preserve">roposed </w:t>
      </w:r>
      <w:r w:rsidR="006D0E86" w:rsidRPr="000111F4">
        <w:t>indication</w:t>
      </w:r>
      <w:bookmarkEnd w:id="8"/>
    </w:p>
    <w:p w14:paraId="71A53451" w14:textId="53AE88EB" w:rsidR="004C5054" w:rsidRDefault="00324B33" w:rsidP="000111F4">
      <w:r w:rsidRPr="00065839">
        <w:t xml:space="preserve">This </w:t>
      </w:r>
      <w:proofErr w:type="spellStart"/>
      <w:r w:rsidRPr="00065839">
        <w:t>AusPAR</w:t>
      </w:r>
      <w:proofErr w:type="spellEnd"/>
      <w:r w:rsidRPr="00065839">
        <w:t xml:space="preserve"> describes the submission by </w:t>
      </w:r>
      <w:r w:rsidR="001071F0" w:rsidRPr="001071F0">
        <w:t>Ipsen Pty Ltd</w:t>
      </w:r>
      <w:r w:rsidRPr="00065839">
        <w:t xml:space="preserve"> (the </w:t>
      </w:r>
      <w:r w:rsidR="00417D9A">
        <w:t>S</w:t>
      </w:r>
      <w:r w:rsidRPr="00065839">
        <w:t>ponsor)</w:t>
      </w:r>
      <w:r w:rsidR="007E50E2">
        <w:rPr>
          <w:rStyle w:val="FootnoteReference"/>
        </w:rPr>
        <w:footnoteReference w:id="1"/>
      </w:r>
      <w:r w:rsidRPr="00065839">
        <w:t xml:space="preserve"> to register </w:t>
      </w:r>
      <w:r w:rsidR="006029C9">
        <w:t>IQIRVO</w:t>
      </w:r>
      <w:r w:rsidR="001071F0">
        <w:t xml:space="preserve"> (</w:t>
      </w:r>
      <w:proofErr w:type="spellStart"/>
      <w:r w:rsidR="001071F0" w:rsidRPr="001071F0">
        <w:t>elafibranor</w:t>
      </w:r>
      <w:proofErr w:type="spellEnd"/>
      <w:r w:rsidR="001071F0">
        <w:t>)</w:t>
      </w:r>
      <w:r w:rsidRPr="00065839">
        <w:t xml:space="preserve"> for the following proposed indication:</w:t>
      </w:r>
      <w:bookmarkStart w:id="9" w:name="_Toc314842485"/>
      <w:bookmarkStart w:id="10" w:name="_Toc247691504"/>
    </w:p>
    <w:p w14:paraId="760CE365" w14:textId="26818745" w:rsidR="002C48CE" w:rsidRPr="000111F4" w:rsidRDefault="006029C9" w:rsidP="000111F4">
      <w:pPr>
        <w:ind w:left="720"/>
        <w:rPr>
          <w:i/>
          <w:iCs/>
        </w:rPr>
      </w:pPr>
      <w:r w:rsidRPr="000111F4">
        <w:rPr>
          <w:i/>
          <w:iCs/>
        </w:rPr>
        <w:t>IQIRVO</w:t>
      </w:r>
      <w:r w:rsidR="002C48CE" w:rsidRPr="000111F4">
        <w:rPr>
          <w:i/>
          <w:iCs/>
        </w:rPr>
        <w:t xml:space="preserve"> is indicated for the treatment of primary biliary cholangitis (PBC) in combination with ursodeoxycholic acid (UDCA) in adults with an inadequate response to UDCA, or as monotherapy in adults unable to tolerate UDCA.</w:t>
      </w:r>
    </w:p>
    <w:p w14:paraId="4DD1DA7C" w14:textId="4A0C5292" w:rsidR="004C5054" w:rsidRDefault="0033169F" w:rsidP="000111F4">
      <w:pPr>
        <w:pStyle w:val="Heading3"/>
      </w:pPr>
      <w:bookmarkStart w:id="11" w:name="_Toc206075813"/>
      <w:r w:rsidRPr="0033169F">
        <w:t xml:space="preserve">The </w:t>
      </w:r>
      <w:r w:rsidR="00F008F8" w:rsidRPr="000111F4">
        <w:t>condition</w:t>
      </w:r>
      <w:bookmarkEnd w:id="11"/>
    </w:p>
    <w:p w14:paraId="7C9FAB5C" w14:textId="446ECD67" w:rsidR="005C5CD7" w:rsidRDefault="005C5CD7" w:rsidP="000111F4">
      <w:r>
        <w:t>Primary biliary cholangitis (PBC) is a rare and chronic, progressive autoimmune liver disease characterised by lymphocytic cholangitis, predominantly affecting females.</w:t>
      </w:r>
      <w:r w:rsidR="00717944">
        <w:rPr>
          <w:rStyle w:val="FootnoteReference"/>
        </w:rPr>
        <w:footnoteReference w:id="2"/>
      </w:r>
      <w:r>
        <w:t xml:space="preserve"> PBC is often progressive, and patients who are not treated or with an inadequate response to UDCA commonly progress to fibrosis, cirrhosis, liver failure and death unless liver transplant is received.</w:t>
      </w:r>
    </w:p>
    <w:p w14:paraId="147DE6C1" w14:textId="69CAC5C7" w:rsidR="005C5CD7" w:rsidRDefault="005C5CD7" w:rsidP="000111F4">
      <w:r>
        <w:t xml:space="preserve">Clinical practice guidelines suggest a diagnosis of PBC is based on the presence of at least 2 of 3 of the following: An elevated serum </w:t>
      </w:r>
      <w:r w:rsidR="00A54141">
        <w:t>a</w:t>
      </w:r>
      <w:r w:rsidR="00A54141" w:rsidRPr="00A54141">
        <w:t xml:space="preserve">lkaline </w:t>
      </w:r>
      <w:r w:rsidR="00A54141">
        <w:t>p</w:t>
      </w:r>
      <w:r w:rsidR="00A54141" w:rsidRPr="00A54141">
        <w:t xml:space="preserve">hosphatase </w:t>
      </w:r>
      <w:r w:rsidR="00A54141">
        <w:t>(</w:t>
      </w:r>
      <w:r>
        <w:t>ALP</w:t>
      </w:r>
      <w:r w:rsidR="00A54141">
        <w:t>)</w:t>
      </w:r>
      <w:r>
        <w:t xml:space="preserve"> level </w:t>
      </w:r>
      <w:r w:rsidR="00EB5C42">
        <w:t xml:space="preserve">greater than </w:t>
      </w:r>
      <w:r>
        <w:t xml:space="preserve">1.5 </w:t>
      </w:r>
      <w:r w:rsidR="00EB5C42">
        <w:t>the upper limit of normal</w:t>
      </w:r>
      <w:r>
        <w:t xml:space="preserve">; histologic evidence of chronic, non-suppurative biliary ductal destruction; and presence of anti-mitochondrial antibodies (AMA) at a titre of </w:t>
      </w:r>
      <w:r w:rsidR="00EB5C42">
        <w:t xml:space="preserve">more than </w:t>
      </w:r>
      <w:r>
        <w:t>1:40.</w:t>
      </w:r>
      <w:r w:rsidR="002A1C06" w:rsidRPr="00CB0969">
        <w:rPr>
          <w:rStyle w:val="FootnoteReference"/>
        </w:rPr>
        <w:footnoteReference w:id="3"/>
      </w:r>
      <w:r w:rsidR="00976DE4" w:rsidRPr="00CB0969">
        <w:rPr>
          <w:vertAlign w:val="superscript"/>
        </w:rPr>
        <w:t>,</w:t>
      </w:r>
      <w:r w:rsidR="00976DE4" w:rsidRPr="00CB0969">
        <w:rPr>
          <w:rStyle w:val="FootnoteReference"/>
        </w:rPr>
        <w:footnoteReference w:id="4"/>
      </w:r>
      <w:r w:rsidR="00CB0969" w:rsidRPr="00CB0969">
        <w:rPr>
          <w:vertAlign w:val="superscript"/>
        </w:rPr>
        <w:t>,</w:t>
      </w:r>
      <w:r w:rsidR="00CB0969" w:rsidRPr="00CB0969">
        <w:rPr>
          <w:rStyle w:val="FootnoteReference"/>
        </w:rPr>
        <w:footnoteReference w:id="5"/>
      </w:r>
    </w:p>
    <w:p w14:paraId="2950A0FB" w14:textId="3846B226" w:rsidR="005C5CD7" w:rsidRPr="005C5CD7" w:rsidRDefault="005C5CD7" w:rsidP="000111F4">
      <w:r>
        <w:t>During development of symptoms, which can occur over many years, patients may develop progressive jaundice, portal hypertension and liver failure. Hepatocellular carcinoma may also develop in advanced stages of P</w:t>
      </w:r>
      <w:r w:rsidR="004459D2">
        <w:t>B</w:t>
      </w:r>
      <w:r>
        <w:t>C. Fat-soluble vitamin malabsorption may occur due to a decrease in biliary secretion of bile acids</w:t>
      </w:r>
      <w:r w:rsidR="00CB0969">
        <w:t>.</w:t>
      </w:r>
      <w:r w:rsidR="00CB0969">
        <w:rPr>
          <w:rStyle w:val="FootnoteReference"/>
        </w:rPr>
        <w:footnoteReference w:id="6"/>
      </w:r>
    </w:p>
    <w:p w14:paraId="3D376116" w14:textId="219669E0" w:rsidR="004C5054" w:rsidRDefault="00480A4C" w:rsidP="000111F4">
      <w:pPr>
        <w:pStyle w:val="Heading3"/>
      </w:pPr>
      <w:bookmarkStart w:id="12" w:name="_Toc206075814"/>
      <w:r w:rsidRPr="00480A4C">
        <w:t xml:space="preserve">Current </w:t>
      </w:r>
      <w:r w:rsidRPr="000111F4">
        <w:t>treatment</w:t>
      </w:r>
      <w:r w:rsidRPr="00480A4C">
        <w:t xml:space="preserve"> options</w:t>
      </w:r>
      <w:bookmarkEnd w:id="12"/>
    </w:p>
    <w:p w14:paraId="18B6A249" w14:textId="1FD179FF" w:rsidR="00465A3D" w:rsidRDefault="00465A3D" w:rsidP="000111F4">
      <w:r>
        <w:t xml:space="preserve">Currently approved medicines for the treatment of PBC are UDCA, a hydrophilic, non-cytotoxic bile acid and </w:t>
      </w:r>
      <w:proofErr w:type="spellStart"/>
      <w:r>
        <w:t>obeticholic</w:t>
      </w:r>
      <w:proofErr w:type="spellEnd"/>
      <w:r>
        <w:t xml:space="preserve"> acid (OCA), a semi-synthetic analogue of the primary bile acid chenodeoxycholic acid, which selectively activates the nuclear hormone receptor </w:t>
      </w:r>
      <w:proofErr w:type="spellStart"/>
      <w:r>
        <w:t>farnesoid</w:t>
      </w:r>
      <w:proofErr w:type="spellEnd"/>
      <w:r>
        <w:t xml:space="preserve"> X receptor.</w:t>
      </w:r>
      <w:r w:rsidR="00CB0969">
        <w:rPr>
          <w:rStyle w:val="FootnoteReference"/>
        </w:rPr>
        <w:footnoteReference w:id="7"/>
      </w:r>
    </w:p>
    <w:p w14:paraId="317C906E" w14:textId="1F619D6E" w:rsidR="00465A3D" w:rsidRDefault="00465A3D" w:rsidP="000111F4">
      <w:r>
        <w:t xml:space="preserve">Up to 40% of patients treated with UDCA have an inadequate response and remain at high risk of disease progression and have reduced transplant-free survival rates compared to UDCA </w:t>
      </w:r>
      <w:r>
        <w:lastRenderedPageBreak/>
        <w:t>responders. Despite ongoing therapy, 26-44% of patients with ALP &gt;1.67 x ULN (considered to be an important marker of disease activity) progress to liver transplant or death over 15 years</w:t>
      </w:r>
      <w:r w:rsidR="00BD2C9D">
        <w:t>.</w:t>
      </w:r>
      <w:r w:rsidR="009B3B0A">
        <w:rPr>
          <w:rStyle w:val="FootnoteReference"/>
        </w:rPr>
        <w:footnoteReference w:id="8"/>
      </w:r>
      <w:r w:rsidR="00BD2C9D" w:rsidRPr="00BD2C9D">
        <w:rPr>
          <w:vertAlign w:val="superscript"/>
        </w:rPr>
        <w:t>,</w:t>
      </w:r>
      <w:r w:rsidR="00BD2C9D">
        <w:rPr>
          <w:rStyle w:val="FootnoteReference"/>
        </w:rPr>
        <w:footnoteReference w:id="9"/>
      </w:r>
    </w:p>
    <w:p w14:paraId="3572C98C" w14:textId="620F776B" w:rsidR="00B63900" w:rsidRDefault="00465A3D" w:rsidP="000111F4">
      <w:r>
        <w:t xml:space="preserve">OCA was the only approved second line therapy for the treatment of PBC. It was conditionally approved in 2016 by the </w:t>
      </w:r>
      <w:r w:rsidR="00D37C9D">
        <w:t>USA Food and Drug Administ</w:t>
      </w:r>
      <w:r w:rsidR="00401D9C">
        <w:t>rat</w:t>
      </w:r>
      <w:r w:rsidR="00D37C9D">
        <w:t>ion</w:t>
      </w:r>
      <w:r w:rsidR="00401D9C">
        <w:t xml:space="preserve"> (</w:t>
      </w:r>
      <w:r>
        <w:t>FDA</w:t>
      </w:r>
      <w:r w:rsidR="00401D9C">
        <w:t>)</w:t>
      </w:r>
      <w:r>
        <w:t xml:space="preserve"> and </w:t>
      </w:r>
      <w:r w:rsidR="00401D9C">
        <w:t>the European Medicines Agency (</w:t>
      </w:r>
      <w:r>
        <w:t>EMA</w:t>
      </w:r>
      <w:r w:rsidR="00401D9C">
        <w:t>)</w:t>
      </w:r>
      <w:r>
        <w:t xml:space="preserve"> for the treatment of PBC in combination with UDCA in patients with an inadequate response to treatment with UDCA or as monotherapy in patients who are unable to tolerate UDCA. </w:t>
      </w:r>
      <w:r w:rsidR="007B336C">
        <w:t>However,</w:t>
      </w:r>
      <w:r>
        <w:t xml:space="preserve"> marketing authorisation for OCA was withdrawn in 2024 for both the FDA and EMA due to the results of the post-market approval, randomised controlled clinical trial</w:t>
      </w:r>
      <w:r w:rsidR="00A705E0">
        <w:rPr>
          <w:rStyle w:val="FootnoteReference"/>
        </w:rPr>
        <w:footnoteReference w:id="10"/>
      </w:r>
      <w:r w:rsidR="00A705E0">
        <w:t xml:space="preserve"> </w:t>
      </w:r>
      <w:r>
        <w:t>which was a study requested by the FDA and EMA at the time of conditional approval to confirm the efficacy and safety of OCA</w:t>
      </w:r>
      <w:r w:rsidR="00A705E0">
        <w:t>.</w:t>
      </w:r>
    </w:p>
    <w:p w14:paraId="12BD917F" w14:textId="741F1ECD" w:rsidR="00465A3D" w:rsidRDefault="00A705E0" w:rsidP="000111F4">
      <w:r>
        <w:t>H</w:t>
      </w:r>
      <w:r w:rsidR="00465A3D">
        <w:t>owever</w:t>
      </w:r>
      <w:r>
        <w:t>,</w:t>
      </w:r>
      <w:r w:rsidR="00465A3D">
        <w:t xml:space="preserve"> there were potential bias</w:t>
      </w:r>
      <w:r>
        <w:t>es</w:t>
      </w:r>
      <w:r w:rsidR="00465A3D">
        <w:t xml:space="preserve"> underlying the trial, particularly in the placebo arm-due to inadequate enrolment and retention, the study was under-powered for the primary EMA composite endpoint and the FDA composite endpoint.</w:t>
      </w:r>
      <w:r w:rsidR="00FB1D2F">
        <w:rPr>
          <w:rStyle w:val="FootnoteReference"/>
        </w:rPr>
        <w:footnoteReference w:id="11"/>
      </w:r>
      <w:r w:rsidR="00465A3D">
        <w:t xml:space="preserve"> Additionally, the use of OCA has been associated with exacerbation of pruritus (23% vs. 7% in placebo arms).</w:t>
      </w:r>
      <w:r w:rsidR="00D37DEA">
        <w:rPr>
          <w:rStyle w:val="FootnoteReference"/>
        </w:rPr>
        <w:footnoteReference w:id="12"/>
      </w:r>
      <w:r w:rsidR="00465A3D">
        <w:t xml:space="preserve"> Lower starting doses are thus recommended due to the increased risk of pruritus and there may be the need for additional bile acid binding resins, antihistamines, dose reduction, reduced dosing frequency or temporary dose interruption. Additionally, OCA is contraindicated for use in patients with compensated cirrhosis with portal hypertension and in patients with decompensation event</w:t>
      </w:r>
      <w:r w:rsidR="00B63900">
        <w:t>s.</w:t>
      </w:r>
    </w:p>
    <w:p w14:paraId="4EA240C7" w14:textId="0D562996" w:rsidR="00465A3D" w:rsidRPr="00465A3D" w:rsidRDefault="00465A3D" w:rsidP="000111F4">
      <w:r>
        <w:t>Fibrates have been used off-label for treatment of PBC and have shown some benefit e.g., with bezafibrate.</w:t>
      </w:r>
      <w:r w:rsidR="006F62E8">
        <w:rPr>
          <w:rStyle w:val="FootnoteReference"/>
        </w:rPr>
        <w:footnoteReference w:id="13"/>
      </w:r>
    </w:p>
    <w:p w14:paraId="37C47E09" w14:textId="226868CE" w:rsidR="00CB6813" w:rsidRDefault="002F116C" w:rsidP="000111F4">
      <w:pPr>
        <w:pStyle w:val="Heading3"/>
      </w:pPr>
      <w:bookmarkStart w:id="13" w:name="_Toc206075815"/>
      <w:r w:rsidRPr="002F116C">
        <w:lastRenderedPageBreak/>
        <w:t xml:space="preserve">Clinical </w:t>
      </w:r>
      <w:r w:rsidRPr="000111F4">
        <w:t>rationale</w:t>
      </w:r>
      <w:bookmarkEnd w:id="13"/>
    </w:p>
    <w:p w14:paraId="6EDC93DA" w14:textId="3E40C2FB" w:rsidR="009226CC" w:rsidRDefault="009226CC" w:rsidP="000111F4">
      <w:proofErr w:type="spellStart"/>
      <w:r>
        <w:t>Elafibranor</w:t>
      </w:r>
      <w:proofErr w:type="spellEnd"/>
      <w:r>
        <w:t xml:space="preserve"> and its main active metabolite GFT1007 are dual peroxisome proliferator-activated receptor (PPAR) α/δ agonists. Activation of PPARα is claimed to decrease bile acid (BA) synthesis, increase BA detoxification and modulate BA output resulting in decreased bile toxicity and less injury to cholangiocytes and hepatocytes. Activation of </w:t>
      </w:r>
      <w:proofErr w:type="spellStart"/>
      <w:r>
        <w:t>PPARδ</w:t>
      </w:r>
      <w:proofErr w:type="spellEnd"/>
      <w:r>
        <w:t xml:space="preserve"> also regulates transporters that absorb and secrete bile components, contributing to decreased bile toxicity and improving cholestasis.</w:t>
      </w:r>
    </w:p>
    <w:p w14:paraId="1F20FFF8" w14:textId="7AB12CBE" w:rsidR="009226CC" w:rsidRDefault="009226CC" w:rsidP="000111F4">
      <w:r>
        <w:t xml:space="preserve">Activation of PPARα and </w:t>
      </w:r>
      <w:proofErr w:type="spellStart"/>
      <w:r>
        <w:t>PPARδ</w:t>
      </w:r>
      <w:proofErr w:type="spellEnd"/>
      <w:r>
        <w:t xml:space="preserve"> also have anti-inflammatory effects by acting on different pathways of inflammation, NF-</w:t>
      </w:r>
      <w:proofErr w:type="spellStart"/>
      <w:r w:rsidR="008B437E">
        <w:t>κ</w:t>
      </w:r>
      <w:r>
        <w:t>B</w:t>
      </w:r>
      <w:proofErr w:type="spellEnd"/>
      <w:r>
        <w:t xml:space="preserve"> and B-cell lymphoma 6 (BCL6) pathways, respectively.</w:t>
      </w:r>
    </w:p>
    <w:p w14:paraId="1A4219A4" w14:textId="0275A544" w:rsidR="009226CC" w:rsidRPr="009226CC" w:rsidRDefault="009226CC" w:rsidP="000111F4">
      <w:r>
        <w:t>Notably</w:t>
      </w:r>
      <w:r w:rsidR="008B437E">
        <w:t>,</w:t>
      </w:r>
      <w:r>
        <w:t xml:space="preserve"> it is the first in class medicine to treat PBC. </w:t>
      </w:r>
      <w:proofErr w:type="spellStart"/>
      <w:r>
        <w:t>Obeticholic</w:t>
      </w:r>
      <w:proofErr w:type="spellEnd"/>
      <w:r>
        <w:t xml:space="preserve"> acid (OCALIVA, or OCA) has been approved in Australia for the treatment of PBC and is the only currently registered medicine on the ARTG apart from UCDA for the treatment of PBC. OCA is a </w:t>
      </w:r>
      <w:proofErr w:type="spellStart"/>
      <w:r>
        <w:t>farnesoid</w:t>
      </w:r>
      <w:proofErr w:type="spellEnd"/>
      <w:r>
        <w:t xml:space="preserve"> X receptor agonist.</w:t>
      </w:r>
    </w:p>
    <w:p w14:paraId="0D615854" w14:textId="77777777" w:rsidR="00324B33" w:rsidRPr="003F31A2" w:rsidRDefault="00324B33" w:rsidP="000111F4">
      <w:pPr>
        <w:pStyle w:val="Heading3"/>
      </w:pPr>
      <w:bookmarkStart w:id="14" w:name="_Toc103679291"/>
      <w:bookmarkStart w:id="15" w:name="_Toc206075816"/>
      <w:r>
        <w:t xml:space="preserve">Regulatory </w:t>
      </w:r>
      <w:r w:rsidRPr="000111F4">
        <w:t>status</w:t>
      </w:r>
      <w:bookmarkEnd w:id="9"/>
      <w:bookmarkEnd w:id="10"/>
      <w:bookmarkEnd w:id="14"/>
      <w:bookmarkEnd w:id="15"/>
    </w:p>
    <w:p w14:paraId="72C889D6" w14:textId="7E200950" w:rsidR="0017005C" w:rsidRPr="00BD5DBD" w:rsidRDefault="0017005C" w:rsidP="000111F4">
      <w:pPr>
        <w:pStyle w:val="Heading4"/>
      </w:pPr>
      <w:bookmarkStart w:id="16" w:name="_Toc206075817"/>
      <w:r w:rsidRPr="00BD5DBD">
        <w:t>Australian regulatory</w:t>
      </w:r>
      <w:r>
        <w:t xml:space="preserve"> sta</w:t>
      </w:r>
      <w:r w:rsidR="0025785B">
        <w:t>t</w:t>
      </w:r>
      <w:r>
        <w:t>us</w:t>
      </w:r>
      <w:bookmarkEnd w:id="16"/>
    </w:p>
    <w:p w14:paraId="6A8633FA" w14:textId="3C9DEE03" w:rsidR="00324B33" w:rsidRDefault="00324B33" w:rsidP="000111F4">
      <w:r w:rsidRPr="00BD5DBD">
        <w:t>This product is a new chemical</w:t>
      </w:r>
      <w:r w:rsidR="008C754C" w:rsidRPr="00BD5DBD">
        <w:t xml:space="preserve"> entity</w:t>
      </w:r>
      <w:r w:rsidRPr="00BD5DBD">
        <w:t xml:space="preserve"> for Australian regulatory purposes.</w:t>
      </w:r>
    </w:p>
    <w:p w14:paraId="546C1031" w14:textId="4EF98FA1" w:rsidR="0017005C" w:rsidRDefault="00131B1B" w:rsidP="000111F4">
      <w:pPr>
        <w:pStyle w:val="Heading4"/>
      </w:pPr>
      <w:bookmarkStart w:id="17" w:name="_Toc206075818"/>
      <w:r>
        <w:t xml:space="preserve">International </w:t>
      </w:r>
      <w:r w:rsidR="0017005C" w:rsidRPr="00BD5DBD">
        <w:t>regulatory</w:t>
      </w:r>
      <w:r w:rsidR="0017005C">
        <w:t xml:space="preserve"> status</w:t>
      </w:r>
      <w:bookmarkEnd w:id="17"/>
    </w:p>
    <w:p w14:paraId="04269FD5" w14:textId="172CE5A7" w:rsidR="00F74403" w:rsidRPr="000111F4" w:rsidRDefault="008F4A62" w:rsidP="000111F4">
      <w:r w:rsidRPr="004B47C1">
        <w:rPr>
          <w:i/>
          <w:iCs/>
        </w:rPr>
        <w:t>At the time the TGA considered this submission</w:t>
      </w:r>
      <w:r w:rsidRPr="00BD5DBD">
        <w:t xml:space="preserve">, a similar submission had been </w:t>
      </w:r>
      <w:r>
        <w:t>considered by other regulatory agencies</w:t>
      </w:r>
      <w:r w:rsidR="00D07254">
        <w:t xml:space="preserve"> </w:t>
      </w:r>
      <w:r w:rsidR="00D07254" w:rsidRPr="00D07254">
        <w:t>including those of the European Union (submitted 28 September 2023), United States of America (submitted 9 October 2023), United Kingdom (submitted 16 November 2023), Canada (submitted 14 June 2024), Switzerland (submitted 6 May 2024) and Singapore (submitted 26 September 2024)</w:t>
      </w:r>
      <w:r>
        <w:t>.</w:t>
      </w:r>
    </w:p>
    <w:p w14:paraId="6D92589C" w14:textId="09786CEF" w:rsidR="00324B33" w:rsidRDefault="00324B33" w:rsidP="000111F4">
      <w:pPr>
        <w:pStyle w:val="Heading3"/>
      </w:pPr>
      <w:bookmarkStart w:id="18" w:name="_Toc504480011"/>
      <w:bookmarkStart w:id="19" w:name="_Toc103679293"/>
      <w:bookmarkStart w:id="20" w:name="_Toc206075819"/>
      <w:r>
        <w:t xml:space="preserve">Registration </w:t>
      </w:r>
      <w:r w:rsidRPr="000111F4">
        <w:t>timeline</w:t>
      </w:r>
      <w:bookmarkEnd w:id="18"/>
      <w:bookmarkEnd w:id="19"/>
      <w:bookmarkEnd w:id="20"/>
    </w:p>
    <w:p w14:paraId="225E3D87" w14:textId="24A72920" w:rsidR="00324B33" w:rsidRPr="00BD5DBD" w:rsidRDefault="00BB25A3" w:rsidP="000111F4">
      <w:r>
        <w:t>T</w:t>
      </w:r>
      <w:r w:rsidR="00324B33" w:rsidRPr="00BD5DBD">
        <w:t>able</w:t>
      </w:r>
      <w:r>
        <w:t xml:space="preserve"> </w:t>
      </w:r>
      <w:r w:rsidR="003C6B30">
        <w:t>2</w:t>
      </w:r>
      <w:r w:rsidR="00324B33" w:rsidRPr="00BD5DBD">
        <w:t xml:space="preserve"> captures the key steps and dates for this submission.</w:t>
      </w:r>
    </w:p>
    <w:p w14:paraId="6BB76942" w14:textId="49C62989" w:rsidR="00477C4E" w:rsidRPr="00BD5DBD" w:rsidRDefault="00477C4E" w:rsidP="000111F4">
      <w:pPr>
        <w:rPr>
          <w:szCs w:val="22"/>
        </w:rPr>
      </w:pPr>
      <w:r w:rsidRPr="00BD5DBD">
        <w:rPr>
          <w:szCs w:val="22"/>
        </w:rPr>
        <w:t xml:space="preserve">This submission was evaluated under the </w:t>
      </w:r>
      <w:hyperlink r:id="rId23" w:history="1">
        <w:r w:rsidRPr="00BD5DBD">
          <w:rPr>
            <w:rStyle w:val="Hyperlink"/>
            <w:szCs w:val="22"/>
          </w:rPr>
          <w:t>standard prescription medicines registration process</w:t>
        </w:r>
      </w:hyperlink>
      <w:r w:rsidRPr="00BD5DBD">
        <w:rPr>
          <w:szCs w:val="22"/>
        </w:rPr>
        <w:t>.</w:t>
      </w:r>
    </w:p>
    <w:p w14:paraId="44628C5F" w14:textId="78568DBE" w:rsidR="00324B33" w:rsidRDefault="00324B33" w:rsidP="000111F4">
      <w:pPr>
        <w:pStyle w:val="TableTitle"/>
      </w:pPr>
      <w:r w:rsidRPr="002C1232">
        <w:t xml:space="preserve">Table </w:t>
      </w:r>
      <w:r w:rsidR="007F1E37">
        <w:fldChar w:fldCharType="begin"/>
      </w:r>
      <w:r w:rsidR="007F1E37">
        <w:instrText xml:space="preserve"> SEQ Table \* ARABIC </w:instrText>
      </w:r>
      <w:r w:rsidR="007F1E37">
        <w:fldChar w:fldCharType="separate"/>
      </w:r>
      <w:r w:rsidR="008B1CB5" w:rsidRPr="002C1232">
        <w:t>2</w:t>
      </w:r>
      <w:r w:rsidR="007F1E37">
        <w:fldChar w:fldCharType="end"/>
      </w:r>
      <w:r w:rsidRPr="002C1232">
        <w:t xml:space="preserve">: </w:t>
      </w:r>
      <w:r w:rsidR="001A716C" w:rsidRPr="001A716C">
        <w:t xml:space="preserve">Registration </w:t>
      </w:r>
      <w:r w:rsidR="001A716C" w:rsidRPr="000111F4">
        <w:t>timeline</w:t>
      </w:r>
      <w:r w:rsidR="001A716C" w:rsidRPr="001A716C">
        <w:t xml:space="preserve"> for</w:t>
      </w:r>
      <w:r w:rsidR="001A716C">
        <w:t xml:space="preserve"> </w:t>
      </w:r>
      <w:r w:rsidR="006029C9">
        <w:t>IQIRVO</w:t>
      </w:r>
      <w:r w:rsidR="005D5DFA">
        <w:t xml:space="preserve"> </w:t>
      </w:r>
      <w:r w:rsidR="001A716C" w:rsidRPr="001A716C">
        <w:t>(</w:t>
      </w:r>
      <w:proofErr w:type="spellStart"/>
      <w:r w:rsidR="005D5DFA" w:rsidRPr="005D5DFA">
        <w:t>elafibranor</w:t>
      </w:r>
      <w:proofErr w:type="spellEnd"/>
      <w:r w:rsidR="001A716C" w:rsidRPr="001A716C">
        <w:t xml:space="preserve">), submission </w:t>
      </w:r>
      <w:r w:rsidR="005D5DFA" w:rsidRPr="005D5DFA">
        <w:t>PM-2024-00662-1-1</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4F4E722F" w:rsidR="00324B33" w:rsidRPr="00E679D1" w:rsidRDefault="00324B33" w:rsidP="00133F91">
            <w:pPr>
              <w:ind w:left="71"/>
            </w:pPr>
            <w:r w:rsidRPr="00E679D1">
              <w:t>Submission dossier accepted and evaluation commenced</w:t>
            </w:r>
          </w:p>
        </w:tc>
        <w:tc>
          <w:tcPr>
            <w:tcW w:w="2977" w:type="dxa"/>
          </w:tcPr>
          <w:p w14:paraId="2963D9D8" w14:textId="73DD753E" w:rsidR="00324B33" w:rsidRPr="00D01DDB" w:rsidRDefault="003C6B3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April 2024</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153654A2" w:rsidR="005D5DFA" w:rsidRPr="005D5DFA" w:rsidDel="00C62B1C" w:rsidRDefault="00803926" w:rsidP="005D5DFA">
            <w:pPr>
              <w:ind w:left="71"/>
            </w:pPr>
            <w:r>
              <w:t>Evaluation completed</w:t>
            </w:r>
          </w:p>
        </w:tc>
        <w:tc>
          <w:tcPr>
            <w:tcW w:w="2977" w:type="dxa"/>
          </w:tcPr>
          <w:p w14:paraId="2E0BD403" w14:textId="60597B7A" w:rsidR="00803926" w:rsidRPr="00D01DDB" w:rsidRDefault="00FC54B8"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November 2024</w:t>
            </w:r>
          </w:p>
        </w:tc>
      </w:tr>
      <w:tr w:rsidR="00324B33" w:rsidRPr="00D01DDB" w14:paraId="5754F7AC"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9DE187" w14:textId="34866B89" w:rsidR="005D5DFA" w:rsidRPr="005D5DFA" w:rsidRDefault="00324B33" w:rsidP="005D5DFA">
            <w:pPr>
              <w:ind w:left="71"/>
            </w:pPr>
            <w:r w:rsidRPr="00E679D1">
              <w:t xml:space="preserve">Advisory </w:t>
            </w:r>
            <w:r w:rsidR="00F8568E">
              <w:t>c</w:t>
            </w:r>
            <w:r w:rsidRPr="00E679D1">
              <w:t>ommittee meeting</w:t>
            </w:r>
          </w:p>
        </w:tc>
        <w:tc>
          <w:tcPr>
            <w:tcW w:w="2977" w:type="dxa"/>
          </w:tcPr>
          <w:p w14:paraId="5BE1EDE7" w14:textId="446883CF" w:rsidR="00324B33" w:rsidRPr="00D01DDB" w:rsidRDefault="00C50F3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7 February 2025 </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133F91">
            <w:pPr>
              <w:ind w:left="71"/>
            </w:pPr>
            <w:r w:rsidRPr="00E679D1">
              <w:t>Registration decision (Outcome)</w:t>
            </w:r>
          </w:p>
        </w:tc>
        <w:tc>
          <w:tcPr>
            <w:tcW w:w="2977" w:type="dxa"/>
          </w:tcPr>
          <w:p w14:paraId="62987ABD" w14:textId="7098B510" w:rsidR="00324B33" w:rsidRPr="00D01DDB" w:rsidRDefault="005D5DF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18 March 2025</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336B85B1" w:rsidR="00324B33" w:rsidRPr="00E679D1" w:rsidRDefault="00C00844" w:rsidP="00133F91">
            <w:pPr>
              <w:ind w:left="71"/>
            </w:pPr>
            <w:r>
              <w:t>R</w:t>
            </w:r>
            <w:r w:rsidR="0013132F" w:rsidRPr="00E679D1">
              <w:t xml:space="preserve">egistration </w:t>
            </w:r>
            <w:r w:rsidR="005C4B46" w:rsidRPr="00E679D1">
              <w:t xml:space="preserve">in </w:t>
            </w:r>
            <w:r w:rsidR="0013132F" w:rsidRPr="00E679D1">
              <w:t>the ARTG completed</w:t>
            </w:r>
          </w:p>
        </w:tc>
        <w:tc>
          <w:tcPr>
            <w:tcW w:w="2977" w:type="dxa"/>
          </w:tcPr>
          <w:p w14:paraId="5A8923FD" w14:textId="4920FB13" w:rsidR="00324B33" w:rsidRPr="00D01DDB" w:rsidRDefault="005D5DF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25 March 2025</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133F91">
            <w:pPr>
              <w:ind w:left="71"/>
            </w:pPr>
            <w:r w:rsidRPr="00E679D1">
              <w:t>Number of working days from submission dossier acceptance to registration decision*</w:t>
            </w:r>
          </w:p>
        </w:tc>
        <w:tc>
          <w:tcPr>
            <w:tcW w:w="2977" w:type="dxa"/>
          </w:tcPr>
          <w:p w14:paraId="5BAF9FA1" w14:textId="35411C0D" w:rsidR="00324B33" w:rsidRPr="00D01DDB" w:rsidRDefault="00A77A72" w:rsidP="00324B33">
            <w:pPr>
              <w:cnfStyle w:val="000000000000" w:firstRow="0" w:lastRow="0" w:firstColumn="0" w:lastColumn="0" w:oddVBand="0" w:evenVBand="0" w:oddHBand="0" w:evenHBand="0" w:firstRowFirstColumn="0" w:firstRowLastColumn="0" w:lastRowFirstColumn="0" w:lastRowLastColumn="0"/>
              <w:rPr>
                <w:szCs w:val="22"/>
              </w:rPr>
            </w:pPr>
            <w:r w:rsidRPr="00A77A72">
              <w:rPr>
                <w:szCs w:val="22"/>
              </w:rPr>
              <w:t>246 days</w:t>
            </w:r>
          </w:p>
        </w:tc>
      </w:tr>
    </w:tbl>
    <w:p w14:paraId="7B02554C" w14:textId="77777777" w:rsidR="00433318" w:rsidRDefault="00433318" w:rsidP="000111F4">
      <w:pPr>
        <w:pStyle w:val="TableDescription"/>
      </w:pPr>
      <w:r>
        <w:t>*</w:t>
      </w:r>
      <w:r w:rsidRPr="00BF3774">
        <w:t xml:space="preserve">Statutory </w:t>
      </w:r>
      <w:r>
        <w:t>timeframe for standard submissions is 255 working days</w:t>
      </w:r>
    </w:p>
    <w:p w14:paraId="220925F1" w14:textId="776AEF3B" w:rsidR="00C22214" w:rsidRPr="00792A32" w:rsidRDefault="00083763" w:rsidP="000111F4">
      <w:pPr>
        <w:pStyle w:val="Heading2"/>
      </w:pPr>
      <w:bookmarkStart w:id="21" w:name="_Toc196046504"/>
      <w:bookmarkStart w:id="22" w:name="_Toc247691527"/>
      <w:bookmarkStart w:id="23" w:name="_Toc314842510"/>
      <w:bookmarkStart w:id="24" w:name="_Toc103679294"/>
      <w:bookmarkStart w:id="25" w:name="_Toc206075820"/>
      <w:r>
        <w:lastRenderedPageBreak/>
        <w:t xml:space="preserve">Assessment </w:t>
      </w:r>
      <w:r w:rsidR="00C22214" w:rsidRPr="000111F4">
        <w:t>overview</w:t>
      </w:r>
      <w:bookmarkEnd w:id="21"/>
      <w:bookmarkEnd w:id="22"/>
      <w:bookmarkEnd w:id="23"/>
      <w:bookmarkEnd w:id="24"/>
      <w:bookmarkEnd w:id="25"/>
    </w:p>
    <w:p w14:paraId="37F5A1C0" w14:textId="24C35B4E" w:rsidR="00C22214" w:rsidRDefault="00095C6A" w:rsidP="000111F4">
      <w:pPr>
        <w:pStyle w:val="Heading3"/>
      </w:pPr>
      <w:bookmarkStart w:id="26" w:name="_Toc247691528"/>
      <w:bookmarkStart w:id="27" w:name="_Toc314842511"/>
      <w:bookmarkStart w:id="28" w:name="_Toc103679295"/>
      <w:bookmarkStart w:id="29" w:name="_Toc206075821"/>
      <w:r>
        <w:t>Q</w:t>
      </w:r>
      <w:r w:rsidR="00C22214">
        <w:t>uality</w:t>
      </w:r>
      <w:bookmarkEnd w:id="26"/>
      <w:bookmarkEnd w:id="27"/>
      <w:bookmarkEnd w:id="28"/>
      <w:r w:rsidR="007E6443">
        <w:t xml:space="preserve"> evaluation</w:t>
      </w:r>
      <w:r>
        <w:t xml:space="preserve"> </w:t>
      </w:r>
      <w:r w:rsidRPr="000111F4">
        <w:t>summary</w:t>
      </w:r>
      <w:bookmarkEnd w:id="29"/>
    </w:p>
    <w:p w14:paraId="402E7861" w14:textId="5D4B93BA" w:rsidR="00A21849" w:rsidRDefault="00A21849" w:rsidP="000111F4">
      <w:r>
        <w:t xml:space="preserve">Ipsen Pty Ltd has applied to register </w:t>
      </w:r>
      <w:r w:rsidR="006029C9">
        <w:t>IQIRVO</w:t>
      </w:r>
      <w:r w:rsidR="0003032D">
        <w:t xml:space="preserve"> (</w:t>
      </w:r>
      <w:proofErr w:type="spellStart"/>
      <w:r w:rsidR="0003032D">
        <w:t>e</w:t>
      </w:r>
      <w:r w:rsidR="0003032D" w:rsidRPr="0003032D">
        <w:t>lafibranor</w:t>
      </w:r>
      <w:proofErr w:type="spellEnd"/>
      <w:r w:rsidR="0003032D">
        <w:t>)</w:t>
      </w:r>
      <w:r w:rsidR="0003032D" w:rsidRPr="0003032D">
        <w:t xml:space="preserve"> </w:t>
      </w:r>
      <w:r>
        <w:t xml:space="preserve">80 mg </w:t>
      </w:r>
      <w:proofErr w:type="spellStart"/>
      <w:r>
        <w:t>elafibranor</w:t>
      </w:r>
      <w:proofErr w:type="spellEnd"/>
      <w:r>
        <w:t xml:space="preserve"> film-coated tablets. The proposed trade name, </w:t>
      </w:r>
      <w:r w:rsidR="006029C9">
        <w:t>IQIRVO</w:t>
      </w:r>
      <w:r>
        <w:t>, is acceptable.</w:t>
      </w:r>
    </w:p>
    <w:p w14:paraId="4207E613" w14:textId="4EA6FB38" w:rsidR="00A21849" w:rsidRDefault="00B4245A" w:rsidP="00B4245A">
      <w:pPr>
        <w:pStyle w:val="FigureTitle"/>
      </w:pPr>
      <w:r>
        <w:t xml:space="preserve">Figure 1. </w:t>
      </w:r>
      <w:r w:rsidR="00A21849">
        <w:t xml:space="preserve">The </w:t>
      </w:r>
      <w:r>
        <w:t xml:space="preserve">chemical </w:t>
      </w:r>
      <w:r w:rsidR="00A21849">
        <w:t xml:space="preserve">structure for </w:t>
      </w:r>
      <w:proofErr w:type="spellStart"/>
      <w:r w:rsidR="00A21849">
        <w:t>elafibranor</w:t>
      </w:r>
      <w:proofErr w:type="spellEnd"/>
    </w:p>
    <w:p w14:paraId="130FA44B" w14:textId="251B52F6" w:rsidR="0003032D" w:rsidRDefault="0003032D" w:rsidP="000111F4">
      <w:r w:rsidRPr="0090057B">
        <w:rPr>
          <w:noProof/>
        </w:rPr>
        <w:drawing>
          <wp:inline distT="0" distB="0" distL="0" distR="0" wp14:anchorId="244A742C" wp14:editId="70ECA0D0">
            <wp:extent cx="2804923" cy="1097280"/>
            <wp:effectExtent l="0" t="0" r="0" b="7620"/>
            <wp:docPr id="384283860" name="Picture 1" descr="Figure 1. The chemical structure for elafibra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83860" name="Picture 1" descr="Figure 1. The chemical structure for elafibranor"/>
                    <pic:cNvPicPr/>
                  </pic:nvPicPr>
                  <pic:blipFill>
                    <a:blip r:embed="rId24"/>
                    <a:stretch>
                      <a:fillRect/>
                    </a:stretch>
                  </pic:blipFill>
                  <pic:spPr>
                    <a:xfrm>
                      <a:off x="0" y="0"/>
                      <a:ext cx="2822960" cy="1104336"/>
                    </a:xfrm>
                    <a:prstGeom prst="rect">
                      <a:avLst/>
                    </a:prstGeom>
                  </pic:spPr>
                </pic:pic>
              </a:graphicData>
            </a:graphic>
          </wp:inline>
        </w:drawing>
      </w:r>
    </w:p>
    <w:p w14:paraId="5A0B7AD3" w14:textId="7759637A" w:rsidR="00A21849" w:rsidRDefault="00A21849" w:rsidP="000111F4">
      <w:r>
        <w:t>There are no B</w:t>
      </w:r>
      <w:r w:rsidR="00E81286">
        <w:t xml:space="preserve">ritish or US pharmacopeial </w:t>
      </w:r>
      <w:r>
        <w:t xml:space="preserve">monographs for </w:t>
      </w:r>
      <w:proofErr w:type="spellStart"/>
      <w:r>
        <w:t>elafibranor</w:t>
      </w:r>
      <w:proofErr w:type="spellEnd"/>
      <w:r>
        <w:t>.</w:t>
      </w:r>
    </w:p>
    <w:p w14:paraId="074F3EC4" w14:textId="703B9E00" w:rsidR="00C071C2" w:rsidRDefault="00C071C2" w:rsidP="000111F4">
      <w:proofErr w:type="spellStart"/>
      <w:r>
        <w:t>Elafibranor</w:t>
      </w:r>
      <w:proofErr w:type="spellEnd"/>
      <w:r>
        <w:t xml:space="preserve"> is a crystalline powder drug substance that can exist in two polymorphic forms, form A and form B. Form B is found to be more stable and hence, the current manufacturing process manufactures Form B. It is practically insoluble in water at pH 1.2 to 4.5. Hence, the drug substance particle size is controlled using a </w:t>
      </w:r>
      <w:proofErr w:type="spellStart"/>
      <w:r>
        <w:t>micronisation</w:t>
      </w:r>
      <w:proofErr w:type="spellEnd"/>
      <w:r>
        <w:t xml:space="preserve"> procedure in the final drug substance manufacturing step. Particle size limits have been set in line with batches used in the clinical studies.</w:t>
      </w:r>
    </w:p>
    <w:p w14:paraId="06278A39" w14:textId="77777777" w:rsidR="00C071C2" w:rsidRDefault="00C071C2" w:rsidP="000111F4">
      <w:r>
        <w:t xml:space="preserve">The </w:t>
      </w:r>
      <w:proofErr w:type="spellStart"/>
      <w:r>
        <w:t>elafibranor</w:t>
      </w:r>
      <w:proofErr w:type="spellEnd"/>
      <w:r>
        <w:t xml:space="preserve"> drug substance manufacturing process is synthesised in four chemical transformations steps.</w:t>
      </w:r>
    </w:p>
    <w:p w14:paraId="35EE55D8" w14:textId="30634C69" w:rsidR="00C071C2" w:rsidRDefault="00C071C2" w:rsidP="00C071C2">
      <w:r>
        <w:t>The proposed specification adequately controls the identity, potency, purity and chemical and physical properties of the drug substance relevant to the dose form. The synthetic impurities are controlled to either ICH Q3A</w:t>
      </w:r>
      <w:r w:rsidR="00E81286">
        <w:rPr>
          <w:rStyle w:val="FootnoteReference"/>
        </w:rPr>
        <w:footnoteReference w:id="14"/>
      </w:r>
      <w:r>
        <w:t xml:space="preserve"> or where higher toxicologically qualified.</w:t>
      </w:r>
    </w:p>
    <w:p w14:paraId="13600E99" w14:textId="77777777" w:rsidR="00C071C2" w:rsidRDefault="00C071C2" w:rsidP="00C071C2">
      <w:r>
        <w:t>The proposed retest period of 60 months when stored at 30 °C is supported by the stability data.</w:t>
      </w:r>
    </w:p>
    <w:p w14:paraId="52939889" w14:textId="77777777" w:rsidR="00C071C2" w:rsidRDefault="00C071C2" w:rsidP="000111F4">
      <w:r>
        <w:t>The proposed 80 mg drug product consists of a round, orange film-coated tablet, approximately 8 mm diameter, debossed with “ELA 80” on one side. The excipients used in this formulation are widely used in pharmaceutical preparations and typical for tablet presentations.</w:t>
      </w:r>
    </w:p>
    <w:p w14:paraId="034FA527" w14:textId="77777777" w:rsidR="00C071C2" w:rsidRDefault="00C071C2" w:rsidP="00C071C2">
      <w:r>
        <w:t>The manufacturing process involves wet granulation on a high shear granulation. The manufacturing process appears to have been logically developed and optimised.</w:t>
      </w:r>
    </w:p>
    <w:p w14:paraId="217F736E" w14:textId="2928EC01" w:rsidR="00C071C2" w:rsidRDefault="00C071C2" w:rsidP="000111F4">
      <w:r>
        <w:t>The drug product specifications adequately control the quality of the drug product at release and throughout the shelf-life. The impurities are controlled to either ICH Q3B</w:t>
      </w:r>
      <w:r w:rsidR="00F86DB2">
        <w:rPr>
          <w:rStyle w:val="FootnoteReference"/>
        </w:rPr>
        <w:footnoteReference w:id="15"/>
      </w:r>
      <w:r>
        <w:t xml:space="preserve"> or where higher were toxicologically qualified.</w:t>
      </w:r>
    </w:p>
    <w:p w14:paraId="317C0786" w14:textId="0C42C278" w:rsidR="00C071C2" w:rsidRDefault="00C071C2" w:rsidP="00C071C2">
      <w:r>
        <w:t>A shelf life of 30 months when stored at 3</w:t>
      </w:r>
      <w:r w:rsidR="00A066A7">
        <w:t>0°</w:t>
      </w:r>
      <w:r>
        <w:t>C is supported.</w:t>
      </w:r>
    </w:p>
    <w:p w14:paraId="7CD2822D" w14:textId="77777777" w:rsidR="00C071C2" w:rsidRDefault="00C071C2" w:rsidP="000111F4">
      <w:r>
        <w:t>The drug product formulation used in the Phase 3 clinical studies is the same as the product formulation proposed for registration. No bridging studies were required.</w:t>
      </w:r>
    </w:p>
    <w:p w14:paraId="4A9E7642" w14:textId="77777777" w:rsidR="00E81286" w:rsidRDefault="00C071C2" w:rsidP="00E81286">
      <w:r>
        <w:t>The Product Information</w:t>
      </w:r>
      <w:r w:rsidR="00E81286">
        <w:t xml:space="preserve"> and </w:t>
      </w:r>
      <w:r w:rsidR="00E81286" w:rsidRPr="00E81286">
        <w:t>labelling</w:t>
      </w:r>
      <w:r>
        <w:t xml:space="preserve"> is considered acceptable from a pharmaceutical quality perspective.</w:t>
      </w:r>
    </w:p>
    <w:p w14:paraId="18D99FB0" w14:textId="3569A171" w:rsidR="00C071C2" w:rsidRPr="00A21849" w:rsidRDefault="00E81286" w:rsidP="000111F4">
      <w:r>
        <w:lastRenderedPageBreak/>
        <w:t xml:space="preserve">There are no objections to registration from a </w:t>
      </w:r>
      <w:r w:rsidR="00C071C2">
        <w:t>quality perspective.</w:t>
      </w:r>
    </w:p>
    <w:p w14:paraId="2BE90AAE" w14:textId="35796FD3" w:rsidR="00C22214" w:rsidRDefault="00C22214" w:rsidP="000111F4">
      <w:pPr>
        <w:pStyle w:val="Heading3"/>
      </w:pPr>
      <w:bookmarkStart w:id="30" w:name="_Toc314842512"/>
      <w:bookmarkStart w:id="31" w:name="_Toc103679296"/>
      <w:bookmarkStart w:id="32" w:name="_Toc206075822"/>
      <w:r>
        <w:t>Nonclinical</w:t>
      </w:r>
      <w:bookmarkEnd w:id="30"/>
      <w:bookmarkEnd w:id="31"/>
      <w:r w:rsidR="007E6443">
        <w:t xml:space="preserve"> evaluation</w:t>
      </w:r>
      <w:r w:rsidR="00095C6A">
        <w:t xml:space="preserve"> </w:t>
      </w:r>
      <w:r w:rsidR="00095C6A" w:rsidRPr="000111F4">
        <w:t>summary</w:t>
      </w:r>
      <w:bookmarkEnd w:id="32"/>
    </w:p>
    <w:p w14:paraId="722EAA32" w14:textId="75BC1633" w:rsidR="00944F9D" w:rsidRDefault="00944F9D" w:rsidP="000111F4">
      <w:r>
        <w:t>The submitted nonclinical dossier was in accordance with the relevant ICH guideline for the nonclinical assessment of pharmaceuticals (ICH M3(R2).</w:t>
      </w:r>
      <w:r>
        <w:rPr>
          <w:rStyle w:val="FootnoteReference"/>
        </w:rPr>
        <w:footnoteReference w:id="16"/>
      </w:r>
      <w:r>
        <w:t xml:space="preserve"> The overall quality of the </w:t>
      </w:r>
      <w:r w:rsidRPr="000111F4">
        <w:t>nonclinical</w:t>
      </w:r>
      <w:r>
        <w:t xml:space="preserve"> dossier was high. All pivotal safety-related studies were GLP compliant. No major deficiencies were identified.</w:t>
      </w:r>
    </w:p>
    <w:p w14:paraId="034426E5" w14:textId="23A82029" w:rsidR="00944F9D" w:rsidRDefault="00944F9D" w:rsidP="000111F4">
      <w:r>
        <w:t xml:space="preserve">In vitro, </w:t>
      </w:r>
      <w:proofErr w:type="spellStart"/>
      <w:r>
        <w:t>elafibranor</w:t>
      </w:r>
      <w:proofErr w:type="spellEnd"/>
      <w:r>
        <w:t xml:space="preserve"> and its major metabolite GFT1007 were PPAR agonists with a similar selectivity profile on both the human and mice PPAR isoforms. </w:t>
      </w:r>
      <w:proofErr w:type="spellStart"/>
      <w:r>
        <w:t>Elafibranor</w:t>
      </w:r>
      <w:proofErr w:type="spellEnd"/>
      <w:r>
        <w:t xml:space="preserve"> and GFT1007 show a 3.8- and 5.4-fold selectivity for activation of human PPARα over human </w:t>
      </w:r>
      <w:proofErr w:type="spellStart"/>
      <w:r>
        <w:t>PPARδ</w:t>
      </w:r>
      <w:proofErr w:type="spellEnd"/>
      <w:r>
        <w:t xml:space="preserve">, respectively. The major circulating </w:t>
      </w:r>
      <w:proofErr w:type="spellStart"/>
      <w:r>
        <w:t>glucuronidated</w:t>
      </w:r>
      <w:proofErr w:type="spellEnd"/>
      <w:r>
        <w:t xml:space="preserve"> metabolite racemic GFT3351 and its aglycone precursor, racemic GFT4775, do not contribute to the pharmacological activity of </w:t>
      </w:r>
      <w:proofErr w:type="spellStart"/>
      <w:r>
        <w:t>elafibranor</w:t>
      </w:r>
      <w:proofErr w:type="spellEnd"/>
      <w:r>
        <w:t xml:space="preserve">. In support of the proposed clinical indication, </w:t>
      </w:r>
      <w:proofErr w:type="spellStart"/>
      <w:r>
        <w:t>elafibranor</w:t>
      </w:r>
      <w:proofErr w:type="spellEnd"/>
      <w:r w:rsidR="007A2E58">
        <w:t xml:space="preserve"> and GFT1007</w:t>
      </w:r>
      <w:r>
        <w:t xml:space="preserve"> treatment</w:t>
      </w:r>
      <w:r w:rsidR="007A2E58">
        <w:t>s both</w:t>
      </w:r>
      <w:r>
        <w:t xml:space="preserve"> prevented the development of </w:t>
      </w:r>
      <w:proofErr w:type="spellStart"/>
      <w:r>
        <w:t>macrosteatosis</w:t>
      </w:r>
      <w:proofErr w:type="spellEnd"/>
      <w:r>
        <w:t xml:space="preserve"> and liver inflammation in a mouse model of non-alcoholic steatohepatitis (NASH). Additionally, </w:t>
      </w:r>
      <w:proofErr w:type="spellStart"/>
      <w:r>
        <w:t>elafibranor</w:t>
      </w:r>
      <w:proofErr w:type="spellEnd"/>
      <w:r>
        <w:t xml:space="preserve"> accelerated reversal of hepatic fibrosis in a rat model of carbon tetrachloride (CCl4)-induced hepatic fibrosis.</w:t>
      </w:r>
    </w:p>
    <w:p w14:paraId="6894D3DD" w14:textId="7DF2C8B6" w:rsidR="00944F9D" w:rsidRDefault="00944F9D" w:rsidP="000111F4">
      <w:r>
        <w:t>No clinically relevant hazards were identified in secondary pharmacology studies.</w:t>
      </w:r>
    </w:p>
    <w:p w14:paraId="3090B9BA" w14:textId="7842B6D7" w:rsidR="00944F9D" w:rsidRDefault="00944F9D" w:rsidP="000111F4">
      <w:r>
        <w:t xml:space="preserve">Safety pharmacology studies assessed effects on the cardiovascular, respiratory and central nervous systems. No adverse effects were seen on CNS function in rats. </w:t>
      </w:r>
      <w:proofErr w:type="spellStart"/>
      <w:r>
        <w:t>Elafibranor</w:t>
      </w:r>
      <w:proofErr w:type="spellEnd"/>
      <w:r>
        <w:t xml:space="preserve"> had a slight and transient respiratory stimulant action in rats. However, no treatment-related effects on respiratory function were observed in repeat-dose toxicity studies in rats and monkeys at clinically relevant exposures. No significant inhibition of </w:t>
      </w:r>
      <w:proofErr w:type="spellStart"/>
      <w:r>
        <w:t>hERG</w:t>
      </w:r>
      <w:proofErr w:type="spellEnd"/>
      <w:r>
        <w:t xml:space="preserve"> K+ channel tail current by </w:t>
      </w:r>
      <w:proofErr w:type="spellStart"/>
      <w:r>
        <w:t>elafibranor</w:t>
      </w:r>
      <w:proofErr w:type="spellEnd"/>
      <w:r>
        <w:t xml:space="preserve"> or metabolite GFT1007 was observed at clinically relevant concentrations. </w:t>
      </w:r>
      <w:proofErr w:type="spellStart"/>
      <w:r>
        <w:t>Elafibranor</w:t>
      </w:r>
      <w:proofErr w:type="spellEnd"/>
      <w:r>
        <w:t xml:space="preserve"> and metabolite GFT1007 are not predicted to prolong the QT interval in patients.</w:t>
      </w:r>
    </w:p>
    <w:p w14:paraId="3B31E964" w14:textId="0752718C" w:rsidR="00944F9D" w:rsidRDefault="00944F9D" w:rsidP="000111F4">
      <w:r>
        <w:t xml:space="preserve">Overall, the pharmacokinetic profile in animals was qualitatively </w:t>
      </w:r>
      <w:proofErr w:type="gramStart"/>
      <w:r>
        <w:t>similar to</w:t>
      </w:r>
      <w:proofErr w:type="gramEnd"/>
      <w:r>
        <w:t xml:space="preserve"> that of humans. </w:t>
      </w:r>
      <w:proofErr w:type="spellStart"/>
      <w:r>
        <w:t>Elafibranor</w:t>
      </w:r>
      <w:proofErr w:type="spellEnd"/>
      <w:r>
        <w:t xml:space="preserve"> was readily and rapidly absorbed with a similar </w:t>
      </w:r>
      <w:proofErr w:type="spellStart"/>
      <w:r>
        <w:t>T</w:t>
      </w:r>
      <w:r w:rsidRPr="00516305">
        <w:rPr>
          <w:vertAlign w:val="subscript"/>
        </w:rPr>
        <w:t>max</w:t>
      </w:r>
      <w:proofErr w:type="spellEnd"/>
      <w:r>
        <w:t xml:space="preserve"> (0.5–2 h) in all species. Plasma protein binding of </w:t>
      </w:r>
      <w:proofErr w:type="spellStart"/>
      <w:r>
        <w:t>elafibranor</w:t>
      </w:r>
      <w:proofErr w:type="spellEnd"/>
      <w:r>
        <w:t xml:space="preserve"> and metabolite GFT1007 was very high (~99.7%) in humans and animal species. Tissue distribution of </w:t>
      </w:r>
      <w:proofErr w:type="spellStart"/>
      <w:r>
        <w:t>elafibranor</w:t>
      </w:r>
      <w:proofErr w:type="spellEnd"/>
      <w:r>
        <w:t xml:space="preserve"> was wide but penetration into brain and spinal cord was limited. No melanin-binding with retention and accumulation was seen in pigmented tissues. </w:t>
      </w:r>
      <w:proofErr w:type="spellStart"/>
      <w:r>
        <w:t>Elafibranor</w:t>
      </w:r>
      <w:proofErr w:type="spellEnd"/>
      <w:r>
        <w:t xml:space="preserve"> was extensively metabolised into GFT1007 in animals and humans. No human-specific metabolites were identified. </w:t>
      </w:r>
      <w:proofErr w:type="spellStart"/>
      <w:r>
        <w:t>Elafibranor</w:t>
      </w:r>
      <w:proofErr w:type="spellEnd"/>
      <w:r>
        <w:t xml:space="preserve"> and metabolite GFT1007 do not undergo major metabolism by the CYP and UGT isoforms. Biotransformation of </w:t>
      </w:r>
      <w:proofErr w:type="spellStart"/>
      <w:r>
        <w:t>elafibranor</w:t>
      </w:r>
      <w:proofErr w:type="spellEnd"/>
      <w:r>
        <w:t xml:space="preserve"> into GFT1007 was partially mediated by the cytosolic enzyme 15-ketoprostaglandin 13-Δ reductase (PTGR1). Drug-related material was excreted predominantly via the faeces in humans and animal species.</w:t>
      </w:r>
    </w:p>
    <w:p w14:paraId="57875626" w14:textId="121AC470" w:rsidR="00944F9D" w:rsidRDefault="00944F9D" w:rsidP="000111F4">
      <w:r>
        <w:t xml:space="preserve">There are no nonclinical objections to the registration of </w:t>
      </w:r>
      <w:proofErr w:type="spellStart"/>
      <w:r>
        <w:t>elafibranor</w:t>
      </w:r>
      <w:proofErr w:type="spellEnd"/>
      <w:r>
        <w:t xml:space="preserve"> for the proposed indication.</w:t>
      </w:r>
    </w:p>
    <w:p w14:paraId="35B580A5" w14:textId="40B226DC" w:rsidR="00C22214" w:rsidRDefault="00C22214" w:rsidP="000111F4">
      <w:pPr>
        <w:pStyle w:val="Heading3"/>
      </w:pPr>
      <w:bookmarkStart w:id="33" w:name="_Toc247691530"/>
      <w:bookmarkStart w:id="34" w:name="_Toc314842513"/>
      <w:bookmarkStart w:id="35" w:name="_Toc103679297"/>
      <w:bookmarkStart w:id="36" w:name="_Toc206075823"/>
      <w:r>
        <w:lastRenderedPageBreak/>
        <w:t>Clinical</w:t>
      </w:r>
      <w:bookmarkEnd w:id="33"/>
      <w:bookmarkEnd w:id="34"/>
      <w:bookmarkEnd w:id="35"/>
      <w:r w:rsidR="00095C6A">
        <w:t xml:space="preserve"> evaluation </w:t>
      </w:r>
      <w:r w:rsidR="00095C6A" w:rsidRPr="000111F4">
        <w:t>summary</w:t>
      </w:r>
      <w:bookmarkEnd w:id="36"/>
    </w:p>
    <w:p w14:paraId="32B0DEDA" w14:textId="77777777" w:rsidR="00C22214" w:rsidRDefault="00C22214" w:rsidP="000111F4">
      <w:pPr>
        <w:pStyle w:val="Heading4"/>
      </w:pPr>
      <w:bookmarkStart w:id="37" w:name="_Toc98931928"/>
      <w:bookmarkStart w:id="38" w:name="_Toc206075824"/>
      <w:r>
        <w:t xml:space="preserve">Summary of clinical </w:t>
      </w:r>
      <w:r w:rsidRPr="000111F4">
        <w:t>studies</w:t>
      </w:r>
      <w:bookmarkEnd w:id="37"/>
      <w:bookmarkEnd w:id="38"/>
    </w:p>
    <w:p w14:paraId="1E348F01" w14:textId="77777777" w:rsidR="0093679B" w:rsidRDefault="0093679B" w:rsidP="000111F4">
      <w:r>
        <w:t xml:space="preserve">The clinical efficacy and safety of </w:t>
      </w:r>
      <w:proofErr w:type="spellStart"/>
      <w:r>
        <w:t>elafibranor</w:t>
      </w:r>
      <w:proofErr w:type="spellEnd"/>
      <w:r>
        <w:t xml:space="preserve"> for the PBC indication was supported by a pivotal phase 3 study (319-1) and a supportive phase 2 study (216-1). 206 patients were included across both studies.</w:t>
      </w:r>
    </w:p>
    <w:p w14:paraId="615EED0E" w14:textId="25A79DEA" w:rsidR="0093679B" w:rsidRDefault="0093679B" w:rsidP="000111F4">
      <w:r>
        <w:t>Study 319-1 was a phase 3, randomised, double-blind and placebo-controlled study of 52 weeks followed by (</w:t>
      </w:r>
      <w:proofErr w:type="gramStart"/>
      <w:r>
        <w:t>as yet</w:t>
      </w:r>
      <w:proofErr w:type="gramEnd"/>
      <w:r>
        <w:t xml:space="preserve"> not fully reported) open-label, long-term extension of efficacy and safety of </w:t>
      </w:r>
      <w:proofErr w:type="spellStart"/>
      <w:r>
        <w:t>elafibranor</w:t>
      </w:r>
      <w:proofErr w:type="spellEnd"/>
      <w:r>
        <w:t xml:space="preserve"> 80mg per day in patients with PBC and inadequate response or intolerance to UDCA.</w:t>
      </w:r>
    </w:p>
    <w:p w14:paraId="2275248E" w14:textId="11B92E2C" w:rsidR="0093679B" w:rsidRDefault="0093679B" w:rsidP="000111F4">
      <w:r>
        <w:t xml:space="preserve">Study 216-1 was a </w:t>
      </w:r>
      <w:proofErr w:type="gramStart"/>
      <w:r>
        <w:t>12 week</w:t>
      </w:r>
      <w:proofErr w:type="gramEnd"/>
      <w:r>
        <w:t xml:space="preserve">, phase 2 study of </w:t>
      </w:r>
      <w:proofErr w:type="spellStart"/>
      <w:r>
        <w:t>elafibranor</w:t>
      </w:r>
      <w:proofErr w:type="spellEnd"/>
      <w:r>
        <w:t xml:space="preserve"> 80mg and 120mg vs. placebo in patients with PBC.</w:t>
      </w:r>
    </w:p>
    <w:p w14:paraId="306B5267" w14:textId="77777777" w:rsidR="00634A2D" w:rsidRDefault="00634A2D" w:rsidP="000111F4">
      <w:pPr>
        <w:pStyle w:val="Heading4"/>
      </w:pPr>
      <w:bookmarkStart w:id="39" w:name="_Toc206075825"/>
      <w:r w:rsidRPr="000111F4">
        <w:t>Pharmacology</w:t>
      </w:r>
      <w:bookmarkEnd w:id="39"/>
    </w:p>
    <w:p w14:paraId="5497EDAD" w14:textId="02D33490" w:rsidR="00634A2D" w:rsidRDefault="00634A2D" w:rsidP="000111F4">
      <w:pPr>
        <w:pStyle w:val="Heading5"/>
      </w:pPr>
      <w:r w:rsidRPr="000111F4">
        <w:t>Pharmacokinetics</w:t>
      </w:r>
    </w:p>
    <w:p w14:paraId="117B1876" w14:textId="7C5B4D55" w:rsidR="006171F6" w:rsidRDefault="006171F6" w:rsidP="000111F4">
      <w:r>
        <w:t xml:space="preserve">Following a single oral administration of 80 mg of the to-be-marketed tablet formulation to healthy subjects, the median </w:t>
      </w:r>
      <w:proofErr w:type="spellStart"/>
      <w:r>
        <w:t>T</w:t>
      </w:r>
      <w:r w:rsidRPr="00EA386E">
        <w:rPr>
          <w:vertAlign w:val="subscript"/>
        </w:rPr>
        <w:t>max</w:t>
      </w:r>
      <w:proofErr w:type="spellEnd"/>
      <w:r>
        <w:t xml:space="preserve"> value for both </w:t>
      </w:r>
      <w:proofErr w:type="spellStart"/>
      <w:r>
        <w:t>elafibranor</w:t>
      </w:r>
      <w:proofErr w:type="spellEnd"/>
      <w:r>
        <w:t xml:space="preserve"> and GFT1007 under fasted conditions was 1.50 h, whereas, under fed conditions the </w:t>
      </w:r>
      <w:proofErr w:type="spellStart"/>
      <w:r>
        <w:t>T</w:t>
      </w:r>
      <w:r w:rsidRPr="00F86E0E">
        <w:rPr>
          <w:vertAlign w:val="subscript"/>
        </w:rPr>
        <w:t>max</w:t>
      </w:r>
      <w:proofErr w:type="spellEnd"/>
      <w:r w:rsidRPr="00F86E0E">
        <w:rPr>
          <w:vertAlign w:val="subscript"/>
        </w:rPr>
        <w:t xml:space="preserve"> </w:t>
      </w:r>
      <w:r>
        <w:t>values were 2.00 and 2.50 h, respectively.</w:t>
      </w:r>
    </w:p>
    <w:p w14:paraId="3A66140D" w14:textId="60A30495" w:rsidR="006171F6" w:rsidRDefault="006171F6" w:rsidP="000111F4">
      <w:r>
        <w:t xml:space="preserve">A high fat meal compared to fasting conditions reduced </w:t>
      </w:r>
      <w:proofErr w:type="spellStart"/>
      <w:r>
        <w:t>elafibranor</w:t>
      </w:r>
      <w:proofErr w:type="spellEnd"/>
      <w:r>
        <w:t xml:space="preserve"> </w:t>
      </w:r>
      <w:proofErr w:type="spellStart"/>
      <w:r>
        <w:t>C</w:t>
      </w:r>
      <w:r w:rsidRPr="006257D9">
        <w:rPr>
          <w:vertAlign w:val="subscript"/>
        </w:rPr>
        <w:t>max</w:t>
      </w:r>
      <w:proofErr w:type="spellEnd"/>
      <w:r>
        <w:t xml:space="preserve"> and AUC</w:t>
      </w:r>
      <w:r w:rsidRPr="006257D9">
        <w:rPr>
          <w:vertAlign w:val="subscript"/>
        </w:rPr>
        <w:t>0-t</w:t>
      </w:r>
      <w:r>
        <w:t xml:space="preserve"> by approximately 48% and 14%, respectively, similarly GFT1007 </w:t>
      </w:r>
      <w:proofErr w:type="spellStart"/>
      <w:r>
        <w:t>C</w:t>
      </w:r>
      <w:r w:rsidRPr="00F86E0E">
        <w:rPr>
          <w:vertAlign w:val="subscript"/>
        </w:rPr>
        <w:t>max</w:t>
      </w:r>
      <w:proofErr w:type="spellEnd"/>
      <w:r>
        <w:t xml:space="preserve"> was reduced by approximately 28%, whereas food had no effect on GFT1007 AUC</w:t>
      </w:r>
      <w:r w:rsidRPr="00F86E0E">
        <w:rPr>
          <w:vertAlign w:val="subscript"/>
        </w:rPr>
        <w:t>0-t</w:t>
      </w:r>
      <w:r w:rsidR="00F63BFB">
        <w:t>.</w:t>
      </w:r>
    </w:p>
    <w:p w14:paraId="791BFE80" w14:textId="7A55E718" w:rsidR="006171F6" w:rsidRDefault="006171F6" w:rsidP="000111F4">
      <w:r>
        <w:t xml:space="preserve">Across a single oral dose range of 40 mg to 120 mg, </w:t>
      </w:r>
      <w:proofErr w:type="spellStart"/>
      <w:r>
        <w:t>elafibranor</w:t>
      </w:r>
      <w:proofErr w:type="spellEnd"/>
      <w:r>
        <w:t xml:space="preserve"> and GFT1007 exposure increased in an approximately linear manner with dose.</w:t>
      </w:r>
    </w:p>
    <w:p w14:paraId="41FF7527" w14:textId="5041BB3E" w:rsidR="006171F6" w:rsidRDefault="006171F6" w:rsidP="000111F4">
      <w:r>
        <w:t xml:space="preserve">Across the multi-dose studies, the median </w:t>
      </w:r>
      <w:proofErr w:type="spellStart"/>
      <w:r>
        <w:t>elafibranor</w:t>
      </w:r>
      <w:proofErr w:type="spellEnd"/>
      <w:r>
        <w:t xml:space="preserve"> </w:t>
      </w:r>
      <w:proofErr w:type="spellStart"/>
      <w:r>
        <w:t>T</w:t>
      </w:r>
      <w:r w:rsidRPr="006257D9">
        <w:rPr>
          <w:vertAlign w:val="subscript"/>
        </w:rPr>
        <w:t>max</w:t>
      </w:r>
      <w:proofErr w:type="spellEnd"/>
      <w:r>
        <w:t xml:space="preserve"> values ranged from 0.50 to 2.00 h, whereas the median GFT1007 </w:t>
      </w:r>
      <w:proofErr w:type="spellStart"/>
      <w:r>
        <w:t>T</w:t>
      </w:r>
      <w:r w:rsidRPr="006257D9">
        <w:rPr>
          <w:vertAlign w:val="subscript"/>
        </w:rPr>
        <w:t>max</w:t>
      </w:r>
      <w:proofErr w:type="spellEnd"/>
      <w:r>
        <w:t xml:space="preserve"> values ranged from 1.0 to 4.0 h. GFT1007 AUC</w:t>
      </w:r>
      <w:proofErr w:type="gramStart"/>
      <w:r w:rsidRPr="006257D9">
        <w:rPr>
          <w:vertAlign w:val="subscript"/>
        </w:rPr>
        <w:t>24,ss</w:t>
      </w:r>
      <w:proofErr w:type="gramEnd"/>
      <w:r>
        <w:t xml:space="preserve"> values were 2.2- to 5.3-fold higher than for </w:t>
      </w:r>
      <w:proofErr w:type="spellStart"/>
      <w:r>
        <w:t>elafibranor</w:t>
      </w:r>
      <w:proofErr w:type="spellEnd"/>
      <w:r>
        <w:t xml:space="preserve">. Following multiple QD dosing with 80 mg </w:t>
      </w:r>
      <w:proofErr w:type="spellStart"/>
      <w:r>
        <w:t>elafibranor</w:t>
      </w:r>
      <w:proofErr w:type="spellEnd"/>
      <w:r>
        <w:t xml:space="preserve">, GFT1007 plasma exposure is approximately 3-fold higher than </w:t>
      </w:r>
      <w:proofErr w:type="spellStart"/>
      <w:r>
        <w:t>elafibranor</w:t>
      </w:r>
      <w:proofErr w:type="spellEnd"/>
      <w:r>
        <w:t xml:space="preserve"> exposure.</w:t>
      </w:r>
    </w:p>
    <w:p w14:paraId="003E2E5E" w14:textId="047DB4D2" w:rsidR="006171F6" w:rsidRDefault="006171F6" w:rsidP="000111F4">
      <w:r>
        <w:t xml:space="preserve">Following multiple, oral QD doses of 300 mg or 360 mg </w:t>
      </w:r>
      <w:proofErr w:type="spellStart"/>
      <w:r>
        <w:t>elafibranor</w:t>
      </w:r>
      <w:proofErr w:type="spellEnd"/>
      <w:r>
        <w:t xml:space="preserve">, steady state of </w:t>
      </w:r>
      <w:proofErr w:type="spellStart"/>
      <w:r>
        <w:t>elafibranor</w:t>
      </w:r>
      <w:proofErr w:type="spellEnd"/>
      <w:r>
        <w:t xml:space="preserve"> was achieved at approximately 14 days and for GFT1007 was achieved within 7 days.</w:t>
      </w:r>
    </w:p>
    <w:p w14:paraId="6C856D6A" w14:textId="40478392" w:rsidR="006171F6" w:rsidRDefault="006171F6" w:rsidP="000111F4">
      <w:r>
        <w:t xml:space="preserve">Following administration of a single, oral 80 mg dose of the to-be-marketed tablet formulation under fasted conditions, </w:t>
      </w:r>
      <w:proofErr w:type="spellStart"/>
      <w:r>
        <w:t>elafibranor</w:t>
      </w:r>
      <w:proofErr w:type="spellEnd"/>
      <w:r>
        <w:t xml:space="preserve"> </w:t>
      </w:r>
      <w:proofErr w:type="spellStart"/>
      <w:r>
        <w:t>V</w:t>
      </w:r>
      <w:r w:rsidRPr="006257D9">
        <w:rPr>
          <w:vertAlign w:val="subscript"/>
        </w:rPr>
        <w:t>d</w:t>
      </w:r>
      <w:proofErr w:type="spellEnd"/>
      <w:r>
        <w:t>/F was 4731 L.</w:t>
      </w:r>
    </w:p>
    <w:p w14:paraId="55C36E39" w14:textId="1C6AD743" w:rsidR="006171F6" w:rsidRDefault="006171F6" w:rsidP="006171F6">
      <w:r>
        <w:t xml:space="preserve">In vitro studies indicated that both </w:t>
      </w:r>
      <w:proofErr w:type="spellStart"/>
      <w:r>
        <w:t>elafibranor</w:t>
      </w:r>
      <w:proofErr w:type="spellEnd"/>
      <w:r>
        <w:t xml:space="preserve"> and GFT1007 are highly bound to human plasma proteins (&gt;99%), primarily to serum albumin. There was no significant difference in the protein binding of </w:t>
      </w:r>
      <w:proofErr w:type="spellStart"/>
      <w:r>
        <w:t>elafibranor</w:t>
      </w:r>
      <w:proofErr w:type="spellEnd"/>
      <w:r>
        <w:t xml:space="preserve"> and GFT1007 in healthy volunteers and subjects with hepatic impairment or ESRD.</w:t>
      </w:r>
    </w:p>
    <w:p w14:paraId="45686C87" w14:textId="6DAD097D" w:rsidR="006171F6" w:rsidRDefault="006171F6" w:rsidP="000111F4">
      <w:r>
        <w:t xml:space="preserve">The rapid metabolism of </w:t>
      </w:r>
      <w:proofErr w:type="spellStart"/>
      <w:r>
        <w:t>elafibranor</w:t>
      </w:r>
      <w:proofErr w:type="spellEnd"/>
      <w:r>
        <w:t xml:space="preserve"> due to its active metabolite GFT1007 following oral administration occurs, at least in part, via PGR1. In vitro studies indicate that neither </w:t>
      </w:r>
      <w:proofErr w:type="spellStart"/>
      <w:r>
        <w:t>elafibranor</w:t>
      </w:r>
      <w:proofErr w:type="spellEnd"/>
      <w:r>
        <w:t xml:space="preserve"> nor GFT1007 undergo significant metabolism via CYP P450 or UGT isoforms.</w:t>
      </w:r>
    </w:p>
    <w:p w14:paraId="52185F7E" w14:textId="3EA39C25" w:rsidR="006171F6" w:rsidRDefault="006171F6" w:rsidP="000111F4">
      <w:r>
        <w:t xml:space="preserve">GFT1007 is the major and active circulating metabolite of </w:t>
      </w:r>
      <w:proofErr w:type="spellStart"/>
      <w:r>
        <w:t>elafibranor</w:t>
      </w:r>
      <w:proofErr w:type="spellEnd"/>
      <w:r>
        <w:t>. Isomers of GFT3351 are the other major circulating glucuronide metabolites in humans and are considered pharmacologically inactive.</w:t>
      </w:r>
    </w:p>
    <w:p w14:paraId="0C14468F" w14:textId="29B81B05" w:rsidR="006171F6" w:rsidRDefault="006171F6" w:rsidP="000111F4">
      <w:r>
        <w:lastRenderedPageBreak/>
        <w:t xml:space="preserve">Following a single oral administration of 120 mg </w:t>
      </w:r>
      <w:r w:rsidRPr="006257D9">
        <w:rPr>
          <w:vertAlign w:val="superscript"/>
        </w:rPr>
        <w:t>14</w:t>
      </w:r>
      <w:r>
        <w:t xml:space="preserve">C-radiolabelled </w:t>
      </w:r>
      <w:proofErr w:type="spellStart"/>
      <w:r>
        <w:t>elafibranor</w:t>
      </w:r>
      <w:proofErr w:type="spellEnd"/>
      <w:r>
        <w:t>, the plasma exposure of the major metabolites (GFT1007 and GFT3351) was 22</w:t>
      </w:r>
      <w:r w:rsidR="006257D9">
        <w:t>-</w:t>
      </w:r>
      <w:r>
        <w:t>28 higher than that of the parent drug. The mean t</w:t>
      </w:r>
      <w:r w:rsidRPr="006257D9">
        <w:rPr>
          <w:vertAlign w:val="subscript"/>
        </w:rPr>
        <w:t>1/2</w:t>
      </w:r>
      <w:r>
        <w:t xml:space="preserve"> values for GFT1007 and GFT3351 were 20.1 h and 8.0 h, respectively and the median </w:t>
      </w:r>
      <w:proofErr w:type="spellStart"/>
      <w:r>
        <w:t>T</w:t>
      </w:r>
      <w:r w:rsidRPr="006257D9">
        <w:rPr>
          <w:vertAlign w:val="subscript"/>
        </w:rPr>
        <w:t>max</w:t>
      </w:r>
      <w:proofErr w:type="spellEnd"/>
      <w:r>
        <w:t xml:space="preserve"> values for </w:t>
      </w:r>
      <w:proofErr w:type="spellStart"/>
      <w:r>
        <w:t>elafibranor</w:t>
      </w:r>
      <w:proofErr w:type="spellEnd"/>
      <w:r>
        <w:t>, GFT1007 and GFT3351 were 1 h, 1.3 h and 3 h respectively.</w:t>
      </w:r>
    </w:p>
    <w:p w14:paraId="00E39101" w14:textId="4FADDE27" w:rsidR="006171F6" w:rsidRDefault="006171F6" w:rsidP="000111F4">
      <w:r>
        <w:t xml:space="preserve">Following a 120 mg </w:t>
      </w:r>
      <w:r w:rsidRPr="00AB03A6">
        <w:rPr>
          <w:vertAlign w:val="superscript"/>
        </w:rPr>
        <w:t>14</w:t>
      </w:r>
      <w:r>
        <w:t xml:space="preserve">C-radiolabelled dose of </w:t>
      </w:r>
      <w:proofErr w:type="spellStart"/>
      <w:r>
        <w:t>elafibranor</w:t>
      </w:r>
      <w:proofErr w:type="spellEnd"/>
      <w:r>
        <w:t>, 77.1% of radioactivity was excreted via the faeces and approximately 19.3% via the urine.</w:t>
      </w:r>
    </w:p>
    <w:p w14:paraId="353E778E" w14:textId="2BBE4337" w:rsidR="006171F6" w:rsidRDefault="006171F6" w:rsidP="000111F4">
      <w:r>
        <w:t xml:space="preserve">Following the administration of 120 mg </w:t>
      </w:r>
      <w:r w:rsidRPr="006257D9">
        <w:rPr>
          <w:vertAlign w:val="superscript"/>
        </w:rPr>
        <w:t>14</w:t>
      </w:r>
      <w:r>
        <w:t xml:space="preserve">C-radiolabelled </w:t>
      </w:r>
      <w:proofErr w:type="spellStart"/>
      <w:r>
        <w:t>elafibranor</w:t>
      </w:r>
      <w:proofErr w:type="spellEnd"/>
      <w:r>
        <w:t>, total radioactivity recovered averaged 96.3%. Ten</w:t>
      </w:r>
      <w:r w:rsidR="009735BA">
        <w:t xml:space="preserve"> </w:t>
      </w:r>
      <w:r>
        <w:t>days after administration, no further radioactivity was detected in expired air, urine or faeces. The total excretion of radioactivity after the first day averaged 30.2% of the administered dose and by Day 7 (144 h post-dose) was 95.6%.</w:t>
      </w:r>
    </w:p>
    <w:p w14:paraId="387D5229" w14:textId="77777777" w:rsidR="006171F6" w:rsidRDefault="006171F6" w:rsidP="000111F4">
      <w:pPr>
        <w:pStyle w:val="Heading6"/>
      </w:pPr>
      <w:r>
        <w:t xml:space="preserve">Target </w:t>
      </w:r>
      <w:r w:rsidRPr="000111F4">
        <w:t>population</w:t>
      </w:r>
    </w:p>
    <w:p w14:paraId="3AC5D07D" w14:textId="6E48C326" w:rsidR="006171F6" w:rsidRDefault="006171F6" w:rsidP="000111F4">
      <w:r>
        <w:t xml:space="preserve">Plasma concentrations and PK parameters for </w:t>
      </w:r>
      <w:proofErr w:type="spellStart"/>
      <w:r>
        <w:t>elafibranor</w:t>
      </w:r>
      <w:proofErr w:type="spellEnd"/>
      <w:r>
        <w:t xml:space="preserve"> and GFT1007 in subjects with PBC were </w:t>
      </w:r>
      <w:proofErr w:type="gramStart"/>
      <w:r>
        <w:t>similar to</w:t>
      </w:r>
      <w:proofErr w:type="gramEnd"/>
      <w:r>
        <w:t xml:space="preserve"> those measured in healthy volunteers in earlier Phase I studies who were administered comparable dose regimens.</w:t>
      </w:r>
    </w:p>
    <w:p w14:paraId="51DC289F" w14:textId="64B25A11" w:rsidR="006171F6" w:rsidRDefault="006171F6" w:rsidP="000111F4">
      <w:r>
        <w:t xml:space="preserve">In a reference PBC patient the times to steady state for </w:t>
      </w:r>
      <w:proofErr w:type="spellStart"/>
      <w:r>
        <w:t>elafibranor</w:t>
      </w:r>
      <w:proofErr w:type="spellEnd"/>
      <w:r>
        <w:t xml:space="preserve"> and GFT1007 were 298 h (12.4 days) and 53.4 h (2.22 days), respectively.</w:t>
      </w:r>
    </w:p>
    <w:p w14:paraId="060F341B" w14:textId="77777777" w:rsidR="006171F6" w:rsidRDefault="006171F6" w:rsidP="000111F4">
      <w:pPr>
        <w:pStyle w:val="Heading6"/>
      </w:pPr>
      <w:r>
        <w:t xml:space="preserve">Special </w:t>
      </w:r>
      <w:r w:rsidRPr="000111F4">
        <w:t>populations</w:t>
      </w:r>
    </w:p>
    <w:p w14:paraId="104EA935" w14:textId="5ED46E93" w:rsidR="006171F6" w:rsidRDefault="006171F6" w:rsidP="000111F4">
      <w:r>
        <w:t xml:space="preserve">Compared to healthy subjects, mild, moderate and severe hepatic impairment or ESRD had no clinically significant effects on the PKs of bound </w:t>
      </w:r>
      <w:proofErr w:type="spellStart"/>
      <w:r>
        <w:t>elafibranor</w:t>
      </w:r>
      <w:proofErr w:type="spellEnd"/>
      <w:r>
        <w:t xml:space="preserve"> or GFT1007. Similarly, mild and moderate hepatic impairment had no effect on unbound </w:t>
      </w:r>
      <w:proofErr w:type="spellStart"/>
      <w:r>
        <w:t>elafibranor</w:t>
      </w:r>
      <w:proofErr w:type="spellEnd"/>
      <w:r>
        <w:t xml:space="preserve"> and GFT1007 exposure, whereas severe hepatic impairment increased unbound </w:t>
      </w:r>
      <w:proofErr w:type="spellStart"/>
      <w:r>
        <w:t>elafibranor</w:t>
      </w:r>
      <w:proofErr w:type="spellEnd"/>
      <w:r>
        <w:t xml:space="preserve"> and GFT1007 AUC</w:t>
      </w:r>
      <w:r w:rsidR="009735BA">
        <w:rPr>
          <w:vertAlign w:val="subscript"/>
        </w:rPr>
        <w:sym w:font="Symbol" w:char="F074"/>
      </w:r>
      <w:r>
        <w:t xml:space="preserve"> values by 107% and 165%, respectively compared to HS. Therefore, </w:t>
      </w:r>
      <w:proofErr w:type="spellStart"/>
      <w:r>
        <w:t>elafibranor</w:t>
      </w:r>
      <w:proofErr w:type="spellEnd"/>
      <w:r>
        <w:t xml:space="preserve"> is not recommended for use in patients with severe hepatic impairment.</w:t>
      </w:r>
    </w:p>
    <w:p w14:paraId="34BE0EFA" w14:textId="5B5A0674" w:rsidR="006171F6" w:rsidRDefault="00634A2D" w:rsidP="000111F4">
      <w:r>
        <w:t>Population pharmacokinetic (</w:t>
      </w:r>
      <w:proofErr w:type="spellStart"/>
      <w:r w:rsidR="006171F6">
        <w:t>PopPK</w:t>
      </w:r>
      <w:proofErr w:type="spellEnd"/>
      <w:r>
        <w:t>)</w:t>
      </w:r>
      <w:r w:rsidR="006171F6">
        <w:t xml:space="preserve"> analysis indicated that age was not a covariate of either </w:t>
      </w:r>
      <w:proofErr w:type="spellStart"/>
      <w:r w:rsidR="006171F6">
        <w:t>elafibranor</w:t>
      </w:r>
      <w:proofErr w:type="spellEnd"/>
      <w:r w:rsidR="006171F6">
        <w:t xml:space="preserve"> or GFT1007 PKs.</w:t>
      </w:r>
    </w:p>
    <w:p w14:paraId="7A51538D" w14:textId="5841AEF5" w:rsidR="006171F6" w:rsidRDefault="006171F6" w:rsidP="000111F4">
      <w:proofErr w:type="spellStart"/>
      <w:r>
        <w:t>PopPK</w:t>
      </w:r>
      <w:proofErr w:type="spellEnd"/>
      <w:r>
        <w:t xml:space="preserve"> analyses indicated that all </w:t>
      </w:r>
      <w:proofErr w:type="spellStart"/>
      <w:r>
        <w:t>elafibranor</w:t>
      </w:r>
      <w:proofErr w:type="spellEnd"/>
      <w:r>
        <w:t xml:space="preserve"> and GFT1007 secondary PK parameters were decreased in patients with relatively higher body weights; however, the effects identified were not expected to be clinically relevant (i.e. changes seen were ~15%).</w:t>
      </w:r>
    </w:p>
    <w:p w14:paraId="1CFF340C" w14:textId="16A2DC1D" w:rsidR="006171F6" w:rsidRDefault="006171F6" w:rsidP="000111F4">
      <w:proofErr w:type="spellStart"/>
      <w:r>
        <w:t>Elafibranor</w:t>
      </w:r>
      <w:proofErr w:type="spellEnd"/>
      <w:r>
        <w:t xml:space="preserve"> </w:t>
      </w:r>
      <w:proofErr w:type="spellStart"/>
      <w:r>
        <w:t>C</w:t>
      </w:r>
      <w:r w:rsidRPr="009735BA">
        <w:rPr>
          <w:vertAlign w:val="subscript"/>
        </w:rPr>
        <w:t>max</w:t>
      </w:r>
      <w:proofErr w:type="spellEnd"/>
      <w:r>
        <w:t xml:space="preserve"> and AUC values were approximately 2- and 1.6- to 1.8-fold higher, respectively, in patients with type 2 diabetes than in overweight or obese participants administered the same dose. By contrast, GFT1007 exposure values were </w:t>
      </w:r>
      <w:proofErr w:type="gramStart"/>
      <w:r>
        <w:t>on the whole</w:t>
      </w:r>
      <w:proofErr w:type="gramEnd"/>
      <w:r>
        <w:t xml:space="preserve"> much more similar between patients with type 2 diabetes and overweight/obese subjects administered 180 mg </w:t>
      </w:r>
      <w:proofErr w:type="spellStart"/>
      <w:r>
        <w:t>elafibranor</w:t>
      </w:r>
      <w:proofErr w:type="spellEnd"/>
      <w:r>
        <w:t>.</w:t>
      </w:r>
    </w:p>
    <w:p w14:paraId="057C7286" w14:textId="6E26FA43" w:rsidR="006171F6" w:rsidRDefault="00634A2D" w:rsidP="000111F4">
      <w:pPr>
        <w:pStyle w:val="Heading5"/>
      </w:pPr>
      <w:r w:rsidRPr="00634A2D">
        <w:t xml:space="preserve">Population </w:t>
      </w:r>
      <w:r w:rsidRPr="000111F4">
        <w:t>pharmacokinetics</w:t>
      </w:r>
    </w:p>
    <w:p w14:paraId="12424112" w14:textId="1253B14F" w:rsidR="006171F6" w:rsidRDefault="006171F6" w:rsidP="000111F4">
      <w:r>
        <w:t xml:space="preserve">The final PK model for </w:t>
      </w:r>
      <w:proofErr w:type="spellStart"/>
      <w:r>
        <w:t>elafibranor</w:t>
      </w:r>
      <w:proofErr w:type="spellEnd"/>
      <w:r>
        <w:t xml:space="preserve"> indicated that </w:t>
      </w:r>
      <w:proofErr w:type="spellStart"/>
      <w:r>
        <w:t>elafibranor</w:t>
      </w:r>
      <w:proofErr w:type="spellEnd"/>
      <w:r>
        <w:t xml:space="preserve"> is absorbed via a sequential zero-order and first-order process after a short absorption lag time and its disposition followed a two-compartment kinetic with a linear first-order elimination process. Covariate-parameter relationships identified for </w:t>
      </w:r>
      <w:proofErr w:type="spellStart"/>
      <w:r>
        <w:t>elafibranor</w:t>
      </w:r>
      <w:proofErr w:type="spellEnd"/>
      <w:r>
        <w:t xml:space="preserve"> included: body weight on </w:t>
      </w:r>
      <w:r w:rsidR="00645CD9">
        <w:t>clearance (</w:t>
      </w:r>
      <w:r>
        <w:t>CL</w:t>
      </w:r>
      <w:r w:rsidR="00645CD9">
        <w:t>)</w:t>
      </w:r>
      <w:r>
        <w:t xml:space="preserve"> and </w:t>
      </w:r>
      <w:r w:rsidR="00645CD9">
        <w:t xml:space="preserve">volume of </w:t>
      </w:r>
      <w:r w:rsidR="004C7D69">
        <w:t>distribution (</w:t>
      </w:r>
      <w:r>
        <w:t>V</w:t>
      </w:r>
      <w:r w:rsidR="004C7D69">
        <w:t>)</w:t>
      </w:r>
      <w:r>
        <w:t xml:space="preserve"> parameters, dose on </w:t>
      </w:r>
      <w:r w:rsidR="004C7D69" w:rsidRPr="004C7D69">
        <w:t>relative bioavailability</w:t>
      </w:r>
      <w:r w:rsidR="004C7D69">
        <w:t xml:space="preserve"> (</w:t>
      </w:r>
      <w:r>
        <w:t>F</w:t>
      </w:r>
      <w:r w:rsidRPr="004C7D69">
        <w:rPr>
          <w:vertAlign w:val="subscript"/>
        </w:rPr>
        <w:t>rel</w:t>
      </w:r>
      <w:r w:rsidR="004C7D69">
        <w:t>)</w:t>
      </w:r>
      <w:r>
        <w:t xml:space="preserve">, food on MAT, type of bioanalytical method on </w:t>
      </w:r>
      <w:r w:rsidR="0012265D" w:rsidRPr="0012265D">
        <w:t xml:space="preserve">individual prediction </w:t>
      </w:r>
      <w:r w:rsidR="0012265D">
        <w:t>(</w:t>
      </w:r>
      <w:r>
        <w:t>IPRE</w:t>
      </w:r>
      <w:r w:rsidR="0012265D">
        <w:t>D)</w:t>
      </w:r>
      <w:r>
        <w:t xml:space="preserve">, formulation on </w:t>
      </w:r>
      <w:r w:rsidR="0012265D" w:rsidRPr="0012265D">
        <w:t xml:space="preserve">relative bioavailability </w:t>
      </w:r>
      <w:r w:rsidR="0012265D">
        <w:t>(</w:t>
      </w:r>
      <w:r>
        <w:t>F</w:t>
      </w:r>
      <w:r w:rsidRPr="004C7D69">
        <w:rPr>
          <w:vertAlign w:val="subscript"/>
        </w:rPr>
        <w:t>rel</w:t>
      </w:r>
      <w:r w:rsidR="0012265D">
        <w:t>)</w:t>
      </w:r>
      <w:r>
        <w:t xml:space="preserve">, </w:t>
      </w:r>
      <w:r w:rsidR="00780AB6" w:rsidRPr="00780AB6">
        <w:t>zero order input</w:t>
      </w:r>
      <w:r w:rsidR="0012265D">
        <w:t xml:space="preserve"> (</w:t>
      </w:r>
      <w:r w:rsidR="0012265D" w:rsidRPr="0012265D">
        <w:t>D1</w:t>
      </w:r>
      <w:r w:rsidR="0012265D">
        <w:t>)</w:t>
      </w:r>
      <w:r>
        <w:t xml:space="preserve">, MAT and </w:t>
      </w:r>
      <w:r w:rsidR="0012265D" w:rsidRPr="0012265D">
        <w:t xml:space="preserve">lag time to reach the gastrointestinal absorption site </w:t>
      </w:r>
      <w:r w:rsidR="0012265D">
        <w:t>(</w:t>
      </w:r>
      <w:proofErr w:type="spellStart"/>
      <w:r>
        <w:t>T</w:t>
      </w:r>
      <w:r w:rsidRPr="004C7D69">
        <w:rPr>
          <w:vertAlign w:val="subscript"/>
        </w:rPr>
        <w:t>lag</w:t>
      </w:r>
      <w:proofErr w:type="spellEnd"/>
      <w:r w:rsidR="0012265D">
        <w:t>)</w:t>
      </w:r>
      <w:r>
        <w:t xml:space="preserve">, </w:t>
      </w:r>
      <w:r w:rsidR="002D1497" w:rsidRPr="002D1497">
        <w:t>albumin</w:t>
      </w:r>
      <w:r w:rsidR="0012265D">
        <w:t xml:space="preserve"> (</w:t>
      </w:r>
      <w:r w:rsidR="0012265D" w:rsidRPr="0012265D">
        <w:t>ALB</w:t>
      </w:r>
      <w:r w:rsidR="0012265D">
        <w:t>)</w:t>
      </w:r>
      <w:r>
        <w:t xml:space="preserve"> on </w:t>
      </w:r>
      <w:r w:rsidR="00AF32A7">
        <w:t>apparent</w:t>
      </w:r>
      <w:r w:rsidR="0012265D">
        <w:t xml:space="preserve"> </w:t>
      </w:r>
      <w:r w:rsidR="00AF32A7">
        <w:t xml:space="preserve">clearance </w:t>
      </w:r>
      <w:r w:rsidR="009F0F31">
        <w:t>(</w:t>
      </w:r>
      <w:r>
        <w:t>CL/F</w:t>
      </w:r>
      <w:r w:rsidR="009F0F31">
        <w:t>)</w:t>
      </w:r>
      <w:r>
        <w:t xml:space="preserve"> and </w:t>
      </w:r>
      <w:r w:rsidR="0039497F" w:rsidRPr="0039497F">
        <w:t>apparent inter-compartmental clearance</w:t>
      </w:r>
      <w:r w:rsidR="009F0F31">
        <w:t xml:space="preserve"> (</w:t>
      </w:r>
      <w:r w:rsidR="009F0F31" w:rsidRPr="009F0F31">
        <w:t>Q/F</w:t>
      </w:r>
      <w:r w:rsidR="009F0F31">
        <w:t>)</w:t>
      </w:r>
      <w:r>
        <w:t xml:space="preserve">, age on </w:t>
      </w:r>
      <w:r w:rsidR="00DC5212">
        <w:t>apparent peripheral volume of</w:t>
      </w:r>
      <w:r w:rsidR="009F0F31">
        <w:t xml:space="preserve"> </w:t>
      </w:r>
      <w:r w:rsidR="00DC5212">
        <w:t>distribution</w:t>
      </w:r>
      <w:r w:rsidR="009F0F31">
        <w:t xml:space="preserve"> (</w:t>
      </w:r>
      <w:proofErr w:type="spellStart"/>
      <w:r w:rsidR="009F0F31" w:rsidRPr="009F0F31">
        <w:t>Vp</w:t>
      </w:r>
      <w:proofErr w:type="spellEnd"/>
      <w:r w:rsidR="009F0F31" w:rsidRPr="009F0F31">
        <w:t>/F</w:t>
      </w:r>
      <w:r w:rsidR="009F0F31">
        <w:t>)</w:t>
      </w:r>
      <w:r>
        <w:t>, D1 and F</w:t>
      </w:r>
      <w:r w:rsidRPr="004C7D69">
        <w:rPr>
          <w:vertAlign w:val="subscript"/>
        </w:rPr>
        <w:t>rel,</w:t>
      </w:r>
      <w:r>
        <w:t xml:space="preserve"> sex on Q/F, BMI on </w:t>
      </w:r>
      <w:proofErr w:type="spellStart"/>
      <w:r>
        <w:t>V</w:t>
      </w:r>
      <w:r w:rsidRPr="004C7D69">
        <w:rPr>
          <w:vertAlign w:val="subscript"/>
        </w:rPr>
        <w:t>p</w:t>
      </w:r>
      <w:proofErr w:type="spellEnd"/>
      <w:r>
        <w:t xml:space="preserve">/F, PBC on </w:t>
      </w:r>
      <w:proofErr w:type="spellStart"/>
      <w:r>
        <w:t>V</w:t>
      </w:r>
      <w:r w:rsidRPr="004C7D69">
        <w:rPr>
          <w:vertAlign w:val="subscript"/>
        </w:rPr>
        <w:t>p</w:t>
      </w:r>
      <w:proofErr w:type="spellEnd"/>
      <w:r>
        <w:t xml:space="preserve">/F and Study GFT505B-319-1 on </w:t>
      </w:r>
      <w:proofErr w:type="spellStart"/>
      <w:r>
        <w:t>T</w:t>
      </w:r>
      <w:r w:rsidRPr="004C7D69">
        <w:rPr>
          <w:vertAlign w:val="subscript"/>
        </w:rPr>
        <w:t>lag</w:t>
      </w:r>
      <w:proofErr w:type="spellEnd"/>
      <w:r>
        <w:t>.</w:t>
      </w:r>
    </w:p>
    <w:p w14:paraId="12C70078" w14:textId="169E40F9" w:rsidR="006171F6" w:rsidRDefault="006171F6" w:rsidP="000111F4">
      <w:r>
        <w:lastRenderedPageBreak/>
        <w:t xml:space="preserve">For </w:t>
      </w:r>
      <w:proofErr w:type="spellStart"/>
      <w:r>
        <w:t>elafibranor</w:t>
      </w:r>
      <w:proofErr w:type="spellEnd"/>
      <w:r>
        <w:t xml:space="preserve"> the bioanalytical method used to determine concentration in plasma had the most prominent effect on PKs (~50% reduction in exposure). Fed subjects had almost 40% lower </w:t>
      </w:r>
      <w:proofErr w:type="spellStart"/>
      <w:proofErr w:type="gramStart"/>
      <w:r>
        <w:t>C</w:t>
      </w:r>
      <w:r w:rsidRPr="009735BA">
        <w:rPr>
          <w:vertAlign w:val="subscript"/>
        </w:rPr>
        <w:t>max,ss</w:t>
      </w:r>
      <w:proofErr w:type="spellEnd"/>
      <w:proofErr w:type="gramEnd"/>
      <w:r>
        <w:t xml:space="preserve"> values than fasted subjects.</w:t>
      </w:r>
    </w:p>
    <w:p w14:paraId="7769C685" w14:textId="44B8F206" w:rsidR="006171F6" w:rsidRDefault="006171F6" w:rsidP="006171F6">
      <w:r>
        <w:t xml:space="preserve">Covariates that were identified as not having either statistically significant and/or clinically relevant effects on </w:t>
      </w:r>
      <w:proofErr w:type="spellStart"/>
      <w:r>
        <w:t>elafibranor</w:t>
      </w:r>
      <w:proofErr w:type="spellEnd"/>
      <w:r>
        <w:t xml:space="preserve"> PKs included PBC status, age, hepatic and renal impairment and for GFT1007 included: PBC status, age and hepatic impairment.</w:t>
      </w:r>
    </w:p>
    <w:p w14:paraId="2FF1CEBC" w14:textId="77777777" w:rsidR="006171F6" w:rsidRDefault="006171F6" w:rsidP="000111F4">
      <w:pPr>
        <w:pStyle w:val="Heading5"/>
      </w:pPr>
      <w:r>
        <w:t xml:space="preserve">Drug-drug </w:t>
      </w:r>
      <w:r w:rsidRPr="000111F4">
        <w:t>interactions</w:t>
      </w:r>
    </w:p>
    <w:p w14:paraId="6A94C3DB" w14:textId="0D6DB5C2" w:rsidR="006171F6" w:rsidRDefault="006171F6" w:rsidP="00D12184">
      <w:r>
        <w:t xml:space="preserve">There </w:t>
      </w:r>
      <w:proofErr w:type="gramStart"/>
      <w:r>
        <w:t>were</w:t>
      </w:r>
      <w:proofErr w:type="gramEnd"/>
      <w:r>
        <w:t xml:space="preserve"> no effect from statins such as simvastati</w:t>
      </w:r>
      <w:r w:rsidR="00634A2D">
        <w:t>n</w:t>
      </w:r>
      <w:r>
        <w:t xml:space="preserve"> and </w:t>
      </w:r>
      <w:r w:rsidR="00634A2D">
        <w:t>atorvastatin</w:t>
      </w:r>
      <w:r>
        <w:t xml:space="preserve"> on the P</w:t>
      </w:r>
      <w:r w:rsidR="00634A2D">
        <w:t>K</w:t>
      </w:r>
      <w:r>
        <w:t xml:space="preserve"> of </w:t>
      </w:r>
      <w:proofErr w:type="spellStart"/>
      <w:r>
        <w:t>elafibranor</w:t>
      </w:r>
      <w:proofErr w:type="spellEnd"/>
      <w:r>
        <w:t xml:space="preserve"> or vice versa.</w:t>
      </w:r>
    </w:p>
    <w:p w14:paraId="682AA649" w14:textId="44E296C3" w:rsidR="006171F6" w:rsidRDefault="006171F6" w:rsidP="00D12184">
      <w:r>
        <w:t xml:space="preserve">The PK of warfarin, R-warfarin and S-warfarin were similar following administration of 15 mg warfarin alone versus warfarin co-administered with 120 mg </w:t>
      </w:r>
      <w:proofErr w:type="spellStart"/>
      <w:r>
        <w:t>elafibranor</w:t>
      </w:r>
      <w:proofErr w:type="spellEnd"/>
      <w:r>
        <w:t xml:space="preserve"> QD.</w:t>
      </w:r>
    </w:p>
    <w:p w14:paraId="473A36C8" w14:textId="5EFB401A" w:rsidR="006171F6" w:rsidRDefault="006171F6" w:rsidP="00D12184">
      <w:r>
        <w:t xml:space="preserve">Steady-state indomethacin 75 mg BD had no effect on the PKs of </w:t>
      </w:r>
      <w:proofErr w:type="spellStart"/>
      <w:r>
        <w:t>elafibranor</w:t>
      </w:r>
      <w:proofErr w:type="spellEnd"/>
      <w:r>
        <w:t xml:space="preserve"> or GFT1007 following a single dose of 120 mg </w:t>
      </w:r>
      <w:proofErr w:type="spellStart"/>
      <w:r>
        <w:t>elafibranor</w:t>
      </w:r>
      <w:proofErr w:type="spellEnd"/>
      <w:r>
        <w:t>.</w:t>
      </w:r>
    </w:p>
    <w:p w14:paraId="1F545E97" w14:textId="4305CBE6" w:rsidR="006171F6" w:rsidRDefault="006171F6" w:rsidP="006171F6">
      <w:r>
        <w:t xml:space="preserve">A single dose of 100 mg sitagliptin did not have a clinically significant effect on the steady-state PKs of either </w:t>
      </w:r>
      <w:proofErr w:type="spellStart"/>
      <w:r>
        <w:t>elafibranor</w:t>
      </w:r>
      <w:proofErr w:type="spellEnd"/>
      <w:r>
        <w:t xml:space="preserve"> or GFT1007 following administration of 100 mg </w:t>
      </w:r>
      <w:proofErr w:type="spellStart"/>
      <w:r>
        <w:t>elafibranor</w:t>
      </w:r>
      <w:proofErr w:type="spellEnd"/>
      <w:r>
        <w:t xml:space="preserve"> QD.</w:t>
      </w:r>
    </w:p>
    <w:p w14:paraId="3C32C7B9" w14:textId="37B7CD90" w:rsidR="006171F6" w:rsidRDefault="006171F6" w:rsidP="00D12184">
      <w:pPr>
        <w:pStyle w:val="Heading5"/>
      </w:pPr>
      <w:r w:rsidRPr="00D12184">
        <w:t>Pharmacodynamic</w:t>
      </w:r>
      <w:r w:rsidR="00634A2D" w:rsidRPr="00D12184">
        <w:t>s</w:t>
      </w:r>
    </w:p>
    <w:p w14:paraId="0324C5A0" w14:textId="77777777" w:rsidR="006171F6" w:rsidRDefault="006171F6" w:rsidP="00D12184">
      <w:pPr>
        <w:pStyle w:val="Heading6"/>
      </w:pPr>
      <w:r w:rsidRPr="00D12184">
        <w:t>Mechanism</w:t>
      </w:r>
      <w:r>
        <w:t xml:space="preserve"> of action</w:t>
      </w:r>
    </w:p>
    <w:p w14:paraId="34BE4532" w14:textId="11CF4DB8" w:rsidR="006171F6" w:rsidRDefault="006171F6" w:rsidP="00D12184">
      <w:proofErr w:type="spellStart"/>
      <w:r>
        <w:t>Elafibranor</w:t>
      </w:r>
      <w:proofErr w:type="spellEnd"/>
      <w:r>
        <w:t xml:space="preserve"> and its equipotent metabolite GFT1007 are PPAR α/δ agonists, which decrease bile acid synthesis, increase bile acid detoxification and modulate bile acid output, resulting in decreased bile toxicity and less injury to cholangiocytes and hepatocytes</w:t>
      </w:r>
      <w:r w:rsidR="00D12184">
        <w:t>.</w:t>
      </w:r>
    </w:p>
    <w:p w14:paraId="0271603E" w14:textId="11FF3BE3" w:rsidR="006171F6" w:rsidRDefault="006171F6" w:rsidP="00D12184">
      <w:r>
        <w:t xml:space="preserve">A statistically significant decrease in blood levels of triglycerides was observed following the attainment of </w:t>
      </w:r>
      <w:proofErr w:type="spellStart"/>
      <w:r>
        <w:t>elafibranor</w:t>
      </w:r>
      <w:proofErr w:type="spellEnd"/>
      <w:r>
        <w:t xml:space="preserve"> </w:t>
      </w:r>
      <w:proofErr w:type="gramStart"/>
      <w:r>
        <w:t>steady-state</w:t>
      </w:r>
      <w:proofErr w:type="gramEnd"/>
      <w:r>
        <w:t xml:space="preserve">, following administration of </w:t>
      </w:r>
      <w:proofErr w:type="spellStart"/>
      <w:r>
        <w:t>elafibranor</w:t>
      </w:r>
      <w:proofErr w:type="spellEnd"/>
      <w:r>
        <w:t xml:space="preserve"> alone (Day 16) or in combination with sitagliptin. It is noted moreover that there were no overall changes in glycaemic or lipid profiles after 52 weeks of </w:t>
      </w:r>
      <w:proofErr w:type="spellStart"/>
      <w:r>
        <w:t>elafibranor</w:t>
      </w:r>
      <w:proofErr w:type="spellEnd"/>
      <w:r>
        <w:t xml:space="preserve"> exposure in the phase 3 pivotal study 319-1.</w:t>
      </w:r>
    </w:p>
    <w:p w14:paraId="7568CEBF" w14:textId="07A94118" w:rsidR="006171F6" w:rsidRDefault="006171F6" w:rsidP="00D12184">
      <w:pPr>
        <w:pStyle w:val="Heading5"/>
      </w:pPr>
      <w:r>
        <w:t xml:space="preserve">Pivotal </w:t>
      </w:r>
      <w:r w:rsidRPr="00D12184">
        <w:t>studies</w:t>
      </w:r>
    </w:p>
    <w:p w14:paraId="693EA7F6" w14:textId="77777777" w:rsidR="006171F6" w:rsidRDefault="006171F6" w:rsidP="00D12184">
      <w:pPr>
        <w:pStyle w:val="Heading6"/>
      </w:pPr>
      <w:r>
        <w:t xml:space="preserve">Dosage selection for the pivotal </w:t>
      </w:r>
      <w:r w:rsidRPr="00D12184">
        <w:t>studies</w:t>
      </w:r>
    </w:p>
    <w:p w14:paraId="23BE7577" w14:textId="1C3225FC" w:rsidR="006171F6" w:rsidRDefault="006171F6" w:rsidP="00D12184">
      <w:r>
        <w:t xml:space="preserve">Study 216-1 was a multicentre, double-blind, randomised, placebo-controlled phase 2 study evaluating efficacy and safety of </w:t>
      </w:r>
      <w:proofErr w:type="spellStart"/>
      <w:r>
        <w:t>elafibranor</w:t>
      </w:r>
      <w:proofErr w:type="spellEnd"/>
      <w:r>
        <w:t xml:space="preserve"> 80mg and 120mg after 12 weeks of treatment in patients with PBC and inadequate response to ursodeoxycholic acid.</w:t>
      </w:r>
    </w:p>
    <w:p w14:paraId="5CAD1BB0" w14:textId="7FC973DC" w:rsidR="006171F6" w:rsidRDefault="006171F6" w:rsidP="00D12184">
      <w:r>
        <w:t xml:space="preserve">The primary objective was to evaluate </w:t>
      </w:r>
      <w:proofErr w:type="spellStart"/>
      <w:r>
        <w:t>elafibranor</w:t>
      </w:r>
      <w:proofErr w:type="spellEnd"/>
      <w:r>
        <w:t xml:space="preserve"> 80 and 120mg vs. placebo in subjects with PBC as measured by the relative change from baseline in serum ALP levels.</w:t>
      </w:r>
    </w:p>
    <w:p w14:paraId="780C1762" w14:textId="2BBEB317" w:rsidR="006171F6" w:rsidRDefault="006171F6" w:rsidP="00D12184">
      <w:r>
        <w:t xml:space="preserve">Secondary objectives were to evaluate efficacy by the multiple endpoints at visit 5 (week 12) including the response to treatment based on composite endpoints (ALP &lt; 1.67 × ULN and TB within normal limit and &gt; 15% decrease in </w:t>
      </w:r>
      <w:proofErr w:type="gramStart"/>
      <w:r>
        <w:t>ALP,  ALP</w:t>
      </w:r>
      <w:proofErr w:type="gramEnd"/>
      <w:r>
        <w:t xml:space="preserve"> &lt; 2 × ULN and TB within normal limit and &gt; 40% decrease in </w:t>
      </w:r>
      <w:proofErr w:type="gramStart"/>
      <w:r>
        <w:t>ALP )</w:t>
      </w:r>
      <w:proofErr w:type="gramEnd"/>
      <w:r>
        <w:t>.</w:t>
      </w:r>
    </w:p>
    <w:p w14:paraId="02EA12C0" w14:textId="77777777" w:rsidR="006171F6" w:rsidRDefault="006171F6" w:rsidP="00D12184">
      <w:r>
        <w:t>The study was projected to randomise 45 subjects to 3 treatment groups in a 1:1:1 ratio (</w:t>
      </w:r>
      <w:proofErr w:type="spellStart"/>
      <w:r>
        <w:t>elafibranor</w:t>
      </w:r>
      <w:proofErr w:type="spellEnd"/>
      <w:r>
        <w:t xml:space="preserve"> 80mg, </w:t>
      </w:r>
      <w:proofErr w:type="spellStart"/>
      <w:r>
        <w:t>elafibranor</w:t>
      </w:r>
      <w:proofErr w:type="spellEnd"/>
      <w:r>
        <w:t xml:space="preserve"> 120mg or placebo). 15 subjects in each of the </w:t>
      </w:r>
      <w:proofErr w:type="spellStart"/>
      <w:r>
        <w:t>elafibranor</w:t>
      </w:r>
      <w:proofErr w:type="spellEnd"/>
      <w:r>
        <w:t xml:space="preserve"> arms and placebo arm (45 subjects in total) were estimated to achieve &gt;80% power to detect a percentage difference of -20% in the change from baseline serum ALP for each dose-placebo comparison.</w:t>
      </w:r>
    </w:p>
    <w:p w14:paraId="68DE04DF" w14:textId="597DA5FF" w:rsidR="006171F6" w:rsidRDefault="006171F6" w:rsidP="00D12184">
      <w:r>
        <w:lastRenderedPageBreak/>
        <w:t>A total of 68 subjects were screened and 45 were randomised. Overall, 45 subjects completed the ITT set with 15 subjects randomised to each of the 3 treatment groups.</w:t>
      </w:r>
    </w:p>
    <w:p w14:paraId="286DD6E7" w14:textId="77777777" w:rsidR="006171F6" w:rsidRDefault="006171F6" w:rsidP="00D12184">
      <w:r>
        <w:t xml:space="preserve">For the primary analysis, mean relative change from baseline to endpoint in serum ALP, this was -48.3%, -40.6% and 3.2% for </w:t>
      </w:r>
      <w:proofErr w:type="spellStart"/>
      <w:r>
        <w:t>elafibranor</w:t>
      </w:r>
      <w:proofErr w:type="spellEnd"/>
      <w:r>
        <w:t xml:space="preserve"> 80mg, </w:t>
      </w:r>
      <w:proofErr w:type="spellStart"/>
      <w:r>
        <w:t>elafibranor</w:t>
      </w:r>
      <w:proofErr w:type="spellEnd"/>
      <w:r>
        <w:t xml:space="preserve"> 120mg and placebo, respectively. This revealed statistically significant treatment effect with </w:t>
      </w:r>
      <w:proofErr w:type="spellStart"/>
      <w:r>
        <w:t>elafibranor</w:t>
      </w:r>
      <w:proofErr w:type="spellEnd"/>
      <w:r>
        <w:t xml:space="preserve"> vs. placebo (p&lt;0.001). The treatment effect estimate was -52.0% (95% CI [-62.</w:t>
      </w:r>
      <w:proofErr w:type="gramStart"/>
      <w:r>
        <w:t>5;-</w:t>
      </w:r>
      <w:proofErr w:type="gramEnd"/>
      <w:r>
        <w:t xml:space="preserve">41.5]) for </w:t>
      </w:r>
      <w:proofErr w:type="spellStart"/>
      <w:r>
        <w:t>elafibranor</w:t>
      </w:r>
      <w:proofErr w:type="spellEnd"/>
      <w:r>
        <w:t xml:space="preserve"> 80mg and -43.9% (95% CI [-55.</w:t>
      </w:r>
      <w:proofErr w:type="gramStart"/>
      <w:r>
        <w:t>7;-</w:t>
      </w:r>
      <w:proofErr w:type="gramEnd"/>
      <w:r>
        <w:t xml:space="preserve">32.1]) for </w:t>
      </w:r>
      <w:proofErr w:type="spellStart"/>
      <w:r>
        <w:t>elafibranor</w:t>
      </w:r>
      <w:proofErr w:type="spellEnd"/>
      <w:r>
        <w:t xml:space="preserve"> 120mg. </w:t>
      </w:r>
      <w:proofErr w:type="gramStart"/>
      <w:r>
        <w:t>The majority of</w:t>
      </w:r>
      <w:proofErr w:type="gramEnd"/>
      <w:r>
        <w:t xml:space="preserve"> subjects in the </w:t>
      </w:r>
      <w:proofErr w:type="spellStart"/>
      <w:r>
        <w:t>elafibranor</w:t>
      </w:r>
      <w:proofErr w:type="spellEnd"/>
      <w:r>
        <w:t xml:space="preserve"> 80mg and 120mg treatment groups had ALP values &lt;1.67 x ULN by week 12 whilst most subjects in the placebo group had ALP values that remained stable and &gt;1.67 x ULN.</w:t>
      </w:r>
    </w:p>
    <w:p w14:paraId="5564C59A" w14:textId="6803CA42" w:rsidR="006171F6" w:rsidRDefault="006171F6" w:rsidP="00634A2D">
      <w:pPr>
        <w:pStyle w:val="Heading6"/>
      </w:pPr>
      <w:r>
        <w:t>Pivotal study</w:t>
      </w:r>
      <w:r w:rsidR="00634A2D">
        <w:t xml:space="preserve"> </w:t>
      </w:r>
      <w:r>
        <w:t>GTF505B-319-1</w:t>
      </w:r>
    </w:p>
    <w:p w14:paraId="15FD77E5" w14:textId="1E4BC31F" w:rsidR="006171F6" w:rsidRDefault="006171F6" w:rsidP="00D12184">
      <w:r>
        <w:t xml:space="preserve">Study GTF505B-319-1 (“Study 319-1”) was a double-blind, randomised, placebo-controlled study, with an open-label long-term extension, evaluating the efficacy and safety of </w:t>
      </w:r>
      <w:proofErr w:type="spellStart"/>
      <w:r>
        <w:t>elafibranor</w:t>
      </w:r>
      <w:proofErr w:type="spellEnd"/>
      <w:r>
        <w:t xml:space="preserve"> 80mg in patients with PBC with inadequate response or intolerance to UDCA.</w:t>
      </w:r>
    </w:p>
    <w:p w14:paraId="37ED5998" w14:textId="77777777" w:rsidR="006171F6" w:rsidRDefault="006171F6" w:rsidP="00D12184">
      <w:r>
        <w:t xml:space="preserve">The current CSR focused on the randomised, double-blind, placebo-controlled component of the study, which included the common double-blind period of 52 weeks and the variable double-blind period of up to an additional 52 weeks. The study initiation date was 24 September 2020 and data cut-off date 01 June 2023.  A future report will include data from the entire study including the long-term extension (LTE) period. </w:t>
      </w:r>
    </w:p>
    <w:p w14:paraId="2792E80C" w14:textId="69FEE460" w:rsidR="006171F6" w:rsidRDefault="006171F6" w:rsidP="00D12184">
      <w:r>
        <w:t xml:space="preserve">Approximately 150 patients were to be randomised in a 2:1 ratio to receive once daily </w:t>
      </w:r>
      <w:proofErr w:type="spellStart"/>
      <w:r>
        <w:t>elafibranor</w:t>
      </w:r>
      <w:proofErr w:type="spellEnd"/>
      <w:r>
        <w:t xml:space="preserve"> 80mg or placebo. Where applicable, patients continued their pre-study dose of UDCA through the study. The study design is shown </w:t>
      </w:r>
      <w:r w:rsidR="00634A2D">
        <w:t>in Figure 2.</w:t>
      </w:r>
    </w:p>
    <w:p w14:paraId="6E415819" w14:textId="05864A55" w:rsidR="006171F6" w:rsidRDefault="006171F6" w:rsidP="00D12184">
      <w:pPr>
        <w:pStyle w:val="FigureTitle"/>
      </w:pPr>
      <w:r>
        <w:t xml:space="preserve">Figure </w:t>
      </w:r>
      <w:r w:rsidR="00634A2D">
        <w:t>2</w:t>
      </w:r>
      <w:r w:rsidR="00070F66">
        <w:t xml:space="preserve">. </w:t>
      </w:r>
      <w:r>
        <w:t xml:space="preserve">Study GTF505B-319-1 </w:t>
      </w:r>
      <w:r w:rsidRPr="00D12184">
        <w:t>Design</w:t>
      </w:r>
    </w:p>
    <w:p w14:paraId="70DDECDC" w14:textId="0CD49EA0" w:rsidR="00070F66" w:rsidRDefault="00070F66" w:rsidP="00D12184">
      <w:r w:rsidRPr="0090057B">
        <w:rPr>
          <w:noProof/>
        </w:rPr>
        <w:drawing>
          <wp:inline distT="0" distB="0" distL="0" distR="0" wp14:anchorId="53D6066A" wp14:editId="47C6D9F5">
            <wp:extent cx="5731510" cy="1839685"/>
            <wp:effectExtent l="0" t="0" r="2540" b="8255"/>
            <wp:docPr id="1453109695" name="Picture 1" descr="Figure 2. Study GTF505B-319-1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09695" name="Picture 1" descr="Figure 2. Study GTF505B-319-1 Design"/>
                    <pic:cNvPicPr/>
                  </pic:nvPicPr>
                  <pic:blipFill rotWithShape="1">
                    <a:blip r:embed="rId25">
                      <a:extLst>
                        <a:ext uri="{BEBA8EAE-BF5A-486C-A8C5-ECC9F3942E4B}">
                          <a14:imgProps xmlns:a14="http://schemas.microsoft.com/office/drawing/2010/main">
                            <a14:imgLayer r:embed="rId26">
                              <a14:imgEffect>
                                <a14:sharpenSoften amount="25000"/>
                              </a14:imgEffect>
                            </a14:imgLayer>
                          </a14:imgProps>
                        </a:ext>
                      </a:extLst>
                    </a:blip>
                    <a:srcRect b="36215"/>
                    <a:stretch/>
                  </pic:blipFill>
                  <pic:spPr bwMode="auto">
                    <a:xfrm>
                      <a:off x="0" y="0"/>
                      <a:ext cx="5731510" cy="1839685"/>
                    </a:xfrm>
                    <a:prstGeom prst="rect">
                      <a:avLst/>
                    </a:prstGeom>
                    <a:ln>
                      <a:noFill/>
                    </a:ln>
                    <a:extLst>
                      <a:ext uri="{53640926-AAD7-44D8-BBD7-CCE9431645EC}">
                        <a14:shadowObscured xmlns:a14="http://schemas.microsoft.com/office/drawing/2010/main"/>
                      </a:ext>
                    </a:extLst>
                  </pic:spPr>
                </pic:pic>
              </a:graphicData>
            </a:graphic>
          </wp:inline>
        </w:drawing>
      </w:r>
    </w:p>
    <w:p w14:paraId="6EBE9B07" w14:textId="32A463E5" w:rsidR="006F2F3C" w:rsidRDefault="006F2F3C" w:rsidP="00D12184">
      <w:pPr>
        <w:pStyle w:val="FigureDescription"/>
      </w:pPr>
      <w:proofErr w:type="spellStart"/>
      <w:r w:rsidRPr="006F2F3C">
        <w:t>wks</w:t>
      </w:r>
      <w:proofErr w:type="spellEnd"/>
      <w:r w:rsidRPr="006F2F3C">
        <w:t>—weeks</w:t>
      </w:r>
    </w:p>
    <w:p w14:paraId="779698DA" w14:textId="14DEB6C7" w:rsidR="006F2F3C" w:rsidRDefault="006F2F3C" w:rsidP="00D12184">
      <w:pPr>
        <w:pStyle w:val="FigureDescription"/>
      </w:pPr>
      <w:r w:rsidRPr="006F2F3C">
        <w:t>(a) If receiving UDCA at randomisation. it was continued throughout study participation.</w:t>
      </w:r>
    </w:p>
    <w:p w14:paraId="3D1A76C5" w14:textId="3F169A54" w:rsidR="006F2F3C" w:rsidRDefault="006F2F3C" w:rsidP="00D12184">
      <w:pPr>
        <w:pStyle w:val="FigureDescription"/>
      </w:pPr>
      <w:r w:rsidRPr="006F2F3C">
        <w:t>(b) The variable doubl</w:t>
      </w:r>
      <w:r>
        <w:t>e</w:t>
      </w:r>
      <w:r w:rsidRPr="006F2F3C">
        <w:t>-blind period was an additional 52 w</w:t>
      </w:r>
      <w:r>
        <w:t>ee</w:t>
      </w:r>
      <w:r w:rsidRPr="006F2F3C">
        <w:t>ks after the end of the common double-blind period (We&amp; 104) or until the last completed Visit 6 (Week 52), whichever occurred first.</w:t>
      </w:r>
    </w:p>
    <w:p w14:paraId="588B38BF" w14:textId="612B5E88" w:rsidR="006F2F3C" w:rsidRDefault="006F2F3C" w:rsidP="00D12184">
      <w:pPr>
        <w:pStyle w:val="FigureDescription"/>
      </w:pPr>
      <w:r w:rsidRPr="006F2F3C">
        <w:t>(c) The LTE duration will be up to 5 years after end of th</w:t>
      </w:r>
      <w:r>
        <w:t>e</w:t>
      </w:r>
      <w:r w:rsidRPr="006F2F3C">
        <w:t xml:space="preserve"> double-blind period or until the subject's total treatment duration is 6 </w:t>
      </w:r>
      <w:r>
        <w:t>y</w:t>
      </w:r>
      <w:r w:rsidRPr="006F2F3C">
        <w:t>ears</w:t>
      </w:r>
      <w:r>
        <w:t xml:space="preserve">, </w:t>
      </w:r>
      <w:r w:rsidRPr="006F2F3C">
        <w:t>whichever occurs first.</w:t>
      </w:r>
    </w:p>
    <w:p w14:paraId="22B7FD9C" w14:textId="29D481FB" w:rsidR="0093679B" w:rsidRDefault="006F2F3C" w:rsidP="00D12184">
      <w:pPr>
        <w:pStyle w:val="FigureDescription"/>
      </w:pPr>
      <w:r w:rsidRPr="006F2F3C">
        <w:t>(d) The safety follow-up period will continue for 4 weeks after last dose of study drug.</w:t>
      </w:r>
    </w:p>
    <w:p w14:paraId="1EC4BCA1" w14:textId="77777777" w:rsidR="00344389" w:rsidRDefault="00344389" w:rsidP="00D12184">
      <w:pPr>
        <w:pStyle w:val="Heading6"/>
      </w:pPr>
      <w:r>
        <w:t xml:space="preserve">Key Inclusion </w:t>
      </w:r>
      <w:r w:rsidRPr="00D12184">
        <w:t>criteria</w:t>
      </w:r>
    </w:p>
    <w:p w14:paraId="7C851F70" w14:textId="26EB8E83" w:rsidR="00344389" w:rsidRPr="00344389" w:rsidRDefault="00344389" w:rsidP="00D12184">
      <w:pPr>
        <w:pStyle w:val="ListBullet"/>
      </w:pPr>
      <w:r w:rsidRPr="00344389">
        <w:t xml:space="preserve">Males or females age of 18 to 75 years </w:t>
      </w:r>
      <w:r w:rsidRPr="00D12184">
        <w:t>inclusive</w:t>
      </w:r>
      <w:r w:rsidRPr="00344389">
        <w:t xml:space="preserve"> at screening visit (SV)1.</w:t>
      </w:r>
    </w:p>
    <w:p w14:paraId="1A13F94F" w14:textId="2E035C84" w:rsidR="00344389" w:rsidRPr="00344389" w:rsidRDefault="00344389" w:rsidP="00D12184">
      <w:pPr>
        <w:pStyle w:val="ListBullet"/>
      </w:pPr>
      <w:r w:rsidRPr="00344389">
        <w:t xml:space="preserve">PBC diagnosis as demonstrated by the presence of ≥2 of the following 3 </w:t>
      </w:r>
      <w:r w:rsidRPr="00D12184">
        <w:t>diagnostic</w:t>
      </w:r>
      <w:r w:rsidRPr="00344389">
        <w:t xml:space="preserve"> criteria:</w:t>
      </w:r>
    </w:p>
    <w:p w14:paraId="0B501BA7" w14:textId="0E3E6DA1" w:rsidR="00344389" w:rsidRPr="00344389" w:rsidRDefault="00344389" w:rsidP="00D12184">
      <w:pPr>
        <w:pStyle w:val="ListBullet"/>
      </w:pPr>
      <w:r w:rsidRPr="00344389">
        <w:t xml:space="preserve">History of elevated ALP levels for ≥6 months prior to </w:t>
      </w:r>
      <w:r w:rsidRPr="00D12184">
        <w:t>randomisation</w:t>
      </w:r>
      <w:r w:rsidRPr="00344389">
        <w:t xml:space="preserve"> (Visit [V]1).</w:t>
      </w:r>
    </w:p>
    <w:p w14:paraId="1B4181E1" w14:textId="058F665B" w:rsidR="00344389" w:rsidRPr="00344389" w:rsidRDefault="00344389" w:rsidP="00D12184">
      <w:pPr>
        <w:pStyle w:val="ListBullet"/>
      </w:pPr>
      <w:r w:rsidRPr="00344389">
        <w:lastRenderedPageBreak/>
        <w:t>Positive AMA titres (&gt;1:40 on immunofluorescence or M2 positive by ELISA or positive PBC-specific antinuclear antibody).</w:t>
      </w:r>
    </w:p>
    <w:p w14:paraId="3B204EA9" w14:textId="349A9394" w:rsidR="00344389" w:rsidRPr="00344389" w:rsidRDefault="00344389" w:rsidP="00D12184">
      <w:pPr>
        <w:pStyle w:val="ListBullet"/>
      </w:pPr>
      <w:r w:rsidRPr="00344389">
        <w:t xml:space="preserve">Liver biopsy </w:t>
      </w:r>
      <w:r w:rsidRPr="00D12184">
        <w:t>consistent</w:t>
      </w:r>
      <w:r w:rsidRPr="00344389">
        <w:t xml:space="preserve"> with PBC.</w:t>
      </w:r>
    </w:p>
    <w:p w14:paraId="61766C87" w14:textId="0D0C7984" w:rsidR="00344389" w:rsidRPr="00344389" w:rsidRDefault="00344389" w:rsidP="00344389">
      <w:pPr>
        <w:pStyle w:val="ListBullet"/>
      </w:pPr>
      <w:r w:rsidRPr="00344389">
        <w:t xml:space="preserve">ALP ≥1.67 </w:t>
      </w:r>
      <w:r w:rsidR="00C416B8">
        <w:t>×</w:t>
      </w:r>
      <w:r w:rsidRPr="00344389">
        <w:t xml:space="preserve"> ULN (based on 2 values).</w:t>
      </w:r>
    </w:p>
    <w:p w14:paraId="172E6DA8" w14:textId="27079F5A" w:rsidR="00344389" w:rsidRPr="00344389" w:rsidRDefault="00344389" w:rsidP="00D12184">
      <w:pPr>
        <w:pStyle w:val="ListBullet"/>
      </w:pPr>
      <w:r w:rsidRPr="00344389">
        <w:t xml:space="preserve">Total bilirubin (TB) ≤2 </w:t>
      </w:r>
      <w:r w:rsidR="00C416B8">
        <w:t xml:space="preserve">× </w:t>
      </w:r>
      <w:r w:rsidRPr="00D12184">
        <w:t>ULN</w:t>
      </w:r>
    </w:p>
    <w:p w14:paraId="6B318E1C" w14:textId="05AB7FAF" w:rsidR="00344389" w:rsidRPr="00344389" w:rsidRDefault="00344389" w:rsidP="00D12184">
      <w:pPr>
        <w:pStyle w:val="ListBullet"/>
      </w:pPr>
      <w:r w:rsidRPr="00344389">
        <w:t xml:space="preserve">Had at least four available values for PBC Worst Itch </w:t>
      </w:r>
      <w:r w:rsidR="0073776B" w:rsidRPr="0073776B">
        <w:t xml:space="preserve">Numeric Rating Scale </w:t>
      </w:r>
      <w:r w:rsidR="0073776B">
        <w:t xml:space="preserve">(NRS) </w:t>
      </w:r>
      <w:r w:rsidRPr="00344389">
        <w:t>score during each of the 7-day intervals in the 14 days prior to randomi</w:t>
      </w:r>
      <w:r w:rsidR="0073776B">
        <w:t>s</w:t>
      </w:r>
      <w:r w:rsidRPr="00344389">
        <w:t>ation (V1), for a total of at least eight values for PBC Worst Itch NRS score in the last 14 days prior to randomisation (V1).</w:t>
      </w:r>
    </w:p>
    <w:p w14:paraId="6725BE55" w14:textId="29CBFAF4" w:rsidR="00344389" w:rsidRPr="00344389" w:rsidRDefault="00344389" w:rsidP="00D12184">
      <w:pPr>
        <w:pStyle w:val="ListBullet"/>
      </w:pPr>
      <w:r w:rsidRPr="00344389">
        <w:t>UDCA for at least 12 months (</w:t>
      </w:r>
      <w:r w:rsidRPr="00D12184">
        <w:t>stable</w:t>
      </w:r>
      <w:r w:rsidRPr="00344389">
        <w:t xml:space="preserve"> dose ≥3 months) prior to screening, or unable to tolerate UDCA treatment (no UDCA for ≥3 months) prior to screening.</w:t>
      </w:r>
    </w:p>
    <w:p w14:paraId="2E03ADF4" w14:textId="3CBDE801" w:rsidR="00344389" w:rsidRPr="00344389" w:rsidRDefault="00344389" w:rsidP="00344389">
      <w:pPr>
        <w:pStyle w:val="ListBullet"/>
      </w:pPr>
      <w:r w:rsidRPr="00344389">
        <w:t>If on colchicine, must have been on a stable dose for ≥3 months prior to screening.</w:t>
      </w:r>
    </w:p>
    <w:p w14:paraId="5E3532C5" w14:textId="58B6C588" w:rsidR="00344389" w:rsidRPr="00344389" w:rsidRDefault="00344389" w:rsidP="00344389">
      <w:pPr>
        <w:pStyle w:val="ListBullet"/>
      </w:pPr>
      <w:r w:rsidRPr="00344389">
        <w:t xml:space="preserve">Medications for management of pruritus (e.g. cholestyramine, </w:t>
      </w:r>
      <w:proofErr w:type="spellStart"/>
      <w:r w:rsidRPr="00344389">
        <w:t>rifampin</w:t>
      </w:r>
      <w:proofErr w:type="spellEnd"/>
      <w:r w:rsidRPr="00344389">
        <w:t>, naltrexone or sertraline) must have been on a stable dose for ≥3 months prior to screening.</w:t>
      </w:r>
    </w:p>
    <w:p w14:paraId="39E99432" w14:textId="76FEDD01" w:rsidR="00344389" w:rsidRPr="00344389" w:rsidRDefault="00344389" w:rsidP="00D12184">
      <w:pPr>
        <w:pStyle w:val="ListBullet"/>
      </w:pPr>
      <w:r w:rsidRPr="00344389">
        <w:t xml:space="preserve">Participants taking statins or ezetimibe must have been on a </w:t>
      </w:r>
      <w:r w:rsidRPr="00D12184">
        <w:t>stable</w:t>
      </w:r>
      <w:r w:rsidRPr="00344389">
        <w:t xml:space="preserve"> dose for ≥2 months prior to screening.</w:t>
      </w:r>
    </w:p>
    <w:p w14:paraId="4CD6C7C9" w14:textId="77777777" w:rsidR="00344389" w:rsidRDefault="00344389" w:rsidP="00D12184">
      <w:pPr>
        <w:pStyle w:val="Heading6"/>
      </w:pPr>
      <w:r>
        <w:t xml:space="preserve">Key exclusion </w:t>
      </w:r>
      <w:r w:rsidRPr="00D12184">
        <w:t>criteria</w:t>
      </w:r>
    </w:p>
    <w:p w14:paraId="66BB47D4" w14:textId="5B1CF314" w:rsidR="00344389" w:rsidRDefault="00344389" w:rsidP="00D12184">
      <w:pPr>
        <w:pStyle w:val="ListBullet"/>
      </w:pPr>
      <w:r>
        <w:t xml:space="preserve">History or presence of other </w:t>
      </w:r>
      <w:r w:rsidRPr="00D12184">
        <w:t>concomitant</w:t>
      </w:r>
      <w:r>
        <w:t xml:space="preserve"> liver disease</w:t>
      </w:r>
    </w:p>
    <w:p w14:paraId="39BF79BD" w14:textId="00DC82AF" w:rsidR="00344389" w:rsidRDefault="00344389" w:rsidP="00D12184">
      <w:pPr>
        <w:pStyle w:val="ListBullet"/>
      </w:pPr>
      <w:r>
        <w:t xml:space="preserve">Clinically significant hepatic decompensation, </w:t>
      </w:r>
      <w:r w:rsidRPr="00D12184">
        <w:t>including</w:t>
      </w:r>
      <w:r>
        <w:t>:</w:t>
      </w:r>
    </w:p>
    <w:p w14:paraId="01AE2CD1" w14:textId="77777777" w:rsidR="00344389" w:rsidRDefault="00344389" w:rsidP="00D12184">
      <w:pPr>
        <w:pStyle w:val="ListBullet"/>
      </w:pPr>
      <w:r>
        <w:t xml:space="preserve">History of liver transplantation, current placement on a liver transplant list, current MELD-Na score ≥12 linked to hepatic impairment; participants with cirrhosis/portal hypertension complications, including known </w:t>
      </w:r>
      <w:r w:rsidRPr="00D12184">
        <w:t>oesophageal</w:t>
      </w:r>
      <w:r>
        <w:t xml:space="preserve"> varices, ascites, history of variceal bleeds or related interventions (e.g. insertion of variceal </w:t>
      </w:r>
      <w:r w:rsidRPr="00D12184">
        <w:t>bands</w:t>
      </w:r>
      <w:r>
        <w:t xml:space="preserve"> or </w:t>
      </w:r>
      <w:proofErr w:type="spellStart"/>
      <w:r>
        <w:t>transjugular</w:t>
      </w:r>
      <w:proofErr w:type="spellEnd"/>
      <w:r>
        <w:t xml:space="preserve"> intrahepatic </w:t>
      </w:r>
      <w:proofErr w:type="spellStart"/>
      <w:r>
        <w:t>porto</w:t>
      </w:r>
      <w:proofErr w:type="spellEnd"/>
      <w:r>
        <w:t>-systemic shunt, and hepatic encephalopathy, history or presence of spontaneous bacterial peritonitis, hepatocellular carcinoma); hepatorenal syndrome (type I or II).</w:t>
      </w:r>
    </w:p>
    <w:p w14:paraId="11FA09A6" w14:textId="6275E0F9" w:rsidR="00344389" w:rsidRDefault="00344389" w:rsidP="00344389">
      <w:pPr>
        <w:pStyle w:val="ListBullet"/>
      </w:pPr>
      <w:r>
        <w:t>Medical conditions that may cause non-hepatic increases in ALP (e.g. Paget’s disease) or which may diminish life expectancy to &lt;2 years, including known cancers.</w:t>
      </w:r>
    </w:p>
    <w:p w14:paraId="4050CFDE" w14:textId="653AC31B" w:rsidR="00344389" w:rsidRDefault="00344389" w:rsidP="00D12184">
      <w:pPr>
        <w:pStyle w:val="ListBullet"/>
      </w:pPr>
      <w:r>
        <w:t xml:space="preserve">Participant had a positive test for human immunodeficiency virus (HIV) Type 1 or 2 at screening, or participant was known to have tested positive </w:t>
      </w:r>
      <w:r w:rsidRPr="00D12184">
        <w:t>for</w:t>
      </w:r>
      <w:r>
        <w:t xml:space="preserve"> HIV.</w:t>
      </w:r>
    </w:p>
    <w:p w14:paraId="774348B8" w14:textId="60CA59A5" w:rsidR="00344389" w:rsidRDefault="00344389" w:rsidP="00D12184">
      <w:pPr>
        <w:pStyle w:val="ListBullet"/>
      </w:pPr>
      <w:r>
        <w:t xml:space="preserve">Evidence of any other unstable or untreated clinically significant immunological, endocrine, haematologic, gastrointestinal, neurological, or </w:t>
      </w:r>
      <w:r w:rsidRPr="00D12184">
        <w:t>psychiatric</w:t>
      </w:r>
      <w:r>
        <w:t xml:space="preserve"> disease as evaluated by the investigator; other clinically significant medical conditions that were not well controlled.</w:t>
      </w:r>
    </w:p>
    <w:p w14:paraId="6B49A936" w14:textId="54E795F3" w:rsidR="00344389" w:rsidRDefault="00344389" w:rsidP="00344389">
      <w:pPr>
        <w:pStyle w:val="ListBullet"/>
      </w:pPr>
      <w:r>
        <w:t>History of alcohol abuse</w:t>
      </w:r>
    </w:p>
    <w:p w14:paraId="03ED6BE4" w14:textId="19DE41D5" w:rsidR="00344389" w:rsidRDefault="00344389" w:rsidP="00344389">
      <w:pPr>
        <w:pStyle w:val="ListBullet"/>
      </w:pPr>
      <w:r>
        <w:t>Severely advanced participants according to Rotterdam criteria (TB &gt;</w:t>
      </w:r>
      <w:proofErr w:type="gramStart"/>
      <w:r>
        <w:t>ULN  and</w:t>
      </w:r>
      <w:proofErr w:type="gramEnd"/>
      <w:r>
        <w:t xml:space="preserve"> ALB &lt;LLN).</w:t>
      </w:r>
    </w:p>
    <w:p w14:paraId="4650B343" w14:textId="7F8004C7" w:rsidR="00344389" w:rsidRDefault="00344389" w:rsidP="00D12184">
      <w:pPr>
        <w:pStyle w:val="ListBullet"/>
      </w:pPr>
      <w:r>
        <w:t xml:space="preserve">SV value INR &gt;1.3 due to altered </w:t>
      </w:r>
      <w:r w:rsidRPr="00D12184">
        <w:t>hepatic</w:t>
      </w:r>
      <w:r>
        <w:t xml:space="preserve"> function.</w:t>
      </w:r>
    </w:p>
    <w:p w14:paraId="20F9FC57" w14:textId="6E48D3C7" w:rsidR="00344389" w:rsidRDefault="00344389" w:rsidP="00344389">
      <w:pPr>
        <w:pStyle w:val="ListBullet"/>
      </w:pPr>
      <w:r>
        <w:t>SV value creatine phosphokinase (CPK) &gt;2 x ULN.</w:t>
      </w:r>
    </w:p>
    <w:p w14:paraId="315257C5" w14:textId="1D1F4B44" w:rsidR="00344389" w:rsidRDefault="00344389" w:rsidP="00D12184">
      <w:pPr>
        <w:pStyle w:val="ListBullet"/>
      </w:pPr>
      <w:r>
        <w:t>Screening serum creatinine &gt;1.5 mg/dL.</w:t>
      </w:r>
    </w:p>
    <w:p w14:paraId="3EFDE2F4" w14:textId="461EE285" w:rsidR="00344389" w:rsidRDefault="00344389" w:rsidP="00D12184">
      <w:pPr>
        <w:pStyle w:val="ListBullet"/>
      </w:pPr>
      <w:r>
        <w:t>Significant renal disease, including nephritic syndrome, chronic kidney disease (defined as participants with markers of kidney failure damage or eGFR &lt;60 mL/min/1.73 m</w:t>
      </w:r>
      <w:r w:rsidRPr="00C416B8">
        <w:rPr>
          <w:vertAlign w:val="superscript"/>
        </w:rPr>
        <w:t>2</w:t>
      </w:r>
      <w:r>
        <w:t>) calculated by Modification of Diet in Renal Disease (MDRD).</w:t>
      </w:r>
    </w:p>
    <w:p w14:paraId="2CF881EF" w14:textId="4C912C88" w:rsidR="00344389" w:rsidRDefault="00344389" w:rsidP="00344389">
      <w:pPr>
        <w:pStyle w:val="ListBullet"/>
      </w:pPr>
      <w:r>
        <w:lastRenderedPageBreak/>
        <w:t>Platelet count &lt;150 x 10</w:t>
      </w:r>
      <w:r w:rsidRPr="00C416B8">
        <w:rPr>
          <w:vertAlign w:val="superscript"/>
        </w:rPr>
        <w:t>3</w:t>
      </w:r>
      <w:r>
        <w:t>/µL.</w:t>
      </w:r>
    </w:p>
    <w:p w14:paraId="549D78C0" w14:textId="4CAD9601" w:rsidR="00344389" w:rsidRDefault="004F58F8" w:rsidP="00D12184">
      <w:pPr>
        <w:pStyle w:val="ListBullet"/>
      </w:pPr>
      <w:r>
        <w:t>α-f</w:t>
      </w:r>
      <w:r w:rsidR="00344389">
        <w:t>etoprotein &gt;20 ng/mL, with 4-phase liver computed tomography or magnetic resonance imaging suggesting presence of liver cancer.</w:t>
      </w:r>
    </w:p>
    <w:p w14:paraId="48095992" w14:textId="77777777" w:rsidR="00344389" w:rsidRDefault="00344389" w:rsidP="00D12184">
      <w:pPr>
        <w:pStyle w:val="Heading6"/>
      </w:pPr>
      <w:r>
        <w:t xml:space="preserve">Study </w:t>
      </w:r>
      <w:r w:rsidRPr="00D12184">
        <w:t>treatments</w:t>
      </w:r>
    </w:p>
    <w:p w14:paraId="29BE0C0F" w14:textId="77777777" w:rsidR="00344389" w:rsidRDefault="00344389" w:rsidP="00D12184">
      <w:r>
        <w:t xml:space="preserve">Subjects received 1 of </w:t>
      </w:r>
      <w:proofErr w:type="spellStart"/>
      <w:r>
        <w:t>elafibranor</w:t>
      </w:r>
      <w:proofErr w:type="spellEnd"/>
      <w:r>
        <w:t xml:space="preserve"> 80mg tablet or placebo. This was given daily before breakfast with a glass of water. Investigator, participant and study personnel were blinded to treatment and the </w:t>
      </w:r>
      <w:proofErr w:type="spellStart"/>
      <w:r>
        <w:t>elafibranor</w:t>
      </w:r>
      <w:proofErr w:type="spellEnd"/>
      <w:r>
        <w:t xml:space="preserve"> and placebo tablets and packaging were indistinguishable.</w:t>
      </w:r>
    </w:p>
    <w:p w14:paraId="7AE16301" w14:textId="5F439E5A" w:rsidR="00344389" w:rsidRDefault="00344389" w:rsidP="00D12184">
      <w:pPr>
        <w:pStyle w:val="Heading6"/>
      </w:pPr>
      <w:r w:rsidRPr="00D12184">
        <w:t>Endpoints</w:t>
      </w:r>
    </w:p>
    <w:p w14:paraId="33A0091C" w14:textId="527BBD4C" w:rsidR="00344389" w:rsidRDefault="00344389" w:rsidP="00D12184">
      <w:r>
        <w:t xml:space="preserve">The primary endpoint was response to treatment at 52 weeks defined as ALP &lt;1.67 x ULN and TB </w:t>
      </w:r>
      <w:r w:rsidR="005947F6">
        <w:t>≤</w:t>
      </w:r>
      <w:r>
        <w:t xml:space="preserve">ULN and ALP decrease </w:t>
      </w:r>
      <w:r w:rsidR="004B131A">
        <w:t>≥</w:t>
      </w:r>
      <w:r>
        <w:t>15%.</w:t>
      </w:r>
    </w:p>
    <w:p w14:paraId="1D8A58CE" w14:textId="65889E6D" w:rsidR="00344389" w:rsidRDefault="00344389" w:rsidP="00D12184">
      <w:r>
        <w:t>Key secondary endpoints were response to treatment based on ALP normalisation at week 52, change in pruritus from baseline t</w:t>
      </w:r>
      <w:r w:rsidR="007840D4">
        <w:t>hrough</w:t>
      </w:r>
      <w:r>
        <w:t xml:space="preserve"> week 52 based on NRS score and change in pruritus from baseline t</w:t>
      </w:r>
      <w:r w:rsidR="008D2B26">
        <w:t>hrough</w:t>
      </w:r>
      <w:r>
        <w:t xml:space="preserve"> week 24 based on NRS score. Other secondary endpoints were change from baseline in ALP at 4, 13, 26, 39 and 52 weeks; ALP categorical responses defined as 10%, 20% and 40% ALP reduction from baseline at week 52 and changes in categories of ALP and bilirubin levels</w:t>
      </w:r>
    </w:p>
    <w:p w14:paraId="5F7DA44F" w14:textId="77777777" w:rsidR="00344389" w:rsidRDefault="00344389" w:rsidP="00D12184">
      <w:pPr>
        <w:pStyle w:val="Heading6"/>
      </w:pPr>
      <w:r>
        <w:t xml:space="preserve">Randomisation and blinding </w:t>
      </w:r>
      <w:r w:rsidRPr="00D12184">
        <w:t>methods</w:t>
      </w:r>
    </w:p>
    <w:p w14:paraId="721563DB" w14:textId="77777777" w:rsidR="00344389" w:rsidRDefault="00344389" w:rsidP="00D12184">
      <w:r>
        <w:t xml:space="preserve">On completion of screening, eligible patients were randomly assigned to </w:t>
      </w:r>
      <w:proofErr w:type="spellStart"/>
      <w:r>
        <w:t>elafibranor</w:t>
      </w:r>
      <w:proofErr w:type="spellEnd"/>
      <w:r>
        <w:t xml:space="preserve"> 80mg or placebo at the randomisation visit. The randomisation code could be broken by the investigator if urgent action was required for the clinical management of the participant. The list of treatment numbers allocated to each participant was stored in the IXRS (Interactive Voice / Web Response System).</w:t>
      </w:r>
    </w:p>
    <w:p w14:paraId="39A4BDBF" w14:textId="77777777" w:rsidR="00344389" w:rsidRDefault="00344389" w:rsidP="00D12184">
      <w:pPr>
        <w:pStyle w:val="Heading6"/>
      </w:pPr>
      <w:r>
        <w:t xml:space="preserve">Analysis </w:t>
      </w:r>
      <w:r w:rsidRPr="00D12184">
        <w:t>populations</w:t>
      </w:r>
    </w:p>
    <w:p w14:paraId="00102587" w14:textId="77777777" w:rsidR="00344389" w:rsidRDefault="00344389" w:rsidP="00D12184">
      <w:r>
        <w:t xml:space="preserve">Subjects with mild and moderately advanced disease were eligible for enrolment while those with advanced cirrhosis and clinical or biochemical evidence of significant hepatic decompensation were excluded. Of those enrolled subjects, those with more advanced disease were identified based on: Rotterdam criteria (bilirubin &gt;ULN or albumin &lt;LLN) for subjects with moderately advanced disease; TB &gt;0.6 x ULN for those at risk of disease progression; liver stiffness measurement (LSM) by transient elastography (TE) &gt;10kPa or </w:t>
      </w:r>
      <w:proofErr w:type="spellStart"/>
      <w:r>
        <w:t>Nakanuma</w:t>
      </w:r>
      <w:proofErr w:type="spellEnd"/>
      <w:r>
        <w:t xml:space="preserve"> fibrosis score 2 or 3 to identify those with advanced fibrosis; and LSM by TE &gt;16.9kPa or </w:t>
      </w:r>
      <w:proofErr w:type="spellStart"/>
      <w:r>
        <w:t>Nakanuma</w:t>
      </w:r>
      <w:proofErr w:type="spellEnd"/>
      <w:r>
        <w:t xml:space="preserve"> fibrosis score of 3 to identify those with cirrhosis (EASL Clinical Practice Guidelines J Hepatol 2009;51(2):237-267).</w:t>
      </w:r>
    </w:p>
    <w:p w14:paraId="067C570E" w14:textId="77777777" w:rsidR="00344389" w:rsidRDefault="00344389" w:rsidP="00D12184">
      <w:pPr>
        <w:pStyle w:val="Heading6"/>
      </w:pPr>
      <w:r w:rsidRPr="00D12184">
        <w:t>Sample</w:t>
      </w:r>
      <w:r>
        <w:t xml:space="preserve"> size</w:t>
      </w:r>
    </w:p>
    <w:p w14:paraId="6B24719A" w14:textId="1DCD97B5" w:rsidR="00344389" w:rsidRDefault="00344389" w:rsidP="00D12184">
      <w:r>
        <w:t xml:space="preserve">The main analysis for the primary efficacy endpoint used the ITT analysis set and was repeated on the per protocol analysis set. The primary </w:t>
      </w:r>
      <w:proofErr w:type="spellStart"/>
      <w:r>
        <w:t>estimand</w:t>
      </w:r>
      <w:proofErr w:type="spellEnd"/>
      <w:r>
        <w:t xml:space="preserve"> was defined as the OR between treatment groups from all randomised participants and achieving response at week 52 (ALP&lt;1.67 x ULN, total bilirubin </w:t>
      </w:r>
      <w:r w:rsidR="00954037">
        <w:t>≤</w:t>
      </w:r>
      <w:r>
        <w:t xml:space="preserve">ULN and ALP decrease </w:t>
      </w:r>
      <w:r w:rsidR="00954037">
        <w:t>≥</w:t>
      </w:r>
      <w:r>
        <w:t>15%) and not stopping the study treatment prematurely or using rescue therapy for PBC.</w:t>
      </w:r>
    </w:p>
    <w:p w14:paraId="70270D4F" w14:textId="63F4A386" w:rsidR="00344389" w:rsidRDefault="00344389" w:rsidP="00D12184">
      <w:r>
        <w:t>The assumptions used for determination of the sample size were an expected response rate in the placebo group slightly higher than in the phase 3 pivotal study supporting the regulatory approval of OCA, being ~10%</w:t>
      </w:r>
      <w:r w:rsidR="009672D9">
        <w:rPr>
          <w:rStyle w:val="FootnoteReference"/>
        </w:rPr>
        <w:footnoteReference w:id="17"/>
      </w:r>
      <w:r>
        <w:t xml:space="preserve"> (Nevens et al. 2016); and expected response rate in the </w:t>
      </w:r>
      <w:proofErr w:type="spellStart"/>
      <w:r>
        <w:t>elafibranor</w:t>
      </w:r>
      <w:proofErr w:type="spellEnd"/>
      <w:r>
        <w:t xml:space="preserve"> group at least </w:t>
      </w:r>
      <w:proofErr w:type="gramStart"/>
      <w:r>
        <w:t>similar to</w:t>
      </w:r>
      <w:proofErr w:type="gramEnd"/>
      <w:r>
        <w:t xml:space="preserve"> that seen with OCA (47%).</w:t>
      </w:r>
    </w:p>
    <w:p w14:paraId="25367AC6" w14:textId="4EC782CE" w:rsidR="00344389" w:rsidRDefault="00344389" w:rsidP="00D12184">
      <w:r>
        <w:lastRenderedPageBreak/>
        <w:t xml:space="preserve">A total of 150 subjects (100 </w:t>
      </w:r>
      <w:proofErr w:type="spellStart"/>
      <w:r>
        <w:t>elafibranor</w:t>
      </w:r>
      <w:proofErr w:type="spellEnd"/>
      <w:r>
        <w:t xml:space="preserve"> and 50 placebo) was estimated to achieve at least 90% power to demonstrate a statistically significant between-group difference of 35% (47% with </w:t>
      </w:r>
      <w:proofErr w:type="spellStart"/>
      <w:r>
        <w:t>elafibranor</w:t>
      </w:r>
      <w:proofErr w:type="spellEnd"/>
      <w:r>
        <w:t xml:space="preserve"> vs. 12% in the placebo group) in the response rate at week 52 of the primary efficacy endpoint, with a 2-sided α of 0.05, using an exact Fisher test. Assuming 1/50 (2.0%) in the placebo group with ALP normalisation at week 52, 150 participants (100 </w:t>
      </w:r>
      <w:proofErr w:type="spellStart"/>
      <w:r>
        <w:t>elafibranor</w:t>
      </w:r>
      <w:proofErr w:type="spellEnd"/>
      <w:r>
        <w:t xml:space="preserve"> and 50 placebo) provided at least 80% power to detect a statistically significant between-group difference of 20.0% at a 2-sided 0.05 α level.</w:t>
      </w:r>
    </w:p>
    <w:p w14:paraId="3610C723" w14:textId="62891687" w:rsidR="00344389" w:rsidRDefault="00344389" w:rsidP="00D12184">
      <w:r>
        <w:t xml:space="preserve">Assuming a pooled SD of 2.3 points, 60 subjects (40 </w:t>
      </w:r>
      <w:proofErr w:type="spellStart"/>
      <w:r>
        <w:t>elafibranor</w:t>
      </w:r>
      <w:proofErr w:type="spellEnd"/>
      <w:r>
        <w:t xml:space="preserve"> and 20 placebo) with baseline PBC worst itch NRS score &gt;4 provided ~80% power to detect a statistically significant between-group difference of 1.8 points in mean change from baseline in NRS score at a 2-sided 0.05 α level. It was estimated that the same assumptions would apply to the 2 key secondary endpoints for pruritus (through to week 52 and week 24).</w:t>
      </w:r>
    </w:p>
    <w:p w14:paraId="3CB44EF3" w14:textId="77777777" w:rsidR="00344389" w:rsidRDefault="00344389" w:rsidP="00D12184">
      <w:pPr>
        <w:pStyle w:val="Heading6"/>
      </w:pPr>
      <w:r>
        <w:t xml:space="preserve">Statistical </w:t>
      </w:r>
      <w:r w:rsidRPr="00D12184">
        <w:t>methods</w:t>
      </w:r>
    </w:p>
    <w:p w14:paraId="6C4593D2" w14:textId="5064803B" w:rsidR="00344389" w:rsidRDefault="00344389" w:rsidP="00D12184">
      <w:r>
        <w:t>For continuous endpoints, summary statistics of absolute values and absolute/relative changes from baseline were provided. Formal statistical testing was performed on the primary and key secondary endpoints with all tests conducted at the 2-sided, 0.05 level of significance. The fixed-sequence testing approach was used to control the overall type I error rate at a 2-sided 0.05 level. Summary statistics were presented as well as CIs on selected parameters.</w:t>
      </w:r>
    </w:p>
    <w:p w14:paraId="4444CD6F" w14:textId="77777777" w:rsidR="00344389" w:rsidRDefault="00344389" w:rsidP="00D12184">
      <w:r>
        <w:t>The fixed-sequence testing approach implied that if the primary endpoint was statistically significant at a 2-sided 0.05 level, the first key secondary endpoint, ALP normalisation was then tested at the same level. If the first key secondary endpoint was statistically significant at a 2-sided 0.05 level, the second key secondary endpoint (change in pruritus through week 52) was tested at the same level. If this second key secondary endpoint was significant at a 2-sided 0.05 level, the third key secondary endpoint (change in pruritus through to week 24) was tested at the same level. If the primary endpoint was not statistically significant, none of the key secondary endpoints were to be tested. Similarly, if the primary endpoint was significant and the first key secondary endpoint was not significant, the second and third key secondary endpoints were not to be tested and likewise if the second key secondary endpoint was not significant, the third key secondary endpoint was not to be tested.</w:t>
      </w:r>
    </w:p>
    <w:p w14:paraId="1E89F5C4" w14:textId="1F72B7B9" w:rsidR="00344389" w:rsidRDefault="00344389" w:rsidP="00D12184">
      <w:pPr>
        <w:pStyle w:val="Heading6"/>
      </w:pPr>
      <w:r>
        <w:t xml:space="preserve">Participant </w:t>
      </w:r>
      <w:r w:rsidRPr="00D12184">
        <w:t>flow</w:t>
      </w:r>
    </w:p>
    <w:p w14:paraId="2DA61CE6" w14:textId="3A2348FA" w:rsidR="00344389" w:rsidRDefault="00344389" w:rsidP="00D12184">
      <w:r>
        <w:t xml:space="preserve">A total of 94 study centres were selected, 82 identifying and actively recruiting subjects. Of the 244 subjects screened, 83 were screening failures (usually due to eligibility criteria not being met and withdrawal of consent by the subject). Of the 161 randomised subjects (108 to </w:t>
      </w:r>
      <w:proofErr w:type="spellStart"/>
      <w:r>
        <w:t>elafibranor</w:t>
      </w:r>
      <w:proofErr w:type="spellEnd"/>
      <w:r>
        <w:t xml:space="preserve"> and 53 to placebo), 161 were treated and 148 completed the common double-blind period (week 52 of the study).</w:t>
      </w:r>
    </w:p>
    <w:p w14:paraId="58AF5BF9" w14:textId="77777777" w:rsidR="00344389" w:rsidRDefault="00344389" w:rsidP="00D12184">
      <w:pPr>
        <w:pStyle w:val="Heading6"/>
      </w:pPr>
      <w:r>
        <w:t xml:space="preserve">Results for the primary efficacy </w:t>
      </w:r>
      <w:r w:rsidRPr="00D12184">
        <w:t>outcome</w:t>
      </w:r>
    </w:p>
    <w:p w14:paraId="122D44F1" w14:textId="4A912FAC" w:rsidR="00344389" w:rsidRDefault="00344389" w:rsidP="00D12184">
      <w:r>
        <w:t xml:space="preserve">At week 52, the proportion of responders was 55/108 (50.9%) vs. 2/53 (3.8%) in the </w:t>
      </w:r>
      <w:proofErr w:type="spellStart"/>
      <w:r>
        <w:t>elafibranor</w:t>
      </w:r>
      <w:proofErr w:type="spellEnd"/>
      <w:r>
        <w:t xml:space="preserve"> and placebo groups, respectively, with a difference of 47.2% (95% CI: 32.0;56.9) favouring </w:t>
      </w:r>
      <w:proofErr w:type="spellStart"/>
      <w:r>
        <w:t>elafibranor</w:t>
      </w:r>
      <w:proofErr w:type="spellEnd"/>
      <w:r>
        <w:t xml:space="preserve">. The OR of </w:t>
      </w:r>
      <w:proofErr w:type="spellStart"/>
      <w:r>
        <w:t>elafibranor</w:t>
      </w:r>
      <w:proofErr w:type="spellEnd"/>
      <w:r>
        <w:t xml:space="preserve"> vs. placebo was statistically significant in favour of </w:t>
      </w:r>
      <w:proofErr w:type="spellStart"/>
      <w:r>
        <w:t>elafibranor</w:t>
      </w:r>
      <w:proofErr w:type="spellEnd"/>
      <w:r>
        <w:t xml:space="preserve"> (OR = 37.562 [95% CI: 7.641;302.247]; p&lt;0.0001) (Table </w:t>
      </w:r>
      <w:r w:rsidR="0099201E">
        <w:t>3</w:t>
      </w:r>
      <w:r>
        <w:t>).</w:t>
      </w:r>
    </w:p>
    <w:p w14:paraId="2CB643B9" w14:textId="024CF4E9" w:rsidR="00500DC9" w:rsidRDefault="00500DC9" w:rsidP="00D12184">
      <w:pPr>
        <w:pStyle w:val="TableTitle"/>
      </w:pPr>
      <w:r w:rsidRPr="00500DC9">
        <w:lastRenderedPageBreak/>
        <w:t xml:space="preserve">Table </w:t>
      </w:r>
      <w:r w:rsidR="0099201E">
        <w:t>3</w:t>
      </w:r>
      <w:r w:rsidRPr="00500DC9">
        <w:t xml:space="preserve">. Study GTF505B-319-1 Proportion of Participants with Cholestasis Response at Week 52 – Exact CMH Test – </w:t>
      </w:r>
      <w:r w:rsidRPr="00D12184">
        <w:t>Primary</w:t>
      </w:r>
      <w:r w:rsidRPr="00500DC9">
        <w:t xml:space="preserve"> Endpoint Main Analysis (ITT Analysis Set).</w:t>
      </w:r>
    </w:p>
    <w:p w14:paraId="0ADA591D" w14:textId="75995EAF" w:rsidR="00660C2B" w:rsidRDefault="00660C2B" w:rsidP="00D12184">
      <w:r w:rsidRPr="0090057B">
        <w:rPr>
          <w:noProof/>
        </w:rPr>
        <w:drawing>
          <wp:inline distT="0" distB="0" distL="0" distR="0" wp14:anchorId="17D265C6" wp14:editId="044B0E67">
            <wp:extent cx="5789306" cy="2792186"/>
            <wp:effectExtent l="0" t="0" r="1905" b="8255"/>
            <wp:docPr id="1844326718" name="Picture 1" descr="Table 3. Study GTF505B-319-1 Proportion of Participants with Cholestasis Response at Week 52 – Exact CMH Test – Primary Endpoint Main Analysis (IT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26718" name="Picture 1" descr="Table 3. Study GTF505B-319-1 Proportion of Participants with Cholestasis Response at Week 52 – Exact CMH Test – Primary Endpoint Main Analysis (ITT Analysis Set)."/>
                    <pic:cNvPicPr/>
                  </pic:nvPicPr>
                  <pic:blipFill rotWithShape="1">
                    <a:blip r:embed="rId27"/>
                    <a:srcRect b="8546"/>
                    <a:stretch/>
                  </pic:blipFill>
                  <pic:spPr bwMode="auto">
                    <a:xfrm>
                      <a:off x="0" y="0"/>
                      <a:ext cx="5799437" cy="2797072"/>
                    </a:xfrm>
                    <a:prstGeom prst="rect">
                      <a:avLst/>
                    </a:prstGeom>
                    <a:ln>
                      <a:noFill/>
                    </a:ln>
                    <a:extLst>
                      <a:ext uri="{53640926-AAD7-44D8-BBD7-CCE9431645EC}">
                        <a14:shadowObscured xmlns:a14="http://schemas.microsoft.com/office/drawing/2010/main"/>
                      </a:ext>
                    </a:extLst>
                  </pic:spPr>
                </pic:pic>
              </a:graphicData>
            </a:graphic>
          </wp:inline>
        </w:drawing>
      </w:r>
    </w:p>
    <w:p w14:paraId="06D60A6E" w14:textId="05F98841" w:rsidR="006F2F3C" w:rsidRDefault="00660C2B" w:rsidP="00D12184">
      <w:pPr>
        <w:pStyle w:val="TableDescription"/>
      </w:pPr>
      <w:r>
        <w:t>CI=confidence interval; CMH=Cohran-Mantel-Haenszel; ICE=intercurrent event; ITT=intent-to-treat</w:t>
      </w:r>
    </w:p>
    <w:p w14:paraId="34D5821E" w14:textId="77777777" w:rsidR="00C22C56" w:rsidRDefault="00C22C56" w:rsidP="00C82F86">
      <w:pPr>
        <w:pStyle w:val="Heading6"/>
      </w:pPr>
      <w:r w:rsidRPr="00C82F86">
        <w:t>Results for other efficacy outcomes</w:t>
      </w:r>
    </w:p>
    <w:p w14:paraId="7DED9A4D" w14:textId="77777777" w:rsidR="00C22C56" w:rsidRDefault="00C22C56" w:rsidP="00C82F86">
      <w:r>
        <w:t xml:space="preserve">The response to treatment based on ALP normalisation, the proportion of responders was greater in the </w:t>
      </w:r>
      <w:proofErr w:type="spellStart"/>
      <w:r>
        <w:t>elafibranor</w:t>
      </w:r>
      <w:proofErr w:type="spellEnd"/>
      <w:r>
        <w:t xml:space="preserve"> group vs. placebo (16/108 [14.8%] vs. 0/53 [0.0%] subjects, respectively), resulting in a difference of 14.8% (95% CI: 6.1;22.7) in favour of </w:t>
      </w:r>
      <w:proofErr w:type="spellStart"/>
      <w:r>
        <w:t>elafibranor</w:t>
      </w:r>
      <w:proofErr w:type="spellEnd"/>
      <w:r>
        <w:t xml:space="preserve">. The OR was significantly in favour of </w:t>
      </w:r>
      <w:proofErr w:type="spellStart"/>
      <w:r>
        <w:t>elafibranor</w:t>
      </w:r>
      <w:proofErr w:type="spellEnd"/>
      <w:r>
        <w:t xml:space="preserve"> (95% CI: </w:t>
      </w:r>
      <w:proofErr w:type="gramStart"/>
      <w:r>
        <w:t>2.786;∞</w:t>
      </w:r>
      <w:proofErr w:type="gramEnd"/>
      <w:r>
        <w:t>, p=0.0019).</w:t>
      </w:r>
    </w:p>
    <w:p w14:paraId="1F458146" w14:textId="0F7EC1DE" w:rsidR="00C22C56" w:rsidRDefault="00C22C56" w:rsidP="00C82F86">
      <w:r>
        <w:t xml:space="preserve">The change in moderate to severe pruritus from baseline through </w:t>
      </w:r>
      <w:proofErr w:type="spellStart"/>
      <w:r>
        <w:t>to</w:t>
      </w:r>
      <w:proofErr w:type="spellEnd"/>
      <w:r>
        <w:t xml:space="preserve"> weeks 52 and week 24 respectively, the LS mean change through week 52 in PBC worst itch NRS score was -1.930 in the </w:t>
      </w:r>
      <w:proofErr w:type="spellStart"/>
      <w:r>
        <w:t>elafibranor</w:t>
      </w:r>
      <w:proofErr w:type="spellEnd"/>
      <w:r>
        <w:t xml:space="preserve"> group and -1.146 in the placebo group, i.e., greater reduction in pruritus with </w:t>
      </w:r>
      <w:proofErr w:type="spellStart"/>
      <w:r>
        <w:t>elafibranor</w:t>
      </w:r>
      <w:proofErr w:type="spellEnd"/>
      <w:r>
        <w:t xml:space="preserve">, although the LS mean differences between </w:t>
      </w:r>
      <w:proofErr w:type="spellStart"/>
      <w:r>
        <w:t>elafibranor</w:t>
      </w:r>
      <w:proofErr w:type="spellEnd"/>
      <w:r>
        <w:t xml:space="preserve"> and placebo was not significantly different, at -0.784 ([95% CI: -1.986;0.418]; p=0.1970). This lack of difference is shown through to week 52.</w:t>
      </w:r>
    </w:p>
    <w:p w14:paraId="487D134D" w14:textId="77777777" w:rsidR="00C22C56" w:rsidRDefault="00C22C56" w:rsidP="00C82F86">
      <w:r>
        <w:t xml:space="preserve">There was a rapid reduction in ALP from week 4 that was sustained over 52 weeks of treatment in subjects receiving </w:t>
      </w:r>
      <w:proofErr w:type="spellStart"/>
      <w:r>
        <w:t>elafibranor</w:t>
      </w:r>
      <w:proofErr w:type="spellEnd"/>
      <w:r>
        <w:t xml:space="preserve"> vs. placebo. At week 52, the LS mean (95% CI) change from baseline in ALP was -117.0 U/L (-134.4; -99.6) in the </w:t>
      </w:r>
      <w:proofErr w:type="spellStart"/>
      <w:r>
        <w:t>elafibranor</w:t>
      </w:r>
      <w:proofErr w:type="spellEnd"/>
      <w:r>
        <w:t xml:space="preserve"> 80mg group and -5.3 U/L (-30.4; 19.7) in the placebo group. The LS means difference between groups was -111.7 U/L ([95% CI: -142.0; -81.3; p&lt;0.001).  Similar and significant levels of response defined as 10%, 20% or 40% reduction from baseline in ALP were seen in favour of </w:t>
      </w:r>
      <w:proofErr w:type="spellStart"/>
      <w:r>
        <w:t>elafibranor</w:t>
      </w:r>
      <w:proofErr w:type="spellEnd"/>
      <w:r>
        <w:t xml:space="preserve"> vs. placebo, up to 52 weeks.</w:t>
      </w:r>
    </w:p>
    <w:p w14:paraId="015A45A5" w14:textId="19EC84F1" w:rsidR="00C22C56" w:rsidRDefault="00C22C56" w:rsidP="00C82F86">
      <w:r>
        <w:t xml:space="preserve">A greater proportion of subjects treated with </w:t>
      </w:r>
      <w:proofErr w:type="spellStart"/>
      <w:r>
        <w:t>elafibranor</w:t>
      </w:r>
      <w:proofErr w:type="spellEnd"/>
      <w:r>
        <w:t xml:space="preserve"> demonstrated the response to treatment based on ALP &lt;3xULN, AST &lt;2 x ULN and total bilirubin </w:t>
      </w:r>
      <w:r w:rsidR="00BA616A">
        <w:t>≤</w:t>
      </w:r>
      <w:r>
        <w:t xml:space="preserve">1mg/dL at week 52 vs. those who received placebo. In the </w:t>
      </w:r>
      <w:proofErr w:type="spellStart"/>
      <w:r>
        <w:t>elafibranor</w:t>
      </w:r>
      <w:proofErr w:type="spellEnd"/>
      <w:r>
        <w:t xml:space="preserve"> group, 73/106 (68.9%) showed response vs. 25/53 (47.2%) in the placebo group, resulting in a difference of 22.0% (95% CI: 5.7;37.4), the OR (</w:t>
      </w:r>
      <w:proofErr w:type="spellStart"/>
      <w:r>
        <w:t>elafibranor</w:t>
      </w:r>
      <w:proofErr w:type="spellEnd"/>
      <w:r>
        <w:t xml:space="preserve"> vs. placebo) being 2.852 ([95% CI: 1.339;7.181]; p=0.0061).</w:t>
      </w:r>
    </w:p>
    <w:p w14:paraId="7F2E8827" w14:textId="052F18F4" w:rsidR="00C22C56" w:rsidRDefault="00590632" w:rsidP="00C82F86">
      <w:r>
        <w:t>Similarly,</w:t>
      </w:r>
      <w:r w:rsidR="00C22C56">
        <w:t xml:space="preserve"> a greater proportion of participants treated with </w:t>
      </w:r>
      <w:proofErr w:type="spellStart"/>
      <w:r w:rsidR="00C22C56">
        <w:t>elafibranor</w:t>
      </w:r>
      <w:proofErr w:type="spellEnd"/>
      <w:r w:rsidR="00C22C56">
        <w:t xml:space="preserve"> demonstrated the response to treatment based on ALP</w:t>
      </w:r>
      <w:r w:rsidR="005B7629">
        <w:t>≤</w:t>
      </w:r>
      <w:r w:rsidR="00C22C56">
        <w:t xml:space="preserve">1.5xULN, AST </w:t>
      </w:r>
      <w:r w:rsidR="005B7629">
        <w:t>≤</w:t>
      </w:r>
      <w:r w:rsidR="00C22C56">
        <w:t xml:space="preserve">1.5xULN and total bilirubin </w:t>
      </w:r>
      <w:r w:rsidR="00976863">
        <w:t>≤</w:t>
      </w:r>
      <w:r w:rsidR="00C22C56">
        <w:t xml:space="preserve">1mg/dL at week 52 compared to those receiving placebo (43% vs. 5.7% in the </w:t>
      </w:r>
      <w:proofErr w:type="spellStart"/>
      <w:r w:rsidR="00C22C56">
        <w:t>elafibranor</w:t>
      </w:r>
      <w:proofErr w:type="spellEnd"/>
      <w:r w:rsidR="00C22C56">
        <w:t xml:space="preserve"> vs. placebo groups, OR 16.652, p&lt;0.0001).</w:t>
      </w:r>
    </w:p>
    <w:p w14:paraId="372A4FBC" w14:textId="46A5B38E" w:rsidR="00C22C56" w:rsidRDefault="00C22C56" w:rsidP="00C22C56">
      <w:r>
        <w:lastRenderedPageBreak/>
        <w:t xml:space="preserve">The proportion of subjects with response to treatment according to a 15% reduction from baseline in total bilirubin at week 52 was likewise greater in the </w:t>
      </w:r>
      <w:proofErr w:type="spellStart"/>
      <w:r>
        <w:t>elafibranor</w:t>
      </w:r>
      <w:proofErr w:type="spellEnd"/>
      <w:r>
        <w:t xml:space="preserve"> group (31.4%) vs. placebo group (22.6%), however the OR did not reach statistical significance at 1.5</w:t>
      </w:r>
      <w:r w:rsidR="00434F36">
        <w:t>5</w:t>
      </w:r>
      <w:r>
        <w:t>0 ([95% CI: 0.698;3.707]; p=0.3253).</w:t>
      </w:r>
    </w:p>
    <w:p w14:paraId="6D419F35" w14:textId="77777777" w:rsidR="00C22C56" w:rsidRDefault="00C22C56" w:rsidP="00C82F86">
      <w:pPr>
        <w:pStyle w:val="Heading4"/>
      </w:pPr>
      <w:bookmarkStart w:id="40" w:name="_Toc206075826"/>
      <w:r w:rsidRPr="00C82F86">
        <w:t>Safety</w:t>
      </w:r>
      <w:bookmarkEnd w:id="40"/>
    </w:p>
    <w:p w14:paraId="690FA22F" w14:textId="3EF4F83C" w:rsidR="00C22C56" w:rsidRDefault="00C22C56" w:rsidP="00C82F86">
      <w:r>
        <w:t xml:space="preserve">The safety database presented includes data from the double-blind period of the pivotal Phase 3 study 319-1, and the Phase 2 study 216-1 on PBC. 161 participants with PBC were exposed to </w:t>
      </w:r>
      <w:proofErr w:type="spellStart"/>
      <w:r>
        <w:t>elafibranor</w:t>
      </w:r>
      <w:proofErr w:type="spellEnd"/>
      <w:r>
        <w:t xml:space="preserve"> at the once daily administration of 80mg compared to placebo in study 319-1, while 45 participants with PBC were randomised 1:1:1 to placebo, </w:t>
      </w:r>
      <w:proofErr w:type="spellStart"/>
      <w:r>
        <w:t>elafibranor</w:t>
      </w:r>
      <w:proofErr w:type="spellEnd"/>
      <w:r>
        <w:t xml:space="preserve"> 80 mg, or </w:t>
      </w:r>
      <w:proofErr w:type="spellStart"/>
      <w:r>
        <w:t>elafibranor</w:t>
      </w:r>
      <w:proofErr w:type="spellEnd"/>
      <w:r>
        <w:t xml:space="preserve"> 120 mg. Safety data from participants in other indications who received </w:t>
      </w:r>
      <w:proofErr w:type="spellStart"/>
      <w:r>
        <w:t>elafibranor</w:t>
      </w:r>
      <w:proofErr w:type="spellEnd"/>
      <w:r>
        <w:t xml:space="preserve"> were included.</w:t>
      </w:r>
    </w:p>
    <w:p w14:paraId="17CDCB21" w14:textId="77777777" w:rsidR="00C22C56" w:rsidRDefault="00C22C56" w:rsidP="00C82F86">
      <w:r>
        <w:t xml:space="preserve">Overall, a total of 3,745 participants have been enrolled in the </w:t>
      </w:r>
      <w:proofErr w:type="spellStart"/>
      <w:r>
        <w:t>elafibranor</w:t>
      </w:r>
      <w:proofErr w:type="spellEnd"/>
      <w:r>
        <w:t xml:space="preserve"> clinical programme of whom 2,588 have been exposed to </w:t>
      </w:r>
      <w:proofErr w:type="spellStart"/>
      <w:r>
        <w:t>elafibranor</w:t>
      </w:r>
      <w:proofErr w:type="spellEnd"/>
      <w:r>
        <w:t xml:space="preserve"> until the current data cut-off (01 June 2023). Cumulatively, studies conducted in the </w:t>
      </w:r>
      <w:proofErr w:type="spellStart"/>
      <w:r>
        <w:t>elafibranor</w:t>
      </w:r>
      <w:proofErr w:type="spellEnd"/>
      <w:r>
        <w:t xml:space="preserve"> clinical programme since the DIBD have enrolled 3,719 adult participants between 18 to 74 years of age, 16 elderly participants (≥75 years), and 10 paediatric participants between 12 to 17 years.</w:t>
      </w:r>
    </w:p>
    <w:p w14:paraId="25BDA0C8" w14:textId="49C2AAD0" w:rsidR="00C22C56" w:rsidRDefault="00C22C56" w:rsidP="00C82F86">
      <w:pPr>
        <w:pStyle w:val="Heading5"/>
      </w:pPr>
      <w:r>
        <w:t>Treatment emergent adverse events</w:t>
      </w:r>
    </w:p>
    <w:p w14:paraId="76CDD738" w14:textId="499E8F2F" w:rsidR="00C22C56" w:rsidRDefault="00634A2D" w:rsidP="00C82F86">
      <w:r w:rsidRPr="00634A2D">
        <w:t>Treatment emergent adverse events (TEAEs)</w:t>
      </w:r>
      <w:r>
        <w:t xml:space="preserve"> </w:t>
      </w:r>
      <w:r w:rsidR="00C22C56">
        <w:t xml:space="preserve">were reported for 104 (96.3%) subjects in the </w:t>
      </w:r>
      <w:proofErr w:type="spellStart"/>
      <w:r w:rsidR="00C22C56">
        <w:t>elafibranor</w:t>
      </w:r>
      <w:proofErr w:type="spellEnd"/>
      <w:r w:rsidR="00C22C56">
        <w:t xml:space="preserve"> group and 48 (90.6%) in the placebo group. Most TEAEs were mild or moderate in intensity whilst severe TEAEs were seen in 11 (10.2%) and 6 (11.3%) of subjects in the </w:t>
      </w:r>
      <w:proofErr w:type="spellStart"/>
      <w:r w:rsidR="00C22C56">
        <w:t>elafibranor</w:t>
      </w:r>
      <w:proofErr w:type="spellEnd"/>
      <w:r w:rsidR="00C22C56">
        <w:t xml:space="preserve"> and placebo groups, respectively.</w:t>
      </w:r>
    </w:p>
    <w:p w14:paraId="51C672E2" w14:textId="2146FCCD" w:rsidR="00C22C56" w:rsidRDefault="00C22C56" w:rsidP="00C82F86">
      <w:r>
        <w:t xml:space="preserve">TEAEs leading to treatment discontinuation was seen in 11 (10.2%) and 5 (9.4%) subjects in the </w:t>
      </w:r>
      <w:proofErr w:type="spellStart"/>
      <w:r>
        <w:t>elafibranor</w:t>
      </w:r>
      <w:proofErr w:type="spellEnd"/>
      <w:r>
        <w:t xml:space="preserve"> and placebo groups, respectively.</w:t>
      </w:r>
    </w:p>
    <w:p w14:paraId="4532258A" w14:textId="4E482ED3" w:rsidR="00C22C56" w:rsidRDefault="00C22C56" w:rsidP="00C82F86">
      <w:r>
        <w:t xml:space="preserve">TEAEs reported in &gt;5% of subjects with </w:t>
      </w:r>
      <w:proofErr w:type="spellStart"/>
      <w:r>
        <w:t>elafibranor</w:t>
      </w:r>
      <w:proofErr w:type="spellEnd"/>
      <w:r>
        <w:t xml:space="preserve"> vs. placebo (with a &gt;1% increase in events) were mostly gastrointestinal (vomiting, diarrhoea, nausea, constipation, upper abdominal pain and gastroesophageal reflux disease). There were other numerically increased events with arthralgia and upper respiratory tract infection.</w:t>
      </w:r>
    </w:p>
    <w:p w14:paraId="2FD6E604" w14:textId="77777777" w:rsidR="00C22C56" w:rsidRDefault="00C22C56" w:rsidP="00C82F86">
      <w:r>
        <w:t xml:space="preserve">TEAEs reported in &gt;5% of subjects in the </w:t>
      </w:r>
      <w:proofErr w:type="spellStart"/>
      <w:r>
        <w:t>elafibranor</w:t>
      </w:r>
      <w:proofErr w:type="spellEnd"/>
      <w:r>
        <w:t xml:space="preserve"> group with a higher incidence than in the placebo group (difference of &gt;1%), were mostly gastrointestinal in nature, being vomiting (11.1% vs. 1.9%), diarrhoea (11.1% vs. 9.4%), nausea (11.1% vs. 5.7%), constipation (8.3% vs. 1.9%), upper abdominal pain (7.4% vs. 5.7%) and gastro-oesophageal reflux disease (6.5% vs. 1.9%). Other events were arthralgia (8.3% vs. 3.8%) and upper respiratory tract infection (6.5% vs. 3.8%). Corresponding exposure-adjusted incidence rates (subjects per patient-years) [EAIR] for these events however were generally similar between the 2 treatment groups. The only event with a &gt;5% higher incidence in the </w:t>
      </w:r>
      <w:proofErr w:type="spellStart"/>
      <w:r>
        <w:t>elafibranor</w:t>
      </w:r>
      <w:proofErr w:type="spellEnd"/>
      <w:r>
        <w:t xml:space="preserve"> groups vs. placebo group for EAIR difference was vomiting (95% CI: 0.015;0.139).</w:t>
      </w:r>
    </w:p>
    <w:p w14:paraId="3E9E370A" w14:textId="0B7BBA91" w:rsidR="00C22C56" w:rsidRDefault="00C22C56" w:rsidP="00C82F86">
      <w:r>
        <w:t xml:space="preserve">Subjects receiving </w:t>
      </w:r>
      <w:proofErr w:type="spellStart"/>
      <w:r>
        <w:t>elafibranor</w:t>
      </w:r>
      <w:proofErr w:type="spellEnd"/>
      <w:r>
        <w:t xml:space="preserve"> had numerically fewer TEAEs of pruritus and fatigue vs. placebo, being 20.4% vs. 26.4% for pruritus and 9.3% vs. 13.2% for fatigue, respectively). Other TEAEs reported in &gt;5% of subjects in the placebo group with higher incidence vs. </w:t>
      </w:r>
      <w:proofErr w:type="spellStart"/>
      <w:r>
        <w:t>elafibranor</w:t>
      </w:r>
      <w:proofErr w:type="spellEnd"/>
      <w:r>
        <w:t xml:space="preserve"> were Covid-19 (37.7% vs. 28.7% in placebo vs. </w:t>
      </w:r>
      <w:proofErr w:type="spellStart"/>
      <w:r>
        <w:t>elafibranor</w:t>
      </w:r>
      <w:proofErr w:type="spellEnd"/>
      <w:r>
        <w:t xml:space="preserve"> respectively), UTI (18.9% vs. 11.1%), back pain (11.3% vs. 3.7%), pain in extremity (5.7% vs. 2.8%), muscle spasms (5.7% vs. 2.8%), pain (7.5% vs. 0%), headache (11.3% vs. 8.3%) and hypertension (5.7% vs. 3.7%).</w:t>
      </w:r>
    </w:p>
    <w:p w14:paraId="56B25D2A" w14:textId="5973F7E8" w:rsidR="00C22C56" w:rsidRDefault="00C22C56" w:rsidP="00C82F86">
      <w:pPr>
        <w:pStyle w:val="Heading5"/>
      </w:pPr>
      <w:r>
        <w:lastRenderedPageBreak/>
        <w:t xml:space="preserve">Serious adverse </w:t>
      </w:r>
      <w:r w:rsidRPr="00C82F86">
        <w:t>events</w:t>
      </w:r>
    </w:p>
    <w:p w14:paraId="13ACE8A1" w14:textId="742FF103" w:rsidR="00C22C56" w:rsidRDefault="00C22C56" w:rsidP="00C82F86">
      <w:r>
        <w:t xml:space="preserve">Categorisation of TEAEs by severity showed that most events were mild or moderate, there being no severe TEAEs of pruritus or fatigue seen in subjects receiving </w:t>
      </w:r>
      <w:proofErr w:type="spellStart"/>
      <w:r>
        <w:t>elafibranor</w:t>
      </w:r>
      <w:proofErr w:type="spellEnd"/>
      <w:r>
        <w:t xml:space="preserve">. Severe TEAEs were seen in 11 (10.2%) receiving </w:t>
      </w:r>
      <w:proofErr w:type="spellStart"/>
      <w:r>
        <w:t>elafibranor</w:t>
      </w:r>
      <w:proofErr w:type="spellEnd"/>
      <w:r>
        <w:t xml:space="preserve"> and 6 (11.3%) receiving placebo.</w:t>
      </w:r>
    </w:p>
    <w:p w14:paraId="6B653031" w14:textId="48741B2F" w:rsidR="00C22C56" w:rsidRDefault="00C22C56" w:rsidP="00C82F86">
      <w:r>
        <w:t xml:space="preserve">In the open-label, long-term extension period, with 138 subjects entering this period, of whom 45 had received placebo during the double-blind period were analysed. Two of these subjects (all of whom were receiving </w:t>
      </w:r>
      <w:proofErr w:type="spellStart"/>
      <w:r>
        <w:t>elafibranor</w:t>
      </w:r>
      <w:proofErr w:type="spellEnd"/>
      <w:r>
        <w:t>) had serious TEAEs. One had autoimmune hepatitis of moderate intensity leading to subject withdrawal from treatment. Another subject had serious TEAEs of bile duct stone and cholecystitis which were severe in intensity and the study drug was interrupted for these events.</w:t>
      </w:r>
    </w:p>
    <w:p w14:paraId="4C698B49" w14:textId="68183CC2" w:rsidR="00C22C56" w:rsidRDefault="00C22C56" w:rsidP="00C82F86">
      <w:pPr>
        <w:pStyle w:val="Heading5"/>
      </w:pPr>
      <w:r>
        <w:t xml:space="preserve">Adverse events of special </w:t>
      </w:r>
      <w:r w:rsidRPr="00C82F86">
        <w:t>interest</w:t>
      </w:r>
    </w:p>
    <w:p w14:paraId="0811562D" w14:textId="4BF0F9AA" w:rsidR="00C22C56" w:rsidRDefault="00C22C56" w:rsidP="00C82F86">
      <w:r>
        <w:t xml:space="preserve">In terms of </w:t>
      </w:r>
      <w:r w:rsidR="00634A2D">
        <w:t>a</w:t>
      </w:r>
      <w:r w:rsidR="00634A2D" w:rsidRPr="00634A2D">
        <w:t xml:space="preserve">dverse events of special interest </w:t>
      </w:r>
      <w:r w:rsidR="00634A2D">
        <w:t>(</w:t>
      </w:r>
      <w:r>
        <w:t>AESI</w:t>
      </w:r>
      <w:r w:rsidR="00634A2D">
        <w:t>)</w:t>
      </w:r>
      <w:r>
        <w:t xml:space="preserve">, small differences were seen across treatment groups including CPK elevation with no clinically significant differences between treatment groups in the incidence of hyperglycaemia, hypoglycaemia or dyslipidaemia (although as discussed in the efficacy section, there seemed to be more favourable lipid profiles seen with </w:t>
      </w:r>
      <w:proofErr w:type="spellStart"/>
      <w:r>
        <w:t>elafibranor</w:t>
      </w:r>
      <w:proofErr w:type="spellEnd"/>
      <w:r>
        <w:t xml:space="preserve"> treatment).</w:t>
      </w:r>
    </w:p>
    <w:p w14:paraId="1C23A9FB" w14:textId="77777777" w:rsidR="00C22C56" w:rsidRDefault="00C22C56" w:rsidP="00C22C56">
      <w:r>
        <w:t xml:space="preserve">There were no notable liver biochemistry and hepatic events meeting AESI criteria with </w:t>
      </w:r>
      <w:proofErr w:type="spellStart"/>
      <w:r>
        <w:t>elafibranor</w:t>
      </w:r>
      <w:proofErr w:type="spellEnd"/>
      <w:r>
        <w:t xml:space="preserve"> vs. placebo.</w:t>
      </w:r>
    </w:p>
    <w:p w14:paraId="1F3CCD6A" w14:textId="77777777" w:rsidR="00C22C56" w:rsidRDefault="00C22C56" w:rsidP="00C82F86">
      <w:r>
        <w:t>There were no overall differences in haematologic parameters between treatment groups.</w:t>
      </w:r>
    </w:p>
    <w:p w14:paraId="7AA11D11" w14:textId="77777777" w:rsidR="00C22C56" w:rsidRDefault="00C22C56" w:rsidP="00C22C56">
      <w:r>
        <w:t xml:space="preserve">There were greater numbers of subjects receiving </w:t>
      </w:r>
      <w:proofErr w:type="spellStart"/>
      <w:r>
        <w:t>elafibranor</w:t>
      </w:r>
      <w:proofErr w:type="spellEnd"/>
      <w:r>
        <w:t xml:space="preserve"> vs. placebo who had serious AEs of renal dysfunction.</w:t>
      </w:r>
    </w:p>
    <w:p w14:paraId="11E512E9" w14:textId="77777777" w:rsidR="00C22C56" w:rsidRDefault="00C22C56" w:rsidP="00C82F86">
      <w:r>
        <w:t xml:space="preserve">There were no clinically significant changes in ECG noted in </w:t>
      </w:r>
      <w:proofErr w:type="spellStart"/>
      <w:r>
        <w:t>elafibranor</w:t>
      </w:r>
      <w:proofErr w:type="spellEnd"/>
      <w:r>
        <w:t>-treated patients compared to placebo.</w:t>
      </w:r>
    </w:p>
    <w:p w14:paraId="1C132055" w14:textId="77777777" w:rsidR="00C22C56" w:rsidRDefault="00C22C56" w:rsidP="00C82F86">
      <w:pPr>
        <w:pStyle w:val="Heading5"/>
      </w:pPr>
      <w:r>
        <w:t xml:space="preserve">Vital signs and clinical examination </w:t>
      </w:r>
      <w:r w:rsidRPr="00C82F86">
        <w:t>findings</w:t>
      </w:r>
    </w:p>
    <w:p w14:paraId="24CC0C63" w14:textId="77777777" w:rsidR="00C22C56" w:rsidRDefault="00C22C56" w:rsidP="00C82F86">
      <w:r>
        <w:t xml:space="preserve">There were no significant changes from baseline in vital signs of clinical significance, with similar assessments seen for </w:t>
      </w:r>
      <w:proofErr w:type="spellStart"/>
      <w:r>
        <w:t>elafibranor</w:t>
      </w:r>
      <w:proofErr w:type="spellEnd"/>
      <w:r>
        <w:t xml:space="preserve"> and placebo groups in the efficacy studies.</w:t>
      </w:r>
    </w:p>
    <w:p w14:paraId="4303EB96" w14:textId="77777777" w:rsidR="00C22C56" w:rsidRDefault="00C22C56" w:rsidP="00C82F86">
      <w:pPr>
        <w:pStyle w:val="Heading5"/>
      </w:pPr>
      <w:r w:rsidRPr="00C82F86">
        <w:t>Malignancies</w:t>
      </w:r>
    </w:p>
    <w:p w14:paraId="0871A71F" w14:textId="69A409DD" w:rsidR="00C22C56" w:rsidRDefault="00C22C56" w:rsidP="00C82F86">
      <w:r>
        <w:t xml:space="preserve">None of the seven (6.5%) participants in the </w:t>
      </w:r>
      <w:proofErr w:type="spellStart"/>
      <w:r>
        <w:t>elafibranor</w:t>
      </w:r>
      <w:proofErr w:type="spellEnd"/>
      <w:r>
        <w:t xml:space="preserve"> group and 3 (5.7%) participants in the placebo group who had TEAEs in the system organ class of neoplasms in study 319-1 were considered related to </w:t>
      </w:r>
      <w:proofErr w:type="spellStart"/>
      <w:r>
        <w:t>elafibranor</w:t>
      </w:r>
      <w:proofErr w:type="spellEnd"/>
      <w:r>
        <w:t>.</w:t>
      </w:r>
    </w:p>
    <w:p w14:paraId="0B250AA2" w14:textId="551B4105" w:rsidR="00C22C56" w:rsidRDefault="00C22C56" w:rsidP="00C82F86">
      <w:pPr>
        <w:pStyle w:val="Heading5"/>
      </w:pPr>
      <w:r>
        <w:t xml:space="preserve">Creatinine phosphokinase </w:t>
      </w:r>
      <w:r w:rsidRPr="00C82F86">
        <w:t>elevations</w:t>
      </w:r>
    </w:p>
    <w:p w14:paraId="2715AF70" w14:textId="4B101D1D" w:rsidR="00C22C56" w:rsidRDefault="00C22C56" w:rsidP="00C82F86">
      <w:r>
        <w:t xml:space="preserve">Four (3.7%) participants in the </w:t>
      </w:r>
      <w:proofErr w:type="spellStart"/>
      <w:r>
        <w:t>elafibranor</w:t>
      </w:r>
      <w:proofErr w:type="spellEnd"/>
      <w:r>
        <w:t xml:space="preserve"> group (and none in the placebo group) had</w:t>
      </w:r>
      <w:r w:rsidR="00634A2D">
        <w:t xml:space="preserve"> </w:t>
      </w:r>
      <w:r w:rsidR="00634A2D" w:rsidRPr="00634A2D">
        <w:t>Creatinine phosphokinase (</w:t>
      </w:r>
      <w:r>
        <w:t>CPK</w:t>
      </w:r>
      <w:r w:rsidR="00634A2D">
        <w:t>)</w:t>
      </w:r>
      <w:r>
        <w:t xml:space="preserve"> elevations leading to drug discontinuation in study 319-1. All events were non-serious, and one was moderate in intensity. Three of the 4 cases were assessed as possibly related to study drug. One case was associated to renal impairment. In all cases, the participants had concomitant disease (autoimmune thyroiditis, chronic kidney disease) or concomitant medications (statins) known to be associated with CPK elevations.</w:t>
      </w:r>
    </w:p>
    <w:p w14:paraId="05F81337" w14:textId="77777777" w:rsidR="00C22C56" w:rsidRDefault="00C22C56" w:rsidP="00C82F86">
      <w:pPr>
        <w:pStyle w:val="Heading5"/>
      </w:pPr>
      <w:r w:rsidRPr="00C82F86">
        <w:t>Death</w:t>
      </w:r>
    </w:p>
    <w:p w14:paraId="60360207" w14:textId="1905C8F3" w:rsidR="00660C2B" w:rsidRPr="0093679B" w:rsidRDefault="00C22C56" w:rsidP="00C82F86">
      <w:r>
        <w:t xml:space="preserve">There were 2 deaths reported in the </w:t>
      </w:r>
      <w:proofErr w:type="spellStart"/>
      <w:r>
        <w:t>elafibranor</w:t>
      </w:r>
      <w:proofErr w:type="spellEnd"/>
      <w:r>
        <w:t xml:space="preserve"> group due to multiple organ dysfunction syndrome in 1 subject and biliary sepsis and acute kidney injury in the other. None of these were considered related to the study drug.</w:t>
      </w:r>
    </w:p>
    <w:p w14:paraId="2858B006" w14:textId="5C62703D" w:rsidR="00C22214" w:rsidRDefault="00C22214" w:rsidP="00C82F86">
      <w:pPr>
        <w:pStyle w:val="Heading3"/>
        <w:rPr>
          <w:lang w:eastAsia="en-AU"/>
        </w:rPr>
      </w:pPr>
      <w:bookmarkStart w:id="41" w:name="_Toc314842514"/>
      <w:bookmarkStart w:id="42" w:name="_Toc103679298"/>
      <w:bookmarkStart w:id="43" w:name="_Toc206075827"/>
      <w:r>
        <w:rPr>
          <w:lang w:eastAsia="en-AU"/>
        </w:rPr>
        <w:lastRenderedPageBreak/>
        <w:t>Risk management plan</w:t>
      </w:r>
      <w:bookmarkEnd w:id="41"/>
      <w:bookmarkEnd w:id="42"/>
      <w:r w:rsidR="00F520F3">
        <w:rPr>
          <w:lang w:eastAsia="en-AU"/>
        </w:rPr>
        <w:t xml:space="preserve"> evaluation </w:t>
      </w:r>
      <w:r w:rsidR="00F520F3" w:rsidRPr="00C82F86">
        <w:t>summary</w:t>
      </w:r>
      <w:bookmarkEnd w:id="43"/>
    </w:p>
    <w:p w14:paraId="23944A59" w14:textId="7733D798" w:rsidR="00DE6A83" w:rsidRPr="00DE6A83" w:rsidRDefault="00DE6A83" w:rsidP="00C82F86">
      <w:pPr>
        <w:rPr>
          <w:b/>
        </w:rPr>
      </w:pPr>
      <w:bookmarkStart w:id="44" w:name="_Ref97629131"/>
      <w:bookmarkStart w:id="45" w:name="_Toc247691531"/>
      <w:bookmarkStart w:id="46" w:name="_Toc314842515"/>
      <w:r w:rsidRPr="00DE6A83">
        <w:t>Ipsen Pty Ltd has submitted EU-RMP version 1.0 (dated 15 September 2023; DLP 1 June 2023) and ASA version 1.0 (dated 22 February 2024) in support of this application. In its Section 31 response, the sponsor has submitted approved EU-RMP version 1.0 (dated 25 July 2024; DLP 1 June 2023). The ASA was not updated. In its Milestone 5 response, the sponsor has submitted an updated ASA version 1.1 (dated November 2024) in support of its application.</w:t>
      </w:r>
    </w:p>
    <w:p w14:paraId="2F3011EF" w14:textId="66ECC049" w:rsidR="00DE6A83" w:rsidRDefault="00DE6A83" w:rsidP="00C82F86">
      <w:pPr>
        <w:rPr>
          <w:b/>
        </w:rPr>
      </w:pPr>
      <w:r w:rsidRPr="00DE6A83">
        <w:t xml:space="preserve">The proposed summary of safety concerns and their associated risk monitoring and mitigation strategies are summarised </w:t>
      </w:r>
      <w:r>
        <w:t xml:space="preserve">in Table </w:t>
      </w:r>
      <w:r w:rsidR="0099201E">
        <w:t>4.</w:t>
      </w:r>
    </w:p>
    <w:p w14:paraId="56B51A93" w14:textId="58518F92" w:rsidR="006A277A" w:rsidRDefault="00C22214" w:rsidP="00C82F86">
      <w:pPr>
        <w:pStyle w:val="TableTitle"/>
      </w:pPr>
      <w:r>
        <w:t>Table</w:t>
      </w:r>
      <w:bookmarkEnd w:id="44"/>
      <w:r w:rsidR="00DE6A83">
        <w:t xml:space="preserve"> </w:t>
      </w:r>
      <w:r w:rsidR="0099201E">
        <w:t>4</w:t>
      </w:r>
      <w:r w:rsidR="00DF6EC5">
        <w:t>.</w:t>
      </w:r>
      <w:r>
        <w:t xml:space="preserve"> Summary of safety </w:t>
      </w:r>
      <w:r w:rsidRPr="00C82F86">
        <w:t>concerns</w:t>
      </w:r>
    </w:p>
    <w:tbl>
      <w:tblPr>
        <w:tblStyle w:val="TableGrid1"/>
        <w:tblW w:w="9090" w:type="dxa"/>
        <w:jc w:val="center"/>
        <w:tblBorders>
          <w:top w:val="single" w:sz="8" w:space="0" w:color="auto"/>
          <w:left w:val="single" w:sz="8" w:space="0" w:color="auto"/>
          <w:bottom w:val="single" w:sz="8" w:space="0" w:color="auto"/>
          <w:right w:val="single" w:sz="8" w:space="0" w:color="auto"/>
        </w:tblBorders>
        <w:tblLayout w:type="fixed"/>
        <w:tblCellMar>
          <w:left w:w="85" w:type="dxa"/>
          <w:right w:w="85" w:type="dxa"/>
        </w:tblCellMar>
        <w:tblLook w:val="04A0" w:firstRow="1" w:lastRow="0" w:firstColumn="1" w:lastColumn="0" w:noHBand="0" w:noVBand="1"/>
      </w:tblPr>
      <w:tblGrid>
        <w:gridCol w:w="1880"/>
        <w:gridCol w:w="2890"/>
        <w:gridCol w:w="990"/>
        <w:gridCol w:w="1170"/>
        <w:gridCol w:w="990"/>
        <w:gridCol w:w="1170"/>
      </w:tblGrid>
      <w:tr w:rsidR="0077397E" w:rsidRPr="0077397E" w14:paraId="19365030" w14:textId="77777777" w:rsidTr="0077397E">
        <w:trPr>
          <w:trHeight w:val="131"/>
          <w:jc w:val="center"/>
        </w:trPr>
        <w:tc>
          <w:tcPr>
            <w:tcW w:w="4770" w:type="dxa"/>
            <w:gridSpan w:val="2"/>
            <w:vMerge w:val="restart"/>
            <w:tcBorders>
              <w:top w:val="single" w:sz="8" w:space="0" w:color="auto"/>
              <w:right w:val="single" w:sz="4" w:space="0" w:color="auto"/>
            </w:tcBorders>
            <w:shd w:val="clear" w:color="auto" w:fill="DEEAF6"/>
          </w:tcPr>
          <w:p w14:paraId="1A9F3DB4" w14:textId="77777777" w:rsidR="0077397E" w:rsidRPr="0077397E" w:rsidRDefault="0077397E" w:rsidP="00671A11">
            <w:pPr>
              <w:pStyle w:val="Tabletext0"/>
              <w:rPr>
                <w:b/>
                <w:color w:val="263287"/>
                <w:sz w:val="22"/>
              </w:rPr>
            </w:pPr>
            <w:r w:rsidRPr="0077397E">
              <w:rPr>
                <w:b/>
                <w:color w:val="263287"/>
                <w:sz w:val="22"/>
              </w:rPr>
              <w:t>Summary of safety concerns</w:t>
            </w:r>
          </w:p>
        </w:tc>
        <w:tc>
          <w:tcPr>
            <w:tcW w:w="2160" w:type="dxa"/>
            <w:gridSpan w:val="2"/>
            <w:tcBorders>
              <w:top w:val="single" w:sz="8" w:space="0" w:color="auto"/>
              <w:left w:val="single" w:sz="4" w:space="0" w:color="auto"/>
              <w:bottom w:val="single" w:sz="4" w:space="0" w:color="auto"/>
            </w:tcBorders>
            <w:shd w:val="clear" w:color="auto" w:fill="DEEAF6"/>
          </w:tcPr>
          <w:p w14:paraId="6A0EDF74" w14:textId="77777777" w:rsidR="0077397E" w:rsidRPr="0077397E" w:rsidRDefault="0077397E" w:rsidP="00671A11">
            <w:pPr>
              <w:pStyle w:val="Tabletext0"/>
              <w:rPr>
                <w:b/>
                <w:color w:val="263287"/>
                <w:sz w:val="22"/>
              </w:rPr>
            </w:pPr>
            <w:r w:rsidRPr="0077397E">
              <w:rPr>
                <w:b/>
                <w:color w:val="263287"/>
                <w:sz w:val="22"/>
              </w:rPr>
              <w:t>Pharmacovigilance</w:t>
            </w:r>
          </w:p>
        </w:tc>
        <w:tc>
          <w:tcPr>
            <w:tcW w:w="2160" w:type="dxa"/>
            <w:gridSpan w:val="2"/>
            <w:tcBorders>
              <w:top w:val="single" w:sz="8" w:space="0" w:color="auto"/>
              <w:left w:val="single" w:sz="4" w:space="0" w:color="auto"/>
              <w:bottom w:val="single" w:sz="4" w:space="0" w:color="auto"/>
            </w:tcBorders>
            <w:shd w:val="clear" w:color="auto" w:fill="DEEAF6"/>
          </w:tcPr>
          <w:p w14:paraId="579F66C4" w14:textId="77777777" w:rsidR="0077397E" w:rsidRPr="0077397E" w:rsidRDefault="0077397E" w:rsidP="00671A11">
            <w:pPr>
              <w:pStyle w:val="Tabletext0"/>
              <w:rPr>
                <w:b/>
                <w:color w:val="263287"/>
                <w:sz w:val="22"/>
              </w:rPr>
            </w:pPr>
            <w:r w:rsidRPr="0077397E">
              <w:rPr>
                <w:b/>
                <w:color w:val="263287"/>
                <w:sz w:val="22"/>
              </w:rPr>
              <w:t>Risk Minimisation</w:t>
            </w:r>
          </w:p>
        </w:tc>
      </w:tr>
      <w:tr w:rsidR="0077397E" w:rsidRPr="0077397E" w14:paraId="6D004EF1" w14:textId="77777777" w:rsidTr="0077397E">
        <w:trPr>
          <w:trHeight w:val="150"/>
          <w:jc w:val="center"/>
        </w:trPr>
        <w:tc>
          <w:tcPr>
            <w:tcW w:w="4770" w:type="dxa"/>
            <w:gridSpan w:val="2"/>
            <w:vMerge/>
            <w:tcBorders>
              <w:bottom w:val="single" w:sz="8" w:space="0" w:color="auto"/>
              <w:right w:val="single" w:sz="4" w:space="0" w:color="auto"/>
            </w:tcBorders>
            <w:shd w:val="clear" w:color="auto" w:fill="DEEAF6"/>
          </w:tcPr>
          <w:p w14:paraId="53AEF2E4" w14:textId="77777777" w:rsidR="0077397E" w:rsidRPr="0077397E" w:rsidRDefault="0077397E" w:rsidP="00671A11">
            <w:pPr>
              <w:pStyle w:val="Tabletext0"/>
              <w:rPr>
                <w:b/>
                <w:color w:val="263287"/>
                <w:sz w:val="22"/>
              </w:rPr>
            </w:pPr>
          </w:p>
        </w:tc>
        <w:tc>
          <w:tcPr>
            <w:tcW w:w="990" w:type="dxa"/>
            <w:tcBorders>
              <w:top w:val="single" w:sz="4" w:space="0" w:color="auto"/>
              <w:left w:val="single" w:sz="4" w:space="0" w:color="auto"/>
              <w:bottom w:val="single" w:sz="8" w:space="0" w:color="auto"/>
              <w:right w:val="dotted" w:sz="2" w:space="0" w:color="auto"/>
            </w:tcBorders>
            <w:shd w:val="clear" w:color="auto" w:fill="DEEAF6"/>
          </w:tcPr>
          <w:p w14:paraId="79A8EA2B" w14:textId="77777777" w:rsidR="0077397E" w:rsidRPr="0077397E" w:rsidRDefault="0077397E" w:rsidP="00671A11">
            <w:pPr>
              <w:pStyle w:val="Tabletext0"/>
              <w:rPr>
                <w:color w:val="263287"/>
                <w:sz w:val="22"/>
              </w:rPr>
            </w:pPr>
            <w:r w:rsidRPr="0077397E">
              <w:rPr>
                <w:color w:val="263287"/>
                <w:sz w:val="22"/>
              </w:rPr>
              <w:t>Routine</w:t>
            </w:r>
          </w:p>
        </w:tc>
        <w:tc>
          <w:tcPr>
            <w:tcW w:w="1170" w:type="dxa"/>
            <w:tcBorders>
              <w:top w:val="single" w:sz="4" w:space="0" w:color="auto"/>
              <w:left w:val="dotted" w:sz="2" w:space="0" w:color="auto"/>
              <w:bottom w:val="single" w:sz="8" w:space="0" w:color="auto"/>
            </w:tcBorders>
            <w:shd w:val="clear" w:color="auto" w:fill="DEEAF6"/>
          </w:tcPr>
          <w:p w14:paraId="602C6F8D" w14:textId="77777777" w:rsidR="0077397E" w:rsidRPr="0077397E" w:rsidRDefault="0077397E" w:rsidP="00671A11">
            <w:pPr>
              <w:pStyle w:val="Tabletext0"/>
              <w:rPr>
                <w:color w:val="263287"/>
                <w:sz w:val="22"/>
              </w:rPr>
            </w:pPr>
            <w:r w:rsidRPr="0077397E">
              <w:rPr>
                <w:color w:val="263287"/>
                <w:sz w:val="22"/>
              </w:rPr>
              <w:t>Additional</w:t>
            </w:r>
          </w:p>
        </w:tc>
        <w:tc>
          <w:tcPr>
            <w:tcW w:w="990" w:type="dxa"/>
            <w:tcBorders>
              <w:top w:val="single" w:sz="4" w:space="0" w:color="auto"/>
              <w:left w:val="single" w:sz="4" w:space="0" w:color="auto"/>
              <w:bottom w:val="single" w:sz="8" w:space="0" w:color="auto"/>
              <w:right w:val="dotted" w:sz="2" w:space="0" w:color="auto"/>
            </w:tcBorders>
            <w:shd w:val="clear" w:color="auto" w:fill="DEEAF6"/>
          </w:tcPr>
          <w:p w14:paraId="23C05ED9" w14:textId="77777777" w:rsidR="0077397E" w:rsidRPr="0077397E" w:rsidRDefault="0077397E" w:rsidP="00671A11">
            <w:pPr>
              <w:pStyle w:val="Tabletext0"/>
              <w:rPr>
                <w:color w:val="263287"/>
                <w:sz w:val="22"/>
              </w:rPr>
            </w:pPr>
            <w:r w:rsidRPr="0077397E">
              <w:rPr>
                <w:color w:val="263287"/>
                <w:sz w:val="22"/>
              </w:rPr>
              <w:t>Routine</w:t>
            </w:r>
          </w:p>
        </w:tc>
        <w:tc>
          <w:tcPr>
            <w:tcW w:w="1170" w:type="dxa"/>
            <w:tcBorders>
              <w:top w:val="single" w:sz="4" w:space="0" w:color="auto"/>
              <w:left w:val="dotted" w:sz="2" w:space="0" w:color="auto"/>
              <w:bottom w:val="single" w:sz="8" w:space="0" w:color="auto"/>
            </w:tcBorders>
            <w:shd w:val="clear" w:color="auto" w:fill="DEEAF6"/>
          </w:tcPr>
          <w:p w14:paraId="26037084" w14:textId="77777777" w:rsidR="0077397E" w:rsidRPr="0077397E" w:rsidRDefault="0077397E" w:rsidP="00671A11">
            <w:pPr>
              <w:pStyle w:val="Tabletext0"/>
              <w:rPr>
                <w:color w:val="263287"/>
                <w:sz w:val="22"/>
              </w:rPr>
            </w:pPr>
            <w:r w:rsidRPr="0077397E">
              <w:rPr>
                <w:color w:val="263287"/>
                <w:sz w:val="22"/>
              </w:rPr>
              <w:t>Additional</w:t>
            </w:r>
          </w:p>
        </w:tc>
      </w:tr>
      <w:tr w:rsidR="0077397E" w:rsidRPr="0077397E" w14:paraId="2860DCFB" w14:textId="77777777" w:rsidTr="0077397E">
        <w:trPr>
          <w:trHeight w:val="137"/>
          <w:jc w:val="center"/>
        </w:trPr>
        <w:tc>
          <w:tcPr>
            <w:tcW w:w="1880" w:type="dxa"/>
            <w:tcBorders>
              <w:top w:val="single" w:sz="8" w:space="0" w:color="auto"/>
            </w:tcBorders>
          </w:tcPr>
          <w:p w14:paraId="3FE16F55" w14:textId="77777777" w:rsidR="0077397E" w:rsidRPr="0077397E" w:rsidRDefault="0077397E" w:rsidP="00671A11">
            <w:pPr>
              <w:pStyle w:val="Tabletext0"/>
              <w:rPr>
                <w:b/>
                <w:color w:val="263287"/>
                <w:sz w:val="22"/>
              </w:rPr>
            </w:pPr>
            <w:r w:rsidRPr="0077397E">
              <w:rPr>
                <w:b/>
                <w:color w:val="263287"/>
                <w:sz w:val="22"/>
              </w:rPr>
              <w:t>Important identified risks</w:t>
            </w:r>
          </w:p>
        </w:tc>
        <w:tc>
          <w:tcPr>
            <w:tcW w:w="2890" w:type="dxa"/>
            <w:tcBorders>
              <w:top w:val="single" w:sz="8" w:space="0" w:color="auto"/>
              <w:bottom w:val="dotted" w:sz="2" w:space="0" w:color="auto"/>
              <w:right w:val="single" w:sz="4" w:space="0" w:color="auto"/>
            </w:tcBorders>
          </w:tcPr>
          <w:p w14:paraId="4678EC6A" w14:textId="77777777" w:rsidR="0077397E" w:rsidRPr="0077397E" w:rsidRDefault="0077397E" w:rsidP="00671A11">
            <w:pPr>
              <w:pStyle w:val="Tabletext0"/>
              <w:rPr>
                <w:sz w:val="22"/>
              </w:rPr>
            </w:pPr>
            <w:r w:rsidRPr="0077397E">
              <w:rPr>
                <w:sz w:val="22"/>
              </w:rPr>
              <w:t>None</w:t>
            </w:r>
          </w:p>
        </w:tc>
        <w:tc>
          <w:tcPr>
            <w:tcW w:w="990" w:type="dxa"/>
            <w:tcBorders>
              <w:top w:val="single" w:sz="8" w:space="0" w:color="auto"/>
              <w:left w:val="single" w:sz="4" w:space="0" w:color="auto"/>
              <w:bottom w:val="dotted" w:sz="2" w:space="0" w:color="auto"/>
              <w:right w:val="dotted" w:sz="2" w:space="0" w:color="auto"/>
            </w:tcBorders>
            <w:vAlign w:val="center"/>
          </w:tcPr>
          <w:p w14:paraId="281284DD" w14:textId="77777777" w:rsidR="0077397E" w:rsidRPr="0077397E" w:rsidRDefault="0077397E" w:rsidP="00671A11">
            <w:pPr>
              <w:pStyle w:val="Tabletext0"/>
              <w:jc w:val="center"/>
              <w:rPr>
                <w:sz w:val="22"/>
              </w:rPr>
            </w:pPr>
            <w:r w:rsidRPr="0077397E">
              <w:rPr>
                <w:sz w:val="22"/>
              </w:rPr>
              <w:t>–</w:t>
            </w:r>
          </w:p>
        </w:tc>
        <w:tc>
          <w:tcPr>
            <w:tcW w:w="1170" w:type="dxa"/>
            <w:tcBorders>
              <w:top w:val="single" w:sz="8" w:space="0" w:color="auto"/>
              <w:left w:val="dotted" w:sz="2" w:space="0" w:color="auto"/>
              <w:bottom w:val="dotted" w:sz="2" w:space="0" w:color="auto"/>
            </w:tcBorders>
            <w:vAlign w:val="center"/>
          </w:tcPr>
          <w:p w14:paraId="697FCA67" w14:textId="77777777" w:rsidR="0077397E" w:rsidRPr="0077397E" w:rsidRDefault="0077397E" w:rsidP="00671A11">
            <w:pPr>
              <w:pStyle w:val="Tabletext0"/>
              <w:jc w:val="center"/>
              <w:rPr>
                <w:sz w:val="22"/>
              </w:rPr>
            </w:pPr>
            <w:r w:rsidRPr="0077397E">
              <w:rPr>
                <w:sz w:val="22"/>
              </w:rPr>
              <w:t>–</w:t>
            </w:r>
          </w:p>
        </w:tc>
        <w:tc>
          <w:tcPr>
            <w:tcW w:w="990" w:type="dxa"/>
            <w:tcBorders>
              <w:top w:val="single" w:sz="8" w:space="0" w:color="auto"/>
              <w:left w:val="single" w:sz="4" w:space="0" w:color="auto"/>
              <w:bottom w:val="dotted" w:sz="2" w:space="0" w:color="auto"/>
              <w:right w:val="dotted" w:sz="2" w:space="0" w:color="auto"/>
            </w:tcBorders>
            <w:vAlign w:val="center"/>
          </w:tcPr>
          <w:p w14:paraId="6684D37E" w14:textId="77777777" w:rsidR="0077397E" w:rsidRPr="0077397E" w:rsidRDefault="0077397E" w:rsidP="00671A11">
            <w:pPr>
              <w:pStyle w:val="Tabletext0"/>
              <w:jc w:val="center"/>
              <w:rPr>
                <w:sz w:val="22"/>
              </w:rPr>
            </w:pPr>
            <w:r w:rsidRPr="0077397E">
              <w:rPr>
                <w:sz w:val="22"/>
              </w:rPr>
              <w:t>–</w:t>
            </w:r>
          </w:p>
        </w:tc>
        <w:tc>
          <w:tcPr>
            <w:tcW w:w="1170" w:type="dxa"/>
            <w:tcBorders>
              <w:top w:val="single" w:sz="8" w:space="0" w:color="auto"/>
              <w:left w:val="dotted" w:sz="2" w:space="0" w:color="auto"/>
              <w:bottom w:val="dotted" w:sz="2" w:space="0" w:color="auto"/>
            </w:tcBorders>
            <w:vAlign w:val="center"/>
          </w:tcPr>
          <w:p w14:paraId="10B26F34" w14:textId="77777777" w:rsidR="0077397E" w:rsidRPr="0077397E" w:rsidRDefault="0077397E" w:rsidP="00671A11">
            <w:pPr>
              <w:pStyle w:val="Tabletext0"/>
              <w:jc w:val="center"/>
              <w:rPr>
                <w:sz w:val="22"/>
              </w:rPr>
            </w:pPr>
            <w:r w:rsidRPr="0077397E">
              <w:rPr>
                <w:sz w:val="22"/>
              </w:rPr>
              <w:t>–</w:t>
            </w:r>
          </w:p>
        </w:tc>
      </w:tr>
      <w:tr w:rsidR="0077397E" w:rsidRPr="0077397E" w14:paraId="39FB0F33" w14:textId="77777777" w:rsidTr="0077397E">
        <w:trPr>
          <w:trHeight w:val="159"/>
          <w:jc w:val="center"/>
        </w:trPr>
        <w:tc>
          <w:tcPr>
            <w:tcW w:w="1880" w:type="dxa"/>
            <w:vMerge w:val="restart"/>
          </w:tcPr>
          <w:p w14:paraId="270A60C7" w14:textId="77777777" w:rsidR="0077397E" w:rsidRPr="0077397E" w:rsidRDefault="0077397E" w:rsidP="00671A11">
            <w:pPr>
              <w:pStyle w:val="Tabletext0"/>
              <w:rPr>
                <w:b/>
                <w:color w:val="263287"/>
                <w:sz w:val="22"/>
              </w:rPr>
            </w:pPr>
            <w:r w:rsidRPr="0077397E">
              <w:rPr>
                <w:b/>
                <w:color w:val="263287"/>
                <w:sz w:val="22"/>
              </w:rPr>
              <w:t>Important potential risks</w:t>
            </w:r>
          </w:p>
        </w:tc>
        <w:tc>
          <w:tcPr>
            <w:tcW w:w="2890" w:type="dxa"/>
            <w:tcBorders>
              <w:bottom w:val="dotted" w:sz="2" w:space="0" w:color="auto"/>
              <w:right w:val="single" w:sz="4" w:space="0" w:color="auto"/>
            </w:tcBorders>
          </w:tcPr>
          <w:p w14:paraId="542F72BB" w14:textId="77777777" w:rsidR="0077397E" w:rsidRPr="0077397E" w:rsidRDefault="0077397E" w:rsidP="00671A11">
            <w:pPr>
              <w:pStyle w:val="Tabletext0"/>
              <w:rPr>
                <w:sz w:val="22"/>
              </w:rPr>
            </w:pPr>
            <w:r w:rsidRPr="0077397E">
              <w:rPr>
                <w:sz w:val="22"/>
              </w:rPr>
              <w:t>Hepatic events</w:t>
            </w:r>
          </w:p>
        </w:tc>
        <w:tc>
          <w:tcPr>
            <w:tcW w:w="990" w:type="dxa"/>
            <w:tcBorders>
              <w:left w:val="single" w:sz="4" w:space="0" w:color="auto"/>
              <w:bottom w:val="dotted" w:sz="2" w:space="0" w:color="auto"/>
              <w:right w:val="dotted" w:sz="2" w:space="0" w:color="auto"/>
            </w:tcBorders>
            <w:vAlign w:val="center"/>
          </w:tcPr>
          <w:p w14:paraId="3B5151DE" w14:textId="77777777" w:rsidR="0077397E" w:rsidRPr="0077397E" w:rsidRDefault="0077397E" w:rsidP="00671A11">
            <w:pPr>
              <w:pStyle w:val="Tabletext0"/>
              <w:jc w:val="center"/>
              <w:rPr>
                <w:sz w:val="22"/>
              </w:rPr>
            </w:pPr>
            <w:r w:rsidRPr="0077397E">
              <w:rPr>
                <w:sz w:val="22"/>
              </w:rPr>
              <w:sym w:font="Wingdings" w:char="F0FC"/>
            </w:r>
            <w:r w:rsidRPr="0077397E">
              <w:rPr>
                <w:sz w:val="22"/>
              </w:rPr>
              <w:t>*</w:t>
            </w:r>
          </w:p>
        </w:tc>
        <w:tc>
          <w:tcPr>
            <w:tcW w:w="1170" w:type="dxa"/>
            <w:tcBorders>
              <w:left w:val="dotted" w:sz="2" w:space="0" w:color="auto"/>
              <w:bottom w:val="dotted" w:sz="2" w:space="0" w:color="auto"/>
            </w:tcBorders>
            <w:vAlign w:val="center"/>
          </w:tcPr>
          <w:p w14:paraId="39BE74A3" w14:textId="77777777" w:rsidR="0077397E" w:rsidRPr="0077397E" w:rsidRDefault="0077397E" w:rsidP="00671A11">
            <w:pPr>
              <w:pStyle w:val="Tabletext0"/>
              <w:jc w:val="center"/>
              <w:rPr>
                <w:sz w:val="22"/>
              </w:rPr>
            </w:pPr>
            <w:r w:rsidRPr="0077397E">
              <w:rPr>
                <w:sz w:val="22"/>
              </w:rPr>
              <w:sym w:font="Wingdings" w:char="F0FC"/>
            </w:r>
            <w:r w:rsidRPr="0077397E">
              <w:rPr>
                <w:sz w:val="22"/>
                <w:vertAlign w:val="superscript"/>
              </w:rPr>
              <w:t>†</w:t>
            </w:r>
          </w:p>
        </w:tc>
        <w:tc>
          <w:tcPr>
            <w:tcW w:w="990" w:type="dxa"/>
            <w:tcBorders>
              <w:left w:val="single" w:sz="4" w:space="0" w:color="auto"/>
              <w:bottom w:val="dotted" w:sz="2" w:space="0" w:color="auto"/>
              <w:right w:val="dotted" w:sz="2" w:space="0" w:color="auto"/>
            </w:tcBorders>
            <w:vAlign w:val="center"/>
          </w:tcPr>
          <w:p w14:paraId="5A8D5386" w14:textId="77777777" w:rsidR="0077397E" w:rsidRPr="0077397E" w:rsidRDefault="0077397E" w:rsidP="00671A11">
            <w:pPr>
              <w:pStyle w:val="Tabletext0"/>
              <w:jc w:val="center"/>
              <w:rPr>
                <w:sz w:val="22"/>
              </w:rPr>
            </w:pPr>
            <w:r w:rsidRPr="0077397E">
              <w:rPr>
                <w:sz w:val="22"/>
              </w:rPr>
              <w:sym w:font="Wingdings" w:char="F0FC"/>
            </w:r>
          </w:p>
        </w:tc>
        <w:tc>
          <w:tcPr>
            <w:tcW w:w="1170" w:type="dxa"/>
            <w:tcBorders>
              <w:left w:val="dotted" w:sz="2" w:space="0" w:color="auto"/>
              <w:bottom w:val="dotted" w:sz="2" w:space="0" w:color="auto"/>
            </w:tcBorders>
            <w:vAlign w:val="center"/>
          </w:tcPr>
          <w:p w14:paraId="7ACA325D" w14:textId="77777777" w:rsidR="0077397E" w:rsidRPr="0077397E" w:rsidRDefault="0077397E" w:rsidP="00671A11">
            <w:pPr>
              <w:pStyle w:val="Tabletext0"/>
              <w:jc w:val="center"/>
              <w:rPr>
                <w:sz w:val="22"/>
              </w:rPr>
            </w:pPr>
            <w:r w:rsidRPr="0077397E">
              <w:rPr>
                <w:sz w:val="22"/>
              </w:rPr>
              <w:t>–</w:t>
            </w:r>
          </w:p>
        </w:tc>
      </w:tr>
      <w:tr w:rsidR="0077397E" w:rsidRPr="0077397E" w14:paraId="48205FE9" w14:textId="77777777" w:rsidTr="0077397E">
        <w:trPr>
          <w:trHeight w:val="122"/>
          <w:jc w:val="center"/>
        </w:trPr>
        <w:tc>
          <w:tcPr>
            <w:tcW w:w="1880" w:type="dxa"/>
            <w:vMerge/>
          </w:tcPr>
          <w:p w14:paraId="6F82E347" w14:textId="77777777" w:rsidR="0077397E" w:rsidRPr="0077397E" w:rsidRDefault="0077397E" w:rsidP="00671A11">
            <w:pPr>
              <w:pStyle w:val="Tabletext0"/>
              <w:rPr>
                <w:b/>
                <w:color w:val="263287"/>
                <w:sz w:val="22"/>
              </w:rPr>
            </w:pPr>
          </w:p>
        </w:tc>
        <w:tc>
          <w:tcPr>
            <w:tcW w:w="2890" w:type="dxa"/>
            <w:tcBorders>
              <w:top w:val="dotted" w:sz="2" w:space="0" w:color="auto"/>
              <w:bottom w:val="dotted" w:sz="2" w:space="0" w:color="auto"/>
              <w:right w:val="single" w:sz="4" w:space="0" w:color="auto"/>
            </w:tcBorders>
          </w:tcPr>
          <w:p w14:paraId="0B560D23" w14:textId="77777777" w:rsidR="0077397E" w:rsidRPr="0077397E" w:rsidRDefault="0077397E" w:rsidP="00671A11">
            <w:pPr>
              <w:pStyle w:val="Tabletext0"/>
              <w:rPr>
                <w:sz w:val="22"/>
              </w:rPr>
            </w:pPr>
            <w:r w:rsidRPr="0077397E">
              <w:rPr>
                <w:sz w:val="22"/>
              </w:rPr>
              <w:t>Myopathy including rhabdomyolysis</w:t>
            </w:r>
          </w:p>
        </w:tc>
        <w:tc>
          <w:tcPr>
            <w:tcW w:w="990" w:type="dxa"/>
            <w:tcBorders>
              <w:top w:val="dotted" w:sz="2" w:space="0" w:color="auto"/>
              <w:left w:val="single" w:sz="4" w:space="0" w:color="auto"/>
              <w:bottom w:val="dotted" w:sz="2" w:space="0" w:color="auto"/>
              <w:right w:val="dotted" w:sz="2" w:space="0" w:color="auto"/>
            </w:tcBorders>
            <w:vAlign w:val="center"/>
          </w:tcPr>
          <w:p w14:paraId="7F42B261" w14:textId="77777777" w:rsidR="0077397E" w:rsidRPr="0077397E" w:rsidRDefault="0077397E" w:rsidP="00671A11">
            <w:pPr>
              <w:pStyle w:val="Tabletext0"/>
              <w:jc w:val="center"/>
              <w:rPr>
                <w:sz w:val="22"/>
              </w:rPr>
            </w:pPr>
            <w:r w:rsidRPr="0077397E">
              <w:rPr>
                <w:sz w:val="22"/>
              </w:rPr>
              <w:sym w:font="Wingdings" w:char="F0FC"/>
            </w:r>
            <w:r w:rsidRPr="0077397E">
              <w:rPr>
                <w:sz w:val="22"/>
              </w:rPr>
              <w:t>*</w:t>
            </w:r>
          </w:p>
        </w:tc>
        <w:tc>
          <w:tcPr>
            <w:tcW w:w="1170" w:type="dxa"/>
            <w:tcBorders>
              <w:top w:val="dotted" w:sz="2" w:space="0" w:color="auto"/>
              <w:left w:val="dotted" w:sz="2" w:space="0" w:color="auto"/>
              <w:bottom w:val="dotted" w:sz="2" w:space="0" w:color="auto"/>
            </w:tcBorders>
            <w:vAlign w:val="center"/>
          </w:tcPr>
          <w:p w14:paraId="3CC23C0F" w14:textId="77777777" w:rsidR="0077397E" w:rsidRPr="0077397E" w:rsidRDefault="0077397E" w:rsidP="00671A11">
            <w:pPr>
              <w:pStyle w:val="Tabletext0"/>
              <w:jc w:val="center"/>
              <w:rPr>
                <w:sz w:val="22"/>
              </w:rPr>
            </w:pPr>
            <w:r w:rsidRPr="0077397E">
              <w:rPr>
                <w:sz w:val="22"/>
              </w:rPr>
              <w:sym w:font="Wingdings" w:char="F0FC"/>
            </w:r>
            <w:r w:rsidRPr="0077397E">
              <w:rPr>
                <w:sz w:val="22"/>
                <w:vertAlign w:val="superscript"/>
              </w:rPr>
              <w:t>†</w:t>
            </w:r>
          </w:p>
        </w:tc>
        <w:tc>
          <w:tcPr>
            <w:tcW w:w="990" w:type="dxa"/>
            <w:tcBorders>
              <w:top w:val="dotted" w:sz="2" w:space="0" w:color="auto"/>
              <w:left w:val="single" w:sz="4" w:space="0" w:color="auto"/>
              <w:bottom w:val="dotted" w:sz="2" w:space="0" w:color="auto"/>
              <w:right w:val="dotted" w:sz="2" w:space="0" w:color="auto"/>
            </w:tcBorders>
            <w:vAlign w:val="center"/>
          </w:tcPr>
          <w:p w14:paraId="0286D901" w14:textId="77777777" w:rsidR="0077397E" w:rsidRPr="0077397E" w:rsidRDefault="0077397E" w:rsidP="00671A11">
            <w:pPr>
              <w:pStyle w:val="Tabletext0"/>
              <w:jc w:val="center"/>
              <w:rPr>
                <w:sz w:val="22"/>
              </w:rPr>
            </w:pPr>
            <w:r w:rsidRPr="0077397E">
              <w:rPr>
                <w:sz w:val="22"/>
              </w:rPr>
              <w:sym w:font="Wingdings" w:char="F0FC"/>
            </w:r>
          </w:p>
        </w:tc>
        <w:tc>
          <w:tcPr>
            <w:tcW w:w="1170" w:type="dxa"/>
            <w:tcBorders>
              <w:top w:val="dotted" w:sz="2" w:space="0" w:color="auto"/>
              <w:left w:val="dotted" w:sz="2" w:space="0" w:color="auto"/>
              <w:bottom w:val="dotted" w:sz="2" w:space="0" w:color="auto"/>
            </w:tcBorders>
            <w:vAlign w:val="center"/>
          </w:tcPr>
          <w:p w14:paraId="0A3FAEC5" w14:textId="77777777" w:rsidR="0077397E" w:rsidRPr="0077397E" w:rsidRDefault="0077397E" w:rsidP="00671A11">
            <w:pPr>
              <w:pStyle w:val="Tabletext0"/>
              <w:jc w:val="center"/>
              <w:rPr>
                <w:sz w:val="22"/>
              </w:rPr>
            </w:pPr>
            <w:r w:rsidRPr="0077397E">
              <w:rPr>
                <w:sz w:val="22"/>
              </w:rPr>
              <w:t>–</w:t>
            </w:r>
          </w:p>
        </w:tc>
      </w:tr>
      <w:tr w:rsidR="0077397E" w:rsidRPr="0077397E" w14:paraId="27A50A5B" w14:textId="77777777" w:rsidTr="0077397E">
        <w:trPr>
          <w:trHeight w:val="178"/>
          <w:jc w:val="center"/>
        </w:trPr>
        <w:tc>
          <w:tcPr>
            <w:tcW w:w="1880" w:type="dxa"/>
          </w:tcPr>
          <w:p w14:paraId="1D0C3BCA" w14:textId="77777777" w:rsidR="0077397E" w:rsidRPr="0077397E" w:rsidRDefault="0077397E" w:rsidP="00671A11">
            <w:pPr>
              <w:pStyle w:val="Tabletext0"/>
              <w:rPr>
                <w:b/>
                <w:color w:val="263287"/>
                <w:sz w:val="22"/>
              </w:rPr>
            </w:pPr>
            <w:r w:rsidRPr="0077397E">
              <w:rPr>
                <w:b/>
                <w:color w:val="263287"/>
                <w:sz w:val="22"/>
              </w:rPr>
              <w:t>Missing information</w:t>
            </w:r>
          </w:p>
        </w:tc>
        <w:tc>
          <w:tcPr>
            <w:tcW w:w="2890" w:type="dxa"/>
            <w:tcBorders>
              <w:top w:val="single" w:sz="4" w:space="0" w:color="auto"/>
              <w:bottom w:val="single" w:sz="8" w:space="0" w:color="auto"/>
              <w:right w:val="single" w:sz="4" w:space="0" w:color="auto"/>
            </w:tcBorders>
          </w:tcPr>
          <w:p w14:paraId="795E69E1" w14:textId="77777777" w:rsidR="0077397E" w:rsidRPr="0077397E" w:rsidRDefault="0077397E" w:rsidP="00671A11">
            <w:pPr>
              <w:pStyle w:val="Tabletext0"/>
              <w:rPr>
                <w:sz w:val="22"/>
              </w:rPr>
            </w:pPr>
            <w:r w:rsidRPr="0077397E">
              <w:rPr>
                <w:sz w:val="22"/>
              </w:rPr>
              <w:t>Long term safety</w:t>
            </w:r>
          </w:p>
        </w:tc>
        <w:tc>
          <w:tcPr>
            <w:tcW w:w="990" w:type="dxa"/>
            <w:tcBorders>
              <w:top w:val="single" w:sz="4" w:space="0" w:color="auto"/>
              <w:left w:val="single" w:sz="4" w:space="0" w:color="auto"/>
              <w:bottom w:val="single" w:sz="8" w:space="0" w:color="auto"/>
              <w:right w:val="dotted" w:sz="2" w:space="0" w:color="auto"/>
            </w:tcBorders>
            <w:vAlign w:val="center"/>
          </w:tcPr>
          <w:p w14:paraId="3610D11A" w14:textId="77777777" w:rsidR="0077397E" w:rsidRPr="0077397E" w:rsidRDefault="0077397E" w:rsidP="00671A11">
            <w:pPr>
              <w:pStyle w:val="Tabletext0"/>
              <w:jc w:val="center"/>
              <w:rPr>
                <w:sz w:val="22"/>
              </w:rPr>
            </w:pPr>
            <w:r w:rsidRPr="0077397E">
              <w:rPr>
                <w:sz w:val="22"/>
              </w:rPr>
              <w:sym w:font="Wingdings" w:char="F0FC"/>
            </w:r>
          </w:p>
        </w:tc>
        <w:tc>
          <w:tcPr>
            <w:tcW w:w="1170" w:type="dxa"/>
            <w:tcBorders>
              <w:top w:val="single" w:sz="4" w:space="0" w:color="auto"/>
              <w:left w:val="dotted" w:sz="2" w:space="0" w:color="auto"/>
              <w:bottom w:val="single" w:sz="8" w:space="0" w:color="auto"/>
            </w:tcBorders>
            <w:vAlign w:val="center"/>
          </w:tcPr>
          <w:p w14:paraId="3E32AFBB" w14:textId="77777777" w:rsidR="0077397E" w:rsidRPr="0077397E" w:rsidRDefault="0077397E" w:rsidP="00671A11">
            <w:pPr>
              <w:pStyle w:val="Tabletext0"/>
              <w:jc w:val="center"/>
              <w:rPr>
                <w:sz w:val="22"/>
              </w:rPr>
            </w:pPr>
            <w:r w:rsidRPr="0077397E">
              <w:rPr>
                <w:sz w:val="22"/>
              </w:rPr>
              <w:sym w:font="Wingdings" w:char="F0FC"/>
            </w:r>
            <w:r w:rsidRPr="0077397E">
              <w:rPr>
                <w:sz w:val="22"/>
                <w:vertAlign w:val="superscript"/>
              </w:rPr>
              <w:t>†</w:t>
            </w:r>
          </w:p>
        </w:tc>
        <w:tc>
          <w:tcPr>
            <w:tcW w:w="990" w:type="dxa"/>
            <w:tcBorders>
              <w:top w:val="single" w:sz="4" w:space="0" w:color="auto"/>
              <w:left w:val="single" w:sz="4" w:space="0" w:color="auto"/>
              <w:bottom w:val="single" w:sz="8" w:space="0" w:color="auto"/>
              <w:right w:val="dotted" w:sz="2" w:space="0" w:color="auto"/>
            </w:tcBorders>
            <w:vAlign w:val="center"/>
          </w:tcPr>
          <w:p w14:paraId="398C783E" w14:textId="77777777" w:rsidR="0077397E" w:rsidRPr="0077397E" w:rsidRDefault="0077397E" w:rsidP="00671A11">
            <w:pPr>
              <w:pStyle w:val="Tabletext0"/>
              <w:jc w:val="center"/>
              <w:rPr>
                <w:sz w:val="22"/>
              </w:rPr>
            </w:pPr>
            <w:r w:rsidRPr="0077397E">
              <w:rPr>
                <w:sz w:val="22"/>
              </w:rPr>
              <w:t>–</w:t>
            </w:r>
          </w:p>
        </w:tc>
        <w:tc>
          <w:tcPr>
            <w:tcW w:w="1170" w:type="dxa"/>
            <w:tcBorders>
              <w:top w:val="single" w:sz="4" w:space="0" w:color="auto"/>
              <w:left w:val="dotted" w:sz="2" w:space="0" w:color="auto"/>
              <w:bottom w:val="single" w:sz="8" w:space="0" w:color="auto"/>
            </w:tcBorders>
            <w:vAlign w:val="center"/>
          </w:tcPr>
          <w:p w14:paraId="5CEDBE29" w14:textId="77777777" w:rsidR="0077397E" w:rsidRPr="0077397E" w:rsidRDefault="0077397E" w:rsidP="00671A11">
            <w:pPr>
              <w:pStyle w:val="Tabletext0"/>
              <w:jc w:val="center"/>
              <w:rPr>
                <w:sz w:val="22"/>
              </w:rPr>
            </w:pPr>
            <w:r w:rsidRPr="0077397E">
              <w:rPr>
                <w:sz w:val="22"/>
              </w:rPr>
              <w:t>–</w:t>
            </w:r>
          </w:p>
        </w:tc>
      </w:tr>
    </w:tbl>
    <w:p w14:paraId="4417C12F" w14:textId="77777777" w:rsidR="00880C46" w:rsidRDefault="00880C46" w:rsidP="00C82F86">
      <w:pPr>
        <w:pStyle w:val="TableDescription"/>
      </w:pPr>
      <w:bookmarkStart w:id="47" w:name="_Toc103679299"/>
      <w:r>
        <w:t xml:space="preserve">*Follow up targeted </w:t>
      </w:r>
      <w:r w:rsidRPr="00C82F86">
        <w:t>questionnaires</w:t>
      </w:r>
    </w:p>
    <w:p w14:paraId="5E5AFCE4" w14:textId="234EC229" w:rsidR="00880C46" w:rsidRDefault="00880C46" w:rsidP="00C82F86">
      <w:pPr>
        <w:pStyle w:val="TableDescription"/>
      </w:pPr>
      <w:r>
        <w:t xml:space="preserve">† Studies CLIN-60190-454, </w:t>
      </w:r>
      <w:r w:rsidRPr="00C82F86">
        <w:t>GFT505B</w:t>
      </w:r>
      <w:r>
        <w:t>-319-1 and study CLIN-60190-461</w:t>
      </w:r>
    </w:p>
    <w:p w14:paraId="63A4A858" w14:textId="15B41B6D" w:rsidR="00880C46" w:rsidRDefault="00880C46" w:rsidP="00C82F86">
      <w:r>
        <w:t>The summary of safety concerns in the ASA is consistent with the approved EU-RMP and is satisfactory.</w:t>
      </w:r>
    </w:p>
    <w:p w14:paraId="3EDB18ED" w14:textId="6E6C1E7D" w:rsidR="00880C46" w:rsidRDefault="00880C46" w:rsidP="00C82F86">
      <w:r>
        <w:t>Routine and additional pharmacovigilance activities are proposed in both the approved EU-</w:t>
      </w:r>
      <w:proofErr w:type="gramStart"/>
      <w:r>
        <w:t>RMP</w:t>
      </w:r>
      <w:proofErr w:type="gramEnd"/>
      <w:r>
        <w:t xml:space="preserve"> and the ASA and they align. The pharmacovigilance plan is satisfactory.</w:t>
      </w:r>
    </w:p>
    <w:p w14:paraId="53F5F02E" w14:textId="1290B48C" w:rsidR="00880C46" w:rsidRDefault="00880C46" w:rsidP="00C82F86">
      <w:r>
        <w:t>Routine risk minimisation activities only are proposed which is sufficient to manage the safety concerns of this oral medicine.</w:t>
      </w:r>
    </w:p>
    <w:p w14:paraId="74A4F87F" w14:textId="599F6BC3" w:rsidR="00C22214" w:rsidRDefault="00C22214" w:rsidP="00C82F86">
      <w:pPr>
        <w:pStyle w:val="Heading3"/>
      </w:pPr>
      <w:bookmarkStart w:id="48" w:name="_Toc206075828"/>
      <w:r>
        <w:t xml:space="preserve">Risk-benefit </w:t>
      </w:r>
      <w:r w:rsidRPr="00C82F86">
        <w:t>analysis</w:t>
      </w:r>
      <w:bookmarkEnd w:id="45"/>
      <w:bookmarkEnd w:id="46"/>
      <w:bookmarkEnd w:id="47"/>
      <w:bookmarkEnd w:id="48"/>
    </w:p>
    <w:p w14:paraId="7FF4DD8B" w14:textId="77777777" w:rsidR="00277890" w:rsidRDefault="00277890" w:rsidP="00C82F86">
      <w:pPr>
        <w:pStyle w:val="Heading4"/>
      </w:pPr>
      <w:bookmarkStart w:id="49" w:name="_Toc206075829"/>
      <w:r w:rsidRPr="00C82F86">
        <w:t>Indication</w:t>
      </w:r>
      <w:bookmarkEnd w:id="49"/>
    </w:p>
    <w:p w14:paraId="6FE41155" w14:textId="39C7EA79" w:rsidR="00277890" w:rsidRDefault="004F2BE3" w:rsidP="00C82F86">
      <w:r>
        <w:t>T</w:t>
      </w:r>
      <w:r w:rsidR="00277890">
        <w:t>he indication “for the treatment of primary biliary cholangitis (PBC) in combination with ursodeoxycholic acid (UDCA) in adults with an inadequate response to UDCA” is appropriate, however</w:t>
      </w:r>
      <w:r>
        <w:t>,</w:t>
      </w:r>
      <w:r w:rsidR="00277890">
        <w:t xml:space="preserve"> the request for </w:t>
      </w:r>
      <w:proofErr w:type="spellStart"/>
      <w:r w:rsidR="00277890">
        <w:t>elafibranor</w:t>
      </w:r>
      <w:proofErr w:type="spellEnd"/>
      <w:r w:rsidR="00277890">
        <w:t xml:space="preserve"> as “monotherapy in adults unable to tolerate UDCA” is currently not approvable. This is due to the small number of subjects included in the pivotal phase 3 study on </w:t>
      </w:r>
      <w:proofErr w:type="spellStart"/>
      <w:r w:rsidR="00277890">
        <w:t>elafibranor</w:t>
      </w:r>
      <w:proofErr w:type="spellEnd"/>
      <w:r w:rsidR="00277890">
        <w:t xml:space="preserve"> monotherapy. There were 8 participants in Study 319-1 who received monotherapy at baseline, 6 in the </w:t>
      </w:r>
      <w:proofErr w:type="spellStart"/>
      <w:r w:rsidR="00277890">
        <w:t>elafibranor</w:t>
      </w:r>
      <w:proofErr w:type="spellEnd"/>
      <w:r w:rsidR="00277890">
        <w:t xml:space="preserve"> group, and 2 in the placebo group. Among the 8 participants, 1 of 6 (16.7%) in the </w:t>
      </w:r>
      <w:proofErr w:type="spellStart"/>
      <w:r w:rsidR="00277890">
        <w:t>elafibranor</w:t>
      </w:r>
      <w:proofErr w:type="spellEnd"/>
      <w:r w:rsidR="00277890">
        <w:t xml:space="preserve"> group and 0 of 2 participants in the placebo group met the primary efficacy endpoint of cholestasis response. Thus, it is uncertain whether monotherapy alone will have the same magnitude of benefit in a subgroup of </w:t>
      </w:r>
      <w:proofErr w:type="gramStart"/>
      <w:r w:rsidR="00277890">
        <w:t>patients</w:t>
      </w:r>
      <w:proofErr w:type="gramEnd"/>
      <w:r w:rsidR="00277890">
        <w:t xml:space="preserve"> intolerant of UDCA. However, it is recognised that there is a high unmet need in PBC patients who are intolerant of UDCA.</w:t>
      </w:r>
    </w:p>
    <w:p w14:paraId="2E0D8546" w14:textId="77777777" w:rsidR="00277890" w:rsidRDefault="00277890" w:rsidP="00C82F86">
      <w:pPr>
        <w:pStyle w:val="Heading4"/>
      </w:pPr>
      <w:bookmarkStart w:id="50" w:name="_Toc206075830"/>
      <w:r w:rsidRPr="00C82F86">
        <w:lastRenderedPageBreak/>
        <w:t>Efficacy</w:t>
      </w:r>
      <w:bookmarkEnd w:id="50"/>
    </w:p>
    <w:p w14:paraId="57BEAA4A" w14:textId="56D62633" w:rsidR="00277890" w:rsidRDefault="00277890" w:rsidP="00C82F86">
      <w:r>
        <w:t xml:space="preserve">Study 319-1 is a multicentre, multinational, randomised, double-blind, placebo-controlled, parallel-group phase III study followed by an open-label LTE evaluating the efficacy and safety of once daily administration of </w:t>
      </w:r>
      <w:proofErr w:type="spellStart"/>
      <w:r>
        <w:t>elafibranor</w:t>
      </w:r>
      <w:proofErr w:type="spellEnd"/>
      <w:r>
        <w:t xml:space="preserve"> 80 mg in participants with PBC with inadequate response or intolerance to UDCA.</w:t>
      </w:r>
    </w:p>
    <w:p w14:paraId="4897CD3F" w14:textId="6F4B66D4" w:rsidR="00277890" w:rsidRDefault="00277890" w:rsidP="00C82F86">
      <w:r>
        <w:t xml:space="preserve">The study achieved the primary endpoint (composite biochemical endpoint i.e. ALP &lt;1.67 x ULN and TB ≤ULN and ALP decrease ≥15%) at Week 52 with 50.9% (55/108) of responders in the </w:t>
      </w:r>
      <w:proofErr w:type="spellStart"/>
      <w:r>
        <w:t>elafibranor</w:t>
      </w:r>
      <w:proofErr w:type="spellEnd"/>
      <w:r>
        <w:t xml:space="preserve"> group compared to 3.8% (2/53) of responders in the placebo group, resulting in a statistically significant estimated difference of 47.2% (95% CI: 32.0; 56.9) favouring the </w:t>
      </w:r>
      <w:proofErr w:type="spellStart"/>
      <w:r>
        <w:t>elafibranor</w:t>
      </w:r>
      <w:proofErr w:type="spellEnd"/>
      <w:r>
        <w:t xml:space="preserve"> group. The estimated OR (</w:t>
      </w:r>
      <w:proofErr w:type="spellStart"/>
      <w:r>
        <w:t>elafibranor</w:t>
      </w:r>
      <w:proofErr w:type="spellEnd"/>
      <w:r>
        <w:t xml:space="preserve"> versus placebo) was statistically significant in favour of </w:t>
      </w:r>
      <w:proofErr w:type="spellStart"/>
      <w:r>
        <w:t>elafibranor</w:t>
      </w:r>
      <w:proofErr w:type="spellEnd"/>
      <w:r>
        <w:t xml:space="preserve"> (OR=37.6 [95% CI: 7.6; 302.2]; p&lt;0.0001). The results are robust as demonstrated by various sensitivity and supplemental analyses. The first key secondary endpoint for ALP normalisation at week 52 also reached statistical significance in favour of </w:t>
      </w:r>
      <w:proofErr w:type="spellStart"/>
      <w:r>
        <w:t>elafibranor</w:t>
      </w:r>
      <w:proofErr w:type="spellEnd"/>
      <w:r>
        <w:t xml:space="preserve">. </w:t>
      </w:r>
      <w:r w:rsidR="00590632">
        <w:t>However,</w:t>
      </w:r>
      <w:r>
        <w:t xml:space="preserve"> the second and third key secondary endpoints aimed at evaluating </w:t>
      </w:r>
      <w:proofErr w:type="spellStart"/>
      <w:r>
        <w:t>pruritis</w:t>
      </w:r>
      <w:proofErr w:type="spellEnd"/>
      <w:r>
        <w:t xml:space="preserve"> scores did not reach statistical significance.</w:t>
      </w:r>
    </w:p>
    <w:p w14:paraId="02A9C71A" w14:textId="51D3E556" w:rsidR="00277890" w:rsidRDefault="00277890" w:rsidP="00C82F86">
      <w:r>
        <w:t>While a duration of 1 year was deemed appropriate when discussed with the EMA at the start of the study, the latest EMA guidance recommends a study duration of 2 years.</w:t>
      </w:r>
      <w:r w:rsidR="00AA22D0">
        <w:rPr>
          <w:rStyle w:val="FootnoteReference"/>
        </w:rPr>
        <w:footnoteReference w:id="18"/>
      </w:r>
    </w:p>
    <w:p w14:paraId="4647E26C" w14:textId="74BA1A1B" w:rsidR="00277890" w:rsidRDefault="00277890" w:rsidP="00C82F86">
      <w:r>
        <w:t>The primary endpoint was the response to treatment at week 52, defined as a composite biochemical endpoint i.e. ALP &lt;1.67 x ULN and TB ≤ULN and ALP decrease ≥15%. In the latest EMA guidance, the actual clinical relevance of such endpoint and the predictive value on clinical benefit are uncertain.</w:t>
      </w:r>
      <w:r w:rsidR="00AA22D0">
        <w:rPr>
          <w:rStyle w:val="FootnoteReference"/>
        </w:rPr>
        <w:footnoteReference w:id="19"/>
      </w:r>
    </w:p>
    <w:p w14:paraId="0CA54374" w14:textId="77777777" w:rsidR="00277890" w:rsidRDefault="00277890" w:rsidP="00C82F86">
      <w:pPr>
        <w:pStyle w:val="Heading4"/>
      </w:pPr>
      <w:bookmarkStart w:id="51" w:name="_Toc206075831"/>
      <w:r w:rsidRPr="00C82F86">
        <w:t>Safety</w:t>
      </w:r>
      <w:bookmarkEnd w:id="51"/>
    </w:p>
    <w:p w14:paraId="3B197F6D" w14:textId="4A4EDCA7" w:rsidR="00277890" w:rsidRDefault="00277890" w:rsidP="00C82F86">
      <w:r>
        <w:t xml:space="preserve">The pivotal and supportive studies have demonstrated that the safety profile of </w:t>
      </w:r>
      <w:proofErr w:type="spellStart"/>
      <w:r>
        <w:t>elafibranor</w:t>
      </w:r>
      <w:proofErr w:type="spellEnd"/>
      <w:r>
        <w:t xml:space="preserve"> 80 mg once daily is comparable to that of placebo once daily for a treatment period up to one year. Relevant issues related to the short-term safety profile of </w:t>
      </w:r>
      <w:proofErr w:type="spellStart"/>
      <w:r>
        <w:t>elafibranor</w:t>
      </w:r>
      <w:proofErr w:type="spellEnd"/>
      <w:r>
        <w:t xml:space="preserve"> are gastrointestinal events, possible higher risk of liver events, increased serum creatinine levels and myopathies although no clear causal relationship is evident. The long-term safety profile of </w:t>
      </w:r>
      <w:proofErr w:type="spellStart"/>
      <w:r>
        <w:t>elafibranor</w:t>
      </w:r>
      <w:proofErr w:type="spellEnd"/>
      <w:r>
        <w:t xml:space="preserve"> in PBC patients is yet unknown and the results of the confirmatory study (CLIN-60190-454) would be informative of this aspect.</w:t>
      </w:r>
    </w:p>
    <w:p w14:paraId="40E74D7C" w14:textId="557FB722" w:rsidR="00277890" w:rsidRDefault="00277890" w:rsidP="00C82F86">
      <w:pPr>
        <w:pStyle w:val="Heading4"/>
      </w:pPr>
      <w:bookmarkStart w:id="52" w:name="_Toc206075832"/>
      <w:r>
        <w:t xml:space="preserve">Proposed conditions of </w:t>
      </w:r>
      <w:r w:rsidRPr="00C82F86">
        <w:t>registration</w:t>
      </w:r>
      <w:bookmarkEnd w:id="52"/>
    </w:p>
    <w:p w14:paraId="4D3CB74F" w14:textId="77777777" w:rsidR="00277890" w:rsidRDefault="00277890" w:rsidP="00C82F86">
      <w:r>
        <w:t xml:space="preserve">Additional conditions of registration are proposed to support continued approval of </w:t>
      </w:r>
      <w:proofErr w:type="spellStart"/>
      <w:r>
        <w:t>elafibranor</w:t>
      </w:r>
      <w:proofErr w:type="spellEnd"/>
      <w:r>
        <w:t xml:space="preserve"> for the proposed indication:</w:t>
      </w:r>
    </w:p>
    <w:p w14:paraId="2D5124CC" w14:textId="586822BB" w:rsidR="00277890" w:rsidRDefault="00277890" w:rsidP="00C82F86">
      <w:pPr>
        <w:pStyle w:val="ListBullet"/>
      </w:pPr>
      <w:r>
        <w:t xml:space="preserve">The verification and </w:t>
      </w:r>
      <w:r w:rsidRPr="00C82F86">
        <w:t>description</w:t>
      </w:r>
      <w:r>
        <w:t xml:space="preserve"> of benefit with a favourable benefit-risk balance in confirmatory trial(s).</w:t>
      </w:r>
    </w:p>
    <w:p w14:paraId="40E96411" w14:textId="2E094A8F" w:rsidR="00277890" w:rsidRDefault="00277890" w:rsidP="00C82F86">
      <w:pPr>
        <w:pStyle w:val="Heading4"/>
      </w:pPr>
      <w:bookmarkStart w:id="53" w:name="_Toc206075833"/>
      <w:r w:rsidRPr="00C82F86">
        <w:t>Conclusions</w:t>
      </w:r>
      <w:bookmarkEnd w:id="53"/>
    </w:p>
    <w:p w14:paraId="54B0B30C" w14:textId="77777777" w:rsidR="00277890" w:rsidRDefault="00277890" w:rsidP="00C82F86">
      <w:r>
        <w:t xml:space="preserve">Pending advice from the Advisory Committee for Medicines, I propose to approve the registration of </w:t>
      </w:r>
      <w:proofErr w:type="spellStart"/>
      <w:r>
        <w:t>elafibranor</w:t>
      </w:r>
      <w:proofErr w:type="spellEnd"/>
      <w:r>
        <w:t xml:space="preserve"> for the following indication, subject to conditions as recommended by the clinical and risk management plan evaluators and agreement on an appropriate PI:</w:t>
      </w:r>
    </w:p>
    <w:p w14:paraId="19D1A928" w14:textId="7D255A15" w:rsidR="00277890" w:rsidRDefault="00277890" w:rsidP="00C82F86">
      <w:r>
        <w:lastRenderedPageBreak/>
        <w:t>“</w:t>
      </w:r>
      <w:r w:rsidR="006029C9">
        <w:t>IQIRVO</w:t>
      </w:r>
      <w:r>
        <w:t xml:space="preserve"> is indicated for the treatment of primary biliary cholangitis (PBC) in combination with ursodeoxycholic acid (UDCA) in adults with an inadequate response to UDCA”.</w:t>
      </w:r>
    </w:p>
    <w:p w14:paraId="04EC5CCF" w14:textId="1B53162F" w:rsidR="00277890" w:rsidRPr="00277890" w:rsidRDefault="00277890" w:rsidP="00C82F86">
      <w:r>
        <w:t>I am inclined to request a condition of registration for the sponsor to submit the confirmatory study, CLIN-60190-454, upon completion. There are no outstanding concerns from a quality perspective, other than GMP clearance at one manufacturing site.</w:t>
      </w:r>
    </w:p>
    <w:p w14:paraId="318CFABC" w14:textId="77777777" w:rsidR="00C22214" w:rsidRPr="00F73346" w:rsidRDefault="00C22214" w:rsidP="00C82F86">
      <w:pPr>
        <w:pStyle w:val="Heading4"/>
      </w:pPr>
      <w:bookmarkStart w:id="54" w:name="_Toc98931936"/>
      <w:bookmarkStart w:id="55" w:name="_Toc247691532"/>
      <w:bookmarkStart w:id="56" w:name="_Toc314842516"/>
      <w:bookmarkStart w:id="57" w:name="_Toc206075834"/>
      <w:r w:rsidRPr="00F73346">
        <w:t xml:space="preserve">Advisory Committee </w:t>
      </w:r>
      <w:r w:rsidRPr="00C82F86">
        <w:t>considerations</w:t>
      </w:r>
      <w:bookmarkEnd w:id="54"/>
      <w:bookmarkEnd w:id="57"/>
    </w:p>
    <w:p w14:paraId="087BB9CB" w14:textId="4E1393AB" w:rsidR="00C22214" w:rsidRDefault="00C22214" w:rsidP="00C82F86">
      <w:r w:rsidRPr="00BD5DBD">
        <w:t xml:space="preserve">The </w:t>
      </w:r>
      <w:hyperlink r:id="rId28" w:history="1">
        <w:r w:rsidRPr="00BD5DBD">
          <w:rPr>
            <w:rStyle w:val="Hyperlink"/>
            <w:szCs w:val="22"/>
          </w:rPr>
          <w:t>Advisory Committee on Medicines (ACM)</w:t>
        </w:r>
      </w:hyperlink>
      <w:r w:rsidR="00277890" w:rsidRPr="00277890">
        <w:rPr>
          <w:color w:val="000000" w:themeColor="text1"/>
        </w:rPr>
        <w:t>,</w:t>
      </w:r>
      <w:r w:rsidR="00277890">
        <w:rPr>
          <w:color w:val="007099"/>
        </w:rPr>
        <w:t xml:space="preserve"> </w:t>
      </w:r>
      <w:r w:rsidRPr="00BD5DBD">
        <w:t>having considered the evaluations and the Delegate’s overview,</w:t>
      </w:r>
      <w:r w:rsidR="00ED3C0B">
        <w:rPr>
          <w:rStyle w:val="FootnoteReference"/>
          <w:bCs/>
          <w:szCs w:val="22"/>
        </w:rPr>
        <w:footnoteReference w:id="20"/>
      </w:r>
      <w:r w:rsidRPr="00BD5DBD">
        <w:t xml:space="preserve"> as well as the sponsor’s response to these documents, advised the following.</w:t>
      </w:r>
    </w:p>
    <w:p w14:paraId="054CDD76" w14:textId="1098A038" w:rsidR="002912CA" w:rsidRPr="00C82F86" w:rsidRDefault="002912CA" w:rsidP="00C82F86">
      <w:pPr>
        <w:pStyle w:val="Numberbullet0"/>
        <w:rPr>
          <w:b/>
          <w:bCs/>
          <w:i/>
          <w:iCs/>
        </w:rPr>
      </w:pPr>
      <w:r w:rsidRPr="00C82F86">
        <w:rPr>
          <w:b/>
          <w:bCs/>
          <w:i/>
          <w:iCs/>
        </w:rPr>
        <w:t xml:space="preserve">What is the ACM’s advice regarding the proposal by the sponsor to include </w:t>
      </w:r>
      <w:proofErr w:type="spellStart"/>
      <w:r w:rsidRPr="00C82F86">
        <w:rPr>
          <w:b/>
          <w:bCs/>
          <w:i/>
          <w:iCs/>
        </w:rPr>
        <w:t>elafibranor</w:t>
      </w:r>
      <w:proofErr w:type="spellEnd"/>
      <w:r w:rsidRPr="00C82F86">
        <w:rPr>
          <w:b/>
          <w:bCs/>
          <w:i/>
          <w:iCs/>
        </w:rPr>
        <w:t xml:space="preserve"> as monotherapy in adults unable to tolerate UDCA in the indication?</w:t>
      </w:r>
    </w:p>
    <w:p w14:paraId="36613D18" w14:textId="756E1C18" w:rsidR="002912CA" w:rsidRPr="002912CA" w:rsidRDefault="002912CA" w:rsidP="00C82F86">
      <w:r w:rsidRPr="002912CA">
        <w:t xml:space="preserve">There is a small number of subjects included in the pivotal phase 3 study 319-1 on </w:t>
      </w:r>
      <w:proofErr w:type="spellStart"/>
      <w:r w:rsidRPr="002912CA">
        <w:t>elafibranor</w:t>
      </w:r>
      <w:proofErr w:type="spellEnd"/>
      <w:r w:rsidRPr="002912CA">
        <w:t xml:space="preserve"> monotherapy. There were 8 participants who received monotherapy at baseline, 6 in the </w:t>
      </w:r>
      <w:proofErr w:type="spellStart"/>
      <w:r w:rsidRPr="002912CA">
        <w:t>elafibranor</w:t>
      </w:r>
      <w:proofErr w:type="spellEnd"/>
      <w:r w:rsidRPr="002912CA">
        <w:t xml:space="preserve"> group, and 2 in the placebo group. Among the 8</w:t>
      </w:r>
      <w:r>
        <w:t xml:space="preserve"> </w:t>
      </w:r>
      <w:r w:rsidRPr="002912CA">
        <w:t xml:space="preserve">participants, 1 of 6 (16.7%) in the </w:t>
      </w:r>
      <w:proofErr w:type="spellStart"/>
      <w:r w:rsidRPr="002912CA">
        <w:t>elafibranor</w:t>
      </w:r>
      <w:proofErr w:type="spellEnd"/>
      <w:r w:rsidRPr="002912CA">
        <w:t xml:space="preserve"> group and 0 of 2 participants in the placebo group met the primary efficacy endpoint of cholestasis response.</w:t>
      </w:r>
    </w:p>
    <w:p w14:paraId="4B719184" w14:textId="54F79890" w:rsidR="002912CA" w:rsidRPr="002912CA" w:rsidRDefault="002912CA" w:rsidP="00C82F86">
      <w:r w:rsidRPr="002912CA">
        <w:t xml:space="preserve">The ACM advised that it would be appropriate for the indication for </w:t>
      </w:r>
      <w:r w:rsidR="006029C9">
        <w:t>IQIRVO</w:t>
      </w:r>
      <w:r w:rsidRPr="002912CA">
        <w:t xml:space="preserve"> to include </w:t>
      </w:r>
      <w:proofErr w:type="spellStart"/>
      <w:r w:rsidRPr="002912CA">
        <w:t>elafibranor</w:t>
      </w:r>
      <w:proofErr w:type="spellEnd"/>
      <w:r w:rsidRPr="002912CA">
        <w:t xml:space="preserve"> monotherapy in adults unable to tolerate UDCA.</w:t>
      </w:r>
    </w:p>
    <w:p w14:paraId="5EE85FF3" w14:textId="77777777" w:rsidR="002912CA" w:rsidRPr="002912CA" w:rsidRDefault="002912CA" w:rsidP="00C82F86">
      <w:r w:rsidRPr="002912CA">
        <w:t xml:space="preserve">While UDCA is generally well tolerated, there is a very small group of patients who are unable to tolerate UDCA due to GI disturbance, paradoxical worsening of pruritus, or allergy. Response to </w:t>
      </w:r>
      <w:proofErr w:type="spellStart"/>
      <w:r w:rsidRPr="002912CA">
        <w:t>elafibranor</w:t>
      </w:r>
      <w:proofErr w:type="spellEnd"/>
      <w:r w:rsidRPr="002912CA">
        <w:t xml:space="preserve"> would be expected to be similar for UDCA-tolerant patients and UDCA-intolerant patients.</w:t>
      </w:r>
    </w:p>
    <w:p w14:paraId="13B5D5CE" w14:textId="5424E750" w:rsidR="002912CA" w:rsidRPr="00C82F86" w:rsidRDefault="002912CA" w:rsidP="00C82F86">
      <w:pPr>
        <w:pStyle w:val="Numberbullet0"/>
        <w:rPr>
          <w:b/>
          <w:bCs/>
          <w:i/>
          <w:iCs/>
        </w:rPr>
      </w:pPr>
      <w:r w:rsidRPr="00C82F86">
        <w:rPr>
          <w:b/>
          <w:bCs/>
          <w:i/>
          <w:iCs/>
        </w:rPr>
        <w:t xml:space="preserve">What is the ACM’s viewpoint regarding the usefulness of requesting the sponsor to submit the </w:t>
      </w:r>
      <w:proofErr w:type="gramStart"/>
      <w:r w:rsidRPr="00C82F86">
        <w:rPr>
          <w:b/>
          <w:bCs/>
          <w:i/>
          <w:iCs/>
        </w:rPr>
        <w:t>final results</w:t>
      </w:r>
      <w:proofErr w:type="gramEnd"/>
      <w:r w:rsidRPr="00C82F86">
        <w:rPr>
          <w:b/>
          <w:bCs/>
          <w:i/>
          <w:iCs/>
        </w:rPr>
        <w:t xml:space="preserve"> of the confirmatory phase III study (CLIN-60190-454) to the TGA for review upon completion to support continued approval? The confirmatory study has been requested by the EMA and the FDA for </w:t>
      </w:r>
      <w:proofErr w:type="spellStart"/>
      <w:r w:rsidRPr="00C82F86">
        <w:rPr>
          <w:b/>
          <w:bCs/>
          <w:i/>
          <w:iCs/>
        </w:rPr>
        <w:t>elafibranor</w:t>
      </w:r>
      <w:proofErr w:type="spellEnd"/>
      <w:r w:rsidRPr="00C82F86">
        <w:rPr>
          <w:b/>
          <w:bCs/>
          <w:i/>
          <w:iCs/>
        </w:rPr>
        <w:t xml:space="preserve"> to attain full marketing authorisation in these jurisdictions (currently granted conditional marketing authorisation only).</w:t>
      </w:r>
    </w:p>
    <w:p w14:paraId="41D80239" w14:textId="77777777" w:rsidR="002912CA" w:rsidRPr="002912CA" w:rsidRDefault="002912CA" w:rsidP="00C82F86">
      <w:r w:rsidRPr="002912CA">
        <w:t xml:space="preserve">The ACM’s viewpoint was that the available efficacy data shows </w:t>
      </w:r>
      <w:proofErr w:type="spellStart"/>
      <w:r w:rsidRPr="002912CA">
        <w:t>elafibranor</w:t>
      </w:r>
      <w:proofErr w:type="spellEnd"/>
      <w:r w:rsidRPr="002912CA">
        <w:t xml:space="preserve"> as effective in the pivotal phase III clinical trial at improving recognised outcomes in PBC.</w:t>
      </w:r>
    </w:p>
    <w:p w14:paraId="16DA1C00" w14:textId="77777777" w:rsidR="002912CA" w:rsidRPr="002912CA" w:rsidRDefault="002912CA" w:rsidP="00C82F86">
      <w:r w:rsidRPr="002912CA">
        <w:t>The final study report, if requested by the TGA, could be used to update the PI on longer- term adverse events.</w:t>
      </w:r>
    </w:p>
    <w:p w14:paraId="4870F6EE" w14:textId="77777777" w:rsidR="002912CA" w:rsidRPr="002912CA" w:rsidRDefault="002912CA" w:rsidP="00C82F86">
      <w:r w:rsidRPr="002912CA">
        <w:t>The ACM cautioned that CLIN-60190-454 may be affected by issues that contributed to the termination of the COBALT study (see Question 3).</w:t>
      </w:r>
    </w:p>
    <w:p w14:paraId="30BDD484" w14:textId="636C711D" w:rsidR="002912CA" w:rsidRPr="00C82F86" w:rsidRDefault="002912CA" w:rsidP="00C82F86">
      <w:pPr>
        <w:pStyle w:val="Numberbullet0"/>
        <w:rPr>
          <w:b/>
          <w:bCs/>
          <w:i/>
          <w:iCs/>
        </w:rPr>
      </w:pPr>
      <w:r w:rsidRPr="00C82F86">
        <w:rPr>
          <w:b/>
          <w:bCs/>
          <w:i/>
          <w:iCs/>
        </w:rPr>
        <w:t xml:space="preserve">It is noted that </w:t>
      </w:r>
      <w:proofErr w:type="spellStart"/>
      <w:r w:rsidRPr="00C82F86">
        <w:rPr>
          <w:b/>
          <w:bCs/>
          <w:i/>
          <w:iCs/>
        </w:rPr>
        <w:t>obeticholic</w:t>
      </w:r>
      <w:proofErr w:type="spellEnd"/>
      <w:r w:rsidRPr="00C82F86">
        <w:rPr>
          <w:b/>
          <w:bCs/>
          <w:i/>
          <w:iCs/>
        </w:rPr>
        <w:t xml:space="preserve"> acid (approved by the TGA) as second line therapy for the treatment of PBC has recently failed to show significant differences between OCA and placebo in its confirmatory phase III trial, leading to revoking of marketing authorisations in the US and Europe. How does this factor into the ACM’s opinion about the potential registration of </w:t>
      </w:r>
      <w:proofErr w:type="spellStart"/>
      <w:r w:rsidRPr="00C82F86">
        <w:rPr>
          <w:b/>
          <w:bCs/>
          <w:i/>
          <w:iCs/>
        </w:rPr>
        <w:t>elafibranor</w:t>
      </w:r>
      <w:proofErr w:type="spellEnd"/>
      <w:r w:rsidRPr="00C82F86">
        <w:rPr>
          <w:b/>
          <w:bCs/>
          <w:i/>
          <w:iCs/>
        </w:rPr>
        <w:t>?</w:t>
      </w:r>
    </w:p>
    <w:p w14:paraId="7D8E8D70" w14:textId="77777777" w:rsidR="002912CA" w:rsidRPr="002912CA" w:rsidRDefault="002912CA" w:rsidP="00C82F86">
      <w:r w:rsidRPr="002912CA">
        <w:t xml:space="preserve">The ACM noted that Questions 2 and 3 each relate to the underlying suitability of the study protocols to confirm the efficacy and safety in PBC of </w:t>
      </w:r>
      <w:proofErr w:type="spellStart"/>
      <w:r w:rsidRPr="002912CA">
        <w:t>elafibranor</w:t>
      </w:r>
      <w:proofErr w:type="spellEnd"/>
      <w:r w:rsidRPr="002912CA">
        <w:t xml:space="preserve"> (Question 2) and </w:t>
      </w:r>
      <w:proofErr w:type="spellStart"/>
      <w:r w:rsidRPr="002912CA">
        <w:t>obeticholic</w:t>
      </w:r>
      <w:proofErr w:type="spellEnd"/>
      <w:r w:rsidRPr="002912CA">
        <w:t xml:space="preserve"> acid (Question 3).</w:t>
      </w:r>
    </w:p>
    <w:p w14:paraId="60D4F872" w14:textId="77777777" w:rsidR="002912CA" w:rsidRPr="002912CA" w:rsidRDefault="002912CA" w:rsidP="00C82F86">
      <w:r w:rsidRPr="002912CA">
        <w:lastRenderedPageBreak/>
        <w:t xml:space="preserve">The COBALT study for </w:t>
      </w:r>
      <w:proofErr w:type="spellStart"/>
      <w:r w:rsidRPr="002912CA">
        <w:t>obeticholic</w:t>
      </w:r>
      <w:proofErr w:type="spellEnd"/>
      <w:r w:rsidRPr="002912CA">
        <w:t xml:space="preserve"> acid was terminated in part due to:</w:t>
      </w:r>
    </w:p>
    <w:p w14:paraId="654C29DE" w14:textId="06E5634C" w:rsidR="002912CA" w:rsidRPr="002912CA" w:rsidRDefault="002912CA" w:rsidP="00C82F86">
      <w:pPr>
        <w:pStyle w:val="ListBullet"/>
      </w:pPr>
      <w:r w:rsidRPr="002912CA">
        <w:t>lack of clinician and patient willingness to enrol in a study with a placebo arm for a potentially lethal condition</w:t>
      </w:r>
    </w:p>
    <w:p w14:paraId="35EF1E8A" w14:textId="252D4D88" w:rsidR="002912CA" w:rsidRPr="002912CA" w:rsidRDefault="002912CA" w:rsidP="00C82F86">
      <w:pPr>
        <w:pStyle w:val="ListBullet"/>
      </w:pPr>
      <w:r w:rsidRPr="002912CA">
        <w:t xml:space="preserve">ability of participants in the </w:t>
      </w:r>
      <w:r w:rsidRPr="00C82F86">
        <w:t>placebo</w:t>
      </w:r>
      <w:r w:rsidRPr="002912CA">
        <w:t xml:space="preserve"> arm to identify they were not in the active treatment group and so withdraw from the study.</w:t>
      </w:r>
    </w:p>
    <w:p w14:paraId="31735566" w14:textId="77777777" w:rsidR="002912CA" w:rsidRPr="002912CA" w:rsidRDefault="002912CA" w:rsidP="002912CA">
      <w:pPr>
        <w:rPr>
          <w:bCs/>
          <w:szCs w:val="22"/>
        </w:rPr>
      </w:pPr>
      <w:r w:rsidRPr="002912CA">
        <w:rPr>
          <w:bCs/>
          <w:szCs w:val="22"/>
        </w:rPr>
        <w:t xml:space="preserve">The ACM cautioned that the confirmatory phase III study (CLIN-60190-454) for </w:t>
      </w:r>
      <w:proofErr w:type="spellStart"/>
      <w:r w:rsidRPr="002912CA">
        <w:rPr>
          <w:bCs/>
          <w:szCs w:val="22"/>
        </w:rPr>
        <w:t>elafibranor</w:t>
      </w:r>
      <w:proofErr w:type="spellEnd"/>
      <w:r w:rsidRPr="002912CA">
        <w:rPr>
          <w:bCs/>
          <w:szCs w:val="22"/>
        </w:rPr>
        <w:t xml:space="preserve"> may be affected by issues that contributed to the termination of the COBALT study.</w:t>
      </w:r>
    </w:p>
    <w:p w14:paraId="309FE58D" w14:textId="5022903E" w:rsidR="002912CA" w:rsidRPr="00C82F86" w:rsidRDefault="002912CA" w:rsidP="00C82F86">
      <w:pPr>
        <w:pStyle w:val="Numberbullet0"/>
        <w:rPr>
          <w:b/>
          <w:bCs/>
          <w:i/>
          <w:iCs/>
        </w:rPr>
      </w:pPr>
      <w:r w:rsidRPr="00C82F86">
        <w:rPr>
          <w:b/>
          <w:bCs/>
          <w:i/>
          <w:iCs/>
        </w:rPr>
        <w:t>What is the ACM’s opinion regarding the selection of primary and secondary endpoints for the pivotal phase III trial Study 319-1? It is noted that the latest EMA guidance (EMA/CHMP/299976/2018) states that “an endpoint of complete response, i.e. normalisation of ALP and a bilirubin level of &lt; 0.7xULN is highly recommended as a primary or secondary endpoint. Use of stringent definitions such as complete response has been shown to significantly reduce the placebo response”.</w:t>
      </w:r>
    </w:p>
    <w:p w14:paraId="065C54F5" w14:textId="5ACDA432" w:rsidR="002912CA" w:rsidRPr="002912CA" w:rsidRDefault="002912CA" w:rsidP="00C82F86">
      <w:r w:rsidRPr="002912CA">
        <w:t>The ACM noted that treatment targets in patients with PBC have evolved significantly over time and have progressively become more stringent. The criteria used in 319-1 were contemporary at the time. More recently, total ALP normalisation has become the treatment goal.</w:t>
      </w:r>
    </w:p>
    <w:p w14:paraId="1F33F2B7" w14:textId="24E7D6C6" w:rsidR="002912CA" w:rsidRPr="00C82F86" w:rsidRDefault="002912CA" w:rsidP="00C82F86">
      <w:pPr>
        <w:pStyle w:val="Numberbullet0"/>
        <w:rPr>
          <w:b/>
          <w:bCs/>
          <w:i/>
          <w:iCs/>
        </w:rPr>
      </w:pPr>
      <w:r w:rsidRPr="00C82F86">
        <w:rPr>
          <w:b/>
          <w:bCs/>
          <w:i/>
          <w:iCs/>
        </w:rPr>
        <w:t>Please discuss any other aspect of the submission deemed relevant.</w:t>
      </w:r>
    </w:p>
    <w:p w14:paraId="26F31F0D" w14:textId="77777777" w:rsidR="002912CA" w:rsidRPr="002912CA" w:rsidRDefault="002912CA" w:rsidP="00C82F86">
      <w:r w:rsidRPr="002912CA">
        <w:t xml:space="preserve">The ACM advised that the PI should address the suitability or not of </w:t>
      </w:r>
      <w:proofErr w:type="spellStart"/>
      <w:r w:rsidRPr="002912CA">
        <w:t>elafibranor</w:t>
      </w:r>
      <w:proofErr w:type="spellEnd"/>
      <w:r w:rsidRPr="002912CA">
        <w:t xml:space="preserve"> in patients with decompensated cirrhosis or cirrhosis with clinically significant portal hypertension; these patients were excluded from the pivotal trial.</w:t>
      </w:r>
    </w:p>
    <w:p w14:paraId="5239AF75" w14:textId="77777777" w:rsidR="002912CA" w:rsidRPr="002912CA" w:rsidRDefault="002912CA" w:rsidP="00C82F86">
      <w:pPr>
        <w:pStyle w:val="Heading5"/>
      </w:pPr>
      <w:r w:rsidRPr="002912CA">
        <w:t xml:space="preserve">ACM </w:t>
      </w:r>
      <w:r w:rsidRPr="00C82F86">
        <w:t>conclusion</w:t>
      </w:r>
    </w:p>
    <w:p w14:paraId="0A0D0681" w14:textId="77777777" w:rsidR="002912CA" w:rsidRPr="002912CA" w:rsidRDefault="002912CA" w:rsidP="00C82F86">
      <w:r w:rsidRPr="002912CA">
        <w:t>The ACM considered this product to have an overall positive benefit-risk profile for the indication:</w:t>
      </w:r>
    </w:p>
    <w:p w14:paraId="5EE6F923" w14:textId="00162ED9" w:rsidR="002912CA" w:rsidRPr="00C82F86" w:rsidRDefault="002912CA" w:rsidP="00C82F86">
      <w:pPr>
        <w:ind w:left="720"/>
        <w:rPr>
          <w:i/>
          <w:iCs/>
        </w:rPr>
      </w:pPr>
      <w:r w:rsidRPr="00C82F86">
        <w:rPr>
          <w:i/>
          <w:iCs/>
        </w:rPr>
        <w:t>“</w:t>
      </w:r>
      <w:r w:rsidR="006029C9" w:rsidRPr="00C82F86">
        <w:rPr>
          <w:i/>
          <w:iCs/>
        </w:rPr>
        <w:t>IQIRVO</w:t>
      </w:r>
      <w:r w:rsidRPr="00C82F86">
        <w:rPr>
          <w:i/>
          <w:iCs/>
        </w:rPr>
        <w:t xml:space="preserve"> (</w:t>
      </w:r>
      <w:proofErr w:type="spellStart"/>
      <w:r w:rsidRPr="00C82F86">
        <w:rPr>
          <w:i/>
          <w:iCs/>
        </w:rPr>
        <w:t>elafibranor</w:t>
      </w:r>
      <w:proofErr w:type="spellEnd"/>
      <w:r w:rsidRPr="00C82F86">
        <w:rPr>
          <w:i/>
          <w:iCs/>
        </w:rPr>
        <w:t>) is indicated for the treatment of primary biliary cholangitis (PBC), in combination with ursodeoxycholic acid (UDCA) in adults with an inadequate response to UDCA, or as monotherapy in adults unable to tolerate UDCA”</w:t>
      </w:r>
    </w:p>
    <w:p w14:paraId="307F236C" w14:textId="5BA0D35D" w:rsidR="00C22214" w:rsidRPr="002E238E" w:rsidRDefault="0046285C" w:rsidP="00C82F86">
      <w:pPr>
        <w:pStyle w:val="Heading2"/>
      </w:pPr>
      <w:bookmarkStart w:id="58" w:name="_Toc103679300"/>
      <w:bookmarkStart w:id="59" w:name="_Toc206075835"/>
      <w:r>
        <w:t>Assessment</w:t>
      </w:r>
      <w:r w:rsidR="00190853">
        <w:t xml:space="preserve"> </w:t>
      </w:r>
      <w:r w:rsidRPr="00C82F86">
        <w:t>o</w:t>
      </w:r>
      <w:r w:rsidR="00C22214" w:rsidRPr="00C82F86">
        <w:t>utcome</w:t>
      </w:r>
      <w:bookmarkEnd w:id="55"/>
      <w:bookmarkEnd w:id="56"/>
      <w:bookmarkEnd w:id="58"/>
      <w:bookmarkEnd w:id="59"/>
    </w:p>
    <w:p w14:paraId="4EF22939" w14:textId="73D742A3" w:rsidR="00C22214" w:rsidRDefault="00C22214" w:rsidP="00C82F86">
      <w:r w:rsidRPr="0017005C">
        <w:t xml:space="preserve">Based on a review of quality, safety, and efficacy, the TGA </w:t>
      </w:r>
      <w:r w:rsidR="00B46DFB">
        <w:t>decided to</w:t>
      </w:r>
      <w:r w:rsidRPr="0017005C">
        <w:t xml:space="preserve"> regist</w:t>
      </w:r>
      <w:r w:rsidR="00B46DFB">
        <w:t>er</w:t>
      </w:r>
      <w:r w:rsidRPr="0017005C">
        <w:t xml:space="preserve"> </w:t>
      </w:r>
      <w:r w:rsidR="006029C9">
        <w:t>IQIRVO</w:t>
      </w:r>
      <w:r w:rsidR="00080590" w:rsidRPr="00080590">
        <w:t xml:space="preserve"> </w:t>
      </w:r>
      <w:r w:rsidR="00080590">
        <w:t>(</w:t>
      </w:r>
      <w:proofErr w:type="spellStart"/>
      <w:r w:rsidR="00080590" w:rsidRPr="00080590">
        <w:t>elafibranor</w:t>
      </w:r>
      <w:proofErr w:type="spellEnd"/>
      <w:r w:rsidR="00080590">
        <w:t>)</w:t>
      </w:r>
      <w:r w:rsidR="00080590" w:rsidRPr="00080590">
        <w:t xml:space="preserve"> </w:t>
      </w:r>
      <w:r w:rsidRPr="0017005C">
        <w:t>for the following indication</w:t>
      </w:r>
      <w:r w:rsidR="00D23D3E">
        <w:t>:</w:t>
      </w:r>
    </w:p>
    <w:p w14:paraId="7A9B50D1" w14:textId="22FF4CDD" w:rsidR="00080590" w:rsidRPr="00C82F86" w:rsidRDefault="006029C9" w:rsidP="00C82F86">
      <w:pPr>
        <w:ind w:left="720"/>
        <w:rPr>
          <w:i/>
          <w:iCs/>
        </w:rPr>
      </w:pPr>
      <w:r w:rsidRPr="00C82F86">
        <w:rPr>
          <w:i/>
          <w:iCs/>
        </w:rPr>
        <w:t>IQIRVO</w:t>
      </w:r>
      <w:r w:rsidR="00323131" w:rsidRPr="00C82F86">
        <w:rPr>
          <w:i/>
          <w:iCs/>
        </w:rPr>
        <w:t xml:space="preserve"> is indicated for the treatment of primary biliary cholangitis (PBC) in combination with ursodeoxycholic acid (UDCA) in adults with an inadequate response to UDCA, or as monotherapy in adults unable to tolerate UDCA.</w:t>
      </w:r>
    </w:p>
    <w:p w14:paraId="5D2D361F" w14:textId="77777777" w:rsidR="006029C9" w:rsidRDefault="00854D98" w:rsidP="00C82F86">
      <w:pPr>
        <w:pStyle w:val="Heading3"/>
      </w:pPr>
      <w:bookmarkStart w:id="60" w:name="_Toc103679301"/>
      <w:bookmarkStart w:id="61" w:name="_Toc206075836"/>
      <w:r w:rsidRPr="00D23139">
        <w:t>Specific conditions of registration</w:t>
      </w:r>
      <w:bookmarkEnd w:id="61"/>
    </w:p>
    <w:p w14:paraId="02D9AF6C" w14:textId="34FE7BAC" w:rsidR="006029C9" w:rsidRDefault="006029C9" w:rsidP="00C82F86">
      <w:r>
        <w:t>IQIRVO (</w:t>
      </w:r>
      <w:proofErr w:type="spellStart"/>
      <w:r>
        <w:t>elafibranor</w:t>
      </w:r>
      <w:proofErr w:type="spellEnd"/>
      <w:r>
        <w:t>) is to be included in the Black Triangle Scheme. The PI and CMI for IQIRVO must include the black triangle symbol and mandatory accompanying text for five years, which starts from the date of first supply of the product.</w:t>
      </w:r>
    </w:p>
    <w:p w14:paraId="3FE59499" w14:textId="74FDB1A5" w:rsidR="006029C9" w:rsidRDefault="006029C9" w:rsidP="00C82F86">
      <w:r>
        <w:t>The IQIRVO EU-Risk Management Plan (RMP) (version 1.0, dated 25 July 2024, data lock point 01 June 2023), with Australian Specific Annex (version 1.1, dated November 2024), included with submission PM-2024-00662-1-1, and any subsequent revisions, as agreed with the TGA will be implemented in Australia.</w:t>
      </w:r>
    </w:p>
    <w:p w14:paraId="65827F48" w14:textId="18219E0C" w:rsidR="006029C9" w:rsidRDefault="006029C9" w:rsidP="00C82F86">
      <w:r>
        <w:lastRenderedPageBreak/>
        <w:t>Reports are to be provided in line with the current published list of EU reference dates and frequency of submission of PSURs until the period covered by such reports is not less than three years from the date of this approval letter. Each report must be submitted within ninety calendar days of the data lock point for that report.</w:t>
      </w:r>
    </w:p>
    <w:p w14:paraId="5A59D4DB" w14:textId="444979FD" w:rsidR="006029C9" w:rsidRDefault="006029C9" w:rsidP="00C82F86">
      <w:r>
        <w:t>The reports are to at least meet the requirements for PSURs as described in the European Medicines Agency’s Guideline on good pharmacovigilance practices (GVP)</w:t>
      </w:r>
      <w:r w:rsidR="00C82F86">
        <w:t>.</w:t>
      </w:r>
    </w:p>
    <w:p w14:paraId="325F93DD" w14:textId="4394F742" w:rsidR="006029C9" w:rsidRDefault="006029C9" w:rsidP="006029C9">
      <w:r>
        <w:t>Module VII-periodic safety update report (Rev 1), Part VII.B Structures and processes. Note that submission of a PSUR does not constitute an application to vary the registration.</w:t>
      </w:r>
    </w:p>
    <w:p w14:paraId="0D732DA4" w14:textId="05F54A25" w:rsidR="00854D98" w:rsidRPr="00D23139" w:rsidRDefault="006029C9" w:rsidP="00C82F86">
      <w:r>
        <w:t xml:space="preserve">The </w:t>
      </w:r>
      <w:proofErr w:type="gramStart"/>
      <w:r>
        <w:t>final results</w:t>
      </w:r>
      <w:proofErr w:type="gramEnd"/>
      <w:r>
        <w:t xml:space="preserve"> of the confirmatory phase III study (CLIN-60190-454) should be provided to the TGA when they are available</w:t>
      </w:r>
      <w:bookmarkEnd w:id="60"/>
      <w:r w:rsidR="0022687A">
        <w:t>.</w:t>
      </w:r>
    </w:p>
    <w:p w14:paraId="0F9C1952" w14:textId="597561E2" w:rsidR="00BA657C" w:rsidRPr="00BA657C" w:rsidRDefault="00BA657C" w:rsidP="00C82F86">
      <w:pPr>
        <w:pStyle w:val="Heading2"/>
      </w:pPr>
      <w:bookmarkStart w:id="62" w:name="_Toc196738290"/>
      <w:bookmarkStart w:id="63" w:name="_Toc206075837"/>
      <w:r w:rsidRPr="00BA657C">
        <w:t>Product Information and Consumer Medicines Information</w:t>
      </w:r>
      <w:bookmarkEnd w:id="62"/>
      <w:bookmarkEnd w:id="63"/>
    </w:p>
    <w:p w14:paraId="5F276616" w14:textId="77777777" w:rsidR="004D0933" w:rsidRPr="004D0933" w:rsidRDefault="004D0933" w:rsidP="004D0933">
      <w:r w:rsidRPr="004D0933">
        <w:t xml:space="preserve">For the most recent Product Information (PI) and Consumer Medicines Information (CMI), please refer to the TGA </w:t>
      </w:r>
      <w:hyperlink r:id="rId29" w:history="1">
        <w:r w:rsidRPr="004D0933">
          <w:rPr>
            <w:rStyle w:val="Hyperlink"/>
          </w:rPr>
          <w:t>PI/CMI search facility.</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30"/>
          <w:footerReference w:type="default" r:id="rId3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4"/>
          <w:bookmarkEnd w:id="5"/>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3" w:history="1">
              <w:r w:rsidRPr="00C4721A">
                <w:rPr>
                  <w:rStyle w:val="Hyperlink"/>
                  <w:b/>
                </w:rPr>
                <w:t>https://www.tga.gov.au</w:t>
              </w:r>
            </w:hyperlink>
          </w:p>
        </w:tc>
      </w:tr>
    </w:tbl>
    <w:p w14:paraId="788B80FD" w14:textId="77777777" w:rsidR="007452E8" w:rsidRDefault="007452E8"/>
    <w:sectPr w:rsidR="007452E8" w:rsidSect="007452E8">
      <w:headerReference w:type="first" r:id="rId34"/>
      <w:footerReference w:type="first" r:id="rId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E13F" w14:textId="77777777" w:rsidR="00EE34EB" w:rsidRDefault="00EE34EB" w:rsidP="00F02AEC">
      <w:pPr>
        <w:spacing w:after="0" w:line="240" w:lineRule="auto"/>
      </w:pPr>
      <w:r>
        <w:separator/>
      </w:r>
    </w:p>
  </w:endnote>
  <w:endnote w:type="continuationSeparator" w:id="0">
    <w:p w14:paraId="7EF8C815" w14:textId="77777777" w:rsidR="00EE34EB" w:rsidRDefault="00EE34EB"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F1E37">
                <w:fldChar w:fldCharType="begin"/>
              </w:r>
              <w:r w:rsidR="007F1E37">
                <w:instrText xml:space="preserve"> NUMPAGES  </w:instrText>
              </w:r>
              <w:r w:rsidR="007F1E37">
                <w:fldChar w:fldCharType="separate"/>
              </w:r>
              <w:r>
                <w:rPr>
                  <w:noProof/>
                </w:rPr>
                <w:t>2</w:t>
              </w:r>
              <w:r w:rsidR="007F1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71"/>
      <w:gridCol w:w="1701"/>
    </w:tblGrid>
    <w:tr w:rsidR="007452E8" w:rsidRPr="004A3084" w14:paraId="6266BC33" w14:textId="77777777" w:rsidTr="00C82F86">
      <w:trPr>
        <w:trHeight w:val="423"/>
      </w:trPr>
      <w:tc>
        <w:tcPr>
          <w:tcW w:w="7371" w:type="dxa"/>
          <w:tcBorders>
            <w:top w:val="single" w:sz="4" w:space="0" w:color="auto"/>
          </w:tcBorders>
        </w:tcPr>
        <w:p w14:paraId="3C421323" w14:textId="2EEEFD91" w:rsidR="007452E8" w:rsidRPr="002E2849" w:rsidRDefault="00BE3BB6" w:rsidP="007452E8">
          <w:pPr>
            <w:pStyle w:val="Footer"/>
          </w:pPr>
          <w:proofErr w:type="spellStart"/>
          <w:r w:rsidRPr="002E2849">
            <w:t>AusPAR</w:t>
          </w:r>
          <w:proofErr w:type="spellEnd"/>
          <w:r w:rsidRPr="002E2849">
            <w:t xml:space="preserve"> - IQIRVO - </w:t>
          </w:r>
          <w:proofErr w:type="spellStart"/>
          <w:r w:rsidRPr="002E2849">
            <w:t>elafibranor</w:t>
          </w:r>
          <w:proofErr w:type="spellEnd"/>
          <w:r w:rsidRPr="002E2849">
            <w:t xml:space="preserve"> - </w:t>
          </w:r>
          <w:r w:rsidR="00BD2531" w:rsidRPr="002E2849">
            <w:t>Ipsen Pty Ltd</w:t>
          </w:r>
          <w:r w:rsidR="00BD2531" w:rsidRPr="002E2849">
            <w:t xml:space="preserve"> </w:t>
          </w:r>
          <w:r w:rsidR="00BD2531">
            <w:t xml:space="preserve">- </w:t>
          </w:r>
          <w:r w:rsidRPr="002E2849">
            <w:t>PM-2024-00662-1-1</w:t>
          </w:r>
          <w:r w:rsidR="00BD2531">
            <w:t xml:space="preserve"> - </w:t>
          </w:r>
          <w:r w:rsidRPr="002E2849">
            <w:t>Type A</w:t>
          </w:r>
          <w:r w:rsidR="007452E8" w:rsidRPr="002E2849">
            <w:br/>
            <w:t>Date of Finalisation</w:t>
          </w:r>
          <w:r w:rsidR="002E2849" w:rsidRPr="002E2849">
            <w:t>: 6 August 2025</w:t>
          </w:r>
        </w:p>
      </w:tc>
      <w:tc>
        <w:tcPr>
          <w:tcW w:w="1701"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7F1E37">
                <w:fldChar w:fldCharType="begin"/>
              </w:r>
              <w:r w:rsidR="007F1E37">
                <w:instrText xml:space="preserve"> NUMPAGES  </w:instrText>
              </w:r>
              <w:r w:rsidR="007F1E37">
                <w:fldChar w:fldCharType="separate"/>
              </w:r>
              <w:r w:rsidR="006D6B44">
                <w:rPr>
                  <w:noProof/>
                </w:rPr>
                <w:t>17</w:t>
              </w:r>
              <w:r w:rsidR="007F1E37">
                <w:rPr>
                  <w:noProof/>
                </w:rPr>
                <w:fldChar w:fldCharType="end"/>
              </w:r>
            </w:p>
          </w:sdtContent>
        </w:sdt>
      </w:tc>
    </w:tr>
  </w:tbl>
  <w:p w14:paraId="1A4EDE60" w14:textId="13815E3B" w:rsidR="007452E8" w:rsidRPr="00826007" w:rsidRDefault="007452E8" w:rsidP="000111F4">
    <w:pPr>
      <w:pStyle w:val="Footer"/>
      <w:tabs>
        <w:tab w:val="clear" w:pos="4513"/>
        <w:tab w:val="clear" w:pos="9026"/>
        <w:tab w:val="left" w:pos="1500"/>
      </w:tabs>
      <w:contextualSpaci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5960" w14:textId="77777777" w:rsidR="00EE34EB" w:rsidRDefault="00EE34EB" w:rsidP="00F02AEC">
      <w:pPr>
        <w:spacing w:after="0" w:line="240" w:lineRule="auto"/>
      </w:pPr>
      <w:r>
        <w:separator/>
      </w:r>
    </w:p>
  </w:footnote>
  <w:footnote w:type="continuationSeparator" w:id="0">
    <w:p w14:paraId="1ACFC7EC" w14:textId="77777777" w:rsidR="00EE34EB" w:rsidRDefault="00EE34EB" w:rsidP="00F02AEC">
      <w:pPr>
        <w:spacing w:after="0" w:line="240" w:lineRule="auto"/>
      </w:pPr>
      <w:r>
        <w:continuationSeparator/>
      </w:r>
    </w:p>
  </w:footnote>
  <w:footnote w:id="1">
    <w:p w14:paraId="28487D52" w14:textId="2C3215B0" w:rsidR="007E50E2" w:rsidRDefault="007E50E2">
      <w:pPr>
        <w:pStyle w:val="FootnoteText"/>
      </w:pPr>
      <w:r>
        <w:rPr>
          <w:rStyle w:val="FootnoteReference"/>
        </w:rPr>
        <w:footnoteRef/>
      </w:r>
      <w:r>
        <w:t xml:space="preserve"> </w:t>
      </w:r>
      <w:r w:rsidRPr="007E50E2">
        <w:t>A sponsor is a person or company who does one or more of the following: a) exports therapeutic goods from Australia, b) imports therapeutic goods into Australia, c) manufactures therapeutic goods for supply in Australia or d) elsewhere arranges for another party to import, export or manufacture therapeutic goods</w:t>
      </w:r>
      <w:r w:rsidR="000111F4">
        <w:t>.</w:t>
      </w:r>
    </w:p>
  </w:footnote>
  <w:footnote w:id="2">
    <w:p w14:paraId="2C4CCFD8" w14:textId="780DEECF" w:rsidR="00717944" w:rsidRDefault="00717944">
      <w:pPr>
        <w:pStyle w:val="FootnoteText"/>
      </w:pPr>
      <w:r>
        <w:rPr>
          <w:rStyle w:val="FootnoteReference"/>
        </w:rPr>
        <w:footnoteRef/>
      </w:r>
      <w:r>
        <w:t xml:space="preserve"> </w:t>
      </w:r>
      <w:r w:rsidRPr="00717944">
        <w:t xml:space="preserve">Hirschfield GM, Dyson JK, Alexander GJM, Chapman MH, Collier J, </w:t>
      </w:r>
      <w:proofErr w:type="spellStart"/>
      <w:r w:rsidRPr="00717944">
        <w:t>Hübscher</w:t>
      </w:r>
      <w:proofErr w:type="spellEnd"/>
      <w:r w:rsidRPr="00717944">
        <w:t xml:space="preserve"> S, </w:t>
      </w:r>
      <w:proofErr w:type="spellStart"/>
      <w:r w:rsidRPr="00717944">
        <w:t>Patanwala</w:t>
      </w:r>
      <w:proofErr w:type="spellEnd"/>
      <w:r w:rsidRPr="00717944">
        <w:t xml:space="preserve"> I, Pereira SP, Thain C, Thorburn D, </w:t>
      </w:r>
      <w:proofErr w:type="spellStart"/>
      <w:r w:rsidRPr="00717944">
        <w:t>Tiniakos</w:t>
      </w:r>
      <w:proofErr w:type="spellEnd"/>
      <w:r w:rsidRPr="00717944">
        <w:t xml:space="preserve"> D, Walmsley M, Webster G, Jones DEJ. The British Society of Gastroenterology/UK-PBC primary biliary cholangitis treatment and management guidelines. Gut. 2018 Sep;67(9):1568-1594. </w:t>
      </w:r>
      <w:proofErr w:type="spellStart"/>
      <w:r w:rsidRPr="00717944">
        <w:t>doi</w:t>
      </w:r>
      <w:proofErr w:type="spellEnd"/>
      <w:r w:rsidRPr="00717944">
        <w:t xml:space="preserve">: 10.1136/gutjnl-2017-315259. </w:t>
      </w:r>
      <w:proofErr w:type="spellStart"/>
      <w:r w:rsidRPr="00717944">
        <w:t>Epub</w:t>
      </w:r>
      <w:proofErr w:type="spellEnd"/>
      <w:r w:rsidRPr="00717944">
        <w:t xml:space="preserve"> 2018 Mar 28. PMID: 29593060; PMCID: PMC6109281.</w:t>
      </w:r>
    </w:p>
  </w:footnote>
  <w:footnote w:id="3">
    <w:p w14:paraId="05F3D6ED" w14:textId="57B4622A" w:rsidR="002A1C06" w:rsidRDefault="002A1C06">
      <w:pPr>
        <w:pStyle w:val="FootnoteText"/>
      </w:pPr>
      <w:r>
        <w:rPr>
          <w:rStyle w:val="FootnoteReference"/>
        </w:rPr>
        <w:footnoteRef/>
      </w:r>
      <w:r>
        <w:t xml:space="preserve"> </w:t>
      </w:r>
      <w:r w:rsidRPr="002A1C06">
        <w:t xml:space="preserve">European Association for the Study of the Liver. EASL Clinical Practice Guidelines: The diagnosis and management of patients with primary biliary cholangitis. J Hepatol. 2017 Jul;67(1):145-172. </w:t>
      </w:r>
      <w:proofErr w:type="spellStart"/>
      <w:r w:rsidRPr="002A1C06">
        <w:t>doi</w:t>
      </w:r>
      <w:proofErr w:type="spellEnd"/>
      <w:r w:rsidRPr="002A1C06">
        <w:t xml:space="preserve">: 10.1016/j.jhep.2017.03.022. </w:t>
      </w:r>
      <w:proofErr w:type="spellStart"/>
      <w:r w:rsidRPr="002A1C06">
        <w:t>Epub</w:t>
      </w:r>
      <w:proofErr w:type="spellEnd"/>
      <w:r w:rsidRPr="002A1C06">
        <w:t xml:space="preserve"> 2017 Apr 18. PMID: 28427765.</w:t>
      </w:r>
    </w:p>
  </w:footnote>
  <w:footnote w:id="4">
    <w:p w14:paraId="502317E4" w14:textId="05D6ACB0" w:rsidR="00976DE4" w:rsidRDefault="00976DE4">
      <w:pPr>
        <w:pStyle w:val="FootnoteText"/>
      </w:pPr>
      <w:r>
        <w:rPr>
          <w:rStyle w:val="FootnoteReference"/>
        </w:rPr>
        <w:footnoteRef/>
      </w:r>
      <w:r>
        <w:t xml:space="preserve"> </w:t>
      </w:r>
      <w:r w:rsidRPr="00976DE4">
        <w:t xml:space="preserve">Lindor KD, Bowlus CL, Boyer J, Levy C, Mayo M. Primary Biliary Cholangitis: 2018 Practice Guidance from the American Association for the Study of Liver Diseases. Hepatology. 2019 Jan;69(1):394-419. </w:t>
      </w:r>
      <w:proofErr w:type="spellStart"/>
      <w:r w:rsidRPr="00976DE4">
        <w:t>doi</w:t>
      </w:r>
      <w:proofErr w:type="spellEnd"/>
      <w:r w:rsidRPr="00976DE4">
        <w:t xml:space="preserve">: 10.1002/hep.30145. </w:t>
      </w:r>
      <w:proofErr w:type="spellStart"/>
      <w:r w:rsidRPr="00976DE4">
        <w:t>Epub</w:t>
      </w:r>
      <w:proofErr w:type="spellEnd"/>
      <w:r w:rsidRPr="00976DE4">
        <w:t xml:space="preserve"> 2018 Nov 6. PMID: 30070375.</w:t>
      </w:r>
    </w:p>
  </w:footnote>
  <w:footnote w:id="5">
    <w:p w14:paraId="337D4ECF" w14:textId="4771C0C0" w:rsidR="00CB0969" w:rsidRDefault="00CB0969">
      <w:pPr>
        <w:pStyle w:val="FootnoteText"/>
      </w:pPr>
      <w:r>
        <w:rPr>
          <w:rStyle w:val="FootnoteReference"/>
        </w:rPr>
        <w:footnoteRef/>
      </w:r>
      <w:r>
        <w:t xml:space="preserve"> </w:t>
      </w:r>
      <w:r w:rsidRPr="00CB0969">
        <w:t xml:space="preserve">Lindor KD, Bowlus CL, Boyer J, Levy C, Mayo M. Primary biliary cholangitis: 2021 practice guidance update from the American Association for the Study of Liver Diseases. Hepatology. 2022 Apr;75(4):1012-1013. </w:t>
      </w:r>
      <w:proofErr w:type="spellStart"/>
      <w:r w:rsidRPr="00CB0969">
        <w:t>doi</w:t>
      </w:r>
      <w:proofErr w:type="spellEnd"/>
      <w:r w:rsidRPr="00CB0969">
        <w:t xml:space="preserve">: 10.1002/hep.32117. </w:t>
      </w:r>
      <w:proofErr w:type="spellStart"/>
      <w:r w:rsidRPr="00CB0969">
        <w:t>Epub</w:t>
      </w:r>
      <w:proofErr w:type="spellEnd"/>
      <w:r w:rsidRPr="00CB0969">
        <w:t xml:space="preserve"> 2021 Dec 20. PMID: 34431119.</w:t>
      </w:r>
    </w:p>
  </w:footnote>
  <w:footnote w:id="6">
    <w:p w14:paraId="2320E46B" w14:textId="5EB0F6AD" w:rsidR="00CB0969" w:rsidRDefault="00CB0969">
      <w:pPr>
        <w:pStyle w:val="FootnoteText"/>
      </w:pPr>
      <w:r>
        <w:rPr>
          <w:rStyle w:val="FootnoteReference"/>
        </w:rPr>
        <w:footnoteRef/>
      </w:r>
      <w:r>
        <w:t xml:space="preserve"> </w:t>
      </w:r>
      <w:r w:rsidRPr="00CB0969">
        <w:t>Lindor KD</w:t>
      </w:r>
      <w:r>
        <w:t>, 2019.</w:t>
      </w:r>
    </w:p>
  </w:footnote>
  <w:footnote w:id="7">
    <w:p w14:paraId="359A1F97" w14:textId="1876D1DD" w:rsidR="00CB0969" w:rsidRDefault="00CB0969">
      <w:pPr>
        <w:pStyle w:val="FootnoteText"/>
      </w:pPr>
      <w:r>
        <w:rPr>
          <w:rStyle w:val="FootnoteReference"/>
        </w:rPr>
        <w:footnoteRef/>
      </w:r>
      <w:r>
        <w:t xml:space="preserve"> </w:t>
      </w:r>
      <w:r w:rsidRPr="00CB0969">
        <w:t>Hirschfield GM</w:t>
      </w:r>
      <w:r w:rsidR="000D4B59">
        <w:t>, 2018.</w:t>
      </w:r>
    </w:p>
  </w:footnote>
  <w:footnote w:id="8">
    <w:p w14:paraId="2B6B3544" w14:textId="5C2A7154" w:rsidR="009B3B0A" w:rsidRDefault="009B3B0A">
      <w:pPr>
        <w:pStyle w:val="FootnoteText"/>
      </w:pPr>
      <w:r>
        <w:rPr>
          <w:rStyle w:val="FootnoteReference"/>
        </w:rPr>
        <w:footnoteRef/>
      </w:r>
      <w:r>
        <w:t xml:space="preserve"> </w:t>
      </w:r>
      <w:r w:rsidRPr="009B3B0A">
        <w:t xml:space="preserve">Lammers WJ, van Buuren HR, Hirschfield GM, Janssen HL, Invernizzi P, Mason AL, </w:t>
      </w:r>
      <w:proofErr w:type="spellStart"/>
      <w:r w:rsidRPr="009B3B0A">
        <w:t>Ponsioen</w:t>
      </w:r>
      <w:proofErr w:type="spellEnd"/>
      <w:r w:rsidRPr="009B3B0A">
        <w:t xml:space="preserve"> CY, Floreani A, </w:t>
      </w:r>
      <w:proofErr w:type="spellStart"/>
      <w:r w:rsidRPr="009B3B0A">
        <w:t>Corpechot</w:t>
      </w:r>
      <w:proofErr w:type="spellEnd"/>
      <w:r w:rsidRPr="009B3B0A">
        <w:t xml:space="preserve"> C, Mayo MJ, </w:t>
      </w:r>
      <w:proofErr w:type="spellStart"/>
      <w:r w:rsidRPr="009B3B0A">
        <w:t>Battezzati</w:t>
      </w:r>
      <w:proofErr w:type="spellEnd"/>
      <w:r w:rsidRPr="009B3B0A">
        <w:t xml:space="preserve"> PM, </w:t>
      </w:r>
      <w:proofErr w:type="spellStart"/>
      <w:r w:rsidRPr="009B3B0A">
        <w:t>Parés</w:t>
      </w:r>
      <w:proofErr w:type="spellEnd"/>
      <w:r w:rsidRPr="009B3B0A">
        <w:t xml:space="preserve"> A, Nevens F, Burroughs AK, </w:t>
      </w:r>
      <w:proofErr w:type="spellStart"/>
      <w:r w:rsidRPr="009B3B0A">
        <w:t>Kowdley</w:t>
      </w:r>
      <w:proofErr w:type="spellEnd"/>
      <w:r w:rsidRPr="009B3B0A">
        <w:t xml:space="preserve"> KV, Trivedi PJ, </w:t>
      </w:r>
      <w:proofErr w:type="spellStart"/>
      <w:r w:rsidRPr="009B3B0A">
        <w:t>Kumagi</w:t>
      </w:r>
      <w:proofErr w:type="spellEnd"/>
      <w:r w:rsidRPr="009B3B0A">
        <w:t xml:space="preserve"> T, Cheung A, </w:t>
      </w:r>
      <w:proofErr w:type="spellStart"/>
      <w:r w:rsidRPr="009B3B0A">
        <w:t>Lleo</w:t>
      </w:r>
      <w:proofErr w:type="spellEnd"/>
      <w:r w:rsidRPr="009B3B0A">
        <w:t xml:space="preserve"> A, Imam MH, Boonstra K, </w:t>
      </w:r>
      <w:proofErr w:type="spellStart"/>
      <w:r w:rsidRPr="009B3B0A">
        <w:t>Cazzagon</w:t>
      </w:r>
      <w:proofErr w:type="spellEnd"/>
      <w:r w:rsidRPr="009B3B0A">
        <w:t xml:space="preserve"> N, Franceschet I, Poupon R, Caballeria L, Pieri G, Kanwar PS, Lindor KD, Hansen BE; Global PBC Study Group. Levels of alkaline phosphatase and bilirubin are surrogate end points of outcomes of patients with primary biliary cirrhosis: an international follow-up study. Gastroenterology. 2014 Dec;147(6):1338-</w:t>
      </w:r>
      <w:proofErr w:type="gramStart"/>
      <w:r w:rsidRPr="009B3B0A">
        <w:t>49.e</w:t>
      </w:r>
      <w:proofErr w:type="gramEnd"/>
      <w:r w:rsidRPr="009B3B0A">
        <w:t xml:space="preserve">5; quiz e15. </w:t>
      </w:r>
      <w:proofErr w:type="spellStart"/>
      <w:r w:rsidRPr="009B3B0A">
        <w:t>doi</w:t>
      </w:r>
      <w:proofErr w:type="spellEnd"/>
      <w:r w:rsidRPr="009B3B0A">
        <w:t xml:space="preserve">: 10.1053/j.gastro.2014.08.029. </w:t>
      </w:r>
      <w:proofErr w:type="spellStart"/>
      <w:r w:rsidRPr="009B3B0A">
        <w:t>Epub</w:t>
      </w:r>
      <w:proofErr w:type="spellEnd"/>
      <w:r w:rsidRPr="009B3B0A">
        <w:t xml:space="preserve"> 2014 Aug 23. PMID: 25160979.</w:t>
      </w:r>
    </w:p>
  </w:footnote>
  <w:footnote w:id="9">
    <w:p w14:paraId="7C36811B" w14:textId="700BE025" w:rsidR="00BD2C9D" w:rsidRDefault="00BD2C9D">
      <w:pPr>
        <w:pStyle w:val="FootnoteText"/>
      </w:pPr>
      <w:r>
        <w:rPr>
          <w:rStyle w:val="FootnoteReference"/>
        </w:rPr>
        <w:footnoteRef/>
      </w:r>
      <w:r>
        <w:t xml:space="preserve"> </w:t>
      </w:r>
      <w:r w:rsidRPr="00BD2C9D">
        <w:t xml:space="preserve">Murillo Perez CF, Harms MH, Lindor KD, van Buuren HR, Hirschfield GM, </w:t>
      </w:r>
      <w:proofErr w:type="spellStart"/>
      <w:r w:rsidRPr="00BD2C9D">
        <w:t>Corpechot</w:t>
      </w:r>
      <w:proofErr w:type="spellEnd"/>
      <w:r w:rsidRPr="00BD2C9D">
        <w:t xml:space="preserve"> C, van der Meer AJ, Feld JJ, </w:t>
      </w:r>
      <w:proofErr w:type="spellStart"/>
      <w:r w:rsidRPr="00BD2C9D">
        <w:t>Gulamhusein</w:t>
      </w:r>
      <w:proofErr w:type="spellEnd"/>
      <w:r w:rsidRPr="00BD2C9D">
        <w:t xml:space="preserve"> A, Lammers WJ, </w:t>
      </w:r>
      <w:proofErr w:type="spellStart"/>
      <w:r w:rsidRPr="00BD2C9D">
        <w:t>Ponsioen</w:t>
      </w:r>
      <w:proofErr w:type="spellEnd"/>
      <w:r w:rsidRPr="00BD2C9D">
        <w:t xml:space="preserve"> CY, Carbone M, Mason AL, Mayo MJ, Invernizzi P, </w:t>
      </w:r>
      <w:proofErr w:type="spellStart"/>
      <w:r w:rsidRPr="00BD2C9D">
        <w:t>Battezzati</w:t>
      </w:r>
      <w:proofErr w:type="spellEnd"/>
      <w:r w:rsidRPr="00BD2C9D">
        <w:t xml:space="preserve"> PM, Floreani A, </w:t>
      </w:r>
      <w:proofErr w:type="spellStart"/>
      <w:r w:rsidRPr="00BD2C9D">
        <w:t>Lleo</w:t>
      </w:r>
      <w:proofErr w:type="spellEnd"/>
      <w:r w:rsidRPr="00BD2C9D">
        <w:t xml:space="preserve"> A, Nevens F, </w:t>
      </w:r>
      <w:proofErr w:type="spellStart"/>
      <w:r w:rsidRPr="00BD2C9D">
        <w:t>Kowdley</w:t>
      </w:r>
      <w:proofErr w:type="spellEnd"/>
      <w:r w:rsidRPr="00BD2C9D">
        <w:t xml:space="preserve"> KV, Bruns T, </w:t>
      </w:r>
      <w:proofErr w:type="spellStart"/>
      <w:r w:rsidRPr="00BD2C9D">
        <w:t>Dalekos</w:t>
      </w:r>
      <w:proofErr w:type="spellEnd"/>
      <w:r w:rsidRPr="00BD2C9D">
        <w:t xml:space="preserve"> GN, </w:t>
      </w:r>
      <w:proofErr w:type="spellStart"/>
      <w:r w:rsidRPr="00BD2C9D">
        <w:t>Gatselis</w:t>
      </w:r>
      <w:proofErr w:type="spellEnd"/>
      <w:r w:rsidRPr="00BD2C9D">
        <w:t xml:space="preserve"> NK, Thorburn D, Trivedi PJ, Verhelst X, </w:t>
      </w:r>
      <w:proofErr w:type="spellStart"/>
      <w:r w:rsidRPr="00BD2C9D">
        <w:t>Parés</w:t>
      </w:r>
      <w:proofErr w:type="spellEnd"/>
      <w:r w:rsidRPr="00BD2C9D">
        <w:t xml:space="preserve"> A, Janssen HLA, Hansen BE; GLOBAL PBC Study Group. Goals of Treatment for Improved Survival in Primary Biliary Cholangitis: Treatment Target Should Be Bilirubin Within the Normal Range and Normalization of Alkaline Phosphatase. Am J Gastroenterol. 2020 Jul;115(7):1066-1074. </w:t>
      </w:r>
      <w:proofErr w:type="spellStart"/>
      <w:r w:rsidRPr="00BD2C9D">
        <w:t>doi</w:t>
      </w:r>
      <w:proofErr w:type="spellEnd"/>
      <w:r w:rsidRPr="00BD2C9D">
        <w:t>: 10.14309/ajg.0000000000000557. PMID: 32618657.</w:t>
      </w:r>
    </w:p>
  </w:footnote>
  <w:footnote w:id="10">
    <w:p w14:paraId="4E8FC5DB" w14:textId="3A76E7D9" w:rsidR="00A705E0" w:rsidRDefault="00A705E0">
      <w:pPr>
        <w:pStyle w:val="FootnoteText"/>
      </w:pPr>
      <w:r>
        <w:rPr>
          <w:rStyle w:val="FootnoteReference"/>
        </w:rPr>
        <w:footnoteRef/>
      </w:r>
      <w:r>
        <w:t xml:space="preserve"> </w:t>
      </w:r>
      <w:proofErr w:type="spellStart"/>
      <w:r w:rsidRPr="00A705E0">
        <w:t>Kowdley</w:t>
      </w:r>
      <w:proofErr w:type="spellEnd"/>
      <w:r w:rsidRPr="00A705E0">
        <w:t xml:space="preserve"> KV, Hirschfield GM, Coombs C, Malecha ES, </w:t>
      </w:r>
      <w:proofErr w:type="spellStart"/>
      <w:r w:rsidRPr="00A705E0">
        <w:t>Bessonova</w:t>
      </w:r>
      <w:proofErr w:type="spellEnd"/>
      <w:r w:rsidRPr="00A705E0">
        <w:t xml:space="preserve"> L, Li J, Rathnayaka N, Mells G, Jones DE, Trivedi PJ, Hansen BE, Smith R, Wason J, Hiu S, </w:t>
      </w:r>
      <w:proofErr w:type="spellStart"/>
      <w:r w:rsidRPr="00A705E0">
        <w:t>Kareithi</w:t>
      </w:r>
      <w:proofErr w:type="spellEnd"/>
      <w:r w:rsidRPr="00A705E0">
        <w:t xml:space="preserve"> DN, Mason AL, Bowlus CL, Muller K, Carbone M, Berenguer M, Milkiewicz P, Adekunle F, Villamil A. COBALT: A Confirmatory Trial of </w:t>
      </w:r>
      <w:proofErr w:type="spellStart"/>
      <w:r w:rsidRPr="00A705E0">
        <w:t>Obeticholic</w:t>
      </w:r>
      <w:proofErr w:type="spellEnd"/>
      <w:r w:rsidRPr="00A705E0">
        <w:t xml:space="preserve"> Acid in Primary Biliary Cholangitis With Placebo and External Controls. Am J Gastroenterol. 2025 Feb 1;120(2):390-400. </w:t>
      </w:r>
      <w:proofErr w:type="spellStart"/>
      <w:r w:rsidRPr="00A705E0">
        <w:t>doi</w:t>
      </w:r>
      <w:proofErr w:type="spellEnd"/>
      <w:r w:rsidRPr="00A705E0">
        <w:t xml:space="preserve">: 10.14309/ajg.0000000000003029. </w:t>
      </w:r>
      <w:proofErr w:type="spellStart"/>
      <w:r w:rsidRPr="00A705E0">
        <w:t>Epub</w:t>
      </w:r>
      <w:proofErr w:type="spellEnd"/>
      <w:r w:rsidRPr="00A705E0">
        <w:t xml:space="preserve"> 2024 Aug 14. PMID: 39140490; PMCID: PMC11774195.</w:t>
      </w:r>
    </w:p>
  </w:footnote>
  <w:footnote w:id="11">
    <w:p w14:paraId="5D556900" w14:textId="591E9EF8" w:rsidR="00FB1D2F" w:rsidRPr="00BD2531" w:rsidRDefault="00FB1D2F">
      <w:pPr>
        <w:pStyle w:val="FootnoteText"/>
        <w:rPr>
          <w:lang w:val="nl-BE"/>
        </w:rPr>
      </w:pPr>
      <w:r>
        <w:rPr>
          <w:rStyle w:val="FootnoteReference"/>
        </w:rPr>
        <w:footnoteRef/>
      </w:r>
      <w:r>
        <w:t xml:space="preserve"> </w:t>
      </w:r>
      <w:r w:rsidRPr="00FB1D2F">
        <w:t xml:space="preserve">NHS Health Research Authority. COBALT: Study of </w:t>
      </w:r>
      <w:proofErr w:type="spellStart"/>
      <w:r w:rsidRPr="00FB1D2F">
        <w:t>Obeticholic</w:t>
      </w:r>
      <w:proofErr w:type="spellEnd"/>
      <w:r w:rsidRPr="00FB1D2F">
        <w:t xml:space="preserve"> Acid in Primary Biliary Cirrhosis. </w:t>
      </w:r>
      <w:r w:rsidRPr="00BD2531">
        <w:rPr>
          <w:lang w:val="nl-BE"/>
        </w:rPr>
        <w:t xml:space="preserve">Website: </w:t>
      </w:r>
      <w:r>
        <w:fldChar w:fldCharType="begin"/>
      </w:r>
      <w:r w:rsidRPr="00BD2531">
        <w:rPr>
          <w:lang w:val="nl-BE"/>
        </w:rPr>
        <w:instrText>HYPERLINK "https://www.hra.nhs.uk/planning-and-improving-research/application-summaries/research-summaries/cobalt-study-of-obeticholic-acid-in-primary-biliary-cirrhosis/"</w:instrText>
      </w:r>
      <w:r>
        <w:fldChar w:fldCharType="separate"/>
      </w:r>
      <w:r w:rsidRPr="00BD2531">
        <w:rPr>
          <w:rStyle w:val="Hyperlink"/>
          <w:lang w:val="nl-BE"/>
        </w:rPr>
        <w:t>https://www.hra.nhs.uk/planning-and-improving-research/application-summaries/research-summaries/cobalt-study-of-obeticholic-acid-in-primary-biliary-cirrhosis/</w:t>
      </w:r>
      <w:r>
        <w:fldChar w:fldCharType="end"/>
      </w:r>
      <w:r w:rsidRPr="00BD2531">
        <w:rPr>
          <w:lang w:val="nl-BE"/>
        </w:rPr>
        <w:t>. Accessed 26 November 2024.</w:t>
      </w:r>
    </w:p>
  </w:footnote>
  <w:footnote w:id="12">
    <w:p w14:paraId="187F5AA6" w14:textId="46054824" w:rsidR="00D37DEA" w:rsidRDefault="00D37DEA">
      <w:pPr>
        <w:pStyle w:val="FootnoteText"/>
      </w:pPr>
      <w:r>
        <w:rPr>
          <w:rStyle w:val="FootnoteReference"/>
        </w:rPr>
        <w:footnoteRef/>
      </w:r>
      <w:r w:rsidRPr="00BD2531">
        <w:rPr>
          <w:lang w:val="nl-BE"/>
        </w:rPr>
        <w:t xml:space="preserve"> </w:t>
      </w:r>
      <w:r w:rsidRPr="00BD2531">
        <w:rPr>
          <w:lang w:val="nl-BE"/>
        </w:rPr>
        <w:t xml:space="preserve">Nevens </w:t>
      </w:r>
      <w:r w:rsidRPr="00BD2531">
        <w:rPr>
          <w:lang w:val="nl-BE"/>
        </w:rPr>
        <w:t xml:space="preserve">F, Andreone P, Mazzella G, Strasser SI, Bowlus C, Invernizzi P, Drenth JP, Pockros PJ, Regula J, Beuers U, Trauner M, Jones DE, Floreani A, Hohenester S, Luketic V, Shiffman M, van Erpecum KJ, Vargas V, Vincent C, Hirschfield GM, Shah H, Hansen B, Lindor KD, Marschall HU, Kowdley KV, Hooshmand-Rad R, Marmon T, Sheeron S, Pencek R, MacConell L, Pruzanski M, Shapiro D; POISE Study Group. </w:t>
      </w:r>
      <w:r w:rsidRPr="00D37DEA">
        <w:t xml:space="preserve">A Placebo-Controlled Trial of </w:t>
      </w:r>
      <w:proofErr w:type="spellStart"/>
      <w:r w:rsidRPr="00D37DEA">
        <w:t>Obeticholic</w:t>
      </w:r>
      <w:proofErr w:type="spellEnd"/>
      <w:r w:rsidRPr="00D37DEA">
        <w:t xml:space="preserve"> Acid in Primary Biliary Cholangitis. N Engl J Med. 2016 Aug 18;375(7):631-43. </w:t>
      </w:r>
      <w:proofErr w:type="spellStart"/>
      <w:r w:rsidRPr="00D37DEA">
        <w:t>doi</w:t>
      </w:r>
      <w:proofErr w:type="spellEnd"/>
      <w:r w:rsidRPr="00D37DEA">
        <w:t>: 10.1056/NEJMoa1509840. PMID: 27532829.</w:t>
      </w:r>
    </w:p>
  </w:footnote>
  <w:footnote w:id="13">
    <w:p w14:paraId="3D8610A5" w14:textId="1A529A32" w:rsidR="006F62E8" w:rsidRDefault="006F62E8">
      <w:pPr>
        <w:pStyle w:val="FootnoteText"/>
      </w:pPr>
      <w:r>
        <w:rPr>
          <w:rStyle w:val="FootnoteReference"/>
        </w:rPr>
        <w:footnoteRef/>
      </w:r>
      <w:r>
        <w:t xml:space="preserve"> </w:t>
      </w:r>
      <w:proofErr w:type="spellStart"/>
      <w:r w:rsidRPr="006F62E8">
        <w:t>Corpechot</w:t>
      </w:r>
      <w:proofErr w:type="spellEnd"/>
      <w:r w:rsidRPr="006F62E8">
        <w:t xml:space="preserve"> C, </w:t>
      </w:r>
      <w:proofErr w:type="spellStart"/>
      <w:r w:rsidRPr="006F62E8">
        <w:t>Chazouillères</w:t>
      </w:r>
      <w:proofErr w:type="spellEnd"/>
      <w:r w:rsidRPr="006F62E8">
        <w:t xml:space="preserve"> O, Rousseau A, Le </w:t>
      </w:r>
      <w:proofErr w:type="spellStart"/>
      <w:r w:rsidRPr="006F62E8">
        <w:t>Gruyer</w:t>
      </w:r>
      <w:proofErr w:type="spellEnd"/>
      <w:r w:rsidRPr="006F62E8">
        <w:t xml:space="preserve"> A, Habersetzer F, Mathurin P, Goria O, Potier P, </w:t>
      </w:r>
      <w:proofErr w:type="spellStart"/>
      <w:r w:rsidRPr="006F62E8">
        <w:t>Minello</w:t>
      </w:r>
      <w:proofErr w:type="spellEnd"/>
      <w:r w:rsidRPr="006F62E8">
        <w:t xml:space="preserve"> A, Silvain C, Abergel A, </w:t>
      </w:r>
      <w:proofErr w:type="spellStart"/>
      <w:r w:rsidRPr="006F62E8">
        <w:t>Debette</w:t>
      </w:r>
      <w:proofErr w:type="spellEnd"/>
      <w:r w:rsidRPr="006F62E8">
        <w:t xml:space="preserve">-Gratien M, Larrey D, Roux O, </w:t>
      </w:r>
      <w:proofErr w:type="spellStart"/>
      <w:r w:rsidRPr="006F62E8">
        <w:t>Bronowicki</w:t>
      </w:r>
      <w:proofErr w:type="spellEnd"/>
      <w:r w:rsidRPr="006F62E8">
        <w:t xml:space="preserve"> JP, Boursier J, de </w:t>
      </w:r>
      <w:proofErr w:type="spellStart"/>
      <w:r w:rsidRPr="006F62E8">
        <w:t>Ledinghen</w:t>
      </w:r>
      <w:proofErr w:type="spellEnd"/>
      <w:r w:rsidRPr="006F62E8">
        <w:t xml:space="preserve"> V, </w:t>
      </w:r>
      <w:proofErr w:type="spellStart"/>
      <w:r w:rsidRPr="006F62E8">
        <w:t>Heurgue-Berlot</w:t>
      </w:r>
      <w:proofErr w:type="spellEnd"/>
      <w:r w:rsidRPr="006F62E8">
        <w:t xml:space="preserve"> A, Nguyen-Khac E, </w:t>
      </w:r>
      <w:proofErr w:type="spellStart"/>
      <w:r w:rsidRPr="006F62E8">
        <w:t>Zoulim</w:t>
      </w:r>
      <w:proofErr w:type="spellEnd"/>
      <w:r w:rsidRPr="006F62E8">
        <w:t xml:space="preserve"> F, Ollivier-</w:t>
      </w:r>
      <w:proofErr w:type="spellStart"/>
      <w:r w:rsidRPr="006F62E8">
        <w:t>Hourmand</w:t>
      </w:r>
      <w:proofErr w:type="spellEnd"/>
      <w:r w:rsidRPr="006F62E8">
        <w:t xml:space="preserve"> I, Zarski JP, Nkontchou G, </w:t>
      </w:r>
      <w:proofErr w:type="spellStart"/>
      <w:r w:rsidRPr="006F62E8">
        <w:t>Lemoinne</w:t>
      </w:r>
      <w:proofErr w:type="spellEnd"/>
      <w:r w:rsidRPr="006F62E8">
        <w:t xml:space="preserve"> S, Humbert L, </w:t>
      </w:r>
      <w:proofErr w:type="spellStart"/>
      <w:r w:rsidRPr="006F62E8">
        <w:t>Rainteau</w:t>
      </w:r>
      <w:proofErr w:type="spellEnd"/>
      <w:r w:rsidRPr="006F62E8">
        <w:t xml:space="preserve"> D, Lefèvre G, de </w:t>
      </w:r>
      <w:proofErr w:type="spellStart"/>
      <w:r w:rsidRPr="006F62E8">
        <w:t>Chaisemartin</w:t>
      </w:r>
      <w:proofErr w:type="spellEnd"/>
      <w:r w:rsidRPr="006F62E8">
        <w:t xml:space="preserve"> L, Chollet-Martin S, </w:t>
      </w:r>
      <w:proofErr w:type="spellStart"/>
      <w:r w:rsidRPr="006F62E8">
        <w:t>Gaouar</w:t>
      </w:r>
      <w:proofErr w:type="spellEnd"/>
      <w:r w:rsidRPr="006F62E8">
        <w:t xml:space="preserve"> F, </w:t>
      </w:r>
      <w:proofErr w:type="spellStart"/>
      <w:r w:rsidRPr="006F62E8">
        <w:t>Admane</w:t>
      </w:r>
      <w:proofErr w:type="spellEnd"/>
      <w:r w:rsidRPr="006F62E8">
        <w:t xml:space="preserve"> FH, Simon T, Poupon R. A Placebo-Controlled Trial of Bezafibrate in Primary Biliary Cholangitis. N Engl J Med. 2018 Jun 7;378(23):2171-2181. </w:t>
      </w:r>
      <w:proofErr w:type="spellStart"/>
      <w:r w:rsidRPr="006F62E8">
        <w:t>doi</w:t>
      </w:r>
      <w:proofErr w:type="spellEnd"/>
      <w:r w:rsidRPr="006F62E8">
        <w:t>: 10.1056/NEJMoa1714519. PMID: 29874528.</w:t>
      </w:r>
    </w:p>
  </w:footnote>
  <w:footnote w:id="14">
    <w:p w14:paraId="6C77223F" w14:textId="4DFA96CF" w:rsidR="00E81286" w:rsidRDefault="00E81286">
      <w:pPr>
        <w:pStyle w:val="FootnoteText"/>
      </w:pPr>
      <w:r>
        <w:rPr>
          <w:rStyle w:val="FootnoteReference"/>
        </w:rPr>
        <w:footnoteRef/>
      </w:r>
      <w:r>
        <w:t xml:space="preserve"> </w:t>
      </w:r>
      <w:r w:rsidR="006678B7" w:rsidRPr="006678B7">
        <w:t xml:space="preserve">International Council for Harmonisation of Technical Requirements for Pharmaceuticals for Human Use. </w:t>
      </w:r>
      <w:r w:rsidR="006678B7">
        <w:t>I</w:t>
      </w:r>
      <w:r w:rsidR="006678B7" w:rsidRPr="006678B7">
        <w:t>CH Q3A (R2) Impurities in new drug substances - Scientific guideline</w:t>
      </w:r>
      <w:r w:rsidR="006678B7">
        <w:t>. 2006.</w:t>
      </w:r>
    </w:p>
  </w:footnote>
  <w:footnote w:id="15">
    <w:p w14:paraId="21F29AB6" w14:textId="6EC713AF" w:rsidR="00F86DB2" w:rsidRDefault="00F86DB2">
      <w:pPr>
        <w:pStyle w:val="FootnoteText"/>
      </w:pPr>
      <w:r>
        <w:rPr>
          <w:rStyle w:val="FootnoteReference"/>
        </w:rPr>
        <w:footnoteRef/>
      </w:r>
      <w:r>
        <w:t xml:space="preserve"> </w:t>
      </w:r>
      <w:r w:rsidRPr="00F86DB2">
        <w:t>International Council for Harmonisation of Technical Requirements for Pharmaceuticals for Human Use</w:t>
      </w:r>
      <w:r>
        <w:t>.</w:t>
      </w:r>
      <w:r w:rsidRPr="00F86DB2">
        <w:t xml:space="preserve"> ICH Q3B (R2) Impurities in new drug products - Scientific guideline</w:t>
      </w:r>
      <w:r>
        <w:t>. 2006.</w:t>
      </w:r>
    </w:p>
  </w:footnote>
  <w:footnote w:id="16">
    <w:p w14:paraId="1D9A2622" w14:textId="16A3F335" w:rsidR="00944F9D" w:rsidRDefault="00944F9D" w:rsidP="000111F4">
      <w:pPr>
        <w:pStyle w:val="FootnoteText"/>
      </w:pPr>
      <w:r>
        <w:rPr>
          <w:rStyle w:val="FootnoteReference"/>
        </w:rPr>
        <w:footnoteRef/>
      </w:r>
      <w:r>
        <w:t xml:space="preserve"> </w:t>
      </w:r>
      <w:r w:rsidRPr="00944F9D">
        <w:t xml:space="preserve">International Council for Harmonisation of Technical </w:t>
      </w:r>
      <w:r w:rsidRPr="000111F4">
        <w:t>Requirements</w:t>
      </w:r>
      <w:r w:rsidRPr="00944F9D">
        <w:t xml:space="preserve"> for Pharmaceuticals for Human Use. ICH M3 (R2) </w:t>
      </w:r>
      <w:proofErr w:type="gramStart"/>
      <w:r w:rsidRPr="00944F9D">
        <w:t>Non-clinical</w:t>
      </w:r>
      <w:proofErr w:type="gramEnd"/>
      <w:r w:rsidRPr="00944F9D">
        <w:t xml:space="preserve"> safety studies for the conduct of human clinical trials for pharmaceuticals - Scientific guideline. 2013.</w:t>
      </w:r>
    </w:p>
  </w:footnote>
  <w:footnote w:id="17">
    <w:p w14:paraId="3B323182" w14:textId="2108A202" w:rsidR="009672D9" w:rsidRDefault="009672D9">
      <w:pPr>
        <w:pStyle w:val="FootnoteText"/>
      </w:pPr>
      <w:r>
        <w:rPr>
          <w:rStyle w:val="FootnoteReference"/>
        </w:rPr>
        <w:footnoteRef/>
      </w:r>
      <w:r>
        <w:t xml:space="preserve"> Nevens, F, 2016.</w:t>
      </w:r>
    </w:p>
  </w:footnote>
  <w:footnote w:id="18">
    <w:p w14:paraId="106B27F6" w14:textId="45BE31C5" w:rsidR="00AA22D0" w:rsidRDefault="00AA22D0">
      <w:pPr>
        <w:pStyle w:val="FootnoteText"/>
      </w:pPr>
      <w:r>
        <w:rPr>
          <w:rStyle w:val="FootnoteReference"/>
        </w:rPr>
        <w:footnoteRef/>
      </w:r>
      <w:r>
        <w:t xml:space="preserve"> European Medicines Agency. </w:t>
      </w:r>
      <w:r w:rsidRPr="00AA22D0">
        <w:t>Reflection paper on regulatory requirements for the development of medicinal products for primary biliary cholangitis, PBC, and primary sclerosing cholangitis, PSC</w:t>
      </w:r>
      <w:r>
        <w:t>. 2023.</w:t>
      </w:r>
    </w:p>
  </w:footnote>
  <w:footnote w:id="19">
    <w:p w14:paraId="47E8FAF7" w14:textId="2C881F4B" w:rsidR="00AA22D0" w:rsidRDefault="00AA22D0">
      <w:pPr>
        <w:pStyle w:val="FootnoteText"/>
      </w:pPr>
      <w:r>
        <w:rPr>
          <w:rStyle w:val="FootnoteReference"/>
        </w:rPr>
        <w:footnoteRef/>
      </w:r>
      <w:r>
        <w:t xml:space="preserve"> </w:t>
      </w:r>
      <w:r w:rsidRPr="00AA22D0">
        <w:t>European Medicines Agency.</w:t>
      </w:r>
      <w:r>
        <w:t xml:space="preserve"> 2023.</w:t>
      </w:r>
    </w:p>
  </w:footnote>
  <w:footnote w:id="20">
    <w:p w14:paraId="6014DA5D" w14:textId="32D994F6" w:rsidR="00ED3C0B" w:rsidRDefault="00ED3C0B">
      <w:pPr>
        <w:pStyle w:val="FootnoteText"/>
      </w:pPr>
      <w:r>
        <w:rPr>
          <w:rStyle w:val="FootnoteReference"/>
        </w:rPr>
        <w:footnoteRef/>
      </w:r>
      <w:r>
        <w:t xml:space="preserve"> </w:t>
      </w:r>
      <w:r w:rsidRPr="00ED3C0B">
        <w:t>A "Delegate" refers to a person within the TGA who has been conferred the authority to make decisions about the approval of therapeutic goods for supply in Australia, under section 25 of the Therapeutic Goods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C82F86"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9"/>
  </w:num>
  <w:num w:numId="5" w16cid:durableId="1652950129">
    <w:abstractNumId w:val="5"/>
  </w:num>
  <w:num w:numId="6" w16cid:durableId="1053193207">
    <w:abstractNumId w:val="7"/>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8"/>
  </w:num>
  <w:num w:numId="9" w16cid:durableId="173421270">
    <w:abstractNumId w:val="1"/>
  </w:num>
  <w:num w:numId="10" w16cid:durableId="2108043357">
    <w:abstractNumId w:val="4"/>
  </w:num>
  <w:num w:numId="11" w16cid:durableId="1725904230">
    <w:abstractNumId w:val="6"/>
  </w:num>
  <w:num w:numId="12" w16cid:durableId="141579354">
    <w:abstractNumId w:val="10"/>
  </w:num>
  <w:num w:numId="13" w16cid:durableId="283735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1064C"/>
    <w:rsid w:val="000111F4"/>
    <w:rsid w:val="0001384A"/>
    <w:rsid w:val="00021C13"/>
    <w:rsid w:val="0003032D"/>
    <w:rsid w:val="000324A2"/>
    <w:rsid w:val="00032A0F"/>
    <w:rsid w:val="000354EC"/>
    <w:rsid w:val="00040D8D"/>
    <w:rsid w:val="00046423"/>
    <w:rsid w:val="000477F5"/>
    <w:rsid w:val="00053465"/>
    <w:rsid w:val="0006104E"/>
    <w:rsid w:val="000640BD"/>
    <w:rsid w:val="00065839"/>
    <w:rsid w:val="00065FDF"/>
    <w:rsid w:val="0006693A"/>
    <w:rsid w:val="00070F66"/>
    <w:rsid w:val="00071E94"/>
    <w:rsid w:val="00077844"/>
    <w:rsid w:val="00080590"/>
    <w:rsid w:val="00083763"/>
    <w:rsid w:val="00090510"/>
    <w:rsid w:val="00090FDF"/>
    <w:rsid w:val="000917AE"/>
    <w:rsid w:val="00094B81"/>
    <w:rsid w:val="00095C6A"/>
    <w:rsid w:val="000975AA"/>
    <w:rsid w:val="000B2260"/>
    <w:rsid w:val="000B6B15"/>
    <w:rsid w:val="000C25A7"/>
    <w:rsid w:val="000D0A3E"/>
    <w:rsid w:val="000D0A48"/>
    <w:rsid w:val="000D0EF0"/>
    <w:rsid w:val="000D229E"/>
    <w:rsid w:val="000D4B59"/>
    <w:rsid w:val="000D78EC"/>
    <w:rsid w:val="000D7934"/>
    <w:rsid w:val="000E2434"/>
    <w:rsid w:val="000E2597"/>
    <w:rsid w:val="000E504E"/>
    <w:rsid w:val="000E5D64"/>
    <w:rsid w:val="000E6746"/>
    <w:rsid w:val="000F6D53"/>
    <w:rsid w:val="000F7B51"/>
    <w:rsid w:val="00101BEE"/>
    <w:rsid w:val="00101CE6"/>
    <w:rsid w:val="00101FB1"/>
    <w:rsid w:val="0010558A"/>
    <w:rsid w:val="001071F0"/>
    <w:rsid w:val="001101FF"/>
    <w:rsid w:val="00111989"/>
    <w:rsid w:val="00113F9F"/>
    <w:rsid w:val="00114025"/>
    <w:rsid w:val="0012265D"/>
    <w:rsid w:val="0012473C"/>
    <w:rsid w:val="00127A74"/>
    <w:rsid w:val="0013132F"/>
    <w:rsid w:val="00131B1B"/>
    <w:rsid w:val="0013306D"/>
    <w:rsid w:val="00133F91"/>
    <w:rsid w:val="0013528C"/>
    <w:rsid w:val="001442A2"/>
    <w:rsid w:val="001468CA"/>
    <w:rsid w:val="001500A8"/>
    <w:rsid w:val="00155D85"/>
    <w:rsid w:val="001659BE"/>
    <w:rsid w:val="00165D28"/>
    <w:rsid w:val="0017005C"/>
    <w:rsid w:val="00175CD8"/>
    <w:rsid w:val="001768BE"/>
    <w:rsid w:val="00182BD8"/>
    <w:rsid w:val="00183A66"/>
    <w:rsid w:val="00184E11"/>
    <w:rsid w:val="0018553E"/>
    <w:rsid w:val="00185646"/>
    <w:rsid w:val="00190853"/>
    <w:rsid w:val="001A0C7C"/>
    <w:rsid w:val="001A4208"/>
    <w:rsid w:val="001A716C"/>
    <w:rsid w:val="001A76F9"/>
    <w:rsid w:val="001B06FF"/>
    <w:rsid w:val="001B1703"/>
    <w:rsid w:val="001B5CA6"/>
    <w:rsid w:val="001C1C2E"/>
    <w:rsid w:val="001C31A1"/>
    <w:rsid w:val="001C3FA2"/>
    <w:rsid w:val="001C5EE2"/>
    <w:rsid w:val="001C641C"/>
    <w:rsid w:val="001C7CC0"/>
    <w:rsid w:val="001D0077"/>
    <w:rsid w:val="001D353A"/>
    <w:rsid w:val="001E407B"/>
    <w:rsid w:val="001E7FC6"/>
    <w:rsid w:val="001F2502"/>
    <w:rsid w:val="001F6EE3"/>
    <w:rsid w:val="001F70A5"/>
    <w:rsid w:val="0020235D"/>
    <w:rsid w:val="0020369B"/>
    <w:rsid w:val="00207474"/>
    <w:rsid w:val="00207B4D"/>
    <w:rsid w:val="0021007C"/>
    <w:rsid w:val="00210649"/>
    <w:rsid w:val="00210F9B"/>
    <w:rsid w:val="002117B1"/>
    <w:rsid w:val="00217CCE"/>
    <w:rsid w:val="002203B1"/>
    <w:rsid w:val="002227C6"/>
    <w:rsid w:val="002250C2"/>
    <w:rsid w:val="0022687A"/>
    <w:rsid w:val="00226F39"/>
    <w:rsid w:val="002334AD"/>
    <w:rsid w:val="00241B60"/>
    <w:rsid w:val="00256193"/>
    <w:rsid w:val="0025785B"/>
    <w:rsid w:val="00257969"/>
    <w:rsid w:val="00264B66"/>
    <w:rsid w:val="00265CD1"/>
    <w:rsid w:val="00277890"/>
    <w:rsid w:val="00280048"/>
    <w:rsid w:val="0028489E"/>
    <w:rsid w:val="002848DE"/>
    <w:rsid w:val="00286C95"/>
    <w:rsid w:val="0028794E"/>
    <w:rsid w:val="002912CA"/>
    <w:rsid w:val="0029733B"/>
    <w:rsid w:val="002A0544"/>
    <w:rsid w:val="002A1C06"/>
    <w:rsid w:val="002A44FC"/>
    <w:rsid w:val="002A5841"/>
    <w:rsid w:val="002B1EDF"/>
    <w:rsid w:val="002B2061"/>
    <w:rsid w:val="002B20F3"/>
    <w:rsid w:val="002B4D05"/>
    <w:rsid w:val="002C1232"/>
    <w:rsid w:val="002C1E44"/>
    <w:rsid w:val="002C3528"/>
    <w:rsid w:val="002C48CE"/>
    <w:rsid w:val="002C5C92"/>
    <w:rsid w:val="002C5E29"/>
    <w:rsid w:val="002D0478"/>
    <w:rsid w:val="002D1497"/>
    <w:rsid w:val="002D47B5"/>
    <w:rsid w:val="002D7127"/>
    <w:rsid w:val="002E2849"/>
    <w:rsid w:val="002F116C"/>
    <w:rsid w:val="002F3C5A"/>
    <w:rsid w:val="002F599E"/>
    <w:rsid w:val="002F6F56"/>
    <w:rsid w:val="003008D8"/>
    <w:rsid w:val="00301D9A"/>
    <w:rsid w:val="00303959"/>
    <w:rsid w:val="00306E72"/>
    <w:rsid w:val="00312AC3"/>
    <w:rsid w:val="00314430"/>
    <w:rsid w:val="003163BC"/>
    <w:rsid w:val="00317CE3"/>
    <w:rsid w:val="003212D9"/>
    <w:rsid w:val="00323131"/>
    <w:rsid w:val="0032351A"/>
    <w:rsid w:val="00324B33"/>
    <w:rsid w:val="003263AA"/>
    <w:rsid w:val="00327488"/>
    <w:rsid w:val="0033169F"/>
    <w:rsid w:val="00336FE1"/>
    <w:rsid w:val="00342D56"/>
    <w:rsid w:val="00344389"/>
    <w:rsid w:val="003456E7"/>
    <w:rsid w:val="00346EC2"/>
    <w:rsid w:val="003477F9"/>
    <w:rsid w:val="0035444D"/>
    <w:rsid w:val="00356D62"/>
    <w:rsid w:val="00363EE3"/>
    <w:rsid w:val="003735F3"/>
    <w:rsid w:val="00374729"/>
    <w:rsid w:val="00381038"/>
    <w:rsid w:val="00387298"/>
    <w:rsid w:val="00387984"/>
    <w:rsid w:val="003933CB"/>
    <w:rsid w:val="0039497F"/>
    <w:rsid w:val="00395140"/>
    <w:rsid w:val="003A2422"/>
    <w:rsid w:val="003B149C"/>
    <w:rsid w:val="003C0455"/>
    <w:rsid w:val="003C0FDB"/>
    <w:rsid w:val="003C1192"/>
    <w:rsid w:val="003C1E6E"/>
    <w:rsid w:val="003C32BE"/>
    <w:rsid w:val="003C55E2"/>
    <w:rsid w:val="003C63D5"/>
    <w:rsid w:val="003C6B30"/>
    <w:rsid w:val="003C7AA8"/>
    <w:rsid w:val="003D71A1"/>
    <w:rsid w:val="003E4C3A"/>
    <w:rsid w:val="003E4FBE"/>
    <w:rsid w:val="003F3D63"/>
    <w:rsid w:val="00401D9C"/>
    <w:rsid w:val="00414275"/>
    <w:rsid w:val="0041688F"/>
    <w:rsid w:val="00417D9A"/>
    <w:rsid w:val="00421D79"/>
    <w:rsid w:val="0042376F"/>
    <w:rsid w:val="004246B8"/>
    <w:rsid w:val="004248F1"/>
    <w:rsid w:val="00433318"/>
    <w:rsid w:val="00434F36"/>
    <w:rsid w:val="004411D9"/>
    <w:rsid w:val="004426ED"/>
    <w:rsid w:val="00442A56"/>
    <w:rsid w:val="004444B0"/>
    <w:rsid w:val="004446E3"/>
    <w:rsid w:val="004459D2"/>
    <w:rsid w:val="00446321"/>
    <w:rsid w:val="00446390"/>
    <w:rsid w:val="0044709A"/>
    <w:rsid w:val="00450315"/>
    <w:rsid w:val="0045060B"/>
    <w:rsid w:val="00456362"/>
    <w:rsid w:val="004626FF"/>
    <w:rsid w:val="0046285C"/>
    <w:rsid w:val="00465A3D"/>
    <w:rsid w:val="00470A52"/>
    <w:rsid w:val="00471BD5"/>
    <w:rsid w:val="00477C4E"/>
    <w:rsid w:val="00477F07"/>
    <w:rsid w:val="00480A4C"/>
    <w:rsid w:val="00481503"/>
    <w:rsid w:val="00481D12"/>
    <w:rsid w:val="0048333F"/>
    <w:rsid w:val="004854A6"/>
    <w:rsid w:val="00491A55"/>
    <w:rsid w:val="00494C3E"/>
    <w:rsid w:val="004960BD"/>
    <w:rsid w:val="00497DF1"/>
    <w:rsid w:val="004A318E"/>
    <w:rsid w:val="004A45D4"/>
    <w:rsid w:val="004A57E8"/>
    <w:rsid w:val="004A5A16"/>
    <w:rsid w:val="004B131A"/>
    <w:rsid w:val="004B3081"/>
    <w:rsid w:val="004B47C1"/>
    <w:rsid w:val="004B4A09"/>
    <w:rsid w:val="004C41CE"/>
    <w:rsid w:val="004C5054"/>
    <w:rsid w:val="004C631B"/>
    <w:rsid w:val="004C7D69"/>
    <w:rsid w:val="004D0933"/>
    <w:rsid w:val="004D2F00"/>
    <w:rsid w:val="004D31D8"/>
    <w:rsid w:val="004D35D1"/>
    <w:rsid w:val="004D5388"/>
    <w:rsid w:val="004D742A"/>
    <w:rsid w:val="004E4655"/>
    <w:rsid w:val="004E7F16"/>
    <w:rsid w:val="004F18EC"/>
    <w:rsid w:val="004F2BE3"/>
    <w:rsid w:val="004F58F8"/>
    <w:rsid w:val="00500D68"/>
    <w:rsid w:val="00500DC9"/>
    <w:rsid w:val="005042C7"/>
    <w:rsid w:val="00512176"/>
    <w:rsid w:val="00516305"/>
    <w:rsid w:val="005218A3"/>
    <w:rsid w:val="0053377D"/>
    <w:rsid w:val="00535DFE"/>
    <w:rsid w:val="005373B5"/>
    <w:rsid w:val="00537AB7"/>
    <w:rsid w:val="00543610"/>
    <w:rsid w:val="00543F3C"/>
    <w:rsid w:val="0054669B"/>
    <w:rsid w:val="00555D33"/>
    <w:rsid w:val="00557684"/>
    <w:rsid w:val="005610D1"/>
    <w:rsid w:val="00562F42"/>
    <w:rsid w:val="00563D54"/>
    <w:rsid w:val="0056532B"/>
    <w:rsid w:val="00565739"/>
    <w:rsid w:val="00566A78"/>
    <w:rsid w:val="0056744E"/>
    <w:rsid w:val="0056766D"/>
    <w:rsid w:val="00567A1B"/>
    <w:rsid w:val="00574BAB"/>
    <w:rsid w:val="00575215"/>
    <w:rsid w:val="005775D0"/>
    <w:rsid w:val="00581138"/>
    <w:rsid w:val="0058575E"/>
    <w:rsid w:val="0058783C"/>
    <w:rsid w:val="00590632"/>
    <w:rsid w:val="005911AE"/>
    <w:rsid w:val="005926E2"/>
    <w:rsid w:val="0059313A"/>
    <w:rsid w:val="005947F6"/>
    <w:rsid w:val="005A54EA"/>
    <w:rsid w:val="005B023F"/>
    <w:rsid w:val="005B02A2"/>
    <w:rsid w:val="005B1417"/>
    <w:rsid w:val="005B3A56"/>
    <w:rsid w:val="005B514C"/>
    <w:rsid w:val="005B69CF"/>
    <w:rsid w:val="005B7629"/>
    <w:rsid w:val="005C3F07"/>
    <w:rsid w:val="005C4B46"/>
    <w:rsid w:val="005C5CD7"/>
    <w:rsid w:val="005C5DC5"/>
    <w:rsid w:val="005D2089"/>
    <w:rsid w:val="005D5DFA"/>
    <w:rsid w:val="005D5F54"/>
    <w:rsid w:val="005D7514"/>
    <w:rsid w:val="005E0FC6"/>
    <w:rsid w:val="005E1A7B"/>
    <w:rsid w:val="005E231F"/>
    <w:rsid w:val="005E33BC"/>
    <w:rsid w:val="005E6F79"/>
    <w:rsid w:val="006029C9"/>
    <w:rsid w:val="00602D04"/>
    <w:rsid w:val="00602D6E"/>
    <w:rsid w:val="00605C05"/>
    <w:rsid w:val="00611351"/>
    <w:rsid w:val="0061217D"/>
    <w:rsid w:val="006129AE"/>
    <w:rsid w:val="006171F6"/>
    <w:rsid w:val="006257D9"/>
    <w:rsid w:val="006277A1"/>
    <w:rsid w:val="00633BD7"/>
    <w:rsid w:val="00634580"/>
    <w:rsid w:val="00634884"/>
    <w:rsid w:val="00634A2D"/>
    <w:rsid w:val="006351D9"/>
    <w:rsid w:val="00637130"/>
    <w:rsid w:val="00637725"/>
    <w:rsid w:val="00637F0E"/>
    <w:rsid w:val="00641EB6"/>
    <w:rsid w:val="006423F2"/>
    <w:rsid w:val="006428C5"/>
    <w:rsid w:val="00645CD9"/>
    <w:rsid w:val="00650234"/>
    <w:rsid w:val="0066044B"/>
    <w:rsid w:val="00660C2B"/>
    <w:rsid w:val="006630AA"/>
    <w:rsid w:val="00663544"/>
    <w:rsid w:val="00666539"/>
    <w:rsid w:val="00666911"/>
    <w:rsid w:val="006678B7"/>
    <w:rsid w:val="00671305"/>
    <w:rsid w:val="00675F81"/>
    <w:rsid w:val="0068143E"/>
    <w:rsid w:val="0068507D"/>
    <w:rsid w:val="00690286"/>
    <w:rsid w:val="00691AF2"/>
    <w:rsid w:val="0069243D"/>
    <w:rsid w:val="00692B80"/>
    <w:rsid w:val="00692CCD"/>
    <w:rsid w:val="00692D51"/>
    <w:rsid w:val="00694DD7"/>
    <w:rsid w:val="0069636B"/>
    <w:rsid w:val="006A0E0B"/>
    <w:rsid w:val="006A1762"/>
    <w:rsid w:val="006A19CE"/>
    <w:rsid w:val="006A1F0B"/>
    <w:rsid w:val="006A277A"/>
    <w:rsid w:val="006A5973"/>
    <w:rsid w:val="006B04F3"/>
    <w:rsid w:val="006B4A03"/>
    <w:rsid w:val="006B7126"/>
    <w:rsid w:val="006C170D"/>
    <w:rsid w:val="006C6B86"/>
    <w:rsid w:val="006D0E86"/>
    <w:rsid w:val="006D4553"/>
    <w:rsid w:val="006D4A35"/>
    <w:rsid w:val="006D6B44"/>
    <w:rsid w:val="006E0F71"/>
    <w:rsid w:val="006E1BB4"/>
    <w:rsid w:val="006E27FE"/>
    <w:rsid w:val="006F2F3C"/>
    <w:rsid w:val="006F62E8"/>
    <w:rsid w:val="006F7EC4"/>
    <w:rsid w:val="00701110"/>
    <w:rsid w:val="00702E91"/>
    <w:rsid w:val="0070330F"/>
    <w:rsid w:val="00703624"/>
    <w:rsid w:val="007046ED"/>
    <w:rsid w:val="007072A1"/>
    <w:rsid w:val="0071060C"/>
    <w:rsid w:val="00710BC5"/>
    <w:rsid w:val="007121CA"/>
    <w:rsid w:val="00717944"/>
    <w:rsid w:val="0072003B"/>
    <w:rsid w:val="00721059"/>
    <w:rsid w:val="007211E6"/>
    <w:rsid w:val="007220C4"/>
    <w:rsid w:val="007305ED"/>
    <w:rsid w:val="00732361"/>
    <w:rsid w:val="007357B9"/>
    <w:rsid w:val="00736506"/>
    <w:rsid w:val="00736E5C"/>
    <w:rsid w:val="0073776B"/>
    <w:rsid w:val="00741AB9"/>
    <w:rsid w:val="00742D03"/>
    <w:rsid w:val="00744216"/>
    <w:rsid w:val="007452E8"/>
    <w:rsid w:val="00745C1D"/>
    <w:rsid w:val="00746990"/>
    <w:rsid w:val="00747093"/>
    <w:rsid w:val="00750D70"/>
    <w:rsid w:val="007575D0"/>
    <w:rsid w:val="007662E0"/>
    <w:rsid w:val="00772EFC"/>
    <w:rsid w:val="00773400"/>
    <w:rsid w:val="0077397E"/>
    <w:rsid w:val="007751CD"/>
    <w:rsid w:val="00776E9C"/>
    <w:rsid w:val="00780AB6"/>
    <w:rsid w:val="00780EDC"/>
    <w:rsid w:val="007816D8"/>
    <w:rsid w:val="007840D4"/>
    <w:rsid w:val="00784150"/>
    <w:rsid w:val="007853B8"/>
    <w:rsid w:val="00786D60"/>
    <w:rsid w:val="00790372"/>
    <w:rsid w:val="00793272"/>
    <w:rsid w:val="0079499A"/>
    <w:rsid w:val="00794B64"/>
    <w:rsid w:val="007967C3"/>
    <w:rsid w:val="007A0A33"/>
    <w:rsid w:val="007A2B3C"/>
    <w:rsid w:val="007A2E58"/>
    <w:rsid w:val="007B04DE"/>
    <w:rsid w:val="007B0AE6"/>
    <w:rsid w:val="007B336C"/>
    <w:rsid w:val="007C0F0B"/>
    <w:rsid w:val="007C153A"/>
    <w:rsid w:val="007C57BC"/>
    <w:rsid w:val="007D04CA"/>
    <w:rsid w:val="007D0A2B"/>
    <w:rsid w:val="007D12A1"/>
    <w:rsid w:val="007D40E5"/>
    <w:rsid w:val="007D4138"/>
    <w:rsid w:val="007E4178"/>
    <w:rsid w:val="007E50E2"/>
    <w:rsid w:val="007E6443"/>
    <w:rsid w:val="007F028E"/>
    <w:rsid w:val="007F0A77"/>
    <w:rsid w:val="007F1E37"/>
    <w:rsid w:val="007F50D3"/>
    <w:rsid w:val="007F6B1F"/>
    <w:rsid w:val="008013F0"/>
    <w:rsid w:val="00802B51"/>
    <w:rsid w:val="00803926"/>
    <w:rsid w:val="00804897"/>
    <w:rsid w:val="00807D41"/>
    <w:rsid w:val="008139E6"/>
    <w:rsid w:val="008329DB"/>
    <w:rsid w:val="00832BC7"/>
    <w:rsid w:val="008350B3"/>
    <w:rsid w:val="008361C5"/>
    <w:rsid w:val="0083628F"/>
    <w:rsid w:val="00837AB9"/>
    <w:rsid w:val="00850637"/>
    <w:rsid w:val="00854D98"/>
    <w:rsid w:val="008565C8"/>
    <w:rsid w:val="0085751E"/>
    <w:rsid w:val="00860B29"/>
    <w:rsid w:val="00861F13"/>
    <w:rsid w:val="008622E8"/>
    <w:rsid w:val="008645EE"/>
    <w:rsid w:val="00870144"/>
    <w:rsid w:val="0087072C"/>
    <w:rsid w:val="00871312"/>
    <w:rsid w:val="00873D7A"/>
    <w:rsid w:val="00877CB3"/>
    <w:rsid w:val="008804CF"/>
    <w:rsid w:val="00880C46"/>
    <w:rsid w:val="00882D58"/>
    <w:rsid w:val="00882F19"/>
    <w:rsid w:val="00883D35"/>
    <w:rsid w:val="00884569"/>
    <w:rsid w:val="00887A51"/>
    <w:rsid w:val="0089038A"/>
    <w:rsid w:val="00890D9B"/>
    <w:rsid w:val="00891C6C"/>
    <w:rsid w:val="008928A2"/>
    <w:rsid w:val="00893CCD"/>
    <w:rsid w:val="0089530A"/>
    <w:rsid w:val="008964B3"/>
    <w:rsid w:val="008B1CB5"/>
    <w:rsid w:val="008B437E"/>
    <w:rsid w:val="008B769A"/>
    <w:rsid w:val="008C2D69"/>
    <w:rsid w:val="008C49C6"/>
    <w:rsid w:val="008C754C"/>
    <w:rsid w:val="008D2B26"/>
    <w:rsid w:val="008D56C9"/>
    <w:rsid w:val="008D56CA"/>
    <w:rsid w:val="008D693D"/>
    <w:rsid w:val="008D6A54"/>
    <w:rsid w:val="008E2585"/>
    <w:rsid w:val="008E2D7A"/>
    <w:rsid w:val="008F2425"/>
    <w:rsid w:val="008F3215"/>
    <w:rsid w:val="008F4A62"/>
    <w:rsid w:val="008F7256"/>
    <w:rsid w:val="00900A3D"/>
    <w:rsid w:val="00901814"/>
    <w:rsid w:val="0090424C"/>
    <w:rsid w:val="0090605E"/>
    <w:rsid w:val="009108CE"/>
    <w:rsid w:val="00915229"/>
    <w:rsid w:val="00915A9F"/>
    <w:rsid w:val="009226CC"/>
    <w:rsid w:val="00930D58"/>
    <w:rsid w:val="00935AAA"/>
    <w:rsid w:val="00935B82"/>
    <w:rsid w:val="0093679B"/>
    <w:rsid w:val="00936928"/>
    <w:rsid w:val="00940231"/>
    <w:rsid w:val="00944F9D"/>
    <w:rsid w:val="0095031E"/>
    <w:rsid w:val="00954037"/>
    <w:rsid w:val="00954297"/>
    <w:rsid w:val="00960A56"/>
    <w:rsid w:val="00966EF1"/>
    <w:rsid w:val="00967223"/>
    <w:rsid w:val="009672D9"/>
    <w:rsid w:val="009735BA"/>
    <w:rsid w:val="009751F7"/>
    <w:rsid w:val="00976863"/>
    <w:rsid w:val="00976DE4"/>
    <w:rsid w:val="0098350E"/>
    <w:rsid w:val="00990C12"/>
    <w:rsid w:val="0099201E"/>
    <w:rsid w:val="00993E8B"/>
    <w:rsid w:val="0099404F"/>
    <w:rsid w:val="00995935"/>
    <w:rsid w:val="00996FA5"/>
    <w:rsid w:val="009A2BF3"/>
    <w:rsid w:val="009B0EDF"/>
    <w:rsid w:val="009B3B0A"/>
    <w:rsid w:val="009B40A9"/>
    <w:rsid w:val="009B5662"/>
    <w:rsid w:val="009C2211"/>
    <w:rsid w:val="009C40E8"/>
    <w:rsid w:val="009C45C5"/>
    <w:rsid w:val="009C61F5"/>
    <w:rsid w:val="009D36E7"/>
    <w:rsid w:val="009E6858"/>
    <w:rsid w:val="009E6F8C"/>
    <w:rsid w:val="009F0F31"/>
    <w:rsid w:val="009F405F"/>
    <w:rsid w:val="009F5F16"/>
    <w:rsid w:val="00A01C56"/>
    <w:rsid w:val="00A066A7"/>
    <w:rsid w:val="00A120D5"/>
    <w:rsid w:val="00A15B07"/>
    <w:rsid w:val="00A21849"/>
    <w:rsid w:val="00A32C50"/>
    <w:rsid w:val="00A358E7"/>
    <w:rsid w:val="00A360BE"/>
    <w:rsid w:val="00A4380B"/>
    <w:rsid w:val="00A452E4"/>
    <w:rsid w:val="00A51A2D"/>
    <w:rsid w:val="00A54141"/>
    <w:rsid w:val="00A54148"/>
    <w:rsid w:val="00A5596B"/>
    <w:rsid w:val="00A632FA"/>
    <w:rsid w:val="00A63C07"/>
    <w:rsid w:val="00A63D9B"/>
    <w:rsid w:val="00A704DC"/>
    <w:rsid w:val="00A705E0"/>
    <w:rsid w:val="00A756AF"/>
    <w:rsid w:val="00A77A72"/>
    <w:rsid w:val="00A87E88"/>
    <w:rsid w:val="00A93DC6"/>
    <w:rsid w:val="00A9411A"/>
    <w:rsid w:val="00AA22D0"/>
    <w:rsid w:val="00AA4A4B"/>
    <w:rsid w:val="00AA6682"/>
    <w:rsid w:val="00AA7003"/>
    <w:rsid w:val="00AA7396"/>
    <w:rsid w:val="00AB03A6"/>
    <w:rsid w:val="00AB0613"/>
    <w:rsid w:val="00AB4D59"/>
    <w:rsid w:val="00AB7C5C"/>
    <w:rsid w:val="00AB7CBF"/>
    <w:rsid w:val="00AC605C"/>
    <w:rsid w:val="00AD0111"/>
    <w:rsid w:val="00AD0B68"/>
    <w:rsid w:val="00AD4C72"/>
    <w:rsid w:val="00AD5451"/>
    <w:rsid w:val="00AE1112"/>
    <w:rsid w:val="00AE1947"/>
    <w:rsid w:val="00AF1C8B"/>
    <w:rsid w:val="00AF299B"/>
    <w:rsid w:val="00AF32A7"/>
    <w:rsid w:val="00AF7E43"/>
    <w:rsid w:val="00B02AE0"/>
    <w:rsid w:val="00B035BA"/>
    <w:rsid w:val="00B03F25"/>
    <w:rsid w:val="00B05326"/>
    <w:rsid w:val="00B14545"/>
    <w:rsid w:val="00B14E60"/>
    <w:rsid w:val="00B17BA2"/>
    <w:rsid w:val="00B263D0"/>
    <w:rsid w:val="00B269FE"/>
    <w:rsid w:val="00B26DC3"/>
    <w:rsid w:val="00B27E5F"/>
    <w:rsid w:val="00B30B9D"/>
    <w:rsid w:val="00B41AE6"/>
    <w:rsid w:val="00B41CE5"/>
    <w:rsid w:val="00B4245A"/>
    <w:rsid w:val="00B44304"/>
    <w:rsid w:val="00B4574D"/>
    <w:rsid w:val="00B468E1"/>
    <w:rsid w:val="00B46BC0"/>
    <w:rsid w:val="00B46DFB"/>
    <w:rsid w:val="00B5141B"/>
    <w:rsid w:val="00B54394"/>
    <w:rsid w:val="00B55681"/>
    <w:rsid w:val="00B57AAD"/>
    <w:rsid w:val="00B6374E"/>
    <w:rsid w:val="00B63900"/>
    <w:rsid w:val="00B72B16"/>
    <w:rsid w:val="00B80408"/>
    <w:rsid w:val="00B81397"/>
    <w:rsid w:val="00B92554"/>
    <w:rsid w:val="00B925DB"/>
    <w:rsid w:val="00B967FF"/>
    <w:rsid w:val="00B974B9"/>
    <w:rsid w:val="00BA3F6D"/>
    <w:rsid w:val="00BA4BE6"/>
    <w:rsid w:val="00BA4FC0"/>
    <w:rsid w:val="00BA531F"/>
    <w:rsid w:val="00BA616A"/>
    <w:rsid w:val="00BA61E0"/>
    <w:rsid w:val="00BA657C"/>
    <w:rsid w:val="00BA6909"/>
    <w:rsid w:val="00BA7E42"/>
    <w:rsid w:val="00BA7F7D"/>
    <w:rsid w:val="00BB1C14"/>
    <w:rsid w:val="00BB25A3"/>
    <w:rsid w:val="00BB6847"/>
    <w:rsid w:val="00BB7F8F"/>
    <w:rsid w:val="00BC5C31"/>
    <w:rsid w:val="00BC716A"/>
    <w:rsid w:val="00BD07DF"/>
    <w:rsid w:val="00BD2531"/>
    <w:rsid w:val="00BD26F4"/>
    <w:rsid w:val="00BD294B"/>
    <w:rsid w:val="00BD2C9D"/>
    <w:rsid w:val="00BD5DBD"/>
    <w:rsid w:val="00BD5DF6"/>
    <w:rsid w:val="00BE0041"/>
    <w:rsid w:val="00BE3BB6"/>
    <w:rsid w:val="00BE640F"/>
    <w:rsid w:val="00BE6D2A"/>
    <w:rsid w:val="00BE77E1"/>
    <w:rsid w:val="00BF25D5"/>
    <w:rsid w:val="00BF4638"/>
    <w:rsid w:val="00BF46DC"/>
    <w:rsid w:val="00BF5130"/>
    <w:rsid w:val="00BF5761"/>
    <w:rsid w:val="00C00844"/>
    <w:rsid w:val="00C00B29"/>
    <w:rsid w:val="00C059D0"/>
    <w:rsid w:val="00C06D9A"/>
    <w:rsid w:val="00C071C2"/>
    <w:rsid w:val="00C07551"/>
    <w:rsid w:val="00C1109F"/>
    <w:rsid w:val="00C12D65"/>
    <w:rsid w:val="00C133AB"/>
    <w:rsid w:val="00C17759"/>
    <w:rsid w:val="00C20B56"/>
    <w:rsid w:val="00C22214"/>
    <w:rsid w:val="00C22C56"/>
    <w:rsid w:val="00C2494B"/>
    <w:rsid w:val="00C26F72"/>
    <w:rsid w:val="00C309A7"/>
    <w:rsid w:val="00C335AB"/>
    <w:rsid w:val="00C407AB"/>
    <w:rsid w:val="00C416B8"/>
    <w:rsid w:val="00C46ECF"/>
    <w:rsid w:val="00C50F30"/>
    <w:rsid w:val="00C52B3A"/>
    <w:rsid w:val="00C52B7B"/>
    <w:rsid w:val="00C547CD"/>
    <w:rsid w:val="00C570FF"/>
    <w:rsid w:val="00C57CEA"/>
    <w:rsid w:val="00C60FEC"/>
    <w:rsid w:val="00C61C01"/>
    <w:rsid w:val="00C61D69"/>
    <w:rsid w:val="00C62B1C"/>
    <w:rsid w:val="00C6574E"/>
    <w:rsid w:val="00C663D1"/>
    <w:rsid w:val="00C665D9"/>
    <w:rsid w:val="00C707FD"/>
    <w:rsid w:val="00C76DEB"/>
    <w:rsid w:val="00C77B19"/>
    <w:rsid w:val="00C816C6"/>
    <w:rsid w:val="00C82F86"/>
    <w:rsid w:val="00C8405E"/>
    <w:rsid w:val="00C863A7"/>
    <w:rsid w:val="00C912F4"/>
    <w:rsid w:val="00C9156F"/>
    <w:rsid w:val="00C9581A"/>
    <w:rsid w:val="00C96AC5"/>
    <w:rsid w:val="00C97D29"/>
    <w:rsid w:val="00CA1E58"/>
    <w:rsid w:val="00CA449C"/>
    <w:rsid w:val="00CB0550"/>
    <w:rsid w:val="00CB0969"/>
    <w:rsid w:val="00CB6813"/>
    <w:rsid w:val="00CC19DE"/>
    <w:rsid w:val="00CE7335"/>
    <w:rsid w:val="00CF26FE"/>
    <w:rsid w:val="00CF6A55"/>
    <w:rsid w:val="00CF6DC6"/>
    <w:rsid w:val="00CF6DCF"/>
    <w:rsid w:val="00D01979"/>
    <w:rsid w:val="00D01DDB"/>
    <w:rsid w:val="00D02582"/>
    <w:rsid w:val="00D069D7"/>
    <w:rsid w:val="00D07254"/>
    <w:rsid w:val="00D078BE"/>
    <w:rsid w:val="00D07AF2"/>
    <w:rsid w:val="00D12184"/>
    <w:rsid w:val="00D13F8A"/>
    <w:rsid w:val="00D16F60"/>
    <w:rsid w:val="00D21F24"/>
    <w:rsid w:val="00D22981"/>
    <w:rsid w:val="00D23D3E"/>
    <w:rsid w:val="00D3349B"/>
    <w:rsid w:val="00D37C9D"/>
    <w:rsid w:val="00D37DEA"/>
    <w:rsid w:val="00D424A8"/>
    <w:rsid w:val="00D6036F"/>
    <w:rsid w:val="00D62877"/>
    <w:rsid w:val="00D62B19"/>
    <w:rsid w:val="00D63760"/>
    <w:rsid w:val="00D64CD2"/>
    <w:rsid w:val="00D6703F"/>
    <w:rsid w:val="00D67604"/>
    <w:rsid w:val="00D734EB"/>
    <w:rsid w:val="00D82713"/>
    <w:rsid w:val="00D8506B"/>
    <w:rsid w:val="00D86F00"/>
    <w:rsid w:val="00D918D5"/>
    <w:rsid w:val="00D94290"/>
    <w:rsid w:val="00D94C8E"/>
    <w:rsid w:val="00DB1372"/>
    <w:rsid w:val="00DB192C"/>
    <w:rsid w:val="00DB1CF3"/>
    <w:rsid w:val="00DB5425"/>
    <w:rsid w:val="00DB72A6"/>
    <w:rsid w:val="00DC5212"/>
    <w:rsid w:val="00DC6611"/>
    <w:rsid w:val="00DD5AFB"/>
    <w:rsid w:val="00DD7E46"/>
    <w:rsid w:val="00DE1344"/>
    <w:rsid w:val="00DE3871"/>
    <w:rsid w:val="00DE4F22"/>
    <w:rsid w:val="00DE6A83"/>
    <w:rsid w:val="00DF5BFE"/>
    <w:rsid w:val="00DF697B"/>
    <w:rsid w:val="00DF6EC5"/>
    <w:rsid w:val="00E032E1"/>
    <w:rsid w:val="00E0523F"/>
    <w:rsid w:val="00E223BC"/>
    <w:rsid w:val="00E22701"/>
    <w:rsid w:val="00E232B2"/>
    <w:rsid w:val="00E23E50"/>
    <w:rsid w:val="00E26213"/>
    <w:rsid w:val="00E274DF"/>
    <w:rsid w:val="00E34D66"/>
    <w:rsid w:val="00E362C4"/>
    <w:rsid w:val="00E46CC2"/>
    <w:rsid w:val="00E473C7"/>
    <w:rsid w:val="00E47E0C"/>
    <w:rsid w:val="00E51813"/>
    <w:rsid w:val="00E52C0B"/>
    <w:rsid w:val="00E53D3F"/>
    <w:rsid w:val="00E5579B"/>
    <w:rsid w:val="00E57FF4"/>
    <w:rsid w:val="00E679D1"/>
    <w:rsid w:val="00E67C1C"/>
    <w:rsid w:val="00E81286"/>
    <w:rsid w:val="00E918F0"/>
    <w:rsid w:val="00E91F11"/>
    <w:rsid w:val="00E920BB"/>
    <w:rsid w:val="00E9706D"/>
    <w:rsid w:val="00EA386E"/>
    <w:rsid w:val="00EA3AF4"/>
    <w:rsid w:val="00EA6592"/>
    <w:rsid w:val="00EB0EBE"/>
    <w:rsid w:val="00EB5C42"/>
    <w:rsid w:val="00ED3C0B"/>
    <w:rsid w:val="00EE34EB"/>
    <w:rsid w:val="00EE4B01"/>
    <w:rsid w:val="00EE7F95"/>
    <w:rsid w:val="00EF3F0B"/>
    <w:rsid w:val="00EF49EF"/>
    <w:rsid w:val="00EF5583"/>
    <w:rsid w:val="00F008F8"/>
    <w:rsid w:val="00F0289D"/>
    <w:rsid w:val="00F02AEC"/>
    <w:rsid w:val="00F07572"/>
    <w:rsid w:val="00F155D1"/>
    <w:rsid w:val="00F157FC"/>
    <w:rsid w:val="00F2763B"/>
    <w:rsid w:val="00F30AF3"/>
    <w:rsid w:val="00F35456"/>
    <w:rsid w:val="00F36C69"/>
    <w:rsid w:val="00F3780E"/>
    <w:rsid w:val="00F43CD1"/>
    <w:rsid w:val="00F45AE0"/>
    <w:rsid w:val="00F50B59"/>
    <w:rsid w:val="00F520F3"/>
    <w:rsid w:val="00F52BAD"/>
    <w:rsid w:val="00F54BCC"/>
    <w:rsid w:val="00F5794B"/>
    <w:rsid w:val="00F57B61"/>
    <w:rsid w:val="00F60CF2"/>
    <w:rsid w:val="00F61DB3"/>
    <w:rsid w:val="00F637FA"/>
    <w:rsid w:val="00F639D8"/>
    <w:rsid w:val="00F63BFB"/>
    <w:rsid w:val="00F657B4"/>
    <w:rsid w:val="00F71064"/>
    <w:rsid w:val="00F74403"/>
    <w:rsid w:val="00F74561"/>
    <w:rsid w:val="00F7649F"/>
    <w:rsid w:val="00F7722D"/>
    <w:rsid w:val="00F8083B"/>
    <w:rsid w:val="00F82D1B"/>
    <w:rsid w:val="00F8568E"/>
    <w:rsid w:val="00F865A7"/>
    <w:rsid w:val="00F86DB2"/>
    <w:rsid w:val="00F86E0E"/>
    <w:rsid w:val="00F905DA"/>
    <w:rsid w:val="00FA0754"/>
    <w:rsid w:val="00FA1BC9"/>
    <w:rsid w:val="00FA1C1E"/>
    <w:rsid w:val="00FA49C3"/>
    <w:rsid w:val="00FB1D2F"/>
    <w:rsid w:val="00FB236E"/>
    <w:rsid w:val="00FB3F7B"/>
    <w:rsid w:val="00FB4C2A"/>
    <w:rsid w:val="00FC2107"/>
    <w:rsid w:val="00FC48FE"/>
    <w:rsid w:val="00FC54B8"/>
    <w:rsid w:val="00FC6F56"/>
    <w:rsid w:val="00FD3AB7"/>
    <w:rsid w:val="00FE087C"/>
    <w:rsid w:val="00FE79A0"/>
    <w:rsid w:val="00FF0939"/>
    <w:rsid w:val="00FF0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86"/>
    <w:rPr>
      <w:rFonts w:ascii="Cambria" w:hAnsi="Cambria"/>
      <w:sz w:val="22"/>
    </w:rPr>
  </w:style>
  <w:style w:type="paragraph" w:styleId="Heading1">
    <w:name w:val="heading 1"/>
    <w:basedOn w:val="Normal"/>
    <w:next w:val="Normal"/>
    <w:link w:val="Heading1Char"/>
    <w:uiPriority w:val="9"/>
    <w:qFormat/>
    <w:rsid w:val="00D019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456362"/>
    <w:pPr>
      <w:keepNext/>
      <w:keepLines/>
      <w:spacing w:before="240" w:line="240" w:lineRule="atLeast"/>
      <w:outlineLvl w:val="4"/>
    </w:pPr>
    <w:rPr>
      <w:rFonts w:ascii="Arial" w:eastAsia="Times New Roman" w:hAnsi="Arial" w:cs="Times New Roman"/>
      <w:b/>
      <w:bCs/>
      <w:i/>
      <w:color w:val="001871"/>
      <w:sz w:val="24"/>
      <w:szCs w:val="26"/>
    </w:rPr>
  </w:style>
  <w:style w:type="paragraph" w:styleId="Heading6">
    <w:name w:val="heading 6"/>
    <w:basedOn w:val="Normal"/>
    <w:next w:val="Normal"/>
    <w:link w:val="Heading6Char"/>
    <w:uiPriority w:val="9"/>
    <w:rsid w:val="00456362"/>
    <w:pPr>
      <w:keepNext/>
      <w:keepLines/>
      <w:spacing w:before="240" w:line="240" w:lineRule="atLeast"/>
      <w:outlineLvl w:val="5"/>
    </w:pPr>
    <w:rPr>
      <w:rFonts w:ascii="Arial" w:eastAsia="Times New Roman" w:hAnsi="Arial" w:cs="Times New Roman"/>
      <w:b/>
      <w:bCs/>
      <w:i/>
      <w:color w:val="001871"/>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456362"/>
    <w:rPr>
      <w:rFonts w:ascii="Arial" w:eastAsia="Times New Roman" w:hAnsi="Arial" w:cs="Times New Roman"/>
      <w:b/>
      <w:bCs/>
      <w:i/>
      <w:color w:val="001871"/>
      <w:sz w:val="24"/>
      <w:szCs w:val="26"/>
    </w:rPr>
  </w:style>
  <w:style w:type="character" w:customStyle="1" w:styleId="Heading6Char">
    <w:name w:val="Heading 6 Char"/>
    <w:basedOn w:val="DefaultParagraphFont"/>
    <w:link w:val="Heading6"/>
    <w:uiPriority w:val="9"/>
    <w:rsid w:val="00456362"/>
    <w:rPr>
      <w:rFonts w:ascii="Arial" w:eastAsia="Times New Roman" w:hAnsi="Arial" w:cs="Times New Roman"/>
      <w:b/>
      <w:bCs/>
      <w:i/>
      <w:color w:val="001871"/>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D01979"/>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F74403"/>
    <w:pPr>
      <w:widowControl w:val="0"/>
      <w:autoSpaceDE w:val="0"/>
      <w:autoSpaceDN w:val="0"/>
      <w:spacing w:after="0" w:line="256" w:lineRule="exact"/>
      <w:ind w:left="107"/>
    </w:pPr>
    <w:rPr>
      <w:rFonts w:ascii="Times New Roman" w:eastAsia="Times New Roman" w:hAnsi="Times New Roman" w:cs="Times New Roman"/>
      <w:szCs w:val="22"/>
      <w:lang w:val="en-US"/>
    </w:rPr>
  </w:style>
  <w:style w:type="table" w:customStyle="1" w:styleId="TableGrid1">
    <w:name w:val="Table Grid1"/>
    <w:basedOn w:val="TableNormal"/>
    <w:next w:val="TableGrid"/>
    <w:uiPriority w:val="59"/>
    <w:rsid w:val="0077397E"/>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
    <w:qFormat/>
    <w:rsid w:val="0077397E"/>
    <w:pPr>
      <w:spacing w:before="120" w:line="240" w:lineRule="atLeast"/>
    </w:pPr>
    <w:rPr>
      <w:rFonts w:eastAsia="Cambria" w:cs="Times New Roman"/>
      <w:sz w:val="19"/>
      <w:szCs w:val="22"/>
    </w:rPr>
  </w:style>
  <w:style w:type="character" w:customStyle="1" w:styleId="TabletextChar">
    <w:name w:val="Table text Char"/>
    <w:basedOn w:val="DefaultParagraphFont"/>
    <w:link w:val="Tabletext0"/>
    <w:rsid w:val="0077397E"/>
    <w:rPr>
      <w:rFonts w:ascii="Cambria" w:eastAsia="Cambria" w:hAnsi="Cambria" w:cs="Times New Roman"/>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8089">
      <w:bodyDiv w:val="1"/>
      <w:marLeft w:val="0"/>
      <w:marRight w:val="0"/>
      <w:marTop w:val="0"/>
      <w:marBottom w:val="0"/>
      <w:divBdr>
        <w:top w:val="none" w:sz="0" w:space="0" w:color="auto"/>
        <w:left w:val="none" w:sz="0" w:space="0" w:color="auto"/>
        <w:bottom w:val="none" w:sz="0" w:space="0" w:color="auto"/>
        <w:right w:val="none" w:sz="0" w:space="0" w:color="auto"/>
      </w:divBdr>
    </w:div>
    <w:div w:id="358167624">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740300326">
      <w:bodyDiv w:val="1"/>
      <w:marLeft w:val="0"/>
      <w:marRight w:val="0"/>
      <w:marTop w:val="0"/>
      <w:marBottom w:val="0"/>
      <w:divBdr>
        <w:top w:val="none" w:sz="0" w:space="0" w:color="auto"/>
        <w:left w:val="none" w:sz="0" w:space="0" w:color="auto"/>
        <w:bottom w:val="none" w:sz="0" w:space="0" w:color="auto"/>
        <w:right w:val="none" w:sz="0" w:space="0" w:color="auto"/>
      </w:divBdr>
    </w:div>
    <w:div w:id="1057316201">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306008901">
      <w:bodyDiv w:val="1"/>
      <w:marLeft w:val="0"/>
      <w:marRight w:val="0"/>
      <w:marTop w:val="0"/>
      <w:marBottom w:val="0"/>
      <w:divBdr>
        <w:top w:val="none" w:sz="0" w:space="0" w:color="auto"/>
        <w:left w:val="none" w:sz="0" w:space="0" w:color="auto"/>
        <w:bottom w:val="none" w:sz="0" w:space="0" w:color="auto"/>
        <w:right w:val="none" w:sz="0" w:space="0" w:color="auto"/>
      </w:divBdr>
      <w:divsChild>
        <w:div w:id="513804761">
          <w:marLeft w:val="0"/>
          <w:marRight w:val="0"/>
          <w:marTop w:val="0"/>
          <w:marBottom w:val="0"/>
          <w:divBdr>
            <w:top w:val="none" w:sz="0" w:space="0" w:color="auto"/>
            <w:left w:val="none" w:sz="0" w:space="0" w:color="auto"/>
            <w:bottom w:val="none" w:sz="0" w:space="0" w:color="auto"/>
            <w:right w:val="none" w:sz="0" w:space="0" w:color="auto"/>
          </w:divBdr>
        </w:div>
        <w:div w:id="949975087">
          <w:marLeft w:val="0"/>
          <w:marRight w:val="0"/>
          <w:marTop w:val="0"/>
          <w:marBottom w:val="0"/>
          <w:divBdr>
            <w:top w:val="none" w:sz="0" w:space="0" w:color="auto"/>
            <w:left w:val="none" w:sz="0" w:space="0" w:color="auto"/>
            <w:bottom w:val="none" w:sz="0" w:space="0" w:color="auto"/>
            <w:right w:val="none" w:sz="0" w:space="0" w:color="auto"/>
          </w:divBdr>
          <w:divsChild>
            <w:div w:id="1399664895">
              <w:marLeft w:val="0"/>
              <w:marRight w:val="0"/>
              <w:marTop w:val="0"/>
              <w:marBottom w:val="0"/>
              <w:divBdr>
                <w:top w:val="none" w:sz="0" w:space="0" w:color="auto"/>
                <w:left w:val="none" w:sz="0" w:space="0" w:color="auto"/>
                <w:bottom w:val="none" w:sz="0" w:space="0" w:color="auto"/>
                <w:right w:val="none" w:sz="0" w:space="0" w:color="auto"/>
              </w:divBdr>
              <w:divsChild>
                <w:div w:id="2066251293">
                  <w:marLeft w:val="0"/>
                  <w:marRight w:val="0"/>
                  <w:marTop w:val="0"/>
                  <w:marBottom w:val="0"/>
                  <w:divBdr>
                    <w:top w:val="none" w:sz="0" w:space="0" w:color="auto"/>
                    <w:left w:val="none" w:sz="0" w:space="0" w:color="auto"/>
                    <w:bottom w:val="none" w:sz="0" w:space="0" w:color="auto"/>
                    <w:right w:val="none" w:sz="0" w:space="0" w:color="auto"/>
                  </w:divBdr>
                  <w:divsChild>
                    <w:div w:id="672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067408">
      <w:bodyDiv w:val="1"/>
      <w:marLeft w:val="0"/>
      <w:marRight w:val="0"/>
      <w:marTop w:val="0"/>
      <w:marBottom w:val="0"/>
      <w:divBdr>
        <w:top w:val="none" w:sz="0" w:space="0" w:color="auto"/>
        <w:left w:val="none" w:sz="0" w:space="0" w:color="auto"/>
        <w:bottom w:val="none" w:sz="0" w:space="0" w:color="auto"/>
        <w:right w:val="none" w:sz="0" w:space="0" w:color="auto"/>
      </w:divBdr>
      <w:divsChild>
        <w:div w:id="957486721">
          <w:marLeft w:val="0"/>
          <w:marRight w:val="0"/>
          <w:marTop w:val="0"/>
          <w:marBottom w:val="0"/>
          <w:divBdr>
            <w:top w:val="none" w:sz="0" w:space="0" w:color="auto"/>
            <w:left w:val="none" w:sz="0" w:space="0" w:color="auto"/>
            <w:bottom w:val="none" w:sz="0" w:space="0" w:color="auto"/>
            <w:right w:val="none" w:sz="0" w:space="0" w:color="auto"/>
          </w:divBdr>
        </w:div>
      </w:divsChild>
    </w:div>
    <w:div w:id="1550799885">
      <w:bodyDiv w:val="1"/>
      <w:marLeft w:val="0"/>
      <w:marRight w:val="0"/>
      <w:marTop w:val="0"/>
      <w:marBottom w:val="0"/>
      <w:divBdr>
        <w:top w:val="none" w:sz="0" w:space="0" w:color="auto"/>
        <w:left w:val="none" w:sz="0" w:space="0" w:color="auto"/>
        <w:bottom w:val="none" w:sz="0" w:space="0" w:color="auto"/>
        <w:right w:val="none" w:sz="0" w:space="0" w:color="auto"/>
      </w:divBdr>
      <w:divsChild>
        <w:div w:id="206911896">
          <w:marLeft w:val="0"/>
          <w:marRight w:val="0"/>
          <w:marTop w:val="0"/>
          <w:marBottom w:val="0"/>
          <w:divBdr>
            <w:top w:val="none" w:sz="0" w:space="0" w:color="auto"/>
            <w:left w:val="none" w:sz="0" w:space="0" w:color="auto"/>
            <w:bottom w:val="none" w:sz="0" w:space="0" w:color="auto"/>
            <w:right w:val="none" w:sz="0" w:space="0" w:color="auto"/>
          </w:divBdr>
        </w:div>
      </w:divsChild>
    </w:div>
    <w:div w:id="1687516408">
      <w:bodyDiv w:val="1"/>
      <w:marLeft w:val="0"/>
      <w:marRight w:val="0"/>
      <w:marTop w:val="0"/>
      <w:marBottom w:val="0"/>
      <w:divBdr>
        <w:top w:val="none" w:sz="0" w:space="0" w:color="auto"/>
        <w:left w:val="none" w:sz="0" w:space="0" w:color="auto"/>
        <w:bottom w:val="none" w:sz="0" w:space="0" w:color="auto"/>
        <w:right w:val="none" w:sz="0" w:space="0" w:color="auto"/>
      </w:divBdr>
      <w:divsChild>
        <w:div w:id="1874612234">
          <w:marLeft w:val="0"/>
          <w:marRight w:val="0"/>
          <w:marTop w:val="0"/>
          <w:marBottom w:val="0"/>
          <w:divBdr>
            <w:top w:val="none" w:sz="0" w:space="0" w:color="auto"/>
            <w:left w:val="none" w:sz="0" w:space="0" w:color="auto"/>
            <w:bottom w:val="none" w:sz="0" w:space="0" w:color="auto"/>
            <w:right w:val="none" w:sz="0" w:space="0" w:color="auto"/>
          </w:divBdr>
        </w:div>
      </w:divsChild>
    </w:div>
    <w:div w:id="1924534155">
      <w:bodyDiv w:val="1"/>
      <w:marLeft w:val="0"/>
      <w:marRight w:val="0"/>
      <w:marTop w:val="0"/>
      <w:marBottom w:val="0"/>
      <w:divBdr>
        <w:top w:val="none" w:sz="0" w:space="0" w:color="auto"/>
        <w:left w:val="none" w:sz="0" w:space="0" w:color="auto"/>
        <w:bottom w:val="none" w:sz="0" w:space="0" w:color="auto"/>
        <w:right w:val="none" w:sz="0" w:space="0" w:color="auto"/>
      </w:divBdr>
      <w:divsChild>
        <w:div w:id="549614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resources/artg/441770" TargetMode="External"/><Relationship Id="rId26"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hyperlink" Target="https://www.tga.gov.au/products/medicines/find-information-about-medicine/prescribing-medicines-pregnancy-database"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image" Target="media/image5.png"/><Relationship Id="rId33" Type="http://schemas.openxmlformats.org/officeDocument/2006/relationships/hyperlink" Target="https://www.tga.gov.au" TargetMode="Externa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ebs.tga.gov.au/" TargetMode="External"/><Relationship Id="rId29" Type="http://schemas.openxmlformats.org/officeDocument/2006/relationships/hyperlink" Target="https://www.ebs.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how-we-regulate/supply-therapeutic-good-0/supply-prescription-medicine/application-process/prescription-medicines-registration-process" TargetMode="External"/><Relationship Id="rId28" Type="http://schemas.openxmlformats.org/officeDocument/2006/relationships/hyperlink" Target="https://www.tga.gov.au/committee/advisory-committee-medicines-ac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ga.gov.au/black-triangle-schem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obstetric-drug-information-services" TargetMode="External"/><Relationship Id="rId27" Type="http://schemas.openxmlformats.org/officeDocument/2006/relationships/image" Target="media/image6.png"/><Relationship Id="rId30" Type="http://schemas.openxmlformats.org/officeDocument/2006/relationships/header" Target="header3.xml"/><Relationship Id="rId35"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e5703a-610b-40f4-8a64-16760a2d79fd" xsi:nil="true"/>
    <lcf76f155ced4ddcb4097134ff3c332f xmlns="bace00c9-5766-43a2-ba28-1825eea1cd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9E629F5A5ECD4E88E23923C7740678" ma:contentTypeVersion="17" ma:contentTypeDescription="Crée un document." ma:contentTypeScope="" ma:versionID="38811933541801dae3886b50c17dfa77">
  <xsd:schema xmlns:xsd="http://www.w3.org/2001/XMLSchema" xmlns:xs="http://www.w3.org/2001/XMLSchema" xmlns:p="http://schemas.microsoft.com/office/2006/metadata/properties" xmlns:ns2="bace00c9-5766-43a2-ba28-1825eea1cd61" xmlns:ns3="fae5703a-610b-40f4-8a64-16760a2d79fd" targetNamespace="http://schemas.microsoft.com/office/2006/metadata/properties" ma:root="true" ma:fieldsID="ed9473024a5a85a96019ac12068c2e3d" ns2:_="" ns3:_="">
    <xsd:import namespace="bace00c9-5766-43a2-ba28-1825eea1cd61"/>
    <xsd:import namespace="fae5703a-610b-40f4-8a64-16760a2d7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e00c9-5766-43a2-ba28-1825eea1c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5703a-610b-40f4-8a64-16760a2d79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2d5c13-5b34-4c43-a451-5e48da9331e6}" ma:internalName="TaxCatchAll" ma:showField="CatchAllData" ma:web="fae5703a-610b-40f4-8a64-16760a2d79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A772B-7B3A-402D-883D-CBAA1DB0DE44}">
  <ds:schemaRefs>
    <ds:schemaRef ds:uri="http://schemas.microsoft.com/sharepoint/v3/contenttype/forms"/>
  </ds:schemaRefs>
</ds:datastoreItem>
</file>

<file path=customXml/itemProps2.xml><?xml version="1.0" encoding="utf-8"?>
<ds:datastoreItem xmlns:ds="http://schemas.openxmlformats.org/officeDocument/2006/customXml" ds:itemID="{56A0AEFA-9651-460E-8871-D30A929729C1}">
  <ds:schemaRefs>
    <ds:schemaRef ds:uri="http://schemas.microsoft.com/office/2006/metadata/properties"/>
    <ds:schemaRef ds:uri="http://schemas.microsoft.com/office/infopath/2007/PartnerControls"/>
    <ds:schemaRef ds:uri="fae5703a-610b-40f4-8a64-16760a2d79fd"/>
    <ds:schemaRef ds:uri="bace00c9-5766-43a2-ba28-1825eea1cd61"/>
  </ds:schemaRefs>
</ds:datastoreItem>
</file>

<file path=customXml/itemProps3.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4.xml><?xml version="1.0" encoding="utf-8"?>
<ds:datastoreItem xmlns:ds="http://schemas.openxmlformats.org/officeDocument/2006/customXml" ds:itemID="{1873AEE6-94C8-49C7-ACC6-67806612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e00c9-5766-43a2-ba28-1825eea1cd61"/>
    <ds:schemaRef ds:uri="fae5703a-610b-40f4-8a64-16760a2d7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8523</Words>
  <Characters>53270</Characters>
  <Application>Microsoft Office Word</Application>
  <DocSecurity>0</DocSecurity>
  <Lines>2130</Lines>
  <Paragraphs>1471</Paragraphs>
  <ScaleCrop>false</ScaleCrop>
  <HeadingPairs>
    <vt:vector size="2" baseType="variant">
      <vt:variant>
        <vt:lpstr>Title</vt:lpstr>
      </vt:variant>
      <vt:variant>
        <vt:i4>1</vt:i4>
      </vt:variant>
    </vt:vector>
  </HeadingPairs>
  <TitlesOfParts>
    <vt:vector size="1" baseType="lpstr">
      <vt:lpstr>Australian Public Assessment Report for IQIRVO</vt:lpstr>
    </vt:vector>
  </TitlesOfParts>
  <Company>Department of Health, Disability and Ageing</Company>
  <LinksUpToDate>false</LinksUpToDate>
  <CharactersWithSpaces>60322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IQIRVO</dc:title>
  <dc:subject>Prescription medicines</dc:subject>
  <dc:creator>Therapeutic Goods Administration</dc:creator>
  <cp:keywords/>
  <dc:description/>
  <dcterms:created xsi:type="dcterms:W3CDTF">2025-08-14T04:21:00Z</dcterms:created>
  <dcterms:modified xsi:type="dcterms:W3CDTF">2025-08-14T04:57:00Z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0x010100FA9E629F5A5ECD4E88E23923C7740678</vt:lpwstr>
  </property>
  <property fmtid="{D5CDD505-2E9C-101B-9397-08002B2CF9AE}" pid="3" name="MediaServiceImageTags">
    <vt:lpwstr/>
  </property>
</Properties>
</file>