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91922" w14:textId="77777777" w:rsidR="00F74190" w:rsidRPr="00003D6E" w:rsidRDefault="00F74190" w:rsidP="00F74190">
      <w:pPr>
        <w:spacing w:after="0" w:line="495" w:lineRule="exact"/>
        <w:ind w:left="120" w:right="-20"/>
        <w:rPr>
          <w:rFonts w:eastAsia="Times New Roman" w:cs="Times New Roman"/>
        </w:rPr>
      </w:pPr>
      <w:r w:rsidRPr="00003D6E">
        <w:rPr>
          <w:rFonts w:ascii="SimSun" w:eastAsia="SimSun" w:hAnsi="SimSun" w:cs="SimSun"/>
          <w:spacing w:val="-4"/>
          <w:position w:val="-4"/>
          <w:sz w:val="40"/>
          <w:szCs w:val="40"/>
        </w:rPr>
        <w:t>▼</w:t>
      </w:r>
      <w:r w:rsidRPr="00003D6E">
        <w:rPr>
          <w:rFonts w:eastAsia="Times New Roman" w:cs="Times New Roman"/>
          <w:position w:val="-3"/>
        </w:rPr>
        <w:t>T</w:t>
      </w:r>
      <w:r w:rsidRPr="00003D6E">
        <w:rPr>
          <w:rFonts w:eastAsia="Times New Roman" w:cs="Times New Roman"/>
          <w:spacing w:val="1"/>
          <w:position w:val="-3"/>
        </w:rPr>
        <w:t>h</w:t>
      </w:r>
      <w:r w:rsidRPr="00003D6E">
        <w:rPr>
          <w:rFonts w:eastAsia="Times New Roman" w:cs="Times New Roman"/>
          <w:position w:val="-3"/>
        </w:rPr>
        <w:t>is</w:t>
      </w:r>
      <w:r w:rsidRPr="00003D6E">
        <w:rPr>
          <w:rFonts w:eastAsia="Times New Roman" w:cs="Times New Roman"/>
          <w:spacing w:val="-8"/>
          <w:position w:val="-3"/>
        </w:rPr>
        <w:t xml:space="preserve"> </w:t>
      </w:r>
      <w:r w:rsidRPr="00003D6E">
        <w:rPr>
          <w:rFonts w:eastAsia="Times New Roman" w:cs="Times New Roman"/>
          <w:position w:val="-3"/>
        </w:rPr>
        <w:t>me</w:t>
      </w:r>
      <w:r w:rsidRPr="00003D6E">
        <w:rPr>
          <w:rFonts w:eastAsia="Times New Roman" w:cs="Times New Roman"/>
          <w:spacing w:val="1"/>
          <w:position w:val="-3"/>
        </w:rPr>
        <w:t>d</w:t>
      </w:r>
      <w:r w:rsidRPr="00003D6E">
        <w:rPr>
          <w:rFonts w:eastAsia="Times New Roman" w:cs="Times New Roman"/>
          <w:position w:val="-3"/>
        </w:rPr>
        <w:t>ici</w:t>
      </w:r>
      <w:r w:rsidRPr="00003D6E">
        <w:rPr>
          <w:rFonts w:eastAsia="Times New Roman" w:cs="Times New Roman"/>
          <w:spacing w:val="1"/>
          <w:position w:val="-3"/>
        </w:rPr>
        <w:t>n</w:t>
      </w:r>
      <w:r w:rsidRPr="00003D6E">
        <w:rPr>
          <w:rFonts w:eastAsia="Times New Roman" w:cs="Times New Roman"/>
          <w:position w:val="-3"/>
        </w:rPr>
        <w:t>al</w:t>
      </w:r>
      <w:r w:rsidRPr="00003D6E">
        <w:rPr>
          <w:rFonts w:eastAsia="Times New Roman" w:cs="Times New Roman"/>
          <w:spacing w:val="-9"/>
          <w:position w:val="-3"/>
        </w:rPr>
        <w:t xml:space="preserve"> </w:t>
      </w:r>
      <w:r w:rsidRPr="00003D6E">
        <w:rPr>
          <w:rFonts w:eastAsia="Times New Roman" w:cs="Times New Roman"/>
          <w:spacing w:val="1"/>
          <w:position w:val="-3"/>
        </w:rPr>
        <w:t>p</w:t>
      </w:r>
      <w:r w:rsidRPr="00003D6E">
        <w:rPr>
          <w:rFonts w:eastAsia="Times New Roman" w:cs="Times New Roman"/>
          <w:position w:val="-3"/>
        </w:rPr>
        <w:t>r</w:t>
      </w:r>
      <w:r w:rsidRPr="00003D6E">
        <w:rPr>
          <w:rFonts w:eastAsia="Times New Roman" w:cs="Times New Roman"/>
          <w:spacing w:val="1"/>
          <w:position w:val="-3"/>
        </w:rPr>
        <w:t>odu</w:t>
      </w:r>
      <w:r w:rsidRPr="00003D6E">
        <w:rPr>
          <w:rFonts w:eastAsia="Times New Roman" w:cs="Times New Roman"/>
          <w:position w:val="-3"/>
        </w:rPr>
        <w:t>ct</w:t>
      </w:r>
      <w:r w:rsidRPr="00003D6E">
        <w:rPr>
          <w:rFonts w:eastAsia="Times New Roman" w:cs="Times New Roman"/>
          <w:spacing w:val="-7"/>
          <w:position w:val="-3"/>
        </w:rPr>
        <w:t xml:space="preserve"> </w:t>
      </w:r>
      <w:r w:rsidRPr="00003D6E">
        <w:rPr>
          <w:rFonts w:eastAsia="Times New Roman" w:cs="Times New Roman"/>
          <w:position w:val="-3"/>
        </w:rPr>
        <w:t>is</w:t>
      </w:r>
      <w:r w:rsidRPr="00003D6E">
        <w:rPr>
          <w:rFonts w:eastAsia="Times New Roman" w:cs="Times New Roman"/>
          <w:spacing w:val="-1"/>
          <w:position w:val="-3"/>
        </w:rPr>
        <w:t xml:space="preserve"> s</w:t>
      </w:r>
      <w:r w:rsidRPr="00003D6E">
        <w:rPr>
          <w:rFonts w:eastAsia="Times New Roman" w:cs="Times New Roman"/>
          <w:spacing w:val="1"/>
          <w:position w:val="-3"/>
        </w:rPr>
        <w:t>ub</w:t>
      </w:r>
      <w:r w:rsidRPr="00003D6E">
        <w:rPr>
          <w:rFonts w:eastAsia="Times New Roman" w:cs="Times New Roman"/>
          <w:position w:val="-3"/>
        </w:rPr>
        <w:t>ject</w:t>
      </w:r>
      <w:r w:rsidRPr="00003D6E">
        <w:rPr>
          <w:rFonts w:eastAsia="Times New Roman" w:cs="Times New Roman"/>
          <w:spacing w:val="-6"/>
          <w:position w:val="-3"/>
        </w:rPr>
        <w:t xml:space="preserve"> </w:t>
      </w:r>
      <w:r w:rsidRPr="00003D6E">
        <w:rPr>
          <w:rFonts w:eastAsia="Times New Roman" w:cs="Times New Roman"/>
          <w:position w:val="-3"/>
        </w:rPr>
        <w:t>to</w:t>
      </w:r>
      <w:r w:rsidRPr="00003D6E">
        <w:rPr>
          <w:rFonts w:eastAsia="Times New Roman" w:cs="Times New Roman"/>
          <w:spacing w:val="-1"/>
          <w:position w:val="-3"/>
        </w:rPr>
        <w:t xml:space="preserve"> </w:t>
      </w:r>
      <w:r w:rsidRPr="00003D6E">
        <w:rPr>
          <w:rFonts w:eastAsia="Times New Roman" w:cs="Times New Roman"/>
          <w:position w:val="-3"/>
        </w:rPr>
        <w:t>a</w:t>
      </w:r>
      <w:r w:rsidRPr="00003D6E">
        <w:rPr>
          <w:rFonts w:eastAsia="Times New Roman" w:cs="Times New Roman"/>
          <w:spacing w:val="1"/>
          <w:position w:val="-3"/>
        </w:rPr>
        <w:t>dd</w:t>
      </w:r>
      <w:r w:rsidRPr="00003D6E">
        <w:rPr>
          <w:rFonts w:eastAsia="Times New Roman" w:cs="Times New Roman"/>
          <w:spacing w:val="-1"/>
          <w:position w:val="-3"/>
        </w:rPr>
        <w:t>i</w:t>
      </w:r>
      <w:r w:rsidRPr="00003D6E">
        <w:rPr>
          <w:rFonts w:eastAsia="Times New Roman" w:cs="Times New Roman"/>
          <w:position w:val="-3"/>
        </w:rPr>
        <w:t>ti</w:t>
      </w:r>
      <w:r w:rsidRPr="00003D6E">
        <w:rPr>
          <w:rFonts w:eastAsia="Times New Roman" w:cs="Times New Roman"/>
          <w:spacing w:val="1"/>
          <w:position w:val="-3"/>
        </w:rPr>
        <w:t>on</w:t>
      </w:r>
      <w:r w:rsidRPr="00003D6E">
        <w:rPr>
          <w:rFonts w:eastAsia="Times New Roman" w:cs="Times New Roman"/>
          <w:position w:val="-3"/>
        </w:rPr>
        <w:t>al</w:t>
      </w:r>
      <w:r w:rsidRPr="00003D6E">
        <w:rPr>
          <w:rFonts w:eastAsia="Times New Roman" w:cs="Times New Roman"/>
          <w:spacing w:val="-9"/>
          <w:position w:val="-3"/>
        </w:rPr>
        <w:t xml:space="preserve"> </w:t>
      </w:r>
      <w:r w:rsidRPr="00003D6E">
        <w:rPr>
          <w:rFonts w:eastAsia="Times New Roman" w:cs="Times New Roman"/>
          <w:spacing w:val="-2"/>
          <w:position w:val="-3"/>
        </w:rPr>
        <w:t>m</w:t>
      </w:r>
      <w:r w:rsidRPr="00003D6E">
        <w:rPr>
          <w:rFonts w:eastAsia="Times New Roman" w:cs="Times New Roman"/>
          <w:spacing w:val="1"/>
          <w:position w:val="-3"/>
        </w:rPr>
        <w:t>on</w:t>
      </w:r>
      <w:r w:rsidRPr="00003D6E">
        <w:rPr>
          <w:rFonts w:eastAsia="Times New Roman" w:cs="Times New Roman"/>
          <w:position w:val="-3"/>
        </w:rPr>
        <w:t>it</w:t>
      </w:r>
      <w:r w:rsidRPr="00003D6E">
        <w:rPr>
          <w:rFonts w:eastAsia="Times New Roman" w:cs="Times New Roman"/>
          <w:spacing w:val="1"/>
          <w:position w:val="-3"/>
        </w:rPr>
        <w:t>o</w:t>
      </w:r>
      <w:r w:rsidRPr="00003D6E">
        <w:rPr>
          <w:rFonts w:eastAsia="Times New Roman" w:cs="Times New Roman"/>
          <w:position w:val="-3"/>
        </w:rPr>
        <w:t>ri</w:t>
      </w:r>
      <w:r w:rsidRPr="00003D6E">
        <w:rPr>
          <w:rFonts w:eastAsia="Times New Roman" w:cs="Times New Roman"/>
          <w:spacing w:val="1"/>
          <w:position w:val="-3"/>
        </w:rPr>
        <w:t>n</w:t>
      </w:r>
      <w:r w:rsidRPr="00003D6E">
        <w:rPr>
          <w:rFonts w:eastAsia="Times New Roman" w:cs="Times New Roman"/>
          <w:position w:val="-3"/>
        </w:rPr>
        <w:t>g</w:t>
      </w:r>
      <w:r w:rsidRPr="00003D6E">
        <w:rPr>
          <w:rFonts w:eastAsia="Times New Roman" w:cs="Times New Roman"/>
          <w:spacing w:val="-9"/>
          <w:position w:val="-3"/>
        </w:rPr>
        <w:t xml:space="preserve"> </w:t>
      </w:r>
      <w:r w:rsidRPr="00003D6E">
        <w:rPr>
          <w:rFonts w:eastAsia="Times New Roman" w:cs="Times New Roman"/>
          <w:position w:val="-3"/>
        </w:rPr>
        <w:t>in</w:t>
      </w:r>
      <w:r w:rsidRPr="00003D6E">
        <w:rPr>
          <w:rFonts w:eastAsia="Times New Roman" w:cs="Times New Roman"/>
          <w:spacing w:val="-1"/>
          <w:position w:val="-3"/>
        </w:rPr>
        <w:t xml:space="preserve"> </w:t>
      </w:r>
      <w:r w:rsidRPr="00003D6E">
        <w:rPr>
          <w:rFonts w:eastAsia="Times New Roman" w:cs="Times New Roman"/>
          <w:position w:val="-3"/>
        </w:rPr>
        <w:t>A</w:t>
      </w:r>
      <w:r w:rsidRPr="00003D6E">
        <w:rPr>
          <w:rFonts w:eastAsia="Times New Roman" w:cs="Times New Roman"/>
          <w:spacing w:val="1"/>
          <w:position w:val="-3"/>
        </w:rPr>
        <w:t>u</w:t>
      </w:r>
      <w:r w:rsidRPr="00003D6E">
        <w:rPr>
          <w:rFonts w:eastAsia="Times New Roman" w:cs="Times New Roman"/>
          <w:position w:val="-3"/>
        </w:rPr>
        <w:t>str</w:t>
      </w:r>
      <w:r w:rsidRPr="00003D6E">
        <w:rPr>
          <w:rFonts w:eastAsia="Times New Roman" w:cs="Times New Roman"/>
          <w:spacing w:val="-1"/>
          <w:position w:val="-3"/>
        </w:rPr>
        <w:t>a</w:t>
      </w:r>
      <w:r w:rsidRPr="00003D6E">
        <w:rPr>
          <w:rFonts w:eastAsia="Times New Roman" w:cs="Times New Roman"/>
          <w:position w:val="-3"/>
        </w:rPr>
        <w:t>lia.</w:t>
      </w:r>
      <w:r w:rsidRPr="00003D6E">
        <w:rPr>
          <w:rFonts w:eastAsia="Times New Roman" w:cs="Times New Roman"/>
          <w:spacing w:val="46"/>
          <w:position w:val="-3"/>
        </w:rPr>
        <w:t xml:space="preserve"> </w:t>
      </w:r>
      <w:r w:rsidRPr="00003D6E">
        <w:rPr>
          <w:rFonts w:eastAsia="Times New Roman" w:cs="Times New Roman"/>
          <w:position w:val="-3"/>
        </w:rPr>
        <w:t>T</w:t>
      </w:r>
      <w:r w:rsidRPr="00003D6E">
        <w:rPr>
          <w:rFonts w:eastAsia="Times New Roman" w:cs="Times New Roman"/>
          <w:spacing w:val="1"/>
          <w:position w:val="-3"/>
        </w:rPr>
        <w:t>h</w:t>
      </w:r>
      <w:r w:rsidRPr="00003D6E">
        <w:rPr>
          <w:rFonts w:eastAsia="Times New Roman" w:cs="Times New Roman"/>
          <w:position w:val="-3"/>
        </w:rPr>
        <w:t>is</w:t>
      </w:r>
      <w:r w:rsidRPr="00003D6E">
        <w:rPr>
          <w:rFonts w:eastAsia="Times New Roman" w:cs="Times New Roman"/>
          <w:spacing w:val="-4"/>
          <w:position w:val="-3"/>
        </w:rPr>
        <w:t xml:space="preserve"> </w:t>
      </w:r>
      <w:r w:rsidRPr="00003D6E">
        <w:rPr>
          <w:rFonts w:eastAsia="Times New Roman" w:cs="Times New Roman"/>
          <w:position w:val="-3"/>
        </w:rPr>
        <w:t>will</w:t>
      </w:r>
      <w:r w:rsidRPr="00003D6E">
        <w:rPr>
          <w:rFonts w:eastAsia="Times New Roman" w:cs="Times New Roman"/>
          <w:spacing w:val="-3"/>
          <w:position w:val="-3"/>
        </w:rPr>
        <w:t xml:space="preserve"> </w:t>
      </w:r>
      <w:r w:rsidRPr="00003D6E">
        <w:rPr>
          <w:rFonts w:eastAsia="Times New Roman" w:cs="Times New Roman"/>
          <w:position w:val="-3"/>
        </w:rPr>
        <w:t>all</w:t>
      </w:r>
      <w:r w:rsidRPr="00003D6E">
        <w:rPr>
          <w:rFonts w:eastAsia="Times New Roman" w:cs="Times New Roman"/>
          <w:spacing w:val="1"/>
          <w:position w:val="-3"/>
        </w:rPr>
        <w:t>o</w:t>
      </w:r>
      <w:r w:rsidRPr="00003D6E">
        <w:rPr>
          <w:rFonts w:eastAsia="Times New Roman" w:cs="Times New Roman"/>
          <w:position w:val="-3"/>
        </w:rPr>
        <w:t>w</w:t>
      </w:r>
      <w:r w:rsidRPr="00003D6E">
        <w:rPr>
          <w:rFonts w:eastAsia="Times New Roman" w:cs="Times New Roman"/>
          <w:spacing w:val="-5"/>
          <w:position w:val="-3"/>
        </w:rPr>
        <w:t xml:space="preserve"> </w:t>
      </w:r>
      <w:r w:rsidRPr="00003D6E">
        <w:rPr>
          <w:rFonts w:eastAsia="Times New Roman" w:cs="Times New Roman"/>
          <w:spacing w:val="1"/>
          <w:position w:val="-3"/>
        </w:rPr>
        <w:t>qu</w:t>
      </w:r>
      <w:r w:rsidRPr="00003D6E">
        <w:rPr>
          <w:rFonts w:eastAsia="Times New Roman" w:cs="Times New Roman"/>
          <w:position w:val="-3"/>
        </w:rPr>
        <w:t>ick</w:t>
      </w:r>
    </w:p>
    <w:p w14:paraId="40962589" w14:textId="77777777" w:rsidR="00F74190" w:rsidRPr="00003D6E" w:rsidRDefault="00F74190" w:rsidP="00F74190">
      <w:pPr>
        <w:spacing w:before="3" w:after="0"/>
        <w:ind w:left="120" w:right="-20"/>
        <w:rPr>
          <w:rFonts w:eastAsia="Times New Roman" w:cs="Times New Roman"/>
        </w:rPr>
      </w:pPr>
      <w:r w:rsidRPr="00003D6E">
        <w:rPr>
          <w:rFonts w:eastAsia="Times New Roman" w:cs="Times New Roman"/>
        </w:rPr>
        <w:t>i</w:t>
      </w:r>
      <w:r w:rsidRPr="00003D6E">
        <w:rPr>
          <w:rFonts w:eastAsia="Times New Roman" w:cs="Times New Roman"/>
          <w:spacing w:val="1"/>
        </w:rPr>
        <w:t>d</w:t>
      </w:r>
      <w:r w:rsidRPr="00003D6E">
        <w:rPr>
          <w:rFonts w:eastAsia="Times New Roman" w:cs="Times New Roman"/>
        </w:rPr>
        <w:t>e</w:t>
      </w:r>
      <w:r w:rsidRPr="00003D6E">
        <w:rPr>
          <w:rFonts w:eastAsia="Times New Roman" w:cs="Times New Roman"/>
          <w:spacing w:val="1"/>
        </w:rPr>
        <w:t>n</w:t>
      </w:r>
      <w:r w:rsidRPr="00003D6E">
        <w:rPr>
          <w:rFonts w:eastAsia="Times New Roman" w:cs="Times New Roman"/>
        </w:rPr>
        <w:t>tificati</w:t>
      </w:r>
      <w:r w:rsidRPr="00003D6E">
        <w:rPr>
          <w:rFonts w:eastAsia="Times New Roman" w:cs="Times New Roman"/>
          <w:spacing w:val="1"/>
        </w:rPr>
        <w:t>o</w:t>
      </w:r>
      <w:r w:rsidRPr="00003D6E">
        <w:rPr>
          <w:rFonts w:eastAsia="Times New Roman" w:cs="Times New Roman"/>
        </w:rPr>
        <w:t>n</w:t>
      </w:r>
      <w:r w:rsidRPr="00003D6E">
        <w:rPr>
          <w:rFonts w:eastAsia="Times New Roman" w:cs="Times New Roman"/>
          <w:spacing w:val="-12"/>
        </w:rPr>
        <w:t xml:space="preserve"> </w:t>
      </w:r>
      <w:r w:rsidRPr="00003D6E">
        <w:rPr>
          <w:rFonts w:eastAsia="Times New Roman" w:cs="Times New Roman"/>
          <w:spacing w:val="1"/>
        </w:rPr>
        <w:t>o</w:t>
      </w:r>
      <w:r w:rsidRPr="00003D6E">
        <w:rPr>
          <w:rFonts w:eastAsia="Times New Roman" w:cs="Times New Roman"/>
        </w:rPr>
        <w:t>f</w:t>
      </w:r>
      <w:r w:rsidRPr="00003D6E">
        <w:rPr>
          <w:rFonts w:eastAsia="Times New Roman" w:cs="Times New Roman"/>
          <w:spacing w:val="-2"/>
        </w:rPr>
        <w:t xml:space="preserve"> </w:t>
      </w:r>
      <w:r w:rsidRPr="00003D6E">
        <w:rPr>
          <w:rFonts w:eastAsia="Times New Roman" w:cs="Times New Roman"/>
          <w:spacing w:val="1"/>
        </w:rPr>
        <w:t>n</w:t>
      </w:r>
      <w:r w:rsidRPr="00003D6E">
        <w:rPr>
          <w:rFonts w:eastAsia="Times New Roman" w:cs="Times New Roman"/>
        </w:rPr>
        <w:t>ew</w:t>
      </w:r>
      <w:r w:rsidRPr="00003D6E">
        <w:rPr>
          <w:rFonts w:eastAsia="Times New Roman" w:cs="Times New Roman"/>
          <w:spacing w:val="-4"/>
        </w:rPr>
        <w:t xml:space="preserve"> </w:t>
      </w:r>
      <w:r w:rsidRPr="00003D6E">
        <w:rPr>
          <w:rFonts w:eastAsia="Times New Roman" w:cs="Times New Roman"/>
        </w:rPr>
        <w:t>safety</w:t>
      </w:r>
      <w:r w:rsidRPr="00003D6E">
        <w:rPr>
          <w:rFonts w:eastAsia="Times New Roman" w:cs="Times New Roman"/>
          <w:spacing w:val="-3"/>
        </w:rPr>
        <w:t xml:space="preserve"> </w:t>
      </w:r>
      <w:r w:rsidRPr="00003D6E">
        <w:rPr>
          <w:rFonts w:eastAsia="Times New Roman" w:cs="Times New Roman"/>
        </w:rPr>
        <w:t>i</w:t>
      </w:r>
      <w:r w:rsidRPr="00003D6E">
        <w:rPr>
          <w:rFonts w:eastAsia="Times New Roman" w:cs="Times New Roman"/>
          <w:spacing w:val="1"/>
        </w:rPr>
        <w:t>n</w:t>
      </w:r>
      <w:r w:rsidRPr="00003D6E">
        <w:rPr>
          <w:rFonts w:eastAsia="Times New Roman" w:cs="Times New Roman"/>
        </w:rPr>
        <w:t>f</w:t>
      </w:r>
      <w:r w:rsidRPr="00003D6E">
        <w:rPr>
          <w:rFonts w:eastAsia="Times New Roman" w:cs="Times New Roman"/>
          <w:spacing w:val="1"/>
        </w:rPr>
        <w:t>o</w:t>
      </w:r>
      <w:r w:rsidRPr="00003D6E">
        <w:rPr>
          <w:rFonts w:eastAsia="Times New Roman" w:cs="Times New Roman"/>
        </w:rPr>
        <w:t>r</w:t>
      </w:r>
      <w:r w:rsidRPr="00003D6E">
        <w:rPr>
          <w:rFonts w:eastAsia="Times New Roman" w:cs="Times New Roman"/>
          <w:spacing w:val="-2"/>
        </w:rPr>
        <w:t>m</w:t>
      </w:r>
      <w:r w:rsidRPr="00003D6E">
        <w:rPr>
          <w:rFonts w:eastAsia="Times New Roman" w:cs="Times New Roman"/>
        </w:rPr>
        <w:t>ati</w:t>
      </w:r>
      <w:r w:rsidRPr="00003D6E">
        <w:rPr>
          <w:rFonts w:eastAsia="Times New Roman" w:cs="Times New Roman"/>
          <w:spacing w:val="1"/>
        </w:rPr>
        <w:t>on</w:t>
      </w:r>
      <w:r w:rsidRPr="00003D6E">
        <w:rPr>
          <w:rFonts w:eastAsia="Times New Roman" w:cs="Times New Roman"/>
        </w:rPr>
        <w:t>.</w:t>
      </w:r>
      <w:r w:rsidRPr="00003D6E">
        <w:rPr>
          <w:rFonts w:eastAsia="Times New Roman" w:cs="Times New Roman"/>
          <w:spacing w:val="44"/>
        </w:rPr>
        <w:t xml:space="preserve"> </w:t>
      </w:r>
      <w:r w:rsidRPr="00003D6E">
        <w:rPr>
          <w:rFonts w:eastAsia="Times New Roman" w:cs="Times New Roman"/>
        </w:rPr>
        <w:t>Healt</w:t>
      </w:r>
      <w:r w:rsidRPr="00003D6E">
        <w:rPr>
          <w:rFonts w:eastAsia="Times New Roman" w:cs="Times New Roman"/>
          <w:spacing w:val="1"/>
        </w:rPr>
        <w:t>h</w:t>
      </w:r>
      <w:r w:rsidRPr="00003D6E">
        <w:rPr>
          <w:rFonts w:eastAsia="Times New Roman" w:cs="Times New Roman"/>
        </w:rPr>
        <w:t>ca</w:t>
      </w:r>
      <w:r w:rsidRPr="00003D6E">
        <w:rPr>
          <w:rFonts w:eastAsia="Times New Roman" w:cs="Times New Roman"/>
          <w:spacing w:val="1"/>
        </w:rPr>
        <w:t>r</w:t>
      </w:r>
      <w:r w:rsidRPr="00003D6E">
        <w:rPr>
          <w:rFonts w:eastAsia="Times New Roman" w:cs="Times New Roman"/>
        </w:rPr>
        <w:t>e</w:t>
      </w:r>
      <w:r w:rsidRPr="00003D6E">
        <w:rPr>
          <w:rFonts w:eastAsia="Times New Roman" w:cs="Times New Roman"/>
          <w:spacing w:val="-10"/>
        </w:rPr>
        <w:t xml:space="preserve"> </w:t>
      </w:r>
      <w:r w:rsidRPr="00003D6E">
        <w:rPr>
          <w:rFonts w:eastAsia="Times New Roman" w:cs="Times New Roman"/>
          <w:spacing w:val="1"/>
        </w:rPr>
        <w:t>p</w:t>
      </w:r>
      <w:r w:rsidRPr="00003D6E">
        <w:rPr>
          <w:rFonts w:eastAsia="Times New Roman" w:cs="Times New Roman"/>
        </w:rPr>
        <w:t>r</w:t>
      </w:r>
      <w:r w:rsidRPr="00003D6E">
        <w:rPr>
          <w:rFonts w:eastAsia="Times New Roman" w:cs="Times New Roman"/>
          <w:spacing w:val="1"/>
        </w:rPr>
        <w:t>o</w:t>
      </w:r>
      <w:r w:rsidRPr="00003D6E">
        <w:rPr>
          <w:rFonts w:eastAsia="Times New Roman" w:cs="Times New Roman"/>
        </w:rPr>
        <w:t>fessi</w:t>
      </w:r>
      <w:r w:rsidRPr="00003D6E">
        <w:rPr>
          <w:rFonts w:eastAsia="Times New Roman" w:cs="Times New Roman"/>
          <w:spacing w:val="1"/>
        </w:rPr>
        <w:t>on</w:t>
      </w:r>
      <w:r w:rsidRPr="00003D6E">
        <w:rPr>
          <w:rFonts w:eastAsia="Times New Roman" w:cs="Times New Roman"/>
        </w:rPr>
        <w:t>als</w:t>
      </w:r>
      <w:r w:rsidRPr="00003D6E">
        <w:rPr>
          <w:rFonts w:eastAsia="Times New Roman" w:cs="Times New Roman"/>
          <w:spacing w:val="-12"/>
        </w:rPr>
        <w:t xml:space="preserve"> </w:t>
      </w:r>
      <w:r w:rsidRPr="00003D6E">
        <w:rPr>
          <w:rFonts w:eastAsia="Times New Roman" w:cs="Times New Roman"/>
          <w:spacing w:val="1"/>
        </w:rPr>
        <w:t>a</w:t>
      </w:r>
      <w:r w:rsidRPr="00003D6E">
        <w:rPr>
          <w:rFonts w:eastAsia="Times New Roman" w:cs="Times New Roman"/>
        </w:rPr>
        <w:t>re</w:t>
      </w:r>
      <w:r w:rsidRPr="00003D6E">
        <w:rPr>
          <w:rFonts w:eastAsia="Times New Roman" w:cs="Times New Roman"/>
          <w:spacing w:val="-3"/>
        </w:rPr>
        <w:t xml:space="preserve"> </w:t>
      </w:r>
      <w:r w:rsidRPr="00003D6E">
        <w:rPr>
          <w:rFonts w:eastAsia="Times New Roman" w:cs="Times New Roman"/>
        </w:rPr>
        <w:t>as</w:t>
      </w:r>
      <w:r w:rsidRPr="00003D6E">
        <w:rPr>
          <w:rFonts w:eastAsia="Times New Roman" w:cs="Times New Roman"/>
          <w:spacing w:val="1"/>
        </w:rPr>
        <w:t>k</w:t>
      </w:r>
      <w:r w:rsidRPr="00003D6E">
        <w:rPr>
          <w:rFonts w:eastAsia="Times New Roman" w:cs="Times New Roman"/>
        </w:rPr>
        <w:t>ed</w:t>
      </w:r>
      <w:r w:rsidRPr="00003D6E">
        <w:rPr>
          <w:rFonts w:eastAsia="Times New Roman" w:cs="Times New Roman"/>
          <w:spacing w:val="-4"/>
        </w:rPr>
        <w:t xml:space="preserve"> </w:t>
      </w:r>
      <w:r w:rsidRPr="00003D6E">
        <w:rPr>
          <w:rFonts w:eastAsia="Times New Roman" w:cs="Times New Roman"/>
        </w:rPr>
        <w:t>to</w:t>
      </w:r>
      <w:r w:rsidRPr="00003D6E">
        <w:rPr>
          <w:rFonts w:eastAsia="Times New Roman" w:cs="Times New Roman"/>
          <w:spacing w:val="-1"/>
        </w:rPr>
        <w:t xml:space="preserve"> </w:t>
      </w:r>
      <w:r w:rsidRPr="00003D6E">
        <w:rPr>
          <w:rFonts w:eastAsia="Times New Roman" w:cs="Times New Roman"/>
        </w:rPr>
        <w:t>re</w:t>
      </w:r>
      <w:r w:rsidRPr="00003D6E">
        <w:rPr>
          <w:rFonts w:eastAsia="Times New Roman" w:cs="Times New Roman"/>
          <w:spacing w:val="1"/>
        </w:rPr>
        <w:t>po</w:t>
      </w:r>
      <w:r w:rsidRPr="00003D6E">
        <w:rPr>
          <w:rFonts w:eastAsia="Times New Roman" w:cs="Times New Roman"/>
        </w:rPr>
        <w:t>rt</w:t>
      </w:r>
      <w:r w:rsidRPr="00003D6E">
        <w:rPr>
          <w:rFonts w:eastAsia="Times New Roman" w:cs="Times New Roman"/>
          <w:spacing w:val="-5"/>
        </w:rPr>
        <w:t xml:space="preserve"> </w:t>
      </w:r>
      <w:r w:rsidRPr="00003D6E">
        <w:rPr>
          <w:rFonts w:eastAsia="Times New Roman" w:cs="Times New Roman"/>
        </w:rPr>
        <w:t>a</w:t>
      </w:r>
      <w:r w:rsidRPr="00003D6E">
        <w:rPr>
          <w:rFonts w:eastAsia="Times New Roman" w:cs="Times New Roman"/>
          <w:spacing w:val="-1"/>
        </w:rPr>
        <w:t>n</w:t>
      </w:r>
      <w:r w:rsidRPr="00003D6E">
        <w:rPr>
          <w:rFonts w:eastAsia="Times New Roman" w:cs="Times New Roman"/>
        </w:rPr>
        <w:t>y</w:t>
      </w:r>
      <w:r w:rsidRPr="00003D6E">
        <w:rPr>
          <w:rFonts w:eastAsia="Times New Roman" w:cs="Times New Roman"/>
          <w:spacing w:val="-1"/>
        </w:rPr>
        <w:t xml:space="preserve"> </w:t>
      </w:r>
      <w:r w:rsidRPr="00003D6E">
        <w:rPr>
          <w:rFonts w:eastAsia="Times New Roman" w:cs="Times New Roman"/>
        </w:rPr>
        <w:t>s</w:t>
      </w:r>
      <w:r w:rsidRPr="00003D6E">
        <w:rPr>
          <w:rFonts w:eastAsia="Times New Roman" w:cs="Times New Roman"/>
          <w:spacing w:val="1"/>
        </w:rPr>
        <w:t>u</w:t>
      </w:r>
      <w:r w:rsidRPr="00003D6E">
        <w:rPr>
          <w:rFonts w:eastAsia="Times New Roman" w:cs="Times New Roman"/>
        </w:rPr>
        <w:t>s</w:t>
      </w:r>
      <w:r w:rsidRPr="00003D6E">
        <w:rPr>
          <w:rFonts w:eastAsia="Times New Roman" w:cs="Times New Roman"/>
          <w:spacing w:val="-1"/>
        </w:rPr>
        <w:t>p</w:t>
      </w:r>
      <w:r w:rsidRPr="00003D6E">
        <w:rPr>
          <w:rFonts w:eastAsia="Times New Roman" w:cs="Times New Roman"/>
        </w:rPr>
        <w:t>ected a</w:t>
      </w:r>
      <w:r w:rsidRPr="00003D6E">
        <w:rPr>
          <w:rFonts w:eastAsia="Times New Roman" w:cs="Times New Roman"/>
          <w:spacing w:val="1"/>
        </w:rPr>
        <w:t>dv</w:t>
      </w:r>
      <w:r w:rsidRPr="00003D6E">
        <w:rPr>
          <w:rFonts w:eastAsia="Times New Roman" w:cs="Times New Roman"/>
        </w:rPr>
        <w:t>erse</w:t>
      </w:r>
      <w:r w:rsidRPr="00003D6E">
        <w:rPr>
          <w:rFonts w:eastAsia="Times New Roman" w:cs="Times New Roman"/>
          <w:spacing w:val="-7"/>
        </w:rPr>
        <w:t xml:space="preserve"> </w:t>
      </w:r>
      <w:r w:rsidRPr="00003D6E">
        <w:rPr>
          <w:rFonts w:eastAsia="Times New Roman" w:cs="Times New Roman"/>
        </w:rPr>
        <w:t>e</w:t>
      </w:r>
      <w:r w:rsidRPr="00003D6E">
        <w:rPr>
          <w:rFonts w:eastAsia="Times New Roman" w:cs="Times New Roman"/>
          <w:spacing w:val="1"/>
        </w:rPr>
        <w:t>v</w:t>
      </w:r>
      <w:r w:rsidRPr="00003D6E">
        <w:rPr>
          <w:rFonts w:eastAsia="Times New Roman" w:cs="Times New Roman"/>
        </w:rPr>
        <w:t>e</w:t>
      </w:r>
      <w:r w:rsidRPr="00003D6E">
        <w:rPr>
          <w:rFonts w:eastAsia="Times New Roman" w:cs="Times New Roman"/>
          <w:spacing w:val="1"/>
        </w:rPr>
        <w:t>nt</w:t>
      </w:r>
      <w:r w:rsidRPr="00003D6E">
        <w:rPr>
          <w:rFonts w:eastAsia="Times New Roman" w:cs="Times New Roman"/>
        </w:rPr>
        <w:t>s</w:t>
      </w:r>
      <w:r w:rsidRPr="00003D6E">
        <w:rPr>
          <w:rFonts w:eastAsia="Times New Roman" w:cs="Times New Roman"/>
          <w:spacing w:val="-6"/>
        </w:rPr>
        <w:t xml:space="preserve"> </w:t>
      </w:r>
      <w:r w:rsidRPr="00003D6E">
        <w:rPr>
          <w:rFonts w:eastAsia="Times New Roman" w:cs="Times New Roman"/>
        </w:rPr>
        <w:t>at</w:t>
      </w:r>
      <w:r w:rsidRPr="00003D6E">
        <w:rPr>
          <w:rFonts w:eastAsia="Times New Roman" w:cs="Times New Roman"/>
          <w:spacing w:val="-2"/>
        </w:rPr>
        <w:t xml:space="preserve"> </w:t>
      </w:r>
      <w:hyperlink r:id="rId11">
        <w:r w:rsidRPr="00003D6E">
          <w:rPr>
            <w:rFonts w:eastAsia="Times New Roman" w:cs="Times New Roman"/>
            <w:spacing w:val="1"/>
            <w:u w:val="single" w:color="0000FF"/>
          </w:rPr>
          <w:t>h</w:t>
        </w:r>
        <w:r w:rsidRPr="00003D6E">
          <w:rPr>
            <w:rFonts w:eastAsia="Times New Roman" w:cs="Times New Roman"/>
            <w:u w:val="single" w:color="0000FF"/>
          </w:rPr>
          <w:t>tt</w:t>
        </w:r>
        <w:r w:rsidRPr="00003D6E">
          <w:rPr>
            <w:rFonts w:eastAsia="Times New Roman" w:cs="Times New Roman"/>
            <w:spacing w:val="1"/>
            <w:u w:val="single" w:color="0000FF"/>
          </w:rPr>
          <w:t>p</w:t>
        </w:r>
        <w:r w:rsidRPr="00003D6E">
          <w:rPr>
            <w:rFonts w:eastAsia="Times New Roman" w:cs="Times New Roman"/>
            <w:u w:val="single" w:color="0000FF"/>
          </w:rPr>
          <w:t>s://www.t</w:t>
        </w:r>
        <w:r w:rsidRPr="00003D6E">
          <w:rPr>
            <w:rFonts w:eastAsia="Times New Roman" w:cs="Times New Roman"/>
            <w:spacing w:val="1"/>
            <w:u w:val="single" w:color="0000FF"/>
          </w:rPr>
          <w:t>g</w:t>
        </w:r>
        <w:r w:rsidRPr="00003D6E">
          <w:rPr>
            <w:rFonts w:eastAsia="Times New Roman" w:cs="Times New Roman"/>
            <w:u w:val="single" w:color="0000FF"/>
          </w:rPr>
          <w:t>a.</w:t>
        </w:r>
        <w:r w:rsidRPr="00003D6E">
          <w:rPr>
            <w:rFonts w:eastAsia="Times New Roman" w:cs="Times New Roman"/>
            <w:spacing w:val="1"/>
            <w:u w:val="single" w:color="0000FF"/>
          </w:rPr>
          <w:t>gov</w:t>
        </w:r>
        <w:r w:rsidRPr="00003D6E">
          <w:rPr>
            <w:rFonts w:eastAsia="Times New Roman" w:cs="Times New Roman"/>
            <w:u w:val="single" w:color="0000FF"/>
          </w:rPr>
          <w:t>.a</w:t>
        </w:r>
        <w:r w:rsidRPr="00003D6E">
          <w:rPr>
            <w:rFonts w:eastAsia="Times New Roman" w:cs="Times New Roman"/>
            <w:spacing w:val="1"/>
            <w:u w:val="single" w:color="0000FF"/>
          </w:rPr>
          <w:t>u</w:t>
        </w:r>
        <w:r w:rsidRPr="00003D6E">
          <w:rPr>
            <w:rFonts w:eastAsia="Times New Roman" w:cs="Times New Roman"/>
            <w:u w:val="single" w:color="0000FF"/>
          </w:rPr>
          <w:t>/re</w:t>
        </w:r>
        <w:r w:rsidRPr="00003D6E">
          <w:rPr>
            <w:rFonts w:eastAsia="Times New Roman" w:cs="Times New Roman"/>
            <w:spacing w:val="1"/>
            <w:u w:val="single" w:color="0000FF"/>
          </w:rPr>
          <w:t>po</w:t>
        </w:r>
        <w:r w:rsidRPr="00003D6E">
          <w:rPr>
            <w:rFonts w:eastAsia="Times New Roman" w:cs="Times New Roman"/>
            <w:u w:val="single" w:color="0000FF"/>
          </w:rPr>
          <w:t>rti</w:t>
        </w:r>
        <w:r w:rsidRPr="00003D6E">
          <w:rPr>
            <w:rFonts w:eastAsia="Times New Roman" w:cs="Times New Roman"/>
            <w:spacing w:val="1"/>
            <w:u w:val="single" w:color="0000FF"/>
          </w:rPr>
          <w:t>n</w:t>
        </w:r>
        <w:r w:rsidRPr="00003D6E">
          <w:rPr>
            <w:rFonts w:eastAsia="Times New Roman" w:cs="Times New Roman"/>
            <w:u w:val="single" w:color="0000FF"/>
          </w:rPr>
          <w:t>g</w:t>
        </w:r>
        <w:r w:rsidRPr="00003D6E">
          <w:rPr>
            <w:rFonts w:eastAsia="Times New Roman" w:cs="Times New Roman"/>
            <w:spacing w:val="-1"/>
            <w:u w:val="single" w:color="0000FF"/>
          </w:rPr>
          <w:t>-p</w:t>
        </w:r>
        <w:r w:rsidRPr="00003D6E">
          <w:rPr>
            <w:rFonts w:eastAsia="Times New Roman" w:cs="Times New Roman"/>
            <w:u w:val="single" w:color="0000FF"/>
          </w:rPr>
          <w:t>r</w:t>
        </w:r>
        <w:r w:rsidRPr="00003D6E">
          <w:rPr>
            <w:rFonts w:eastAsia="Times New Roman" w:cs="Times New Roman"/>
            <w:spacing w:val="1"/>
            <w:u w:val="single" w:color="0000FF"/>
          </w:rPr>
          <w:t>ob</w:t>
        </w:r>
        <w:r w:rsidRPr="00003D6E">
          <w:rPr>
            <w:rFonts w:eastAsia="Times New Roman" w:cs="Times New Roman"/>
            <w:u w:val="single" w:color="0000FF"/>
          </w:rPr>
          <w:t>lem</w:t>
        </w:r>
        <w:r w:rsidRPr="00003D6E">
          <w:rPr>
            <w:rFonts w:eastAsia="Times New Roman" w:cs="Times New Roman"/>
            <w:spacing w:val="-1"/>
            <w:u w:val="single" w:color="0000FF"/>
          </w:rPr>
          <w:t>s</w:t>
        </w:r>
        <w:r w:rsidRPr="00003D6E">
          <w:rPr>
            <w:rFonts w:eastAsia="Times New Roman" w:cs="Times New Roman"/>
          </w:rPr>
          <w:t>.</w:t>
        </w:r>
      </w:hyperlink>
    </w:p>
    <w:p w14:paraId="62930903" w14:textId="591C95D6" w:rsidR="00A8729D" w:rsidRDefault="004032BD" w:rsidP="00A8729D">
      <w:pPr>
        <w:pStyle w:val="Title"/>
        <w:rPr>
          <w:rFonts w:eastAsia="SimSun"/>
        </w:rPr>
      </w:pPr>
      <w:r w:rsidRPr="000A4651">
        <w:rPr>
          <w:rFonts w:eastAsia="SimSun"/>
        </w:rPr>
        <w:t>Australian P</w:t>
      </w:r>
      <w:r w:rsidR="00544A7F" w:rsidRPr="000A4651">
        <w:rPr>
          <w:rFonts w:eastAsia="SimSun"/>
        </w:rPr>
        <w:t xml:space="preserve">roduct </w:t>
      </w:r>
      <w:r w:rsidRPr="000A4651">
        <w:rPr>
          <w:rFonts w:eastAsia="SimSun"/>
        </w:rPr>
        <w:t>I</w:t>
      </w:r>
      <w:r w:rsidR="00544A7F" w:rsidRPr="000A4651">
        <w:rPr>
          <w:rFonts w:eastAsia="SimSun"/>
        </w:rPr>
        <w:t>nformation</w:t>
      </w:r>
    </w:p>
    <w:p w14:paraId="510597A0" w14:textId="7B7B4284" w:rsidR="004032BD" w:rsidRDefault="00F74190" w:rsidP="00A8729D">
      <w:pPr>
        <w:pStyle w:val="Title"/>
        <w:rPr>
          <w:rFonts w:eastAsia="SimSun"/>
        </w:rPr>
      </w:pPr>
      <w:r>
        <w:rPr>
          <w:rFonts w:eastAsia="SimSun"/>
        </w:rPr>
        <w:t>INREBIC</w:t>
      </w:r>
      <w:r w:rsidR="004704A9" w:rsidRPr="000A4651">
        <w:rPr>
          <w:rFonts w:eastAsia="SimSun"/>
          <w:vertAlign w:val="superscript"/>
          <w:lang w:val="en-US"/>
        </w:rPr>
        <w:t>®</w:t>
      </w:r>
      <w:r w:rsidR="00544A7F" w:rsidRPr="000A4651">
        <w:rPr>
          <w:rFonts w:eastAsia="SimSun"/>
          <w:vertAlign w:val="superscript"/>
          <w:lang w:val="en-US"/>
        </w:rPr>
        <w:t xml:space="preserve"> </w:t>
      </w:r>
      <w:r w:rsidR="00544A7F" w:rsidRPr="000A4651">
        <w:rPr>
          <w:rFonts w:eastAsia="SimSun"/>
          <w:lang w:val="en-US"/>
        </w:rPr>
        <w:t>(</w:t>
      </w:r>
      <w:r>
        <w:rPr>
          <w:rFonts w:eastAsia="SimSun"/>
        </w:rPr>
        <w:t>FEDRATINIB</w:t>
      </w:r>
      <w:r w:rsidR="00544A7F" w:rsidRPr="000A4651">
        <w:rPr>
          <w:rFonts w:eastAsia="SimSun"/>
        </w:rPr>
        <w: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9819AC" w14:paraId="0D72CC8C" w14:textId="77777777" w:rsidTr="00CD2F44">
        <w:trPr>
          <w:trHeight w:val="1440"/>
        </w:trPr>
        <w:tc>
          <w:tcPr>
            <w:tcW w:w="9016" w:type="dxa"/>
          </w:tcPr>
          <w:p w14:paraId="335DE890" w14:textId="77777777" w:rsidR="0088730E" w:rsidRDefault="0088730E" w:rsidP="0088730E">
            <w:pPr>
              <w:spacing w:after="200"/>
              <w:rPr>
                <w:rFonts w:cs="Times New Roman"/>
                <w:b/>
                <w:bCs/>
                <w:sz w:val="24"/>
                <w:szCs w:val="24"/>
                <w:lang w:val="en-US"/>
              </w:rPr>
            </w:pPr>
            <w:r w:rsidRPr="00AC5FA6">
              <w:rPr>
                <w:rFonts w:cs="Times New Roman"/>
                <w:b/>
                <w:bCs/>
                <w:sz w:val="24"/>
                <w:szCs w:val="24"/>
                <w:lang w:val="en-US"/>
              </w:rPr>
              <w:t xml:space="preserve">WARNING: Serious and fatal encephalopathy, including Wernicke’s, has occurred in patients treated with INREBIC (see Section 4.8 Adverse Effects [Undesirable Effects]). </w:t>
            </w:r>
          </w:p>
          <w:p w14:paraId="1DA2E689" w14:textId="56F16A22" w:rsidR="000012FE" w:rsidRPr="00AC5FA6" w:rsidRDefault="0088730E" w:rsidP="00A93821">
            <w:pPr>
              <w:spacing w:after="200"/>
              <w:rPr>
                <w:rFonts w:cs="Times New Roman"/>
                <w:b/>
                <w:bCs/>
                <w:sz w:val="24"/>
                <w:szCs w:val="24"/>
                <w:lang w:val="en-US"/>
              </w:rPr>
            </w:pPr>
            <w:r w:rsidRPr="00AC5FA6">
              <w:rPr>
                <w:rFonts w:cs="Times New Roman"/>
                <w:b/>
                <w:bCs/>
                <w:sz w:val="24"/>
                <w:szCs w:val="24"/>
                <w:lang w:val="en-US"/>
              </w:rPr>
              <w:t xml:space="preserve">Wernicke’s encephalopathy is a neurologic emergency. </w:t>
            </w:r>
            <w:r w:rsidR="00AC5FA6" w:rsidRPr="00AC5FA6">
              <w:rPr>
                <w:rFonts w:cs="Times New Roman"/>
                <w:b/>
                <w:bCs/>
                <w:sz w:val="24"/>
                <w:szCs w:val="24"/>
                <w:lang w:val="en-US"/>
              </w:rPr>
              <w:t>The risk of Wernicke’s encephalopathy is reduced via thiamine monitoring and prophylaxis with daily oral thiamine (see Section 4.2 Dose and Method of Administration and Section 4.4 Special Warnings and Precautions for Use)</w:t>
            </w:r>
            <w:r w:rsidR="00AC5FA6">
              <w:rPr>
                <w:rFonts w:cs="Times New Roman"/>
                <w:b/>
                <w:bCs/>
                <w:sz w:val="24"/>
                <w:szCs w:val="24"/>
                <w:lang w:val="en-US"/>
              </w:rPr>
              <w:t>.</w:t>
            </w:r>
          </w:p>
        </w:tc>
      </w:tr>
    </w:tbl>
    <w:p w14:paraId="1223BFF2" w14:textId="77777777" w:rsidR="00B47F64" w:rsidRPr="00707A52" w:rsidRDefault="00B47F64" w:rsidP="00707A52"/>
    <w:p w14:paraId="54F134D8" w14:textId="77777777" w:rsidR="001A3992" w:rsidRPr="00E376B1" w:rsidRDefault="001A3992" w:rsidP="00D86EB1">
      <w:pPr>
        <w:pStyle w:val="Heading1"/>
        <w:numPr>
          <w:ilvl w:val="0"/>
          <w:numId w:val="30"/>
        </w:numPr>
      </w:pPr>
      <w:r w:rsidRPr="00E376B1">
        <w:t>Name of the medicine</w:t>
      </w:r>
    </w:p>
    <w:p w14:paraId="448515CA" w14:textId="0CC9ECF8" w:rsidR="00C046F7" w:rsidRPr="00F74190" w:rsidRDefault="00F74190" w:rsidP="00C046F7">
      <w:pPr>
        <w:rPr>
          <w:rFonts w:cs="Times New Roman"/>
        </w:rPr>
      </w:pPr>
      <w:proofErr w:type="spellStart"/>
      <w:r w:rsidRPr="00F74190">
        <w:rPr>
          <w:rFonts w:cs="Times New Roman"/>
          <w:lang w:val="en-US"/>
        </w:rPr>
        <w:t>Fedratinib</w:t>
      </w:r>
      <w:proofErr w:type="spellEnd"/>
    </w:p>
    <w:p w14:paraId="40A1BF9F" w14:textId="04B67677" w:rsidR="001A3992" w:rsidRPr="000A4651" w:rsidRDefault="001A3992" w:rsidP="00D86EB1">
      <w:pPr>
        <w:pStyle w:val="Heading1"/>
      </w:pPr>
      <w:r w:rsidRPr="00E376B1">
        <w:t>Qualitative</w:t>
      </w:r>
      <w:r w:rsidRPr="000A4651">
        <w:t xml:space="preserve"> and quantitative composition</w:t>
      </w:r>
    </w:p>
    <w:p w14:paraId="2210EFC3" w14:textId="7214A54D" w:rsidR="00882348" w:rsidRPr="00882348" w:rsidRDefault="00882348" w:rsidP="00882348">
      <w:pPr>
        <w:rPr>
          <w:rFonts w:cs="Times New Roman"/>
          <w:lang w:val="en-US"/>
        </w:rPr>
      </w:pPr>
      <w:r w:rsidRPr="00882348">
        <w:rPr>
          <w:rFonts w:cs="Times New Roman"/>
          <w:lang w:val="en-US"/>
        </w:rPr>
        <w:t>Each capsule contains 100</w:t>
      </w:r>
      <w:r w:rsidR="0087233A">
        <w:rPr>
          <w:rFonts w:cs="Times New Roman"/>
          <w:lang w:val="en-US"/>
        </w:rPr>
        <w:t> </w:t>
      </w:r>
      <w:r w:rsidRPr="00882348">
        <w:rPr>
          <w:rFonts w:cs="Times New Roman"/>
          <w:lang w:val="en-US"/>
        </w:rPr>
        <w:t xml:space="preserve">mg </w:t>
      </w:r>
      <w:proofErr w:type="spellStart"/>
      <w:r w:rsidRPr="00882348">
        <w:rPr>
          <w:rFonts w:cs="Times New Roman"/>
          <w:lang w:val="en-US"/>
        </w:rPr>
        <w:t>fedratinib</w:t>
      </w:r>
      <w:proofErr w:type="spellEnd"/>
      <w:r w:rsidRPr="00882348">
        <w:rPr>
          <w:rFonts w:cs="Times New Roman"/>
          <w:lang w:val="en-US"/>
        </w:rPr>
        <w:t xml:space="preserve"> (equivalent to 117.30</w:t>
      </w:r>
      <w:r w:rsidR="0087233A">
        <w:rPr>
          <w:rFonts w:cs="Times New Roman"/>
          <w:lang w:val="en-US"/>
        </w:rPr>
        <w:t xml:space="preserve"> </w:t>
      </w:r>
      <w:r w:rsidRPr="00882348">
        <w:rPr>
          <w:rFonts w:cs="Times New Roman"/>
          <w:lang w:val="en-US"/>
        </w:rPr>
        <w:t xml:space="preserve">mg </w:t>
      </w:r>
      <w:proofErr w:type="spellStart"/>
      <w:r w:rsidRPr="00882348">
        <w:rPr>
          <w:rFonts w:cs="Times New Roman"/>
          <w:lang w:val="en-US"/>
        </w:rPr>
        <w:t>fedratinib</w:t>
      </w:r>
      <w:proofErr w:type="spellEnd"/>
      <w:r w:rsidRPr="00882348">
        <w:rPr>
          <w:rFonts w:cs="Times New Roman"/>
          <w:lang w:val="en-US"/>
        </w:rPr>
        <w:t xml:space="preserve"> dihydrochloride</w:t>
      </w:r>
      <w:r>
        <w:rPr>
          <w:rFonts w:cs="Times New Roman"/>
          <w:lang w:val="en-US"/>
        </w:rPr>
        <w:t xml:space="preserve"> </w:t>
      </w:r>
      <w:r w:rsidRPr="00882348">
        <w:rPr>
          <w:rFonts w:cs="Times New Roman"/>
          <w:lang w:val="en-US"/>
        </w:rPr>
        <w:t>monohydrate).</w:t>
      </w:r>
    </w:p>
    <w:p w14:paraId="758A526A" w14:textId="77777777" w:rsidR="00A801D6" w:rsidRPr="00003D6E" w:rsidRDefault="00A801D6" w:rsidP="00A801D6">
      <w:pPr>
        <w:rPr>
          <w:rFonts w:cs="Times New Roman"/>
          <w:lang w:val="en"/>
        </w:rPr>
      </w:pPr>
      <w:r w:rsidRPr="00003D6E">
        <w:rPr>
          <w:rFonts w:cs="Times New Roman"/>
          <w:lang w:val="en"/>
        </w:rPr>
        <w:t xml:space="preserve">For the full list of excipients, see Section 6.1 List of </w:t>
      </w:r>
      <w:r>
        <w:rPr>
          <w:rFonts w:cs="Times New Roman"/>
          <w:lang w:val="en"/>
        </w:rPr>
        <w:t>E</w:t>
      </w:r>
      <w:r w:rsidRPr="00003D6E">
        <w:rPr>
          <w:rFonts w:cs="Times New Roman"/>
          <w:lang w:val="en"/>
        </w:rPr>
        <w:t>xcipients.</w:t>
      </w:r>
    </w:p>
    <w:p w14:paraId="3F527148" w14:textId="77777777" w:rsidR="001A3992" w:rsidRPr="000A4651" w:rsidRDefault="001A3992" w:rsidP="00D86EB1">
      <w:pPr>
        <w:pStyle w:val="Heading1"/>
      </w:pPr>
      <w:r w:rsidRPr="000A4651">
        <w:t>Pharmaceutical form</w:t>
      </w:r>
    </w:p>
    <w:p w14:paraId="5D12B6F7" w14:textId="1D165FE7" w:rsidR="00360F22" w:rsidRPr="00360F22" w:rsidRDefault="0049528E" w:rsidP="00360F22">
      <w:pPr>
        <w:rPr>
          <w:rFonts w:cs="Times New Roman"/>
          <w:lang w:val="en"/>
        </w:rPr>
      </w:pPr>
      <w:r>
        <w:rPr>
          <w:rFonts w:cs="Times New Roman"/>
          <w:lang w:val="en"/>
        </w:rPr>
        <w:t>Hard c</w:t>
      </w:r>
      <w:r w:rsidR="00FE4D93">
        <w:rPr>
          <w:rFonts w:cs="Times New Roman"/>
          <w:lang w:val="en"/>
        </w:rPr>
        <w:t>apsule</w:t>
      </w:r>
      <w:r w:rsidR="00CA1200">
        <w:rPr>
          <w:rFonts w:cs="Times New Roman"/>
          <w:lang w:val="en"/>
        </w:rPr>
        <w:t>.</w:t>
      </w:r>
    </w:p>
    <w:p w14:paraId="6533F824" w14:textId="7E69EE2A" w:rsidR="00360F22" w:rsidRPr="00360F22" w:rsidRDefault="00360F22" w:rsidP="00360F22">
      <w:pPr>
        <w:rPr>
          <w:rFonts w:cs="Times New Roman"/>
          <w:lang w:val="en"/>
        </w:rPr>
      </w:pPr>
      <w:r w:rsidRPr="00360F22">
        <w:rPr>
          <w:rFonts w:cs="Times New Roman"/>
          <w:lang w:val="en"/>
        </w:rPr>
        <w:t>Reddish brown, size 0 opaque capsule, with</w:t>
      </w:r>
      <w:r>
        <w:rPr>
          <w:rFonts w:cs="Times New Roman"/>
          <w:lang w:val="en"/>
        </w:rPr>
        <w:t xml:space="preserve"> "</w:t>
      </w:r>
      <w:r w:rsidRPr="00360F22">
        <w:rPr>
          <w:rFonts w:cs="Times New Roman"/>
          <w:lang w:val="en"/>
        </w:rPr>
        <w:t>FEDR</w:t>
      </w:r>
      <w:r>
        <w:rPr>
          <w:rFonts w:cs="Times New Roman"/>
          <w:lang w:val="en"/>
        </w:rPr>
        <w:t>”</w:t>
      </w:r>
      <w:r w:rsidRPr="00360F22">
        <w:rPr>
          <w:rFonts w:cs="Times New Roman"/>
          <w:lang w:val="en"/>
        </w:rPr>
        <w:t xml:space="preserve"> on cap and</w:t>
      </w:r>
      <w:r>
        <w:rPr>
          <w:rFonts w:cs="Times New Roman"/>
          <w:lang w:val="en"/>
        </w:rPr>
        <w:t xml:space="preserve"> “</w:t>
      </w:r>
      <w:r w:rsidRPr="00360F22">
        <w:rPr>
          <w:rFonts w:cs="Times New Roman"/>
          <w:lang w:val="en"/>
        </w:rPr>
        <w:t>100</w:t>
      </w:r>
      <w:r w:rsidR="0087233A">
        <w:rPr>
          <w:rFonts w:cs="Times New Roman"/>
          <w:lang w:val="en"/>
        </w:rPr>
        <w:t> </w:t>
      </w:r>
      <w:r w:rsidRPr="00360F22">
        <w:rPr>
          <w:rFonts w:cs="Times New Roman"/>
          <w:lang w:val="en"/>
        </w:rPr>
        <w:t>m</w:t>
      </w:r>
      <w:r>
        <w:rPr>
          <w:rFonts w:cs="Times New Roman"/>
          <w:lang w:val="en"/>
        </w:rPr>
        <w:t xml:space="preserve">g” </w:t>
      </w:r>
      <w:r w:rsidRPr="00360F22">
        <w:rPr>
          <w:rFonts w:cs="Times New Roman"/>
          <w:lang w:val="en"/>
        </w:rPr>
        <w:t>on body in white ink.</w:t>
      </w:r>
    </w:p>
    <w:p w14:paraId="58C6FC72" w14:textId="77777777" w:rsidR="001A3992" w:rsidRPr="000A4651" w:rsidRDefault="001A3992" w:rsidP="00D86EB1">
      <w:pPr>
        <w:pStyle w:val="Heading1"/>
      </w:pPr>
      <w:r w:rsidRPr="000A4651">
        <w:t>Clinical particulars</w:t>
      </w:r>
    </w:p>
    <w:p w14:paraId="64CF8B96" w14:textId="77777777" w:rsidR="001A3992" w:rsidRPr="000A4651" w:rsidRDefault="003B14A8" w:rsidP="002C18CF">
      <w:pPr>
        <w:pStyle w:val="Heading2"/>
      </w:pPr>
      <w:r w:rsidRPr="000A4651">
        <w:t>Therapeutic indications</w:t>
      </w:r>
    </w:p>
    <w:p w14:paraId="488A8571" w14:textId="40E2CBE0" w:rsidR="00F34106" w:rsidRPr="00F34106" w:rsidRDefault="00594184" w:rsidP="00F34106">
      <w:pPr>
        <w:rPr>
          <w:rFonts w:cs="Times New Roman"/>
          <w:lang w:val="en-US"/>
        </w:rPr>
      </w:pPr>
      <w:r w:rsidRPr="57AD90B9">
        <w:rPr>
          <w:rFonts w:cs="Times New Roman"/>
          <w:lang w:val="en-US"/>
        </w:rPr>
        <w:t xml:space="preserve">INREBIC is indicated for the treatment of disease-related splenomegaly or symptoms in adult patients with primary myelofibrosis, post </w:t>
      </w:r>
      <w:proofErr w:type="spellStart"/>
      <w:r w:rsidRPr="57AD90B9">
        <w:rPr>
          <w:rFonts w:cs="Times New Roman"/>
          <w:lang w:val="en-US"/>
        </w:rPr>
        <w:t>polycythaemia</w:t>
      </w:r>
      <w:proofErr w:type="spellEnd"/>
      <w:r w:rsidRPr="57AD90B9">
        <w:rPr>
          <w:rFonts w:cs="Times New Roman"/>
          <w:lang w:val="en-US"/>
        </w:rPr>
        <w:t xml:space="preserve"> vera myelofibrosis or post essential </w:t>
      </w:r>
      <w:proofErr w:type="spellStart"/>
      <w:r w:rsidRPr="57AD90B9">
        <w:rPr>
          <w:rFonts w:cs="Times New Roman"/>
          <w:lang w:val="en-US"/>
        </w:rPr>
        <w:t>thrombocythaemia</w:t>
      </w:r>
      <w:proofErr w:type="spellEnd"/>
      <w:r w:rsidRPr="57AD90B9">
        <w:rPr>
          <w:rFonts w:cs="Times New Roman"/>
          <w:lang w:val="en-US"/>
        </w:rPr>
        <w:t xml:space="preserve"> myelofibrosis who are Janus Associated Kinase (JAK) inhibitor </w:t>
      </w:r>
      <w:proofErr w:type="gramStart"/>
      <w:r w:rsidRPr="57AD90B9">
        <w:rPr>
          <w:rFonts w:cs="Times New Roman"/>
          <w:lang w:val="en-US"/>
        </w:rPr>
        <w:t>naïve</w:t>
      </w:r>
      <w:proofErr w:type="gramEnd"/>
      <w:r w:rsidRPr="57AD90B9">
        <w:rPr>
          <w:rFonts w:cs="Times New Roman"/>
          <w:lang w:val="en-US"/>
        </w:rPr>
        <w:t xml:space="preserve"> or have been treated with </w:t>
      </w:r>
      <w:proofErr w:type="spellStart"/>
      <w:r w:rsidR="00B30C37">
        <w:rPr>
          <w:rFonts w:cs="Times New Roman"/>
          <w:lang w:val="en-US"/>
        </w:rPr>
        <w:t>ruxolitinib</w:t>
      </w:r>
      <w:proofErr w:type="spellEnd"/>
      <w:r w:rsidRPr="57AD90B9">
        <w:rPr>
          <w:rFonts w:cs="Times New Roman"/>
          <w:lang w:val="en-US"/>
        </w:rPr>
        <w:t>.</w:t>
      </w:r>
    </w:p>
    <w:p w14:paraId="4D307C13" w14:textId="77777777" w:rsidR="001A3992" w:rsidRPr="000A4651" w:rsidRDefault="001A3992" w:rsidP="002C18CF">
      <w:pPr>
        <w:pStyle w:val="Heading2"/>
      </w:pPr>
      <w:r w:rsidRPr="000A4651">
        <w:t>Do</w:t>
      </w:r>
      <w:r w:rsidR="00413966" w:rsidRPr="000A4651">
        <w:t>se and method of administration</w:t>
      </w:r>
    </w:p>
    <w:p w14:paraId="3BEF73D5" w14:textId="77777777" w:rsidR="006B54DD" w:rsidRDefault="006B54DD" w:rsidP="006B54DD">
      <w:pPr>
        <w:rPr>
          <w:rFonts w:cs="Times New Roman"/>
          <w:b/>
          <w:bCs/>
        </w:rPr>
      </w:pPr>
      <w:r w:rsidRPr="00FA14BD">
        <w:rPr>
          <w:rFonts w:cs="Times New Roman"/>
          <w:b/>
          <w:bCs/>
        </w:rPr>
        <w:t>Dosage</w:t>
      </w:r>
    </w:p>
    <w:p w14:paraId="09FA7766" w14:textId="1BBB24D9" w:rsidR="00A26A67" w:rsidRDefault="00A26A67" w:rsidP="00A26A67">
      <w:pPr>
        <w:rPr>
          <w:rFonts w:cs="Times New Roman"/>
          <w:lang w:val="en"/>
        </w:rPr>
      </w:pPr>
      <w:r w:rsidRPr="00A407DD">
        <w:rPr>
          <w:rFonts w:cs="Times New Roman"/>
          <w:lang w:val="en"/>
        </w:rPr>
        <w:t>Conduct baseline testing of thiamine (</w:t>
      </w:r>
      <w:r w:rsidR="00011B36">
        <w:rPr>
          <w:rFonts w:cs="Times New Roman"/>
          <w:lang w:val="en"/>
        </w:rPr>
        <w:t>v</w:t>
      </w:r>
      <w:r w:rsidRPr="00A407DD">
        <w:rPr>
          <w:rFonts w:cs="Times New Roman"/>
          <w:lang w:val="en"/>
        </w:rPr>
        <w:t>itamin B1) levels and a complete blood count prior to initiation</w:t>
      </w:r>
      <w:r>
        <w:rPr>
          <w:rFonts w:cs="Times New Roman"/>
          <w:lang w:val="en"/>
        </w:rPr>
        <w:t xml:space="preserve"> </w:t>
      </w:r>
      <w:r w:rsidRPr="00A407DD">
        <w:rPr>
          <w:rFonts w:cs="Times New Roman"/>
          <w:lang w:val="en"/>
        </w:rPr>
        <w:t xml:space="preserve">of </w:t>
      </w:r>
      <w:r>
        <w:rPr>
          <w:rFonts w:cs="Times New Roman"/>
          <w:lang w:val="en"/>
        </w:rPr>
        <w:t>INREBIC</w:t>
      </w:r>
      <w:r w:rsidRPr="00A407DD">
        <w:rPr>
          <w:rFonts w:cs="Times New Roman"/>
          <w:lang w:val="en"/>
        </w:rPr>
        <w:t xml:space="preserve"> </w:t>
      </w:r>
      <w:r>
        <w:rPr>
          <w:rFonts w:cs="Times New Roman"/>
          <w:lang w:val="en"/>
        </w:rPr>
        <w:t xml:space="preserve">(see Section 4.4 Special </w:t>
      </w:r>
      <w:r w:rsidRPr="00A407DD">
        <w:rPr>
          <w:rFonts w:cs="Times New Roman"/>
          <w:lang w:val="en"/>
        </w:rPr>
        <w:t xml:space="preserve">Warnings and Precautions </w:t>
      </w:r>
      <w:r>
        <w:rPr>
          <w:rFonts w:cs="Times New Roman"/>
          <w:lang w:val="en"/>
        </w:rPr>
        <w:t>for Use)</w:t>
      </w:r>
      <w:r w:rsidRPr="00A407DD">
        <w:rPr>
          <w:rFonts w:cs="Times New Roman"/>
          <w:lang w:val="en"/>
        </w:rPr>
        <w:t>.</w:t>
      </w:r>
    </w:p>
    <w:p w14:paraId="352F08B8" w14:textId="77777777" w:rsidR="002C18CF" w:rsidRDefault="00A407DD" w:rsidP="003F0E2C">
      <w:pPr>
        <w:rPr>
          <w:rFonts w:cs="Times New Roman"/>
          <w:lang w:val="en-US"/>
        </w:rPr>
      </w:pPr>
      <w:r w:rsidRPr="57AD90B9">
        <w:rPr>
          <w:rFonts w:cs="Times New Roman"/>
          <w:lang w:val="en-US"/>
        </w:rPr>
        <w:t xml:space="preserve">The recommended dose of </w:t>
      </w:r>
      <w:r w:rsidR="00FA14BD" w:rsidRPr="57AD90B9">
        <w:rPr>
          <w:rFonts w:cs="Times New Roman"/>
          <w:lang w:val="en-US"/>
        </w:rPr>
        <w:t>INREBIC</w:t>
      </w:r>
      <w:r w:rsidRPr="57AD90B9">
        <w:rPr>
          <w:rFonts w:cs="Times New Roman"/>
          <w:lang w:val="en-US"/>
        </w:rPr>
        <w:t xml:space="preserve"> is 400</w:t>
      </w:r>
      <w:r w:rsidR="0087233A">
        <w:rPr>
          <w:rFonts w:cs="Times New Roman"/>
          <w:lang w:val="en-US"/>
        </w:rPr>
        <w:t> </w:t>
      </w:r>
      <w:r w:rsidRPr="57AD90B9">
        <w:rPr>
          <w:rFonts w:cs="Times New Roman"/>
          <w:lang w:val="en-US"/>
        </w:rPr>
        <w:t xml:space="preserve">mg taken orally once daily for patients with a baseline platelet count of </w:t>
      </w:r>
      <w:r w:rsidR="00866497" w:rsidRPr="57AD90B9">
        <w:rPr>
          <w:rFonts w:cs="Times New Roman"/>
          <w:lang w:val="en-US"/>
        </w:rPr>
        <w:t>≥</w:t>
      </w:r>
      <w:r w:rsidRPr="57AD90B9">
        <w:rPr>
          <w:rFonts w:cs="Times New Roman"/>
          <w:lang w:val="en-US"/>
        </w:rPr>
        <w:t>50 x 10</w:t>
      </w:r>
      <w:r w:rsidRPr="57AD90B9">
        <w:rPr>
          <w:rFonts w:cs="Times New Roman"/>
          <w:vertAlign w:val="superscript"/>
          <w:lang w:val="en-US"/>
        </w:rPr>
        <w:t>9</w:t>
      </w:r>
      <w:r w:rsidRPr="57AD90B9">
        <w:rPr>
          <w:rFonts w:cs="Times New Roman"/>
          <w:lang w:val="en-US"/>
        </w:rPr>
        <w:t xml:space="preserve">/L. </w:t>
      </w:r>
      <w:proofErr w:type="spellStart"/>
      <w:r w:rsidRPr="57AD90B9">
        <w:rPr>
          <w:rFonts w:cs="Times New Roman"/>
          <w:lang w:val="en-US"/>
        </w:rPr>
        <w:t>Fedratinib</w:t>
      </w:r>
      <w:proofErr w:type="spellEnd"/>
      <w:r w:rsidRPr="57AD90B9">
        <w:rPr>
          <w:rFonts w:cs="Times New Roman"/>
          <w:lang w:val="en-US"/>
        </w:rPr>
        <w:t xml:space="preserve"> has not been studied in patients with a baseline platelet count less than 50 x 10</w:t>
      </w:r>
      <w:r w:rsidRPr="57AD90B9">
        <w:rPr>
          <w:rFonts w:cs="Times New Roman"/>
          <w:vertAlign w:val="superscript"/>
          <w:lang w:val="en-US"/>
        </w:rPr>
        <w:t>9</w:t>
      </w:r>
      <w:r w:rsidRPr="57AD90B9">
        <w:rPr>
          <w:rFonts w:cs="Times New Roman"/>
          <w:lang w:val="en-US"/>
        </w:rPr>
        <w:t>/L.</w:t>
      </w:r>
    </w:p>
    <w:p w14:paraId="6A8483E9" w14:textId="3BAB497D" w:rsidR="003F0E2C" w:rsidRDefault="003F0E2C" w:rsidP="003F0E2C">
      <w:pPr>
        <w:rPr>
          <w:rFonts w:cs="Times New Roman"/>
          <w:lang w:val="en"/>
        </w:rPr>
      </w:pPr>
      <w:r>
        <w:rPr>
          <w:rFonts w:cs="Times New Roman"/>
          <w:lang w:val="en"/>
        </w:rPr>
        <w:lastRenderedPageBreak/>
        <w:t>INREBIC</w:t>
      </w:r>
      <w:r w:rsidRPr="003F0E2C">
        <w:rPr>
          <w:rFonts w:cs="Times New Roman"/>
          <w:lang w:val="en"/>
        </w:rPr>
        <w:t xml:space="preserve"> may be taken with or without food. Administration with a high fat meal may reduce</w:t>
      </w:r>
      <w:r>
        <w:rPr>
          <w:rFonts w:cs="Times New Roman"/>
          <w:lang w:val="en"/>
        </w:rPr>
        <w:t xml:space="preserve"> </w:t>
      </w:r>
      <w:r w:rsidRPr="003F0E2C">
        <w:rPr>
          <w:rFonts w:cs="Times New Roman"/>
          <w:lang w:val="en"/>
        </w:rPr>
        <w:t>the incidence of nausea and vomiting. If a dose is missed, the next scheduled dose should be taken the</w:t>
      </w:r>
      <w:r>
        <w:rPr>
          <w:rFonts w:cs="Times New Roman"/>
          <w:lang w:val="en"/>
        </w:rPr>
        <w:t xml:space="preserve"> </w:t>
      </w:r>
      <w:r w:rsidRPr="003F0E2C">
        <w:rPr>
          <w:rFonts w:cs="Times New Roman"/>
          <w:lang w:val="en"/>
        </w:rPr>
        <w:t>following day.</w:t>
      </w:r>
    </w:p>
    <w:p w14:paraId="6F329168" w14:textId="1988B2C1" w:rsidR="00E12796" w:rsidRPr="003F0E2C" w:rsidRDefault="00E12796" w:rsidP="003F0E2C">
      <w:pPr>
        <w:rPr>
          <w:rFonts w:cs="Times New Roman"/>
          <w:lang w:val="en-US"/>
        </w:rPr>
      </w:pPr>
      <w:r w:rsidRPr="57AD90B9">
        <w:rPr>
          <w:rFonts w:cs="Times New Roman"/>
          <w:lang w:val="en-US"/>
        </w:rPr>
        <w:t xml:space="preserve">Patients that are on treatment with </w:t>
      </w:r>
      <w:proofErr w:type="spellStart"/>
      <w:r w:rsidRPr="57AD90B9">
        <w:rPr>
          <w:rFonts w:cs="Times New Roman"/>
          <w:lang w:val="en-US"/>
        </w:rPr>
        <w:t>ruxolitinib</w:t>
      </w:r>
      <w:proofErr w:type="spellEnd"/>
      <w:r w:rsidRPr="57AD90B9">
        <w:rPr>
          <w:rFonts w:cs="Times New Roman"/>
          <w:lang w:val="en-US"/>
        </w:rPr>
        <w:t xml:space="preserve"> before the initiation of INREBIC must taper and discontinue </w:t>
      </w:r>
      <w:proofErr w:type="spellStart"/>
      <w:r w:rsidRPr="57AD90B9">
        <w:rPr>
          <w:rFonts w:cs="Times New Roman"/>
          <w:lang w:val="en-US"/>
        </w:rPr>
        <w:t>ruxolitinib</w:t>
      </w:r>
      <w:proofErr w:type="spellEnd"/>
      <w:r w:rsidRPr="57AD90B9">
        <w:rPr>
          <w:rFonts w:cs="Times New Roman"/>
          <w:lang w:val="en-US"/>
        </w:rPr>
        <w:t xml:space="preserve"> according to the </w:t>
      </w:r>
      <w:proofErr w:type="spellStart"/>
      <w:r w:rsidRPr="57AD90B9">
        <w:rPr>
          <w:rFonts w:cs="Times New Roman"/>
          <w:lang w:val="en-US"/>
        </w:rPr>
        <w:t>ruxolitinib</w:t>
      </w:r>
      <w:proofErr w:type="spellEnd"/>
      <w:r w:rsidRPr="57AD90B9">
        <w:rPr>
          <w:rFonts w:cs="Times New Roman"/>
          <w:lang w:val="en-US"/>
        </w:rPr>
        <w:t xml:space="preserve"> prescribing information.</w:t>
      </w:r>
    </w:p>
    <w:p w14:paraId="68C65073" w14:textId="77777777" w:rsidR="002A13AE" w:rsidRDefault="003F0E2C" w:rsidP="003F0E2C">
      <w:pPr>
        <w:rPr>
          <w:rFonts w:cs="Times New Roman"/>
          <w:b/>
          <w:bCs/>
          <w:lang w:val="en"/>
        </w:rPr>
      </w:pPr>
      <w:r w:rsidRPr="003F0E2C">
        <w:rPr>
          <w:rFonts w:cs="Times New Roman"/>
          <w:b/>
          <w:bCs/>
          <w:lang w:val="en"/>
        </w:rPr>
        <w:t>Dose Modifications</w:t>
      </w:r>
    </w:p>
    <w:p w14:paraId="001E55D9" w14:textId="217A0C88" w:rsidR="003F0E2C" w:rsidRPr="002A13AE" w:rsidRDefault="003F0E2C" w:rsidP="003F0E2C">
      <w:pPr>
        <w:rPr>
          <w:rFonts w:cs="Times New Roman"/>
          <w:u w:val="single"/>
          <w:lang w:val="en-US"/>
        </w:rPr>
      </w:pPr>
      <w:proofErr w:type="spellStart"/>
      <w:r w:rsidRPr="57AD90B9">
        <w:rPr>
          <w:rFonts w:cs="Times New Roman"/>
          <w:u w:val="single"/>
          <w:lang w:val="en-US"/>
        </w:rPr>
        <w:t>H</w:t>
      </w:r>
      <w:r w:rsidR="00CD406B" w:rsidRPr="57AD90B9">
        <w:rPr>
          <w:rFonts w:cs="Times New Roman"/>
          <w:u w:val="single"/>
          <w:lang w:val="en-US"/>
        </w:rPr>
        <w:t>a</w:t>
      </w:r>
      <w:r w:rsidRPr="57AD90B9">
        <w:rPr>
          <w:rFonts w:cs="Times New Roman"/>
          <w:u w:val="single"/>
          <w:lang w:val="en-US"/>
        </w:rPr>
        <w:t>ematologic</w:t>
      </w:r>
      <w:proofErr w:type="spellEnd"/>
      <w:r w:rsidRPr="57AD90B9">
        <w:rPr>
          <w:rFonts w:cs="Times New Roman"/>
          <w:u w:val="single"/>
          <w:lang w:val="en-US"/>
        </w:rPr>
        <w:t xml:space="preserve"> Toxicities and Non-</w:t>
      </w:r>
      <w:proofErr w:type="spellStart"/>
      <w:r w:rsidRPr="57AD90B9">
        <w:rPr>
          <w:rFonts w:cs="Times New Roman"/>
          <w:u w:val="single"/>
          <w:lang w:val="en-US"/>
        </w:rPr>
        <w:t>H</w:t>
      </w:r>
      <w:r w:rsidR="00CD406B" w:rsidRPr="57AD90B9">
        <w:rPr>
          <w:rFonts w:cs="Times New Roman"/>
          <w:u w:val="single"/>
          <w:lang w:val="en-US"/>
        </w:rPr>
        <w:t>a</w:t>
      </w:r>
      <w:r w:rsidRPr="57AD90B9">
        <w:rPr>
          <w:rFonts w:cs="Times New Roman"/>
          <w:u w:val="single"/>
          <w:lang w:val="en-US"/>
        </w:rPr>
        <w:t>ematologic</w:t>
      </w:r>
      <w:proofErr w:type="spellEnd"/>
      <w:r w:rsidRPr="57AD90B9">
        <w:rPr>
          <w:rFonts w:cs="Times New Roman"/>
          <w:u w:val="single"/>
          <w:lang w:val="en-US"/>
        </w:rPr>
        <w:t xml:space="preserve"> Toxicities</w:t>
      </w:r>
    </w:p>
    <w:p w14:paraId="72A6F459" w14:textId="64FD92DE" w:rsidR="003F0E2C" w:rsidRDefault="003F0E2C" w:rsidP="003F0E2C">
      <w:pPr>
        <w:rPr>
          <w:rFonts w:cs="Times New Roman"/>
          <w:lang w:val="en-US"/>
        </w:rPr>
      </w:pPr>
      <w:r w:rsidRPr="57AD90B9">
        <w:rPr>
          <w:rFonts w:cs="Times New Roman"/>
          <w:lang w:val="en-US"/>
        </w:rPr>
        <w:t xml:space="preserve">Dose modifications should be considered for </w:t>
      </w:r>
      <w:proofErr w:type="spellStart"/>
      <w:r w:rsidRPr="57AD90B9">
        <w:rPr>
          <w:rFonts w:cs="Times New Roman"/>
          <w:lang w:val="en-US"/>
        </w:rPr>
        <w:t>h</w:t>
      </w:r>
      <w:r w:rsidR="008B6985" w:rsidRPr="57AD90B9">
        <w:rPr>
          <w:rFonts w:cs="Times New Roman"/>
          <w:lang w:val="en-US"/>
        </w:rPr>
        <w:t>a</w:t>
      </w:r>
      <w:r w:rsidRPr="57AD90B9">
        <w:rPr>
          <w:rFonts w:cs="Times New Roman"/>
          <w:lang w:val="en-US"/>
        </w:rPr>
        <w:t>ematologic</w:t>
      </w:r>
      <w:proofErr w:type="spellEnd"/>
      <w:r w:rsidRPr="57AD90B9">
        <w:rPr>
          <w:rFonts w:cs="Times New Roman"/>
          <w:lang w:val="en-US"/>
        </w:rPr>
        <w:t xml:space="preserve"> and non-</w:t>
      </w:r>
      <w:proofErr w:type="spellStart"/>
      <w:r w:rsidRPr="57AD90B9">
        <w:rPr>
          <w:rFonts w:cs="Times New Roman"/>
          <w:lang w:val="en-US"/>
        </w:rPr>
        <w:t>h</w:t>
      </w:r>
      <w:r w:rsidR="008B6985" w:rsidRPr="57AD90B9">
        <w:rPr>
          <w:rFonts w:cs="Times New Roman"/>
          <w:lang w:val="en-US"/>
        </w:rPr>
        <w:t>a</w:t>
      </w:r>
      <w:r w:rsidRPr="57AD90B9">
        <w:rPr>
          <w:rFonts w:cs="Times New Roman"/>
          <w:lang w:val="en-US"/>
        </w:rPr>
        <w:t>ematologic</w:t>
      </w:r>
      <w:proofErr w:type="spellEnd"/>
      <w:r w:rsidRPr="57AD90B9">
        <w:rPr>
          <w:rFonts w:cs="Times New Roman"/>
          <w:lang w:val="en-US"/>
        </w:rPr>
        <w:t xml:space="preserve"> toxicities. Discontinue INREBIC in patients who are unable to tolerate a dose of 200</w:t>
      </w:r>
      <w:r w:rsidR="0087233A">
        <w:rPr>
          <w:rFonts w:cs="Times New Roman"/>
          <w:lang w:val="en-US"/>
        </w:rPr>
        <w:t> </w:t>
      </w:r>
      <w:r w:rsidRPr="57AD90B9">
        <w:rPr>
          <w:rFonts w:cs="Times New Roman"/>
          <w:lang w:val="en-US"/>
        </w:rPr>
        <w:t>mg daily.</w:t>
      </w:r>
    </w:p>
    <w:p w14:paraId="4EE7921F" w14:textId="20083733" w:rsidR="00204E65" w:rsidRDefault="00204E65" w:rsidP="00F93CD3">
      <w:pPr>
        <w:pStyle w:val="Caption"/>
        <w:keepNext/>
        <w:keepLines/>
      </w:pPr>
      <w:bookmarkStart w:id="0" w:name="_Ref152234359"/>
      <w:r>
        <w:t xml:space="preserve">Table </w:t>
      </w:r>
      <w:r w:rsidR="00621671">
        <w:fldChar w:fldCharType="begin"/>
      </w:r>
      <w:r w:rsidR="00621671">
        <w:instrText xml:space="preserve"> SEQ Table \* ARABIC </w:instrText>
      </w:r>
      <w:r w:rsidR="00621671">
        <w:fldChar w:fldCharType="separate"/>
      </w:r>
      <w:r w:rsidR="00196356">
        <w:rPr>
          <w:noProof/>
        </w:rPr>
        <w:t>1</w:t>
      </w:r>
      <w:r w:rsidR="00621671">
        <w:rPr>
          <w:noProof/>
        </w:rPr>
        <w:fldChar w:fldCharType="end"/>
      </w:r>
      <w:bookmarkEnd w:id="0"/>
      <w:r>
        <w:t xml:space="preserve">: </w:t>
      </w:r>
      <w:r w:rsidR="008B6985">
        <w:t>Dos</w:t>
      </w:r>
      <w:r w:rsidR="00181669">
        <w:t>e</w:t>
      </w:r>
      <w:r w:rsidR="008B6985">
        <w:t xml:space="preserve"> Reduction for Haematologic Toxicities</w:t>
      </w:r>
    </w:p>
    <w:tbl>
      <w:tblPr>
        <w:tblStyle w:val="TableGrid"/>
        <w:tblW w:w="0" w:type="auto"/>
        <w:tblLook w:val="04A0" w:firstRow="1" w:lastRow="0" w:firstColumn="1" w:lastColumn="0" w:noHBand="0" w:noVBand="1"/>
      </w:tblPr>
      <w:tblGrid>
        <w:gridCol w:w="3397"/>
        <w:gridCol w:w="5619"/>
      </w:tblGrid>
      <w:tr w:rsidR="00ED6D5B" w:rsidRPr="006046C5" w14:paraId="4D19E274" w14:textId="77777777" w:rsidTr="00180200">
        <w:trPr>
          <w:tblHeader/>
        </w:trPr>
        <w:tc>
          <w:tcPr>
            <w:tcW w:w="3397" w:type="dxa"/>
            <w:shd w:val="clear" w:color="auto" w:fill="D9D9D9" w:themeFill="background1" w:themeFillShade="D9"/>
          </w:tcPr>
          <w:p w14:paraId="4031458F" w14:textId="1D9AAA06" w:rsidR="00ED6D5B" w:rsidRPr="006046C5" w:rsidRDefault="00ED6D5B" w:rsidP="00ED6D5B">
            <w:pPr>
              <w:jc w:val="center"/>
              <w:rPr>
                <w:rFonts w:cs="Times New Roman"/>
                <w:b/>
                <w:bCs/>
                <w:sz w:val="20"/>
                <w:szCs w:val="20"/>
              </w:rPr>
            </w:pPr>
            <w:r w:rsidRPr="006046C5">
              <w:rPr>
                <w:rFonts w:cs="Times New Roman"/>
                <w:b/>
                <w:bCs/>
                <w:sz w:val="20"/>
                <w:szCs w:val="20"/>
              </w:rPr>
              <w:t>Haematologic Toxicity</w:t>
            </w:r>
          </w:p>
        </w:tc>
        <w:tc>
          <w:tcPr>
            <w:tcW w:w="5619" w:type="dxa"/>
            <w:shd w:val="clear" w:color="auto" w:fill="D9D9D9" w:themeFill="background1" w:themeFillShade="D9"/>
          </w:tcPr>
          <w:p w14:paraId="3D464D8D" w14:textId="5588C05C" w:rsidR="00ED6D5B" w:rsidRPr="006046C5" w:rsidRDefault="00ED6D5B" w:rsidP="00ED6D5B">
            <w:pPr>
              <w:jc w:val="center"/>
              <w:rPr>
                <w:rFonts w:cs="Times New Roman"/>
                <w:b/>
                <w:bCs/>
                <w:sz w:val="20"/>
                <w:szCs w:val="20"/>
              </w:rPr>
            </w:pPr>
            <w:r w:rsidRPr="006046C5">
              <w:rPr>
                <w:rFonts w:cs="Times New Roman"/>
                <w:b/>
                <w:bCs/>
                <w:sz w:val="20"/>
                <w:szCs w:val="20"/>
              </w:rPr>
              <w:t>Dose Reduction</w:t>
            </w:r>
          </w:p>
        </w:tc>
      </w:tr>
      <w:tr w:rsidR="00ED6D5B" w:rsidRPr="006046C5" w14:paraId="007DE06B" w14:textId="77777777" w:rsidTr="00180200">
        <w:tc>
          <w:tcPr>
            <w:tcW w:w="3397" w:type="dxa"/>
          </w:tcPr>
          <w:p w14:paraId="751159DF" w14:textId="5D4D9956" w:rsidR="00ED6D5B" w:rsidRPr="006046C5" w:rsidRDefault="006046C5" w:rsidP="006046C5">
            <w:pPr>
              <w:spacing w:after="200"/>
              <w:rPr>
                <w:rFonts w:cs="Times New Roman"/>
                <w:sz w:val="20"/>
                <w:szCs w:val="20"/>
                <w:lang w:val="en"/>
              </w:rPr>
            </w:pPr>
            <w:r w:rsidRPr="006046C5">
              <w:rPr>
                <w:rFonts w:cs="Times New Roman"/>
                <w:sz w:val="20"/>
                <w:szCs w:val="20"/>
                <w:lang w:val="en"/>
              </w:rPr>
              <w:t>Grade 3 Thrombocytopenia with active bleeding or Grade 4 Thrombocytopenia</w:t>
            </w:r>
          </w:p>
        </w:tc>
        <w:tc>
          <w:tcPr>
            <w:tcW w:w="5619" w:type="dxa"/>
          </w:tcPr>
          <w:p w14:paraId="35B1C922" w14:textId="6EF84ABA" w:rsidR="00ED6D5B" w:rsidRPr="006046C5" w:rsidRDefault="006046C5" w:rsidP="006046C5">
            <w:pPr>
              <w:spacing w:after="200"/>
              <w:rPr>
                <w:rFonts w:cs="Times New Roman"/>
                <w:sz w:val="20"/>
                <w:szCs w:val="20"/>
                <w:lang w:val="en"/>
              </w:rPr>
            </w:pPr>
            <w:r w:rsidRPr="006046C5">
              <w:rPr>
                <w:rFonts w:cs="Times New Roman"/>
                <w:sz w:val="20"/>
                <w:szCs w:val="20"/>
                <w:lang w:val="en"/>
              </w:rPr>
              <w:t xml:space="preserve">Interrupt </w:t>
            </w:r>
            <w:proofErr w:type="gramStart"/>
            <w:r w:rsidRPr="006046C5">
              <w:rPr>
                <w:rFonts w:cs="Times New Roman"/>
                <w:sz w:val="20"/>
                <w:szCs w:val="20"/>
                <w:lang w:val="en"/>
              </w:rPr>
              <w:t>INREBIC dose</w:t>
            </w:r>
            <w:proofErr w:type="gramEnd"/>
            <w:r w:rsidRPr="006046C5">
              <w:rPr>
                <w:rFonts w:cs="Times New Roman"/>
                <w:sz w:val="20"/>
                <w:szCs w:val="20"/>
                <w:lang w:val="en"/>
              </w:rPr>
              <w:t xml:space="preserve"> until resolved to </w:t>
            </w:r>
            <w:r w:rsidR="00C84BEE">
              <w:rPr>
                <w:rFonts w:cs="Times New Roman"/>
                <w:sz w:val="20"/>
                <w:szCs w:val="20"/>
                <w:lang w:val="en"/>
              </w:rPr>
              <w:t>≤</w:t>
            </w:r>
            <w:r w:rsidRPr="006046C5">
              <w:rPr>
                <w:rFonts w:cs="Times New Roman"/>
                <w:sz w:val="20"/>
                <w:szCs w:val="20"/>
                <w:lang w:val="en"/>
              </w:rPr>
              <w:t>Grade 2 or baseline. Restart dose at 100</w:t>
            </w:r>
            <w:r w:rsidR="0087233A">
              <w:rPr>
                <w:rFonts w:cs="Times New Roman"/>
                <w:sz w:val="20"/>
                <w:szCs w:val="20"/>
                <w:lang w:val="en"/>
              </w:rPr>
              <w:t> </w:t>
            </w:r>
            <w:r w:rsidRPr="006046C5">
              <w:rPr>
                <w:rFonts w:cs="Times New Roman"/>
                <w:sz w:val="20"/>
                <w:szCs w:val="20"/>
                <w:lang w:val="en"/>
              </w:rPr>
              <w:t>mg daily below the last given dose.</w:t>
            </w:r>
          </w:p>
        </w:tc>
      </w:tr>
      <w:tr w:rsidR="00ED6D5B" w:rsidRPr="006046C5" w14:paraId="60852587" w14:textId="77777777" w:rsidTr="00180200">
        <w:tc>
          <w:tcPr>
            <w:tcW w:w="3397" w:type="dxa"/>
          </w:tcPr>
          <w:p w14:paraId="78170BC9" w14:textId="2C6121B5" w:rsidR="00ED6D5B" w:rsidRPr="000F6C08" w:rsidRDefault="006046C5" w:rsidP="000F6C08">
            <w:pPr>
              <w:spacing w:after="200"/>
              <w:rPr>
                <w:rFonts w:cs="Times New Roman"/>
                <w:sz w:val="20"/>
                <w:szCs w:val="20"/>
                <w:lang w:val="en"/>
              </w:rPr>
            </w:pPr>
            <w:r w:rsidRPr="000F6C08">
              <w:rPr>
                <w:rFonts w:cs="Times New Roman"/>
                <w:sz w:val="20"/>
                <w:szCs w:val="20"/>
                <w:lang w:val="en"/>
              </w:rPr>
              <w:t>Grade 4 Neutropenia</w:t>
            </w:r>
          </w:p>
        </w:tc>
        <w:tc>
          <w:tcPr>
            <w:tcW w:w="5619" w:type="dxa"/>
          </w:tcPr>
          <w:p w14:paraId="272C1097" w14:textId="4657B9FB" w:rsidR="00ED6D5B" w:rsidRPr="000F6C08" w:rsidRDefault="000F6C08" w:rsidP="000F6C08">
            <w:pPr>
              <w:autoSpaceDE w:val="0"/>
              <w:autoSpaceDN w:val="0"/>
              <w:adjustRightInd w:val="0"/>
              <w:spacing w:after="200"/>
              <w:jc w:val="left"/>
              <w:rPr>
                <w:rFonts w:cs="Times New Roman"/>
                <w:sz w:val="20"/>
                <w:szCs w:val="20"/>
                <w:lang w:val="en"/>
              </w:rPr>
            </w:pPr>
            <w:r w:rsidRPr="000F6C08">
              <w:rPr>
                <w:rFonts w:cs="Times New Roman"/>
                <w:sz w:val="20"/>
                <w:szCs w:val="20"/>
                <w:lang w:val="en"/>
              </w:rPr>
              <w:t xml:space="preserve">Interrupt </w:t>
            </w:r>
            <w:proofErr w:type="gramStart"/>
            <w:r>
              <w:rPr>
                <w:rFonts w:cs="Times New Roman"/>
                <w:sz w:val="20"/>
                <w:szCs w:val="20"/>
                <w:lang w:val="en"/>
              </w:rPr>
              <w:t xml:space="preserve">INREBIC </w:t>
            </w:r>
            <w:r w:rsidRPr="000F6C08">
              <w:rPr>
                <w:rFonts w:cs="Times New Roman"/>
                <w:sz w:val="20"/>
                <w:szCs w:val="20"/>
                <w:lang w:val="en"/>
              </w:rPr>
              <w:t>dose</w:t>
            </w:r>
            <w:proofErr w:type="gramEnd"/>
            <w:r w:rsidRPr="000F6C08">
              <w:rPr>
                <w:rFonts w:cs="Times New Roman"/>
                <w:sz w:val="20"/>
                <w:szCs w:val="20"/>
                <w:lang w:val="en"/>
              </w:rPr>
              <w:t xml:space="preserve"> until resolved to</w:t>
            </w:r>
            <w:r>
              <w:rPr>
                <w:rFonts w:cs="Times New Roman"/>
                <w:sz w:val="20"/>
                <w:szCs w:val="20"/>
                <w:lang w:val="en"/>
              </w:rPr>
              <w:t xml:space="preserve"> </w:t>
            </w:r>
            <w:r w:rsidR="00C84BEE">
              <w:rPr>
                <w:rFonts w:cs="Times New Roman"/>
                <w:sz w:val="20"/>
                <w:szCs w:val="20"/>
                <w:lang w:val="en"/>
              </w:rPr>
              <w:t>≤</w:t>
            </w:r>
            <w:r w:rsidRPr="000F6C08">
              <w:rPr>
                <w:rFonts w:cs="Times New Roman"/>
                <w:sz w:val="20"/>
                <w:szCs w:val="20"/>
                <w:lang w:val="en"/>
              </w:rPr>
              <w:t>Grade 2 or baseline. Restart dose at 100</w:t>
            </w:r>
            <w:r w:rsidR="0087233A">
              <w:rPr>
                <w:rFonts w:cs="Times New Roman"/>
                <w:sz w:val="20"/>
                <w:szCs w:val="20"/>
                <w:lang w:val="en"/>
              </w:rPr>
              <w:t> </w:t>
            </w:r>
            <w:r w:rsidRPr="000F6C08">
              <w:rPr>
                <w:rFonts w:cs="Times New Roman"/>
                <w:sz w:val="20"/>
                <w:szCs w:val="20"/>
                <w:lang w:val="en"/>
              </w:rPr>
              <w:t>mg daily</w:t>
            </w:r>
            <w:r>
              <w:rPr>
                <w:rFonts w:cs="Times New Roman"/>
                <w:sz w:val="20"/>
                <w:szCs w:val="20"/>
                <w:lang w:val="en"/>
              </w:rPr>
              <w:t xml:space="preserve"> </w:t>
            </w:r>
            <w:r w:rsidRPr="000F6C08">
              <w:rPr>
                <w:rFonts w:cs="Times New Roman"/>
                <w:sz w:val="20"/>
                <w:szCs w:val="20"/>
                <w:lang w:val="en"/>
              </w:rPr>
              <w:t>below the last given dose. Granulocyte growth</w:t>
            </w:r>
            <w:r>
              <w:rPr>
                <w:rFonts w:cs="Times New Roman"/>
                <w:sz w:val="20"/>
                <w:szCs w:val="20"/>
                <w:lang w:val="en"/>
              </w:rPr>
              <w:t xml:space="preserve"> </w:t>
            </w:r>
            <w:r w:rsidRPr="000F6C08">
              <w:rPr>
                <w:rFonts w:cs="Times New Roman"/>
                <w:sz w:val="20"/>
                <w:szCs w:val="20"/>
                <w:lang w:val="en"/>
              </w:rPr>
              <w:t xml:space="preserve">factors may be used at the </w:t>
            </w:r>
            <w:r>
              <w:rPr>
                <w:rFonts w:cs="Times New Roman"/>
                <w:sz w:val="20"/>
                <w:szCs w:val="20"/>
                <w:lang w:val="en"/>
              </w:rPr>
              <w:t>doctor’</w:t>
            </w:r>
            <w:r w:rsidRPr="000F6C08">
              <w:rPr>
                <w:rFonts w:cs="Times New Roman"/>
                <w:sz w:val="20"/>
                <w:szCs w:val="20"/>
                <w:lang w:val="en"/>
              </w:rPr>
              <w:t>s discretion</w:t>
            </w:r>
            <w:r>
              <w:rPr>
                <w:rFonts w:cs="Times New Roman"/>
                <w:sz w:val="20"/>
                <w:szCs w:val="20"/>
                <w:lang w:val="en"/>
              </w:rPr>
              <w:t>.</w:t>
            </w:r>
          </w:p>
        </w:tc>
      </w:tr>
    </w:tbl>
    <w:p w14:paraId="00205A78" w14:textId="77505138" w:rsidR="00181669" w:rsidRDefault="00181669" w:rsidP="00181669">
      <w:pPr>
        <w:rPr>
          <w:rFonts w:cs="Times New Roman"/>
          <w:lang w:val="en"/>
        </w:rPr>
      </w:pPr>
      <w:r w:rsidRPr="00181669">
        <w:rPr>
          <w:rFonts w:cs="Times New Roman"/>
          <w:lang w:val="en"/>
        </w:rPr>
        <w:t>Dose reductions should also be considered for patients who become transfusion-dependent during</w:t>
      </w:r>
      <w:r>
        <w:rPr>
          <w:rFonts w:cs="Times New Roman"/>
          <w:lang w:val="en"/>
        </w:rPr>
        <w:t xml:space="preserve"> </w:t>
      </w:r>
      <w:r w:rsidRPr="00181669">
        <w:rPr>
          <w:rFonts w:cs="Times New Roman"/>
          <w:lang w:val="en"/>
        </w:rPr>
        <w:t xml:space="preserve">treatment with </w:t>
      </w:r>
      <w:r>
        <w:rPr>
          <w:rFonts w:cs="Times New Roman"/>
          <w:lang w:val="en"/>
        </w:rPr>
        <w:t>INREBIC</w:t>
      </w:r>
      <w:r w:rsidRPr="00181669">
        <w:rPr>
          <w:rFonts w:cs="Times New Roman"/>
          <w:lang w:val="en"/>
        </w:rPr>
        <w:t>.</w:t>
      </w:r>
    </w:p>
    <w:p w14:paraId="480211F4" w14:textId="3332A137" w:rsidR="00181669" w:rsidRDefault="00181669" w:rsidP="00F93CD3">
      <w:pPr>
        <w:pStyle w:val="Caption"/>
        <w:keepNext/>
        <w:keepLines/>
      </w:pPr>
      <w:bookmarkStart w:id="1" w:name="_Ref152234375"/>
      <w:r>
        <w:t xml:space="preserve">Table </w:t>
      </w:r>
      <w:r w:rsidR="00621671">
        <w:fldChar w:fldCharType="begin"/>
      </w:r>
      <w:r w:rsidR="00621671">
        <w:instrText xml:space="preserve"> SEQ Table \* ARABIC </w:instrText>
      </w:r>
      <w:r w:rsidR="00621671">
        <w:fldChar w:fldCharType="separate"/>
      </w:r>
      <w:r w:rsidR="00196356">
        <w:rPr>
          <w:noProof/>
        </w:rPr>
        <w:t>2</w:t>
      </w:r>
      <w:r w:rsidR="00621671">
        <w:rPr>
          <w:noProof/>
        </w:rPr>
        <w:fldChar w:fldCharType="end"/>
      </w:r>
      <w:bookmarkEnd w:id="1"/>
      <w:r>
        <w:t>: Dose Reduction for Non-</w:t>
      </w:r>
      <w:r w:rsidRPr="00181669">
        <w:t xml:space="preserve"> </w:t>
      </w:r>
      <w:r>
        <w:t>Haematologic Toxicities</w:t>
      </w:r>
    </w:p>
    <w:tbl>
      <w:tblPr>
        <w:tblStyle w:val="TableGrid"/>
        <w:tblW w:w="0" w:type="auto"/>
        <w:tblLook w:val="04A0" w:firstRow="1" w:lastRow="0" w:firstColumn="1" w:lastColumn="0" w:noHBand="0" w:noVBand="1"/>
      </w:tblPr>
      <w:tblGrid>
        <w:gridCol w:w="3397"/>
        <w:gridCol w:w="5619"/>
      </w:tblGrid>
      <w:tr w:rsidR="00181669" w:rsidRPr="006046C5" w14:paraId="6A5F8496" w14:textId="77777777" w:rsidTr="00180200">
        <w:trPr>
          <w:tblHeader/>
        </w:trPr>
        <w:tc>
          <w:tcPr>
            <w:tcW w:w="3397" w:type="dxa"/>
            <w:shd w:val="clear" w:color="auto" w:fill="D9D9D9" w:themeFill="background1" w:themeFillShade="D9"/>
          </w:tcPr>
          <w:p w14:paraId="1D5A9A0B" w14:textId="1904ED0D" w:rsidR="00181669" w:rsidRPr="006046C5" w:rsidRDefault="00B70F46">
            <w:pPr>
              <w:jc w:val="center"/>
              <w:rPr>
                <w:rFonts w:cs="Times New Roman"/>
                <w:b/>
                <w:bCs/>
                <w:sz w:val="20"/>
                <w:szCs w:val="20"/>
              </w:rPr>
            </w:pPr>
            <w:r>
              <w:rPr>
                <w:rFonts w:cs="Times New Roman"/>
                <w:b/>
                <w:bCs/>
                <w:sz w:val="20"/>
                <w:szCs w:val="20"/>
              </w:rPr>
              <w:t>Non-</w:t>
            </w:r>
            <w:r w:rsidR="00181669" w:rsidRPr="006046C5">
              <w:rPr>
                <w:rFonts w:cs="Times New Roman"/>
                <w:b/>
                <w:bCs/>
                <w:sz w:val="20"/>
                <w:szCs w:val="20"/>
              </w:rPr>
              <w:t>Haematologic Toxicity</w:t>
            </w:r>
          </w:p>
        </w:tc>
        <w:tc>
          <w:tcPr>
            <w:tcW w:w="5619" w:type="dxa"/>
            <w:shd w:val="clear" w:color="auto" w:fill="D9D9D9" w:themeFill="background1" w:themeFillShade="D9"/>
          </w:tcPr>
          <w:p w14:paraId="37D46626" w14:textId="77777777" w:rsidR="00181669" w:rsidRPr="006046C5" w:rsidRDefault="00181669">
            <w:pPr>
              <w:jc w:val="center"/>
              <w:rPr>
                <w:rFonts w:cs="Times New Roman"/>
                <w:b/>
                <w:bCs/>
                <w:sz w:val="20"/>
                <w:szCs w:val="20"/>
              </w:rPr>
            </w:pPr>
            <w:r w:rsidRPr="006046C5">
              <w:rPr>
                <w:rFonts w:cs="Times New Roman"/>
                <w:b/>
                <w:bCs/>
                <w:sz w:val="20"/>
                <w:szCs w:val="20"/>
              </w:rPr>
              <w:t>Dose Reduction</w:t>
            </w:r>
          </w:p>
        </w:tc>
      </w:tr>
      <w:tr w:rsidR="00181669" w:rsidRPr="006046C5" w14:paraId="5A4F1AD8" w14:textId="77777777" w:rsidTr="00180200">
        <w:tc>
          <w:tcPr>
            <w:tcW w:w="3397" w:type="dxa"/>
          </w:tcPr>
          <w:p w14:paraId="6D6E64F4" w14:textId="2E86A821" w:rsidR="00181669" w:rsidRPr="006046C5" w:rsidRDefault="00C84BEE" w:rsidP="00B70F46">
            <w:pPr>
              <w:spacing w:after="200"/>
              <w:rPr>
                <w:rFonts w:cs="Times New Roman"/>
                <w:sz w:val="20"/>
                <w:szCs w:val="20"/>
                <w:lang w:val="en-US"/>
              </w:rPr>
            </w:pPr>
            <w:r w:rsidRPr="57AD90B9">
              <w:rPr>
                <w:rFonts w:cs="Times New Roman"/>
                <w:sz w:val="20"/>
                <w:szCs w:val="20"/>
                <w:lang w:val="en-US"/>
              </w:rPr>
              <w:t>≥</w:t>
            </w:r>
            <w:r w:rsidR="00B70F46" w:rsidRPr="57AD90B9">
              <w:rPr>
                <w:rFonts w:cs="Times New Roman"/>
                <w:sz w:val="20"/>
                <w:szCs w:val="20"/>
                <w:lang w:val="en-US"/>
              </w:rPr>
              <w:t xml:space="preserve">Grade 3 Nausea, Vomiting, or </w:t>
            </w:r>
            <w:proofErr w:type="spellStart"/>
            <w:r w:rsidR="00B70F46" w:rsidRPr="57AD90B9">
              <w:rPr>
                <w:rFonts w:cs="Times New Roman"/>
                <w:sz w:val="20"/>
                <w:szCs w:val="20"/>
                <w:lang w:val="en-US"/>
              </w:rPr>
              <w:t>Diarrh</w:t>
            </w:r>
            <w:r w:rsidR="00B2058E" w:rsidRPr="57AD90B9">
              <w:rPr>
                <w:rFonts w:cs="Times New Roman"/>
                <w:sz w:val="20"/>
                <w:szCs w:val="20"/>
                <w:lang w:val="en-US"/>
              </w:rPr>
              <w:t>o</w:t>
            </w:r>
            <w:r w:rsidR="00B70F46" w:rsidRPr="57AD90B9">
              <w:rPr>
                <w:rFonts w:cs="Times New Roman"/>
                <w:sz w:val="20"/>
                <w:szCs w:val="20"/>
                <w:lang w:val="en-US"/>
              </w:rPr>
              <w:t>ea</w:t>
            </w:r>
            <w:proofErr w:type="spellEnd"/>
            <w:r w:rsidR="00B70F46" w:rsidRPr="57AD90B9">
              <w:rPr>
                <w:rFonts w:cs="Times New Roman"/>
                <w:sz w:val="20"/>
                <w:szCs w:val="20"/>
                <w:lang w:val="en-US"/>
              </w:rPr>
              <w:t xml:space="preserve"> not responding to supportive measures within 48</w:t>
            </w:r>
            <w:r w:rsidR="0087233A">
              <w:rPr>
                <w:rFonts w:cs="Times New Roman"/>
                <w:sz w:val="20"/>
                <w:szCs w:val="20"/>
                <w:lang w:val="en-US"/>
              </w:rPr>
              <w:t> </w:t>
            </w:r>
            <w:r w:rsidR="00B70F46" w:rsidRPr="57AD90B9">
              <w:rPr>
                <w:rFonts w:cs="Times New Roman"/>
                <w:sz w:val="20"/>
                <w:szCs w:val="20"/>
                <w:lang w:val="en-US"/>
              </w:rPr>
              <w:t>hours</w:t>
            </w:r>
          </w:p>
        </w:tc>
        <w:tc>
          <w:tcPr>
            <w:tcW w:w="5619" w:type="dxa"/>
          </w:tcPr>
          <w:p w14:paraId="3F23C526" w14:textId="7EECBA93" w:rsidR="00181669" w:rsidRPr="006046C5" w:rsidRDefault="00B70F46" w:rsidP="00D87996">
            <w:pPr>
              <w:spacing w:after="200"/>
              <w:rPr>
                <w:rFonts w:cs="Times New Roman"/>
                <w:sz w:val="20"/>
                <w:szCs w:val="20"/>
                <w:lang w:val="en"/>
              </w:rPr>
            </w:pPr>
            <w:r w:rsidRPr="00D87996">
              <w:rPr>
                <w:rFonts w:cs="Times New Roman"/>
                <w:sz w:val="20"/>
                <w:szCs w:val="20"/>
                <w:lang w:val="en"/>
              </w:rPr>
              <w:t xml:space="preserve">Interrupt </w:t>
            </w:r>
            <w:proofErr w:type="gramStart"/>
            <w:r w:rsidR="00D87996">
              <w:rPr>
                <w:rFonts w:cs="Times New Roman"/>
                <w:sz w:val="20"/>
                <w:szCs w:val="20"/>
                <w:lang w:val="en"/>
              </w:rPr>
              <w:t>INREBIC</w:t>
            </w:r>
            <w:r w:rsidRPr="00D87996">
              <w:rPr>
                <w:rFonts w:cs="Times New Roman"/>
                <w:sz w:val="20"/>
                <w:szCs w:val="20"/>
                <w:lang w:val="en"/>
              </w:rPr>
              <w:t xml:space="preserve"> dose</w:t>
            </w:r>
            <w:proofErr w:type="gramEnd"/>
            <w:r w:rsidRPr="00D87996">
              <w:rPr>
                <w:rFonts w:cs="Times New Roman"/>
                <w:sz w:val="20"/>
                <w:szCs w:val="20"/>
                <w:lang w:val="en"/>
              </w:rPr>
              <w:t xml:space="preserve"> until resolved to</w:t>
            </w:r>
            <w:r w:rsidR="00D87996">
              <w:rPr>
                <w:rFonts w:cs="Times New Roman"/>
                <w:sz w:val="20"/>
                <w:szCs w:val="20"/>
                <w:lang w:val="en"/>
              </w:rPr>
              <w:t xml:space="preserve"> </w:t>
            </w:r>
            <w:r w:rsidR="00C84BEE">
              <w:rPr>
                <w:rFonts w:cs="Times New Roman"/>
                <w:sz w:val="20"/>
                <w:szCs w:val="20"/>
                <w:lang w:val="en"/>
              </w:rPr>
              <w:t>≤</w:t>
            </w:r>
            <w:r w:rsidRPr="00D87996">
              <w:rPr>
                <w:rFonts w:cs="Times New Roman"/>
                <w:sz w:val="20"/>
                <w:szCs w:val="20"/>
                <w:lang w:val="en"/>
              </w:rPr>
              <w:t>Grade 1 or baseline. Restart dose at 100</w:t>
            </w:r>
            <w:r w:rsidR="0087233A">
              <w:rPr>
                <w:rFonts w:cs="Times New Roman"/>
                <w:sz w:val="20"/>
                <w:szCs w:val="20"/>
                <w:lang w:val="en"/>
              </w:rPr>
              <w:t> </w:t>
            </w:r>
            <w:r w:rsidRPr="00D87996">
              <w:rPr>
                <w:rFonts w:cs="Times New Roman"/>
                <w:sz w:val="20"/>
                <w:szCs w:val="20"/>
                <w:lang w:val="en"/>
              </w:rPr>
              <w:t>mg daily</w:t>
            </w:r>
            <w:r w:rsidR="00D87996">
              <w:rPr>
                <w:rFonts w:cs="Times New Roman"/>
                <w:sz w:val="20"/>
                <w:szCs w:val="20"/>
                <w:lang w:val="en"/>
              </w:rPr>
              <w:t xml:space="preserve"> </w:t>
            </w:r>
            <w:r w:rsidRPr="00D87996">
              <w:rPr>
                <w:rFonts w:cs="Times New Roman"/>
                <w:sz w:val="20"/>
                <w:szCs w:val="20"/>
                <w:lang w:val="en"/>
              </w:rPr>
              <w:t>below the last given dose.</w:t>
            </w:r>
          </w:p>
        </w:tc>
      </w:tr>
      <w:tr w:rsidR="00181669" w:rsidRPr="006046C5" w14:paraId="26E40FF4" w14:textId="77777777" w:rsidTr="00180200">
        <w:tc>
          <w:tcPr>
            <w:tcW w:w="3397" w:type="dxa"/>
          </w:tcPr>
          <w:p w14:paraId="5F25CC00" w14:textId="0C1E2003" w:rsidR="00181669" w:rsidRPr="006046C5" w:rsidRDefault="00C84BEE" w:rsidP="00B70F46">
            <w:pPr>
              <w:spacing w:after="200"/>
              <w:rPr>
                <w:rFonts w:cs="Times New Roman"/>
                <w:sz w:val="20"/>
                <w:szCs w:val="20"/>
                <w:lang w:val="en"/>
              </w:rPr>
            </w:pPr>
            <w:r>
              <w:rPr>
                <w:rFonts w:cs="Times New Roman"/>
                <w:sz w:val="20"/>
                <w:szCs w:val="20"/>
                <w:lang w:val="en"/>
              </w:rPr>
              <w:t>≥</w:t>
            </w:r>
            <w:r w:rsidR="00B70F46" w:rsidRPr="00B70F46">
              <w:rPr>
                <w:rFonts w:cs="Times New Roman"/>
                <w:sz w:val="20"/>
                <w:szCs w:val="20"/>
                <w:lang w:val="en"/>
              </w:rPr>
              <w:t>Grade 3 ALT, AST, or Bilirubin</w:t>
            </w:r>
          </w:p>
        </w:tc>
        <w:tc>
          <w:tcPr>
            <w:tcW w:w="5619" w:type="dxa"/>
          </w:tcPr>
          <w:p w14:paraId="3943ED22" w14:textId="5ABE8945" w:rsidR="00D87996" w:rsidRPr="00D87996" w:rsidRDefault="00D87996" w:rsidP="00D87996">
            <w:pPr>
              <w:spacing w:after="200"/>
              <w:rPr>
                <w:rFonts w:cs="Times New Roman"/>
                <w:sz w:val="20"/>
                <w:szCs w:val="20"/>
                <w:lang w:val="en"/>
              </w:rPr>
            </w:pPr>
            <w:r w:rsidRPr="00D87996">
              <w:rPr>
                <w:rFonts w:cs="Times New Roman"/>
                <w:sz w:val="20"/>
                <w:szCs w:val="20"/>
                <w:lang w:val="en"/>
              </w:rPr>
              <w:t xml:space="preserve">Interrupt </w:t>
            </w:r>
            <w:proofErr w:type="gramStart"/>
            <w:r>
              <w:rPr>
                <w:rFonts w:cs="Times New Roman"/>
                <w:sz w:val="20"/>
                <w:szCs w:val="20"/>
                <w:lang w:val="en"/>
              </w:rPr>
              <w:t>INREBIC</w:t>
            </w:r>
            <w:r w:rsidRPr="00D87996">
              <w:rPr>
                <w:rFonts w:cs="Times New Roman"/>
                <w:sz w:val="20"/>
                <w:szCs w:val="20"/>
                <w:lang w:val="en"/>
              </w:rPr>
              <w:t xml:space="preserve"> dose</w:t>
            </w:r>
            <w:proofErr w:type="gramEnd"/>
            <w:r w:rsidRPr="00D87996">
              <w:rPr>
                <w:rFonts w:cs="Times New Roman"/>
                <w:sz w:val="20"/>
                <w:szCs w:val="20"/>
                <w:lang w:val="en"/>
              </w:rPr>
              <w:t xml:space="preserve"> until resolved t</w:t>
            </w:r>
            <w:r>
              <w:rPr>
                <w:rFonts w:cs="Times New Roman"/>
                <w:sz w:val="20"/>
                <w:szCs w:val="20"/>
                <w:lang w:val="en"/>
              </w:rPr>
              <w:t>o</w:t>
            </w:r>
            <w:r w:rsidR="00C84BEE">
              <w:rPr>
                <w:rFonts w:cs="Times New Roman"/>
                <w:sz w:val="20"/>
                <w:szCs w:val="20"/>
                <w:lang w:val="en"/>
              </w:rPr>
              <w:t xml:space="preserve"> ≤</w:t>
            </w:r>
            <w:r w:rsidRPr="00D87996">
              <w:rPr>
                <w:rFonts w:cs="Times New Roman"/>
                <w:sz w:val="20"/>
                <w:szCs w:val="20"/>
                <w:lang w:val="en"/>
              </w:rPr>
              <w:t>Grade 1 or baseline. Restart dose at 100</w:t>
            </w:r>
            <w:r w:rsidR="0087233A">
              <w:rPr>
                <w:rFonts w:cs="Times New Roman"/>
                <w:sz w:val="20"/>
                <w:szCs w:val="20"/>
                <w:lang w:val="en"/>
              </w:rPr>
              <w:t> </w:t>
            </w:r>
            <w:r w:rsidRPr="00D87996">
              <w:rPr>
                <w:rFonts w:cs="Times New Roman"/>
                <w:sz w:val="20"/>
                <w:szCs w:val="20"/>
                <w:lang w:val="en"/>
              </w:rPr>
              <w:t>mg daily</w:t>
            </w:r>
            <w:r>
              <w:rPr>
                <w:rFonts w:cs="Times New Roman"/>
                <w:sz w:val="20"/>
                <w:szCs w:val="20"/>
                <w:lang w:val="en"/>
              </w:rPr>
              <w:t xml:space="preserve"> </w:t>
            </w:r>
            <w:r w:rsidRPr="00D87996">
              <w:rPr>
                <w:rFonts w:cs="Times New Roman"/>
                <w:sz w:val="20"/>
                <w:szCs w:val="20"/>
                <w:lang w:val="en"/>
              </w:rPr>
              <w:t>below the last given dose.</w:t>
            </w:r>
          </w:p>
          <w:p w14:paraId="480FF2D7" w14:textId="06944A48" w:rsidR="00181669" w:rsidRPr="006046C5" w:rsidRDefault="00D87996" w:rsidP="00D87996">
            <w:pPr>
              <w:spacing w:after="200"/>
              <w:rPr>
                <w:rFonts w:cs="Times New Roman"/>
                <w:sz w:val="20"/>
                <w:szCs w:val="20"/>
                <w:lang w:val="en-US"/>
              </w:rPr>
            </w:pPr>
            <w:r w:rsidRPr="57AD90B9">
              <w:rPr>
                <w:rFonts w:cs="Times New Roman"/>
                <w:sz w:val="20"/>
                <w:szCs w:val="20"/>
                <w:lang w:val="en-US"/>
              </w:rPr>
              <w:t>Monitor ALT, AST, and bilirubin (total and direct) every 2</w:t>
            </w:r>
            <w:r w:rsidR="0087233A">
              <w:rPr>
                <w:rFonts w:cs="Times New Roman"/>
                <w:sz w:val="20"/>
                <w:szCs w:val="20"/>
                <w:lang w:val="en-US"/>
              </w:rPr>
              <w:t> </w:t>
            </w:r>
            <w:r w:rsidRPr="57AD90B9">
              <w:rPr>
                <w:rFonts w:cs="Times New Roman"/>
                <w:sz w:val="20"/>
                <w:szCs w:val="20"/>
                <w:lang w:val="en-US"/>
              </w:rPr>
              <w:t>weeks for at least 3</w:t>
            </w:r>
            <w:r w:rsidR="0087233A">
              <w:rPr>
                <w:rFonts w:cs="Times New Roman"/>
                <w:sz w:val="20"/>
                <w:szCs w:val="20"/>
                <w:lang w:val="en-US"/>
              </w:rPr>
              <w:t> </w:t>
            </w:r>
            <w:r w:rsidRPr="57AD90B9">
              <w:rPr>
                <w:rFonts w:cs="Times New Roman"/>
                <w:sz w:val="20"/>
                <w:szCs w:val="20"/>
                <w:lang w:val="en-US"/>
              </w:rPr>
              <w:t xml:space="preserve">months following the dose reduction. If </w:t>
            </w:r>
            <w:proofErr w:type="gramStart"/>
            <w:r w:rsidRPr="57AD90B9">
              <w:rPr>
                <w:rFonts w:cs="Times New Roman"/>
                <w:sz w:val="20"/>
                <w:szCs w:val="20"/>
                <w:lang w:val="en-US"/>
              </w:rPr>
              <w:t>re</w:t>
            </w:r>
            <w:proofErr w:type="gramEnd"/>
            <w:r w:rsidRPr="57AD90B9">
              <w:rPr>
                <w:rFonts w:cs="Times New Roman"/>
                <w:sz w:val="20"/>
                <w:szCs w:val="20"/>
                <w:lang w:val="en-US"/>
              </w:rPr>
              <w:t>-occurrence of a Grade 3 or higher elevation, discontinue treatment with INREBIC.</w:t>
            </w:r>
          </w:p>
        </w:tc>
      </w:tr>
      <w:tr w:rsidR="00181669" w:rsidRPr="006046C5" w14:paraId="70F12DF4" w14:textId="77777777" w:rsidTr="00180200">
        <w:tc>
          <w:tcPr>
            <w:tcW w:w="3397" w:type="dxa"/>
          </w:tcPr>
          <w:p w14:paraId="27C5BAB8" w14:textId="0632FF10" w:rsidR="00181669" w:rsidRPr="000F6C08" w:rsidRDefault="00C84BEE">
            <w:pPr>
              <w:spacing w:after="200"/>
              <w:rPr>
                <w:rFonts w:cs="Times New Roman"/>
                <w:sz w:val="20"/>
                <w:szCs w:val="20"/>
                <w:lang w:val="en-US"/>
              </w:rPr>
            </w:pPr>
            <w:r w:rsidRPr="57AD90B9">
              <w:rPr>
                <w:rFonts w:cs="Times New Roman"/>
                <w:sz w:val="20"/>
                <w:szCs w:val="20"/>
                <w:lang w:val="en-US"/>
              </w:rPr>
              <w:t>≥</w:t>
            </w:r>
            <w:r w:rsidR="00B70F46" w:rsidRPr="57AD90B9">
              <w:rPr>
                <w:rFonts w:cs="Times New Roman"/>
                <w:sz w:val="20"/>
                <w:szCs w:val="20"/>
                <w:lang w:val="en-US"/>
              </w:rPr>
              <w:t>Grade 3 Other Non-</w:t>
            </w:r>
            <w:proofErr w:type="spellStart"/>
            <w:r w:rsidR="00B70F46" w:rsidRPr="57AD90B9">
              <w:rPr>
                <w:rFonts w:cs="Times New Roman"/>
                <w:sz w:val="20"/>
                <w:szCs w:val="20"/>
                <w:lang w:val="en-US"/>
              </w:rPr>
              <w:t>H</w:t>
            </w:r>
            <w:r w:rsidR="00D87996" w:rsidRPr="57AD90B9">
              <w:rPr>
                <w:rFonts w:cs="Times New Roman"/>
                <w:sz w:val="20"/>
                <w:szCs w:val="20"/>
                <w:lang w:val="en-US"/>
              </w:rPr>
              <w:t>a</w:t>
            </w:r>
            <w:r w:rsidR="00B70F46" w:rsidRPr="57AD90B9">
              <w:rPr>
                <w:rFonts w:cs="Times New Roman"/>
                <w:sz w:val="20"/>
                <w:szCs w:val="20"/>
                <w:lang w:val="en-US"/>
              </w:rPr>
              <w:t>ematologic</w:t>
            </w:r>
            <w:proofErr w:type="spellEnd"/>
            <w:r w:rsidR="00B70F46" w:rsidRPr="57AD90B9">
              <w:rPr>
                <w:rFonts w:cs="Times New Roman"/>
                <w:sz w:val="20"/>
                <w:szCs w:val="20"/>
                <w:lang w:val="en-US"/>
              </w:rPr>
              <w:t xml:space="preserve"> Toxicities</w:t>
            </w:r>
          </w:p>
        </w:tc>
        <w:tc>
          <w:tcPr>
            <w:tcW w:w="5619" w:type="dxa"/>
          </w:tcPr>
          <w:p w14:paraId="6798EE0C" w14:textId="01F27152" w:rsidR="00181669" w:rsidRPr="000F6C08" w:rsidRDefault="00D87996" w:rsidP="00D87996">
            <w:pPr>
              <w:spacing w:after="200"/>
              <w:rPr>
                <w:rFonts w:cs="Times New Roman"/>
                <w:sz w:val="20"/>
                <w:szCs w:val="20"/>
                <w:lang w:val="en"/>
              </w:rPr>
            </w:pPr>
            <w:r w:rsidRPr="00D87996">
              <w:rPr>
                <w:rFonts w:cs="Times New Roman"/>
                <w:sz w:val="20"/>
                <w:szCs w:val="20"/>
                <w:lang w:val="en"/>
              </w:rPr>
              <w:t xml:space="preserve">Interrupt </w:t>
            </w:r>
            <w:proofErr w:type="gramStart"/>
            <w:r>
              <w:rPr>
                <w:rFonts w:cs="Times New Roman"/>
                <w:sz w:val="20"/>
                <w:szCs w:val="20"/>
                <w:lang w:val="en"/>
              </w:rPr>
              <w:t>INREBIC</w:t>
            </w:r>
            <w:r w:rsidRPr="00D87996">
              <w:rPr>
                <w:rFonts w:cs="Times New Roman"/>
                <w:sz w:val="20"/>
                <w:szCs w:val="20"/>
                <w:lang w:val="en"/>
              </w:rPr>
              <w:t xml:space="preserve"> dose</w:t>
            </w:r>
            <w:proofErr w:type="gramEnd"/>
            <w:r w:rsidRPr="00D87996">
              <w:rPr>
                <w:rFonts w:cs="Times New Roman"/>
                <w:sz w:val="20"/>
                <w:szCs w:val="20"/>
                <w:lang w:val="en"/>
              </w:rPr>
              <w:t xml:space="preserve"> until resolved to</w:t>
            </w:r>
            <w:r w:rsidR="00C84BEE">
              <w:rPr>
                <w:rFonts w:cs="Times New Roman"/>
                <w:sz w:val="20"/>
                <w:szCs w:val="20"/>
                <w:lang w:val="en"/>
              </w:rPr>
              <w:t xml:space="preserve"> ≤</w:t>
            </w:r>
            <w:r w:rsidRPr="00D87996">
              <w:rPr>
                <w:rFonts w:cs="Times New Roman"/>
                <w:sz w:val="20"/>
                <w:szCs w:val="20"/>
                <w:lang w:val="en"/>
              </w:rPr>
              <w:t>Grade 1 or baseline. Restart dose at 100</w:t>
            </w:r>
            <w:r w:rsidR="0087233A">
              <w:rPr>
                <w:rFonts w:cs="Times New Roman"/>
                <w:sz w:val="20"/>
                <w:szCs w:val="20"/>
                <w:lang w:val="en"/>
              </w:rPr>
              <w:t> </w:t>
            </w:r>
            <w:r w:rsidRPr="00D87996">
              <w:rPr>
                <w:rFonts w:cs="Times New Roman"/>
                <w:sz w:val="20"/>
                <w:szCs w:val="20"/>
                <w:lang w:val="en"/>
              </w:rPr>
              <w:t>mg daily</w:t>
            </w:r>
            <w:r>
              <w:rPr>
                <w:rFonts w:cs="Times New Roman"/>
                <w:sz w:val="20"/>
                <w:szCs w:val="20"/>
                <w:lang w:val="en"/>
              </w:rPr>
              <w:t xml:space="preserve"> </w:t>
            </w:r>
            <w:r w:rsidRPr="00D87996">
              <w:rPr>
                <w:rFonts w:cs="Times New Roman"/>
                <w:sz w:val="20"/>
                <w:szCs w:val="20"/>
                <w:lang w:val="en"/>
              </w:rPr>
              <w:t>below the last given dose.</w:t>
            </w:r>
          </w:p>
        </w:tc>
      </w:tr>
    </w:tbl>
    <w:p w14:paraId="285699E4" w14:textId="77777777" w:rsidR="00181669" w:rsidRDefault="00181669" w:rsidP="00181669">
      <w:pPr>
        <w:rPr>
          <w:lang w:val="en"/>
        </w:rPr>
      </w:pPr>
    </w:p>
    <w:p w14:paraId="3EA92818" w14:textId="74C8BD0B" w:rsidR="00A55440" w:rsidRPr="00A55440" w:rsidRDefault="00A55440" w:rsidP="00A55440">
      <w:pPr>
        <w:rPr>
          <w:rFonts w:cs="Times New Roman"/>
          <w:u w:val="single"/>
          <w:lang w:val="en"/>
        </w:rPr>
      </w:pPr>
      <w:r w:rsidRPr="00A55440">
        <w:rPr>
          <w:rFonts w:cs="Times New Roman"/>
          <w:u w:val="single"/>
          <w:lang w:val="en"/>
        </w:rPr>
        <w:t>Thiamine Levels and Wernicke’s Encephalopathy (WE)</w:t>
      </w:r>
    </w:p>
    <w:p w14:paraId="532A6CB6" w14:textId="77777777" w:rsidR="00636900" w:rsidRDefault="00A55440" w:rsidP="00A55440">
      <w:pPr>
        <w:rPr>
          <w:rFonts w:cs="Times New Roman"/>
          <w:lang w:val="en"/>
        </w:rPr>
      </w:pPr>
      <w:r w:rsidRPr="00A55440">
        <w:rPr>
          <w:rFonts w:cs="Times New Roman"/>
          <w:lang w:val="en"/>
        </w:rPr>
        <w:t xml:space="preserve">Assess thiamine levels and nutritional status prior to starting </w:t>
      </w:r>
      <w:r w:rsidR="00436133">
        <w:rPr>
          <w:rFonts w:cs="Times New Roman"/>
          <w:lang w:val="en"/>
        </w:rPr>
        <w:t>INREBIC</w:t>
      </w:r>
      <w:r w:rsidRPr="00A55440">
        <w:rPr>
          <w:rFonts w:cs="Times New Roman"/>
          <w:lang w:val="en"/>
        </w:rPr>
        <w:t xml:space="preserve">. Do not start </w:t>
      </w:r>
      <w:r w:rsidR="00436133">
        <w:rPr>
          <w:rFonts w:cs="Times New Roman"/>
          <w:lang w:val="en"/>
        </w:rPr>
        <w:t xml:space="preserve">INREBIC </w:t>
      </w:r>
      <w:r w:rsidRPr="00A55440">
        <w:rPr>
          <w:rFonts w:cs="Times New Roman"/>
          <w:lang w:val="en"/>
        </w:rPr>
        <w:t xml:space="preserve">treatment in patients with thiamine deficiency; </w:t>
      </w:r>
      <w:r w:rsidR="00B2058E">
        <w:rPr>
          <w:rFonts w:cs="Times New Roman"/>
          <w:lang w:val="en"/>
        </w:rPr>
        <w:t>replenish</w:t>
      </w:r>
      <w:r w:rsidRPr="00A55440">
        <w:rPr>
          <w:rFonts w:cs="Times New Roman"/>
          <w:lang w:val="en"/>
        </w:rPr>
        <w:t xml:space="preserve"> thiamine prior to treatment initiation if thiamine levels are low. </w:t>
      </w:r>
    </w:p>
    <w:p w14:paraId="64A116BF" w14:textId="4CF1FD01" w:rsidR="007739F9" w:rsidRDefault="00AC6966" w:rsidP="00A55440">
      <w:pPr>
        <w:rPr>
          <w:rFonts w:cs="Times New Roman"/>
          <w:lang w:val="en-US"/>
        </w:rPr>
      </w:pPr>
      <w:r w:rsidRPr="57AD90B9">
        <w:rPr>
          <w:rFonts w:cs="Times New Roman"/>
          <w:lang w:val="en-US"/>
        </w:rPr>
        <w:t>While on treatment, all patients should receive prophylaxis with daily 100</w:t>
      </w:r>
      <w:r w:rsidR="0087233A">
        <w:rPr>
          <w:rFonts w:cs="Times New Roman"/>
          <w:lang w:val="en-US"/>
        </w:rPr>
        <w:t> </w:t>
      </w:r>
      <w:r w:rsidRPr="57AD90B9">
        <w:rPr>
          <w:rFonts w:cs="Times New Roman"/>
          <w:lang w:val="en-US"/>
        </w:rPr>
        <w:t>mg oral thiamine and</w:t>
      </w:r>
      <w:r w:rsidR="00AB39D6" w:rsidRPr="57AD90B9">
        <w:rPr>
          <w:rFonts w:cs="Times New Roman"/>
          <w:lang w:val="en-US"/>
        </w:rPr>
        <w:t xml:space="preserve"> should have </w:t>
      </w:r>
      <w:r w:rsidR="00A55440" w:rsidRPr="57AD90B9">
        <w:rPr>
          <w:rFonts w:cs="Times New Roman"/>
          <w:lang w:val="en-US"/>
        </w:rPr>
        <w:t xml:space="preserve">thiamine levels </w:t>
      </w:r>
      <w:r w:rsidR="00AB39D6" w:rsidRPr="57AD90B9">
        <w:rPr>
          <w:rFonts w:cs="Times New Roman"/>
          <w:lang w:val="en-US"/>
        </w:rPr>
        <w:t xml:space="preserve">assessed </w:t>
      </w:r>
      <w:r w:rsidR="00A55440" w:rsidRPr="57AD90B9">
        <w:rPr>
          <w:rFonts w:cs="Times New Roman"/>
          <w:lang w:val="en-US"/>
        </w:rPr>
        <w:t xml:space="preserve">periodically as clinically indicated. </w:t>
      </w:r>
    </w:p>
    <w:p w14:paraId="2A98D66A" w14:textId="3C4CAD4C" w:rsidR="00A55440" w:rsidRDefault="00A55440" w:rsidP="00A55440">
      <w:pPr>
        <w:rPr>
          <w:rFonts w:cs="Times New Roman"/>
          <w:lang w:val="en-US"/>
        </w:rPr>
      </w:pPr>
      <w:r w:rsidRPr="57AD90B9">
        <w:rPr>
          <w:rFonts w:cs="Times New Roman"/>
          <w:lang w:val="en-US"/>
        </w:rPr>
        <w:t xml:space="preserve">If Wernicke’s </w:t>
      </w:r>
      <w:r w:rsidR="00F97608" w:rsidRPr="57AD90B9">
        <w:rPr>
          <w:rFonts w:cs="Times New Roman"/>
          <w:lang w:val="en-US"/>
        </w:rPr>
        <w:t>E</w:t>
      </w:r>
      <w:r w:rsidRPr="57AD90B9">
        <w:rPr>
          <w:rFonts w:cs="Times New Roman"/>
          <w:lang w:val="en-US"/>
        </w:rPr>
        <w:t xml:space="preserve">ncephalopathy is suspected, immediately discontinue treatment with </w:t>
      </w:r>
      <w:r w:rsidR="00F97608" w:rsidRPr="57AD90B9">
        <w:rPr>
          <w:rFonts w:cs="Times New Roman"/>
          <w:lang w:val="en-US"/>
        </w:rPr>
        <w:t xml:space="preserve">INREBIC </w:t>
      </w:r>
      <w:r w:rsidRPr="57AD90B9">
        <w:rPr>
          <w:rFonts w:cs="Times New Roman"/>
          <w:lang w:val="en-US"/>
        </w:rPr>
        <w:t xml:space="preserve">and initiate parenteral thiamine treatment. Monitor until symptoms resolve or improve and thiamine levels </w:t>
      </w:r>
      <w:proofErr w:type="spellStart"/>
      <w:r w:rsidRPr="57AD90B9">
        <w:rPr>
          <w:rFonts w:cs="Times New Roman"/>
          <w:lang w:val="en-US"/>
        </w:rPr>
        <w:lastRenderedPageBreak/>
        <w:t>normalise</w:t>
      </w:r>
      <w:proofErr w:type="spellEnd"/>
      <w:r w:rsidRPr="57AD90B9">
        <w:rPr>
          <w:rFonts w:cs="Times New Roman"/>
          <w:lang w:val="en-US"/>
        </w:rPr>
        <w:t xml:space="preserve"> (see Section 4.4 Special Warnings and Precautions for Use and Section 4.8 Adverse Effects [Undesirable Effects]). </w:t>
      </w:r>
    </w:p>
    <w:p w14:paraId="0C2FBDD1" w14:textId="4CB2821B" w:rsidR="00A55440" w:rsidRDefault="00A55440" w:rsidP="00F93CD3">
      <w:pPr>
        <w:pStyle w:val="Caption"/>
        <w:keepNext/>
        <w:keepLines/>
      </w:pPr>
      <w:bookmarkStart w:id="2" w:name="_Ref152234336"/>
      <w:r>
        <w:t xml:space="preserve">Table </w:t>
      </w:r>
      <w:r w:rsidR="00621671">
        <w:fldChar w:fldCharType="begin"/>
      </w:r>
      <w:r w:rsidR="00621671">
        <w:instrText xml:space="preserve"> SEQ Table \* ARABIC </w:instrText>
      </w:r>
      <w:r w:rsidR="00621671">
        <w:fldChar w:fldCharType="separate"/>
      </w:r>
      <w:r w:rsidR="00196356">
        <w:rPr>
          <w:noProof/>
        </w:rPr>
        <w:t>3</w:t>
      </w:r>
      <w:r w:rsidR="00621671">
        <w:rPr>
          <w:noProof/>
        </w:rPr>
        <w:fldChar w:fldCharType="end"/>
      </w:r>
      <w:bookmarkEnd w:id="2"/>
      <w:r>
        <w:t>:</w:t>
      </w:r>
      <w:r w:rsidR="006D59D4" w:rsidRPr="006D59D4">
        <w:rPr>
          <w:rFonts w:ascii="TimesNewRoman,Bold" w:eastAsia="TimesNewRoman,Bold" w:hAnsiTheme="minorHAnsi" w:cs="TimesNewRoman,Bold"/>
          <w:b w:val="0"/>
          <w:bCs/>
          <w:sz w:val="24"/>
          <w:szCs w:val="24"/>
          <w:lang w:val="en-US"/>
        </w:rPr>
        <w:t xml:space="preserve"> </w:t>
      </w:r>
      <w:r w:rsidR="006D59D4" w:rsidRPr="006D59D4">
        <w:t>Management of Thiamine Levels and Wernicke</w:t>
      </w:r>
      <w:r w:rsidR="006D59D4">
        <w:t>’</w:t>
      </w:r>
      <w:r w:rsidR="006D59D4" w:rsidRPr="006D59D4">
        <w:t>s Encephalopathy</w:t>
      </w:r>
    </w:p>
    <w:tbl>
      <w:tblPr>
        <w:tblStyle w:val="TableGrid"/>
        <w:tblW w:w="0" w:type="auto"/>
        <w:tblLook w:val="04A0" w:firstRow="1" w:lastRow="0" w:firstColumn="1" w:lastColumn="0" w:noHBand="0" w:noVBand="1"/>
      </w:tblPr>
      <w:tblGrid>
        <w:gridCol w:w="3397"/>
        <w:gridCol w:w="5619"/>
      </w:tblGrid>
      <w:tr w:rsidR="006D59D4" w:rsidRPr="006046C5" w14:paraId="2E3B2002" w14:textId="77777777" w:rsidTr="00180200">
        <w:trPr>
          <w:tblHeader/>
        </w:trPr>
        <w:tc>
          <w:tcPr>
            <w:tcW w:w="3397" w:type="dxa"/>
            <w:shd w:val="clear" w:color="auto" w:fill="D9D9D9" w:themeFill="background1" w:themeFillShade="D9"/>
          </w:tcPr>
          <w:p w14:paraId="2FDA9B64" w14:textId="66D779CB" w:rsidR="006D59D4" w:rsidRPr="006046C5" w:rsidRDefault="006D3B55">
            <w:pPr>
              <w:jc w:val="center"/>
              <w:rPr>
                <w:rFonts w:cs="Times New Roman"/>
                <w:b/>
                <w:bCs/>
                <w:sz w:val="20"/>
                <w:szCs w:val="20"/>
              </w:rPr>
            </w:pPr>
            <w:r w:rsidRPr="006D3B55">
              <w:rPr>
                <w:rFonts w:cs="Times New Roman"/>
                <w:b/>
                <w:bCs/>
                <w:sz w:val="20"/>
                <w:szCs w:val="20"/>
              </w:rPr>
              <w:t>Thiamine Levels</w:t>
            </w:r>
            <w:r w:rsidR="00013483">
              <w:rPr>
                <w:rFonts w:cs="Times New Roman"/>
                <w:b/>
                <w:bCs/>
                <w:sz w:val="20"/>
                <w:szCs w:val="20"/>
              </w:rPr>
              <w:t xml:space="preserve"> and</w:t>
            </w:r>
            <w:r w:rsidR="00F86D12">
              <w:rPr>
                <w:rFonts w:cs="Times New Roman"/>
                <w:b/>
                <w:bCs/>
                <w:sz w:val="20"/>
                <w:szCs w:val="20"/>
              </w:rPr>
              <w:t xml:space="preserve"> </w:t>
            </w:r>
            <w:r w:rsidRPr="006D3B55">
              <w:rPr>
                <w:rFonts w:cs="Times New Roman"/>
                <w:b/>
                <w:bCs/>
                <w:sz w:val="20"/>
                <w:szCs w:val="20"/>
              </w:rPr>
              <w:t>Wernicke’s Encephalopathy</w:t>
            </w:r>
          </w:p>
        </w:tc>
        <w:tc>
          <w:tcPr>
            <w:tcW w:w="5619" w:type="dxa"/>
            <w:shd w:val="clear" w:color="auto" w:fill="D9D9D9" w:themeFill="background1" w:themeFillShade="D9"/>
          </w:tcPr>
          <w:p w14:paraId="70880BD7" w14:textId="77777777" w:rsidR="006D59D4" w:rsidRPr="006046C5" w:rsidRDefault="006D59D4">
            <w:pPr>
              <w:jc w:val="center"/>
              <w:rPr>
                <w:rFonts w:cs="Times New Roman"/>
                <w:b/>
                <w:bCs/>
                <w:sz w:val="20"/>
                <w:szCs w:val="20"/>
              </w:rPr>
            </w:pPr>
            <w:r w:rsidRPr="006046C5">
              <w:rPr>
                <w:rFonts w:cs="Times New Roman"/>
                <w:b/>
                <w:bCs/>
                <w:sz w:val="20"/>
                <w:szCs w:val="20"/>
              </w:rPr>
              <w:t>Dose Reduction</w:t>
            </w:r>
          </w:p>
        </w:tc>
      </w:tr>
      <w:tr w:rsidR="006D59D4" w:rsidRPr="006046C5" w14:paraId="48F29915" w14:textId="77777777" w:rsidTr="00180200">
        <w:tc>
          <w:tcPr>
            <w:tcW w:w="3397" w:type="dxa"/>
          </w:tcPr>
          <w:p w14:paraId="2D47AB98" w14:textId="7A83DB44" w:rsidR="006D59D4" w:rsidRPr="006046C5" w:rsidRDefault="27FCF1DB" w:rsidP="00B021F9">
            <w:pPr>
              <w:spacing w:after="200"/>
              <w:rPr>
                <w:rFonts w:cs="Times New Roman"/>
                <w:sz w:val="20"/>
                <w:szCs w:val="20"/>
                <w:lang w:val="en"/>
              </w:rPr>
            </w:pPr>
            <w:r w:rsidRPr="77BFD9B4">
              <w:rPr>
                <w:rFonts w:cs="Times New Roman"/>
                <w:sz w:val="20"/>
                <w:szCs w:val="20"/>
                <w:lang w:val="en"/>
              </w:rPr>
              <w:t>For thiamine levels below the normal range but</w:t>
            </w:r>
            <w:r w:rsidR="67AECE65" w:rsidRPr="77BFD9B4">
              <w:rPr>
                <w:rFonts w:cs="Times New Roman"/>
                <w:sz w:val="20"/>
                <w:szCs w:val="20"/>
                <w:lang w:val="en"/>
              </w:rPr>
              <w:t xml:space="preserve"> </w:t>
            </w:r>
            <w:r w:rsidR="2EC0B567" w:rsidRPr="77BFD9B4">
              <w:rPr>
                <w:rFonts w:cs="Times New Roman"/>
                <w:sz w:val="20"/>
                <w:szCs w:val="20"/>
                <w:lang w:val="en"/>
              </w:rPr>
              <w:t>≥</w:t>
            </w:r>
            <w:r w:rsidRPr="77BFD9B4">
              <w:rPr>
                <w:rFonts w:cs="Times New Roman"/>
                <w:sz w:val="20"/>
                <w:szCs w:val="20"/>
                <w:lang w:val="en"/>
              </w:rPr>
              <w:t>30</w:t>
            </w:r>
            <w:r w:rsidR="0087233A">
              <w:rPr>
                <w:rFonts w:cs="Times New Roman"/>
                <w:sz w:val="20"/>
                <w:szCs w:val="20"/>
                <w:lang w:val="en"/>
              </w:rPr>
              <w:t> </w:t>
            </w:r>
            <w:r w:rsidRPr="77BFD9B4">
              <w:rPr>
                <w:rFonts w:cs="Times New Roman"/>
                <w:sz w:val="20"/>
                <w:szCs w:val="20"/>
                <w:lang w:val="en"/>
              </w:rPr>
              <w:t>nmol/L without signs or</w:t>
            </w:r>
            <w:r w:rsidR="67AECE65" w:rsidRPr="77BFD9B4">
              <w:rPr>
                <w:rFonts w:cs="Times New Roman"/>
                <w:sz w:val="20"/>
                <w:szCs w:val="20"/>
                <w:lang w:val="en"/>
              </w:rPr>
              <w:t xml:space="preserve"> </w:t>
            </w:r>
            <w:r w:rsidRPr="77BFD9B4">
              <w:rPr>
                <w:rFonts w:cs="Times New Roman"/>
                <w:sz w:val="20"/>
                <w:szCs w:val="20"/>
                <w:lang w:val="en"/>
              </w:rPr>
              <w:t>symptoms of WE</w:t>
            </w:r>
          </w:p>
        </w:tc>
        <w:tc>
          <w:tcPr>
            <w:tcW w:w="5619" w:type="dxa"/>
          </w:tcPr>
          <w:p w14:paraId="318EA8E8" w14:textId="2F7FB09F" w:rsidR="006D59D4" w:rsidRPr="006046C5" w:rsidRDefault="00B021F9" w:rsidP="00B021F9">
            <w:pPr>
              <w:spacing w:after="200"/>
              <w:rPr>
                <w:rFonts w:cs="Times New Roman"/>
                <w:sz w:val="20"/>
                <w:szCs w:val="20"/>
                <w:lang w:val="en"/>
              </w:rPr>
            </w:pPr>
            <w:r w:rsidRPr="00B021F9">
              <w:rPr>
                <w:rFonts w:cs="Times New Roman"/>
                <w:sz w:val="20"/>
                <w:szCs w:val="20"/>
                <w:lang w:val="en"/>
              </w:rPr>
              <w:t xml:space="preserve">Interrupt </w:t>
            </w:r>
            <w:r w:rsidR="00F40CBF">
              <w:rPr>
                <w:rFonts w:cs="Times New Roman"/>
                <w:sz w:val="20"/>
                <w:szCs w:val="20"/>
                <w:lang w:val="en"/>
              </w:rPr>
              <w:t>INREBIC</w:t>
            </w:r>
            <w:r w:rsidRPr="00B021F9">
              <w:rPr>
                <w:rFonts w:cs="Times New Roman"/>
                <w:sz w:val="20"/>
                <w:szCs w:val="20"/>
                <w:lang w:val="en"/>
              </w:rPr>
              <w:t xml:space="preserve"> treatment. Dose with daily</w:t>
            </w:r>
            <w:r>
              <w:rPr>
                <w:rFonts w:cs="Times New Roman"/>
                <w:sz w:val="20"/>
                <w:szCs w:val="20"/>
                <w:lang w:val="en"/>
              </w:rPr>
              <w:t xml:space="preserve"> </w:t>
            </w:r>
            <w:r w:rsidRPr="00B021F9">
              <w:rPr>
                <w:rFonts w:cs="Times New Roman"/>
                <w:sz w:val="20"/>
                <w:szCs w:val="20"/>
                <w:lang w:val="en"/>
              </w:rPr>
              <w:t>100</w:t>
            </w:r>
            <w:r w:rsidR="0087233A">
              <w:rPr>
                <w:rFonts w:cs="Times New Roman"/>
                <w:sz w:val="20"/>
                <w:szCs w:val="20"/>
                <w:lang w:val="en"/>
              </w:rPr>
              <w:t> </w:t>
            </w:r>
            <w:r w:rsidRPr="00B021F9">
              <w:rPr>
                <w:rFonts w:cs="Times New Roman"/>
                <w:sz w:val="20"/>
                <w:szCs w:val="20"/>
                <w:lang w:val="en"/>
              </w:rPr>
              <w:t>mg oral thiamine until thiamine levels are</w:t>
            </w:r>
            <w:r>
              <w:rPr>
                <w:rFonts w:cs="Times New Roman"/>
                <w:sz w:val="20"/>
                <w:szCs w:val="20"/>
                <w:lang w:val="en"/>
              </w:rPr>
              <w:t xml:space="preserve"> </w:t>
            </w:r>
            <w:r w:rsidRPr="00B021F9">
              <w:rPr>
                <w:rFonts w:cs="Times New Roman"/>
                <w:sz w:val="20"/>
                <w:szCs w:val="20"/>
                <w:lang w:val="en"/>
              </w:rPr>
              <w:t>restored to normal range. Consider restarting</w:t>
            </w:r>
            <w:r>
              <w:rPr>
                <w:rFonts w:cs="Times New Roman"/>
                <w:sz w:val="20"/>
                <w:szCs w:val="20"/>
                <w:lang w:val="en"/>
              </w:rPr>
              <w:t xml:space="preserve"> </w:t>
            </w:r>
            <w:r w:rsidR="00F40CBF">
              <w:rPr>
                <w:rFonts w:cs="Times New Roman"/>
                <w:sz w:val="20"/>
                <w:szCs w:val="20"/>
                <w:lang w:val="en"/>
              </w:rPr>
              <w:t>INREBIC</w:t>
            </w:r>
            <w:r w:rsidRPr="00B021F9">
              <w:rPr>
                <w:rFonts w:cs="Times New Roman"/>
                <w:sz w:val="20"/>
                <w:szCs w:val="20"/>
                <w:lang w:val="en"/>
              </w:rPr>
              <w:t xml:space="preserve"> when thiamine levels are within</w:t>
            </w:r>
            <w:r>
              <w:rPr>
                <w:rFonts w:cs="Times New Roman"/>
                <w:sz w:val="20"/>
                <w:szCs w:val="20"/>
                <w:lang w:val="en"/>
              </w:rPr>
              <w:t xml:space="preserve"> </w:t>
            </w:r>
            <w:r w:rsidRPr="00B021F9">
              <w:rPr>
                <w:rFonts w:cs="Times New Roman"/>
                <w:sz w:val="20"/>
                <w:szCs w:val="20"/>
                <w:lang w:val="en"/>
              </w:rPr>
              <w:t>normal range.</w:t>
            </w:r>
          </w:p>
        </w:tc>
      </w:tr>
      <w:tr w:rsidR="006D59D4" w:rsidRPr="006046C5" w14:paraId="095204CE" w14:textId="77777777" w:rsidTr="00180200">
        <w:tc>
          <w:tcPr>
            <w:tcW w:w="3397" w:type="dxa"/>
          </w:tcPr>
          <w:p w14:paraId="1DE79B70" w14:textId="50A79369" w:rsidR="006D59D4" w:rsidRPr="006046C5" w:rsidRDefault="00B021F9" w:rsidP="00B021F9">
            <w:pPr>
              <w:spacing w:after="200"/>
              <w:rPr>
                <w:rFonts w:cs="Times New Roman"/>
                <w:sz w:val="20"/>
                <w:szCs w:val="20"/>
                <w:lang w:val="en"/>
              </w:rPr>
            </w:pPr>
            <w:r w:rsidRPr="00B021F9">
              <w:rPr>
                <w:rFonts w:cs="Times New Roman"/>
                <w:sz w:val="20"/>
                <w:szCs w:val="20"/>
                <w:lang w:val="en"/>
              </w:rPr>
              <w:t xml:space="preserve">For thiamine levels </w:t>
            </w:r>
            <w:r w:rsidR="00F86D12">
              <w:rPr>
                <w:rFonts w:cs="Times New Roman"/>
                <w:sz w:val="20"/>
                <w:szCs w:val="20"/>
                <w:lang w:val="en"/>
              </w:rPr>
              <w:t>&lt;</w:t>
            </w:r>
            <w:r w:rsidRPr="00B021F9">
              <w:rPr>
                <w:rFonts w:cs="Times New Roman"/>
                <w:sz w:val="20"/>
                <w:szCs w:val="20"/>
                <w:lang w:val="en"/>
              </w:rPr>
              <w:t>30</w:t>
            </w:r>
            <w:r w:rsidR="0087233A">
              <w:rPr>
                <w:rFonts w:cs="Times New Roman"/>
                <w:sz w:val="20"/>
                <w:szCs w:val="20"/>
                <w:lang w:val="en"/>
              </w:rPr>
              <w:t> </w:t>
            </w:r>
            <w:r w:rsidRPr="00B021F9">
              <w:rPr>
                <w:rFonts w:cs="Times New Roman"/>
                <w:sz w:val="20"/>
                <w:szCs w:val="20"/>
                <w:lang w:val="en"/>
              </w:rPr>
              <w:t>nmol/L without</w:t>
            </w:r>
            <w:r>
              <w:rPr>
                <w:rFonts w:cs="Times New Roman"/>
                <w:sz w:val="20"/>
                <w:szCs w:val="20"/>
                <w:lang w:val="en"/>
              </w:rPr>
              <w:t xml:space="preserve"> </w:t>
            </w:r>
            <w:r w:rsidRPr="00B021F9">
              <w:rPr>
                <w:rFonts w:cs="Times New Roman"/>
                <w:sz w:val="20"/>
                <w:szCs w:val="20"/>
                <w:lang w:val="en"/>
              </w:rPr>
              <w:t>signs or symptoms of WE</w:t>
            </w:r>
          </w:p>
        </w:tc>
        <w:tc>
          <w:tcPr>
            <w:tcW w:w="5619" w:type="dxa"/>
          </w:tcPr>
          <w:p w14:paraId="76612EEC" w14:textId="0BD42A34" w:rsidR="006D59D4" w:rsidRPr="006046C5" w:rsidRDefault="00B021F9" w:rsidP="00F40CBF">
            <w:pPr>
              <w:spacing w:after="200"/>
              <w:rPr>
                <w:rFonts w:cs="Times New Roman"/>
                <w:sz w:val="20"/>
                <w:szCs w:val="20"/>
                <w:lang w:val="en"/>
              </w:rPr>
            </w:pPr>
            <w:r w:rsidRPr="00B021F9">
              <w:rPr>
                <w:rFonts w:cs="Times New Roman"/>
                <w:sz w:val="20"/>
                <w:szCs w:val="20"/>
                <w:lang w:val="en"/>
              </w:rPr>
              <w:t xml:space="preserve">Interrupt </w:t>
            </w:r>
            <w:r w:rsidR="00F40CBF">
              <w:rPr>
                <w:rFonts w:cs="Times New Roman"/>
                <w:sz w:val="20"/>
                <w:szCs w:val="20"/>
                <w:lang w:val="en"/>
              </w:rPr>
              <w:t>INREBIC</w:t>
            </w:r>
            <w:r w:rsidRPr="00B021F9">
              <w:rPr>
                <w:rFonts w:cs="Times New Roman"/>
                <w:sz w:val="20"/>
                <w:szCs w:val="20"/>
                <w:lang w:val="en"/>
              </w:rPr>
              <w:t xml:space="preserve"> treatment. Immediate</w:t>
            </w:r>
            <w:r>
              <w:rPr>
                <w:rFonts w:cs="Times New Roman"/>
                <w:sz w:val="20"/>
                <w:szCs w:val="20"/>
                <w:lang w:val="en"/>
              </w:rPr>
              <w:t xml:space="preserve"> </w:t>
            </w:r>
            <w:r w:rsidRPr="00B021F9">
              <w:rPr>
                <w:rFonts w:cs="Times New Roman"/>
                <w:sz w:val="20"/>
                <w:szCs w:val="20"/>
                <w:lang w:val="en"/>
              </w:rPr>
              <w:t>treatment with parenteral thiamine at therapeutic</w:t>
            </w:r>
            <w:r>
              <w:rPr>
                <w:rFonts w:cs="Times New Roman"/>
                <w:sz w:val="20"/>
                <w:szCs w:val="20"/>
                <w:lang w:val="en"/>
              </w:rPr>
              <w:t xml:space="preserve"> </w:t>
            </w:r>
            <w:r w:rsidRPr="00B021F9">
              <w:rPr>
                <w:rFonts w:cs="Times New Roman"/>
                <w:sz w:val="20"/>
                <w:szCs w:val="20"/>
                <w:lang w:val="en"/>
              </w:rPr>
              <w:t>dosages until thiamine levels are restored to normal</w:t>
            </w:r>
            <w:r>
              <w:rPr>
                <w:rFonts w:cs="Times New Roman"/>
                <w:sz w:val="20"/>
                <w:szCs w:val="20"/>
                <w:lang w:val="en"/>
              </w:rPr>
              <w:t xml:space="preserve"> </w:t>
            </w:r>
            <w:r w:rsidRPr="00B021F9">
              <w:rPr>
                <w:rFonts w:cs="Times New Roman"/>
                <w:sz w:val="20"/>
                <w:szCs w:val="20"/>
                <w:lang w:val="en"/>
              </w:rPr>
              <w:t xml:space="preserve">range. Consider restarting </w:t>
            </w:r>
            <w:r w:rsidR="00F40CBF">
              <w:rPr>
                <w:rFonts w:cs="Times New Roman"/>
                <w:sz w:val="20"/>
                <w:szCs w:val="20"/>
                <w:lang w:val="en"/>
              </w:rPr>
              <w:t>INREBIC</w:t>
            </w:r>
            <w:r w:rsidRPr="00B021F9">
              <w:rPr>
                <w:rFonts w:cs="Times New Roman"/>
                <w:sz w:val="20"/>
                <w:szCs w:val="20"/>
                <w:lang w:val="en"/>
              </w:rPr>
              <w:t xml:space="preserve"> when</w:t>
            </w:r>
            <w:r w:rsidR="00F40CBF">
              <w:rPr>
                <w:rFonts w:cs="Times New Roman"/>
                <w:sz w:val="20"/>
                <w:szCs w:val="20"/>
                <w:lang w:val="en"/>
              </w:rPr>
              <w:t xml:space="preserve"> </w:t>
            </w:r>
            <w:r w:rsidRPr="00B021F9">
              <w:rPr>
                <w:rFonts w:cs="Times New Roman"/>
                <w:sz w:val="20"/>
                <w:szCs w:val="20"/>
                <w:lang w:val="en"/>
              </w:rPr>
              <w:t>thiamine levels are within normal range.</w:t>
            </w:r>
          </w:p>
        </w:tc>
      </w:tr>
      <w:tr w:rsidR="006D59D4" w:rsidRPr="006046C5" w14:paraId="273A4039" w14:textId="77777777" w:rsidTr="00180200">
        <w:tc>
          <w:tcPr>
            <w:tcW w:w="3397" w:type="dxa"/>
          </w:tcPr>
          <w:p w14:paraId="2A8F0A0F" w14:textId="0E39FEE7" w:rsidR="006D59D4" w:rsidRPr="000F6C08" w:rsidRDefault="00B021F9" w:rsidP="00B021F9">
            <w:pPr>
              <w:spacing w:after="200"/>
              <w:rPr>
                <w:rFonts w:cs="Times New Roman"/>
                <w:sz w:val="20"/>
                <w:szCs w:val="20"/>
                <w:lang w:val="en"/>
              </w:rPr>
            </w:pPr>
            <w:r w:rsidRPr="00B021F9">
              <w:rPr>
                <w:rFonts w:cs="Times New Roman"/>
                <w:sz w:val="20"/>
                <w:szCs w:val="20"/>
                <w:lang w:val="en"/>
              </w:rPr>
              <w:t>For signs or symptoms of WE regardless of thiamine</w:t>
            </w:r>
            <w:r>
              <w:rPr>
                <w:rFonts w:cs="Times New Roman"/>
                <w:sz w:val="20"/>
                <w:szCs w:val="20"/>
                <w:lang w:val="en"/>
              </w:rPr>
              <w:t xml:space="preserve"> </w:t>
            </w:r>
            <w:r w:rsidRPr="00B021F9">
              <w:rPr>
                <w:rFonts w:cs="Times New Roman"/>
                <w:sz w:val="20"/>
                <w:szCs w:val="20"/>
                <w:lang w:val="en"/>
              </w:rPr>
              <w:t>levels</w:t>
            </w:r>
          </w:p>
        </w:tc>
        <w:tc>
          <w:tcPr>
            <w:tcW w:w="5619" w:type="dxa"/>
          </w:tcPr>
          <w:p w14:paraId="4C81B645" w14:textId="42958463" w:rsidR="006D59D4" w:rsidRPr="000F6C08" w:rsidRDefault="00B021F9" w:rsidP="00F40CBF">
            <w:pPr>
              <w:spacing w:after="200"/>
              <w:rPr>
                <w:rFonts w:cs="Times New Roman"/>
                <w:sz w:val="20"/>
                <w:szCs w:val="20"/>
                <w:lang w:val="en-US"/>
              </w:rPr>
            </w:pPr>
            <w:r w:rsidRPr="57AD90B9">
              <w:rPr>
                <w:rFonts w:cs="Times New Roman"/>
                <w:sz w:val="20"/>
                <w:szCs w:val="20"/>
                <w:lang w:val="en-US"/>
              </w:rPr>
              <w:t xml:space="preserve">Discontinue </w:t>
            </w:r>
            <w:r w:rsidR="00F40CBF" w:rsidRPr="57AD90B9">
              <w:rPr>
                <w:rFonts w:cs="Times New Roman"/>
                <w:sz w:val="20"/>
                <w:szCs w:val="20"/>
                <w:lang w:val="en-US"/>
              </w:rPr>
              <w:t xml:space="preserve">INREBIC </w:t>
            </w:r>
            <w:r w:rsidRPr="57AD90B9">
              <w:rPr>
                <w:rFonts w:cs="Times New Roman"/>
                <w:sz w:val="20"/>
                <w:szCs w:val="20"/>
                <w:lang w:val="en-US"/>
              </w:rPr>
              <w:t>treatment and</w:t>
            </w:r>
            <w:r w:rsidR="00F40CBF" w:rsidRPr="57AD90B9">
              <w:rPr>
                <w:rFonts w:cs="Times New Roman"/>
                <w:sz w:val="20"/>
                <w:szCs w:val="20"/>
                <w:lang w:val="en-US"/>
              </w:rPr>
              <w:t xml:space="preserve"> </w:t>
            </w:r>
            <w:r w:rsidRPr="57AD90B9">
              <w:rPr>
                <w:rFonts w:cs="Times New Roman"/>
                <w:sz w:val="20"/>
                <w:szCs w:val="20"/>
                <w:lang w:val="en-US"/>
              </w:rPr>
              <w:t>immediately administer parenteral thiamine a</w:t>
            </w:r>
            <w:r w:rsidR="00F40CBF" w:rsidRPr="57AD90B9">
              <w:rPr>
                <w:rFonts w:cs="Times New Roman"/>
                <w:sz w:val="20"/>
                <w:szCs w:val="20"/>
                <w:lang w:val="en-US"/>
              </w:rPr>
              <w:t xml:space="preserve">t </w:t>
            </w:r>
            <w:r w:rsidRPr="57AD90B9">
              <w:rPr>
                <w:rFonts w:cs="Times New Roman"/>
                <w:sz w:val="20"/>
                <w:szCs w:val="20"/>
                <w:lang w:val="en-US"/>
              </w:rPr>
              <w:t>therapeutic dosages.</w:t>
            </w:r>
          </w:p>
        </w:tc>
      </w:tr>
    </w:tbl>
    <w:p w14:paraId="1B759DAD" w14:textId="77777777" w:rsidR="006D59D4" w:rsidRDefault="006D59D4" w:rsidP="006D59D4">
      <w:pPr>
        <w:rPr>
          <w:lang w:val="en"/>
        </w:rPr>
      </w:pPr>
    </w:p>
    <w:p w14:paraId="06AA9DCA" w14:textId="5409368C" w:rsidR="00564403" w:rsidRPr="00564403" w:rsidRDefault="00564403" w:rsidP="00564403">
      <w:pPr>
        <w:rPr>
          <w:rFonts w:cs="Times New Roman"/>
          <w:u w:val="single"/>
          <w:lang w:val="en"/>
        </w:rPr>
      </w:pPr>
      <w:r w:rsidRPr="00564403">
        <w:rPr>
          <w:rFonts w:cs="Times New Roman"/>
          <w:u w:val="single"/>
          <w:lang w:val="en"/>
        </w:rPr>
        <w:t>Concomitant Use of Strong CYP3A4 Inhibitors:</w:t>
      </w:r>
    </w:p>
    <w:p w14:paraId="0A245A1C" w14:textId="47CF0035" w:rsidR="00564403" w:rsidRDefault="00564403" w:rsidP="00564403">
      <w:pPr>
        <w:rPr>
          <w:rFonts w:cs="Times New Roman"/>
          <w:lang w:val="en"/>
        </w:rPr>
      </w:pPr>
      <w:r w:rsidRPr="00564403">
        <w:rPr>
          <w:rFonts w:cs="Times New Roman"/>
          <w:lang w:val="en"/>
        </w:rPr>
        <w:t xml:space="preserve">Reduce the </w:t>
      </w:r>
      <w:r w:rsidR="00B178CD">
        <w:rPr>
          <w:rFonts w:cs="Times New Roman"/>
          <w:lang w:val="en"/>
        </w:rPr>
        <w:t>INREBIC</w:t>
      </w:r>
      <w:r w:rsidRPr="00564403">
        <w:rPr>
          <w:rFonts w:cs="Times New Roman"/>
          <w:lang w:val="en"/>
        </w:rPr>
        <w:t xml:space="preserve"> dose to 200</w:t>
      </w:r>
      <w:r w:rsidR="0087233A">
        <w:rPr>
          <w:rFonts w:cs="Times New Roman"/>
          <w:lang w:val="en"/>
        </w:rPr>
        <w:t> </w:t>
      </w:r>
      <w:r w:rsidRPr="00564403">
        <w:rPr>
          <w:rFonts w:cs="Times New Roman"/>
          <w:lang w:val="en"/>
        </w:rPr>
        <w:t xml:space="preserve">mg when administering </w:t>
      </w:r>
      <w:r w:rsidR="00B178CD">
        <w:rPr>
          <w:rFonts w:cs="Times New Roman"/>
          <w:lang w:val="en"/>
        </w:rPr>
        <w:t xml:space="preserve">INREBIC </w:t>
      </w:r>
      <w:r w:rsidRPr="00564403">
        <w:rPr>
          <w:rFonts w:cs="Times New Roman"/>
          <w:lang w:val="en"/>
        </w:rPr>
        <w:t>with a strong</w:t>
      </w:r>
      <w:r>
        <w:rPr>
          <w:rFonts w:cs="Times New Roman"/>
          <w:lang w:val="en"/>
        </w:rPr>
        <w:t xml:space="preserve"> </w:t>
      </w:r>
      <w:r w:rsidRPr="00564403">
        <w:rPr>
          <w:rFonts w:cs="Times New Roman"/>
          <w:lang w:val="en"/>
        </w:rPr>
        <w:t>CYP3A4 inhibitor</w:t>
      </w:r>
      <w:r w:rsidR="00B97975">
        <w:rPr>
          <w:rFonts w:cs="Times New Roman"/>
          <w:lang w:val="en"/>
        </w:rPr>
        <w:t>.</w:t>
      </w:r>
    </w:p>
    <w:p w14:paraId="64C667EB" w14:textId="39F70408" w:rsidR="00B178CD" w:rsidRDefault="00B178CD" w:rsidP="00B178CD">
      <w:pPr>
        <w:rPr>
          <w:rFonts w:cs="Times New Roman"/>
          <w:lang w:val="en-US"/>
        </w:rPr>
      </w:pPr>
      <w:r w:rsidRPr="57AD90B9">
        <w:rPr>
          <w:rFonts w:cs="Times New Roman"/>
          <w:lang w:val="en-US"/>
        </w:rPr>
        <w:t>In cases where co-administration with a strong CYP3A4 inhibitor is discontinued, the INREBIC dose should be increased to 300</w:t>
      </w:r>
      <w:r w:rsidR="0087233A">
        <w:rPr>
          <w:rFonts w:cs="Times New Roman"/>
          <w:lang w:val="en-US"/>
        </w:rPr>
        <w:t> </w:t>
      </w:r>
      <w:r w:rsidRPr="57AD90B9">
        <w:rPr>
          <w:rFonts w:cs="Times New Roman"/>
          <w:lang w:val="en-US"/>
        </w:rPr>
        <w:t>mg once daily during the first two weeks after discontinuation of the CYP3A4 inhibitor, and then to 400</w:t>
      </w:r>
      <w:r w:rsidR="0087233A">
        <w:rPr>
          <w:rFonts w:cs="Times New Roman"/>
          <w:lang w:val="en-US"/>
        </w:rPr>
        <w:t> </w:t>
      </w:r>
      <w:r w:rsidRPr="57AD90B9">
        <w:rPr>
          <w:rFonts w:cs="Times New Roman"/>
          <w:lang w:val="en-US"/>
        </w:rPr>
        <w:t>mg once daily thereafter as tolerated. Additional dose adjustments should be made as needed based upon frequent monitoring of safety and efficacy.</w:t>
      </w:r>
    </w:p>
    <w:p w14:paraId="0A4BA454" w14:textId="6003CBC3" w:rsidR="007A7979" w:rsidRPr="00C47A16" w:rsidRDefault="007A7979" w:rsidP="00B178CD">
      <w:pPr>
        <w:rPr>
          <w:rFonts w:cs="Times New Roman"/>
          <w:b/>
          <w:bCs/>
          <w:lang w:val="en"/>
        </w:rPr>
      </w:pPr>
      <w:r w:rsidRPr="00C47A16">
        <w:rPr>
          <w:rFonts w:cs="Times New Roman"/>
          <w:b/>
          <w:bCs/>
          <w:lang w:val="en"/>
        </w:rPr>
        <w:t>Special populations</w:t>
      </w:r>
    </w:p>
    <w:p w14:paraId="7AC949FF" w14:textId="05A96061" w:rsidR="00F015DD" w:rsidRDefault="00F015DD" w:rsidP="00F015DD">
      <w:pPr>
        <w:spacing w:after="120"/>
        <w:rPr>
          <w:rFonts w:cs="Times New Roman"/>
          <w:bCs/>
          <w:i/>
          <w:iCs/>
          <w:lang w:val="en-GB"/>
        </w:rPr>
      </w:pPr>
      <w:r w:rsidRPr="00003D6E">
        <w:rPr>
          <w:rFonts w:cs="Times New Roman"/>
          <w:bCs/>
          <w:i/>
          <w:iCs/>
          <w:lang w:val="en-GB"/>
        </w:rPr>
        <w:t>Renal impairment</w:t>
      </w:r>
    </w:p>
    <w:p w14:paraId="1CA92BF7" w14:textId="139EBDC6" w:rsidR="001412FF" w:rsidRPr="001412FF" w:rsidRDefault="001412FF" w:rsidP="001412FF">
      <w:pPr>
        <w:rPr>
          <w:rFonts w:cs="Times New Roman"/>
          <w:lang w:val="en-US"/>
        </w:rPr>
      </w:pPr>
      <w:r w:rsidRPr="57AD90B9">
        <w:rPr>
          <w:rFonts w:cs="Times New Roman"/>
          <w:lang w:val="en-US"/>
        </w:rPr>
        <w:t>In patients with severe renal impairment (</w:t>
      </w:r>
      <w:r w:rsidR="007D484D" w:rsidRPr="57AD90B9">
        <w:rPr>
          <w:rFonts w:cs="Times New Roman"/>
          <w:lang w:val="en-US"/>
        </w:rPr>
        <w:t>creatinine clearance [</w:t>
      </w:r>
      <w:proofErr w:type="spellStart"/>
      <w:r w:rsidRPr="57AD90B9">
        <w:rPr>
          <w:rFonts w:cs="Times New Roman"/>
          <w:lang w:val="en-US"/>
        </w:rPr>
        <w:t>CrCl</w:t>
      </w:r>
      <w:proofErr w:type="spellEnd"/>
      <w:r w:rsidR="007D484D" w:rsidRPr="57AD90B9">
        <w:rPr>
          <w:rFonts w:cs="Times New Roman"/>
          <w:lang w:val="en-US"/>
        </w:rPr>
        <w:t>]</w:t>
      </w:r>
      <w:r w:rsidR="00004E41" w:rsidRPr="57AD90B9">
        <w:rPr>
          <w:rFonts w:cs="Times New Roman"/>
          <w:lang w:val="en-US"/>
        </w:rPr>
        <w:t xml:space="preserve"> </w:t>
      </w:r>
      <w:r w:rsidRPr="57AD90B9">
        <w:rPr>
          <w:rFonts w:cs="Times New Roman"/>
          <w:lang w:val="en-US"/>
        </w:rPr>
        <w:t>15</w:t>
      </w:r>
      <w:r w:rsidR="00FC420F">
        <w:rPr>
          <w:rFonts w:cs="Times New Roman"/>
          <w:lang w:val="en-US"/>
        </w:rPr>
        <w:t> </w:t>
      </w:r>
      <w:r w:rsidRPr="57AD90B9">
        <w:rPr>
          <w:rFonts w:cs="Times New Roman"/>
          <w:lang w:val="en-US"/>
        </w:rPr>
        <w:t>mL/min to 29</w:t>
      </w:r>
      <w:r w:rsidR="00FC420F">
        <w:rPr>
          <w:rFonts w:cs="Times New Roman"/>
          <w:lang w:val="en-US"/>
        </w:rPr>
        <w:t> </w:t>
      </w:r>
      <w:r w:rsidRPr="57AD90B9">
        <w:rPr>
          <w:rFonts w:cs="Times New Roman"/>
          <w:lang w:val="en-US"/>
        </w:rPr>
        <w:t>mL/min), reduce the</w:t>
      </w:r>
      <w:r w:rsidR="00004E41" w:rsidRPr="57AD90B9">
        <w:rPr>
          <w:rFonts w:cs="Times New Roman"/>
          <w:lang w:val="en-US"/>
        </w:rPr>
        <w:t xml:space="preserve"> </w:t>
      </w:r>
      <w:r w:rsidR="00F25529" w:rsidRPr="57AD90B9">
        <w:rPr>
          <w:rFonts w:cs="Times New Roman"/>
          <w:lang w:val="en-US"/>
        </w:rPr>
        <w:t>I</w:t>
      </w:r>
      <w:r w:rsidR="00004E41" w:rsidRPr="57AD90B9">
        <w:rPr>
          <w:rFonts w:cs="Times New Roman"/>
          <w:lang w:val="en-US"/>
        </w:rPr>
        <w:t xml:space="preserve">NREBIC </w:t>
      </w:r>
      <w:r w:rsidRPr="57AD90B9">
        <w:rPr>
          <w:rFonts w:cs="Times New Roman"/>
          <w:lang w:val="en-US"/>
        </w:rPr>
        <w:t>dose to 200</w:t>
      </w:r>
      <w:r w:rsidR="00FC420F">
        <w:rPr>
          <w:rFonts w:cs="Times New Roman"/>
          <w:lang w:val="en-US"/>
        </w:rPr>
        <w:t> </w:t>
      </w:r>
      <w:r w:rsidRPr="57AD90B9">
        <w:rPr>
          <w:rFonts w:cs="Times New Roman"/>
          <w:lang w:val="en-US"/>
        </w:rPr>
        <w:t>mg. No modification of the starting dose is recommended for patients with mild to moderate renal impairment (</w:t>
      </w:r>
      <w:proofErr w:type="spellStart"/>
      <w:r w:rsidRPr="57AD90B9">
        <w:rPr>
          <w:rFonts w:cs="Times New Roman"/>
          <w:lang w:val="en-US"/>
        </w:rPr>
        <w:t>C</w:t>
      </w:r>
      <w:r w:rsidR="00004E41" w:rsidRPr="57AD90B9">
        <w:rPr>
          <w:rFonts w:cs="Times New Roman"/>
          <w:lang w:val="en-US"/>
        </w:rPr>
        <w:t>rCl</w:t>
      </w:r>
      <w:proofErr w:type="spellEnd"/>
      <w:r w:rsidR="00FC420F">
        <w:rPr>
          <w:rFonts w:cs="Times New Roman"/>
          <w:lang w:val="en-US"/>
        </w:rPr>
        <w:t> </w:t>
      </w:r>
      <w:r w:rsidRPr="57AD90B9">
        <w:rPr>
          <w:rFonts w:cs="Times New Roman"/>
          <w:lang w:val="en-US"/>
        </w:rPr>
        <w:t>30</w:t>
      </w:r>
      <w:r w:rsidR="002F34D0">
        <w:rPr>
          <w:rFonts w:cs="Times New Roman"/>
          <w:lang w:val="en-US"/>
        </w:rPr>
        <w:t xml:space="preserve"> </w:t>
      </w:r>
      <w:r w:rsidRPr="57AD90B9">
        <w:rPr>
          <w:rFonts w:cs="Times New Roman"/>
          <w:lang w:val="en-US"/>
        </w:rPr>
        <w:t>mL/min to 89</w:t>
      </w:r>
      <w:r w:rsidR="00FC420F">
        <w:rPr>
          <w:rFonts w:cs="Times New Roman"/>
          <w:lang w:val="en-US"/>
        </w:rPr>
        <w:t> </w:t>
      </w:r>
      <w:r w:rsidRPr="57AD90B9">
        <w:rPr>
          <w:rFonts w:cs="Times New Roman"/>
          <w:lang w:val="en-US"/>
        </w:rPr>
        <w:t>mL/min). Due to potential increase of exposure, patients with pre-existing moderate renal impairment may require more intensive safety monitoring and if necessary</w:t>
      </w:r>
      <w:proofErr w:type="gramStart"/>
      <w:r w:rsidRPr="57AD90B9">
        <w:rPr>
          <w:rFonts w:cs="Times New Roman"/>
          <w:lang w:val="en-US"/>
        </w:rPr>
        <w:t>, dose</w:t>
      </w:r>
      <w:proofErr w:type="gramEnd"/>
      <w:r w:rsidRPr="57AD90B9">
        <w:rPr>
          <w:rFonts w:cs="Times New Roman"/>
          <w:lang w:val="en-US"/>
        </w:rPr>
        <w:t xml:space="preserve"> modifications based on adverse reactions.</w:t>
      </w:r>
    </w:p>
    <w:p w14:paraId="25E6FC7F" w14:textId="77777777" w:rsidR="007C3CD0" w:rsidRDefault="007C3CD0" w:rsidP="007C3CD0">
      <w:pPr>
        <w:spacing w:after="120"/>
        <w:rPr>
          <w:rFonts w:cs="Times New Roman"/>
          <w:bCs/>
          <w:i/>
          <w:iCs/>
          <w:lang w:val="en-GB"/>
        </w:rPr>
      </w:pPr>
      <w:r w:rsidRPr="00003D6E">
        <w:rPr>
          <w:rFonts w:cs="Times New Roman"/>
          <w:bCs/>
          <w:i/>
          <w:iCs/>
          <w:lang w:val="en-GB"/>
        </w:rPr>
        <w:t>Hepatic impairment</w:t>
      </w:r>
    </w:p>
    <w:p w14:paraId="5AB46056" w14:textId="4A4D4B5F" w:rsidR="001412FF" w:rsidRPr="00532E61" w:rsidRDefault="00532E61" w:rsidP="00532E61">
      <w:pPr>
        <w:rPr>
          <w:rFonts w:cs="Times New Roman"/>
          <w:lang w:val="en-US"/>
        </w:rPr>
      </w:pPr>
      <w:r w:rsidRPr="57AD90B9">
        <w:rPr>
          <w:rFonts w:cs="Times New Roman"/>
          <w:lang w:val="en-US"/>
        </w:rPr>
        <w:t>No modification of the starting dose is recommended for patients with mild</w:t>
      </w:r>
      <w:r w:rsidR="00883265" w:rsidRPr="57AD90B9">
        <w:rPr>
          <w:rFonts w:cs="Times New Roman"/>
          <w:lang w:val="en-US"/>
        </w:rPr>
        <w:t>,</w:t>
      </w:r>
      <w:r w:rsidRPr="57AD90B9">
        <w:rPr>
          <w:rFonts w:cs="Times New Roman"/>
          <w:lang w:val="en-US"/>
        </w:rPr>
        <w:t xml:space="preserve"> moderate</w:t>
      </w:r>
      <w:r w:rsidR="00883265" w:rsidRPr="57AD90B9">
        <w:rPr>
          <w:rFonts w:cs="Times New Roman"/>
          <w:lang w:val="en-US"/>
        </w:rPr>
        <w:t xml:space="preserve"> and severe</w:t>
      </w:r>
      <w:r w:rsidRPr="57AD90B9">
        <w:rPr>
          <w:rFonts w:cs="Times New Roman"/>
          <w:lang w:val="en-US"/>
        </w:rPr>
        <w:t xml:space="preserve"> hepatic impairment.</w:t>
      </w:r>
    </w:p>
    <w:p w14:paraId="2C73C92F" w14:textId="77777777" w:rsidR="00543496" w:rsidRDefault="00543496" w:rsidP="00543496">
      <w:pPr>
        <w:spacing w:after="120"/>
        <w:rPr>
          <w:rFonts w:cs="Times New Roman"/>
          <w:bCs/>
          <w:i/>
          <w:iCs/>
          <w:lang w:val="en-GB"/>
        </w:rPr>
      </w:pPr>
      <w:r w:rsidRPr="00003D6E">
        <w:rPr>
          <w:rFonts w:cs="Times New Roman"/>
          <w:bCs/>
          <w:i/>
          <w:iCs/>
          <w:lang w:val="en-GB"/>
        </w:rPr>
        <w:t>Paediatric population</w:t>
      </w:r>
    </w:p>
    <w:p w14:paraId="477E45BB" w14:textId="4BE31837" w:rsidR="001412FF" w:rsidRPr="007C0AA3" w:rsidRDefault="007C0AA3" w:rsidP="007C0AA3">
      <w:pPr>
        <w:rPr>
          <w:rFonts w:cs="Times New Roman"/>
          <w:lang w:val="en-US"/>
        </w:rPr>
      </w:pPr>
      <w:r w:rsidRPr="57AD90B9">
        <w:rPr>
          <w:rFonts w:cs="Times New Roman"/>
          <w:lang w:val="en-US"/>
        </w:rPr>
        <w:t xml:space="preserve">The safety and efficacy of INREBIC in </w:t>
      </w:r>
      <w:proofErr w:type="spellStart"/>
      <w:r w:rsidRPr="57AD90B9">
        <w:rPr>
          <w:rFonts w:cs="Times New Roman"/>
          <w:lang w:val="en-US"/>
        </w:rPr>
        <w:t>paediatric</w:t>
      </w:r>
      <w:proofErr w:type="spellEnd"/>
      <w:r w:rsidRPr="57AD90B9">
        <w:rPr>
          <w:rFonts w:cs="Times New Roman"/>
          <w:lang w:val="en-US"/>
        </w:rPr>
        <w:t xml:space="preserve"> patients </w:t>
      </w:r>
      <w:r w:rsidR="00EC668F" w:rsidRPr="57AD90B9">
        <w:rPr>
          <w:rFonts w:cs="Times New Roman"/>
          <w:lang w:val="en-US"/>
        </w:rPr>
        <w:t>less than 18</w:t>
      </w:r>
      <w:r w:rsidR="00FC420F">
        <w:rPr>
          <w:rFonts w:cs="Times New Roman"/>
          <w:lang w:val="en-US"/>
        </w:rPr>
        <w:t> </w:t>
      </w:r>
      <w:r w:rsidR="00EC668F" w:rsidRPr="57AD90B9">
        <w:rPr>
          <w:rFonts w:cs="Times New Roman"/>
          <w:lang w:val="en-US"/>
        </w:rPr>
        <w:t xml:space="preserve">years of age </w:t>
      </w:r>
      <w:r w:rsidRPr="57AD90B9">
        <w:rPr>
          <w:rFonts w:cs="Times New Roman"/>
          <w:lang w:val="en-US"/>
        </w:rPr>
        <w:t>have not been established.</w:t>
      </w:r>
    </w:p>
    <w:p w14:paraId="631DF0C9" w14:textId="4DF7C124" w:rsidR="00E57849" w:rsidRDefault="001412FF" w:rsidP="001412FF">
      <w:pPr>
        <w:spacing w:after="120"/>
        <w:rPr>
          <w:rFonts w:cs="Times New Roman"/>
          <w:bCs/>
          <w:i/>
          <w:iCs/>
          <w:lang w:val="en-GB"/>
        </w:rPr>
      </w:pPr>
      <w:r w:rsidRPr="00003D6E">
        <w:rPr>
          <w:rFonts w:cs="Times New Roman"/>
          <w:bCs/>
          <w:i/>
          <w:iCs/>
          <w:lang w:val="en-GB"/>
        </w:rPr>
        <w:t xml:space="preserve">Elderly population </w:t>
      </w:r>
    </w:p>
    <w:p w14:paraId="63128C7E" w14:textId="10A2A5F5" w:rsidR="001412FF" w:rsidRPr="00EC668F" w:rsidRDefault="00B7067B" w:rsidP="00EC668F">
      <w:pPr>
        <w:rPr>
          <w:rFonts w:cs="Times New Roman"/>
          <w:lang w:val="en"/>
        </w:rPr>
      </w:pPr>
      <w:r>
        <w:t>N</w:t>
      </w:r>
      <w:r w:rsidRPr="00643889">
        <w:t>o dose adjustment based on age is recommended for elderly subjects</w:t>
      </w:r>
      <w:r>
        <w:t>.</w:t>
      </w:r>
      <w:r w:rsidRPr="00EC668F">
        <w:rPr>
          <w:rFonts w:cs="Times New Roman"/>
          <w:lang w:val="en"/>
        </w:rPr>
        <w:t xml:space="preserve"> </w:t>
      </w:r>
    </w:p>
    <w:p w14:paraId="6126740B" w14:textId="77777777" w:rsidR="001A3992" w:rsidRDefault="001A3992" w:rsidP="002C18CF">
      <w:pPr>
        <w:pStyle w:val="Heading2"/>
      </w:pPr>
      <w:r w:rsidRPr="000A4651">
        <w:t>Contraindications</w:t>
      </w:r>
    </w:p>
    <w:p w14:paraId="3553456B" w14:textId="29A6C851" w:rsidR="00833DEA" w:rsidRPr="007B73F0" w:rsidRDefault="00833DEA" w:rsidP="007B73F0">
      <w:pPr>
        <w:pStyle w:val="ListParagraph"/>
        <w:numPr>
          <w:ilvl w:val="0"/>
          <w:numId w:val="36"/>
        </w:numPr>
        <w:rPr>
          <w:rFonts w:ascii="Times New Roman" w:hAnsi="Times New Roman" w:cs="Times New Roman"/>
          <w:lang w:val="en"/>
        </w:rPr>
      </w:pPr>
      <w:r w:rsidRPr="007B73F0">
        <w:rPr>
          <w:rFonts w:ascii="Times New Roman" w:hAnsi="Times New Roman" w:cs="Times New Roman"/>
          <w:lang w:val="en"/>
        </w:rPr>
        <w:t>Hypersensitivity to the active substance or to any of the excipients listed in Section 6.1 List of Excipients.</w:t>
      </w:r>
    </w:p>
    <w:p w14:paraId="5BAFDE01" w14:textId="77777777" w:rsidR="001A3992" w:rsidRPr="000A4651" w:rsidRDefault="00E74A56" w:rsidP="002C18CF">
      <w:pPr>
        <w:pStyle w:val="Heading2"/>
      </w:pPr>
      <w:r w:rsidRPr="000A4651">
        <w:lastRenderedPageBreak/>
        <w:t>Special warnings and p</w:t>
      </w:r>
      <w:r w:rsidR="001A3992" w:rsidRPr="000A4651">
        <w:t xml:space="preserve">recautions </w:t>
      </w:r>
      <w:r w:rsidRPr="000A4651">
        <w:t>for use</w:t>
      </w:r>
    </w:p>
    <w:p w14:paraId="204E7849" w14:textId="5AA30C74" w:rsidR="00212EA7" w:rsidRPr="00347E9A" w:rsidRDefault="00212EA7" w:rsidP="00347E9A">
      <w:pPr>
        <w:pStyle w:val="Heading3"/>
        <w:rPr>
          <w:rFonts w:hint="eastAsia"/>
        </w:rPr>
      </w:pPr>
      <w:r w:rsidRPr="00347E9A">
        <w:t>Encephalopathy, including Wernicke’s</w:t>
      </w:r>
    </w:p>
    <w:p w14:paraId="5FF0E0BE" w14:textId="1E1D2814" w:rsidR="00AE343D" w:rsidRDefault="00212EA7" w:rsidP="00AE343D">
      <w:pPr>
        <w:rPr>
          <w:rFonts w:cs="Times New Roman"/>
          <w:lang w:val="en"/>
        </w:rPr>
      </w:pPr>
      <w:r w:rsidRPr="00212EA7">
        <w:rPr>
          <w:rFonts w:cs="Times New Roman"/>
          <w:lang w:val="en"/>
        </w:rPr>
        <w:t>Serious and fatal encephalopathy, including Wernick</w:t>
      </w:r>
      <w:r w:rsidR="00577993">
        <w:rPr>
          <w:rFonts w:cs="Times New Roman"/>
          <w:lang w:val="en"/>
        </w:rPr>
        <w:t>e’</w:t>
      </w:r>
      <w:r w:rsidRPr="00212EA7">
        <w:rPr>
          <w:rFonts w:cs="Times New Roman"/>
          <w:lang w:val="en"/>
        </w:rPr>
        <w:t xml:space="preserve">s, was reported in patients taking </w:t>
      </w:r>
      <w:r w:rsidR="00577993">
        <w:rPr>
          <w:rFonts w:cs="Times New Roman"/>
          <w:lang w:val="en"/>
        </w:rPr>
        <w:t>INREBIC</w:t>
      </w:r>
      <w:r w:rsidRPr="00212EA7">
        <w:rPr>
          <w:rFonts w:cs="Times New Roman"/>
          <w:lang w:val="en"/>
        </w:rPr>
        <w:t>.</w:t>
      </w:r>
      <w:r w:rsidR="008A7B57">
        <w:rPr>
          <w:rFonts w:cs="Times New Roman"/>
          <w:lang w:val="en"/>
        </w:rPr>
        <w:t xml:space="preserve"> </w:t>
      </w:r>
      <w:r w:rsidRPr="00212EA7">
        <w:rPr>
          <w:rFonts w:cs="Times New Roman"/>
          <w:lang w:val="en"/>
        </w:rPr>
        <w:t>Wernicke</w:t>
      </w:r>
      <w:r>
        <w:rPr>
          <w:rFonts w:cs="Times New Roman"/>
          <w:lang w:val="en"/>
        </w:rPr>
        <w:t>’</w:t>
      </w:r>
      <w:r w:rsidRPr="00212EA7">
        <w:rPr>
          <w:rFonts w:cs="Times New Roman"/>
          <w:lang w:val="en"/>
        </w:rPr>
        <w:t>s encephalopathy is a neurologic emergency resulting from thiamine (</w:t>
      </w:r>
      <w:r w:rsidR="008C1533">
        <w:rPr>
          <w:rFonts w:cs="Times New Roman"/>
          <w:lang w:val="en"/>
        </w:rPr>
        <w:t>v</w:t>
      </w:r>
      <w:r w:rsidRPr="00212EA7">
        <w:rPr>
          <w:rFonts w:cs="Times New Roman"/>
          <w:lang w:val="en"/>
        </w:rPr>
        <w:t>itamin B1)</w:t>
      </w:r>
      <w:r>
        <w:rPr>
          <w:rFonts w:cs="Times New Roman"/>
          <w:lang w:val="en"/>
        </w:rPr>
        <w:t xml:space="preserve"> </w:t>
      </w:r>
      <w:r w:rsidRPr="00212EA7">
        <w:rPr>
          <w:rFonts w:cs="Times New Roman"/>
          <w:lang w:val="en"/>
        </w:rPr>
        <w:t>deficiency. Signs and symptoms of Wernicke</w:t>
      </w:r>
      <w:r w:rsidR="008C1533">
        <w:rPr>
          <w:rFonts w:cs="Times New Roman"/>
          <w:lang w:val="en"/>
        </w:rPr>
        <w:t>’</w:t>
      </w:r>
      <w:r w:rsidRPr="00212EA7">
        <w:rPr>
          <w:rFonts w:cs="Times New Roman"/>
          <w:lang w:val="en"/>
        </w:rPr>
        <w:t>s encephalopathy may include ataxia, mental status</w:t>
      </w:r>
      <w:r>
        <w:rPr>
          <w:rFonts w:cs="Times New Roman"/>
          <w:lang w:val="en"/>
        </w:rPr>
        <w:t xml:space="preserve"> </w:t>
      </w:r>
      <w:r w:rsidRPr="00212EA7">
        <w:rPr>
          <w:rFonts w:cs="Times New Roman"/>
          <w:lang w:val="en"/>
        </w:rPr>
        <w:t>changes, and ophthalmoplegia (e.g., nystagmus, diplopia).</w:t>
      </w:r>
      <w:r w:rsidR="00941CED">
        <w:rPr>
          <w:rFonts w:cs="Times New Roman"/>
          <w:lang w:val="en"/>
        </w:rPr>
        <w:t xml:space="preserve"> </w:t>
      </w:r>
      <w:r w:rsidRPr="00212EA7">
        <w:rPr>
          <w:rFonts w:cs="Times New Roman"/>
          <w:lang w:val="en"/>
        </w:rPr>
        <w:t>Any change in mental status confusion, or memory impairment should raise concern for potential</w:t>
      </w:r>
      <w:r>
        <w:rPr>
          <w:rFonts w:cs="Times New Roman"/>
          <w:lang w:val="en"/>
        </w:rPr>
        <w:t xml:space="preserve"> </w:t>
      </w:r>
      <w:r w:rsidRPr="00212EA7">
        <w:rPr>
          <w:rFonts w:cs="Times New Roman"/>
          <w:lang w:val="en"/>
        </w:rPr>
        <w:t>encephalopathy, including Wernicke</w:t>
      </w:r>
      <w:r>
        <w:rPr>
          <w:rFonts w:cs="Times New Roman"/>
          <w:lang w:val="en"/>
        </w:rPr>
        <w:t>’</w:t>
      </w:r>
      <w:r w:rsidRPr="00212EA7">
        <w:rPr>
          <w:rFonts w:cs="Times New Roman"/>
          <w:lang w:val="en"/>
        </w:rPr>
        <w:t>s and prompt a full evaluation including a neurologic</w:t>
      </w:r>
      <w:r>
        <w:rPr>
          <w:rFonts w:cs="Times New Roman"/>
          <w:lang w:val="en"/>
        </w:rPr>
        <w:t xml:space="preserve"> </w:t>
      </w:r>
      <w:r w:rsidRPr="00212EA7">
        <w:rPr>
          <w:rFonts w:cs="Times New Roman"/>
          <w:lang w:val="en"/>
        </w:rPr>
        <w:t xml:space="preserve">examination, assessment of thiamine levels, and imaging. </w:t>
      </w:r>
    </w:p>
    <w:p w14:paraId="38C0F2F2" w14:textId="3E9FF8B5" w:rsidR="00212EA7" w:rsidRDefault="10E959DB" w:rsidP="00AE343D">
      <w:pPr>
        <w:rPr>
          <w:rFonts w:cs="Times New Roman"/>
          <w:lang w:val="en"/>
        </w:rPr>
      </w:pPr>
      <w:r w:rsidRPr="474FE90C">
        <w:rPr>
          <w:rFonts w:cs="Times New Roman"/>
          <w:lang w:val="en"/>
        </w:rPr>
        <w:t xml:space="preserve">Assess thiamine levels and nutritional status in all patients prior to starting treatment with </w:t>
      </w:r>
      <w:r w:rsidR="7BF8A5EC" w:rsidRPr="474FE90C">
        <w:rPr>
          <w:rFonts w:cs="Times New Roman"/>
          <w:lang w:val="en"/>
        </w:rPr>
        <w:t>INREBIC</w:t>
      </w:r>
      <w:r w:rsidRPr="474FE90C">
        <w:rPr>
          <w:rFonts w:cs="Times New Roman"/>
          <w:lang w:val="en"/>
        </w:rPr>
        <w:t xml:space="preserve">. Do not start </w:t>
      </w:r>
      <w:r w:rsidR="7BF8A5EC" w:rsidRPr="474FE90C">
        <w:rPr>
          <w:rFonts w:cs="Times New Roman"/>
          <w:lang w:val="en"/>
        </w:rPr>
        <w:t>INREBIC</w:t>
      </w:r>
      <w:r w:rsidRPr="474FE90C">
        <w:rPr>
          <w:rFonts w:cs="Times New Roman"/>
          <w:lang w:val="en"/>
        </w:rPr>
        <w:t xml:space="preserve"> in patients with thiamine deficiency; </w:t>
      </w:r>
      <w:r w:rsidR="1462A4ED" w:rsidRPr="474FE90C">
        <w:rPr>
          <w:rFonts w:cs="Times New Roman"/>
          <w:lang w:val="en"/>
        </w:rPr>
        <w:t>repl</w:t>
      </w:r>
      <w:r w:rsidR="578C5BB7" w:rsidRPr="474FE90C">
        <w:rPr>
          <w:rFonts w:cs="Times New Roman"/>
          <w:lang w:val="en"/>
        </w:rPr>
        <w:t>enish</w:t>
      </w:r>
      <w:r w:rsidRPr="474FE90C">
        <w:rPr>
          <w:rFonts w:cs="Times New Roman"/>
          <w:lang w:val="en"/>
        </w:rPr>
        <w:t xml:space="preserve"> thiamine prior to treatment initiation. </w:t>
      </w:r>
      <w:r w:rsidR="422EC8E6" w:rsidRPr="474FE90C">
        <w:rPr>
          <w:rFonts w:cs="Times New Roman"/>
          <w:lang w:val="en"/>
        </w:rPr>
        <w:t xml:space="preserve">While on treatment all patients should receive prophylaxis with oral thiamine and should have thiamine levels assessed as clinically indicated. </w:t>
      </w:r>
      <w:r w:rsidRPr="474FE90C">
        <w:rPr>
          <w:rFonts w:cs="Times New Roman"/>
          <w:lang w:val="en"/>
        </w:rPr>
        <w:t xml:space="preserve">If encephalopathy is suspected, immediately discontinue </w:t>
      </w:r>
      <w:r w:rsidR="7BF8A5EC" w:rsidRPr="474FE90C">
        <w:rPr>
          <w:rFonts w:cs="Times New Roman"/>
          <w:lang w:val="en"/>
        </w:rPr>
        <w:t xml:space="preserve">INREBIC </w:t>
      </w:r>
      <w:r w:rsidRPr="474FE90C">
        <w:rPr>
          <w:rFonts w:cs="Times New Roman"/>
          <w:lang w:val="en"/>
        </w:rPr>
        <w:t xml:space="preserve">and initiate parenteral thiamine treatment while evaluating for all possible causes. Monitor until symptoms resolve or improve and thiamine levels </w:t>
      </w:r>
      <w:proofErr w:type="spellStart"/>
      <w:r w:rsidRPr="474FE90C">
        <w:rPr>
          <w:rFonts w:cs="Times New Roman"/>
          <w:lang w:val="en"/>
        </w:rPr>
        <w:t>normali</w:t>
      </w:r>
      <w:r w:rsidR="4B32ACE4" w:rsidRPr="474FE90C">
        <w:rPr>
          <w:rFonts w:cs="Times New Roman"/>
          <w:lang w:val="en"/>
        </w:rPr>
        <w:t>s</w:t>
      </w:r>
      <w:r w:rsidRPr="474FE90C">
        <w:rPr>
          <w:rFonts w:cs="Times New Roman"/>
          <w:lang w:val="en"/>
        </w:rPr>
        <w:t>e</w:t>
      </w:r>
      <w:proofErr w:type="spellEnd"/>
      <w:r w:rsidRPr="474FE90C">
        <w:rPr>
          <w:rFonts w:cs="Times New Roman"/>
          <w:lang w:val="en"/>
        </w:rPr>
        <w:t xml:space="preserve"> </w:t>
      </w:r>
      <w:r w:rsidR="754A320C" w:rsidRPr="474FE90C">
        <w:rPr>
          <w:rFonts w:cs="Times New Roman"/>
          <w:lang w:val="en"/>
        </w:rPr>
        <w:t>(see Section 4.2 Dose and Method of Administration</w:t>
      </w:r>
      <w:r w:rsidR="32045702" w:rsidRPr="474FE90C">
        <w:rPr>
          <w:rFonts w:cs="Times New Roman"/>
          <w:lang w:val="en"/>
        </w:rPr>
        <w:t xml:space="preserve"> - </w:t>
      </w:r>
      <w:r w:rsidR="00B44FA4">
        <w:rPr>
          <w:rFonts w:cs="Times New Roman"/>
          <w:lang w:val="en"/>
        </w:rPr>
        <w:fldChar w:fldCharType="begin"/>
      </w:r>
      <w:r w:rsidR="00B44FA4">
        <w:rPr>
          <w:rFonts w:cs="Times New Roman"/>
          <w:lang w:val="en"/>
        </w:rPr>
        <w:instrText xml:space="preserve"> REF _Ref152234336 \h </w:instrText>
      </w:r>
      <w:r w:rsidR="00B44FA4">
        <w:rPr>
          <w:rFonts w:cs="Times New Roman"/>
          <w:lang w:val="en"/>
        </w:rPr>
      </w:r>
      <w:r w:rsidR="00B44FA4">
        <w:rPr>
          <w:rFonts w:cs="Times New Roman"/>
          <w:lang w:val="en"/>
        </w:rPr>
        <w:fldChar w:fldCharType="separate"/>
      </w:r>
      <w:r w:rsidR="00196356">
        <w:t xml:space="preserve">Table </w:t>
      </w:r>
      <w:r w:rsidR="00196356">
        <w:rPr>
          <w:noProof/>
        </w:rPr>
        <w:t>3</w:t>
      </w:r>
      <w:r w:rsidR="00B44FA4">
        <w:rPr>
          <w:rFonts w:cs="Times New Roman"/>
          <w:lang w:val="en"/>
        </w:rPr>
        <w:fldChar w:fldCharType="end"/>
      </w:r>
      <w:r w:rsidR="61BC783C" w:rsidRPr="474FE90C">
        <w:rPr>
          <w:rFonts w:cs="Times New Roman"/>
          <w:lang w:val="en"/>
        </w:rPr>
        <w:t xml:space="preserve"> and Section 4.8 Adverse Effects [Undesirable Effects]</w:t>
      </w:r>
      <w:r w:rsidR="754A320C" w:rsidRPr="474FE90C">
        <w:rPr>
          <w:rFonts w:cs="Times New Roman"/>
          <w:lang w:val="en"/>
        </w:rPr>
        <w:t>).</w:t>
      </w:r>
    </w:p>
    <w:p w14:paraId="6ECB2514" w14:textId="6224D42A" w:rsidR="00347E9A" w:rsidRPr="00347E9A" w:rsidRDefault="00347E9A" w:rsidP="00347E9A">
      <w:pPr>
        <w:pStyle w:val="Heading3"/>
        <w:rPr>
          <w:rFonts w:hint="eastAsia"/>
        </w:rPr>
      </w:pPr>
      <w:r w:rsidRPr="00347E9A">
        <w:t>An</w:t>
      </w:r>
      <w:r w:rsidR="007E1B62">
        <w:t>a</w:t>
      </w:r>
      <w:r w:rsidRPr="00347E9A">
        <w:t>emia</w:t>
      </w:r>
      <w:r w:rsidR="006001B0">
        <w:t xml:space="preserve">, </w:t>
      </w:r>
      <w:r w:rsidRPr="00347E9A">
        <w:t>Thrombocytopenia</w:t>
      </w:r>
      <w:r w:rsidR="006001B0">
        <w:t xml:space="preserve"> and Neutro</w:t>
      </w:r>
      <w:r w:rsidR="00037900">
        <w:t xml:space="preserve">penia </w:t>
      </w:r>
    </w:p>
    <w:p w14:paraId="751885AC" w14:textId="4A61F069" w:rsidR="00F65627" w:rsidRDefault="00347E9A" w:rsidP="00347E9A">
      <w:pPr>
        <w:rPr>
          <w:rFonts w:cs="Times New Roman"/>
          <w:lang w:val="en-US"/>
        </w:rPr>
      </w:pPr>
      <w:r w:rsidRPr="57AD90B9">
        <w:rPr>
          <w:rFonts w:cs="Times New Roman"/>
          <w:lang w:val="en-US"/>
        </w:rPr>
        <w:t xml:space="preserve">Treatment with </w:t>
      </w:r>
      <w:r w:rsidR="007E1B62" w:rsidRPr="57AD90B9">
        <w:rPr>
          <w:rFonts w:cs="Times New Roman"/>
          <w:lang w:val="en-US"/>
        </w:rPr>
        <w:t>INREBIC</w:t>
      </w:r>
      <w:r w:rsidRPr="57AD90B9">
        <w:rPr>
          <w:rFonts w:cs="Times New Roman"/>
          <w:lang w:val="en-US"/>
        </w:rPr>
        <w:t xml:space="preserve"> may cause </w:t>
      </w:r>
      <w:proofErr w:type="spellStart"/>
      <w:r w:rsidRPr="57AD90B9">
        <w:rPr>
          <w:rFonts w:cs="Times New Roman"/>
          <w:lang w:val="en-US"/>
        </w:rPr>
        <w:t>an</w:t>
      </w:r>
      <w:r w:rsidR="00622B21" w:rsidRPr="57AD90B9">
        <w:rPr>
          <w:rFonts w:cs="Times New Roman"/>
          <w:lang w:val="en-US"/>
        </w:rPr>
        <w:t>a</w:t>
      </w:r>
      <w:r w:rsidRPr="57AD90B9">
        <w:rPr>
          <w:rFonts w:cs="Times New Roman"/>
          <w:lang w:val="en-US"/>
        </w:rPr>
        <w:t>emia</w:t>
      </w:r>
      <w:proofErr w:type="spellEnd"/>
      <w:r w:rsidR="00B84346">
        <w:rPr>
          <w:rFonts w:cs="Times New Roman"/>
          <w:lang w:val="en-US"/>
        </w:rPr>
        <w:t>,</w:t>
      </w:r>
      <w:r w:rsidRPr="57AD90B9">
        <w:rPr>
          <w:rFonts w:cs="Times New Roman"/>
          <w:lang w:val="en-US"/>
        </w:rPr>
        <w:t xml:space="preserve"> thrombocytopenia</w:t>
      </w:r>
      <w:r w:rsidR="00B84346">
        <w:rPr>
          <w:rFonts w:cs="Times New Roman"/>
          <w:lang w:val="en-US"/>
        </w:rPr>
        <w:t xml:space="preserve"> and neutropenia</w:t>
      </w:r>
      <w:r w:rsidRPr="57AD90B9">
        <w:rPr>
          <w:rFonts w:cs="Times New Roman"/>
          <w:lang w:val="en-US"/>
        </w:rPr>
        <w:t>.</w:t>
      </w:r>
      <w:r w:rsidR="007C4861" w:rsidRPr="57AD90B9">
        <w:rPr>
          <w:rFonts w:cs="Times New Roman"/>
          <w:lang w:val="en-US"/>
        </w:rPr>
        <w:t xml:space="preserve"> </w:t>
      </w:r>
      <w:r w:rsidR="00824BC7" w:rsidRPr="00824BC7">
        <w:rPr>
          <w:rFonts w:cs="Times New Roman"/>
          <w:lang w:val="en-US"/>
        </w:rPr>
        <w:t>Complete blood counts should be obtained at baseline, periodically during treatment</w:t>
      </w:r>
      <w:r w:rsidR="001A3AAB">
        <w:rPr>
          <w:rFonts w:cs="Times New Roman"/>
          <w:lang w:val="en-US"/>
        </w:rPr>
        <w:t>,</w:t>
      </w:r>
      <w:r w:rsidR="00824BC7" w:rsidRPr="00824BC7">
        <w:rPr>
          <w:rFonts w:cs="Times New Roman"/>
          <w:lang w:val="en-US"/>
        </w:rPr>
        <w:t xml:space="preserve"> and as clinically indicated (</w:t>
      </w:r>
      <w:r w:rsidR="00824BC7" w:rsidRPr="474FE90C">
        <w:rPr>
          <w:rFonts w:cs="Times New Roman"/>
          <w:lang w:val="en"/>
        </w:rPr>
        <w:t xml:space="preserve">see Section 4.2 Dose and Method of Administration - </w:t>
      </w:r>
      <w:r w:rsidR="00824BC7">
        <w:rPr>
          <w:rFonts w:cs="Times New Roman"/>
          <w:lang w:val="en"/>
        </w:rPr>
        <w:fldChar w:fldCharType="begin"/>
      </w:r>
      <w:r w:rsidR="00824BC7">
        <w:rPr>
          <w:rFonts w:cs="Times New Roman"/>
          <w:lang w:val="en"/>
        </w:rPr>
        <w:instrText xml:space="preserve"> REF _Ref152234359 \h </w:instrText>
      </w:r>
      <w:r w:rsidR="00824BC7">
        <w:rPr>
          <w:rFonts w:cs="Times New Roman"/>
          <w:lang w:val="en"/>
        </w:rPr>
      </w:r>
      <w:r w:rsidR="00824BC7">
        <w:rPr>
          <w:rFonts w:cs="Times New Roman"/>
          <w:lang w:val="en"/>
        </w:rPr>
        <w:fldChar w:fldCharType="separate"/>
      </w:r>
      <w:r w:rsidR="00196356">
        <w:t xml:space="preserve">Table </w:t>
      </w:r>
      <w:r w:rsidR="00196356">
        <w:rPr>
          <w:noProof/>
        </w:rPr>
        <w:t>1</w:t>
      </w:r>
      <w:r w:rsidR="00824BC7">
        <w:rPr>
          <w:rFonts w:cs="Times New Roman"/>
          <w:lang w:val="en"/>
        </w:rPr>
        <w:fldChar w:fldCharType="end"/>
      </w:r>
      <w:r w:rsidR="00824BC7" w:rsidRPr="474FE90C">
        <w:rPr>
          <w:rFonts w:cs="Times New Roman"/>
          <w:lang w:val="en"/>
        </w:rPr>
        <w:t xml:space="preserve"> and Section 4.8 Adverse Effects [Undesirable Effects]</w:t>
      </w:r>
      <w:r w:rsidR="00824BC7" w:rsidRPr="00824BC7">
        <w:rPr>
          <w:rFonts w:cs="Times New Roman"/>
          <w:lang w:val="en-US"/>
        </w:rPr>
        <w:t xml:space="preserve">). </w:t>
      </w:r>
      <w:proofErr w:type="spellStart"/>
      <w:r w:rsidR="00824BC7" w:rsidRPr="00824BC7">
        <w:rPr>
          <w:rFonts w:cs="Times New Roman"/>
          <w:lang w:val="en-US"/>
        </w:rPr>
        <w:t>Inrebic</w:t>
      </w:r>
      <w:proofErr w:type="spellEnd"/>
      <w:r w:rsidR="00824BC7" w:rsidRPr="00824BC7">
        <w:rPr>
          <w:rFonts w:cs="Times New Roman"/>
          <w:lang w:val="en-US"/>
        </w:rPr>
        <w:t xml:space="preserve"> has not been studied in patients with a baseline platelet count &lt;50 x 10</w:t>
      </w:r>
      <w:r w:rsidR="00824BC7" w:rsidRPr="00824BC7">
        <w:rPr>
          <w:rStyle w:val="BMSSuperscript"/>
        </w:rPr>
        <w:t>9</w:t>
      </w:r>
      <w:r w:rsidR="00824BC7" w:rsidRPr="00824BC7">
        <w:rPr>
          <w:rFonts w:cs="Times New Roman"/>
          <w:lang w:val="en-US"/>
        </w:rPr>
        <w:t xml:space="preserve">/L and </w:t>
      </w:r>
      <w:r w:rsidR="008F584B">
        <w:rPr>
          <w:rFonts w:cs="Times New Roman"/>
          <w:lang w:val="en-US"/>
        </w:rPr>
        <w:t>absolute neutrophil count</w:t>
      </w:r>
      <w:r w:rsidR="00824BC7" w:rsidRPr="00824BC7">
        <w:rPr>
          <w:rFonts w:cs="Times New Roman"/>
          <w:lang w:val="en-US"/>
        </w:rPr>
        <w:t xml:space="preserve"> &lt;1.0 x 10</w:t>
      </w:r>
      <w:r w:rsidR="00824BC7" w:rsidRPr="00824BC7">
        <w:rPr>
          <w:rStyle w:val="BMSSuperscript"/>
        </w:rPr>
        <w:t>9</w:t>
      </w:r>
      <w:r w:rsidR="00824BC7" w:rsidRPr="00824BC7">
        <w:rPr>
          <w:rFonts w:cs="Times New Roman"/>
          <w:lang w:val="en-US"/>
        </w:rPr>
        <w:t>/L.</w:t>
      </w:r>
    </w:p>
    <w:p w14:paraId="0BB469F7" w14:textId="7B5F5991" w:rsidR="00622B21" w:rsidRPr="00A20EB8" w:rsidRDefault="00622B21" w:rsidP="00347E9A">
      <w:pPr>
        <w:rPr>
          <w:rFonts w:cs="Times New Roman"/>
          <w:u w:val="single"/>
          <w:lang w:val="en-US"/>
        </w:rPr>
      </w:pPr>
      <w:proofErr w:type="spellStart"/>
      <w:r w:rsidRPr="57AD90B9">
        <w:rPr>
          <w:rFonts w:cs="Times New Roman"/>
          <w:u w:val="single"/>
          <w:lang w:val="en-US"/>
        </w:rPr>
        <w:t>Anaemia</w:t>
      </w:r>
      <w:proofErr w:type="spellEnd"/>
    </w:p>
    <w:p w14:paraId="4C64F4BE" w14:textId="562E78AB" w:rsidR="00622B21" w:rsidRDefault="00F57968" w:rsidP="00347E9A">
      <w:pPr>
        <w:rPr>
          <w:rFonts w:cs="Times New Roman"/>
          <w:lang w:val="en"/>
        </w:rPr>
      </w:pPr>
      <w:proofErr w:type="spellStart"/>
      <w:r w:rsidRPr="005321F2">
        <w:rPr>
          <w:rFonts w:cs="Times New Roman"/>
          <w:lang w:val="en"/>
        </w:rPr>
        <w:t>Anaemia</w:t>
      </w:r>
      <w:proofErr w:type="spellEnd"/>
      <w:r w:rsidRPr="005321F2">
        <w:rPr>
          <w:rFonts w:cs="Times New Roman"/>
          <w:lang w:val="en"/>
        </w:rPr>
        <w:t xml:space="preserve"> generally occurs within the first 3 months of treatment. Patients with a </w:t>
      </w:r>
      <w:proofErr w:type="spellStart"/>
      <w:r w:rsidRPr="005321F2">
        <w:rPr>
          <w:rFonts w:cs="Times New Roman"/>
          <w:lang w:val="en"/>
        </w:rPr>
        <w:t>haemoglobin</w:t>
      </w:r>
      <w:proofErr w:type="spellEnd"/>
      <w:r w:rsidRPr="005321F2">
        <w:rPr>
          <w:rFonts w:cs="Times New Roman"/>
          <w:lang w:val="en"/>
        </w:rPr>
        <w:t xml:space="preserve"> level below 10.0 g/dL at the start of therapy are more likely to develop </w:t>
      </w:r>
      <w:proofErr w:type="spellStart"/>
      <w:r w:rsidRPr="005321F2">
        <w:rPr>
          <w:rFonts w:cs="Times New Roman"/>
          <w:lang w:val="en"/>
        </w:rPr>
        <w:t>anaemia</w:t>
      </w:r>
      <w:proofErr w:type="spellEnd"/>
      <w:r w:rsidRPr="005321F2">
        <w:rPr>
          <w:rFonts w:cs="Times New Roman"/>
          <w:lang w:val="en"/>
        </w:rPr>
        <w:t xml:space="preserve"> of Grade 3 or above during treatment and should be carefully monitored</w:t>
      </w:r>
      <w:r w:rsidR="001801E0" w:rsidRPr="005321F2">
        <w:rPr>
          <w:rFonts w:cs="Times New Roman"/>
          <w:lang w:val="en"/>
        </w:rPr>
        <w:t xml:space="preserve"> as clinically indicated</w:t>
      </w:r>
      <w:r w:rsidRPr="005321F2">
        <w:rPr>
          <w:rFonts w:cs="Times New Roman"/>
          <w:lang w:val="en"/>
        </w:rPr>
        <w:t xml:space="preserve">. Patients developing </w:t>
      </w:r>
      <w:proofErr w:type="spellStart"/>
      <w:r w:rsidRPr="005321F2">
        <w:rPr>
          <w:rFonts w:cs="Times New Roman"/>
          <w:lang w:val="en"/>
        </w:rPr>
        <w:t>anaemia</w:t>
      </w:r>
      <w:proofErr w:type="spellEnd"/>
      <w:r w:rsidRPr="005321F2">
        <w:rPr>
          <w:rFonts w:cs="Times New Roman"/>
          <w:lang w:val="en"/>
        </w:rPr>
        <w:t xml:space="preserve"> may require blood transfusions. </w:t>
      </w:r>
      <w:r w:rsidR="00622B21" w:rsidRPr="474FE90C">
        <w:rPr>
          <w:rFonts w:cs="Times New Roman"/>
          <w:lang w:val="en"/>
        </w:rPr>
        <w:t xml:space="preserve">Consider dose reduction for patients who become red blood cell transfusion dependent (see Section 4.2 Dose and Method of Administration - </w:t>
      </w:r>
      <w:r w:rsidR="00B44FA4">
        <w:rPr>
          <w:rFonts w:cs="Times New Roman"/>
          <w:lang w:val="en"/>
        </w:rPr>
        <w:fldChar w:fldCharType="begin"/>
      </w:r>
      <w:r w:rsidR="00B44FA4">
        <w:rPr>
          <w:rFonts w:cs="Times New Roman"/>
          <w:lang w:val="en"/>
        </w:rPr>
        <w:instrText xml:space="preserve"> REF _Ref152234359 \h </w:instrText>
      </w:r>
      <w:r w:rsidR="00B44FA4">
        <w:rPr>
          <w:rFonts w:cs="Times New Roman"/>
          <w:lang w:val="en"/>
        </w:rPr>
      </w:r>
      <w:r w:rsidR="00B44FA4">
        <w:rPr>
          <w:rFonts w:cs="Times New Roman"/>
          <w:lang w:val="en"/>
        </w:rPr>
        <w:fldChar w:fldCharType="separate"/>
      </w:r>
      <w:r w:rsidR="00196356">
        <w:t xml:space="preserve">Table </w:t>
      </w:r>
      <w:r w:rsidR="00196356">
        <w:rPr>
          <w:noProof/>
        </w:rPr>
        <w:t>1</w:t>
      </w:r>
      <w:r w:rsidR="00B44FA4">
        <w:rPr>
          <w:rFonts w:cs="Times New Roman"/>
          <w:lang w:val="en"/>
        </w:rPr>
        <w:fldChar w:fldCharType="end"/>
      </w:r>
      <w:r w:rsidR="00622B21" w:rsidRPr="474FE90C">
        <w:rPr>
          <w:rFonts w:cs="Times New Roman"/>
          <w:lang w:val="en"/>
        </w:rPr>
        <w:t xml:space="preserve"> and Section 4.8 Adverse Effects [Undesirable Effects]).</w:t>
      </w:r>
    </w:p>
    <w:p w14:paraId="3EF84B15" w14:textId="265F4EF2" w:rsidR="00622B21" w:rsidRPr="00A20EB8" w:rsidRDefault="00622B21" w:rsidP="00347E9A">
      <w:pPr>
        <w:rPr>
          <w:rFonts w:cs="Times New Roman"/>
          <w:u w:val="single"/>
          <w:lang w:val="en"/>
        </w:rPr>
      </w:pPr>
      <w:r w:rsidRPr="00A20EB8">
        <w:rPr>
          <w:rFonts w:cs="Times New Roman"/>
          <w:u w:val="single"/>
          <w:lang w:val="en"/>
        </w:rPr>
        <w:t>Thrombocytopenia</w:t>
      </w:r>
    </w:p>
    <w:p w14:paraId="5D08CF18" w14:textId="0C6CAF65" w:rsidR="00AE343D" w:rsidRPr="00F65627" w:rsidRDefault="009A42B5" w:rsidP="00347E9A">
      <w:pPr>
        <w:rPr>
          <w:rFonts w:cs="Times New Roman"/>
          <w:lang w:val="en-US"/>
        </w:rPr>
      </w:pPr>
      <w:r w:rsidRPr="00F65627">
        <w:rPr>
          <w:rFonts w:cs="Times New Roman"/>
          <w:lang w:val="en-US"/>
        </w:rPr>
        <w:t>Thrombocytopenia generally occurs within the first 3 months of treatment. Patients with low platelet counts (&lt;100 x 10</w:t>
      </w:r>
      <w:r w:rsidRPr="00F65627">
        <w:rPr>
          <w:rStyle w:val="BMSSuperscript"/>
          <w:lang w:val="en-US"/>
        </w:rPr>
        <w:t>9</w:t>
      </w:r>
      <w:r w:rsidRPr="00F65627">
        <w:rPr>
          <w:rFonts w:cs="Times New Roman"/>
          <w:lang w:val="en-US"/>
        </w:rPr>
        <w:t xml:space="preserve">/L) at the start of therapy are more likely to develop thrombocytopenia of Grade 3 or above during treatment and should be carefully monitored as clinically indicated. Thrombocytopenia is generally reversible and is usually managed by supportive treatment such as dose interruptions, dose reduction and/or platelet transfusions if necessary. Patients should be made aware of the increased risk of bleeding associated with thrombocytopenia. </w:t>
      </w:r>
      <w:r w:rsidR="007C4861" w:rsidRPr="00F65627">
        <w:rPr>
          <w:rFonts w:cs="Times New Roman"/>
          <w:lang w:val="en-US"/>
        </w:rPr>
        <w:t>For Grade 3 thrombocytopenia with active bleeding or Grade 4 thrombocytopenia,</w:t>
      </w:r>
      <w:r w:rsidR="00CD538A" w:rsidRPr="00F65627">
        <w:rPr>
          <w:rFonts w:cs="Times New Roman"/>
          <w:lang w:val="en-US"/>
        </w:rPr>
        <w:t xml:space="preserve"> dose reduction </w:t>
      </w:r>
      <w:r w:rsidR="00AB378C" w:rsidRPr="00F65627">
        <w:rPr>
          <w:rFonts w:cs="Times New Roman"/>
          <w:lang w:val="en-US"/>
        </w:rPr>
        <w:t>is recommended</w:t>
      </w:r>
      <w:r w:rsidR="009531A4" w:rsidRPr="00F65627">
        <w:rPr>
          <w:rFonts w:cs="Times New Roman"/>
          <w:lang w:val="en-US"/>
        </w:rPr>
        <w:t xml:space="preserve"> (see Section 4.2 Dose and Method of Administration - </w:t>
      </w:r>
      <w:r w:rsidR="00B44FA4" w:rsidRPr="00F65627">
        <w:rPr>
          <w:rFonts w:cs="Times New Roman"/>
          <w:lang w:val="en-US"/>
        </w:rPr>
        <w:fldChar w:fldCharType="begin"/>
      </w:r>
      <w:r w:rsidR="00B44FA4" w:rsidRPr="00F65627">
        <w:rPr>
          <w:rFonts w:cs="Times New Roman"/>
          <w:lang w:val="en-US"/>
        </w:rPr>
        <w:instrText xml:space="preserve"> REF _Ref152234359 \h </w:instrText>
      </w:r>
      <w:r w:rsidR="00F65627">
        <w:rPr>
          <w:rFonts w:cs="Times New Roman"/>
          <w:lang w:val="en-US"/>
        </w:rPr>
        <w:instrText xml:space="preserve"> \* MERGEFORMAT </w:instrText>
      </w:r>
      <w:r w:rsidR="00B44FA4" w:rsidRPr="00F65627">
        <w:rPr>
          <w:rFonts w:cs="Times New Roman"/>
          <w:lang w:val="en-US"/>
        </w:rPr>
      </w:r>
      <w:r w:rsidR="00B44FA4" w:rsidRPr="00F65627">
        <w:rPr>
          <w:rFonts w:cs="Times New Roman"/>
          <w:lang w:val="en-US"/>
        </w:rPr>
        <w:fldChar w:fldCharType="separate"/>
      </w:r>
      <w:r w:rsidR="00196356" w:rsidRPr="00196356">
        <w:rPr>
          <w:rFonts w:cs="Times New Roman"/>
          <w:lang w:val="en-US"/>
        </w:rPr>
        <w:t>Table 1</w:t>
      </w:r>
      <w:r w:rsidR="00B44FA4" w:rsidRPr="00F65627">
        <w:rPr>
          <w:rFonts w:cs="Times New Roman"/>
          <w:lang w:val="en-US"/>
        </w:rPr>
        <w:fldChar w:fldCharType="end"/>
      </w:r>
      <w:r w:rsidR="009531A4" w:rsidRPr="00F65627">
        <w:rPr>
          <w:rFonts w:cs="Times New Roman"/>
          <w:lang w:val="en-US"/>
        </w:rPr>
        <w:t xml:space="preserve"> and Section 4.8 Adverse Effects [Undesirable Effects])</w:t>
      </w:r>
      <w:r w:rsidR="00137F3C" w:rsidRPr="00F65627">
        <w:rPr>
          <w:rFonts w:cs="Times New Roman"/>
          <w:lang w:val="en-US"/>
        </w:rPr>
        <w:t xml:space="preserve">. </w:t>
      </w:r>
    </w:p>
    <w:p w14:paraId="32480682" w14:textId="77777777" w:rsidR="00C93674" w:rsidRPr="00C93674" w:rsidRDefault="00C93674" w:rsidP="00C93674">
      <w:pPr>
        <w:rPr>
          <w:rFonts w:cs="Times New Roman"/>
          <w:u w:val="single"/>
          <w:lang w:val="en"/>
        </w:rPr>
      </w:pPr>
      <w:r w:rsidRPr="00C93674">
        <w:rPr>
          <w:rFonts w:cs="Times New Roman"/>
          <w:u w:val="single"/>
          <w:lang w:val="en"/>
        </w:rPr>
        <w:t xml:space="preserve">Neutropenia </w:t>
      </w:r>
    </w:p>
    <w:p w14:paraId="7A077DC8" w14:textId="51840061" w:rsidR="00F65627" w:rsidRPr="00F65627" w:rsidRDefault="00C93674" w:rsidP="00F65627">
      <w:pPr>
        <w:rPr>
          <w:lang w:val="en-US"/>
        </w:rPr>
      </w:pPr>
      <w:r w:rsidRPr="18122ECD">
        <w:rPr>
          <w:lang w:val="en-US"/>
        </w:rPr>
        <w:t xml:space="preserve">Neutropenia was generally reversible and was managed by temporarily withholding INREBIC (see Section 4.2 Dose and Method of Administration - </w:t>
      </w:r>
      <w:r w:rsidRPr="18122ECD">
        <w:rPr>
          <w:rFonts w:ascii="Times New Roman Bold" w:eastAsiaTheme="majorEastAsia" w:hAnsi="Times New Roman Bold" w:cs="Times New Roman"/>
          <w:b/>
          <w:bCs/>
          <w:sz w:val="24"/>
          <w:szCs w:val="28"/>
          <w:lang w:val="en"/>
        </w:rPr>
        <w:fldChar w:fldCharType="begin"/>
      </w:r>
      <w:r w:rsidRPr="18122ECD">
        <w:rPr>
          <w:lang w:val="en"/>
        </w:rPr>
        <w:instrText xml:space="preserve"> REF _Ref152234359 \h </w:instrText>
      </w:r>
      <w:r w:rsidR="009819AC">
        <w:rPr>
          <w:lang w:val="en"/>
        </w:rPr>
        <w:instrText xml:space="preserve"> \* MERGEFORMAT </w:instrText>
      </w:r>
      <w:r w:rsidRPr="18122ECD">
        <w:rPr>
          <w:rFonts w:ascii="Times New Roman Bold" w:eastAsiaTheme="majorEastAsia" w:hAnsi="Times New Roman Bold" w:cs="Times New Roman"/>
          <w:b/>
          <w:bCs/>
          <w:sz w:val="24"/>
          <w:szCs w:val="28"/>
          <w:lang w:val="en"/>
        </w:rPr>
      </w:r>
      <w:r w:rsidRPr="18122ECD">
        <w:rPr>
          <w:rFonts w:ascii="Times New Roman Bold" w:eastAsiaTheme="majorEastAsia" w:hAnsi="Times New Roman Bold" w:cs="Times New Roman"/>
          <w:b/>
          <w:bCs/>
          <w:sz w:val="24"/>
          <w:szCs w:val="28"/>
          <w:lang w:val="en"/>
        </w:rPr>
        <w:fldChar w:fldCharType="separate"/>
      </w:r>
      <w:r w:rsidR="00196356" w:rsidRPr="00196356">
        <w:rPr>
          <w:lang w:val="en-US"/>
        </w:rPr>
        <w:t>Table 1</w:t>
      </w:r>
      <w:r w:rsidRPr="18122ECD">
        <w:rPr>
          <w:rFonts w:ascii="Times New Roman Bold" w:eastAsiaTheme="majorEastAsia" w:hAnsi="Times New Roman Bold" w:cs="Times New Roman"/>
          <w:b/>
          <w:bCs/>
          <w:sz w:val="24"/>
          <w:szCs w:val="28"/>
          <w:lang w:val="en"/>
        </w:rPr>
        <w:fldChar w:fldCharType="end"/>
      </w:r>
      <w:r w:rsidRPr="18122ECD">
        <w:rPr>
          <w:lang w:val="en-US"/>
        </w:rPr>
        <w:t xml:space="preserve"> and Section 4.8 Adverse Effects [Undesirable Effects]).</w:t>
      </w:r>
    </w:p>
    <w:p w14:paraId="3DF37933" w14:textId="77777777" w:rsidR="00767E58" w:rsidRPr="00767E58" w:rsidRDefault="00767E58" w:rsidP="00767E58">
      <w:pPr>
        <w:pStyle w:val="Heading3"/>
        <w:rPr>
          <w:rFonts w:hint="eastAsia"/>
        </w:rPr>
      </w:pPr>
      <w:r w:rsidRPr="00767E58">
        <w:lastRenderedPageBreak/>
        <w:t>Gastrointestinal Toxicity</w:t>
      </w:r>
    </w:p>
    <w:p w14:paraId="1235BFDF" w14:textId="2AA4337F" w:rsidR="00767E58" w:rsidRPr="00767E58" w:rsidRDefault="00767E58" w:rsidP="00767E58">
      <w:pPr>
        <w:rPr>
          <w:rFonts w:cs="Times New Roman"/>
          <w:lang w:val="en-US"/>
        </w:rPr>
      </w:pPr>
      <w:r w:rsidRPr="57AD90B9">
        <w:rPr>
          <w:rFonts w:cs="Times New Roman"/>
          <w:lang w:val="en-US"/>
        </w:rPr>
        <w:t xml:space="preserve">Nausea, vomiting, and </w:t>
      </w:r>
      <w:proofErr w:type="spellStart"/>
      <w:r w:rsidRPr="57AD90B9">
        <w:rPr>
          <w:rFonts w:cs="Times New Roman"/>
          <w:lang w:val="en-US"/>
        </w:rPr>
        <w:t>diarrh</w:t>
      </w:r>
      <w:r w:rsidR="00CB57CA" w:rsidRPr="57AD90B9">
        <w:rPr>
          <w:rFonts w:cs="Times New Roman"/>
          <w:lang w:val="en-US"/>
        </w:rPr>
        <w:t>o</w:t>
      </w:r>
      <w:r w:rsidRPr="57AD90B9">
        <w:rPr>
          <w:rFonts w:cs="Times New Roman"/>
          <w:lang w:val="en-US"/>
        </w:rPr>
        <w:t>ea</w:t>
      </w:r>
      <w:proofErr w:type="spellEnd"/>
      <w:r w:rsidRPr="57AD90B9">
        <w:rPr>
          <w:rFonts w:cs="Times New Roman"/>
          <w:lang w:val="en-US"/>
        </w:rPr>
        <w:t xml:space="preserve"> are among the most frequent adverse reactions in </w:t>
      </w:r>
      <w:r w:rsidR="00CB57CA" w:rsidRPr="57AD90B9">
        <w:rPr>
          <w:rFonts w:cs="Times New Roman"/>
          <w:lang w:val="en-US"/>
        </w:rPr>
        <w:t>INREBIC</w:t>
      </w:r>
      <w:r w:rsidRPr="57AD90B9">
        <w:rPr>
          <w:rFonts w:cs="Times New Roman"/>
          <w:lang w:val="en-US"/>
        </w:rPr>
        <w:t>-treated patients.</w:t>
      </w:r>
      <w:r w:rsidR="005D429A" w:rsidRPr="57AD90B9">
        <w:rPr>
          <w:rFonts w:cs="Times New Roman"/>
          <w:lang w:val="en-US"/>
        </w:rPr>
        <w:t xml:space="preserve"> </w:t>
      </w:r>
    </w:p>
    <w:p w14:paraId="75865AEF" w14:textId="0DAE0C59" w:rsidR="00EA451B" w:rsidRDefault="00767E58" w:rsidP="00767E58">
      <w:pPr>
        <w:rPr>
          <w:rFonts w:cs="Times New Roman"/>
          <w:lang w:val="en"/>
        </w:rPr>
      </w:pPr>
      <w:r w:rsidRPr="00767E58">
        <w:rPr>
          <w:rFonts w:cs="Times New Roman"/>
          <w:lang w:val="en"/>
        </w:rPr>
        <w:t>Consider providing appropriate prophylactic anti-emetic therapy (e.g., 5-HT3 receptor antagonists)</w:t>
      </w:r>
      <w:r>
        <w:rPr>
          <w:rFonts w:cs="Times New Roman"/>
          <w:lang w:val="en"/>
        </w:rPr>
        <w:t xml:space="preserve"> </w:t>
      </w:r>
      <w:r w:rsidRPr="00767E58">
        <w:rPr>
          <w:rFonts w:cs="Times New Roman"/>
          <w:lang w:val="en"/>
        </w:rPr>
        <w:t xml:space="preserve">during </w:t>
      </w:r>
      <w:r w:rsidR="00801ABD">
        <w:rPr>
          <w:rFonts w:cs="Times New Roman"/>
          <w:lang w:val="en"/>
        </w:rPr>
        <w:t>INREBIC</w:t>
      </w:r>
      <w:r w:rsidRPr="00767E58">
        <w:rPr>
          <w:rFonts w:cs="Times New Roman"/>
          <w:lang w:val="en"/>
        </w:rPr>
        <w:t xml:space="preserve"> treatment. Treat </w:t>
      </w:r>
      <w:proofErr w:type="spellStart"/>
      <w:r w:rsidRPr="00767E58">
        <w:rPr>
          <w:rFonts w:cs="Times New Roman"/>
          <w:lang w:val="en"/>
        </w:rPr>
        <w:t>diarrh</w:t>
      </w:r>
      <w:r w:rsidR="00801ABD">
        <w:rPr>
          <w:rFonts w:cs="Times New Roman"/>
          <w:lang w:val="en"/>
        </w:rPr>
        <w:t>o</w:t>
      </w:r>
      <w:r w:rsidRPr="00767E58">
        <w:rPr>
          <w:rFonts w:cs="Times New Roman"/>
          <w:lang w:val="en"/>
        </w:rPr>
        <w:t>ea</w:t>
      </w:r>
      <w:proofErr w:type="spellEnd"/>
      <w:r w:rsidRPr="00767E58">
        <w:rPr>
          <w:rFonts w:cs="Times New Roman"/>
          <w:lang w:val="en"/>
        </w:rPr>
        <w:t xml:space="preserve"> with anti-</w:t>
      </w:r>
      <w:proofErr w:type="spellStart"/>
      <w:r w:rsidRPr="00767E58">
        <w:rPr>
          <w:rFonts w:cs="Times New Roman"/>
          <w:lang w:val="en"/>
        </w:rPr>
        <w:t>diarrh</w:t>
      </w:r>
      <w:r w:rsidR="00BC25BD">
        <w:rPr>
          <w:rFonts w:cs="Times New Roman"/>
          <w:lang w:val="en"/>
        </w:rPr>
        <w:t>o</w:t>
      </w:r>
      <w:r w:rsidRPr="00767E58">
        <w:rPr>
          <w:rFonts w:cs="Times New Roman"/>
          <w:lang w:val="en"/>
        </w:rPr>
        <w:t>eal</w:t>
      </w:r>
      <w:proofErr w:type="spellEnd"/>
      <w:r w:rsidRPr="00767E58">
        <w:rPr>
          <w:rFonts w:cs="Times New Roman"/>
          <w:lang w:val="en"/>
        </w:rPr>
        <w:t xml:space="preserve"> medications promptly at the first</w:t>
      </w:r>
      <w:r>
        <w:rPr>
          <w:rFonts w:cs="Times New Roman"/>
          <w:lang w:val="en"/>
        </w:rPr>
        <w:t xml:space="preserve"> </w:t>
      </w:r>
      <w:r w:rsidRPr="00767E58">
        <w:rPr>
          <w:rFonts w:cs="Times New Roman"/>
          <w:lang w:val="en"/>
        </w:rPr>
        <w:t xml:space="preserve">onset of symptoms. For Grade 3 or higher nausea, vomiting, or </w:t>
      </w:r>
      <w:proofErr w:type="spellStart"/>
      <w:r w:rsidRPr="00767E58">
        <w:rPr>
          <w:rFonts w:cs="Times New Roman"/>
          <w:lang w:val="en"/>
        </w:rPr>
        <w:t>diarrh</w:t>
      </w:r>
      <w:r w:rsidR="00801ABD">
        <w:rPr>
          <w:rFonts w:cs="Times New Roman"/>
          <w:lang w:val="en"/>
        </w:rPr>
        <w:t>o</w:t>
      </w:r>
      <w:r w:rsidRPr="00767E58">
        <w:rPr>
          <w:rFonts w:cs="Times New Roman"/>
          <w:lang w:val="en"/>
        </w:rPr>
        <w:t>ea</w:t>
      </w:r>
      <w:proofErr w:type="spellEnd"/>
      <w:r w:rsidRPr="00767E58">
        <w:rPr>
          <w:rFonts w:cs="Times New Roman"/>
          <w:lang w:val="en"/>
        </w:rPr>
        <w:t xml:space="preserve"> not responsive to supportive</w:t>
      </w:r>
      <w:r>
        <w:rPr>
          <w:rFonts w:cs="Times New Roman"/>
          <w:lang w:val="en"/>
        </w:rPr>
        <w:t xml:space="preserve"> </w:t>
      </w:r>
      <w:r w:rsidRPr="00767E58">
        <w:rPr>
          <w:rFonts w:cs="Times New Roman"/>
          <w:lang w:val="en"/>
        </w:rPr>
        <w:t>measures within 48</w:t>
      </w:r>
      <w:r w:rsidR="00767A1C">
        <w:rPr>
          <w:rFonts w:cs="Times New Roman"/>
          <w:lang w:val="en"/>
        </w:rPr>
        <w:t> </w:t>
      </w:r>
      <w:r w:rsidRPr="00767E58">
        <w:rPr>
          <w:rFonts w:cs="Times New Roman"/>
          <w:lang w:val="en"/>
        </w:rPr>
        <w:t>hours, interrupt</w:t>
      </w:r>
      <w:r w:rsidR="00801ABD">
        <w:rPr>
          <w:rFonts w:cs="Times New Roman"/>
          <w:lang w:val="en"/>
        </w:rPr>
        <w:t xml:space="preserve"> INREBIC </w:t>
      </w:r>
      <w:r w:rsidRPr="00767E58">
        <w:rPr>
          <w:rFonts w:cs="Times New Roman"/>
          <w:lang w:val="en"/>
        </w:rPr>
        <w:t>until resolved to Grade 1 or less or baseline. Restart dose at 100</w:t>
      </w:r>
      <w:r w:rsidR="00767A1C">
        <w:rPr>
          <w:rFonts w:cs="Times New Roman"/>
          <w:lang w:val="en"/>
        </w:rPr>
        <w:t> </w:t>
      </w:r>
      <w:r w:rsidRPr="00767E58">
        <w:rPr>
          <w:rFonts w:cs="Times New Roman"/>
          <w:lang w:val="en"/>
        </w:rPr>
        <w:t xml:space="preserve">mg daily below the last given dose </w:t>
      </w:r>
      <w:r w:rsidR="00285131">
        <w:rPr>
          <w:rFonts w:cs="Times New Roman"/>
          <w:lang w:val="en"/>
        </w:rPr>
        <w:t>(see Section 4.2 Dose and Method of Administration</w:t>
      </w:r>
      <w:r w:rsidR="00C007F0">
        <w:rPr>
          <w:rFonts w:cs="Times New Roman"/>
          <w:lang w:val="en"/>
        </w:rPr>
        <w:t xml:space="preserve"> - </w:t>
      </w:r>
      <w:r w:rsidR="00B44FA4">
        <w:rPr>
          <w:rFonts w:cs="Times New Roman"/>
          <w:lang w:val="en"/>
        </w:rPr>
        <w:fldChar w:fldCharType="begin"/>
      </w:r>
      <w:r w:rsidR="00B44FA4">
        <w:rPr>
          <w:rFonts w:cs="Times New Roman"/>
          <w:lang w:val="en"/>
        </w:rPr>
        <w:instrText xml:space="preserve"> REF _Ref152234375 \h </w:instrText>
      </w:r>
      <w:r w:rsidR="00B44FA4">
        <w:rPr>
          <w:rFonts w:cs="Times New Roman"/>
          <w:lang w:val="en"/>
        </w:rPr>
      </w:r>
      <w:r w:rsidR="00B44FA4">
        <w:rPr>
          <w:rFonts w:cs="Times New Roman"/>
          <w:lang w:val="en"/>
        </w:rPr>
        <w:fldChar w:fldCharType="separate"/>
      </w:r>
      <w:r w:rsidR="00196356">
        <w:t xml:space="preserve">Table </w:t>
      </w:r>
      <w:r w:rsidR="00196356">
        <w:rPr>
          <w:noProof/>
        </w:rPr>
        <w:t>2</w:t>
      </w:r>
      <w:r w:rsidR="00B44FA4">
        <w:rPr>
          <w:rFonts w:cs="Times New Roman"/>
          <w:lang w:val="en"/>
        </w:rPr>
        <w:fldChar w:fldCharType="end"/>
      </w:r>
      <w:r w:rsidR="00461723">
        <w:rPr>
          <w:rFonts w:cs="Times New Roman"/>
          <w:lang w:val="en"/>
        </w:rPr>
        <w:t xml:space="preserve"> and Section 4.8</w:t>
      </w:r>
      <w:r w:rsidR="00461723" w:rsidRPr="00A55440">
        <w:rPr>
          <w:rFonts w:cs="Times New Roman"/>
          <w:lang w:val="en"/>
        </w:rPr>
        <w:t xml:space="preserve"> Adverse </w:t>
      </w:r>
      <w:r w:rsidR="00461723">
        <w:rPr>
          <w:rFonts w:cs="Times New Roman"/>
          <w:lang w:val="en"/>
        </w:rPr>
        <w:t>Effects [Undesirable Effects]</w:t>
      </w:r>
      <w:r w:rsidR="00285131">
        <w:rPr>
          <w:rFonts w:cs="Times New Roman"/>
          <w:lang w:val="en"/>
        </w:rPr>
        <w:t>).</w:t>
      </w:r>
      <w:r w:rsidRPr="00767E58">
        <w:rPr>
          <w:rFonts w:cs="Times New Roman"/>
          <w:lang w:val="en"/>
        </w:rPr>
        <w:t xml:space="preserve"> Monitor thiamine levels and re</w:t>
      </w:r>
      <w:r w:rsidR="00801ABD">
        <w:rPr>
          <w:rFonts w:cs="Times New Roman"/>
          <w:lang w:val="en"/>
        </w:rPr>
        <w:t>plenish</w:t>
      </w:r>
      <w:r w:rsidRPr="00767E58">
        <w:rPr>
          <w:rFonts w:cs="Times New Roman"/>
          <w:lang w:val="en"/>
        </w:rPr>
        <w:t xml:space="preserve"> as needed.</w:t>
      </w:r>
    </w:p>
    <w:p w14:paraId="79DB94D5" w14:textId="77777777" w:rsidR="007039FF" w:rsidRPr="007039FF" w:rsidRDefault="007039FF" w:rsidP="007039FF">
      <w:pPr>
        <w:pStyle w:val="Heading3"/>
        <w:rPr>
          <w:rFonts w:hint="eastAsia"/>
        </w:rPr>
      </w:pPr>
      <w:r w:rsidRPr="007039FF">
        <w:t>Hepatic Toxicity</w:t>
      </w:r>
    </w:p>
    <w:p w14:paraId="5B90DD9B" w14:textId="6FEF6663" w:rsidR="008F1BB4" w:rsidRDefault="008F1BB4" w:rsidP="00A96A5F">
      <w:r>
        <w:t>Elevations of ALT and AST have been reported with INREBIC treatment.</w:t>
      </w:r>
    </w:p>
    <w:p w14:paraId="4BF90721" w14:textId="088629D3" w:rsidR="00A96A5F" w:rsidRPr="007039FF" w:rsidRDefault="007039FF" w:rsidP="00A96A5F">
      <w:pPr>
        <w:rPr>
          <w:rFonts w:cs="Times New Roman"/>
          <w:lang w:val="en"/>
        </w:rPr>
      </w:pPr>
      <w:r w:rsidRPr="007039FF">
        <w:rPr>
          <w:rFonts w:cs="Times New Roman"/>
          <w:lang w:val="en"/>
        </w:rPr>
        <w:t>Monitor hepatic function at baseline, periodically during treatment, and as clinically indicated. For</w:t>
      </w:r>
      <w:r>
        <w:rPr>
          <w:rFonts w:cs="Times New Roman"/>
          <w:lang w:val="en"/>
        </w:rPr>
        <w:t xml:space="preserve"> </w:t>
      </w:r>
      <w:r w:rsidRPr="007039FF">
        <w:rPr>
          <w:rFonts w:cs="Times New Roman"/>
          <w:lang w:val="en"/>
        </w:rPr>
        <w:t>Grade 3 or higher ALT and/or AST elevations (greater than 5</w:t>
      </w:r>
      <w:r w:rsidR="007409BE">
        <w:rPr>
          <w:rFonts w:cs="Times New Roman"/>
          <w:lang w:val="en"/>
        </w:rPr>
        <w:t> </w:t>
      </w:r>
      <w:r w:rsidRPr="007039FF">
        <w:rPr>
          <w:rFonts w:cs="Times New Roman" w:hint="eastAsia"/>
          <w:lang w:val="en"/>
        </w:rPr>
        <w:t>×</w:t>
      </w:r>
      <w:r w:rsidR="007409BE">
        <w:rPr>
          <w:rFonts w:cs="Times New Roman"/>
          <w:lang w:val="en"/>
        </w:rPr>
        <w:t> </w:t>
      </w:r>
      <w:r w:rsidRPr="007039FF">
        <w:rPr>
          <w:rFonts w:cs="Times New Roman"/>
          <w:lang w:val="en"/>
        </w:rPr>
        <w:t xml:space="preserve">ULN), interrupt </w:t>
      </w:r>
      <w:r w:rsidR="002330FF">
        <w:rPr>
          <w:rFonts w:cs="Times New Roman"/>
          <w:lang w:val="en"/>
        </w:rPr>
        <w:t>INREBIC</w:t>
      </w:r>
      <w:r w:rsidRPr="007039FF">
        <w:rPr>
          <w:rFonts w:cs="Times New Roman"/>
          <w:lang w:val="en"/>
        </w:rPr>
        <w:t xml:space="preserve"> dose</w:t>
      </w:r>
      <w:r>
        <w:rPr>
          <w:rFonts w:cs="Times New Roman"/>
          <w:lang w:val="en"/>
        </w:rPr>
        <w:t xml:space="preserve"> </w:t>
      </w:r>
      <w:r w:rsidRPr="007039FF">
        <w:rPr>
          <w:rFonts w:cs="Times New Roman"/>
          <w:lang w:val="en"/>
        </w:rPr>
        <w:t>until resolved to Grade 1 or less or to baseline. Restart dose at 100 mg daily below the last given</w:t>
      </w:r>
      <w:r>
        <w:rPr>
          <w:rFonts w:cs="Times New Roman"/>
          <w:lang w:val="en"/>
        </w:rPr>
        <w:t xml:space="preserve"> </w:t>
      </w:r>
      <w:r w:rsidRPr="007039FF">
        <w:rPr>
          <w:rFonts w:cs="Times New Roman"/>
          <w:lang w:val="en"/>
        </w:rPr>
        <w:t>dose. If re-occurrence of a Grade 3 or higher elevation of ALT/AST, discontinue treatment with</w:t>
      </w:r>
      <w:r>
        <w:rPr>
          <w:rFonts w:cs="Times New Roman"/>
          <w:lang w:val="en"/>
        </w:rPr>
        <w:t xml:space="preserve"> </w:t>
      </w:r>
      <w:r w:rsidR="002330FF">
        <w:rPr>
          <w:rFonts w:cs="Times New Roman"/>
          <w:lang w:val="en"/>
        </w:rPr>
        <w:t>INREBIC.</w:t>
      </w:r>
      <w:r w:rsidR="00A96A5F">
        <w:rPr>
          <w:rFonts w:cs="Times New Roman"/>
          <w:lang w:val="en"/>
        </w:rPr>
        <w:t xml:space="preserve"> </w:t>
      </w:r>
      <w:r w:rsidR="00A96A5F" w:rsidRPr="007039FF">
        <w:rPr>
          <w:rFonts w:cs="Times New Roman"/>
          <w:lang w:val="en"/>
        </w:rPr>
        <w:t>Grade 3 or 4 ALT and AST elevations were generally reversible with dose modification or</w:t>
      </w:r>
      <w:r w:rsidR="00A96A5F">
        <w:rPr>
          <w:rFonts w:cs="Times New Roman"/>
          <w:lang w:val="en"/>
        </w:rPr>
        <w:t xml:space="preserve"> </w:t>
      </w:r>
      <w:r w:rsidR="00A96A5F" w:rsidRPr="007039FF">
        <w:rPr>
          <w:rFonts w:cs="Times New Roman"/>
          <w:lang w:val="en"/>
        </w:rPr>
        <w:t xml:space="preserve">permanent treatment discontinuation </w:t>
      </w:r>
      <w:r w:rsidR="00A96A5F">
        <w:rPr>
          <w:rFonts w:cs="Times New Roman"/>
          <w:lang w:val="en"/>
        </w:rPr>
        <w:t>(see Section 4.2 Dose and Method of Administration</w:t>
      </w:r>
      <w:r w:rsidR="00E00BBC">
        <w:rPr>
          <w:rFonts w:cs="Times New Roman"/>
          <w:lang w:val="en"/>
        </w:rPr>
        <w:t xml:space="preserve"> - </w:t>
      </w:r>
      <w:r w:rsidR="00B44FA4">
        <w:rPr>
          <w:rFonts w:cs="Times New Roman"/>
          <w:lang w:val="en"/>
        </w:rPr>
        <w:fldChar w:fldCharType="begin"/>
      </w:r>
      <w:r w:rsidR="00B44FA4">
        <w:rPr>
          <w:rFonts w:cs="Times New Roman"/>
          <w:lang w:val="en"/>
        </w:rPr>
        <w:instrText xml:space="preserve"> REF _Ref152234375 \h </w:instrText>
      </w:r>
      <w:r w:rsidR="00B44FA4">
        <w:rPr>
          <w:rFonts w:cs="Times New Roman"/>
          <w:lang w:val="en"/>
        </w:rPr>
      </w:r>
      <w:r w:rsidR="00B44FA4">
        <w:rPr>
          <w:rFonts w:cs="Times New Roman"/>
          <w:lang w:val="en"/>
        </w:rPr>
        <w:fldChar w:fldCharType="separate"/>
      </w:r>
      <w:r w:rsidR="00196356">
        <w:t xml:space="preserve">Table </w:t>
      </w:r>
      <w:r w:rsidR="00196356">
        <w:rPr>
          <w:noProof/>
        </w:rPr>
        <w:t>2</w:t>
      </w:r>
      <w:r w:rsidR="00B44FA4">
        <w:rPr>
          <w:rFonts w:cs="Times New Roman"/>
          <w:lang w:val="en"/>
        </w:rPr>
        <w:fldChar w:fldCharType="end"/>
      </w:r>
      <w:r w:rsidR="00E00BBC">
        <w:rPr>
          <w:rFonts w:cs="Times New Roman"/>
          <w:lang w:val="en"/>
        </w:rPr>
        <w:t xml:space="preserve"> and Section 4.8</w:t>
      </w:r>
      <w:r w:rsidR="00E00BBC" w:rsidRPr="00A55440">
        <w:rPr>
          <w:rFonts w:cs="Times New Roman"/>
          <w:lang w:val="en"/>
        </w:rPr>
        <w:t xml:space="preserve"> Adverse </w:t>
      </w:r>
      <w:r w:rsidR="00E00BBC">
        <w:rPr>
          <w:rFonts w:cs="Times New Roman"/>
          <w:lang w:val="en"/>
        </w:rPr>
        <w:t>Effects [Undesirable Effects]</w:t>
      </w:r>
      <w:r w:rsidR="00A96A5F">
        <w:rPr>
          <w:rFonts w:cs="Times New Roman"/>
          <w:lang w:val="en"/>
        </w:rPr>
        <w:t>).</w:t>
      </w:r>
    </w:p>
    <w:p w14:paraId="7B3545DD" w14:textId="77777777" w:rsidR="007039FF" w:rsidRPr="007039FF" w:rsidRDefault="007039FF" w:rsidP="007039FF">
      <w:pPr>
        <w:pStyle w:val="Heading3"/>
        <w:rPr>
          <w:rFonts w:hint="eastAsia"/>
        </w:rPr>
      </w:pPr>
      <w:r w:rsidRPr="007039FF">
        <w:t>Elevated Amylase/Lipase</w:t>
      </w:r>
    </w:p>
    <w:p w14:paraId="5F0CAA3B" w14:textId="31944579" w:rsidR="00BB4A1E" w:rsidRDefault="00BB4A1E" w:rsidP="00E80368">
      <w:r>
        <w:t>Elevations of amylase and/or lipase have been reported with INREBIC treatment.</w:t>
      </w:r>
    </w:p>
    <w:p w14:paraId="700BFC08" w14:textId="44DAEBB5" w:rsidR="00E80368" w:rsidRDefault="00E80368" w:rsidP="00E80368">
      <w:pPr>
        <w:rPr>
          <w:rFonts w:cs="Times New Roman"/>
          <w:lang w:val="en"/>
        </w:rPr>
      </w:pPr>
      <w:r w:rsidRPr="00E80368">
        <w:rPr>
          <w:rFonts w:cs="Times New Roman"/>
          <w:lang w:val="en"/>
        </w:rPr>
        <w:t>Monitor amylase and lipase at baseline, periodically during treatment, and as clinically indicated. For</w:t>
      </w:r>
      <w:r>
        <w:rPr>
          <w:rFonts w:cs="Times New Roman"/>
          <w:lang w:val="en"/>
        </w:rPr>
        <w:t xml:space="preserve"> </w:t>
      </w:r>
      <w:r w:rsidRPr="00E80368">
        <w:rPr>
          <w:rFonts w:cs="Times New Roman"/>
          <w:lang w:val="en"/>
        </w:rPr>
        <w:t xml:space="preserve">Grade 3 or higher amylase and/or lipase elevations, interrupt </w:t>
      </w:r>
      <w:r w:rsidR="00CD58CB">
        <w:rPr>
          <w:rFonts w:cs="Times New Roman"/>
          <w:lang w:val="en"/>
        </w:rPr>
        <w:t>INREBIC</w:t>
      </w:r>
      <w:r w:rsidRPr="00E80368">
        <w:rPr>
          <w:rFonts w:cs="Times New Roman"/>
          <w:lang w:val="en"/>
        </w:rPr>
        <w:t xml:space="preserve"> until resolved to Grade 1</w:t>
      </w:r>
      <w:r>
        <w:rPr>
          <w:rFonts w:cs="Times New Roman"/>
          <w:lang w:val="en"/>
        </w:rPr>
        <w:t xml:space="preserve"> </w:t>
      </w:r>
      <w:r w:rsidRPr="00E80368">
        <w:rPr>
          <w:rFonts w:cs="Times New Roman"/>
          <w:lang w:val="en"/>
        </w:rPr>
        <w:t>or less or to baseline. Restart dose at 100</w:t>
      </w:r>
      <w:r w:rsidR="00767A1C">
        <w:rPr>
          <w:rFonts w:cs="Times New Roman"/>
          <w:lang w:val="en"/>
        </w:rPr>
        <w:t> </w:t>
      </w:r>
      <w:r w:rsidRPr="00E80368">
        <w:rPr>
          <w:rFonts w:cs="Times New Roman"/>
          <w:lang w:val="en"/>
        </w:rPr>
        <w:t xml:space="preserve">mg daily below the last given dose </w:t>
      </w:r>
      <w:r w:rsidR="00CD58CB">
        <w:rPr>
          <w:rFonts w:cs="Times New Roman"/>
          <w:lang w:val="en"/>
        </w:rPr>
        <w:t>(see Section 4.2 Dose and Method of Administration</w:t>
      </w:r>
      <w:r w:rsidR="004B1725">
        <w:rPr>
          <w:rFonts w:cs="Times New Roman"/>
          <w:lang w:val="en"/>
        </w:rPr>
        <w:t xml:space="preserve"> - </w:t>
      </w:r>
      <w:r w:rsidR="00B44FA4">
        <w:rPr>
          <w:rFonts w:cs="Times New Roman"/>
          <w:lang w:val="en"/>
        </w:rPr>
        <w:fldChar w:fldCharType="begin"/>
      </w:r>
      <w:r w:rsidR="00B44FA4">
        <w:rPr>
          <w:rFonts w:cs="Times New Roman"/>
          <w:lang w:val="en"/>
        </w:rPr>
        <w:instrText xml:space="preserve"> REF _Ref152234375 \h </w:instrText>
      </w:r>
      <w:r w:rsidR="00B44FA4">
        <w:rPr>
          <w:rFonts w:cs="Times New Roman"/>
          <w:lang w:val="en"/>
        </w:rPr>
      </w:r>
      <w:r w:rsidR="00B44FA4">
        <w:rPr>
          <w:rFonts w:cs="Times New Roman"/>
          <w:lang w:val="en"/>
        </w:rPr>
        <w:fldChar w:fldCharType="separate"/>
      </w:r>
      <w:r w:rsidR="00196356">
        <w:t xml:space="preserve">Table </w:t>
      </w:r>
      <w:r w:rsidR="00196356">
        <w:rPr>
          <w:noProof/>
        </w:rPr>
        <w:t>2</w:t>
      </w:r>
      <w:r w:rsidR="00B44FA4">
        <w:rPr>
          <w:rFonts w:cs="Times New Roman"/>
          <w:lang w:val="en"/>
        </w:rPr>
        <w:fldChar w:fldCharType="end"/>
      </w:r>
      <w:r w:rsidR="004B1725">
        <w:rPr>
          <w:rFonts w:cs="Times New Roman"/>
          <w:lang w:val="en"/>
        </w:rPr>
        <w:t xml:space="preserve"> and Section 4.8</w:t>
      </w:r>
      <w:r w:rsidR="004B1725" w:rsidRPr="00A55440">
        <w:rPr>
          <w:rFonts w:cs="Times New Roman"/>
          <w:lang w:val="en"/>
        </w:rPr>
        <w:t xml:space="preserve"> Adverse </w:t>
      </w:r>
      <w:r w:rsidR="004B1725">
        <w:rPr>
          <w:rFonts w:cs="Times New Roman"/>
          <w:lang w:val="en"/>
        </w:rPr>
        <w:t>Effects [Undesirable Effects]</w:t>
      </w:r>
      <w:r w:rsidR="00CD58CB">
        <w:rPr>
          <w:rFonts w:cs="Times New Roman"/>
          <w:lang w:val="en"/>
        </w:rPr>
        <w:t>).</w:t>
      </w:r>
    </w:p>
    <w:p w14:paraId="4209CD57" w14:textId="77777777" w:rsidR="007F6E86" w:rsidRPr="00D16598" w:rsidRDefault="007F6E86" w:rsidP="007F6E86">
      <w:pPr>
        <w:pStyle w:val="Heading3"/>
        <w:rPr>
          <w:rFonts w:hint="eastAsia"/>
        </w:rPr>
      </w:pPr>
      <w:r w:rsidRPr="00D16598">
        <w:t>Uveitis</w:t>
      </w:r>
    </w:p>
    <w:p w14:paraId="0D175721" w14:textId="7FA32AE4" w:rsidR="007F6E86" w:rsidRPr="00D16598" w:rsidRDefault="005A796C" w:rsidP="007F6E86">
      <w:pPr>
        <w:rPr>
          <w:rFonts w:cs="Times New Roman"/>
          <w:lang w:val="en-US"/>
        </w:rPr>
      </w:pPr>
      <w:r w:rsidRPr="00D16598">
        <w:rPr>
          <w:rFonts w:cs="Times New Roman"/>
          <w:lang w:val="en"/>
        </w:rPr>
        <w:t>Uveitis has been observed in post-</w:t>
      </w:r>
      <w:r>
        <w:rPr>
          <w:rFonts w:cs="Times New Roman"/>
          <w:lang w:val="en"/>
        </w:rPr>
        <w:t>marketing</w:t>
      </w:r>
      <w:r w:rsidRPr="00D16598">
        <w:rPr>
          <w:rFonts w:cs="Times New Roman"/>
          <w:lang w:val="en"/>
        </w:rPr>
        <w:t xml:space="preserve"> clinical trials</w:t>
      </w:r>
      <w:r>
        <w:rPr>
          <w:rFonts w:cs="Times New Roman"/>
          <w:lang w:val="en"/>
        </w:rPr>
        <w:t xml:space="preserve"> (</w:t>
      </w:r>
      <w:r w:rsidR="00846D97">
        <w:t>FREEDOM1</w:t>
      </w:r>
      <w:r w:rsidR="003C3D79">
        <w:t xml:space="preserve">, </w:t>
      </w:r>
      <w:r w:rsidR="00846D97">
        <w:t>FREEDOM2</w:t>
      </w:r>
      <w:r>
        <w:t xml:space="preserve"> and </w:t>
      </w:r>
      <w:r w:rsidR="00846D97">
        <w:t>FREEDOM3</w:t>
      </w:r>
      <w:r>
        <w:t>)</w:t>
      </w:r>
      <w:r w:rsidR="007F6E86" w:rsidRPr="240E3510">
        <w:rPr>
          <w:rFonts w:cs="Times New Roman"/>
          <w:lang w:val="en-US"/>
        </w:rPr>
        <w:t xml:space="preserve"> (see Section 4.8 Adverse Effects [Undesirable Effects]). </w:t>
      </w:r>
    </w:p>
    <w:p w14:paraId="3EE88084" w14:textId="6E3ED761" w:rsidR="007F6E86" w:rsidRPr="00E80368" w:rsidRDefault="007F6E86" w:rsidP="00E80368">
      <w:pPr>
        <w:rPr>
          <w:rFonts w:cs="Times New Roman"/>
          <w:lang w:val="en-US"/>
        </w:rPr>
      </w:pPr>
      <w:r w:rsidRPr="240E3510">
        <w:rPr>
          <w:rFonts w:cs="Times New Roman"/>
          <w:lang w:val="en-US"/>
        </w:rPr>
        <w:t xml:space="preserve">Advise patients on the risks of developing uveitis before starting </w:t>
      </w:r>
      <w:proofErr w:type="spellStart"/>
      <w:r w:rsidRPr="240E3510">
        <w:rPr>
          <w:rFonts w:cs="Times New Roman"/>
          <w:lang w:val="en-US"/>
        </w:rPr>
        <w:t>fedratinib</w:t>
      </w:r>
      <w:proofErr w:type="spellEnd"/>
      <w:r w:rsidRPr="240E3510">
        <w:rPr>
          <w:rFonts w:cs="Times New Roman"/>
          <w:lang w:val="en-US"/>
        </w:rPr>
        <w:t xml:space="preserve"> therapy. Certain ethnic groups (such as Asians) may be at higher risk of developing uveitis. Common uveitis symptoms include eye pain, redness, photophobia, floaters, and decreased vision. In case of symptoms, prompt ophthalmologic evaluation is recommended.</w:t>
      </w:r>
    </w:p>
    <w:p w14:paraId="16D0BDEA" w14:textId="77777777" w:rsidR="00E80368" w:rsidRPr="00E80368" w:rsidRDefault="00E80368" w:rsidP="00E80368">
      <w:pPr>
        <w:pStyle w:val="Heading3"/>
        <w:rPr>
          <w:rFonts w:hint="eastAsia"/>
        </w:rPr>
      </w:pPr>
      <w:r w:rsidRPr="00E80368">
        <w:t>Major Adverse Cardiac Events (MACE)</w:t>
      </w:r>
    </w:p>
    <w:p w14:paraId="6B243DCB" w14:textId="255D1B58" w:rsidR="00E80368" w:rsidRPr="00E80368" w:rsidRDefault="00E80368" w:rsidP="00E80368">
      <w:pPr>
        <w:rPr>
          <w:rFonts w:cs="Times New Roman"/>
          <w:lang w:val="en-US"/>
        </w:rPr>
      </w:pPr>
      <w:r w:rsidRPr="57AD90B9">
        <w:rPr>
          <w:rFonts w:cs="Times New Roman"/>
          <w:lang w:val="en-US"/>
        </w:rPr>
        <w:t>Another Janus Kinase (JAK)-inhibitor has increased risk of MACE, including cardiovascular death, myocardial infarction, and stroke (compared to those treated with TNF blockers) in patients with rheumatoid arthritis, a condition for which</w:t>
      </w:r>
      <w:r w:rsidR="00566C26" w:rsidRPr="57AD90B9">
        <w:rPr>
          <w:rFonts w:cs="Times New Roman"/>
          <w:lang w:val="en-US"/>
        </w:rPr>
        <w:t xml:space="preserve"> INREBIC </w:t>
      </w:r>
      <w:r w:rsidRPr="57AD90B9">
        <w:rPr>
          <w:rFonts w:cs="Times New Roman"/>
          <w:lang w:val="en-US"/>
        </w:rPr>
        <w:t>is not indicated.</w:t>
      </w:r>
    </w:p>
    <w:p w14:paraId="78237016" w14:textId="3310C4DD" w:rsidR="00E80368" w:rsidRPr="00E80368" w:rsidRDefault="00E80368" w:rsidP="00E80368">
      <w:pPr>
        <w:rPr>
          <w:rFonts w:cs="Times New Roman"/>
          <w:lang w:val="en"/>
        </w:rPr>
      </w:pPr>
      <w:r w:rsidRPr="00E80368">
        <w:rPr>
          <w:rFonts w:cs="Times New Roman"/>
          <w:lang w:val="en"/>
        </w:rPr>
        <w:t>Consider the benefits and risks for the individual patient prior to initiating or continuing therapy with</w:t>
      </w:r>
      <w:r>
        <w:rPr>
          <w:rFonts w:cs="Times New Roman"/>
          <w:lang w:val="en"/>
        </w:rPr>
        <w:t xml:space="preserve"> </w:t>
      </w:r>
      <w:r w:rsidR="00566C26">
        <w:rPr>
          <w:rFonts w:cs="Times New Roman"/>
          <w:lang w:val="en"/>
        </w:rPr>
        <w:t>INREBIC</w:t>
      </w:r>
      <w:r w:rsidRPr="00E80368">
        <w:rPr>
          <w:rFonts w:cs="Times New Roman"/>
          <w:lang w:val="en"/>
        </w:rPr>
        <w:t>, particularly in patients who are current or past smokers and patients with other</w:t>
      </w:r>
      <w:r>
        <w:rPr>
          <w:rFonts w:cs="Times New Roman"/>
          <w:lang w:val="en"/>
        </w:rPr>
        <w:t xml:space="preserve"> </w:t>
      </w:r>
      <w:r w:rsidRPr="00E80368">
        <w:rPr>
          <w:rFonts w:cs="Times New Roman"/>
          <w:lang w:val="en"/>
        </w:rPr>
        <w:t>cardiovascular risk factors. Patients should be informed about the symptoms of serious cardiovascular</w:t>
      </w:r>
      <w:r>
        <w:rPr>
          <w:rFonts w:cs="Times New Roman"/>
          <w:lang w:val="en"/>
        </w:rPr>
        <w:t xml:space="preserve"> </w:t>
      </w:r>
      <w:r w:rsidRPr="00E80368">
        <w:rPr>
          <w:rFonts w:cs="Times New Roman"/>
          <w:lang w:val="en"/>
        </w:rPr>
        <w:t>events and the steps to take if they occur.</w:t>
      </w:r>
    </w:p>
    <w:p w14:paraId="028FE532" w14:textId="77777777" w:rsidR="00E80368" w:rsidRPr="00E80368" w:rsidRDefault="00E80368" w:rsidP="00E80368">
      <w:pPr>
        <w:pStyle w:val="Heading3"/>
        <w:rPr>
          <w:rFonts w:hint="eastAsia"/>
        </w:rPr>
      </w:pPr>
      <w:r w:rsidRPr="00E80368">
        <w:lastRenderedPageBreak/>
        <w:t>Thrombosis</w:t>
      </w:r>
    </w:p>
    <w:p w14:paraId="5B0600BD" w14:textId="790D94F7" w:rsidR="00E80368" w:rsidRDefault="00E80368" w:rsidP="00E80368">
      <w:pPr>
        <w:rPr>
          <w:rFonts w:cs="Times New Roman"/>
          <w:lang w:val="en-US"/>
        </w:rPr>
      </w:pPr>
      <w:r w:rsidRPr="57AD90B9">
        <w:rPr>
          <w:rFonts w:cs="Times New Roman"/>
          <w:lang w:val="en-US"/>
        </w:rPr>
        <w:t xml:space="preserve">Another JAK-inhibitor has increased the risk of thrombosis, including deep venous thrombosis, pulmonary embolism, and arterial thrombosis (compared to those treated with TNF blockers) in patients with rheumatoid arthritis, a condition for which </w:t>
      </w:r>
      <w:r w:rsidR="00BC6551" w:rsidRPr="57AD90B9">
        <w:rPr>
          <w:rFonts w:cs="Times New Roman"/>
          <w:lang w:val="en-US"/>
        </w:rPr>
        <w:t>INREBIC</w:t>
      </w:r>
      <w:r w:rsidRPr="57AD90B9">
        <w:rPr>
          <w:rFonts w:cs="Times New Roman"/>
          <w:lang w:val="en-US"/>
        </w:rPr>
        <w:t xml:space="preserve"> is not indicated. In patients with MF treated with </w:t>
      </w:r>
      <w:r w:rsidR="00BC6551" w:rsidRPr="57AD90B9">
        <w:rPr>
          <w:rFonts w:cs="Times New Roman"/>
          <w:lang w:val="en-US"/>
        </w:rPr>
        <w:t>INREBIC</w:t>
      </w:r>
      <w:r w:rsidRPr="57AD90B9">
        <w:rPr>
          <w:rFonts w:cs="Times New Roman"/>
          <w:lang w:val="en-US"/>
        </w:rPr>
        <w:t xml:space="preserve"> in clinical trials, the rates of thromboembolic events were similar in </w:t>
      </w:r>
      <w:r w:rsidR="00BC6551" w:rsidRPr="57AD90B9">
        <w:rPr>
          <w:rFonts w:cs="Times New Roman"/>
          <w:lang w:val="en-US"/>
        </w:rPr>
        <w:t xml:space="preserve">INREBIC </w:t>
      </w:r>
      <w:r w:rsidRPr="57AD90B9">
        <w:rPr>
          <w:rFonts w:cs="Times New Roman"/>
          <w:lang w:val="en-US"/>
        </w:rPr>
        <w:t>and placebo</w:t>
      </w:r>
      <w:r w:rsidR="00BC6551" w:rsidRPr="57AD90B9">
        <w:rPr>
          <w:rFonts w:cs="Times New Roman"/>
          <w:lang w:val="en-US"/>
        </w:rPr>
        <w:t>-</w:t>
      </w:r>
      <w:r w:rsidRPr="57AD90B9">
        <w:rPr>
          <w:rFonts w:cs="Times New Roman"/>
          <w:lang w:val="en-US"/>
        </w:rPr>
        <w:t>treated patients.</w:t>
      </w:r>
    </w:p>
    <w:p w14:paraId="6DE1BBFA" w14:textId="77777777" w:rsidR="005B3E71" w:rsidRPr="005B3E71" w:rsidRDefault="005B3E71" w:rsidP="005B3E71">
      <w:pPr>
        <w:rPr>
          <w:rFonts w:cs="Times New Roman"/>
          <w:lang w:val="en"/>
        </w:rPr>
      </w:pPr>
      <w:r w:rsidRPr="005B3E71">
        <w:rPr>
          <w:rFonts w:cs="Times New Roman"/>
          <w:lang w:val="en"/>
        </w:rPr>
        <w:t>Patients with symptoms of thrombosis should be promptly evaluated and treated appropriately.</w:t>
      </w:r>
    </w:p>
    <w:p w14:paraId="07F55B89" w14:textId="77777777" w:rsidR="005B3E71" w:rsidRPr="005B3E71" w:rsidRDefault="005B3E71" w:rsidP="005B3E71">
      <w:pPr>
        <w:pStyle w:val="Heading3"/>
        <w:rPr>
          <w:rFonts w:hint="eastAsia"/>
        </w:rPr>
      </w:pPr>
      <w:r w:rsidRPr="005B3E71">
        <w:t>Secondary Malignancies</w:t>
      </w:r>
    </w:p>
    <w:p w14:paraId="12D54BE2" w14:textId="19DFAD41" w:rsidR="005B3E71" w:rsidRPr="005B3E71" w:rsidRDefault="005B3E71" w:rsidP="005B3E71">
      <w:pPr>
        <w:rPr>
          <w:rFonts w:cs="Times New Roman"/>
          <w:lang w:val="en-US"/>
        </w:rPr>
      </w:pPr>
      <w:r w:rsidRPr="57AD90B9">
        <w:rPr>
          <w:rFonts w:cs="Times New Roman"/>
          <w:lang w:val="en-US"/>
        </w:rPr>
        <w:t xml:space="preserve">Another JAK-inhibitor has increased the risk of lymphoma and other malignancies excluding non-melanoma skin cancer (NMSC) (compared to those treated with TNF blockers) in patients with rheumatoid arthritis, a condition for which </w:t>
      </w:r>
      <w:r w:rsidR="00BC6551" w:rsidRPr="57AD90B9">
        <w:rPr>
          <w:rFonts w:cs="Times New Roman"/>
          <w:lang w:val="en-US"/>
        </w:rPr>
        <w:t>INREBIC</w:t>
      </w:r>
      <w:r w:rsidRPr="57AD90B9">
        <w:rPr>
          <w:rFonts w:cs="Times New Roman"/>
          <w:lang w:val="en-US"/>
        </w:rPr>
        <w:t xml:space="preserve"> is not indicated. Patients who are current or past smokers are at additional increased risk.</w:t>
      </w:r>
    </w:p>
    <w:p w14:paraId="7464584E" w14:textId="445C9E38" w:rsidR="005B3E71" w:rsidRDefault="005B3E71" w:rsidP="005B3E71">
      <w:pPr>
        <w:rPr>
          <w:rFonts w:cs="Times New Roman"/>
          <w:lang w:val="en"/>
        </w:rPr>
      </w:pPr>
      <w:r w:rsidRPr="005B3E71">
        <w:rPr>
          <w:rFonts w:cs="Times New Roman"/>
          <w:lang w:val="en"/>
        </w:rPr>
        <w:t>Consider the benefits and risks for the individual patient prior to initiating or continuing therapy with</w:t>
      </w:r>
      <w:r>
        <w:rPr>
          <w:rFonts w:cs="Times New Roman"/>
          <w:lang w:val="en"/>
        </w:rPr>
        <w:t xml:space="preserve"> </w:t>
      </w:r>
      <w:r w:rsidR="00E32BDD">
        <w:rPr>
          <w:rFonts w:cs="Times New Roman"/>
          <w:lang w:val="en"/>
        </w:rPr>
        <w:t>INREBIC</w:t>
      </w:r>
      <w:r w:rsidRPr="005B3E71">
        <w:rPr>
          <w:rFonts w:cs="Times New Roman"/>
          <w:lang w:val="en"/>
        </w:rPr>
        <w:t>, particularly in patients with a known malignancy (other than a successfully treated</w:t>
      </w:r>
      <w:r>
        <w:rPr>
          <w:rFonts w:cs="Times New Roman"/>
          <w:lang w:val="en"/>
        </w:rPr>
        <w:t xml:space="preserve"> </w:t>
      </w:r>
      <w:r w:rsidRPr="005B3E71">
        <w:rPr>
          <w:rFonts w:cs="Times New Roman"/>
          <w:lang w:val="en"/>
        </w:rPr>
        <w:t>NMSC), patients who develop a malignancy, and patients who are current or past smokers.</w:t>
      </w:r>
    </w:p>
    <w:p w14:paraId="4310AE1E" w14:textId="375E939D" w:rsidR="001A3992" w:rsidRDefault="001A3992" w:rsidP="001A5A2A">
      <w:pPr>
        <w:pStyle w:val="Heading3"/>
        <w:rPr>
          <w:rFonts w:hint="eastAsia"/>
        </w:rPr>
      </w:pPr>
      <w:r w:rsidRPr="000A4651">
        <w:t>Use in the elderly</w:t>
      </w:r>
    </w:p>
    <w:p w14:paraId="4251D13E" w14:textId="2C7C5FCD" w:rsidR="00F677B7" w:rsidRPr="0099475A" w:rsidRDefault="00960567" w:rsidP="00F677B7">
      <w:pPr>
        <w:rPr>
          <w:rFonts w:cs="Times New Roman"/>
          <w:lang w:val="en-US"/>
        </w:rPr>
      </w:pPr>
      <w:r w:rsidRPr="57AD90B9">
        <w:rPr>
          <w:rFonts w:cs="Times New Roman"/>
          <w:lang w:val="en-US"/>
        </w:rPr>
        <w:t xml:space="preserve">Of patients with myelofibrosis who received </w:t>
      </w:r>
      <w:proofErr w:type="gramStart"/>
      <w:r w:rsidRPr="57AD90B9">
        <w:rPr>
          <w:rFonts w:cs="Times New Roman"/>
          <w:lang w:val="en-US"/>
        </w:rPr>
        <w:t>a INREBIC</w:t>
      </w:r>
      <w:proofErr w:type="gramEnd"/>
      <w:r w:rsidRPr="57AD90B9">
        <w:rPr>
          <w:rFonts w:cs="Times New Roman"/>
          <w:lang w:val="en-US"/>
        </w:rPr>
        <w:t xml:space="preserve"> dose of 400</w:t>
      </w:r>
      <w:r w:rsidR="00767A1C">
        <w:rPr>
          <w:rFonts w:cs="Times New Roman"/>
          <w:lang w:val="en-US"/>
        </w:rPr>
        <w:t> </w:t>
      </w:r>
      <w:r w:rsidRPr="57AD90B9">
        <w:rPr>
          <w:rFonts w:cs="Times New Roman"/>
          <w:lang w:val="en-US"/>
        </w:rPr>
        <w:t xml:space="preserve">mg in </w:t>
      </w:r>
      <w:proofErr w:type="gramStart"/>
      <w:r w:rsidRPr="57AD90B9">
        <w:rPr>
          <w:rFonts w:cs="Times New Roman"/>
          <w:lang w:val="en-US"/>
        </w:rPr>
        <w:t>the clinical</w:t>
      </w:r>
      <w:proofErr w:type="gramEnd"/>
      <w:r w:rsidRPr="57AD90B9">
        <w:rPr>
          <w:rFonts w:cs="Times New Roman"/>
          <w:lang w:val="en-US"/>
        </w:rPr>
        <w:t xml:space="preserve"> studies, 47.3% were greater than 65</w:t>
      </w:r>
      <w:r w:rsidR="00767A1C">
        <w:rPr>
          <w:rFonts w:cs="Times New Roman"/>
          <w:lang w:val="en-US"/>
        </w:rPr>
        <w:t> </w:t>
      </w:r>
      <w:r w:rsidRPr="57AD90B9">
        <w:rPr>
          <w:rFonts w:cs="Times New Roman"/>
          <w:lang w:val="en-US"/>
        </w:rPr>
        <w:t>years of age and 12.3% were greater than 75</w:t>
      </w:r>
      <w:r w:rsidR="00767A1C">
        <w:rPr>
          <w:rFonts w:cs="Times New Roman"/>
          <w:lang w:val="en-US"/>
        </w:rPr>
        <w:t> </w:t>
      </w:r>
      <w:r w:rsidRPr="57AD90B9">
        <w:rPr>
          <w:rFonts w:cs="Times New Roman"/>
          <w:lang w:val="en-US"/>
        </w:rPr>
        <w:t xml:space="preserve">years of age. No overall differences in safety or effectiveness of INREBIC were observed between these patients and patients </w:t>
      </w:r>
      <w:r w:rsidR="00983CFA" w:rsidRPr="57AD90B9">
        <w:rPr>
          <w:rFonts w:cs="Times New Roman"/>
          <w:lang w:val="en-US"/>
        </w:rPr>
        <w:t>≤</w:t>
      </w:r>
      <w:r w:rsidRPr="57AD90B9">
        <w:rPr>
          <w:rFonts w:cs="Times New Roman"/>
          <w:lang w:val="en-US"/>
        </w:rPr>
        <w:t>65</w:t>
      </w:r>
      <w:r w:rsidR="00767A1C">
        <w:rPr>
          <w:rFonts w:cs="Times New Roman"/>
          <w:lang w:val="en-US"/>
        </w:rPr>
        <w:t> </w:t>
      </w:r>
      <w:r w:rsidRPr="57AD90B9">
        <w:rPr>
          <w:rFonts w:cs="Times New Roman"/>
          <w:lang w:val="en-US"/>
        </w:rPr>
        <w:t xml:space="preserve">years of age and </w:t>
      </w:r>
      <w:r w:rsidR="00983CFA" w:rsidRPr="57AD90B9">
        <w:rPr>
          <w:rFonts w:cs="Times New Roman"/>
          <w:lang w:val="en-US"/>
        </w:rPr>
        <w:t>≤</w:t>
      </w:r>
      <w:r w:rsidRPr="57AD90B9">
        <w:rPr>
          <w:rFonts w:cs="Times New Roman"/>
          <w:lang w:val="en-US"/>
        </w:rPr>
        <w:t>75</w:t>
      </w:r>
      <w:r w:rsidR="00767A1C">
        <w:rPr>
          <w:rFonts w:cs="Times New Roman"/>
          <w:lang w:val="en-US"/>
        </w:rPr>
        <w:t> </w:t>
      </w:r>
      <w:r w:rsidRPr="57AD90B9">
        <w:rPr>
          <w:rFonts w:cs="Times New Roman"/>
          <w:lang w:val="en-US"/>
        </w:rPr>
        <w:t>years of age.</w:t>
      </w:r>
    </w:p>
    <w:p w14:paraId="71F49AE0" w14:textId="5C287991" w:rsidR="001A3992" w:rsidRDefault="001A3992" w:rsidP="001A5A2A">
      <w:pPr>
        <w:pStyle w:val="Heading3"/>
        <w:rPr>
          <w:rFonts w:hint="eastAsia"/>
        </w:rPr>
      </w:pPr>
      <w:r w:rsidRPr="000A4651">
        <w:t>Paediatric use</w:t>
      </w:r>
    </w:p>
    <w:p w14:paraId="72022264" w14:textId="3A74002F" w:rsidR="0029604C" w:rsidRPr="007C0AA3" w:rsidRDefault="0029604C" w:rsidP="0029604C">
      <w:pPr>
        <w:rPr>
          <w:rFonts w:cs="Times New Roman"/>
          <w:lang w:val="en-US"/>
        </w:rPr>
      </w:pPr>
      <w:r w:rsidRPr="57AD90B9">
        <w:rPr>
          <w:rFonts w:cs="Times New Roman"/>
          <w:lang w:val="en-US"/>
        </w:rPr>
        <w:t xml:space="preserve">The safety and efficacy of INREBIC in </w:t>
      </w:r>
      <w:proofErr w:type="spellStart"/>
      <w:r w:rsidRPr="57AD90B9">
        <w:rPr>
          <w:rFonts w:cs="Times New Roman"/>
          <w:lang w:val="en-US"/>
        </w:rPr>
        <w:t>paediatric</w:t>
      </w:r>
      <w:proofErr w:type="spellEnd"/>
      <w:r w:rsidRPr="57AD90B9">
        <w:rPr>
          <w:rFonts w:cs="Times New Roman"/>
          <w:lang w:val="en-US"/>
        </w:rPr>
        <w:t xml:space="preserve"> patients less than 18</w:t>
      </w:r>
      <w:r w:rsidR="00767A1C">
        <w:rPr>
          <w:rFonts w:cs="Times New Roman"/>
          <w:lang w:val="en-US"/>
        </w:rPr>
        <w:t> </w:t>
      </w:r>
      <w:r w:rsidRPr="57AD90B9">
        <w:rPr>
          <w:rFonts w:cs="Times New Roman"/>
          <w:lang w:val="en-US"/>
        </w:rPr>
        <w:t>years of age have not been established.</w:t>
      </w:r>
    </w:p>
    <w:p w14:paraId="4FE66561" w14:textId="3A3FA0EE" w:rsidR="001A3992" w:rsidRDefault="001A3992" w:rsidP="001A5A2A">
      <w:pPr>
        <w:pStyle w:val="Heading3"/>
        <w:rPr>
          <w:rFonts w:hint="eastAsia"/>
        </w:rPr>
      </w:pPr>
      <w:r w:rsidRPr="000A4651">
        <w:t>Effects on laboratory tests</w:t>
      </w:r>
    </w:p>
    <w:p w14:paraId="5B30F952" w14:textId="2CF9FE79" w:rsidR="00F677B7" w:rsidRPr="0029604C" w:rsidRDefault="0029604C" w:rsidP="00F677B7">
      <w:r w:rsidRPr="0029604C">
        <w:t>No data available.</w:t>
      </w:r>
    </w:p>
    <w:p w14:paraId="37896E24" w14:textId="77777777" w:rsidR="001A3992" w:rsidRPr="000A4651" w:rsidRDefault="001A3992" w:rsidP="002C18CF">
      <w:pPr>
        <w:pStyle w:val="Heading2"/>
      </w:pPr>
      <w:r w:rsidRPr="000A4651">
        <w:t>Interactions with other medicines and other forms of interactions</w:t>
      </w:r>
    </w:p>
    <w:p w14:paraId="47AA9529" w14:textId="6BD2B49A" w:rsidR="000770CE" w:rsidRPr="00504C57" w:rsidRDefault="000770CE" w:rsidP="00504C57">
      <w:pPr>
        <w:pStyle w:val="Heading3"/>
        <w:rPr>
          <w:rFonts w:hint="eastAsia"/>
        </w:rPr>
      </w:pPr>
      <w:r w:rsidRPr="00504C57">
        <w:t xml:space="preserve">Effect of </w:t>
      </w:r>
      <w:r w:rsidR="00485049">
        <w:t>other medicinal products</w:t>
      </w:r>
      <w:r w:rsidRPr="00504C57">
        <w:t xml:space="preserve"> on </w:t>
      </w:r>
      <w:proofErr w:type="spellStart"/>
      <w:r w:rsidR="00485049">
        <w:t>fedratinib</w:t>
      </w:r>
      <w:proofErr w:type="spellEnd"/>
    </w:p>
    <w:p w14:paraId="59C13626" w14:textId="475DC10F" w:rsidR="00A13B12" w:rsidRPr="00211F08" w:rsidRDefault="00D81203" w:rsidP="00504C57">
      <w:pPr>
        <w:rPr>
          <w:rFonts w:cs="Times New Roman"/>
          <w:u w:val="single"/>
          <w:lang w:val="en"/>
        </w:rPr>
      </w:pPr>
      <w:r w:rsidRPr="00211F08">
        <w:rPr>
          <w:rFonts w:cs="Times New Roman"/>
          <w:u w:val="single"/>
          <w:lang w:val="en"/>
        </w:rPr>
        <w:t>Strong and Moderate CYP3A4 Inhibitors</w:t>
      </w:r>
      <w:r w:rsidR="00DD32F0" w:rsidRPr="00211F08">
        <w:rPr>
          <w:rFonts w:cs="Times New Roman"/>
          <w:u w:val="single"/>
          <w:lang w:val="en"/>
        </w:rPr>
        <w:t xml:space="preserve"> </w:t>
      </w:r>
    </w:p>
    <w:p w14:paraId="04F4952D" w14:textId="50B5F079" w:rsidR="00D81203" w:rsidRPr="00504C57" w:rsidRDefault="00D81203" w:rsidP="00504C57">
      <w:pPr>
        <w:rPr>
          <w:rFonts w:cs="Times New Roman"/>
          <w:lang w:val="en-US"/>
        </w:rPr>
      </w:pPr>
      <w:r w:rsidRPr="57AD90B9">
        <w:rPr>
          <w:rFonts w:cs="Times New Roman"/>
          <w:lang w:val="en-US"/>
        </w:rPr>
        <w:t xml:space="preserve">Concomitant administration of </w:t>
      </w:r>
      <w:r w:rsidR="009E598D" w:rsidRPr="57AD90B9">
        <w:rPr>
          <w:rFonts w:cs="Times New Roman"/>
          <w:lang w:val="en-US"/>
        </w:rPr>
        <w:t>INREBIC</w:t>
      </w:r>
      <w:r w:rsidRPr="57AD90B9">
        <w:rPr>
          <w:rFonts w:cs="Times New Roman"/>
          <w:lang w:val="en-US"/>
        </w:rPr>
        <w:t xml:space="preserve"> with a strong CYP3A4 inhibitor increases </w:t>
      </w:r>
      <w:proofErr w:type="spellStart"/>
      <w:r w:rsidRPr="57AD90B9">
        <w:rPr>
          <w:rFonts w:cs="Times New Roman"/>
          <w:lang w:val="en-US"/>
        </w:rPr>
        <w:t>fedratinib</w:t>
      </w:r>
      <w:proofErr w:type="spellEnd"/>
      <w:r w:rsidR="00DD32F0" w:rsidRPr="57AD90B9">
        <w:rPr>
          <w:rFonts w:cs="Times New Roman"/>
          <w:lang w:val="en-US"/>
        </w:rPr>
        <w:t xml:space="preserve"> </w:t>
      </w:r>
      <w:r w:rsidRPr="57AD90B9">
        <w:rPr>
          <w:rFonts w:cs="Times New Roman"/>
          <w:lang w:val="en-US"/>
        </w:rPr>
        <w:t xml:space="preserve">exposure. Increased exposure of </w:t>
      </w:r>
      <w:proofErr w:type="spellStart"/>
      <w:r w:rsidRPr="57AD90B9">
        <w:rPr>
          <w:rFonts w:cs="Times New Roman"/>
          <w:lang w:val="en-US"/>
        </w:rPr>
        <w:t>fedratinib</w:t>
      </w:r>
      <w:proofErr w:type="spellEnd"/>
      <w:r w:rsidRPr="57AD90B9">
        <w:rPr>
          <w:rFonts w:cs="Times New Roman"/>
          <w:lang w:val="en-US"/>
        </w:rPr>
        <w:t xml:space="preserve"> may increase the risk of adverse reactions. In place of strong</w:t>
      </w:r>
      <w:r w:rsidR="00DD32F0" w:rsidRPr="57AD90B9">
        <w:rPr>
          <w:rFonts w:cs="Times New Roman"/>
          <w:lang w:val="en-US"/>
        </w:rPr>
        <w:t xml:space="preserve"> </w:t>
      </w:r>
      <w:r w:rsidRPr="57AD90B9">
        <w:rPr>
          <w:rFonts w:cs="Times New Roman"/>
          <w:lang w:val="en-US"/>
        </w:rPr>
        <w:t>CYP3A4 inhibitors, consider alternative therapies that do not strongly inhibit CYP3A4 activity. If</w:t>
      </w:r>
      <w:r w:rsidR="00DD32F0" w:rsidRPr="57AD90B9">
        <w:rPr>
          <w:rFonts w:cs="Times New Roman"/>
          <w:lang w:val="en-US"/>
        </w:rPr>
        <w:t xml:space="preserve"> </w:t>
      </w:r>
      <w:r w:rsidRPr="57AD90B9">
        <w:rPr>
          <w:rFonts w:cs="Times New Roman"/>
          <w:lang w:val="en-US"/>
        </w:rPr>
        <w:t xml:space="preserve">strong CYP3A4 inhibitors cannot be replaced, reduce the dose of </w:t>
      </w:r>
      <w:r w:rsidR="009E598D" w:rsidRPr="57AD90B9">
        <w:rPr>
          <w:rFonts w:cs="Times New Roman"/>
          <w:lang w:val="en-US"/>
        </w:rPr>
        <w:t>INREBIC</w:t>
      </w:r>
      <w:r w:rsidRPr="57AD90B9">
        <w:rPr>
          <w:rFonts w:cs="Times New Roman"/>
          <w:lang w:val="en-US"/>
        </w:rPr>
        <w:t xml:space="preserve"> when administering</w:t>
      </w:r>
      <w:r w:rsidR="00DD32F0" w:rsidRPr="57AD90B9">
        <w:rPr>
          <w:rFonts w:cs="Times New Roman"/>
          <w:lang w:val="en-US"/>
        </w:rPr>
        <w:t xml:space="preserve"> </w:t>
      </w:r>
      <w:r w:rsidRPr="57AD90B9">
        <w:rPr>
          <w:rFonts w:cs="Times New Roman"/>
          <w:lang w:val="en-US"/>
        </w:rPr>
        <w:t xml:space="preserve">with strong (CYP3A4 inhibitors </w:t>
      </w:r>
      <w:r w:rsidR="00DE3EC2" w:rsidRPr="57AD90B9">
        <w:rPr>
          <w:rFonts w:cs="Times New Roman"/>
          <w:lang w:val="en-US"/>
        </w:rPr>
        <w:t>[</w:t>
      </w:r>
      <w:r w:rsidRPr="57AD90B9">
        <w:rPr>
          <w:rFonts w:cs="Times New Roman"/>
          <w:lang w:val="en-US"/>
        </w:rPr>
        <w:t>e.g., ketoconazole, ritonavir</w:t>
      </w:r>
      <w:r w:rsidR="00DE3EC2" w:rsidRPr="57AD90B9">
        <w:rPr>
          <w:rFonts w:cs="Times New Roman"/>
          <w:lang w:val="en-US"/>
        </w:rPr>
        <w:t xml:space="preserve">], </w:t>
      </w:r>
      <w:r w:rsidR="00BA24A1" w:rsidRPr="57AD90B9">
        <w:rPr>
          <w:rFonts w:cs="Times New Roman"/>
          <w:lang w:val="en-US"/>
        </w:rPr>
        <w:t>see Section 4.2 Dose and Method of Administration).</w:t>
      </w:r>
    </w:p>
    <w:p w14:paraId="0DCF83E8" w14:textId="4A34DE1B" w:rsidR="00D81203" w:rsidRPr="00504C57" w:rsidRDefault="00D81203" w:rsidP="00504C57">
      <w:pPr>
        <w:rPr>
          <w:rFonts w:cs="Times New Roman"/>
          <w:lang w:val="en-US"/>
        </w:rPr>
      </w:pPr>
      <w:r w:rsidRPr="57AD90B9">
        <w:rPr>
          <w:rFonts w:cs="Times New Roman"/>
          <w:lang w:val="en-US"/>
        </w:rPr>
        <w:t>Co</w:t>
      </w:r>
      <w:r w:rsidR="00322B99" w:rsidRPr="57AD90B9">
        <w:rPr>
          <w:rFonts w:cs="Times New Roman"/>
          <w:lang w:val="en-US"/>
        </w:rPr>
        <w:t>-</w:t>
      </w:r>
      <w:r w:rsidRPr="57AD90B9">
        <w:rPr>
          <w:rFonts w:cs="Times New Roman"/>
          <w:lang w:val="en-US"/>
        </w:rPr>
        <w:t>administration of ketoconazole (strong CYP3A4 inhibitor: 200</w:t>
      </w:r>
      <w:r w:rsidR="00767A1C">
        <w:rPr>
          <w:rFonts w:cs="Times New Roman"/>
          <w:lang w:val="en-US"/>
        </w:rPr>
        <w:t> </w:t>
      </w:r>
      <w:r w:rsidRPr="57AD90B9">
        <w:rPr>
          <w:rFonts w:cs="Times New Roman"/>
          <w:lang w:val="en-US"/>
        </w:rPr>
        <w:t>mg twice daily) with a single dose of</w:t>
      </w:r>
      <w:r w:rsidR="00DD32F0" w:rsidRPr="57AD90B9">
        <w:rPr>
          <w:rFonts w:cs="Times New Roman"/>
          <w:lang w:val="en-US"/>
        </w:rPr>
        <w:t xml:space="preserve"> </w:t>
      </w:r>
      <w:proofErr w:type="spellStart"/>
      <w:r w:rsidRPr="57AD90B9">
        <w:rPr>
          <w:rFonts w:cs="Times New Roman"/>
          <w:lang w:val="en-US"/>
        </w:rPr>
        <w:t>fedratinib</w:t>
      </w:r>
      <w:proofErr w:type="spellEnd"/>
      <w:r w:rsidRPr="57AD90B9">
        <w:rPr>
          <w:rFonts w:cs="Times New Roman"/>
          <w:lang w:val="en-US"/>
        </w:rPr>
        <w:t xml:space="preserve"> </w:t>
      </w:r>
      <w:r w:rsidR="002E06DF" w:rsidRPr="57AD90B9">
        <w:rPr>
          <w:rFonts w:cs="Times New Roman"/>
          <w:lang w:val="en-US"/>
        </w:rPr>
        <w:t>(</w:t>
      </w:r>
      <w:r w:rsidRPr="57AD90B9">
        <w:rPr>
          <w:rFonts w:cs="Times New Roman"/>
          <w:lang w:val="en-US"/>
        </w:rPr>
        <w:t>300</w:t>
      </w:r>
      <w:r w:rsidR="00767A1C">
        <w:rPr>
          <w:rFonts w:cs="Times New Roman"/>
          <w:lang w:val="en-US"/>
        </w:rPr>
        <w:t> </w:t>
      </w:r>
      <w:r w:rsidRPr="57AD90B9">
        <w:rPr>
          <w:rFonts w:cs="Times New Roman"/>
          <w:lang w:val="en-US"/>
        </w:rPr>
        <w:t>mg</w:t>
      </w:r>
      <w:r w:rsidR="002E06DF" w:rsidRPr="57AD90B9">
        <w:rPr>
          <w:rFonts w:cs="Times New Roman"/>
          <w:lang w:val="en-US"/>
        </w:rPr>
        <w:t>)</w:t>
      </w:r>
      <w:r w:rsidRPr="57AD90B9">
        <w:rPr>
          <w:rFonts w:cs="Times New Roman"/>
          <w:lang w:val="en-US"/>
        </w:rPr>
        <w:t xml:space="preserve"> increased the </w:t>
      </w:r>
      <w:proofErr w:type="spellStart"/>
      <w:r w:rsidRPr="57AD90B9">
        <w:rPr>
          <w:rFonts w:cs="Times New Roman"/>
          <w:lang w:val="en-US"/>
        </w:rPr>
        <w:t>fedratinib</w:t>
      </w:r>
      <w:proofErr w:type="spellEnd"/>
      <w:r w:rsidRPr="57AD90B9">
        <w:rPr>
          <w:rFonts w:cs="Times New Roman"/>
          <w:lang w:val="en-US"/>
        </w:rPr>
        <w:t xml:space="preserve"> AUC by approximately 3-fold. Based on </w:t>
      </w:r>
      <w:r w:rsidR="00322B99" w:rsidRPr="57AD90B9">
        <w:rPr>
          <w:rFonts w:cs="Times New Roman"/>
          <w:lang w:val="en-US"/>
        </w:rPr>
        <w:t>p</w:t>
      </w:r>
      <w:r w:rsidRPr="57AD90B9">
        <w:rPr>
          <w:rFonts w:cs="Times New Roman"/>
          <w:lang w:val="en-US"/>
        </w:rPr>
        <w:t>hysiologically</w:t>
      </w:r>
      <w:r w:rsidR="00DD32F0" w:rsidRPr="57AD90B9">
        <w:rPr>
          <w:rFonts w:cs="Times New Roman"/>
          <w:lang w:val="en-US"/>
        </w:rPr>
        <w:t xml:space="preserve"> </w:t>
      </w:r>
      <w:r w:rsidRPr="57AD90B9">
        <w:rPr>
          <w:rFonts w:cs="Times New Roman"/>
          <w:lang w:val="en-US"/>
        </w:rPr>
        <w:t>based pharmacokinetic (PBPK) simulations, co</w:t>
      </w:r>
      <w:r w:rsidR="00162F85" w:rsidRPr="57AD90B9">
        <w:rPr>
          <w:rFonts w:cs="Times New Roman"/>
          <w:lang w:val="en-US"/>
        </w:rPr>
        <w:t>-</w:t>
      </w:r>
      <w:r w:rsidRPr="57AD90B9">
        <w:rPr>
          <w:rFonts w:cs="Times New Roman"/>
          <w:lang w:val="en-US"/>
        </w:rPr>
        <w:t>administration of a strong CYP3A4 inhibitor such as</w:t>
      </w:r>
      <w:r w:rsidR="00DD32F0" w:rsidRPr="57AD90B9">
        <w:rPr>
          <w:rFonts w:cs="Times New Roman"/>
          <w:lang w:val="en-US"/>
        </w:rPr>
        <w:t xml:space="preserve"> </w:t>
      </w:r>
      <w:r w:rsidRPr="57AD90B9">
        <w:rPr>
          <w:rFonts w:cs="Times New Roman"/>
          <w:lang w:val="en-US"/>
        </w:rPr>
        <w:t>ketoconazole (400</w:t>
      </w:r>
      <w:r w:rsidR="00767A1C">
        <w:rPr>
          <w:rFonts w:cs="Times New Roman"/>
          <w:lang w:val="en-US"/>
        </w:rPr>
        <w:t> </w:t>
      </w:r>
      <w:r w:rsidRPr="57AD90B9">
        <w:rPr>
          <w:rFonts w:cs="Times New Roman"/>
          <w:lang w:val="en-US"/>
        </w:rPr>
        <w:t xml:space="preserve">mg once daily) with </w:t>
      </w:r>
      <w:r w:rsidR="002E06DF" w:rsidRPr="57AD90B9">
        <w:rPr>
          <w:rFonts w:cs="Times New Roman"/>
          <w:lang w:val="en-US"/>
        </w:rPr>
        <w:t>INREBIC</w:t>
      </w:r>
      <w:r w:rsidRPr="57AD90B9">
        <w:rPr>
          <w:rFonts w:cs="Times New Roman"/>
          <w:lang w:val="en-US"/>
        </w:rPr>
        <w:t xml:space="preserve"> 400</w:t>
      </w:r>
      <w:r w:rsidR="00767A1C">
        <w:rPr>
          <w:rFonts w:cs="Times New Roman"/>
          <w:lang w:val="en-US"/>
        </w:rPr>
        <w:t> </w:t>
      </w:r>
      <w:r w:rsidRPr="57AD90B9">
        <w:rPr>
          <w:rFonts w:cs="Times New Roman"/>
          <w:lang w:val="en-US"/>
        </w:rPr>
        <w:t>mg once daily is predicted to</w:t>
      </w:r>
      <w:r w:rsidR="00DD32F0" w:rsidRPr="57AD90B9">
        <w:rPr>
          <w:rFonts w:cs="Times New Roman"/>
          <w:lang w:val="en-US"/>
        </w:rPr>
        <w:t xml:space="preserve"> </w:t>
      </w:r>
      <w:r w:rsidRPr="57AD90B9">
        <w:rPr>
          <w:rFonts w:cs="Times New Roman"/>
          <w:lang w:val="en-US"/>
        </w:rPr>
        <w:t>increase</w:t>
      </w:r>
      <w:r w:rsidR="00DD32F0" w:rsidRPr="57AD90B9">
        <w:rPr>
          <w:rFonts w:cs="Times New Roman"/>
          <w:lang w:val="en-US"/>
        </w:rPr>
        <w:t xml:space="preserve"> </w:t>
      </w:r>
      <w:proofErr w:type="spellStart"/>
      <w:r w:rsidRPr="57AD90B9">
        <w:rPr>
          <w:rFonts w:cs="Times New Roman"/>
          <w:lang w:val="en-US"/>
        </w:rPr>
        <w:t>fedratinib</w:t>
      </w:r>
      <w:proofErr w:type="spellEnd"/>
      <w:r w:rsidRPr="57AD90B9">
        <w:rPr>
          <w:rFonts w:cs="Times New Roman"/>
          <w:lang w:val="en-US"/>
        </w:rPr>
        <w:t xml:space="preserve"> AUC at steady state by 2-fold </w:t>
      </w:r>
      <w:r w:rsidR="00BA24A1" w:rsidRPr="57AD90B9">
        <w:rPr>
          <w:rFonts w:cs="Times New Roman"/>
          <w:lang w:val="en-US"/>
        </w:rPr>
        <w:t>(see Section 4.2 Dose and Method of Administration).</w:t>
      </w:r>
    </w:p>
    <w:p w14:paraId="4104B33C" w14:textId="3B6476E3" w:rsidR="00D81203" w:rsidRPr="00A13B12" w:rsidRDefault="00D81203" w:rsidP="00A13B12">
      <w:pPr>
        <w:rPr>
          <w:rFonts w:cs="Times New Roman"/>
          <w:lang w:val="en-US"/>
        </w:rPr>
      </w:pPr>
      <w:r w:rsidRPr="57AD90B9">
        <w:rPr>
          <w:rFonts w:cs="Times New Roman"/>
          <w:lang w:val="en-US"/>
        </w:rPr>
        <w:lastRenderedPageBreak/>
        <w:t>Based on PBPK simulations, coadministration of moderate CYP3A4 inhibitors, erythromycin (500</w:t>
      </w:r>
      <w:r w:rsidR="00767A1C">
        <w:rPr>
          <w:rFonts w:cs="Times New Roman"/>
          <w:lang w:val="en-US"/>
        </w:rPr>
        <w:t> </w:t>
      </w:r>
      <w:r w:rsidRPr="57AD90B9">
        <w:rPr>
          <w:rFonts w:cs="Times New Roman"/>
          <w:lang w:val="en-US"/>
        </w:rPr>
        <w:t>mg</w:t>
      </w:r>
      <w:r w:rsidR="00DD32F0" w:rsidRPr="57AD90B9">
        <w:rPr>
          <w:rFonts w:cs="Times New Roman"/>
          <w:lang w:val="en-US"/>
        </w:rPr>
        <w:t xml:space="preserve"> </w:t>
      </w:r>
      <w:r w:rsidRPr="57AD90B9">
        <w:rPr>
          <w:rFonts w:cs="Times New Roman"/>
          <w:lang w:val="en-US"/>
        </w:rPr>
        <w:t>three times daily) or diltiazem (120</w:t>
      </w:r>
      <w:r w:rsidR="00767A1C">
        <w:rPr>
          <w:rFonts w:cs="Times New Roman"/>
          <w:lang w:val="en-US"/>
        </w:rPr>
        <w:t> </w:t>
      </w:r>
      <w:r w:rsidRPr="57AD90B9">
        <w:rPr>
          <w:rFonts w:cs="Times New Roman"/>
          <w:lang w:val="en-US"/>
        </w:rPr>
        <w:t xml:space="preserve">mg twice daily), with </w:t>
      </w:r>
      <w:r w:rsidR="001B5DAE" w:rsidRPr="57AD90B9">
        <w:rPr>
          <w:rFonts w:cs="Times New Roman"/>
          <w:lang w:val="en-US"/>
        </w:rPr>
        <w:t>INREBIC</w:t>
      </w:r>
      <w:r w:rsidRPr="57AD90B9">
        <w:rPr>
          <w:rFonts w:cs="Times New Roman"/>
          <w:lang w:val="en-US"/>
        </w:rPr>
        <w:t xml:space="preserve"> 400</w:t>
      </w:r>
      <w:r w:rsidR="00767A1C">
        <w:rPr>
          <w:rFonts w:cs="Times New Roman"/>
          <w:lang w:val="en-US"/>
        </w:rPr>
        <w:t> </w:t>
      </w:r>
      <w:r w:rsidRPr="57AD90B9">
        <w:rPr>
          <w:rFonts w:cs="Times New Roman"/>
          <w:lang w:val="en-US"/>
        </w:rPr>
        <w:t>mg once daily is</w:t>
      </w:r>
      <w:r w:rsidR="00DD32F0" w:rsidRPr="57AD90B9">
        <w:rPr>
          <w:rFonts w:cs="Times New Roman"/>
          <w:lang w:val="en-US"/>
        </w:rPr>
        <w:t xml:space="preserve"> </w:t>
      </w:r>
      <w:r w:rsidRPr="57AD90B9">
        <w:rPr>
          <w:rFonts w:cs="Times New Roman"/>
          <w:lang w:val="en-US"/>
        </w:rPr>
        <w:t xml:space="preserve">predicted to increase </w:t>
      </w:r>
      <w:proofErr w:type="spellStart"/>
      <w:r w:rsidRPr="57AD90B9">
        <w:rPr>
          <w:rFonts w:cs="Times New Roman"/>
          <w:lang w:val="en-US"/>
        </w:rPr>
        <w:t>fedratinib</w:t>
      </w:r>
      <w:proofErr w:type="spellEnd"/>
      <w:r w:rsidRPr="57AD90B9">
        <w:rPr>
          <w:rFonts w:cs="Times New Roman"/>
          <w:lang w:val="en-US"/>
        </w:rPr>
        <w:t xml:space="preserve"> AUC at steady state by 1.2-, and 1.1-fold, respectively.</w:t>
      </w:r>
    </w:p>
    <w:p w14:paraId="6C5CECF2" w14:textId="727DABF3" w:rsidR="00D81203" w:rsidRPr="00211F08" w:rsidRDefault="00D90E4B" w:rsidP="00A13B12">
      <w:pPr>
        <w:rPr>
          <w:rFonts w:cs="Times New Roman"/>
          <w:u w:val="single"/>
          <w:lang w:val="en"/>
        </w:rPr>
      </w:pPr>
      <w:r>
        <w:rPr>
          <w:rFonts w:cs="Times New Roman"/>
          <w:u w:val="single"/>
          <w:lang w:val="en"/>
        </w:rPr>
        <w:t xml:space="preserve">Simultaneous inhibition of CYP3A4 and </w:t>
      </w:r>
      <w:r w:rsidR="00D81203" w:rsidRPr="00211F08">
        <w:rPr>
          <w:rFonts w:cs="Times New Roman"/>
          <w:u w:val="single"/>
          <w:lang w:val="en"/>
        </w:rPr>
        <w:t>CYP2C19</w:t>
      </w:r>
    </w:p>
    <w:p w14:paraId="10AF327E" w14:textId="33851C91" w:rsidR="00D81203" w:rsidRPr="00A13B12" w:rsidRDefault="00D81203" w:rsidP="00A13B12">
      <w:pPr>
        <w:rPr>
          <w:rFonts w:cs="Times New Roman"/>
          <w:lang w:val="en-US"/>
        </w:rPr>
      </w:pPr>
      <w:r w:rsidRPr="57AD90B9">
        <w:rPr>
          <w:rFonts w:cs="Times New Roman"/>
          <w:lang w:val="en-US"/>
        </w:rPr>
        <w:t xml:space="preserve">Concomitant administration of </w:t>
      </w:r>
      <w:r w:rsidR="001B5DAE" w:rsidRPr="57AD90B9">
        <w:rPr>
          <w:rFonts w:cs="Times New Roman"/>
          <w:lang w:val="en-US"/>
        </w:rPr>
        <w:t xml:space="preserve">INREBIC </w:t>
      </w:r>
      <w:r w:rsidRPr="57AD90B9">
        <w:rPr>
          <w:rFonts w:cs="Times New Roman"/>
          <w:lang w:val="en-US"/>
        </w:rPr>
        <w:t>with a dual CYP3A4 and CYP2C19 inhibitor increases</w:t>
      </w:r>
      <w:r w:rsidR="00DD32F0" w:rsidRPr="57AD90B9">
        <w:rPr>
          <w:rFonts w:cs="Times New Roman"/>
          <w:lang w:val="en-US"/>
        </w:rPr>
        <w:t xml:space="preserve"> </w:t>
      </w:r>
      <w:proofErr w:type="spellStart"/>
      <w:r w:rsidRPr="57AD90B9">
        <w:rPr>
          <w:rFonts w:cs="Times New Roman"/>
          <w:lang w:val="en-US"/>
        </w:rPr>
        <w:t>fedratinib</w:t>
      </w:r>
      <w:proofErr w:type="spellEnd"/>
      <w:r w:rsidRPr="57AD90B9">
        <w:rPr>
          <w:rFonts w:cs="Times New Roman"/>
          <w:lang w:val="en-US"/>
        </w:rPr>
        <w:t xml:space="preserve"> exposure. Increased exposure of </w:t>
      </w:r>
      <w:proofErr w:type="spellStart"/>
      <w:r w:rsidRPr="57AD90B9">
        <w:rPr>
          <w:rFonts w:cs="Times New Roman"/>
          <w:lang w:val="en-US"/>
        </w:rPr>
        <w:t>fedratinib</w:t>
      </w:r>
      <w:proofErr w:type="spellEnd"/>
      <w:r w:rsidRPr="57AD90B9">
        <w:rPr>
          <w:rFonts w:cs="Times New Roman"/>
          <w:lang w:val="en-US"/>
        </w:rPr>
        <w:t xml:space="preserve"> may</w:t>
      </w:r>
      <w:r w:rsidR="00DD32F0" w:rsidRPr="57AD90B9">
        <w:rPr>
          <w:rFonts w:cs="Times New Roman"/>
          <w:lang w:val="en-US"/>
        </w:rPr>
        <w:t xml:space="preserve"> </w:t>
      </w:r>
      <w:r w:rsidRPr="57AD90B9">
        <w:rPr>
          <w:rFonts w:cs="Times New Roman"/>
          <w:lang w:val="en-US"/>
        </w:rPr>
        <w:t>increase the risk of adverse reactions.</w:t>
      </w:r>
    </w:p>
    <w:p w14:paraId="42D605F0" w14:textId="0DC7A86B" w:rsidR="00D81203" w:rsidRPr="00A13B12" w:rsidRDefault="00D81203" w:rsidP="00A13B12">
      <w:pPr>
        <w:rPr>
          <w:rFonts w:cs="Times New Roman"/>
          <w:lang w:val="en-US"/>
        </w:rPr>
      </w:pPr>
      <w:r w:rsidRPr="57AD90B9">
        <w:rPr>
          <w:rFonts w:cs="Times New Roman"/>
          <w:lang w:val="en-US"/>
        </w:rPr>
        <w:t>Co</w:t>
      </w:r>
      <w:r w:rsidR="001B5DAE" w:rsidRPr="57AD90B9">
        <w:rPr>
          <w:rFonts w:cs="Times New Roman"/>
          <w:lang w:val="en-US"/>
        </w:rPr>
        <w:t>-</w:t>
      </w:r>
      <w:r w:rsidRPr="57AD90B9">
        <w:rPr>
          <w:rFonts w:cs="Times New Roman"/>
          <w:lang w:val="en-US"/>
        </w:rPr>
        <w:t xml:space="preserve">administration of fluconazole (dual inhibitor of CYP3A4 and CYP2C19, 200 mg once daily) with a single dose of </w:t>
      </w:r>
      <w:proofErr w:type="spellStart"/>
      <w:r w:rsidRPr="57AD90B9">
        <w:rPr>
          <w:rFonts w:cs="Times New Roman"/>
          <w:lang w:val="en-US"/>
        </w:rPr>
        <w:t>fedratinib</w:t>
      </w:r>
      <w:proofErr w:type="spellEnd"/>
      <w:r w:rsidRPr="57AD90B9">
        <w:rPr>
          <w:rFonts w:cs="Times New Roman"/>
          <w:lang w:val="en-US"/>
        </w:rPr>
        <w:t xml:space="preserve"> (100</w:t>
      </w:r>
      <w:r w:rsidR="00767A1C">
        <w:rPr>
          <w:rFonts w:cs="Times New Roman"/>
          <w:lang w:val="en-US"/>
        </w:rPr>
        <w:t> </w:t>
      </w:r>
      <w:r w:rsidRPr="57AD90B9">
        <w:rPr>
          <w:rFonts w:cs="Times New Roman"/>
          <w:lang w:val="en-US"/>
        </w:rPr>
        <w:t xml:space="preserve">mg) increased AUC of </w:t>
      </w:r>
      <w:proofErr w:type="spellStart"/>
      <w:r w:rsidRPr="57AD90B9">
        <w:rPr>
          <w:rFonts w:cs="Times New Roman"/>
          <w:lang w:val="en-US"/>
        </w:rPr>
        <w:t>fedratinib</w:t>
      </w:r>
      <w:proofErr w:type="spellEnd"/>
      <w:r w:rsidR="00DD32F0" w:rsidRPr="57AD90B9">
        <w:rPr>
          <w:rFonts w:cs="Times New Roman"/>
          <w:lang w:val="en-US"/>
        </w:rPr>
        <w:t xml:space="preserve"> </w:t>
      </w:r>
      <w:r w:rsidRPr="57AD90B9">
        <w:rPr>
          <w:rFonts w:cs="Times New Roman"/>
          <w:lang w:val="en-US"/>
        </w:rPr>
        <w:t>by 1.7-fold. Based</w:t>
      </w:r>
      <w:r w:rsidR="00DD32F0" w:rsidRPr="57AD90B9">
        <w:rPr>
          <w:rFonts w:cs="Times New Roman"/>
          <w:lang w:val="en-US"/>
        </w:rPr>
        <w:t xml:space="preserve"> </w:t>
      </w:r>
      <w:r w:rsidRPr="57AD90B9">
        <w:rPr>
          <w:rFonts w:cs="Times New Roman"/>
          <w:lang w:val="en-US"/>
        </w:rPr>
        <w:t>on PBPK simulations, co</w:t>
      </w:r>
      <w:r w:rsidR="002B15C4" w:rsidRPr="57AD90B9">
        <w:rPr>
          <w:rFonts w:cs="Times New Roman"/>
          <w:lang w:val="en-US"/>
        </w:rPr>
        <w:t>-</w:t>
      </w:r>
      <w:r w:rsidRPr="57AD90B9">
        <w:rPr>
          <w:rFonts w:cs="Times New Roman"/>
          <w:lang w:val="en-US"/>
        </w:rPr>
        <w:t>administration of a dual inhibitor of CYP3A4 and CYP2C19 such a fluconazole (200</w:t>
      </w:r>
      <w:r w:rsidR="001435FF">
        <w:rPr>
          <w:rFonts w:cs="Times New Roman"/>
          <w:lang w:val="en-US"/>
        </w:rPr>
        <w:t> </w:t>
      </w:r>
      <w:r w:rsidRPr="57AD90B9">
        <w:rPr>
          <w:rFonts w:cs="Times New Roman"/>
          <w:lang w:val="en-US"/>
        </w:rPr>
        <w:t xml:space="preserve">mg once daily) with </w:t>
      </w:r>
      <w:r w:rsidR="002B15C4" w:rsidRPr="57AD90B9">
        <w:rPr>
          <w:rFonts w:cs="Times New Roman"/>
          <w:lang w:val="en-US"/>
        </w:rPr>
        <w:t>INREBIC</w:t>
      </w:r>
      <w:r w:rsidRPr="57AD90B9">
        <w:rPr>
          <w:rFonts w:cs="Times New Roman"/>
          <w:lang w:val="en-US"/>
        </w:rPr>
        <w:t xml:space="preserve"> 400</w:t>
      </w:r>
      <w:r w:rsidR="00767A1C">
        <w:rPr>
          <w:rFonts w:cs="Times New Roman"/>
          <w:lang w:val="en-US"/>
        </w:rPr>
        <w:t> </w:t>
      </w:r>
      <w:proofErr w:type="gramStart"/>
      <w:r w:rsidRPr="57AD90B9">
        <w:rPr>
          <w:rFonts w:cs="Times New Roman"/>
          <w:lang w:val="en-US"/>
        </w:rPr>
        <w:t>mg once</w:t>
      </w:r>
      <w:proofErr w:type="gramEnd"/>
      <w:r w:rsidRPr="57AD90B9">
        <w:rPr>
          <w:rFonts w:cs="Times New Roman"/>
          <w:lang w:val="en-US"/>
        </w:rPr>
        <w:t xml:space="preserve"> daily is predicted to increase </w:t>
      </w:r>
      <w:proofErr w:type="spellStart"/>
      <w:r w:rsidRPr="57AD90B9">
        <w:rPr>
          <w:rFonts w:cs="Times New Roman"/>
          <w:lang w:val="en-US"/>
        </w:rPr>
        <w:t>fedratinib</w:t>
      </w:r>
      <w:proofErr w:type="spellEnd"/>
      <w:r w:rsidRPr="57AD90B9">
        <w:rPr>
          <w:rFonts w:cs="Times New Roman"/>
          <w:lang w:val="en-US"/>
        </w:rPr>
        <w:t xml:space="preserve"> AUC at steady state by approximately 1.5-fold.</w:t>
      </w:r>
    </w:p>
    <w:p w14:paraId="65518795" w14:textId="206027E6" w:rsidR="00D81203" w:rsidRPr="00A13B12" w:rsidRDefault="00D81203" w:rsidP="00A13B12">
      <w:pPr>
        <w:rPr>
          <w:rFonts w:cs="Times New Roman"/>
          <w:lang w:val="en"/>
        </w:rPr>
      </w:pPr>
      <w:r w:rsidRPr="00A13B12">
        <w:rPr>
          <w:rFonts w:cs="Times New Roman"/>
          <w:lang w:val="en"/>
        </w:rPr>
        <w:t xml:space="preserve">Due to potential increase of exposure of </w:t>
      </w:r>
      <w:r w:rsidR="002B15C4">
        <w:rPr>
          <w:rFonts w:cs="Times New Roman"/>
          <w:lang w:val="en"/>
        </w:rPr>
        <w:t>INREBIC</w:t>
      </w:r>
      <w:r w:rsidRPr="00A13B12">
        <w:rPr>
          <w:rFonts w:cs="Times New Roman"/>
          <w:lang w:val="en"/>
        </w:rPr>
        <w:t>, patients taking concomitant dual inhibitors of CYP3A4 and CYP2C19 may require more intensive safety monitoring and if necessary</w:t>
      </w:r>
      <w:proofErr w:type="gramStart"/>
      <w:r w:rsidRPr="00A13B12">
        <w:rPr>
          <w:rFonts w:cs="Times New Roman"/>
          <w:lang w:val="en"/>
        </w:rPr>
        <w:t>, dose</w:t>
      </w:r>
      <w:proofErr w:type="gramEnd"/>
      <w:r w:rsidRPr="00A13B12">
        <w:rPr>
          <w:rFonts w:cs="Times New Roman"/>
          <w:lang w:val="en"/>
        </w:rPr>
        <w:t xml:space="preserve"> modifications of </w:t>
      </w:r>
      <w:r w:rsidR="002B15C4">
        <w:rPr>
          <w:rFonts w:cs="Times New Roman"/>
          <w:lang w:val="en"/>
        </w:rPr>
        <w:t>INREBIC</w:t>
      </w:r>
      <w:r w:rsidRPr="00A13B12">
        <w:rPr>
          <w:rFonts w:cs="Times New Roman"/>
          <w:lang w:val="en"/>
        </w:rPr>
        <w:t xml:space="preserve"> </w:t>
      </w:r>
      <w:proofErr w:type="gramStart"/>
      <w:r w:rsidRPr="00A13B12">
        <w:rPr>
          <w:rFonts w:cs="Times New Roman"/>
          <w:lang w:val="en"/>
        </w:rPr>
        <w:t>based</w:t>
      </w:r>
      <w:proofErr w:type="gramEnd"/>
      <w:r w:rsidRPr="00A13B12">
        <w:rPr>
          <w:rFonts w:cs="Times New Roman"/>
          <w:lang w:val="en"/>
        </w:rPr>
        <w:t xml:space="preserve"> on adverse reactions</w:t>
      </w:r>
      <w:r w:rsidR="002B15C4">
        <w:rPr>
          <w:rFonts w:cs="Times New Roman"/>
          <w:lang w:val="en"/>
        </w:rPr>
        <w:t xml:space="preserve"> (see Section 4.2 Dose and Method of Administration).</w:t>
      </w:r>
    </w:p>
    <w:p w14:paraId="34C9CEDF" w14:textId="77777777" w:rsidR="00A51C02" w:rsidRPr="00211F08" w:rsidRDefault="00A51C02" w:rsidP="00A13B12">
      <w:pPr>
        <w:rPr>
          <w:rFonts w:cs="Times New Roman"/>
          <w:u w:val="single"/>
          <w:lang w:val="en"/>
        </w:rPr>
      </w:pPr>
      <w:r w:rsidRPr="00211F08">
        <w:rPr>
          <w:rFonts w:cs="Times New Roman"/>
          <w:u w:val="single"/>
          <w:lang w:val="en"/>
        </w:rPr>
        <w:t>Strong and Moderate CYP3A4 Inducers</w:t>
      </w:r>
    </w:p>
    <w:p w14:paraId="4C97734C" w14:textId="686E392F" w:rsidR="006714C8" w:rsidRDefault="00A51C02" w:rsidP="00A13B12">
      <w:pPr>
        <w:rPr>
          <w:rFonts w:cs="Times New Roman"/>
          <w:lang w:val="en-US"/>
        </w:rPr>
      </w:pPr>
      <w:r w:rsidRPr="57AD90B9">
        <w:rPr>
          <w:rFonts w:cs="Times New Roman"/>
          <w:lang w:val="en-US"/>
        </w:rPr>
        <w:t>Co-administration of rifampicin (strong CYP3A4 inducer: 600</w:t>
      </w:r>
      <w:r w:rsidR="00767A1C">
        <w:rPr>
          <w:rFonts w:cs="Times New Roman"/>
          <w:lang w:val="en-US"/>
        </w:rPr>
        <w:t> </w:t>
      </w:r>
      <w:r w:rsidRPr="57AD90B9">
        <w:rPr>
          <w:rFonts w:cs="Times New Roman"/>
          <w:lang w:val="en-US"/>
        </w:rPr>
        <w:t>mg once daily) or efavirenz (moderate</w:t>
      </w:r>
      <w:r w:rsidR="00237E54" w:rsidRPr="57AD90B9">
        <w:rPr>
          <w:rFonts w:cs="Times New Roman"/>
          <w:lang w:val="en-US"/>
        </w:rPr>
        <w:t xml:space="preserve"> </w:t>
      </w:r>
      <w:r w:rsidRPr="57AD90B9">
        <w:rPr>
          <w:rFonts w:cs="Times New Roman"/>
          <w:lang w:val="en-US"/>
        </w:rPr>
        <w:t>CYP3A4 inducer: 600</w:t>
      </w:r>
      <w:r w:rsidR="00767A1C">
        <w:rPr>
          <w:rFonts w:cs="Times New Roman"/>
          <w:lang w:val="en-US"/>
        </w:rPr>
        <w:t> </w:t>
      </w:r>
      <w:r w:rsidRPr="57AD90B9">
        <w:rPr>
          <w:rFonts w:cs="Times New Roman"/>
          <w:lang w:val="en-US"/>
        </w:rPr>
        <w:t xml:space="preserve">mg once daily) with a single dose of </w:t>
      </w:r>
      <w:proofErr w:type="spellStart"/>
      <w:r w:rsidRPr="57AD90B9">
        <w:rPr>
          <w:rFonts w:cs="Times New Roman"/>
          <w:lang w:val="en-US"/>
        </w:rPr>
        <w:t>fedratinib</w:t>
      </w:r>
      <w:proofErr w:type="spellEnd"/>
      <w:r w:rsidRPr="57AD90B9">
        <w:rPr>
          <w:rFonts w:cs="Times New Roman"/>
          <w:lang w:val="en-US"/>
        </w:rPr>
        <w:t xml:space="preserve"> (500</w:t>
      </w:r>
      <w:r w:rsidR="001435FF">
        <w:rPr>
          <w:rFonts w:cs="Times New Roman"/>
          <w:lang w:val="en-US"/>
        </w:rPr>
        <w:t> </w:t>
      </w:r>
      <w:r w:rsidRPr="57AD90B9">
        <w:rPr>
          <w:rFonts w:cs="Times New Roman"/>
          <w:lang w:val="en-US"/>
        </w:rPr>
        <w:t>mg) decreased AUC</w:t>
      </w:r>
      <w:r w:rsidRPr="57AD90B9">
        <w:rPr>
          <w:rFonts w:cs="Times New Roman"/>
          <w:vertAlign w:val="subscript"/>
          <w:lang w:val="en-US"/>
        </w:rPr>
        <w:t>inf</w:t>
      </w:r>
      <w:r w:rsidRPr="57AD90B9">
        <w:rPr>
          <w:rFonts w:cs="Times New Roman"/>
          <w:lang w:val="en-US"/>
        </w:rPr>
        <w:t xml:space="preserve"> of</w:t>
      </w:r>
      <w:r w:rsidR="00237E54" w:rsidRPr="57AD90B9">
        <w:rPr>
          <w:rFonts w:cs="Times New Roman"/>
          <w:lang w:val="en-US"/>
        </w:rPr>
        <w:t xml:space="preserve"> </w:t>
      </w:r>
      <w:proofErr w:type="spellStart"/>
      <w:r w:rsidRPr="57AD90B9">
        <w:rPr>
          <w:rFonts w:cs="Times New Roman"/>
          <w:lang w:val="en-US"/>
        </w:rPr>
        <w:t>fedratinib</w:t>
      </w:r>
      <w:proofErr w:type="spellEnd"/>
      <w:r w:rsidRPr="57AD90B9">
        <w:rPr>
          <w:rFonts w:cs="Times New Roman"/>
          <w:lang w:val="en-US"/>
        </w:rPr>
        <w:t xml:space="preserve"> by approximately 80% or 50%, respectively. The PBPK simulations suggest that repeated</w:t>
      </w:r>
      <w:r w:rsidR="00237E54" w:rsidRPr="57AD90B9">
        <w:rPr>
          <w:rFonts w:cs="Times New Roman"/>
          <w:lang w:val="en-US"/>
        </w:rPr>
        <w:t xml:space="preserve"> </w:t>
      </w:r>
      <w:r w:rsidRPr="57AD90B9">
        <w:rPr>
          <w:rFonts w:cs="Times New Roman"/>
          <w:lang w:val="en-US"/>
        </w:rPr>
        <w:t>doses of a strong and moderate CYP3A4 inducer, rifampicin or efavirenz, respectively, decrease the</w:t>
      </w:r>
      <w:r w:rsidR="00237E54" w:rsidRPr="57AD90B9">
        <w:rPr>
          <w:rFonts w:cs="Times New Roman"/>
          <w:lang w:val="en-US"/>
        </w:rPr>
        <w:t xml:space="preserve"> </w:t>
      </w:r>
      <w:r w:rsidRPr="57AD90B9">
        <w:rPr>
          <w:rFonts w:cs="Times New Roman"/>
          <w:lang w:val="en-US"/>
        </w:rPr>
        <w:t>AUC of a single 400</w:t>
      </w:r>
      <w:r w:rsidR="00767A1C">
        <w:rPr>
          <w:rFonts w:cs="Times New Roman"/>
          <w:lang w:val="en-US"/>
        </w:rPr>
        <w:t> </w:t>
      </w:r>
      <w:r w:rsidRPr="57AD90B9">
        <w:rPr>
          <w:rFonts w:cs="Times New Roman"/>
          <w:lang w:val="en-US"/>
        </w:rPr>
        <w:t xml:space="preserve">mg dose of </w:t>
      </w:r>
      <w:proofErr w:type="spellStart"/>
      <w:r w:rsidRPr="57AD90B9">
        <w:rPr>
          <w:rFonts w:cs="Times New Roman"/>
          <w:lang w:val="en-US"/>
        </w:rPr>
        <w:t>fedratinib</w:t>
      </w:r>
      <w:proofErr w:type="spellEnd"/>
      <w:r w:rsidRPr="57AD90B9">
        <w:rPr>
          <w:rFonts w:cs="Times New Roman"/>
          <w:lang w:val="en-US"/>
        </w:rPr>
        <w:t xml:space="preserve"> by approximately 85 or 60%, respectively. Agents that</w:t>
      </w:r>
      <w:r w:rsidR="00237E54" w:rsidRPr="57AD90B9">
        <w:rPr>
          <w:rFonts w:cs="Times New Roman"/>
          <w:lang w:val="en-US"/>
        </w:rPr>
        <w:t xml:space="preserve"> </w:t>
      </w:r>
      <w:r w:rsidRPr="57AD90B9">
        <w:rPr>
          <w:rFonts w:cs="Times New Roman"/>
          <w:lang w:val="en-US"/>
        </w:rPr>
        <w:t xml:space="preserve">strongly or moderately induce CYP3A4 (e.g., phenytoin, rifampicin, efavirenz), may decrease </w:t>
      </w:r>
      <w:proofErr w:type="spellStart"/>
      <w:r w:rsidRPr="57AD90B9">
        <w:rPr>
          <w:rFonts w:cs="Times New Roman"/>
          <w:lang w:val="en-US"/>
        </w:rPr>
        <w:t>fedratinib</w:t>
      </w:r>
      <w:proofErr w:type="spellEnd"/>
      <w:r w:rsidR="004E6C64" w:rsidRPr="57AD90B9">
        <w:rPr>
          <w:rFonts w:cs="Times New Roman"/>
          <w:lang w:val="en-US"/>
        </w:rPr>
        <w:t xml:space="preserve"> </w:t>
      </w:r>
      <w:r w:rsidRPr="57AD90B9">
        <w:rPr>
          <w:rFonts w:cs="Times New Roman"/>
          <w:lang w:val="en-US"/>
        </w:rPr>
        <w:t xml:space="preserve">plasma concentrations and should be avoided in patients receiving </w:t>
      </w:r>
      <w:r w:rsidR="000309D3" w:rsidRPr="57AD90B9">
        <w:rPr>
          <w:rFonts w:cs="Times New Roman"/>
          <w:lang w:val="en-US"/>
        </w:rPr>
        <w:t>INREBIC</w:t>
      </w:r>
      <w:r w:rsidRPr="57AD90B9">
        <w:rPr>
          <w:rFonts w:cs="Times New Roman"/>
          <w:lang w:val="en-US"/>
        </w:rPr>
        <w:t>.</w:t>
      </w:r>
    </w:p>
    <w:p w14:paraId="18D8B6BF" w14:textId="77777777" w:rsidR="006714C8" w:rsidRDefault="006714C8" w:rsidP="00A13B12">
      <w:pPr>
        <w:rPr>
          <w:rFonts w:cs="Times New Roman"/>
          <w:lang w:val="en-US"/>
        </w:rPr>
      </w:pPr>
    </w:p>
    <w:p w14:paraId="627CCAEF" w14:textId="77777777" w:rsidR="00211F08" w:rsidRPr="00211F08" w:rsidRDefault="00211F08" w:rsidP="00211F08">
      <w:pPr>
        <w:rPr>
          <w:rFonts w:cs="Times New Roman"/>
          <w:u w:val="single"/>
          <w:lang w:val="en"/>
        </w:rPr>
      </w:pPr>
      <w:r w:rsidRPr="00211F08">
        <w:rPr>
          <w:rFonts w:cs="Times New Roman"/>
          <w:u w:val="single"/>
          <w:lang w:val="en"/>
        </w:rPr>
        <w:t>Proton Pump Inhibitor (PPI)</w:t>
      </w:r>
    </w:p>
    <w:p w14:paraId="68821FD8" w14:textId="7BCC6F55" w:rsidR="00211F08" w:rsidRPr="00A51C02" w:rsidRDefault="00211F08" w:rsidP="00211F08">
      <w:pPr>
        <w:rPr>
          <w:rFonts w:cs="Times New Roman"/>
          <w:lang w:val="en-US"/>
        </w:rPr>
      </w:pPr>
      <w:r w:rsidRPr="57AD90B9">
        <w:rPr>
          <w:rFonts w:cs="Times New Roman"/>
          <w:lang w:val="en-US"/>
        </w:rPr>
        <w:t>Co-administration of an oral proton pump inhibitor, pantoprazole (40</w:t>
      </w:r>
      <w:r w:rsidR="00767A1C">
        <w:rPr>
          <w:rFonts w:cs="Times New Roman"/>
          <w:lang w:val="en-US"/>
        </w:rPr>
        <w:t> </w:t>
      </w:r>
      <w:r w:rsidRPr="57AD90B9">
        <w:rPr>
          <w:rFonts w:cs="Times New Roman"/>
          <w:lang w:val="en-US"/>
        </w:rPr>
        <w:t>mg once daily on days 1-7) and INREBIC (500</w:t>
      </w:r>
      <w:r w:rsidR="00767A1C">
        <w:rPr>
          <w:rFonts w:cs="Times New Roman"/>
          <w:lang w:val="en-US"/>
        </w:rPr>
        <w:t> </w:t>
      </w:r>
      <w:r w:rsidRPr="57AD90B9">
        <w:rPr>
          <w:rFonts w:cs="Times New Roman"/>
          <w:lang w:val="en-US"/>
        </w:rPr>
        <w:t xml:space="preserve">mg orally once on day 7) increased </w:t>
      </w:r>
      <w:proofErr w:type="spellStart"/>
      <w:r w:rsidRPr="57AD90B9">
        <w:rPr>
          <w:rFonts w:cs="Times New Roman"/>
          <w:lang w:val="en-US"/>
        </w:rPr>
        <w:t>fedratinib</w:t>
      </w:r>
      <w:proofErr w:type="spellEnd"/>
      <w:r w:rsidRPr="57AD90B9">
        <w:rPr>
          <w:rFonts w:cs="Times New Roman"/>
          <w:lang w:val="en-US"/>
        </w:rPr>
        <w:t xml:space="preserve"> AUC by approximately 1.15-fold, indicating that the INREBIC dose does not need to be adjusted when taken with drugs that increase gastric pH (such as antacids, histamine-2 blockers, and PPIs).</w:t>
      </w:r>
    </w:p>
    <w:p w14:paraId="630C8652" w14:textId="77777777" w:rsidR="00211F08" w:rsidRPr="00211F08" w:rsidRDefault="00211F08" w:rsidP="00211F08">
      <w:pPr>
        <w:rPr>
          <w:rFonts w:cs="Times New Roman"/>
          <w:u w:val="single"/>
          <w:lang w:val="en-US"/>
        </w:rPr>
      </w:pPr>
      <w:r w:rsidRPr="57AD90B9">
        <w:rPr>
          <w:rFonts w:cs="Times New Roman"/>
          <w:u w:val="single"/>
          <w:lang w:val="en-US"/>
        </w:rPr>
        <w:t>P-</w:t>
      </w:r>
      <w:proofErr w:type="spellStart"/>
      <w:r w:rsidRPr="57AD90B9">
        <w:rPr>
          <w:rFonts w:cs="Times New Roman"/>
          <w:u w:val="single"/>
          <w:lang w:val="en-US"/>
        </w:rPr>
        <w:t>gp</w:t>
      </w:r>
      <w:proofErr w:type="spellEnd"/>
      <w:r w:rsidRPr="57AD90B9">
        <w:rPr>
          <w:rFonts w:cs="Times New Roman"/>
          <w:u w:val="single"/>
          <w:lang w:val="en-US"/>
        </w:rPr>
        <w:t xml:space="preserve"> Inhibitors</w:t>
      </w:r>
    </w:p>
    <w:p w14:paraId="5227F8B3" w14:textId="03028E0C" w:rsidR="00211F08" w:rsidRPr="00211F08" w:rsidRDefault="00211F08" w:rsidP="00A13B12">
      <w:pPr>
        <w:rPr>
          <w:rFonts w:ascii="TimesNewRoman" w:eastAsia="TimesNewRoman" w:hAnsiTheme="minorHAnsi" w:cs="TimesNewRoman"/>
          <w:sz w:val="24"/>
          <w:szCs w:val="24"/>
          <w:lang w:val="en-US"/>
        </w:rPr>
      </w:pPr>
      <w:proofErr w:type="spellStart"/>
      <w:r w:rsidRPr="00A51C02">
        <w:rPr>
          <w:rFonts w:cs="Times New Roman"/>
          <w:lang w:val="en"/>
        </w:rPr>
        <w:t>Fedratinib</w:t>
      </w:r>
      <w:proofErr w:type="spellEnd"/>
      <w:r w:rsidRPr="00A51C02">
        <w:rPr>
          <w:rFonts w:cs="Times New Roman"/>
          <w:lang w:val="en"/>
        </w:rPr>
        <w:t xml:space="preserve"> is a substrate of P-</w:t>
      </w:r>
      <w:proofErr w:type="spellStart"/>
      <w:r w:rsidRPr="00A51C02">
        <w:rPr>
          <w:rFonts w:cs="Times New Roman"/>
          <w:lang w:val="en"/>
        </w:rPr>
        <w:t>gp</w:t>
      </w:r>
      <w:proofErr w:type="spellEnd"/>
      <w:r w:rsidRPr="00A51C02">
        <w:rPr>
          <w:rFonts w:cs="Times New Roman"/>
          <w:lang w:val="en"/>
        </w:rPr>
        <w:t xml:space="preserve"> </w:t>
      </w:r>
      <w:r w:rsidRPr="00E444BD">
        <w:rPr>
          <w:rFonts w:cs="Times New Roman"/>
          <w:lang w:val="en"/>
        </w:rPr>
        <w:t>in vitro</w:t>
      </w:r>
      <w:r w:rsidRPr="00A51C02">
        <w:rPr>
          <w:rFonts w:cs="Times New Roman"/>
          <w:lang w:val="en"/>
        </w:rPr>
        <w:t xml:space="preserve">. However, </w:t>
      </w:r>
      <w:proofErr w:type="spellStart"/>
      <w:r w:rsidRPr="00A51C02">
        <w:rPr>
          <w:rFonts w:cs="Times New Roman"/>
          <w:lang w:val="en"/>
        </w:rPr>
        <w:t>fedratinib</w:t>
      </w:r>
      <w:proofErr w:type="spellEnd"/>
      <w:r w:rsidRPr="00A51C02">
        <w:rPr>
          <w:rFonts w:cs="Times New Roman"/>
          <w:lang w:val="en"/>
        </w:rPr>
        <w:t xml:space="preserve"> showed rapid absorption in both preclinical</w:t>
      </w:r>
      <w:r>
        <w:rPr>
          <w:rFonts w:cs="Times New Roman"/>
          <w:lang w:val="en"/>
        </w:rPr>
        <w:t xml:space="preserve"> </w:t>
      </w:r>
      <w:r w:rsidRPr="00A51C02">
        <w:rPr>
          <w:rFonts w:cs="Times New Roman"/>
          <w:lang w:val="en"/>
        </w:rPr>
        <w:t xml:space="preserve">and clinical studies, </w:t>
      </w:r>
      <w:r w:rsidR="00DC5B69">
        <w:rPr>
          <w:rFonts w:cs="Times New Roman"/>
          <w:lang w:val="en"/>
        </w:rPr>
        <w:t xml:space="preserve">and available data </w:t>
      </w:r>
      <w:r w:rsidRPr="00A51C02">
        <w:rPr>
          <w:rFonts w:cs="Times New Roman"/>
          <w:lang w:val="en"/>
        </w:rPr>
        <w:t>indicat</w:t>
      </w:r>
      <w:r w:rsidR="00DC5B69">
        <w:rPr>
          <w:rFonts w:cs="Times New Roman"/>
          <w:lang w:val="en"/>
        </w:rPr>
        <w:t>e</w:t>
      </w:r>
      <w:r w:rsidRPr="00A51C02">
        <w:rPr>
          <w:rFonts w:cs="Times New Roman"/>
          <w:lang w:val="en"/>
        </w:rPr>
        <w:t xml:space="preserve"> that permeability and efflux is not</w:t>
      </w:r>
      <w:r>
        <w:rPr>
          <w:rFonts w:cs="Times New Roman"/>
          <w:lang w:val="en"/>
        </w:rPr>
        <w:t xml:space="preserve"> </w:t>
      </w:r>
      <w:r w:rsidRPr="00504C57">
        <w:rPr>
          <w:rFonts w:cs="Times New Roman"/>
          <w:lang w:val="en"/>
        </w:rPr>
        <w:t>limiting its absorption. In the clinically relevant dose range of 300 to 500</w:t>
      </w:r>
      <w:r w:rsidR="00BC1712">
        <w:rPr>
          <w:rFonts w:cs="Times New Roman"/>
          <w:lang w:val="en"/>
        </w:rPr>
        <w:t> </w:t>
      </w:r>
      <w:r w:rsidRPr="00504C57">
        <w:rPr>
          <w:rFonts w:cs="Times New Roman"/>
          <w:lang w:val="en"/>
        </w:rPr>
        <w:t xml:space="preserve">mg, </w:t>
      </w:r>
      <w:proofErr w:type="spellStart"/>
      <w:r w:rsidRPr="00504C57">
        <w:rPr>
          <w:rFonts w:cs="Times New Roman"/>
          <w:lang w:val="en"/>
        </w:rPr>
        <w:t>fedratinib</w:t>
      </w:r>
      <w:proofErr w:type="spellEnd"/>
      <w:r w:rsidRPr="00504C57">
        <w:rPr>
          <w:rFonts w:cs="Times New Roman"/>
          <w:lang w:val="en"/>
        </w:rPr>
        <w:t xml:space="preserve"> exposure was roughly dose proportional in MF patients, indicating no non</w:t>
      </w:r>
      <w:r>
        <w:rPr>
          <w:rFonts w:cs="Times New Roman"/>
          <w:lang w:val="en"/>
        </w:rPr>
        <w:t>-</w:t>
      </w:r>
      <w:r w:rsidRPr="00504C57">
        <w:rPr>
          <w:rFonts w:cs="Times New Roman"/>
          <w:lang w:val="en"/>
        </w:rPr>
        <w:t>linearity due to any efflux. There was no impact of genotype variations of transporters including P-</w:t>
      </w:r>
      <w:proofErr w:type="spellStart"/>
      <w:r w:rsidRPr="00504C57">
        <w:rPr>
          <w:rFonts w:cs="Times New Roman"/>
          <w:lang w:val="en"/>
        </w:rPr>
        <w:t>gp</w:t>
      </w:r>
      <w:proofErr w:type="spellEnd"/>
      <w:r w:rsidRPr="00504C57">
        <w:rPr>
          <w:rFonts w:cs="Times New Roman"/>
          <w:lang w:val="en"/>
        </w:rPr>
        <w:t xml:space="preserve"> on </w:t>
      </w:r>
      <w:proofErr w:type="spellStart"/>
      <w:r w:rsidRPr="00504C57">
        <w:rPr>
          <w:rFonts w:cs="Times New Roman"/>
          <w:lang w:val="en"/>
        </w:rPr>
        <w:t>fedratinib</w:t>
      </w:r>
      <w:proofErr w:type="spellEnd"/>
      <w:r w:rsidRPr="00504C57">
        <w:rPr>
          <w:rFonts w:cs="Times New Roman"/>
          <w:lang w:val="en"/>
        </w:rPr>
        <w:t xml:space="preserve"> exposure in healthy subjects and patients. </w:t>
      </w:r>
      <w:proofErr w:type="gramStart"/>
      <w:r w:rsidRPr="00504C57">
        <w:rPr>
          <w:rFonts w:cs="Times New Roman"/>
          <w:lang w:val="en"/>
        </w:rPr>
        <w:t>Taken</w:t>
      </w:r>
      <w:proofErr w:type="gramEnd"/>
      <w:r w:rsidRPr="00504C57">
        <w:rPr>
          <w:rFonts w:cs="Times New Roman"/>
          <w:lang w:val="en"/>
        </w:rPr>
        <w:t xml:space="preserve"> together, significant interaction with P-</w:t>
      </w:r>
      <w:proofErr w:type="spellStart"/>
      <w:r w:rsidRPr="00504C57">
        <w:rPr>
          <w:rFonts w:cs="Times New Roman"/>
          <w:lang w:val="en"/>
        </w:rPr>
        <w:t>gp</w:t>
      </w:r>
      <w:proofErr w:type="spellEnd"/>
      <w:r w:rsidRPr="00504C57">
        <w:rPr>
          <w:rFonts w:cs="Times New Roman"/>
          <w:lang w:val="en"/>
        </w:rPr>
        <w:t xml:space="preserve"> inhibitors is not expected to occur with </w:t>
      </w:r>
      <w:proofErr w:type="spellStart"/>
      <w:r w:rsidRPr="00504C57">
        <w:rPr>
          <w:rFonts w:cs="Times New Roman"/>
          <w:lang w:val="en"/>
        </w:rPr>
        <w:t>fedratinib</w:t>
      </w:r>
      <w:proofErr w:type="spellEnd"/>
      <w:r w:rsidRPr="00504C57">
        <w:rPr>
          <w:rFonts w:cs="Times New Roman"/>
          <w:lang w:val="en"/>
        </w:rPr>
        <w:t>.</w:t>
      </w:r>
    </w:p>
    <w:p w14:paraId="7054D31D" w14:textId="76D62533" w:rsidR="00874A88" w:rsidRPr="00874A88" w:rsidRDefault="00874A88" w:rsidP="00874A88">
      <w:pPr>
        <w:pStyle w:val="Heading3"/>
        <w:rPr>
          <w:rFonts w:hint="eastAsia"/>
        </w:rPr>
      </w:pPr>
      <w:r w:rsidRPr="00874A88">
        <w:t>Effect of</w:t>
      </w:r>
      <w:r>
        <w:t xml:space="preserve"> </w:t>
      </w:r>
      <w:proofErr w:type="spellStart"/>
      <w:r w:rsidR="00485049">
        <w:t>fedratinib</w:t>
      </w:r>
      <w:proofErr w:type="spellEnd"/>
      <w:r w:rsidRPr="00874A88">
        <w:t xml:space="preserve"> on other</w:t>
      </w:r>
      <w:r w:rsidR="00485049">
        <w:t xml:space="preserve"> medicinal products</w:t>
      </w:r>
    </w:p>
    <w:p w14:paraId="15964671" w14:textId="21F30290" w:rsidR="00A51C02" w:rsidRPr="00211F08" w:rsidRDefault="00211F08" w:rsidP="00874A88">
      <w:pPr>
        <w:rPr>
          <w:rFonts w:cs="Times New Roman"/>
          <w:u w:val="single"/>
          <w:lang w:val="en"/>
        </w:rPr>
      </w:pPr>
      <w:r>
        <w:rPr>
          <w:rFonts w:cs="Times New Roman"/>
          <w:u w:val="single"/>
          <w:lang w:val="en"/>
        </w:rPr>
        <w:t xml:space="preserve">Effects on enzymes: </w:t>
      </w:r>
      <w:r w:rsidR="00A51C02" w:rsidRPr="00211F08">
        <w:rPr>
          <w:rFonts w:cs="Times New Roman"/>
          <w:u w:val="single"/>
          <w:lang w:val="en"/>
        </w:rPr>
        <w:t>CYP3A4, CYP2C19, or CYP2D6 Substrate Drugs</w:t>
      </w:r>
    </w:p>
    <w:p w14:paraId="42C30A7E" w14:textId="5045DA2B" w:rsidR="00A51C02" w:rsidRDefault="00A51C02" w:rsidP="00874A88">
      <w:pPr>
        <w:rPr>
          <w:rFonts w:cs="Times New Roman"/>
          <w:lang w:val="en"/>
        </w:rPr>
      </w:pPr>
      <w:r w:rsidRPr="00874A88">
        <w:rPr>
          <w:rFonts w:cs="Times New Roman"/>
          <w:lang w:val="en"/>
        </w:rPr>
        <w:t xml:space="preserve">Concomitant administration of </w:t>
      </w:r>
      <w:r w:rsidR="00BF083F">
        <w:rPr>
          <w:rFonts w:cs="Times New Roman"/>
          <w:lang w:val="en"/>
        </w:rPr>
        <w:t>INREBIC</w:t>
      </w:r>
      <w:r w:rsidRPr="00874A88">
        <w:rPr>
          <w:rFonts w:cs="Times New Roman"/>
          <w:lang w:val="en"/>
        </w:rPr>
        <w:t xml:space="preserve"> with the CYP3A4 substrate, midazolam, the CYP2C19</w:t>
      </w:r>
      <w:r w:rsidR="00237E54">
        <w:rPr>
          <w:rFonts w:cs="Times New Roman"/>
          <w:lang w:val="en"/>
        </w:rPr>
        <w:t xml:space="preserve"> </w:t>
      </w:r>
      <w:r w:rsidRPr="00874A88">
        <w:rPr>
          <w:rFonts w:cs="Times New Roman"/>
          <w:lang w:val="en"/>
        </w:rPr>
        <w:t>substrate, omeprazole, and the CYP2D6 substrate, metoprolol, increased midazolam, omeprazole, and</w:t>
      </w:r>
      <w:r w:rsidR="00237E54">
        <w:rPr>
          <w:rFonts w:cs="Times New Roman"/>
          <w:lang w:val="en"/>
        </w:rPr>
        <w:t xml:space="preserve"> </w:t>
      </w:r>
      <w:r w:rsidRPr="00874A88">
        <w:rPr>
          <w:rFonts w:cs="Times New Roman"/>
          <w:lang w:val="en"/>
        </w:rPr>
        <w:t>metoprolol AUC by 4-, 3-, and 2-fold, respectively. Therefore, dose modifications of drugs that are</w:t>
      </w:r>
      <w:r w:rsidR="00237E54">
        <w:rPr>
          <w:rFonts w:cs="Times New Roman"/>
          <w:lang w:val="en"/>
        </w:rPr>
        <w:t xml:space="preserve"> </w:t>
      </w:r>
      <w:r w:rsidRPr="00874A88">
        <w:rPr>
          <w:rFonts w:cs="Times New Roman"/>
          <w:lang w:val="en"/>
        </w:rPr>
        <w:lastRenderedPageBreak/>
        <w:t>CYP3A4, CYP2C19, or CYP2D6 substrates should be made as needed with close monitoring of safety</w:t>
      </w:r>
      <w:r w:rsidR="00237E54">
        <w:rPr>
          <w:rFonts w:cs="Times New Roman"/>
          <w:lang w:val="en"/>
        </w:rPr>
        <w:t xml:space="preserve"> </w:t>
      </w:r>
      <w:r w:rsidRPr="00874A88">
        <w:rPr>
          <w:rFonts w:cs="Times New Roman"/>
          <w:lang w:val="en"/>
        </w:rPr>
        <w:t>and efficacy.</w:t>
      </w:r>
    </w:p>
    <w:p w14:paraId="2E3F387A" w14:textId="4C4FD0E1" w:rsidR="00211F08" w:rsidRPr="00211F08" w:rsidRDefault="00211F08" w:rsidP="00874A88">
      <w:pPr>
        <w:rPr>
          <w:rFonts w:cs="Times New Roman"/>
          <w:u w:val="single"/>
          <w:lang w:val="en"/>
        </w:rPr>
      </w:pPr>
      <w:r w:rsidRPr="00211F08">
        <w:rPr>
          <w:rFonts w:cs="Times New Roman"/>
          <w:u w:val="single"/>
          <w:lang w:val="en"/>
        </w:rPr>
        <w:t xml:space="preserve">Effects on </w:t>
      </w:r>
      <w:proofErr w:type="gramStart"/>
      <w:r w:rsidRPr="00211F08">
        <w:rPr>
          <w:rFonts w:cs="Times New Roman"/>
          <w:u w:val="single"/>
          <w:lang w:val="en"/>
        </w:rPr>
        <w:t>transporters</w:t>
      </w:r>
      <w:proofErr w:type="gramEnd"/>
    </w:p>
    <w:p w14:paraId="5E0123C7" w14:textId="14101F21" w:rsidR="00F70ED9" w:rsidRDefault="00211F08" w:rsidP="00874A88">
      <w:pPr>
        <w:rPr>
          <w:rFonts w:cs="Times New Roman"/>
          <w:lang w:val="en-US"/>
        </w:rPr>
      </w:pPr>
      <w:r w:rsidRPr="57AD90B9">
        <w:rPr>
          <w:rFonts w:cs="Times New Roman"/>
          <w:lang w:val="en-US"/>
        </w:rPr>
        <w:t xml:space="preserve">In vitro, </w:t>
      </w:r>
      <w:proofErr w:type="spellStart"/>
      <w:r w:rsidRPr="57AD90B9">
        <w:rPr>
          <w:rFonts w:cs="Times New Roman"/>
          <w:lang w:val="en-US"/>
        </w:rPr>
        <w:t>fedratinib</w:t>
      </w:r>
      <w:proofErr w:type="spellEnd"/>
      <w:r w:rsidRPr="57AD90B9">
        <w:rPr>
          <w:rFonts w:cs="Times New Roman"/>
          <w:lang w:val="en-US"/>
        </w:rPr>
        <w:t xml:space="preserve"> inhibits P-</w:t>
      </w:r>
      <w:proofErr w:type="spellStart"/>
      <w:r w:rsidRPr="57AD90B9">
        <w:rPr>
          <w:rFonts w:cs="Times New Roman"/>
          <w:lang w:val="en-US"/>
        </w:rPr>
        <w:t>gp</w:t>
      </w:r>
      <w:proofErr w:type="spellEnd"/>
      <w:r w:rsidRPr="57AD90B9">
        <w:rPr>
          <w:rFonts w:cs="Times New Roman"/>
          <w:lang w:val="en-US"/>
        </w:rPr>
        <w:t xml:space="preserve">, BCRP, MATE1, MATE2-K, OATP1B1, OATP1B3, </w:t>
      </w:r>
      <w:r w:rsidR="00DC5B69">
        <w:rPr>
          <w:rFonts w:cs="Times New Roman"/>
          <w:lang w:val="en-US"/>
        </w:rPr>
        <w:t xml:space="preserve">OCT1 </w:t>
      </w:r>
      <w:r w:rsidRPr="57AD90B9">
        <w:rPr>
          <w:rFonts w:cs="Times New Roman"/>
          <w:lang w:val="en-US"/>
        </w:rPr>
        <w:t>and OCT2</w:t>
      </w:r>
      <w:r w:rsidR="00DC5B69">
        <w:rPr>
          <w:rFonts w:cs="Times New Roman"/>
          <w:lang w:val="en-US"/>
        </w:rPr>
        <w:t xml:space="preserve"> at clinically relevant concentrations</w:t>
      </w:r>
      <w:r w:rsidRPr="57AD90B9">
        <w:rPr>
          <w:rFonts w:cs="Times New Roman"/>
          <w:lang w:val="en-US"/>
        </w:rPr>
        <w:t xml:space="preserve">, but not BSEP, MRP2, OAT1, </w:t>
      </w:r>
      <w:r w:rsidR="00DC5B69">
        <w:rPr>
          <w:rFonts w:cs="Times New Roman"/>
          <w:lang w:val="en-US"/>
        </w:rPr>
        <w:t>or</w:t>
      </w:r>
      <w:r w:rsidRPr="57AD90B9">
        <w:rPr>
          <w:rFonts w:cs="Times New Roman"/>
          <w:lang w:val="en-US"/>
        </w:rPr>
        <w:t xml:space="preserve"> OAT3. </w:t>
      </w:r>
    </w:p>
    <w:p w14:paraId="676A24A4" w14:textId="24462352" w:rsidR="00F70ED9" w:rsidRDefault="00211F08" w:rsidP="00874A88">
      <w:pPr>
        <w:rPr>
          <w:rFonts w:cs="Times New Roman"/>
          <w:lang w:val="en-US"/>
        </w:rPr>
      </w:pPr>
      <w:r w:rsidRPr="57AD90B9">
        <w:rPr>
          <w:rFonts w:cs="Times New Roman"/>
          <w:lang w:val="en-US"/>
        </w:rPr>
        <w:t xml:space="preserve">Co-administration of a single dose of </w:t>
      </w:r>
      <w:proofErr w:type="spellStart"/>
      <w:r w:rsidRPr="57AD90B9">
        <w:rPr>
          <w:rFonts w:cs="Times New Roman"/>
          <w:lang w:val="en-US"/>
        </w:rPr>
        <w:t>fedratinib</w:t>
      </w:r>
      <w:proofErr w:type="spellEnd"/>
      <w:r w:rsidRPr="57AD90B9">
        <w:rPr>
          <w:rFonts w:cs="Times New Roman"/>
          <w:lang w:val="en-US"/>
        </w:rPr>
        <w:t xml:space="preserve"> (600</w:t>
      </w:r>
      <w:r w:rsidR="00767A1C">
        <w:rPr>
          <w:rFonts w:cs="Times New Roman"/>
          <w:lang w:val="en-US"/>
        </w:rPr>
        <w:t> </w:t>
      </w:r>
      <w:r w:rsidRPr="57AD90B9">
        <w:rPr>
          <w:rFonts w:cs="Times New Roman"/>
          <w:lang w:val="en-US"/>
        </w:rPr>
        <w:t>mg) with a single dose of digoxin (P-</w:t>
      </w:r>
      <w:proofErr w:type="spellStart"/>
      <w:r w:rsidRPr="57AD90B9">
        <w:rPr>
          <w:rFonts w:cs="Times New Roman"/>
          <w:lang w:val="en-US"/>
        </w:rPr>
        <w:t>gp</w:t>
      </w:r>
      <w:proofErr w:type="spellEnd"/>
      <w:r w:rsidRPr="57AD90B9">
        <w:rPr>
          <w:rFonts w:cs="Times New Roman"/>
          <w:lang w:val="en-US"/>
        </w:rPr>
        <w:t xml:space="preserve"> substrate: 0.25</w:t>
      </w:r>
      <w:r w:rsidR="00767A1C">
        <w:rPr>
          <w:rFonts w:cs="Times New Roman"/>
          <w:lang w:val="en-US"/>
        </w:rPr>
        <w:t> </w:t>
      </w:r>
      <w:r w:rsidRPr="57AD90B9">
        <w:rPr>
          <w:rFonts w:cs="Times New Roman"/>
          <w:lang w:val="en-US"/>
        </w:rPr>
        <w:t>mg), rosuvastatin (OATP1B1/1B3 and BCRP substrate: 10</w:t>
      </w:r>
      <w:r w:rsidR="00FB5B1A">
        <w:rPr>
          <w:rFonts w:cs="Times New Roman"/>
          <w:lang w:val="en-US"/>
        </w:rPr>
        <w:t> </w:t>
      </w:r>
      <w:r w:rsidRPr="57AD90B9">
        <w:rPr>
          <w:rFonts w:cs="Times New Roman"/>
          <w:lang w:val="en-US"/>
        </w:rPr>
        <w:t>mg), and metformin (OCT2 and MATE1/2-K substrate: 1000</w:t>
      </w:r>
      <w:r w:rsidR="00767A1C">
        <w:rPr>
          <w:rFonts w:cs="Times New Roman"/>
          <w:lang w:val="en-US"/>
        </w:rPr>
        <w:t> </w:t>
      </w:r>
      <w:r w:rsidRPr="57AD90B9">
        <w:rPr>
          <w:rFonts w:cs="Times New Roman"/>
          <w:lang w:val="en-US"/>
        </w:rPr>
        <w:t xml:space="preserve">mg) had no clinically meaningful effect on the </w:t>
      </w:r>
      <w:r w:rsidR="00F70ED9" w:rsidRPr="57AD90B9">
        <w:rPr>
          <w:rFonts w:cs="Times New Roman"/>
          <w:lang w:val="en-US"/>
        </w:rPr>
        <w:t>exposure</w:t>
      </w:r>
      <w:r w:rsidRPr="57AD90B9">
        <w:rPr>
          <w:rFonts w:cs="Times New Roman"/>
          <w:lang w:val="en-US"/>
        </w:rPr>
        <w:t xml:space="preserve"> of digoxin, rosuvastatin, and metformin. </w:t>
      </w:r>
    </w:p>
    <w:p w14:paraId="1F4E94BD" w14:textId="31C5D4A3" w:rsidR="00180200" w:rsidRPr="00874A88" w:rsidRDefault="00211F08" w:rsidP="00874A88">
      <w:pPr>
        <w:rPr>
          <w:rFonts w:cs="Times New Roman"/>
          <w:lang w:val="en"/>
        </w:rPr>
      </w:pPr>
      <w:r w:rsidRPr="57AD90B9">
        <w:rPr>
          <w:rFonts w:cs="Times New Roman"/>
          <w:lang w:val="en-US"/>
        </w:rPr>
        <w:t xml:space="preserve">Renal clearance of metformin was decreased by 36% in the presence of </w:t>
      </w:r>
      <w:proofErr w:type="spellStart"/>
      <w:r w:rsidRPr="57AD90B9">
        <w:rPr>
          <w:rFonts w:cs="Times New Roman"/>
          <w:lang w:val="en-US"/>
        </w:rPr>
        <w:t>fedratinib</w:t>
      </w:r>
      <w:proofErr w:type="spellEnd"/>
      <w:r w:rsidRPr="57AD90B9">
        <w:rPr>
          <w:rFonts w:cs="Times New Roman"/>
          <w:lang w:val="en-US"/>
        </w:rPr>
        <w:t>. Caution should be exercised</w:t>
      </w:r>
      <w:r w:rsidR="00566F2C" w:rsidRPr="57AD90B9">
        <w:rPr>
          <w:rFonts w:cs="Times New Roman"/>
          <w:lang w:val="en-US"/>
        </w:rPr>
        <w:t>,</w:t>
      </w:r>
      <w:r w:rsidRPr="57AD90B9">
        <w:rPr>
          <w:rFonts w:cs="Times New Roman"/>
          <w:lang w:val="en-US"/>
        </w:rPr>
        <w:t xml:space="preserve"> </w:t>
      </w:r>
      <w:proofErr w:type="gramStart"/>
      <w:r w:rsidRPr="57AD90B9">
        <w:rPr>
          <w:rFonts w:cs="Times New Roman"/>
          <w:lang w:val="en-US"/>
        </w:rPr>
        <w:t>and dose</w:t>
      </w:r>
      <w:proofErr w:type="gramEnd"/>
      <w:r w:rsidRPr="57AD90B9">
        <w:rPr>
          <w:rFonts w:cs="Times New Roman"/>
          <w:lang w:val="en-US"/>
        </w:rPr>
        <w:t xml:space="preserve"> modifications should be made as needed for agents that are renally excreted via OCT2 and MATE1/2-K</w:t>
      </w:r>
      <w:r w:rsidR="00F70ED9" w:rsidRPr="57AD90B9">
        <w:rPr>
          <w:rFonts w:cs="Times New Roman"/>
          <w:lang w:val="en-US"/>
        </w:rPr>
        <w:t xml:space="preserve"> such as metformin</w:t>
      </w:r>
      <w:r w:rsidRPr="57AD90B9">
        <w:rPr>
          <w:rFonts w:cs="Times New Roman"/>
          <w:lang w:val="en-US"/>
        </w:rPr>
        <w:t>.</w:t>
      </w:r>
    </w:p>
    <w:p w14:paraId="47C33CD2" w14:textId="77777777" w:rsidR="001A3992" w:rsidRPr="000A4651" w:rsidRDefault="001A3992" w:rsidP="002C18CF">
      <w:pPr>
        <w:pStyle w:val="Heading2"/>
      </w:pPr>
      <w:r w:rsidRPr="000A4651">
        <w:t xml:space="preserve">Fertility, pregnancy and lactation </w:t>
      </w:r>
    </w:p>
    <w:p w14:paraId="280121BA" w14:textId="77777777" w:rsidR="001A3992" w:rsidRDefault="001A3992" w:rsidP="001A5A2A">
      <w:pPr>
        <w:pStyle w:val="Heading3"/>
        <w:rPr>
          <w:rFonts w:hint="eastAsia"/>
        </w:rPr>
      </w:pPr>
      <w:r w:rsidRPr="000A4651">
        <w:t>Effects on fertility</w:t>
      </w:r>
    </w:p>
    <w:p w14:paraId="4983792D" w14:textId="3BDCF962" w:rsidR="001D48FE" w:rsidRPr="003E1C05" w:rsidRDefault="001D48FE" w:rsidP="003E1C05">
      <w:pPr>
        <w:rPr>
          <w:rFonts w:cs="Times New Roman"/>
          <w:lang w:val="en-US"/>
        </w:rPr>
      </w:pPr>
      <w:r w:rsidRPr="57AD90B9">
        <w:rPr>
          <w:rFonts w:cs="Times New Roman"/>
          <w:lang w:val="en-US"/>
        </w:rPr>
        <w:t xml:space="preserve">There </w:t>
      </w:r>
      <w:proofErr w:type="gramStart"/>
      <w:r w:rsidRPr="57AD90B9">
        <w:rPr>
          <w:rFonts w:cs="Times New Roman"/>
          <w:lang w:val="en-US"/>
        </w:rPr>
        <w:t>are</w:t>
      </w:r>
      <w:proofErr w:type="gramEnd"/>
      <w:r w:rsidRPr="57AD90B9">
        <w:rPr>
          <w:rFonts w:cs="Times New Roman"/>
          <w:lang w:val="en-US"/>
        </w:rPr>
        <w:t xml:space="preserve"> no human data on the effect of </w:t>
      </w:r>
      <w:proofErr w:type="spellStart"/>
      <w:r w:rsidRPr="57AD90B9">
        <w:rPr>
          <w:rFonts w:cs="Times New Roman"/>
          <w:lang w:val="en-US"/>
        </w:rPr>
        <w:t>fedratinib</w:t>
      </w:r>
      <w:proofErr w:type="spellEnd"/>
      <w:r w:rsidRPr="57AD90B9">
        <w:rPr>
          <w:rFonts w:cs="Times New Roman"/>
          <w:lang w:val="en-US"/>
        </w:rPr>
        <w:t xml:space="preserve"> on fertility. </w:t>
      </w:r>
      <w:proofErr w:type="spellStart"/>
      <w:r w:rsidRPr="57AD90B9">
        <w:rPr>
          <w:rFonts w:cs="Times New Roman"/>
          <w:lang w:val="en-US"/>
        </w:rPr>
        <w:t>Fedratinib</w:t>
      </w:r>
      <w:proofErr w:type="spellEnd"/>
      <w:r w:rsidRPr="57AD90B9">
        <w:rPr>
          <w:rFonts w:cs="Times New Roman"/>
          <w:lang w:val="en-US"/>
        </w:rPr>
        <w:t xml:space="preserve"> had no effect on fertility in male or female rats at</w:t>
      </w:r>
      <w:r w:rsidR="00B334F0">
        <w:rPr>
          <w:rFonts w:cs="Times New Roman"/>
          <w:lang w:val="en-US"/>
        </w:rPr>
        <w:t xml:space="preserve"> oral</w:t>
      </w:r>
      <w:r w:rsidRPr="57AD90B9">
        <w:rPr>
          <w:rFonts w:cs="Times New Roman"/>
          <w:lang w:val="en-US"/>
        </w:rPr>
        <w:t xml:space="preserve"> doses up to 30</w:t>
      </w:r>
      <w:r w:rsidR="00767A1C">
        <w:rPr>
          <w:rFonts w:cs="Times New Roman"/>
          <w:lang w:val="en-US"/>
        </w:rPr>
        <w:t> </w:t>
      </w:r>
      <w:r w:rsidRPr="57AD90B9">
        <w:rPr>
          <w:rFonts w:cs="Times New Roman"/>
          <w:lang w:val="en-US"/>
        </w:rPr>
        <w:t>mg/kg</w:t>
      </w:r>
      <w:r w:rsidR="00B334F0">
        <w:rPr>
          <w:rFonts w:cs="Times New Roman"/>
          <w:lang w:val="en-US"/>
        </w:rPr>
        <w:t>/day</w:t>
      </w:r>
      <w:r w:rsidRPr="57AD90B9">
        <w:rPr>
          <w:rFonts w:cs="Times New Roman"/>
          <w:lang w:val="en-US"/>
        </w:rPr>
        <w:t>. The exposure (</w:t>
      </w:r>
      <w:r w:rsidR="00B334F0">
        <w:rPr>
          <w:rFonts w:cs="Times New Roman"/>
          <w:lang w:val="en-US"/>
        </w:rPr>
        <w:t xml:space="preserve">plasma </w:t>
      </w:r>
      <w:r w:rsidRPr="57AD90B9">
        <w:rPr>
          <w:rFonts w:cs="Times New Roman"/>
          <w:lang w:val="en-US"/>
        </w:rPr>
        <w:t>AUC) at the dose of 30</w:t>
      </w:r>
      <w:r w:rsidR="00767A1C">
        <w:rPr>
          <w:rFonts w:cs="Times New Roman"/>
          <w:lang w:val="en-US"/>
        </w:rPr>
        <w:t> </w:t>
      </w:r>
      <w:r w:rsidRPr="57AD90B9">
        <w:rPr>
          <w:rFonts w:cs="Times New Roman"/>
          <w:lang w:val="en-US"/>
        </w:rPr>
        <w:t xml:space="preserve">mg/kg/day is approximately 0.10 to 0.13 times the clinical exposure at the </w:t>
      </w:r>
      <w:r w:rsidR="00B334F0">
        <w:rPr>
          <w:rFonts w:cs="Times New Roman"/>
          <w:lang w:val="en-US"/>
        </w:rPr>
        <w:t xml:space="preserve">maximum </w:t>
      </w:r>
      <w:r w:rsidRPr="57AD90B9">
        <w:rPr>
          <w:rFonts w:cs="Times New Roman"/>
          <w:lang w:val="en-US"/>
        </w:rPr>
        <w:t>recommended dose of 400</w:t>
      </w:r>
      <w:r w:rsidR="00767A1C">
        <w:rPr>
          <w:rFonts w:cs="Times New Roman"/>
          <w:lang w:val="en-US"/>
        </w:rPr>
        <w:t> </w:t>
      </w:r>
      <w:r w:rsidRPr="57AD90B9">
        <w:rPr>
          <w:rFonts w:cs="Times New Roman"/>
          <w:lang w:val="en-US"/>
        </w:rPr>
        <w:t>mg once daily. There are no data on effects on fertility in animals at clinically relevant exposures.</w:t>
      </w:r>
    </w:p>
    <w:p w14:paraId="4E77A374" w14:textId="2757E651" w:rsidR="001A3992" w:rsidRDefault="003C741E" w:rsidP="001A5A2A">
      <w:pPr>
        <w:pStyle w:val="Heading3"/>
        <w:rPr>
          <w:rFonts w:hint="eastAsia"/>
        </w:rPr>
      </w:pPr>
      <w:r>
        <w:t>Use in pregnancy</w:t>
      </w:r>
      <w:r w:rsidR="00616E17">
        <w:t xml:space="preserve"> - Category </w:t>
      </w:r>
      <w:r w:rsidR="00E05C15">
        <w:t>D</w:t>
      </w:r>
    </w:p>
    <w:p w14:paraId="705DF394" w14:textId="606AD4D8" w:rsidR="00EE5290" w:rsidRPr="00616E17" w:rsidRDefault="00EE5290" w:rsidP="00EE5290">
      <w:pPr>
        <w:rPr>
          <w:rFonts w:cs="Times New Roman"/>
          <w:lang w:val="en-US"/>
        </w:rPr>
      </w:pPr>
      <w:r w:rsidRPr="57AD90B9">
        <w:rPr>
          <w:rFonts w:cs="Times New Roman"/>
          <w:lang w:val="en-US"/>
        </w:rPr>
        <w:t xml:space="preserve">There are no studies with the use of INREBIC in pregnant women to inform drug-associated risks. </w:t>
      </w:r>
      <w:proofErr w:type="spellStart"/>
      <w:r w:rsidR="00E05C15">
        <w:rPr>
          <w:rFonts w:cs="Times New Roman"/>
          <w:lang w:val="en-US"/>
        </w:rPr>
        <w:t>Fedratinib</w:t>
      </w:r>
      <w:proofErr w:type="spellEnd"/>
      <w:r w:rsidR="00E05C15">
        <w:rPr>
          <w:rFonts w:cs="Times New Roman"/>
          <w:lang w:val="en-US"/>
        </w:rPr>
        <w:t xml:space="preserve"> was shown to cause embryofetal lethality in animals at exposure levels well below that of patients. </w:t>
      </w:r>
      <w:r w:rsidRPr="57AD90B9">
        <w:rPr>
          <w:rFonts w:cs="Times New Roman"/>
          <w:lang w:val="en-US"/>
        </w:rPr>
        <w:t xml:space="preserve">If </w:t>
      </w:r>
      <w:proofErr w:type="spellStart"/>
      <w:r w:rsidRPr="57AD90B9">
        <w:rPr>
          <w:rFonts w:cs="Times New Roman"/>
          <w:lang w:val="en-US"/>
        </w:rPr>
        <w:t>fedratinib</w:t>
      </w:r>
      <w:proofErr w:type="spellEnd"/>
      <w:r w:rsidRPr="57AD90B9">
        <w:rPr>
          <w:rFonts w:cs="Times New Roman"/>
          <w:lang w:val="en-US"/>
        </w:rPr>
        <w:t xml:space="preserve"> is used during pregnancy, or if the patient becomes pregnant while taking this drug, advise the patient of the potential risk to a fetus.</w:t>
      </w:r>
    </w:p>
    <w:p w14:paraId="6F129D9C" w14:textId="0ADB57DE" w:rsidR="008A1359" w:rsidRDefault="00EE5290" w:rsidP="00616E17">
      <w:pPr>
        <w:rPr>
          <w:rFonts w:cs="Times New Roman"/>
          <w:lang w:val="en-US"/>
        </w:rPr>
      </w:pPr>
      <w:r w:rsidRPr="57AD90B9">
        <w:rPr>
          <w:rFonts w:cs="Times New Roman"/>
          <w:lang w:val="en-US"/>
        </w:rPr>
        <w:t>Advise females of reproductive potential to avoid becoming pregnant while receiving INREBIC and to use effective contraception during treatment with INREBIC and for at least 1</w:t>
      </w:r>
      <w:r w:rsidR="00767A1C">
        <w:rPr>
          <w:rFonts w:cs="Times New Roman"/>
          <w:lang w:val="en-US"/>
        </w:rPr>
        <w:t> </w:t>
      </w:r>
      <w:r w:rsidRPr="57AD90B9">
        <w:rPr>
          <w:rFonts w:cs="Times New Roman"/>
          <w:lang w:val="en-US"/>
        </w:rPr>
        <w:t>month after the last dose.</w:t>
      </w:r>
    </w:p>
    <w:p w14:paraId="62FDD766" w14:textId="1BC6A170" w:rsidR="00745D43" w:rsidRDefault="00745D43" w:rsidP="00616E17">
      <w:pPr>
        <w:rPr>
          <w:rFonts w:cs="Times New Roman"/>
          <w:lang w:val="en-US"/>
        </w:rPr>
      </w:pPr>
      <w:r w:rsidRPr="00745D43">
        <w:rPr>
          <w:rFonts w:cs="Times New Roman"/>
          <w:lang w:val="en-US"/>
        </w:rPr>
        <w:t xml:space="preserve">Administration of </w:t>
      </w:r>
      <w:proofErr w:type="spellStart"/>
      <w:r w:rsidRPr="00745D43">
        <w:rPr>
          <w:rFonts w:cs="Times New Roman"/>
          <w:lang w:val="en-US"/>
        </w:rPr>
        <w:t>fedratinib</w:t>
      </w:r>
      <w:proofErr w:type="spellEnd"/>
      <w:r w:rsidRPr="00745D43">
        <w:rPr>
          <w:rFonts w:cs="Times New Roman"/>
          <w:lang w:val="en-US"/>
        </w:rPr>
        <w:t xml:space="preserve"> to pregnant rats during organogenesis caused increased post-implantation loss, lower fetal body weight and altered fetal skeletal development (seen as an increased incidence of additional ossification </w:t>
      </w:r>
      <w:proofErr w:type="spellStart"/>
      <w:r w:rsidRPr="00745D43">
        <w:rPr>
          <w:rFonts w:cs="Times New Roman"/>
          <w:lang w:val="en-US"/>
        </w:rPr>
        <w:t>centres</w:t>
      </w:r>
      <w:proofErr w:type="spellEnd"/>
      <w:r w:rsidRPr="00745D43">
        <w:rPr>
          <w:rFonts w:cs="Times New Roman"/>
          <w:lang w:val="en-US"/>
        </w:rPr>
        <w:t xml:space="preserve"> of the cervical vertebral neural arches, a skeletal variation) at an oral dose of 30</w:t>
      </w:r>
      <w:r w:rsidR="00FF1523">
        <w:t> </w:t>
      </w:r>
      <w:r w:rsidRPr="00745D43">
        <w:rPr>
          <w:rFonts w:cs="Times New Roman"/>
          <w:lang w:val="en-US"/>
        </w:rPr>
        <w:t xml:space="preserve">mg/kg/day. This dose yielded exposure </w:t>
      </w:r>
      <w:proofErr w:type="gramStart"/>
      <w:r w:rsidRPr="00745D43">
        <w:rPr>
          <w:rFonts w:cs="Times New Roman"/>
          <w:lang w:val="en-US"/>
        </w:rPr>
        <w:t>in</w:t>
      </w:r>
      <w:proofErr w:type="gramEnd"/>
      <w:r w:rsidRPr="00745D43">
        <w:rPr>
          <w:rFonts w:cs="Times New Roman"/>
          <w:lang w:val="en-US"/>
        </w:rPr>
        <w:t xml:space="preserve"> animals 0.11</w:t>
      </w:r>
      <w:r w:rsidR="00FF1523">
        <w:rPr>
          <w:rFonts w:cs="Times New Roman"/>
          <w:lang w:val="en-US"/>
        </w:rPr>
        <w:t> </w:t>
      </w:r>
      <w:r w:rsidRPr="00745D43">
        <w:rPr>
          <w:rFonts w:cs="Times New Roman"/>
          <w:lang w:val="en-US"/>
        </w:rPr>
        <w:t xml:space="preserve">times that of patients at the maximum recommended human dose. Maternal administration to rats at this dose level during gestation and lactation resulted in reduced body weight of the offspring (at birth and pre- and post-weaning). No adverse effects on embryofetal development were observed with </w:t>
      </w:r>
      <w:proofErr w:type="spellStart"/>
      <w:r w:rsidRPr="00745D43">
        <w:rPr>
          <w:rFonts w:cs="Times New Roman"/>
          <w:lang w:val="en-US"/>
        </w:rPr>
        <w:t>fedratinib</w:t>
      </w:r>
      <w:proofErr w:type="spellEnd"/>
      <w:r w:rsidRPr="00745D43">
        <w:rPr>
          <w:rFonts w:cs="Times New Roman"/>
          <w:lang w:val="en-US"/>
        </w:rPr>
        <w:t xml:space="preserve"> in pregnant rabbits, but the highest tested dose (30</w:t>
      </w:r>
      <w:r w:rsidR="00FF1523">
        <w:rPr>
          <w:rFonts w:cs="Times New Roman"/>
          <w:lang w:val="en-US"/>
        </w:rPr>
        <w:t> </w:t>
      </w:r>
      <w:r w:rsidRPr="00745D43">
        <w:rPr>
          <w:rFonts w:cs="Times New Roman"/>
          <w:lang w:val="en-US"/>
        </w:rPr>
        <w:t>mg/kg/day) yielded only very limited exposure (0.08</w:t>
      </w:r>
      <w:r w:rsidR="00FF1523">
        <w:rPr>
          <w:rFonts w:cs="Times New Roman"/>
          <w:lang w:val="en-US"/>
        </w:rPr>
        <w:t> </w:t>
      </w:r>
      <w:r w:rsidRPr="00745D43">
        <w:rPr>
          <w:rFonts w:cs="Times New Roman"/>
          <w:lang w:val="en-US"/>
        </w:rPr>
        <w:t>times that of patients at the maximum recommended human dose).</w:t>
      </w:r>
    </w:p>
    <w:p w14:paraId="5EC66C89" w14:textId="0B88F8B2" w:rsidR="001A3992" w:rsidRDefault="003C741E" w:rsidP="001A5A2A">
      <w:pPr>
        <w:pStyle w:val="Heading3"/>
        <w:rPr>
          <w:rFonts w:hint="eastAsia"/>
        </w:rPr>
      </w:pPr>
      <w:r w:rsidRPr="000A4651">
        <w:t>Use in lactation</w:t>
      </w:r>
    </w:p>
    <w:p w14:paraId="7F8A7580" w14:textId="3D4EF1F4" w:rsidR="00273463" w:rsidRDefault="00487F86" w:rsidP="00487F86">
      <w:pPr>
        <w:rPr>
          <w:rFonts w:cs="Times New Roman"/>
          <w:lang w:val="en-US"/>
        </w:rPr>
      </w:pPr>
      <w:r w:rsidRPr="57AD90B9">
        <w:rPr>
          <w:rFonts w:cs="Times New Roman"/>
          <w:lang w:val="en-US"/>
        </w:rPr>
        <w:t xml:space="preserve">There are no data on the presence of </w:t>
      </w:r>
      <w:proofErr w:type="spellStart"/>
      <w:r w:rsidR="00AC7F1E">
        <w:rPr>
          <w:rFonts w:cs="Times New Roman"/>
          <w:lang w:val="en-US"/>
        </w:rPr>
        <w:t>fedratinib</w:t>
      </w:r>
      <w:proofErr w:type="spellEnd"/>
      <w:r w:rsidRPr="57AD90B9">
        <w:rPr>
          <w:rFonts w:cs="Times New Roman"/>
          <w:lang w:val="en-US"/>
        </w:rPr>
        <w:t xml:space="preserve"> or its metabolites in milk, the effects </w:t>
      </w:r>
      <w:r w:rsidR="00AC7F1E">
        <w:rPr>
          <w:rFonts w:cs="Times New Roman"/>
          <w:lang w:val="en-US"/>
        </w:rPr>
        <w:t>of</w:t>
      </w:r>
      <w:r w:rsidR="0073790C">
        <w:rPr>
          <w:rFonts w:cs="Times New Roman"/>
          <w:lang w:val="en-US"/>
        </w:rPr>
        <w:t xml:space="preserve"> </w:t>
      </w:r>
      <w:r w:rsidR="00AC7F1E">
        <w:rPr>
          <w:rFonts w:cs="Times New Roman"/>
          <w:lang w:val="en-US"/>
        </w:rPr>
        <w:t xml:space="preserve">INREBIC </w:t>
      </w:r>
      <w:r w:rsidRPr="57AD90B9">
        <w:rPr>
          <w:rFonts w:cs="Times New Roman"/>
          <w:lang w:val="en-US"/>
        </w:rPr>
        <w:t xml:space="preserve">on the breastfed infant, or the effects on milk production. Because many drugs are excreted in human milk and because of the potential for adverse reactions in breastfed infants, advise women not to breastfeed during treatment with </w:t>
      </w:r>
      <w:r w:rsidR="000F60E6" w:rsidRPr="57AD90B9">
        <w:rPr>
          <w:rFonts w:cs="Times New Roman"/>
          <w:lang w:val="en-US"/>
        </w:rPr>
        <w:t>INREBIC</w:t>
      </w:r>
      <w:r w:rsidRPr="57AD90B9">
        <w:rPr>
          <w:rFonts w:cs="Times New Roman"/>
          <w:lang w:val="en-US"/>
        </w:rPr>
        <w:t xml:space="preserve"> and for at least 1</w:t>
      </w:r>
      <w:r w:rsidR="00767A1C">
        <w:rPr>
          <w:rFonts w:cs="Times New Roman"/>
          <w:lang w:val="en-US"/>
        </w:rPr>
        <w:t> </w:t>
      </w:r>
      <w:r w:rsidRPr="57AD90B9">
        <w:rPr>
          <w:rFonts w:cs="Times New Roman"/>
          <w:lang w:val="en-US"/>
        </w:rPr>
        <w:t>month after the last dose.</w:t>
      </w:r>
    </w:p>
    <w:p w14:paraId="0E26D0D8" w14:textId="77777777" w:rsidR="002C18CF" w:rsidRPr="00487F86" w:rsidRDefault="002C18CF" w:rsidP="00487F86">
      <w:pPr>
        <w:rPr>
          <w:rFonts w:cs="Times New Roman"/>
          <w:lang w:val="en-US"/>
        </w:rPr>
      </w:pPr>
    </w:p>
    <w:p w14:paraId="0375B0C2" w14:textId="77777777" w:rsidR="001A3992" w:rsidRPr="000A4651" w:rsidRDefault="001A3992" w:rsidP="002C18CF">
      <w:pPr>
        <w:pStyle w:val="Heading2"/>
      </w:pPr>
      <w:r w:rsidRPr="000A4651">
        <w:lastRenderedPageBreak/>
        <w:t>Effects on ab</w:t>
      </w:r>
      <w:r w:rsidR="003C741E" w:rsidRPr="000A4651">
        <w:t>ility to drive and use machines</w:t>
      </w:r>
    </w:p>
    <w:p w14:paraId="4688265B" w14:textId="34212B4A" w:rsidR="003558FB" w:rsidRDefault="009D1191" w:rsidP="003558FB">
      <w:pPr>
        <w:rPr>
          <w:szCs w:val="24"/>
        </w:rPr>
      </w:pPr>
      <w:r w:rsidRPr="009D1191">
        <w:rPr>
          <w:szCs w:val="24"/>
        </w:rPr>
        <w:t xml:space="preserve">INREBIC has no sedating effect but may cause dizziness in some people. Patients should be advised not to drive </w:t>
      </w:r>
      <w:r w:rsidR="00773E53">
        <w:rPr>
          <w:szCs w:val="24"/>
        </w:rPr>
        <w:t xml:space="preserve">or </w:t>
      </w:r>
      <w:r w:rsidRPr="009D1191">
        <w:rPr>
          <w:szCs w:val="24"/>
        </w:rPr>
        <w:t xml:space="preserve">operate machinery if they experience dizziness after taking </w:t>
      </w:r>
      <w:proofErr w:type="spellStart"/>
      <w:r w:rsidRPr="009D1191">
        <w:rPr>
          <w:szCs w:val="24"/>
        </w:rPr>
        <w:t>fedratinib</w:t>
      </w:r>
      <w:proofErr w:type="spellEnd"/>
      <w:r w:rsidRPr="009D1191">
        <w:rPr>
          <w:szCs w:val="24"/>
        </w:rPr>
        <w:t>.</w:t>
      </w:r>
    </w:p>
    <w:p w14:paraId="7150EC92" w14:textId="15D27967" w:rsidR="001A3992" w:rsidRPr="003558FB" w:rsidRDefault="001A3992" w:rsidP="002C18CF">
      <w:pPr>
        <w:pStyle w:val="Heading2"/>
      </w:pPr>
      <w:r w:rsidRPr="000A4651">
        <w:t>Adverse effects (Undesirable effects)</w:t>
      </w:r>
    </w:p>
    <w:p w14:paraId="6502EB02" w14:textId="66F8F1CF" w:rsidR="00F35896" w:rsidRDefault="00180F56" w:rsidP="001B56F5">
      <w:pPr>
        <w:rPr>
          <w:rFonts w:cs="Times New Roman"/>
          <w:lang w:val="en-US"/>
        </w:rPr>
      </w:pPr>
      <w:r w:rsidRPr="5FFA413C">
        <w:rPr>
          <w:rFonts w:cs="Times New Roman"/>
          <w:lang w:val="en-US"/>
        </w:rPr>
        <w:t xml:space="preserve">The safety information of </w:t>
      </w:r>
      <w:r w:rsidR="007339AE" w:rsidRPr="5FFA413C">
        <w:rPr>
          <w:rFonts w:cs="Times New Roman"/>
          <w:lang w:val="en-US"/>
        </w:rPr>
        <w:t xml:space="preserve">INREBIC </w:t>
      </w:r>
      <w:r w:rsidRPr="5FFA413C">
        <w:rPr>
          <w:rFonts w:cs="Times New Roman"/>
          <w:lang w:val="en-US"/>
        </w:rPr>
        <w:t>was assessed in</w:t>
      </w:r>
      <w:r w:rsidR="00671A11" w:rsidRPr="5FFA413C">
        <w:rPr>
          <w:rFonts w:cs="Times New Roman"/>
          <w:lang w:val="en-US"/>
        </w:rPr>
        <w:t xml:space="preserve"> </w:t>
      </w:r>
      <w:r w:rsidR="007339AE" w:rsidRPr="5FFA413C">
        <w:rPr>
          <w:rFonts w:cs="Times New Roman"/>
          <w:lang w:val="en-US"/>
        </w:rPr>
        <w:t>484 patients who received INREBIC 400</w:t>
      </w:r>
      <w:r w:rsidR="00B42434" w:rsidRPr="5FFA413C">
        <w:rPr>
          <w:rFonts w:cs="Times New Roman"/>
          <w:lang w:val="en-US"/>
        </w:rPr>
        <w:t xml:space="preserve"> </w:t>
      </w:r>
      <w:r w:rsidR="007339AE" w:rsidRPr="5FFA413C">
        <w:rPr>
          <w:rFonts w:cs="Times New Roman"/>
          <w:lang w:val="en-US"/>
        </w:rPr>
        <w:t xml:space="preserve">mg </w:t>
      </w:r>
      <w:r w:rsidR="00CF66E4" w:rsidRPr="5FFA413C">
        <w:rPr>
          <w:rFonts w:cs="Times New Roman"/>
          <w:lang w:val="en-US"/>
        </w:rPr>
        <w:t>for the first 6 cycles</w:t>
      </w:r>
      <w:r w:rsidR="00B42434" w:rsidRPr="5FFA413C">
        <w:rPr>
          <w:rFonts w:cs="Times New Roman"/>
          <w:lang w:val="en-US"/>
        </w:rPr>
        <w:t xml:space="preserve"> in studies JAKARTA, JAKARTA2, ARD11936, </w:t>
      </w:r>
      <w:r w:rsidR="00B26DA0">
        <w:rPr>
          <w:rFonts w:cs="Times New Roman"/>
          <w:lang w:val="en-US"/>
        </w:rPr>
        <w:t>FREEDOM1, FREEDOM2 and FREEDOM3</w:t>
      </w:r>
      <w:r w:rsidR="007339AE" w:rsidRPr="5FFA413C">
        <w:rPr>
          <w:rFonts w:cs="Times New Roman"/>
          <w:lang w:val="en-US"/>
        </w:rPr>
        <w:t>. This</w:t>
      </w:r>
      <w:r w:rsidR="00DA45F2" w:rsidRPr="5FFA413C">
        <w:rPr>
          <w:rFonts w:cs="Times New Roman"/>
          <w:lang w:val="en-US"/>
        </w:rPr>
        <w:t xml:space="preserve"> safety information</w:t>
      </w:r>
      <w:r w:rsidR="00356585">
        <w:rPr>
          <w:rFonts w:cs="Times New Roman"/>
          <w:lang w:val="en-US"/>
        </w:rPr>
        <w:t>, which includes crossover population,</w:t>
      </w:r>
      <w:r w:rsidR="00DA45F2" w:rsidRPr="5FFA413C">
        <w:rPr>
          <w:rFonts w:cs="Times New Roman"/>
          <w:lang w:val="en-US"/>
        </w:rPr>
        <w:t xml:space="preserve"> </w:t>
      </w:r>
      <w:r w:rsidR="007339AE" w:rsidRPr="5FFA413C">
        <w:rPr>
          <w:rFonts w:cs="Times New Roman"/>
          <w:lang w:val="en-US"/>
        </w:rPr>
        <w:t xml:space="preserve">is </w:t>
      </w:r>
      <w:proofErr w:type="spellStart"/>
      <w:r w:rsidR="00C86D8A" w:rsidRPr="5FFA413C">
        <w:rPr>
          <w:rFonts w:cs="Times New Roman"/>
          <w:lang w:val="en-US"/>
        </w:rPr>
        <w:t>summarised</w:t>
      </w:r>
      <w:proofErr w:type="spellEnd"/>
      <w:r w:rsidR="00C86D8A" w:rsidRPr="5FFA413C">
        <w:rPr>
          <w:rFonts w:cs="Times New Roman"/>
          <w:lang w:val="en-US"/>
        </w:rPr>
        <w:t xml:space="preserve"> below and </w:t>
      </w:r>
      <w:r w:rsidR="007B291D" w:rsidRPr="5FFA413C">
        <w:rPr>
          <w:rFonts w:cs="Times New Roman"/>
          <w:lang w:val="en-US"/>
        </w:rPr>
        <w:t>described in</w:t>
      </w:r>
      <w:r w:rsidR="00A61AEF" w:rsidRPr="5FFA413C">
        <w:rPr>
          <w:rFonts w:cs="Times New Roman"/>
          <w:lang w:val="en-US"/>
        </w:rPr>
        <w:t xml:space="preserve"> Table</w:t>
      </w:r>
      <w:r w:rsidR="00DA45F2" w:rsidRPr="5FFA413C">
        <w:rPr>
          <w:rFonts w:cs="Times New Roman"/>
          <w:lang w:val="en-US"/>
        </w:rPr>
        <w:t>s</w:t>
      </w:r>
      <w:r w:rsidR="00A61AEF" w:rsidRPr="5FFA413C">
        <w:rPr>
          <w:rFonts w:cs="Times New Roman"/>
          <w:lang w:val="en-US"/>
        </w:rPr>
        <w:t xml:space="preserve"> 4</w:t>
      </w:r>
      <w:r w:rsidR="007B291D" w:rsidRPr="5FFA413C">
        <w:rPr>
          <w:rFonts w:cs="Times New Roman"/>
          <w:lang w:val="en-US"/>
        </w:rPr>
        <w:t xml:space="preserve"> and </w:t>
      </w:r>
      <w:r w:rsidR="00671A11" w:rsidRPr="5FFA413C">
        <w:rPr>
          <w:rFonts w:cs="Times New Roman"/>
          <w:lang w:val="en-US"/>
        </w:rPr>
        <w:t>5</w:t>
      </w:r>
      <w:r w:rsidR="00F35896" w:rsidRPr="5FFA413C">
        <w:rPr>
          <w:rFonts w:cs="Times New Roman"/>
          <w:lang w:val="en-US"/>
        </w:rPr>
        <w:t>.</w:t>
      </w:r>
    </w:p>
    <w:p w14:paraId="794CCFF0" w14:textId="0E4AA870" w:rsidR="0042020B" w:rsidRDefault="001A1FD7" w:rsidP="00CD3E35">
      <w:pPr>
        <w:rPr>
          <w:rFonts w:cs="Times New Roman"/>
          <w:lang w:val="en-US"/>
        </w:rPr>
      </w:pPr>
      <w:r w:rsidRPr="5FFA413C">
        <w:rPr>
          <w:rFonts w:cs="Times New Roman"/>
          <w:lang w:val="en-US"/>
        </w:rPr>
        <w:t xml:space="preserve">A separate assessment </w:t>
      </w:r>
      <w:r w:rsidR="003A2DC3" w:rsidRPr="5FFA413C">
        <w:rPr>
          <w:rFonts w:cs="Times New Roman"/>
          <w:lang w:val="en-US"/>
        </w:rPr>
        <w:t>was conducted in</w:t>
      </w:r>
      <w:r w:rsidR="00180F56" w:rsidRPr="5FFA413C">
        <w:rPr>
          <w:rFonts w:cs="Times New Roman"/>
          <w:lang w:val="en-US"/>
        </w:rPr>
        <w:t xml:space="preserve"> 608 patients who received continuous doses of </w:t>
      </w:r>
      <w:r w:rsidR="0027062B" w:rsidRPr="5FFA413C">
        <w:rPr>
          <w:rFonts w:cs="Times New Roman"/>
          <w:lang w:val="en-US"/>
        </w:rPr>
        <w:t xml:space="preserve">INREBIC </w:t>
      </w:r>
      <w:r w:rsidR="00180F56" w:rsidRPr="5FFA413C">
        <w:rPr>
          <w:rFonts w:cs="Times New Roman"/>
          <w:lang w:val="en-US"/>
        </w:rPr>
        <w:t>in</w:t>
      </w:r>
      <w:r w:rsidR="006F34E3" w:rsidRPr="5FFA413C">
        <w:rPr>
          <w:rFonts w:cs="Times New Roman"/>
          <w:lang w:val="en-US"/>
        </w:rPr>
        <w:t xml:space="preserve"> nine</w:t>
      </w:r>
      <w:r w:rsidR="00180F56" w:rsidRPr="5FFA413C">
        <w:rPr>
          <w:rFonts w:cs="Times New Roman"/>
          <w:lang w:val="en-US"/>
        </w:rPr>
        <w:t xml:space="preserve"> Phase 1, 2 and 3 clinical studies</w:t>
      </w:r>
      <w:r w:rsidR="006F34E3" w:rsidRPr="5FFA413C">
        <w:rPr>
          <w:rFonts w:cs="Times New Roman"/>
          <w:lang w:val="en-US"/>
        </w:rPr>
        <w:t xml:space="preserve"> (</w:t>
      </w:r>
      <w:r w:rsidR="006210FE" w:rsidRPr="5FFA413C">
        <w:rPr>
          <w:rFonts w:cs="Times New Roman"/>
          <w:lang w:val="en-US"/>
        </w:rPr>
        <w:t>JAKARTA, JAKARTA2</w:t>
      </w:r>
      <w:r w:rsidR="00A52C69">
        <w:rPr>
          <w:rFonts w:cs="Times New Roman"/>
          <w:lang w:val="en-US"/>
        </w:rPr>
        <w:t xml:space="preserve">, </w:t>
      </w:r>
      <w:r w:rsidR="006210FE" w:rsidRPr="5FFA413C">
        <w:rPr>
          <w:rFonts w:cs="Times New Roman"/>
          <w:lang w:val="en-US"/>
        </w:rPr>
        <w:t>ARD11936</w:t>
      </w:r>
      <w:r w:rsidR="00267248">
        <w:rPr>
          <w:rFonts w:cs="Times New Roman"/>
          <w:lang w:val="en-US"/>
        </w:rPr>
        <w:t>, TED12037, TED12015, ARD12042, ARD12888, INT12497 and TES13519</w:t>
      </w:r>
      <w:r w:rsidR="006210FE" w:rsidRPr="5FFA413C">
        <w:rPr>
          <w:rFonts w:cs="Times New Roman"/>
          <w:lang w:val="en-US"/>
        </w:rPr>
        <w:t>)</w:t>
      </w:r>
      <w:r w:rsidR="00180F56" w:rsidRPr="5FFA413C">
        <w:rPr>
          <w:rFonts w:cs="Times New Roman"/>
          <w:lang w:val="en-US"/>
        </w:rPr>
        <w:t>.</w:t>
      </w:r>
      <w:r w:rsidR="004B3304" w:rsidRPr="5FFA413C">
        <w:rPr>
          <w:rFonts w:cs="Times New Roman"/>
          <w:lang w:val="en-US"/>
        </w:rPr>
        <w:t xml:space="preserve"> This </w:t>
      </w:r>
      <w:r w:rsidR="00C11C93" w:rsidRPr="5FFA413C">
        <w:rPr>
          <w:rFonts w:cs="Times New Roman"/>
          <w:lang w:val="en-US"/>
        </w:rPr>
        <w:t>safety information</w:t>
      </w:r>
      <w:r w:rsidR="004B3304" w:rsidRPr="5FFA413C">
        <w:rPr>
          <w:rFonts w:cs="Times New Roman"/>
          <w:lang w:val="en-US"/>
        </w:rPr>
        <w:t xml:space="preserve"> is des</w:t>
      </w:r>
      <w:r w:rsidR="00F621D0" w:rsidRPr="5FFA413C">
        <w:rPr>
          <w:rFonts w:cs="Times New Roman"/>
          <w:lang w:val="en-US"/>
        </w:rPr>
        <w:t>c</w:t>
      </w:r>
      <w:r w:rsidR="004B3304" w:rsidRPr="5FFA413C">
        <w:rPr>
          <w:rFonts w:cs="Times New Roman"/>
          <w:lang w:val="en-US"/>
        </w:rPr>
        <w:t xml:space="preserve">ribed </w:t>
      </w:r>
      <w:r w:rsidR="00795B8C" w:rsidRPr="5FFA413C">
        <w:rPr>
          <w:rFonts w:cs="Times New Roman"/>
          <w:lang w:val="en-US"/>
        </w:rPr>
        <w:t>under</w:t>
      </w:r>
      <w:r w:rsidR="0027062B" w:rsidRPr="5FFA413C">
        <w:rPr>
          <w:rFonts w:cs="Times New Roman"/>
          <w:lang w:val="en-US"/>
        </w:rPr>
        <w:t xml:space="preserve"> </w:t>
      </w:r>
      <w:r w:rsidR="004B3304" w:rsidRPr="5FFA413C">
        <w:rPr>
          <w:rFonts w:cs="Times New Roman"/>
          <w:lang w:val="en-US"/>
        </w:rPr>
        <w:t xml:space="preserve">Description of </w:t>
      </w:r>
      <w:r w:rsidR="00C11C93" w:rsidRPr="5FFA413C">
        <w:rPr>
          <w:rFonts w:cs="Times New Roman"/>
          <w:lang w:val="en-US"/>
        </w:rPr>
        <w:t>Selected Adverse Drug Reactions</w:t>
      </w:r>
      <w:r w:rsidR="001F3A13" w:rsidRPr="5FFA413C">
        <w:rPr>
          <w:rFonts w:cs="Times New Roman"/>
          <w:lang w:val="en-US"/>
        </w:rPr>
        <w:t xml:space="preserve">. </w:t>
      </w:r>
    </w:p>
    <w:p w14:paraId="28EFBF47" w14:textId="70F21568" w:rsidR="00F016B0" w:rsidRPr="00E60B8D" w:rsidRDefault="00F016B0" w:rsidP="00595215">
      <w:pPr>
        <w:rPr>
          <w:rFonts w:cs="Times New Roman"/>
          <w:b/>
          <w:bCs/>
          <w:lang w:val="en"/>
        </w:rPr>
      </w:pPr>
      <w:r w:rsidRPr="00E60B8D">
        <w:rPr>
          <w:rFonts w:cs="Times New Roman"/>
          <w:b/>
          <w:bCs/>
          <w:lang w:val="en"/>
        </w:rPr>
        <w:t>Primary or Secondary Myelofibrosis (JAKARTA, JAKARTA2, ARD11936</w:t>
      </w:r>
      <w:r w:rsidR="00081B9E">
        <w:rPr>
          <w:rFonts w:cs="Times New Roman"/>
          <w:b/>
          <w:bCs/>
          <w:lang w:val="en"/>
        </w:rPr>
        <w:t xml:space="preserve">, </w:t>
      </w:r>
      <w:r w:rsidR="00133357">
        <w:rPr>
          <w:rFonts w:cs="Times New Roman"/>
          <w:b/>
          <w:bCs/>
          <w:lang w:val="en"/>
        </w:rPr>
        <w:t>FREEDOM1, FREEDOM2 and FREEDOM3</w:t>
      </w:r>
      <w:r w:rsidRPr="00E60B8D">
        <w:rPr>
          <w:rFonts w:cs="Times New Roman"/>
          <w:b/>
          <w:bCs/>
          <w:lang w:val="en"/>
        </w:rPr>
        <w:t>)</w:t>
      </w:r>
    </w:p>
    <w:p w14:paraId="4DFB760A" w14:textId="7D97F0A0" w:rsidR="00716DF3" w:rsidRDefault="00F016B0" w:rsidP="00F016B0">
      <w:pPr>
        <w:rPr>
          <w:rFonts w:cs="Times New Roman"/>
          <w:lang w:val="en-US"/>
        </w:rPr>
      </w:pPr>
      <w:r w:rsidRPr="57AD90B9">
        <w:rPr>
          <w:rFonts w:cs="Times New Roman"/>
          <w:lang w:val="en-US"/>
        </w:rPr>
        <w:t xml:space="preserve">In </w:t>
      </w:r>
      <w:r w:rsidR="00063642" w:rsidRPr="57AD90B9">
        <w:rPr>
          <w:rFonts w:cs="Times New Roman"/>
          <w:lang w:val="en-US"/>
        </w:rPr>
        <w:t xml:space="preserve">clinical </w:t>
      </w:r>
      <w:r w:rsidRPr="57AD90B9">
        <w:rPr>
          <w:rFonts w:cs="Times New Roman"/>
          <w:lang w:val="en-US"/>
        </w:rPr>
        <w:t>studies of patients with primary myelofibrosis (MF), post polycythemia vera (post-PV MF), or post</w:t>
      </w:r>
      <w:r w:rsidR="00595215" w:rsidRPr="57AD90B9">
        <w:rPr>
          <w:rFonts w:cs="Times New Roman"/>
          <w:lang w:val="en-US"/>
        </w:rPr>
        <w:t xml:space="preserve"> </w:t>
      </w:r>
      <w:r w:rsidRPr="57AD90B9">
        <w:rPr>
          <w:rFonts w:cs="Times New Roman"/>
          <w:lang w:val="en-US"/>
        </w:rPr>
        <w:t>essential thrombocythemia myelofibrosis (post-ET MF), treated with</w:t>
      </w:r>
      <w:r w:rsidR="00A1086B" w:rsidRPr="57AD90B9">
        <w:rPr>
          <w:rFonts w:cs="Times New Roman"/>
          <w:lang w:val="en-US"/>
        </w:rPr>
        <w:t xml:space="preserve"> INREBIC</w:t>
      </w:r>
      <w:r w:rsidRPr="57AD90B9">
        <w:rPr>
          <w:rFonts w:cs="Times New Roman"/>
          <w:lang w:val="en-US"/>
        </w:rPr>
        <w:t xml:space="preserve"> 400</w:t>
      </w:r>
      <w:r w:rsidR="00767A1C">
        <w:rPr>
          <w:rFonts w:cs="Times New Roman"/>
          <w:lang w:val="en-US"/>
        </w:rPr>
        <w:t> </w:t>
      </w:r>
      <w:r w:rsidRPr="57AD90B9">
        <w:rPr>
          <w:rFonts w:cs="Times New Roman"/>
          <w:lang w:val="en-US"/>
        </w:rPr>
        <w:t>mg (N=</w:t>
      </w:r>
      <w:r w:rsidR="00124E81">
        <w:rPr>
          <w:rFonts w:cs="Times New Roman"/>
          <w:lang w:val="en-US"/>
        </w:rPr>
        <w:t>484</w:t>
      </w:r>
      <w:r w:rsidRPr="57AD90B9">
        <w:rPr>
          <w:rFonts w:cs="Times New Roman"/>
          <w:lang w:val="en-US"/>
        </w:rPr>
        <w:t>),</w:t>
      </w:r>
      <w:r w:rsidR="00595215" w:rsidRPr="57AD90B9">
        <w:rPr>
          <w:rFonts w:cs="Times New Roman"/>
          <w:lang w:val="en-US"/>
        </w:rPr>
        <w:t xml:space="preserve"> </w:t>
      </w:r>
      <w:r w:rsidRPr="57AD90B9">
        <w:rPr>
          <w:rFonts w:cs="Times New Roman"/>
          <w:lang w:val="en-US"/>
        </w:rPr>
        <w:t xml:space="preserve">including patients previously exposed to </w:t>
      </w:r>
      <w:proofErr w:type="spellStart"/>
      <w:r w:rsidRPr="57AD90B9">
        <w:rPr>
          <w:rFonts w:cs="Times New Roman"/>
          <w:lang w:val="en-US"/>
        </w:rPr>
        <w:t>ruxolitinib</w:t>
      </w:r>
      <w:proofErr w:type="spellEnd"/>
      <w:r w:rsidRPr="57AD90B9">
        <w:rPr>
          <w:rFonts w:cs="Times New Roman"/>
          <w:lang w:val="en-US"/>
        </w:rPr>
        <w:t xml:space="preserve">. </w:t>
      </w:r>
    </w:p>
    <w:p w14:paraId="6313C68A" w14:textId="6B31B1AB" w:rsidR="00F021E7" w:rsidRPr="00F021E7" w:rsidRDefault="00F021E7" w:rsidP="00F021E7">
      <w:pPr>
        <w:rPr>
          <w:rFonts w:cs="Times New Roman"/>
          <w:lang w:val="en"/>
        </w:rPr>
      </w:pPr>
      <w:r w:rsidRPr="00F021E7">
        <w:rPr>
          <w:rFonts w:cs="Times New Roman"/>
          <w:lang w:val="en"/>
        </w:rPr>
        <w:t xml:space="preserve">Among the </w:t>
      </w:r>
      <w:r w:rsidR="00B079F3">
        <w:rPr>
          <w:rFonts w:cs="Times New Roman"/>
          <w:lang w:val="en"/>
        </w:rPr>
        <w:t>484</w:t>
      </w:r>
      <w:r w:rsidRPr="00F021E7">
        <w:rPr>
          <w:rFonts w:cs="Times New Roman"/>
          <w:lang w:val="en"/>
        </w:rPr>
        <w:t xml:space="preserve"> patients with MF treated with a 400</w:t>
      </w:r>
      <w:r w:rsidR="00767A1C">
        <w:rPr>
          <w:rFonts w:cs="Times New Roman"/>
          <w:lang w:val="en"/>
        </w:rPr>
        <w:t> </w:t>
      </w:r>
      <w:r w:rsidRPr="00F021E7">
        <w:rPr>
          <w:rFonts w:cs="Times New Roman"/>
          <w:lang w:val="en"/>
        </w:rPr>
        <w:t xml:space="preserve">mg dose of </w:t>
      </w:r>
      <w:r w:rsidR="00063642">
        <w:rPr>
          <w:rFonts w:cs="Times New Roman"/>
          <w:lang w:val="en"/>
        </w:rPr>
        <w:t>INREBIC</w:t>
      </w:r>
      <w:r w:rsidRPr="00F021E7">
        <w:rPr>
          <w:rFonts w:cs="Times New Roman"/>
          <w:lang w:val="en"/>
        </w:rPr>
        <w:t xml:space="preserve"> in the clinical studies</w:t>
      </w:r>
      <w:r>
        <w:rPr>
          <w:rFonts w:cs="Times New Roman"/>
          <w:lang w:val="en"/>
        </w:rPr>
        <w:t xml:space="preserve"> </w:t>
      </w:r>
      <w:r w:rsidRPr="00F021E7">
        <w:rPr>
          <w:rFonts w:cs="Times New Roman"/>
          <w:lang w:val="en"/>
        </w:rPr>
        <w:t>up to 6 cycles, the most frequent non</w:t>
      </w:r>
      <w:r w:rsidR="00063642">
        <w:rPr>
          <w:rFonts w:cs="Times New Roman"/>
          <w:lang w:val="en"/>
        </w:rPr>
        <w:t>-</w:t>
      </w:r>
      <w:proofErr w:type="spellStart"/>
      <w:r w:rsidRPr="00F021E7">
        <w:rPr>
          <w:rFonts w:cs="Times New Roman"/>
          <w:lang w:val="en"/>
        </w:rPr>
        <w:t>h</w:t>
      </w:r>
      <w:r w:rsidR="00063642">
        <w:rPr>
          <w:rFonts w:cs="Times New Roman"/>
          <w:lang w:val="en"/>
        </w:rPr>
        <w:t>a</w:t>
      </w:r>
      <w:r w:rsidRPr="00F021E7">
        <w:rPr>
          <w:rFonts w:cs="Times New Roman"/>
          <w:lang w:val="en"/>
        </w:rPr>
        <w:t>ematologic</w:t>
      </w:r>
      <w:proofErr w:type="spellEnd"/>
      <w:r w:rsidRPr="00F021E7">
        <w:rPr>
          <w:rFonts w:cs="Times New Roman"/>
          <w:lang w:val="en"/>
        </w:rPr>
        <w:t xml:space="preserve"> adverse </w:t>
      </w:r>
      <w:r w:rsidR="002D3E7C">
        <w:rPr>
          <w:rFonts w:cs="Times New Roman"/>
          <w:lang w:val="en"/>
        </w:rPr>
        <w:t>events</w:t>
      </w:r>
      <w:r w:rsidR="00776C56">
        <w:rPr>
          <w:rFonts w:cs="Times New Roman"/>
          <w:lang w:val="en"/>
        </w:rPr>
        <w:t xml:space="preserve"> </w:t>
      </w:r>
      <w:r w:rsidRPr="00F021E7">
        <w:rPr>
          <w:rFonts w:cs="Times New Roman"/>
          <w:lang w:val="en"/>
        </w:rPr>
        <w:t xml:space="preserve">were </w:t>
      </w:r>
      <w:proofErr w:type="spellStart"/>
      <w:r w:rsidRPr="00F021E7">
        <w:rPr>
          <w:rFonts w:cs="Times New Roman"/>
          <w:lang w:val="en"/>
        </w:rPr>
        <w:t>diarrh</w:t>
      </w:r>
      <w:r w:rsidR="00063642">
        <w:rPr>
          <w:rFonts w:cs="Times New Roman"/>
          <w:lang w:val="en"/>
        </w:rPr>
        <w:t>o</w:t>
      </w:r>
      <w:r w:rsidRPr="00F021E7">
        <w:rPr>
          <w:rFonts w:cs="Times New Roman"/>
          <w:lang w:val="en"/>
        </w:rPr>
        <w:t>ea</w:t>
      </w:r>
      <w:proofErr w:type="spellEnd"/>
      <w:r w:rsidRPr="00F021E7">
        <w:rPr>
          <w:rFonts w:cs="Times New Roman"/>
          <w:lang w:val="en"/>
        </w:rPr>
        <w:t>, nausea, and</w:t>
      </w:r>
      <w:r>
        <w:rPr>
          <w:rFonts w:cs="Times New Roman"/>
          <w:lang w:val="en"/>
        </w:rPr>
        <w:t xml:space="preserve"> </w:t>
      </w:r>
      <w:r w:rsidRPr="00F021E7">
        <w:rPr>
          <w:rFonts w:cs="Times New Roman"/>
          <w:lang w:val="en"/>
        </w:rPr>
        <w:t xml:space="preserve">vomiting. The most frequent </w:t>
      </w:r>
      <w:proofErr w:type="spellStart"/>
      <w:r w:rsidRPr="00F021E7">
        <w:rPr>
          <w:rFonts w:cs="Times New Roman"/>
          <w:lang w:val="en"/>
        </w:rPr>
        <w:t>h</w:t>
      </w:r>
      <w:r w:rsidR="00063642">
        <w:rPr>
          <w:rFonts w:cs="Times New Roman"/>
          <w:lang w:val="en"/>
        </w:rPr>
        <w:t>a</w:t>
      </w:r>
      <w:r w:rsidRPr="00F021E7">
        <w:rPr>
          <w:rFonts w:cs="Times New Roman"/>
          <w:lang w:val="en"/>
        </w:rPr>
        <w:t>ematologic</w:t>
      </w:r>
      <w:proofErr w:type="spellEnd"/>
      <w:r w:rsidRPr="00F021E7">
        <w:rPr>
          <w:rFonts w:cs="Times New Roman"/>
          <w:lang w:val="en"/>
        </w:rPr>
        <w:t xml:space="preserve"> adverse </w:t>
      </w:r>
      <w:r w:rsidR="002D3E7C">
        <w:rPr>
          <w:rFonts w:cs="Times New Roman"/>
          <w:lang w:val="en"/>
        </w:rPr>
        <w:t>events</w:t>
      </w:r>
      <w:r w:rsidR="00776C56">
        <w:rPr>
          <w:rFonts w:cs="Times New Roman"/>
          <w:lang w:val="en"/>
        </w:rPr>
        <w:t xml:space="preserve"> </w:t>
      </w:r>
      <w:r w:rsidRPr="00F021E7">
        <w:rPr>
          <w:rFonts w:cs="Times New Roman"/>
          <w:lang w:val="en"/>
        </w:rPr>
        <w:t xml:space="preserve">were </w:t>
      </w:r>
      <w:proofErr w:type="spellStart"/>
      <w:r w:rsidRPr="00F021E7">
        <w:rPr>
          <w:rFonts w:cs="Times New Roman"/>
          <w:lang w:val="en"/>
        </w:rPr>
        <w:t>an</w:t>
      </w:r>
      <w:r w:rsidR="00063642">
        <w:rPr>
          <w:rFonts w:cs="Times New Roman"/>
          <w:lang w:val="en"/>
        </w:rPr>
        <w:t>a</w:t>
      </w:r>
      <w:r w:rsidRPr="00F021E7">
        <w:rPr>
          <w:rFonts w:cs="Times New Roman"/>
          <w:lang w:val="en"/>
        </w:rPr>
        <w:t>emia</w:t>
      </w:r>
      <w:proofErr w:type="spellEnd"/>
      <w:r w:rsidRPr="00F021E7">
        <w:rPr>
          <w:rFonts w:cs="Times New Roman"/>
          <w:lang w:val="en"/>
        </w:rPr>
        <w:t xml:space="preserve"> and thrombocytopenia</w:t>
      </w:r>
      <w:r w:rsidRPr="00F021E7" w:rsidDel="00814B36">
        <w:rPr>
          <w:rFonts w:cs="Times New Roman"/>
          <w:lang w:val="en"/>
        </w:rPr>
        <w:t xml:space="preserve"> (</w:t>
      </w:r>
      <w:r w:rsidR="00F60683">
        <w:rPr>
          <w:rFonts w:cs="Times New Roman"/>
          <w:lang w:val="en"/>
        </w:rPr>
        <w:fldChar w:fldCharType="begin"/>
      </w:r>
      <w:r w:rsidR="00F60683">
        <w:rPr>
          <w:rFonts w:cs="Times New Roman"/>
          <w:lang w:val="en"/>
        </w:rPr>
        <w:instrText xml:space="preserve"> REF _Ref191552364 \h </w:instrText>
      </w:r>
      <w:r w:rsidR="00F60683">
        <w:rPr>
          <w:rFonts w:cs="Times New Roman"/>
          <w:lang w:val="en"/>
        </w:rPr>
      </w:r>
      <w:r w:rsidR="00F60683">
        <w:rPr>
          <w:rFonts w:cs="Times New Roman"/>
          <w:lang w:val="en"/>
        </w:rPr>
        <w:fldChar w:fldCharType="separate"/>
      </w:r>
      <w:r w:rsidR="00F60683">
        <w:t xml:space="preserve">Table </w:t>
      </w:r>
      <w:r w:rsidR="00F60683">
        <w:rPr>
          <w:noProof/>
        </w:rPr>
        <w:t>4</w:t>
      </w:r>
      <w:r w:rsidR="00F60683">
        <w:rPr>
          <w:rFonts w:cs="Times New Roman"/>
          <w:lang w:val="en"/>
        </w:rPr>
        <w:fldChar w:fldCharType="end"/>
      </w:r>
      <w:r w:rsidRPr="00F021E7" w:rsidDel="00814B36">
        <w:rPr>
          <w:rFonts w:cs="Times New Roman"/>
          <w:lang w:val="en"/>
        </w:rPr>
        <w:t>)</w:t>
      </w:r>
      <w:r w:rsidRPr="00F021E7">
        <w:rPr>
          <w:rFonts w:cs="Times New Roman"/>
          <w:lang w:val="en"/>
        </w:rPr>
        <w:t xml:space="preserve">. Serious adverse events, regardless of causality occurring </w:t>
      </w:r>
      <w:proofErr w:type="gramStart"/>
      <w:r w:rsidRPr="00F021E7">
        <w:rPr>
          <w:rFonts w:cs="Times New Roman"/>
          <w:lang w:val="en"/>
        </w:rPr>
        <w:t xml:space="preserve">in </w:t>
      </w:r>
      <w:r w:rsidR="0038514E">
        <w:rPr>
          <w:rFonts w:cs="Times New Roman"/>
          <w:lang w:val="en"/>
        </w:rPr>
        <w:t>≥</w:t>
      </w:r>
      <w:r w:rsidRPr="00F021E7">
        <w:rPr>
          <w:rFonts w:cs="Times New Roman"/>
          <w:lang w:val="en"/>
        </w:rPr>
        <w:t>2</w:t>
      </w:r>
      <w:proofErr w:type="gramEnd"/>
      <w:r w:rsidRPr="00F021E7">
        <w:rPr>
          <w:rFonts w:cs="Times New Roman"/>
          <w:lang w:val="en"/>
        </w:rPr>
        <w:t>% of patients</w:t>
      </w:r>
      <w:r>
        <w:rPr>
          <w:rFonts w:cs="Times New Roman"/>
          <w:lang w:val="en"/>
        </w:rPr>
        <w:t xml:space="preserve"> </w:t>
      </w:r>
      <w:r w:rsidRPr="00F021E7">
        <w:rPr>
          <w:rFonts w:cs="Times New Roman"/>
          <w:lang w:val="en"/>
        </w:rPr>
        <w:t xml:space="preserve">receiving </w:t>
      </w:r>
      <w:r w:rsidR="00063642">
        <w:rPr>
          <w:rFonts w:cs="Times New Roman"/>
          <w:lang w:val="en"/>
        </w:rPr>
        <w:t>INREBIC</w:t>
      </w:r>
      <w:r w:rsidRPr="00F021E7">
        <w:rPr>
          <w:rFonts w:cs="Times New Roman"/>
          <w:lang w:val="en"/>
        </w:rPr>
        <w:t xml:space="preserve"> 400</w:t>
      </w:r>
      <w:r w:rsidR="00767A1C">
        <w:rPr>
          <w:rFonts w:cs="Times New Roman"/>
          <w:lang w:val="en"/>
        </w:rPr>
        <w:t> </w:t>
      </w:r>
      <w:r w:rsidRPr="00F021E7">
        <w:rPr>
          <w:rFonts w:cs="Times New Roman"/>
          <w:lang w:val="en"/>
        </w:rPr>
        <w:t xml:space="preserve">mg daily included </w:t>
      </w:r>
      <w:proofErr w:type="spellStart"/>
      <w:r w:rsidR="00460FD4">
        <w:rPr>
          <w:rFonts w:cs="Times New Roman"/>
          <w:lang w:val="en"/>
        </w:rPr>
        <w:t>anaemia</w:t>
      </w:r>
      <w:proofErr w:type="spellEnd"/>
      <w:r w:rsidRPr="00F021E7">
        <w:rPr>
          <w:rFonts w:cs="Times New Roman"/>
          <w:lang w:val="en"/>
        </w:rPr>
        <w:t xml:space="preserve"> (</w:t>
      </w:r>
      <w:r w:rsidR="00460FD4">
        <w:rPr>
          <w:rFonts w:cs="Times New Roman"/>
          <w:lang w:val="en"/>
        </w:rPr>
        <w:t>2.7</w:t>
      </w:r>
      <w:r w:rsidRPr="00F021E7">
        <w:rPr>
          <w:rFonts w:cs="Times New Roman"/>
          <w:lang w:val="en"/>
        </w:rPr>
        <w:t>%) and pneumonia (2.5%). Fatal</w:t>
      </w:r>
      <w:r>
        <w:rPr>
          <w:rFonts w:cs="Times New Roman"/>
          <w:lang w:val="en"/>
        </w:rPr>
        <w:t xml:space="preserve"> </w:t>
      </w:r>
      <w:r w:rsidRPr="00F021E7">
        <w:rPr>
          <w:rFonts w:cs="Times New Roman"/>
          <w:lang w:val="en"/>
        </w:rPr>
        <w:t xml:space="preserve">adverse events, regardless of causality occurred in </w:t>
      </w:r>
      <w:r w:rsidR="00BA3110">
        <w:rPr>
          <w:rFonts w:cs="Times New Roman"/>
          <w:lang w:val="en"/>
        </w:rPr>
        <w:t>3.7</w:t>
      </w:r>
      <w:r w:rsidRPr="00F021E7">
        <w:rPr>
          <w:rFonts w:cs="Times New Roman"/>
          <w:lang w:val="en"/>
        </w:rPr>
        <w:t xml:space="preserve">% of patients receiving </w:t>
      </w:r>
      <w:r w:rsidR="00A0562B">
        <w:rPr>
          <w:rFonts w:cs="Times New Roman"/>
          <w:lang w:val="en"/>
        </w:rPr>
        <w:t>INREBIC</w:t>
      </w:r>
      <w:r w:rsidRPr="00F021E7">
        <w:rPr>
          <w:rFonts w:cs="Times New Roman"/>
          <w:lang w:val="en"/>
        </w:rPr>
        <w:t xml:space="preserve"> 400</w:t>
      </w:r>
      <w:r w:rsidR="00767A1C">
        <w:rPr>
          <w:rFonts w:cs="Times New Roman"/>
          <w:lang w:val="en"/>
        </w:rPr>
        <w:t> </w:t>
      </w:r>
      <w:r w:rsidRPr="00F021E7">
        <w:rPr>
          <w:rFonts w:cs="Times New Roman"/>
          <w:lang w:val="en"/>
        </w:rPr>
        <w:t>mg</w:t>
      </w:r>
      <w:r>
        <w:rPr>
          <w:rFonts w:cs="Times New Roman"/>
          <w:lang w:val="en"/>
        </w:rPr>
        <w:t xml:space="preserve"> </w:t>
      </w:r>
      <w:r w:rsidRPr="00F021E7">
        <w:rPr>
          <w:rFonts w:cs="Times New Roman"/>
          <w:lang w:val="en"/>
        </w:rPr>
        <w:t>daily.</w:t>
      </w:r>
    </w:p>
    <w:p w14:paraId="49B39F03" w14:textId="6F1AC99D" w:rsidR="00FE4B95" w:rsidRPr="00416C7D" w:rsidRDefault="00F021E7" w:rsidP="7FAB413D">
      <w:pPr>
        <w:rPr>
          <w:rFonts w:cs="Times New Roman"/>
          <w:lang w:val="en-US"/>
        </w:rPr>
      </w:pPr>
      <w:r w:rsidRPr="57AD90B9">
        <w:rPr>
          <w:rFonts w:cs="Times New Roman"/>
          <w:lang w:val="en-US"/>
        </w:rPr>
        <w:t xml:space="preserve">Permanent discontinuation due to adverse </w:t>
      </w:r>
      <w:proofErr w:type="gramStart"/>
      <w:r w:rsidRPr="57AD90B9">
        <w:rPr>
          <w:rFonts w:cs="Times New Roman"/>
          <w:lang w:val="en-US"/>
        </w:rPr>
        <w:t>event</w:t>
      </w:r>
      <w:proofErr w:type="gramEnd"/>
      <w:r w:rsidRPr="57AD90B9">
        <w:rPr>
          <w:rFonts w:cs="Times New Roman"/>
          <w:lang w:val="en-US"/>
        </w:rPr>
        <w:t xml:space="preserve"> regardless of causality occurred in </w:t>
      </w:r>
      <w:r w:rsidR="005E4469">
        <w:rPr>
          <w:rFonts w:cs="Times New Roman"/>
          <w:lang w:val="en-US"/>
        </w:rPr>
        <w:t>11.8</w:t>
      </w:r>
      <w:r w:rsidRPr="57AD90B9">
        <w:rPr>
          <w:rFonts w:cs="Times New Roman"/>
          <w:lang w:val="en-US"/>
        </w:rPr>
        <w:t>% of patients receiving 400</w:t>
      </w:r>
      <w:r w:rsidR="009C2048">
        <w:rPr>
          <w:rFonts w:cs="Times New Roman"/>
          <w:lang w:val="en-US"/>
        </w:rPr>
        <w:t> </w:t>
      </w:r>
      <w:r w:rsidRPr="57AD90B9">
        <w:rPr>
          <w:rFonts w:cs="Times New Roman"/>
          <w:lang w:val="en-US"/>
        </w:rPr>
        <w:t xml:space="preserve">mg of </w:t>
      </w:r>
      <w:r w:rsidR="00EF164F" w:rsidRPr="57AD90B9">
        <w:rPr>
          <w:rFonts w:cs="Times New Roman"/>
          <w:lang w:val="en-US"/>
        </w:rPr>
        <w:t>INREBIC</w:t>
      </w:r>
      <w:r w:rsidRPr="57AD90B9">
        <w:rPr>
          <w:rFonts w:cs="Times New Roman"/>
          <w:lang w:val="en-US"/>
        </w:rPr>
        <w:t xml:space="preserve">. Most frequent reasons for permanent discontinuation in </w:t>
      </w:r>
      <w:r w:rsidR="0038514E" w:rsidRPr="57AD90B9">
        <w:rPr>
          <w:rFonts w:cs="Times New Roman"/>
          <w:lang w:val="en-US"/>
        </w:rPr>
        <w:t>≥</w:t>
      </w:r>
      <w:r w:rsidR="00AB4FD9">
        <w:rPr>
          <w:rFonts w:cs="Times New Roman"/>
          <w:lang w:val="en-US"/>
        </w:rPr>
        <w:t>1</w:t>
      </w:r>
      <w:r w:rsidRPr="57AD90B9">
        <w:rPr>
          <w:rFonts w:cs="Times New Roman"/>
          <w:lang w:val="en-US"/>
        </w:rPr>
        <w:t>% of patients receiving 400</w:t>
      </w:r>
      <w:r w:rsidR="009C2048">
        <w:rPr>
          <w:rFonts w:cs="Times New Roman"/>
          <w:lang w:val="en-US"/>
        </w:rPr>
        <w:t> </w:t>
      </w:r>
      <w:r w:rsidRPr="57AD90B9">
        <w:rPr>
          <w:rFonts w:cs="Times New Roman"/>
          <w:lang w:val="en-US"/>
        </w:rPr>
        <w:t xml:space="preserve">mg of </w:t>
      </w:r>
      <w:r w:rsidR="00FB722E" w:rsidRPr="57AD90B9">
        <w:rPr>
          <w:rFonts w:cs="Times New Roman"/>
          <w:lang w:val="en-US"/>
        </w:rPr>
        <w:t>INREBIC</w:t>
      </w:r>
      <w:r w:rsidRPr="57AD90B9">
        <w:rPr>
          <w:rFonts w:cs="Times New Roman"/>
          <w:lang w:val="en-US"/>
        </w:rPr>
        <w:t xml:space="preserve"> included </w:t>
      </w:r>
      <w:r w:rsidR="00AB4FD9" w:rsidRPr="57AD90B9">
        <w:rPr>
          <w:rFonts w:cs="Times New Roman"/>
          <w:lang w:val="en-US"/>
        </w:rPr>
        <w:t xml:space="preserve">thrombocytopenia </w:t>
      </w:r>
      <w:r w:rsidR="00AB4FD9">
        <w:rPr>
          <w:rFonts w:cs="Times New Roman"/>
          <w:lang w:val="en-US"/>
        </w:rPr>
        <w:t xml:space="preserve">(1.9%), </w:t>
      </w:r>
      <w:proofErr w:type="spellStart"/>
      <w:r w:rsidRPr="57AD90B9">
        <w:rPr>
          <w:rFonts w:cs="Times New Roman"/>
          <w:lang w:val="en-US"/>
        </w:rPr>
        <w:t>diarrh</w:t>
      </w:r>
      <w:r w:rsidR="00FB722E" w:rsidRPr="57AD90B9">
        <w:rPr>
          <w:rFonts w:cs="Times New Roman"/>
          <w:lang w:val="en-US"/>
        </w:rPr>
        <w:t>o</w:t>
      </w:r>
      <w:r w:rsidRPr="57AD90B9">
        <w:rPr>
          <w:rFonts w:cs="Times New Roman"/>
          <w:lang w:val="en-US"/>
        </w:rPr>
        <w:t>ea</w:t>
      </w:r>
      <w:proofErr w:type="spellEnd"/>
      <w:r w:rsidR="00AB4FD9">
        <w:rPr>
          <w:rFonts w:cs="Times New Roman"/>
          <w:lang w:val="en-US"/>
        </w:rPr>
        <w:t xml:space="preserve"> (1%) and</w:t>
      </w:r>
      <w:r w:rsidRPr="57AD90B9">
        <w:rPr>
          <w:rFonts w:cs="Times New Roman"/>
          <w:lang w:val="en-US"/>
        </w:rPr>
        <w:t xml:space="preserve"> nausea</w:t>
      </w:r>
      <w:r w:rsidR="00AB4FD9">
        <w:rPr>
          <w:rFonts w:cs="Times New Roman"/>
          <w:lang w:val="en-US"/>
        </w:rPr>
        <w:t xml:space="preserve"> (1%)</w:t>
      </w:r>
      <w:r w:rsidRPr="57AD90B9">
        <w:rPr>
          <w:rFonts w:cs="Times New Roman"/>
          <w:lang w:val="en-US"/>
        </w:rPr>
        <w:t>.</w:t>
      </w:r>
    </w:p>
    <w:p w14:paraId="6D53A772" w14:textId="77777777" w:rsidR="001444D0" w:rsidRDefault="001444D0" w:rsidP="003D02F2">
      <w:pPr>
        <w:rPr>
          <w:rFonts w:cs="Times New Roman"/>
          <w:u w:val="single"/>
          <w:lang w:val="en-US"/>
        </w:rPr>
      </w:pPr>
    </w:p>
    <w:p w14:paraId="7EA0AF47" w14:textId="66BCA004" w:rsidR="003D02F2" w:rsidRPr="00A76EA4" w:rsidRDefault="003D02F2" w:rsidP="003D02F2">
      <w:pPr>
        <w:rPr>
          <w:rFonts w:cs="Times New Roman"/>
          <w:u w:val="single"/>
          <w:lang w:val="en-US"/>
        </w:rPr>
      </w:pPr>
      <w:r w:rsidRPr="5FFA413C">
        <w:rPr>
          <w:rFonts w:cs="Times New Roman"/>
          <w:u w:val="single"/>
          <w:lang w:val="en-US"/>
        </w:rPr>
        <w:t>Tabulated Summary of Adverse Events</w:t>
      </w:r>
    </w:p>
    <w:p w14:paraId="757135CB" w14:textId="52B226B8" w:rsidR="003D02F2" w:rsidRPr="00416C7D" w:rsidRDefault="003D02F2" w:rsidP="003D02F2">
      <w:pPr>
        <w:pStyle w:val="Caption"/>
        <w:rPr>
          <w:rFonts w:cs="Times New Roman"/>
          <w:b w:val="0"/>
          <w:bCs/>
        </w:rPr>
      </w:pPr>
      <w:bookmarkStart w:id="3" w:name="_Ref191552364"/>
      <w:r>
        <w:t xml:space="preserve">Table </w:t>
      </w:r>
      <w:r>
        <w:fldChar w:fldCharType="begin"/>
      </w:r>
      <w:r>
        <w:instrText xml:space="preserve"> SEQ Table \* ARABIC </w:instrText>
      </w:r>
      <w:r>
        <w:fldChar w:fldCharType="separate"/>
      </w:r>
      <w:r w:rsidR="00196356">
        <w:rPr>
          <w:noProof/>
        </w:rPr>
        <w:t>4</w:t>
      </w:r>
      <w:r>
        <w:fldChar w:fldCharType="end"/>
      </w:r>
      <w:bookmarkEnd w:id="3"/>
      <w:r w:rsidRPr="00416C7D">
        <w:rPr>
          <w:rFonts w:cs="Times New Roman"/>
          <w:bCs/>
        </w:rPr>
        <w:t xml:space="preserve">: Treatment-emergent Adverse Events </w:t>
      </w:r>
      <w:r w:rsidRPr="002D50C7">
        <w:rPr>
          <w:rFonts w:cs="Times New Roman"/>
          <w:bCs/>
        </w:rPr>
        <w:t xml:space="preserve">Reported in ≥5% of </w:t>
      </w:r>
      <w:r>
        <w:rPr>
          <w:rFonts w:cs="Times New Roman"/>
          <w:bCs/>
        </w:rPr>
        <w:t>P</w:t>
      </w:r>
      <w:r w:rsidRPr="5F275399">
        <w:rPr>
          <w:rFonts w:cs="Times New Roman"/>
        </w:rPr>
        <w:t>atient</w:t>
      </w:r>
      <w:r>
        <w:rPr>
          <w:rFonts w:cs="Times New Roman"/>
        </w:rPr>
        <w:t>s</w:t>
      </w:r>
      <w:r w:rsidRPr="6FB5C5B1">
        <w:rPr>
          <w:rFonts w:cs="Times New Roman"/>
        </w:rPr>
        <w:t xml:space="preserve"> </w:t>
      </w:r>
      <w:r w:rsidRPr="00416C7D">
        <w:rPr>
          <w:rFonts w:cs="Times New Roman"/>
          <w:bCs/>
        </w:rPr>
        <w:t xml:space="preserve">in </w:t>
      </w:r>
      <w:r w:rsidRPr="6FB5C5B1">
        <w:rPr>
          <w:rFonts w:cs="Times New Roman"/>
        </w:rPr>
        <w:t xml:space="preserve">Any </w:t>
      </w:r>
      <w:r>
        <w:rPr>
          <w:rFonts w:cs="Times New Roman"/>
          <w:bCs/>
        </w:rPr>
        <w:t>T</w:t>
      </w:r>
      <w:r w:rsidRPr="00416C7D">
        <w:rPr>
          <w:rFonts w:cs="Times New Roman"/>
          <w:bCs/>
        </w:rPr>
        <w:t xml:space="preserve">reatment </w:t>
      </w:r>
      <w:r>
        <w:rPr>
          <w:rFonts w:cs="Times New Roman"/>
        </w:rPr>
        <w:t>G</w:t>
      </w:r>
      <w:r w:rsidRPr="5F275399">
        <w:rPr>
          <w:rFonts w:cs="Times New Roman"/>
        </w:rPr>
        <w:t>roup</w:t>
      </w:r>
      <w:r w:rsidRPr="00416C7D">
        <w:rPr>
          <w:rFonts w:cs="Times New Roman"/>
          <w:bCs/>
        </w:rPr>
        <w:t xml:space="preserve"> - First 6 Cycles (Safety and Crossover Population)</w:t>
      </w:r>
    </w:p>
    <w:tbl>
      <w:tblPr>
        <w:tblStyle w:val="TableGrid"/>
        <w:tblW w:w="9067" w:type="dxa"/>
        <w:tblLayout w:type="fixed"/>
        <w:tblLook w:val="04A0" w:firstRow="1" w:lastRow="0" w:firstColumn="1" w:lastColumn="0" w:noHBand="0" w:noVBand="1"/>
      </w:tblPr>
      <w:tblGrid>
        <w:gridCol w:w="2689"/>
        <w:gridCol w:w="1134"/>
        <w:gridCol w:w="992"/>
        <w:gridCol w:w="1134"/>
        <w:gridCol w:w="992"/>
        <w:gridCol w:w="1134"/>
        <w:gridCol w:w="992"/>
      </w:tblGrid>
      <w:tr w:rsidR="003D02F2" w:rsidRPr="002A25EC" w14:paraId="10A2931C" w14:textId="77777777" w:rsidTr="5FFA413C">
        <w:trPr>
          <w:tblHeader/>
        </w:trPr>
        <w:tc>
          <w:tcPr>
            <w:tcW w:w="2689" w:type="dxa"/>
            <w:vMerge w:val="restart"/>
            <w:shd w:val="clear" w:color="auto" w:fill="D9D9D9" w:themeFill="background1" w:themeFillShade="D9"/>
          </w:tcPr>
          <w:p w14:paraId="1329A875" w14:textId="77777777" w:rsidR="003D02F2" w:rsidRPr="002A25EC" w:rsidRDefault="003D02F2" w:rsidP="009C42E6">
            <w:pPr>
              <w:rPr>
                <w:rFonts w:cs="Times New Roman"/>
                <w:b/>
                <w:bCs/>
                <w:sz w:val="20"/>
                <w:szCs w:val="20"/>
              </w:rPr>
            </w:pPr>
            <w:r w:rsidRPr="002A25EC">
              <w:rPr>
                <w:rFonts w:cs="Times New Roman"/>
                <w:b/>
                <w:bCs/>
                <w:sz w:val="20"/>
                <w:szCs w:val="20"/>
              </w:rPr>
              <w:t>Preferred Term</w:t>
            </w:r>
          </w:p>
        </w:tc>
        <w:tc>
          <w:tcPr>
            <w:tcW w:w="2126" w:type="dxa"/>
            <w:gridSpan w:val="2"/>
            <w:shd w:val="clear" w:color="auto" w:fill="D9D9D9" w:themeFill="background1" w:themeFillShade="D9"/>
          </w:tcPr>
          <w:p w14:paraId="40303FC9" w14:textId="77777777" w:rsidR="003D02F2" w:rsidRPr="002A25EC" w:rsidRDefault="003D02F2" w:rsidP="009C42E6">
            <w:pPr>
              <w:jc w:val="center"/>
              <w:rPr>
                <w:rFonts w:cs="Times New Roman"/>
                <w:b/>
                <w:bCs/>
                <w:sz w:val="20"/>
                <w:szCs w:val="20"/>
              </w:rPr>
            </w:pPr>
            <w:r w:rsidRPr="002A25EC">
              <w:rPr>
                <w:rFonts w:cs="Times New Roman"/>
                <w:b/>
                <w:bCs/>
                <w:sz w:val="20"/>
                <w:szCs w:val="20"/>
              </w:rPr>
              <w:t>INREBIC 400 mg</w:t>
            </w:r>
            <w:r w:rsidRPr="002A25EC">
              <w:rPr>
                <w:rFonts w:cs="Times New Roman"/>
                <w:b/>
                <w:bCs/>
                <w:sz w:val="20"/>
                <w:szCs w:val="20"/>
                <w:vertAlign w:val="superscript"/>
              </w:rPr>
              <w:t>1</w:t>
            </w:r>
          </w:p>
          <w:p w14:paraId="160BCD1A" w14:textId="77777777" w:rsidR="003D02F2" w:rsidRPr="002A25EC" w:rsidRDefault="003D02F2" w:rsidP="009C42E6">
            <w:pPr>
              <w:jc w:val="center"/>
              <w:rPr>
                <w:rFonts w:cs="Times New Roman"/>
                <w:b/>
                <w:bCs/>
                <w:sz w:val="20"/>
                <w:szCs w:val="20"/>
              </w:rPr>
            </w:pPr>
            <w:r w:rsidRPr="002A25EC">
              <w:rPr>
                <w:rFonts w:cs="Times New Roman"/>
                <w:b/>
                <w:bCs/>
                <w:sz w:val="20"/>
                <w:szCs w:val="20"/>
              </w:rPr>
              <w:t>N=484</w:t>
            </w:r>
          </w:p>
        </w:tc>
        <w:tc>
          <w:tcPr>
            <w:tcW w:w="2126" w:type="dxa"/>
            <w:gridSpan w:val="2"/>
            <w:shd w:val="clear" w:color="auto" w:fill="D9D9D9" w:themeFill="background1" w:themeFillShade="D9"/>
          </w:tcPr>
          <w:p w14:paraId="5DC81212" w14:textId="77777777" w:rsidR="003D02F2" w:rsidRPr="002A25EC" w:rsidRDefault="003D02F2" w:rsidP="009C42E6">
            <w:pPr>
              <w:jc w:val="center"/>
              <w:rPr>
                <w:rFonts w:cs="Times New Roman"/>
                <w:b/>
                <w:bCs/>
                <w:sz w:val="20"/>
                <w:szCs w:val="20"/>
              </w:rPr>
            </w:pPr>
            <w:r w:rsidRPr="002A25EC">
              <w:rPr>
                <w:rFonts w:cs="Times New Roman"/>
                <w:b/>
                <w:bCs/>
                <w:sz w:val="20"/>
                <w:szCs w:val="20"/>
              </w:rPr>
              <w:t>Placebo</w:t>
            </w:r>
            <w:r w:rsidRPr="002A25EC">
              <w:rPr>
                <w:rFonts w:cs="Times New Roman"/>
                <w:b/>
                <w:bCs/>
                <w:sz w:val="20"/>
                <w:szCs w:val="20"/>
                <w:vertAlign w:val="superscript"/>
              </w:rPr>
              <w:t>2</w:t>
            </w:r>
          </w:p>
          <w:p w14:paraId="5F6A1C25" w14:textId="77777777" w:rsidR="003D02F2" w:rsidRPr="002A25EC" w:rsidRDefault="003D02F2" w:rsidP="009C42E6">
            <w:pPr>
              <w:jc w:val="center"/>
              <w:rPr>
                <w:rFonts w:cs="Times New Roman"/>
                <w:b/>
                <w:bCs/>
                <w:sz w:val="20"/>
                <w:szCs w:val="20"/>
              </w:rPr>
            </w:pPr>
            <w:r w:rsidRPr="002A25EC">
              <w:rPr>
                <w:rFonts w:cs="Times New Roman"/>
                <w:b/>
                <w:bCs/>
                <w:sz w:val="20"/>
                <w:szCs w:val="20"/>
              </w:rPr>
              <w:t>N=95</w:t>
            </w:r>
          </w:p>
        </w:tc>
        <w:tc>
          <w:tcPr>
            <w:tcW w:w="2126" w:type="dxa"/>
            <w:gridSpan w:val="2"/>
            <w:shd w:val="clear" w:color="auto" w:fill="D9D9D9" w:themeFill="background1" w:themeFillShade="D9"/>
          </w:tcPr>
          <w:p w14:paraId="04C6AEF5" w14:textId="77777777" w:rsidR="003D02F2" w:rsidRPr="002A25EC" w:rsidRDefault="003D02F2" w:rsidP="009C42E6">
            <w:pPr>
              <w:jc w:val="center"/>
              <w:rPr>
                <w:rFonts w:cs="Times New Roman"/>
                <w:b/>
                <w:bCs/>
                <w:sz w:val="20"/>
                <w:szCs w:val="20"/>
              </w:rPr>
            </w:pPr>
            <w:r w:rsidRPr="002A25EC">
              <w:rPr>
                <w:rFonts w:cs="Times New Roman"/>
                <w:b/>
                <w:bCs/>
                <w:sz w:val="20"/>
                <w:szCs w:val="20"/>
              </w:rPr>
              <w:t>BAT</w:t>
            </w:r>
            <w:r w:rsidRPr="002A25EC">
              <w:rPr>
                <w:rFonts w:cs="Times New Roman"/>
                <w:b/>
                <w:bCs/>
                <w:sz w:val="20"/>
                <w:szCs w:val="20"/>
                <w:vertAlign w:val="superscript"/>
              </w:rPr>
              <w:t>2,3</w:t>
            </w:r>
          </w:p>
          <w:p w14:paraId="5532959D" w14:textId="77777777" w:rsidR="003D02F2" w:rsidRPr="002A25EC" w:rsidRDefault="003D02F2" w:rsidP="009C42E6">
            <w:pPr>
              <w:jc w:val="center"/>
              <w:rPr>
                <w:rFonts w:cs="Times New Roman"/>
                <w:b/>
                <w:bCs/>
                <w:sz w:val="20"/>
                <w:szCs w:val="20"/>
              </w:rPr>
            </w:pPr>
            <w:r w:rsidRPr="002A25EC">
              <w:rPr>
                <w:rFonts w:cs="Times New Roman"/>
                <w:b/>
                <w:bCs/>
                <w:sz w:val="20"/>
                <w:szCs w:val="20"/>
              </w:rPr>
              <w:t>N=67</w:t>
            </w:r>
          </w:p>
        </w:tc>
      </w:tr>
      <w:tr w:rsidR="003D02F2" w:rsidRPr="002A25EC" w14:paraId="2C29E7CD" w14:textId="77777777" w:rsidTr="5FFA413C">
        <w:trPr>
          <w:tblHeader/>
        </w:trPr>
        <w:tc>
          <w:tcPr>
            <w:tcW w:w="2689" w:type="dxa"/>
            <w:vMerge/>
          </w:tcPr>
          <w:p w14:paraId="47F2624D" w14:textId="77777777" w:rsidR="003D02F2" w:rsidRPr="002A25EC" w:rsidRDefault="003D02F2" w:rsidP="009C42E6">
            <w:pPr>
              <w:rPr>
                <w:rFonts w:cs="Times New Roman"/>
                <w:b/>
                <w:bCs/>
                <w:sz w:val="20"/>
                <w:szCs w:val="20"/>
              </w:rPr>
            </w:pPr>
          </w:p>
        </w:tc>
        <w:tc>
          <w:tcPr>
            <w:tcW w:w="1134" w:type="dxa"/>
            <w:shd w:val="clear" w:color="auto" w:fill="D9D9D9" w:themeFill="background1" w:themeFillShade="D9"/>
          </w:tcPr>
          <w:p w14:paraId="38B2089A" w14:textId="77777777" w:rsidR="003D02F2" w:rsidRPr="002A25EC" w:rsidRDefault="003D02F2" w:rsidP="009C42E6">
            <w:pPr>
              <w:jc w:val="center"/>
              <w:rPr>
                <w:rFonts w:cs="Times New Roman"/>
                <w:b/>
                <w:bCs/>
                <w:sz w:val="20"/>
                <w:szCs w:val="20"/>
              </w:rPr>
            </w:pPr>
            <w:r w:rsidRPr="002A25EC">
              <w:rPr>
                <w:rFonts w:cs="Times New Roman"/>
                <w:b/>
                <w:bCs/>
                <w:sz w:val="20"/>
                <w:szCs w:val="20"/>
              </w:rPr>
              <w:t>Any Grade</w:t>
            </w:r>
          </w:p>
        </w:tc>
        <w:tc>
          <w:tcPr>
            <w:tcW w:w="992" w:type="dxa"/>
            <w:shd w:val="clear" w:color="auto" w:fill="D9D9D9" w:themeFill="background1" w:themeFillShade="D9"/>
          </w:tcPr>
          <w:p w14:paraId="2100D39D" w14:textId="77777777" w:rsidR="003D02F2" w:rsidRPr="002A25EC" w:rsidRDefault="003D02F2" w:rsidP="009C42E6">
            <w:pPr>
              <w:jc w:val="center"/>
              <w:rPr>
                <w:rFonts w:cs="Times New Roman"/>
                <w:b/>
                <w:bCs/>
                <w:sz w:val="20"/>
                <w:szCs w:val="20"/>
              </w:rPr>
            </w:pPr>
            <w:r w:rsidRPr="002A25EC">
              <w:rPr>
                <w:rFonts w:cs="Times New Roman"/>
                <w:b/>
                <w:bCs/>
                <w:sz w:val="20"/>
                <w:szCs w:val="20"/>
              </w:rPr>
              <w:t>Grade 3/4</w:t>
            </w:r>
          </w:p>
        </w:tc>
        <w:tc>
          <w:tcPr>
            <w:tcW w:w="1134" w:type="dxa"/>
            <w:shd w:val="clear" w:color="auto" w:fill="D9D9D9" w:themeFill="background1" w:themeFillShade="D9"/>
          </w:tcPr>
          <w:p w14:paraId="37C2F571" w14:textId="77777777" w:rsidR="003D02F2" w:rsidRPr="002A25EC" w:rsidRDefault="003D02F2" w:rsidP="009C42E6">
            <w:pPr>
              <w:jc w:val="center"/>
              <w:rPr>
                <w:rFonts w:cs="Times New Roman"/>
                <w:b/>
                <w:bCs/>
                <w:sz w:val="20"/>
                <w:szCs w:val="20"/>
              </w:rPr>
            </w:pPr>
            <w:r w:rsidRPr="002A25EC">
              <w:rPr>
                <w:rFonts w:cs="Times New Roman"/>
                <w:b/>
                <w:bCs/>
                <w:sz w:val="20"/>
                <w:szCs w:val="20"/>
              </w:rPr>
              <w:t>Any Grade</w:t>
            </w:r>
          </w:p>
        </w:tc>
        <w:tc>
          <w:tcPr>
            <w:tcW w:w="992" w:type="dxa"/>
            <w:shd w:val="clear" w:color="auto" w:fill="D9D9D9" w:themeFill="background1" w:themeFillShade="D9"/>
          </w:tcPr>
          <w:p w14:paraId="4D4ECDDC" w14:textId="77777777" w:rsidR="003D02F2" w:rsidRPr="002A25EC" w:rsidRDefault="003D02F2" w:rsidP="009C42E6">
            <w:pPr>
              <w:jc w:val="center"/>
              <w:rPr>
                <w:rFonts w:cs="Times New Roman"/>
                <w:b/>
                <w:bCs/>
                <w:sz w:val="20"/>
                <w:szCs w:val="20"/>
              </w:rPr>
            </w:pPr>
            <w:r w:rsidRPr="002A25EC">
              <w:rPr>
                <w:rFonts w:cs="Times New Roman"/>
                <w:b/>
                <w:bCs/>
                <w:sz w:val="20"/>
                <w:szCs w:val="20"/>
              </w:rPr>
              <w:t>Grade 3/4</w:t>
            </w:r>
          </w:p>
        </w:tc>
        <w:tc>
          <w:tcPr>
            <w:tcW w:w="1134" w:type="dxa"/>
            <w:shd w:val="clear" w:color="auto" w:fill="D9D9D9" w:themeFill="background1" w:themeFillShade="D9"/>
          </w:tcPr>
          <w:p w14:paraId="633C5AA5" w14:textId="77777777" w:rsidR="003D02F2" w:rsidRPr="002A25EC" w:rsidRDefault="003D02F2" w:rsidP="009C42E6">
            <w:pPr>
              <w:jc w:val="center"/>
              <w:rPr>
                <w:rFonts w:cs="Times New Roman"/>
                <w:b/>
                <w:bCs/>
                <w:sz w:val="20"/>
                <w:szCs w:val="20"/>
              </w:rPr>
            </w:pPr>
            <w:r w:rsidRPr="002A25EC">
              <w:rPr>
                <w:rFonts w:cs="Times New Roman"/>
                <w:b/>
                <w:bCs/>
                <w:sz w:val="20"/>
                <w:szCs w:val="20"/>
              </w:rPr>
              <w:t>Any Grade</w:t>
            </w:r>
          </w:p>
        </w:tc>
        <w:tc>
          <w:tcPr>
            <w:tcW w:w="992" w:type="dxa"/>
            <w:shd w:val="clear" w:color="auto" w:fill="D9D9D9" w:themeFill="background1" w:themeFillShade="D9"/>
          </w:tcPr>
          <w:p w14:paraId="1D6E5119" w14:textId="77777777" w:rsidR="003D02F2" w:rsidRPr="002A25EC" w:rsidRDefault="003D02F2" w:rsidP="009C42E6">
            <w:pPr>
              <w:jc w:val="center"/>
              <w:rPr>
                <w:rFonts w:cs="Times New Roman"/>
                <w:b/>
                <w:bCs/>
                <w:sz w:val="20"/>
                <w:szCs w:val="20"/>
              </w:rPr>
            </w:pPr>
            <w:r w:rsidRPr="002A25EC">
              <w:rPr>
                <w:rFonts w:cs="Times New Roman"/>
                <w:b/>
                <w:bCs/>
                <w:sz w:val="20"/>
                <w:szCs w:val="20"/>
              </w:rPr>
              <w:t>Grade 3/4</w:t>
            </w:r>
          </w:p>
        </w:tc>
      </w:tr>
      <w:tr w:rsidR="003D02F2" w:rsidRPr="002A25EC" w14:paraId="65B4271F" w14:textId="77777777" w:rsidTr="5FFA413C">
        <w:tc>
          <w:tcPr>
            <w:tcW w:w="9067" w:type="dxa"/>
            <w:gridSpan w:val="7"/>
          </w:tcPr>
          <w:p w14:paraId="5EAE7465" w14:textId="77777777" w:rsidR="003D02F2" w:rsidRPr="002A25EC" w:rsidRDefault="003D02F2" w:rsidP="009C42E6">
            <w:pPr>
              <w:rPr>
                <w:rFonts w:cs="Times New Roman"/>
                <w:b/>
                <w:bCs/>
                <w:sz w:val="20"/>
                <w:szCs w:val="20"/>
              </w:rPr>
            </w:pPr>
            <w:proofErr w:type="spellStart"/>
            <w:r w:rsidRPr="002A25EC">
              <w:rPr>
                <w:rFonts w:cs="Times New Roman"/>
                <w:b/>
                <w:bCs/>
                <w:sz w:val="20"/>
                <w:szCs w:val="20"/>
              </w:rPr>
              <w:t>Gastrointestional</w:t>
            </w:r>
            <w:proofErr w:type="spellEnd"/>
            <w:r w:rsidRPr="002A25EC">
              <w:rPr>
                <w:rFonts w:cs="Times New Roman"/>
                <w:b/>
                <w:bCs/>
                <w:sz w:val="20"/>
                <w:szCs w:val="20"/>
              </w:rPr>
              <w:t xml:space="preserve"> disorders</w:t>
            </w:r>
          </w:p>
        </w:tc>
      </w:tr>
      <w:tr w:rsidR="003D02F2" w:rsidRPr="002A25EC" w14:paraId="69C7904D" w14:textId="77777777" w:rsidTr="5FFA413C">
        <w:tc>
          <w:tcPr>
            <w:tcW w:w="2689" w:type="dxa"/>
          </w:tcPr>
          <w:p w14:paraId="4B4DC7B2" w14:textId="77777777" w:rsidR="003D02F2" w:rsidRPr="002A25EC" w:rsidRDefault="003D02F2" w:rsidP="009C42E6">
            <w:pPr>
              <w:rPr>
                <w:rFonts w:cs="Times New Roman"/>
                <w:sz w:val="20"/>
                <w:szCs w:val="20"/>
              </w:rPr>
            </w:pPr>
            <w:r w:rsidRPr="002A25EC">
              <w:rPr>
                <w:rFonts w:cs="Times New Roman"/>
                <w:sz w:val="20"/>
                <w:szCs w:val="20"/>
              </w:rPr>
              <w:t>Diarrhoea</w:t>
            </w:r>
          </w:p>
        </w:tc>
        <w:tc>
          <w:tcPr>
            <w:tcW w:w="1134" w:type="dxa"/>
          </w:tcPr>
          <w:p w14:paraId="01F2E60A" w14:textId="77777777" w:rsidR="003D02F2" w:rsidRPr="002A25EC" w:rsidRDefault="003D02F2" w:rsidP="009C42E6">
            <w:pPr>
              <w:jc w:val="center"/>
              <w:rPr>
                <w:rFonts w:cs="Times New Roman"/>
                <w:sz w:val="20"/>
                <w:szCs w:val="20"/>
              </w:rPr>
            </w:pPr>
            <w:r w:rsidRPr="002A25EC">
              <w:rPr>
                <w:rFonts w:cs="Times New Roman"/>
                <w:sz w:val="20"/>
                <w:szCs w:val="20"/>
              </w:rPr>
              <w:t>235 (48.6)</w:t>
            </w:r>
          </w:p>
        </w:tc>
        <w:tc>
          <w:tcPr>
            <w:tcW w:w="992" w:type="dxa"/>
          </w:tcPr>
          <w:p w14:paraId="5E6FB019" w14:textId="77777777" w:rsidR="003D02F2" w:rsidRPr="002A25EC" w:rsidRDefault="003D02F2" w:rsidP="009C42E6">
            <w:pPr>
              <w:jc w:val="center"/>
              <w:rPr>
                <w:rFonts w:cs="Times New Roman"/>
                <w:sz w:val="20"/>
                <w:szCs w:val="20"/>
              </w:rPr>
            </w:pPr>
            <w:r w:rsidRPr="002A25EC">
              <w:rPr>
                <w:rFonts w:cs="Times New Roman"/>
                <w:sz w:val="20"/>
                <w:szCs w:val="20"/>
              </w:rPr>
              <w:t>13 (2.7)</w:t>
            </w:r>
          </w:p>
        </w:tc>
        <w:tc>
          <w:tcPr>
            <w:tcW w:w="1134" w:type="dxa"/>
          </w:tcPr>
          <w:p w14:paraId="7DC39E33" w14:textId="77777777" w:rsidR="003D02F2" w:rsidRPr="002A25EC" w:rsidRDefault="003D02F2" w:rsidP="009C42E6">
            <w:pPr>
              <w:jc w:val="center"/>
              <w:rPr>
                <w:rFonts w:cs="Times New Roman"/>
                <w:sz w:val="20"/>
                <w:szCs w:val="20"/>
              </w:rPr>
            </w:pPr>
            <w:r w:rsidRPr="002A25EC">
              <w:rPr>
                <w:rFonts w:cs="Times New Roman"/>
                <w:sz w:val="20"/>
                <w:szCs w:val="20"/>
              </w:rPr>
              <w:t>15 (15.8)</w:t>
            </w:r>
          </w:p>
        </w:tc>
        <w:tc>
          <w:tcPr>
            <w:tcW w:w="992" w:type="dxa"/>
          </w:tcPr>
          <w:p w14:paraId="549909AE"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1134" w:type="dxa"/>
          </w:tcPr>
          <w:p w14:paraId="0E153B7F" w14:textId="77777777" w:rsidR="003D02F2" w:rsidRPr="002A25EC" w:rsidRDefault="003D02F2" w:rsidP="009C42E6">
            <w:pPr>
              <w:jc w:val="center"/>
              <w:rPr>
                <w:rFonts w:cs="Times New Roman"/>
                <w:sz w:val="20"/>
                <w:szCs w:val="20"/>
              </w:rPr>
            </w:pPr>
            <w:r w:rsidRPr="002A25EC">
              <w:rPr>
                <w:rFonts w:cs="Times New Roman"/>
                <w:sz w:val="20"/>
                <w:szCs w:val="20"/>
              </w:rPr>
              <w:t>2 (3.0)</w:t>
            </w:r>
          </w:p>
        </w:tc>
        <w:tc>
          <w:tcPr>
            <w:tcW w:w="992" w:type="dxa"/>
          </w:tcPr>
          <w:p w14:paraId="5F981E19" w14:textId="77777777" w:rsidR="003D02F2" w:rsidRPr="002A25EC" w:rsidRDefault="003D02F2" w:rsidP="009C42E6">
            <w:pPr>
              <w:jc w:val="center"/>
              <w:rPr>
                <w:rFonts w:cs="Times New Roman"/>
                <w:sz w:val="20"/>
                <w:szCs w:val="20"/>
              </w:rPr>
            </w:pPr>
            <w:r w:rsidRPr="002A25EC">
              <w:rPr>
                <w:rFonts w:cs="Times New Roman"/>
                <w:sz w:val="20"/>
                <w:szCs w:val="20"/>
              </w:rPr>
              <w:t>0</w:t>
            </w:r>
          </w:p>
        </w:tc>
      </w:tr>
      <w:tr w:rsidR="003D02F2" w:rsidRPr="002A25EC" w14:paraId="13214826" w14:textId="77777777" w:rsidTr="5FFA413C">
        <w:tc>
          <w:tcPr>
            <w:tcW w:w="2689" w:type="dxa"/>
          </w:tcPr>
          <w:p w14:paraId="27F7D768" w14:textId="77777777" w:rsidR="003D02F2" w:rsidRPr="002A25EC" w:rsidRDefault="003D02F2" w:rsidP="009C42E6">
            <w:pPr>
              <w:rPr>
                <w:rFonts w:cs="Times New Roman"/>
                <w:sz w:val="20"/>
                <w:szCs w:val="20"/>
              </w:rPr>
            </w:pPr>
            <w:r w:rsidRPr="002A25EC">
              <w:rPr>
                <w:rFonts w:cs="Times New Roman"/>
                <w:sz w:val="20"/>
                <w:szCs w:val="20"/>
              </w:rPr>
              <w:t>Nausea</w:t>
            </w:r>
          </w:p>
        </w:tc>
        <w:tc>
          <w:tcPr>
            <w:tcW w:w="1134" w:type="dxa"/>
          </w:tcPr>
          <w:p w14:paraId="6A0F66CD" w14:textId="77777777" w:rsidR="003D02F2" w:rsidRPr="002A25EC" w:rsidRDefault="003D02F2" w:rsidP="009C42E6">
            <w:pPr>
              <w:jc w:val="center"/>
              <w:rPr>
                <w:rFonts w:cs="Times New Roman"/>
                <w:sz w:val="20"/>
                <w:szCs w:val="20"/>
              </w:rPr>
            </w:pPr>
            <w:r w:rsidRPr="002A25EC">
              <w:rPr>
                <w:rFonts w:cs="Times New Roman"/>
                <w:sz w:val="20"/>
                <w:szCs w:val="20"/>
              </w:rPr>
              <w:t>216 (44.6)</w:t>
            </w:r>
          </w:p>
        </w:tc>
        <w:tc>
          <w:tcPr>
            <w:tcW w:w="992" w:type="dxa"/>
          </w:tcPr>
          <w:p w14:paraId="6BE7C540" w14:textId="77777777" w:rsidR="003D02F2" w:rsidRPr="002A25EC" w:rsidRDefault="003D02F2" w:rsidP="009C42E6">
            <w:pPr>
              <w:jc w:val="center"/>
              <w:rPr>
                <w:rFonts w:cs="Times New Roman"/>
                <w:sz w:val="20"/>
                <w:szCs w:val="20"/>
              </w:rPr>
            </w:pPr>
            <w:r w:rsidRPr="002A25EC">
              <w:rPr>
                <w:rFonts w:cs="Times New Roman"/>
                <w:sz w:val="20"/>
                <w:szCs w:val="20"/>
              </w:rPr>
              <w:t>2 (0.4)</w:t>
            </w:r>
          </w:p>
        </w:tc>
        <w:tc>
          <w:tcPr>
            <w:tcW w:w="1134" w:type="dxa"/>
          </w:tcPr>
          <w:p w14:paraId="35870EFA" w14:textId="77777777" w:rsidR="003D02F2" w:rsidRPr="002A25EC" w:rsidRDefault="003D02F2" w:rsidP="009C42E6">
            <w:pPr>
              <w:jc w:val="center"/>
              <w:rPr>
                <w:rFonts w:cs="Times New Roman"/>
                <w:sz w:val="20"/>
                <w:szCs w:val="20"/>
              </w:rPr>
            </w:pPr>
            <w:r w:rsidRPr="002A25EC">
              <w:rPr>
                <w:rFonts w:cs="Times New Roman"/>
                <w:sz w:val="20"/>
                <w:szCs w:val="20"/>
              </w:rPr>
              <w:t>14 (14.7)</w:t>
            </w:r>
          </w:p>
        </w:tc>
        <w:tc>
          <w:tcPr>
            <w:tcW w:w="992" w:type="dxa"/>
          </w:tcPr>
          <w:p w14:paraId="195667DC"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1134" w:type="dxa"/>
          </w:tcPr>
          <w:p w14:paraId="22DB3100" w14:textId="77777777" w:rsidR="003D02F2" w:rsidRPr="002A25EC" w:rsidRDefault="003D02F2" w:rsidP="009C42E6">
            <w:pPr>
              <w:jc w:val="center"/>
              <w:rPr>
                <w:rFonts w:cs="Times New Roman"/>
                <w:sz w:val="20"/>
                <w:szCs w:val="20"/>
              </w:rPr>
            </w:pPr>
            <w:r w:rsidRPr="002A25EC">
              <w:rPr>
                <w:rFonts w:cs="Times New Roman"/>
                <w:sz w:val="20"/>
                <w:szCs w:val="20"/>
              </w:rPr>
              <w:t>10 (14.9)</w:t>
            </w:r>
          </w:p>
        </w:tc>
        <w:tc>
          <w:tcPr>
            <w:tcW w:w="992" w:type="dxa"/>
          </w:tcPr>
          <w:p w14:paraId="4DF38AD1" w14:textId="77777777" w:rsidR="003D02F2" w:rsidRPr="002A25EC" w:rsidRDefault="003D02F2" w:rsidP="009C42E6">
            <w:pPr>
              <w:jc w:val="center"/>
              <w:rPr>
                <w:rFonts w:cs="Times New Roman"/>
                <w:sz w:val="20"/>
                <w:szCs w:val="20"/>
              </w:rPr>
            </w:pPr>
            <w:r w:rsidRPr="002A25EC">
              <w:rPr>
                <w:rFonts w:cs="Times New Roman"/>
                <w:sz w:val="20"/>
                <w:szCs w:val="20"/>
              </w:rPr>
              <w:t>0</w:t>
            </w:r>
          </w:p>
        </w:tc>
      </w:tr>
      <w:tr w:rsidR="003D02F2" w:rsidRPr="002A25EC" w14:paraId="48F41709" w14:textId="77777777" w:rsidTr="5FFA413C">
        <w:tc>
          <w:tcPr>
            <w:tcW w:w="2689" w:type="dxa"/>
          </w:tcPr>
          <w:p w14:paraId="7ED99392" w14:textId="77777777" w:rsidR="003D02F2" w:rsidRPr="002A25EC" w:rsidRDefault="003D02F2" w:rsidP="009C42E6">
            <w:pPr>
              <w:rPr>
                <w:rFonts w:cs="Times New Roman"/>
                <w:sz w:val="20"/>
                <w:szCs w:val="20"/>
              </w:rPr>
            </w:pPr>
            <w:r w:rsidRPr="002A25EC">
              <w:rPr>
                <w:rFonts w:cs="Times New Roman"/>
                <w:sz w:val="20"/>
                <w:szCs w:val="20"/>
              </w:rPr>
              <w:t>Vomiting</w:t>
            </w:r>
          </w:p>
        </w:tc>
        <w:tc>
          <w:tcPr>
            <w:tcW w:w="1134" w:type="dxa"/>
          </w:tcPr>
          <w:p w14:paraId="7BFF49F6" w14:textId="77777777" w:rsidR="003D02F2" w:rsidRPr="002A25EC" w:rsidRDefault="003D02F2" w:rsidP="009C42E6">
            <w:pPr>
              <w:jc w:val="center"/>
              <w:rPr>
                <w:rFonts w:cs="Times New Roman"/>
                <w:sz w:val="20"/>
                <w:szCs w:val="20"/>
              </w:rPr>
            </w:pPr>
            <w:r w:rsidRPr="002A25EC">
              <w:rPr>
                <w:rFonts w:cs="Times New Roman"/>
                <w:sz w:val="20"/>
                <w:szCs w:val="20"/>
              </w:rPr>
              <w:t>133 (27.5)</w:t>
            </w:r>
          </w:p>
        </w:tc>
        <w:tc>
          <w:tcPr>
            <w:tcW w:w="992" w:type="dxa"/>
          </w:tcPr>
          <w:p w14:paraId="0BC56160" w14:textId="77777777" w:rsidR="003D02F2" w:rsidRPr="002A25EC" w:rsidRDefault="003D02F2" w:rsidP="009C42E6">
            <w:pPr>
              <w:jc w:val="center"/>
              <w:rPr>
                <w:rFonts w:cs="Times New Roman"/>
                <w:sz w:val="20"/>
                <w:szCs w:val="20"/>
              </w:rPr>
            </w:pPr>
            <w:r w:rsidRPr="002A25EC">
              <w:rPr>
                <w:rFonts w:cs="Times New Roman"/>
                <w:sz w:val="20"/>
                <w:szCs w:val="20"/>
              </w:rPr>
              <w:t>5 (1.0)</w:t>
            </w:r>
          </w:p>
        </w:tc>
        <w:tc>
          <w:tcPr>
            <w:tcW w:w="1134" w:type="dxa"/>
          </w:tcPr>
          <w:p w14:paraId="2E354EDB" w14:textId="77777777" w:rsidR="003D02F2" w:rsidRPr="002A25EC" w:rsidRDefault="003D02F2" w:rsidP="009C42E6">
            <w:pPr>
              <w:jc w:val="center"/>
              <w:rPr>
                <w:rFonts w:cs="Times New Roman"/>
                <w:sz w:val="20"/>
                <w:szCs w:val="20"/>
              </w:rPr>
            </w:pPr>
            <w:r w:rsidRPr="002A25EC">
              <w:rPr>
                <w:rFonts w:cs="Times New Roman"/>
                <w:sz w:val="20"/>
                <w:szCs w:val="20"/>
              </w:rPr>
              <w:t>5 (5.3)</w:t>
            </w:r>
          </w:p>
        </w:tc>
        <w:tc>
          <w:tcPr>
            <w:tcW w:w="992" w:type="dxa"/>
          </w:tcPr>
          <w:p w14:paraId="4E1EFD20"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1134" w:type="dxa"/>
          </w:tcPr>
          <w:p w14:paraId="15E19F1A" w14:textId="77777777" w:rsidR="003D02F2" w:rsidRPr="002A25EC" w:rsidRDefault="003D02F2" w:rsidP="009C42E6">
            <w:pPr>
              <w:jc w:val="center"/>
              <w:rPr>
                <w:rFonts w:cs="Times New Roman"/>
                <w:sz w:val="20"/>
                <w:szCs w:val="20"/>
              </w:rPr>
            </w:pPr>
            <w:r w:rsidRPr="002A25EC">
              <w:rPr>
                <w:rFonts w:cs="Times New Roman"/>
                <w:sz w:val="20"/>
                <w:szCs w:val="20"/>
              </w:rPr>
              <w:t>3 (4.5)</w:t>
            </w:r>
          </w:p>
        </w:tc>
        <w:tc>
          <w:tcPr>
            <w:tcW w:w="992" w:type="dxa"/>
          </w:tcPr>
          <w:p w14:paraId="0BA16032" w14:textId="77777777" w:rsidR="003D02F2" w:rsidRPr="002A25EC" w:rsidRDefault="003D02F2" w:rsidP="009C42E6">
            <w:pPr>
              <w:jc w:val="center"/>
              <w:rPr>
                <w:rFonts w:cs="Times New Roman"/>
                <w:sz w:val="20"/>
                <w:szCs w:val="20"/>
              </w:rPr>
            </w:pPr>
            <w:r w:rsidRPr="002A25EC">
              <w:rPr>
                <w:rFonts w:cs="Times New Roman"/>
                <w:sz w:val="20"/>
                <w:szCs w:val="20"/>
              </w:rPr>
              <w:t>0</w:t>
            </w:r>
          </w:p>
        </w:tc>
      </w:tr>
      <w:tr w:rsidR="003D02F2" w:rsidRPr="002A25EC" w14:paraId="1690DE03" w14:textId="77777777" w:rsidTr="5FFA413C">
        <w:tc>
          <w:tcPr>
            <w:tcW w:w="2689" w:type="dxa"/>
          </w:tcPr>
          <w:p w14:paraId="572488F0" w14:textId="77777777" w:rsidR="003D02F2" w:rsidRPr="002A25EC" w:rsidRDefault="003D02F2" w:rsidP="009C42E6">
            <w:pPr>
              <w:rPr>
                <w:rFonts w:cs="Times New Roman"/>
                <w:sz w:val="20"/>
                <w:szCs w:val="20"/>
              </w:rPr>
            </w:pPr>
            <w:r w:rsidRPr="002A25EC">
              <w:rPr>
                <w:rFonts w:cs="Times New Roman"/>
                <w:sz w:val="20"/>
                <w:szCs w:val="20"/>
              </w:rPr>
              <w:t>Constipation</w:t>
            </w:r>
          </w:p>
        </w:tc>
        <w:tc>
          <w:tcPr>
            <w:tcW w:w="1134" w:type="dxa"/>
          </w:tcPr>
          <w:p w14:paraId="2FA642C5" w14:textId="77777777" w:rsidR="003D02F2" w:rsidRPr="002A25EC" w:rsidRDefault="003D02F2" w:rsidP="009C42E6">
            <w:pPr>
              <w:jc w:val="center"/>
              <w:rPr>
                <w:rFonts w:cs="Times New Roman"/>
                <w:sz w:val="20"/>
                <w:szCs w:val="20"/>
              </w:rPr>
            </w:pPr>
            <w:r w:rsidRPr="002A25EC">
              <w:rPr>
                <w:rFonts w:cs="Times New Roman"/>
                <w:sz w:val="20"/>
                <w:szCs w:val="20"/>
              </w:rPr>
              <w:t>93 (19.2)</w:t>
            </w:r>
          </w:p>
        </w:tc>
        <w:tc>
          <w:tcPr>
            <w:tcW w:w="992" w:type="dxa"/>
          </w:tcPr>
          <w:p w14:paraId="185C4268" w14:textId="77777777" w:rsidR="003D02F2" w:rsidRPr="002A25EC" w:rsidRDefault="003D02F2" w:rsidP="009C42E6">
            <w:pPr>
              <w:jc w:val="center"/>
              <w:rPr>
                <w:rFonts w:cs="Times New Roman"/>
                <w:sz w:val="20"/>
                <w:szCs w:val="20"/>
              </w:rPr>
            </w:pPr>
            <w:r w:rsidRPr="002A25EC">
              <w:rPr>
                <w:rFonts w:cs="Times New Roman"/>
                <w:sz w:val="20"/>
                <w:szCs w:val="20"/>
              </w:rPr>
              <w:t>2 (0.4)</w:t>
            </w:r>
          </w:p>
        </w:tc>
        <w:tc>
          <w:tcPr>
            <w:tcW w:w="1134" w:type="dxa"/>
          </w:tcPr>
          <w:p w14:paraId="266C4428" w14:textId="77777777" w:rsidR="003D02F2" w:rsidRPr="002A25EC" w:rsidRDefault="003D02F2" w:rsidP="009C42E6">
            <w:pPr>
              <w:jc w:val="center"/>
              <w:rPr>
                <w:rFonts w:cs="Times New Roman"/>
                <w:sz w:val="20"/>
                <w:szCs w:val="20"/>
              </w:rPr>
            </w:pPr>
            <w:r w:rsidRPr="002A25EC">
              <w:rPr>
                <w:rFonts w:cs="Times New Roman"/>
                <w:sz w:val="20"/>
                <w:szCs w:val="20"/>
              </w:rPr>
              <w:t>7 (7.4)</w:t>
            </w:r>
          </w:p>
        </w:tc>
        <w:tc>
          <w:tcPr>
            <w:tcW w:w="992" w:type="dxa"/>
          </w:tcPr>
          <w:p w14:paraId="227F8B19"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1134" w:type="dxa"/>
          </w:tcPr>
          <w:p w14:paraId="12080C63" w14:textId="77777777" w:rsidR="003D02F2" w:rsidRPr="002A25EC" w:rsidRDefault="003D02F2" w:rsidP="009C42E6">
            <w:pPr>
              <w:jc w:val="center"/>
              <w:rPr>
                <w:rFonts w:cs="Times New Roman"/>
                <w:sz w:val="20"/>
                <w:szCs w:val="20"/>
              </w:rPr>
            </w:pPr>
            <w:r w:rsidRPr="002A25EC">
              <w:rPr>
                <w:rFonts w:cs="Times New Roman"/>
                <w:sz w:val="20"/>
                <w:szCs w:val="20"/>
              </w:rPr>
              <w:t>6 (9.0)</w:t>
            </w:r>
          </w:p>
        </w:tc>
        <w:tc>
          <w:tcPr>
            <w:tcW w:w="992" w:type="dxa"/>
          </w:tcPr>
          <w:p w14:paraId="59CFDE52" w14:textId="77777777" w:rsidR="003D02F2" w:rsidRPr="002A25EC" w:rsidRDefault="003D02F2" w:rsidP="009C42E6">
            <w:pPr>
              <w:jc w:val="center"/>
              <w:rPr>
                <w:rFonts w:cs="Times New Roman"/>
                <w:sz w:val="20"/>
                <w:szCs w:val="20"/>
              </w:rPr>
            </w:pPr>
            <w:r w:rsidRPr="002A25EC">
              <w:rPr>
                <w:rFonts w:cs="Times New Roman"/>
                <w:sz w:val="20"/>
                <w:szCs w:val="20"/>
              </w:rPr>
              <w:t>0</w:t>
            </w:r>
          </w:p>
        </w:tc>
      </w:tr>
      <w:tr w:rsidR="003D02F2" w:rsidRPr="002A25EC" w14:paraId="20764758" w14:textId="77777777" w:rsidTr="5FFA413C">
        <w:tc>
          <w:tcPr>
            <w:tcW w:w="2689" w:type="dxa"/>
          </w:tcPr>
          <w:p w14:paraId="4EA1D3FC" w14:textId="77777777" w:rsidR="003D02F2" w:rsidRPr="002A25EC" w:rsidRDefault="003D02F2" w:rsidP="009C42E6">
            <w:pPr>
              <w:rPr>
                <w:rFonts w:cs="Times New Roman"/>
                <w:sz w:val="20"/>
                <w:szCs w:val="20"/>
              </w:rPr>
            </w:pPr>
            <w:r w:rsidRPr="002A25EC">
              <w:rPr>
                <w:rFonts w:cs="Times New Roman"/>
                <w:sz w:val="20"/>
                <w:szCs w:val="20"/>
              </w:rPr>
              <w:t>Abdominal pain</w:t>
            </w:r>
          </w:p>
        </w:tc>
        <w:tc>
          <w:tcPr>
            <w:tcW w:w="1134" w:type="dxa"/>
          </w:tcPr>
          <w:p w14:paraId="314E3B8C" w14:textId="77777777" w:rsidR="003D02F2" w:rsidRPr="002A25EC" w:rsidRDefault="003D02F2" w:rsidP="009C42E6">
            <w:pPr>
              <w:jc w:val="center"/>
              <w:rPr>
                <w:rFonts w:cs="Times New Roman"/>
                <w:sz w:val="20"/>
                <w:szCs w:val="20"/>
              </w:rPr>
            </w:pPr>
            <w:r w:rsidRPr="002A25EC">
              <w:rPr>
                <w:rFonts w:cs="Times New Roman"/>
                <w:sz w:val="20"/>
                <w:szCs w:val="20"/>
              </w:rPr>
              <w:t>39 (8.1)</w:t>
            </w:r>
          </w:p>
        </w:tc>
        <w:tc>
          <w:tcPr>
            <w:tcW w:w="992" w:type="dxa"/>
          </w:tcPr>
          <w:p w14:paraId="214F2AE6" w14:textId="77777777" w:rsidR="003D02F2" w:rsidRPr="002A25EC" w:rsidRDefault="003D02F2" w:rsidP="009C42E6">
            <w:pPr>
              <w:jc w:val="center"/>
              <w:rPr>
                <w:rFonts w:cs="Times New Roman"/>
                <w:sz w:val="20"/>
                <w:szCs w:val="20"/>
              </w:rPr>
            </w:pPr>
            <w:r w:rsidRPr="002A25EC">
              <w:rPr>
                <w:rFonts w:cs="Times New Roman"/>
                <w:sz w:val="20"/>
                <w:szCs w:val="20"/>
              </w:rPr>
              <w:t>2 (0.4)</w:t>
            </w:r>
          </w:p>
        </w:tc>
        <w:tc>
          <w:tcPr>
            <w:tcW w:w="1134" w:type="dxa"/>
          </w:tcPr>
          <w:p w14:paraId="752D8681" w14:textId="77777777" w:rsidR="003D02F2" w:rsidRPr="002A25EC" w:rsidRDefault="003D02F2" w:rsidP="009C42E6">
            <w:pPr>
              <w:jc w:val="center"/>
              <w:rPr>
                <w:rFonts w:cs="Times New Roman"/>
                <w:sz w:val="20"/>
                <w:szCs w:val="20"/>
              </w:rPr>
            </w:pPr>
            <w:r w:rsidRPr="002A25EC">
              <w:rPr>
                <w:rFonts w:cs="Times New Roman"/>
                <w:sz w:val="20"/>
                <w:szCs w:val="20"/>
              </w:rPr>
              <w:t>8 (8.4)</w:t>
            </w:r>
          </w:p>
        </w:tc>
        <w:tc>
          <w:tcPr>
            <w:tcW w:w="992" w:type="dxa"/>
          </w:tcPr>
          <w:p w14:paraId="6E8DF19B"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1134" w:type="dxa"/>
          </w:tcPr>
          <w:p w14:paraId="567AB321" w14:textId="77777777" w:rsidR="003D02F2" w:rsidRPr="002A25EC" w:rsidRDefault="003D02F2" w:rsidP="009C42E6">
            <w:pPr>
              <w:jc w:val="center"/>
              <w:rPr>
                <w:rFonts w:cs="Times New Roman"/>
                <w:sz w:val="20"/>
                <w:szCs w:val="20"/>
              </w:rPr>
            </w:pPr>
            <w:r w:rsidRPr="002A25EC">
              <w:rPr>
                <w:rFonts w:cs="Times New Roman"/>
                <w:sz w:val="20"/>
                <w:szCs w:val="20"/>
              </w:rPr>
              <w:t>5 (7.5)</w:t>
            </w:r>
          </w:p>
        </w:tc>
        <w:tc>
          <w:tcPr>
            <w:tcW w:w="992" w:type="dxa"/>
          </w:tcPr>
          <w:p w14:paraId="3C36E184" w14:textId="77777777" w:rsidR="003D02F2" w:rsidRPr="002A25EC" w:rsidRDefault="003D02F2" w:rsidP="009C42E6">
            <w:pPr>
              <w:jc w:val="center"/>
              <w:rPr>
                <w:rFonts w:cs="Times New Roman"/>
                <w:sz w:val="20"/>
                <w:szCs w:val="20"/>
              </w:rPr>
            </w:pPr>
            <w:r w:rsidRPr="002A25EC">
              <w:rPr>
                <w:rFonts w:cs="Times New Roman"/>
                <w:sz w:val="20"/>
                <w:szCs w:val="20"/>
              </w:rPr>
              <w:t>0</w:t>
            </w:r>
          </w:p>
        </w:tc>
      </w:tr>
      <w:tr w:rsidR="003D02F2" w:rsidRPr="002A25EC" w14:paraId="66BC1D43" w14:textId="77777777" w:rsidTr="5FFA413C">
        <w:tc>
          <w:tcPr>
            <w:tcW w:w="2689" w:type="dxa"/>
          </w:tcPr>
          <w:p w14:paraId="749BABE5" w14:textId="77777777" w:rsidR="003D02F2" w:rsidRPr="002A25EC" w:rsidRDefault="003D02F2" w:rsidP="009C42E6">
            <w:pPr>
              <w:rPr>
                <w:rFonts w:cs="Times New Roman"/>
                <w:sz w:val="20"/>
                <w:szCs w:val="20"/>
              </w:rPr>
            </w:pPr>
            <w:r w:rsidRPr="002A25EC">
              <w:rPr>
                <w:rFonts w:cs="Times New Roman"/>
                <w:sz w:val="20"/>
                <w:szCs w:val="20"/>
              </w:rPr>
              <w:t>Abdominal pain upper</w:t>
            </w:r>
          </w:p>
        </w:tc>
        <w:tc>
          <w:tcPr>
            <w:tcW w:w="1134" w:type="dxa"/>
          </w:tcPr>
          <w:p w14:paraId="131E617C" w14:textId="77777777" w:rsidR="003D02F2" w:rsidRPr="002A25EC" w:rsidRDefault="003D02F2" w:rsidP="009C42E6">
            <w:pPr>
              <w:jc w:val="center"/>
              <w:rPr>
                <w:rFonts w:cs="Times New Roman"/>
                <w:sz w:val="20"/>
                <w:szCs w:val="20"/>
              </w:rPr>
            </w:pPr>
            <w:r w:rsidRPr="002A25EC">
              <w:rPr>
                <w:rFonts w:cs="Times New Roman"/>
                <w:sz w:val="20"/>
                <w:szCs w:val="20"/>
              </w:rPr>
              <w:t>32 (6.6)</w:t>
            </w:r>
          </w:p>
        </w:tc>
        <w:tc>
          <w:tcPr>
            <w:tcW w:w="992" w:type="dxa"/>
          </w:tcPr>
          <w:p w14:paraId="0F8E9E1A" w14:textId="77777777" w:rsidR="003D02F2" w:rsidRPr="002A25EC" w:rsidRDefault="003D02F2" w:rsidP="009C42E6">
            <w:pPr>
              <w:jc w:val="center"/>
              <w:rPr>
                <w:rFonts w:cs="Times New Roman"/>
                <w:sz w:val="20"/>
                <w:szCs w:val="20"/>
              </w:rPr>
            </w:pPr>
            <w:r w:rsidRPr="002A25EC">
              <w:rPr>
                <w:rFonts w:cs="Times New Roman"/>
                <w:sz w:val="20"/>
                <w:szCs w:val="20"/>
              </w:rPr>
              <w:t>4 (0.8)</w:t>
            </w:r>
          </w:p>
        </w:tc>
        <w:tc>
          <w:tcPr>
            <w:tcW w:w="1134" w:type="dxa"/>
          </w:tcPr>
          <w:p w14:paraId="6D540CEE" w14:textId="77777777" w:rsidR="003D02F2" w:rsidRPr="002A25EC" w:rsidRDefault="003D02F2" w:rsidP="009C42E6">
            <w:pPr>
              <w:jc w:val="center"/>
              <w:rPr>
                <w:rFonts w:cs="Times New Roman"/>
                <w:sz w:val="20"/>
                <w:szCs w:val="20"/>
              </w:rPr>
            </w:pPr>
            <w:r w:rsidRPr="002A25EC">
              <w:rPr>
                <w:rFonts w:cs="Times New Roman"/>
                <w:sz w:val="20"/>
                <w:szCs w:val="20"/>
              </w:rPr>
              <w:t>12 (12.6)</w:t>
            </w:r>
          </w:p>
        </w:tc>
        <w:tc>
          <w:tcPr>
            <w:tcW w:w="992" w:type="dxa"/>
          </w:tcPr>
          <w:p w14:paraId="4C80FD39" w14:textId="77777777" w:rsidR="003D02F2" w:rsidRPr="002A25EC" w:rsidRDefault="003D02F2" w:rsidP="009C42E6">
            <w:pPr>
              <w:jc w:val="center"/>
              <w:rPr>
                <w:rFonts w:cs="Times New Roman"/>
                <w:sz w:val="20"/>
                <w:szCs w:val="20"/>
              </w:rPr>
            </w:pPr>
            <w:r w:rsidRPr="002A25EC">
              <w:rPr>
                <w:rFonts w:cs="Times New Roman"/>
                <w:sz w:val="20"/>
                <w:szCs w:val="20"/>
              </w:rPr>
              <w:t>1 (1.1)</w:t>
            </w:r>
          </w:p>
        </w:tc>
        <w:tc>
          <w:tcPr>
            <w:tcW w:w="1134" w:type="dxa"/>
          </w:tcPr>
          <w:p w14:paraId="0B7F49CE" w14:textId="77777777" w:rsidR="003D02F2" w:rsidRPr="002A25EC" w:rsidRDefault="003D02F2" w:rsidP="009C42E6">
            <w:pPr>
              <w:jc w:val="center"/>
              <w:rPr>
                <w:rFonts w:cs="Times New Roman"/>
                <w:sz w:val="20"/>
                <w:szCs w:val="20"/>
              </w:rPr>
            </w:pPr>
            <w:r w:rsidRPr="002A25EC">
              <w:rPr>
                <w:rFonts w:cs="Times New Roman"/>
                <w:sz w:val="20"/>
                <w:szCs w:val="20"/>
              </w:rPr>
              <w:t>8 (11.9)</w:t>
            </w:r>
          </w:p>
        </w:tc>
        <w:tc>
          <w:tcPr>
            <w:tcW w:w="992" w:type="dxa"/>
          </w:tcPr>
          <w:p w14:paraId="2D3F0C00" w14:textId="77777777" w:rsidR="003D02F2" w:rsidRPr="002A25EC" w:rsidRDefault="003D02F2" w:rsidP="009C42E6">
            <w:pPr>
              <w:jc w:val="center"/>
              <w:rPr>
                <w:rFonts w:cs="Times New Roman"/>
                <w:sz w:val="20"/>
                <w:szCs w:val="20"/>
              </w:rPr>
            </w:pPr>
            <w:r w:rsidRPr="002A25EC">
              <w:rPr>
                <w:rFonts w:cs="Times New Roman"/>
                <w:sz w:val="20"/>
                <w:szCs w:val="20"/>
              </w:rPr>
              <w:t>0</w:t>
            </w:r>
          </w:p>
        </w:tc>
      </w:tr>
      <w:tr w:rsidR="003D02F2" w:rsidRPr="002A25EC" w14:paraId="078BE18C" w14:textId="77777777" w:rsidTr="5FFA413C">
        <w:tc>
          <w:tcPr>
            <w:tcW w:w="9067" w:type="dxa"/>
            <w:gridSpan w:val="7"/>
          </w:tcPr>
          <w:p w14:paraId="59BB7532" w14:textId="77777777" w:rsidR="003D02F2" w:rsidRPr="002A25EC" w:rsidRDefault="003D02F2" w:rsidP="009C42E6">
            <w:pPr>
              <w:rPr>
                <w:rFonts w:cs="Times New Roman"/>
                <w:b/>
                <w:bCs/>
                <w:sz w:val="20"/>
                <w:szCs w:val="20"/>
              </w:rPr>
            </w:pPr>
            <w:r w:rsidRPr="002A25EC">
              <w:rPr>
                <w:rFonts w:cs="Times New Roman"/>
                <w:b/>
                <w:bCs/>
                <w:sz w:val="20"/>
                <w:szCs w:val="20"/>
              </w:rPr>
              <w:t>Blood and lymphatic system disorders</w:t>
            </w:r>
          </w:p>
        </w:tc>
      </w:tr>
      <w:tr w:rsidR="003D02F2" w:rsidRPr="002A25EC" w14:paraId="15CE6B02" w14:textId="77777777" w:rsidTr="5FFA413C">
        <w:tc>
          <w:tcPr>
            <w:tcW w:w="2689" w:type="dxa"/>
          </w:tcPr>
          <w:p w14:paraId="1C587E4B" w14:textId="77777777" w:rsidR="003D02F2" w:rsidRPr="002A25EC" w:rsidRDefault="003D02F2" w:rsidP="009C42E6">
            <w:pPr>
              <w:rPr>
                <w:rFonts w:cs="Times New Roman"/>
                <w:sz w:val="20"/>
                <w:szCs w:val="20"/>
              </w:rPr>
            </w:pPr>
            <w:r w:rsidRPr="002A25EC">
              <w:rPr>
                <w:rFonts w:cs="Times New Roman"/>
                <w:sz w:val="20"/>
                <w:szCs w:val="20"/>
              </w:rPr>
              <w:t>Anaemia</w:t>
            </w:r>
          </w:p>
        </w:tc>
        <w:tc>
          <w:tcPr>
            <w:tcW w:w="1134" w:type="dxa"/>
          </w:tcPr>
          <w:p w14:paraId="09F1D333" w14:textId="77777777" w:rsidR="003D02F2" w:rsidRPr="002A25EC" w:rsidRDefault="003D02F2" w:rsidP="009C42E6">
            <w:pPr>
              <w:jc w:val="center"/>
              <w:rPr>
                <w:rFonts w:cs="Times New Roman"/>
                <w:sz w:val="20"/>
                <w:szCs w:val="20"/>
              </w:rPr>
            </w:pPr>
            <w:r w:rsidRPr="002A25EC">
              <w:rPr>
                <w:rFonts w:cs="Times New Roman"/>
                <w:sz w:val="20"/>
                <w:szCs w:val="20"/>
              </w:rPr>
              <w:t>211 (43.6)</w:t>
            </w:r>
          </w:p>
        </w:tc>
        <w:tc>
          <w:tcPr>
            <w:tcW w:w="992" w:type="dxa"/>
          </w:tcPr>
          <w:p w14:paraId="1D3FF7BD" w14:textId="77777777" w:rsidR="003D02F2" w:rsidRPr="002A25EC" w:rsidRDefault="003D02F2" w:rsidP="009C42E6">
            <w:pPr>
              <w:jc w:val="center"/>
              <w:rPr>
                <w:rFonts w:cs="Times New Roman"/>
                <w:sz w:val="20"/>
                <w:szCs w:val="20"/>
              </w:rPr>
            </w:pPr>
            <w:r w:rsidRPr="002A25EC">
              <w:rPr>
                <w:rFonts w:cs="Times New Roman"/>
                <w:sz w:val="20"/>
                <w:szCs w:val="20"/>
              </w:rPr>
              <w:t>155 (32.0)</w:t>
            </w:r>
          </w:p>
        </w:tc>
        <w:tc>
          <w:tcPr>
            <w:tcW w:w="1134" w:type="dxa"/>
          </w:tcPr>
          <w:p w14:paraId="3A0FC795" w14:textId="77777777" w:rsidR="003D02F2" w:rsidRPr="002A25EC" w:rsidRDefault="003D02F2" w:rsidP="009C42E6">
            <w:pPr>
              <w:jc w:val="center"/>
              <w:rPr>
                <w:rFonts w:cs="Times New Roman"/>
                <w:sz w:val="20"/>
                <w:szCs w:val="20"/>
              </w:rPr>
            </w:pPr>
            <w:r w:rsidRPr="002A25EC">
              <w:rPr>
                <w:rFonts w:cs="Times New Roman"/>
                <w:sz w:val="20"/>
                <w:szCs w:val="20"/>
              </w:rPr>
              <w:t>13 (13.7)</w:t>
            </w:r>
          </w:p>
        </w:tc>
        <w:tc>
          <w:tcPr>
            <w:tcW w:w="992" w:type="dxa"/>
          </w:tcPr>
          <w:p w14:paraId="0A686245" w14:textId="77777777" w:rsidR="003D02F2" w:rsidRPr="002A25EC" w:rsidRDefault="003D02F2" w:rsidP="009C42E6">
            <w:pPr>
              <w:jc w:val="center"/>
              <w:rPr>
                <w:rFonts w:cs="Times New Roman"/>
                <w:sz w:val="20"/>
                <w:szCs w:val="20"/>
              </w:rPr>
            </w:pPr>
            <w:r w:rsidRPr="002A25EC">
              <w:rPr>
                <w:rFonts w:cs="Times New Roman"/>
                <w:sz w:val="20"/>
                <w:szCs w:val="20"/>
              </w:rPr>
              <w:t>7 (7.4)</w:t>
            </w:r>
          </w:p>
        </w:tc>
        <w:tc>
          <w:tcPr>
            <w:tcW w:w="1134" w:type="dxa"/>
          </w:tcPr>
          <w:p w14:paraId="618E9AF3" w14:textId="77777777" w:rsidR="003D02F2" w:rsidRPr="002A25EC" w:rsidRDefault="003D02F2" w:rsidP="009C42E6">
            <w:pPr>
              <w:jc w:val="center"/>
              <w:rPr>
                <w:rFonts w:cs="Times New Roman"/>
                <w:sz w:val="20"/>
                <w:szCs w:val="20"/>
              </w:rPr>
            </w:pPr>
            <w:r w:rsidRPr="002A25EC">
              <w:rPr>
                <w:rFonts w:cs="Times New Roman"/>
                <w:sz w:val="20"/>
                <w:szCs w:val="20"/>
              </w:rPr>
              <w:t>23 (34.3)</w:t>
            </w:r>
          </w:p>
        </w:tc>
        <w:tc>
          <w:tcPr>
            <w:tcW w:w="992" w:type="dxa"/>
          </w:tcPr>
          <w:p w14:paraId="36DB4AB9" w14:textId="77777777" w:rsidR="003D02F2" w:rsidRPr="002A25EC" w:rsidRDefault="003D02F2" w:rsidP="009C42E6">
            <w:pPr>
              <w:jc w:val="center"/>
              <w:rPr>
                <w:rFonts w:cs="Times New Roman"/>
                <w:sz w:val="20"/>
                <w:szCs w:val="20"/>
              </w:rPr>
            </w:pPr>
            <w:r w:rsidRPr="002A25EC">
              <w:rPr>
                <w:rFonts w:cs="Times New Roman"/>
                <w:sz w:val="20"/>
                <w:szCs w:val="20"/>
              </w:rPr>
              <w:t>13 (19.4)</w:t>
            </w:r>
          </w:p>
        </w:tc>
      </w:tr>
      <w:tr w:rsidR="003D02F2" w:rsidRPr="002A25EC" w14:paraId="3C303836" w14:textId="77777777" w:rsidTr="5FFA413C">
        <w:tc>
          <w:tcPr>
            <w:tcW w:w="2689" w:type="dxa"/>
          </w:tcPr>
          <w:p w14:paraId="2AEBF05D" w14:textId="77777777" w:rsidR="003D02F2" w:rsidRPr="002A25EC" w:rsidRDefault="003D02F2" w:rsidP="009C42E6">
            <w:pPr>
              <w:rPr>
                <w:rFonts w:cs="Times New Roman"/>
                <w:sz w:val="20"/>
                <w:szCs w:val="20"/>
              </w:rPr>
            </w:pPr>
            <w:r w:rsidRPr="002A25EC">
              <w:rPr>
                <w:rFonts w:cs="Times New Roman"/>
                <w:sz w:val="20"/>
                <w:szCs w:val="20"/>
              </w:rPr>
              <w:lastRenderedPageBreak/>
              <w:t>Thrombocytopenia</w:t>
            </w:r>
          </w:p>
        </w:tc>
        <w:tc>
          <w:tcPr>
            <w:tcW w:w="1134" w:type="dxa"/>
          </w:tcPr>
          <w:p w14:paraId="3870E1F3" w14:textId="77777777" w:rsidR="003D02F2" w:rsidRPr="002A25EC" w:rsidRDefault="003D02F2" w:rsidP="009C42E6">
            <w:pPr>
              <w:jc w:val="center"/>
              <w:rPr>
                <w:rFonts w:cs="Times New Roman"/>
                <w:sz w:val="20"/>
                <w:szCs w:val="20"/>
              </w:rPr>
            </w:pPr>
            <w:r w:rsidRPr="002A25EC">
              <w:rPr>
                <w:rFonts w:cs="Times New Roman"/>
                <w:sz w:val="20"/>
                <w:szCs w:val="20"/>
              </w:rPr>
              <w:t>106 (21.9)</w:t>
            </w:r>
          </w:p>
        </w:tc>
        <w:tc>
          <w:tcPr>
            <w:tcW w:w="992" w:type="dxa"/>
          </w:tcPr>
          <w:p w14:paraId="5D98E9AA" w14:textId="77777777" w:rsidR="003D02F2" w:rsidRPr="002A25EC" w:rsidRDefault="003D02F2" w:rsidP="009C42E6">
            <w:pPr>
              <w:jc w:val="center"/>
              <w:rPr>
                <w:rFonts w:cs="Times New Roman"/>
                <w:sz w:val="20"/>
                <w:szCs w:val="20"/>
              </w:rPr>
            </w:pPr>
            <w:r w:rsidRPr="002A25EC">
              <w:rPr>
                <w:rFonts w:cs="Times New Roman"/>
                <w:sz w:val="20"/>
                <w:szCs w:val="20"/>
              </w:rPr>
              <w:t>79 (16.3)</w:t>
            </w:r>
          </w:p>
        </w:tc>
        <w:tc>
          <w:tcPr>
            <w:tcW w:w="1134" w:type="dxa"/>
          </w:tcPr>
          <w:p w14:paraId="4E48F60C" w14:textId="77777777" w:rsidR="003D02F2" w:rsidRPr="002A25EC" w:rsidRDefault="003D02F2" w:rsidP="009C42E6">
            <w:pPr>
              <w:jc w:val="center"/>
              <w:rPr>
                <w:rFonts w:cs="Times New Roman"/>
                <w:sz w:val="20"/>
                <w:szCs w:val="20"/>
              </w:rPr>
            </w:pPr>
            <w:r w:rsidRPr="002A25EC">
              <w:rPr>
                <w:rFonts w:cs="Times New Roman"/>
                <w:sz w:val="20"/>
                <w:szCs w:val="20"/>
              </w:rPr>
              <w:t>8 (8.4)</w:t>
            </w:r>
          </w:p>
        </w:tc>
        <w:tc>
          <w:tcPr>
            <w:tcW w:w="992" w:type="dxa"/>
          </w:tcPr>
          <w:p w14:paraId="60141BA6" w14:textId="77777777" w:rsidR="003D02F2" w:rsidRPr="002A25EC" w:rsidRDefault="003D02F2" w:rsidP="009C42E6">
            <w:pPr>
              <w:jc w:val="center"/>
              <w:rPr>
                <w:rFonts w:cs="Times New Roman"/>
                <w:sz w:val="20"/>
                <w:szCs w:val="20"/>
              </w:rPr>
            </w:pPr>
            <w:r w:rsidRPr="002A25EC">
              <w:rPr>
                <w:rFonts w:cs="Times New Roman"/>
                <w:sz w:val="20"/>
                <w:szCs w:val="20"/>
              </w:rPr>
              <w:t>6 (6.3)</w:t>
            </w:r>
          </w:p>
        </w:tc>
        <w:tc>
          <w:tcPr>
            <w:tcW w:w="1134" w:type="dxa"/>
          </w:tcPr>
          <w:p w14:paraId="7E75A1B7" w14:textId="77777777" w:rsidR="003D02F2" w:rsidRPr="002A25EC" w:rsidRDefault="003D02F2" w:rsidP="009C42E6">
            <w:pPr>
              <w:jc w:val="center"/>
              <w:rPr>
                <w:rFonts w:cs="Times New Roman"/>
                <w:sz w:val="20"/>
                <w:szCs w:val="20"/>
              </w:rPr>
            </w:pPr>
            <w:r w:rsidRPr="002A25EC">
              <w:rPr>
                <w:rFonts w:cs="Times New Roman"/>
                <w:sz w:val="20"/>
                <w:szCs w:val="20"/>
              </w:rPr>
              <w:t>11 (16.4)</w:t>
            </w:r>
          </w:p>
        </w:tc>
        <w:tc>
          <w:tcPr>
            <w:tcW w:w="992" w:type="dxa"/>
          </w:tcPr>
          <w:p w14:paraId="01C9F7B3" w14:textId="77777777" w:rsidR="003D02F2" w:rsidRPr="002A25EC" w:rsidRDefault="003D02F2" w:rsidP="009C42E6">
            <w:pPr>
              <w:jc w:val="center"/>
              <w:rPr>
                <w:rFonts w:cs="Times New Roman"/>
                <w:sz w:val="20"/>
                <w:szCs w:val="20"/>
              </w:rPr>
            </w:pPr>
            <w:r w:rsidRPr="002A25EC">
              <w:rPr>
                <w:rFonts w:cs="Times New Roman"/>
                <w:sz w:val="20"/>
                <w:szCs w:val="20"/>
              </w:rPr>
              <w:t>4 (6.0)</w:t>
            </w:r>
          </w:p>
        </w:tc>
      </w:tr>
      <w:tr w:rsidR="003D02F2" w:rsidRPr="002A25EC" w14:paraId="3164EF0B" w14:textId="77777777" w:rsidTr="5FFA413C">
        <w:tc>
          <w:tcPr>
            <w:tcW w:w="2689" w:type="dxa"/>
          </w:tcPr>
          <w:p w14:paraId="20E95393" w14:textId="77777777" w:rsidR="003D02F2" w:rsidRPr="002A25EC" w:rsidRDefault="003D02F2" w:rsidP="009C42E6">
            <w:pPr>
              <w:rPr>
                <w:rFonts w:cs="Times New Roman"/>
                <w:sz w:val="20"/>
                <w:szCs w:val="20"/>
              </w:rPr>
            </w:pPr>
            <w:r w:rsidRPr="002A25EC">
              <w:rPr>
                <w:rFonts w:cs="Times New Roman"/>
                <w:sz w:val="20"/>
                <w:szCs w:val="20"/>
              </w:rPr>
              <w:t>Neutropenia</w:t>
            </w:r>
          </w:p>
        </w:tc>
        <w:tc>
          <w:tcPr>
            <w:tcW w:w="1134" w:type="dxa"/>
          </w:tcPr>
          <w:p w14:paraId="323804B9" w14:textId="77777777" w:rsidR="003D02F2" w:rsidRPr="002A25EC" w:rsidRDefault="003D02F2" w:rsidP="009C42E6">
            <w:pPr>
              <w:jc w:val="center"/>
              <w:rPr>
                <w:rFonts w:cs="Times New Roman"/>
                <w:sz w:val="20"/>
                <w:szCs w:val="20"/>
              </w:rPr>
            </w:pPr>
            <w:r w:rsidRPr="002A25EC">
              <w:rPr>
                <w:rFonts w:cs="Times New Roman"/>
                <w:sz w:val="20"/>
                <w:szCs w:val="20"/>
              </w:rPr>
              <w:t>27 (5.6)</w:t>
            </w:r>
          </w:p>
        </w:tc>
        <w:tc>
          <w:tcPr>
            <w:tcW w:w="992" w:type="dxa"/>
          </w:tcPr>
          <w:p w14:paraId="2A19EA46" w14:textId="77777777" w:rsidR="003D02F2" w:rsidRPr="002A25EC" w:rsidRDefault="003D02F2" w:rsidP="009C42E6">
            <w:pPr>
              <w:jc w:val="center"/>
              <w:rPr>
                <w:rFonts w:cs="Times New Roman"/>
                <w:sz w:val="20"/>
                <w:szCs w:val="20"/>
              </w:rPr>
            </w:pPr>
            <w:r w:rsidRPr="002A25EC">
              <w:rPr>
                <w:rFonts w:cs="Times New Roman"/>
                <w:sz w:val="20"/>
                <w:szCs w:val="20"/>
              </w:rPr>
              <w:t>17 (3.5)</w:t>
            </w:r>
          </w:p>
        </w:tc>
        <w:tc>
          <w:tcPr>
            <w:tcW w:w="1134" w:type="dxa"/>
          </w:tcPr>
          <w:p w14:paraId="3F3D5AB1"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992" w:type="dxa"/>
          </w:tcPr>
          <w:p w14:paraId="2FCD1B48"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1134" w:type="dxa"/>
          </w:tcPr>
          <w:p w14:paraId="6A9C70F8" w14:textId="77777777" w:rsidR="003D02F2" w:rsidRPr="002A25EC" w:rsidRDefault="003D02F2" w:rsidP="009C42E6">
            <w:pPr>
              <w:jc w:val="center"/>
              <w:rPr>
                <w:rFonts w:cs="Times New Roman"/>
                <w:sz w:val="20"/>
                <w:szCs w:val="20"/>
              </w:rPr>
            </w:pPr>
            <w:r w:rsidRPr="002A25EC">
              <w:rPr>
                <w:rFonts w:cs="Times New Roman"/>
                <w:sz w:val="20"/>
                <w:szCs w:val="20"/>
              </w:rPr>
              <w:t>2 (3.0)</w:t>
            </w:r>
          </w:p>
        </w:tc>
        <w:tc>
          <w:tcPr>
            <w:tcW w:w="992" w:type="dxa"/>
          </w:tcPr>
          <w:p w14:paraId="0EA6D5CE" w14:textId="77777777" w:rsidR="003D02F2" w:rsidRPr="002A25EC" w:rsidRDefault="003D02F2" w:rsidP="009C42E6">
            <w:pPr>
              <w:jc w:val="center"/>
              <w:rPr>
                <w:rFonts w:cs="Times New Roman"/>
                <w:sz w:val="20"/>
                <w:szCs w:val="20"/>
              </w:rPr>
            </w:pPr>
            <w:r w:rsidRPr="002A25EC">
              <w:rPr>
                <w:rFonts w:cs="Times New Roman"/>
                <w:sz w:val="20"/>
                <w:szCs w:val="20"/>
              </w:rPr>
              <w:t>1 (1.5)</w:t>
            </w:r>
          </w:p>
        </w:tc>
      </w:tr>
      <w:tr w:rsidR="003D02F2" w:rsidRPr="002A25EC" w14:paraId="05F41F44" w14:textId="77777777" w:rsidTr="5FFA413C">
        <w:tc>
          <w:tcPr>
            <w:tcW w:w="2689" w:type="dxa"/>
          </w:tcPr>
          <w:p w14:paraId="08333D1C" w14:textId="77777777" w:rsidR="003D02F2" w:rsidRPr="002A25EC" w:rsidRDefault="003D02F2" w:rsidP="009C42E6">
            <w:pPr>
              <w:rPr>
                <w:rFonts w:cs="Times New Roman"/>
                <w:sz w:val="20"/>
                <w:szCs w:val="20"/>
              </w:rPr>
            </w:pPr>
            <w:r w:rsidRPr="002A25EC">
              <w:rPr>
                <w:rFonts w:cs="Times New Roman"/>
                <w:sz w:val="20"/>
                <w:szCs w:val="20"/>
              </w:rPr>
              <w:t>Leucocytosis</w:t>
            </w:r>
          </w:p>
        </w:tc>
        <w:tc>
          <w:tcPr>
            <w:tcW w:w="1134" w:type="dxa"/>
          </w:tcPr>
          <w:p w14:paraId="30BC12EB" w14:textId="77777777" w:rsidR="003D02F2" w:rsidRPr="002A25EC" w:rsidRDefault="003D02F2" w:rsidP="009C42E6">
            <w:pPr>
              <w:jc w:val="center"/>
              <w:rPr>
                <w:rFonts w:cs="Times New Roman"/>
                <w:sz w:val="20"/>
                <w:szCs w:val="20"/>
              </w:rPr>
            </w:pPr>
            <w:r w:rsidRPr="002A25EC">
              <w:rPr>
                <w:rFonts w:cs="Times New Roman"/>
                <w:sz w:val="20"/>
                <w:szCs w:val="20"/>
              </w:rPr>
              <w:t>8 (1.7)</w:t>
            </w:r>
          </w:p>
        </w:tc>
        <w:tc>
          <w:tcPr>
            <w:tcW w:w="992" w:type="dxa"/>
          </w:tcPr>
          <w:p w14:paraId="3A2EA09B" w14:textId="77777777" w:rsidR="003D02F2" w:rsidRPr="002A25EC" w:rsidRDefault="003D02F2" w:rsidP="009C42E6">
            <w:pPr>
              <w:jc w:val="center"/>
              <w:rPr>
                <w:rFonts w:cs="Times New Roman"/>
                <w:sz w:val="20"/>
                <w:szCs w:val="20"/>
              </w:rPr>
            </w:pPr>
            <w:r w:rsidRPr="002A25EC">
              <w:rPr>
                <w:rFonts w:cs="Times New Roman"/>
                <w:sz w:val="20"/>
                <w:szCs w:val="20"/>
              </w:rPr>
              <w:t>6 (1.2)</w:t>
            </w:r>
          </w:p>
        </w:tc>
        <w:tc>
          <w:tcPr>
            <w:tcW w:w="1134" w:type="dxa"/>
          </w:tcPr>
          <w:p w14:paraId="29D42EFB" w14:textId="77777777" w:rsidR="003D02F2" w:rsidRPr="002A25EC" w:rsidRDefault="003D02F2" w:rsidP="009C42E6">
            <w:pPr>
              <w:jc w:val="center"/>
              <w:rPr>
                <w:rFonts w:cs="Times New Roman"/>
                <w:sz w:val="20"/>
                <w:szCs w:val="20"/>
              </w:rPr>
            </w:pPr>
            <w:r w:rsidRPr="002A25EC">
              <w:rPr>
                <w:rFonts w:cs="Times New Roman"/>
                <w:sz w:val="20"/>
                <w:szCs w:val="20"/>
              </w:rPr>
              <w:t>1 (1.1)</w:t>
            </w:r>
          </w:p>
        </w:tc>
        <w:tc>
          <w:tcPr>
            <w:tcW w:w="992" w:type="dxa"/>
          </w:tcPr>
          <w:p w14:paraId="4C1B1066" w14:textId="77777777" w:rsidR="003D02F2" w:rsidRPr="002A25EC" w:rsidRDefault="003D02F2" w:rsidP="009C42E6">
            <w:pPr>
              <w:jc w:val="center"/>
              <w:rPr>
                <w:rFonts w:cs="Times New Roman"/>
                <w:sz w:val="20"/>
                <w:szCs w:val="20"/>
              </w:rPr>
            </w:pPr>
            <w:r w:rsidRPr="002A25EC">
              <w:rPr>
                <w:rFonts w:cs="Times New Roman"/>
                <w:sz w:val="20"/>
                <w:szCs w:val="20"/>
              </w:rPr>
              <w:t>1 (1.1)</w:t>
            </w:r>
          </w:p>
        </w:tc>
        <w:tc>
          <w:tcPr>
            <w:tcW w:w="1134" w:type="dxa"/>
          </w:tcPr>
          <w:p w14:paraId="45510241" w14:textId="77777777" w:rsidR="003D02F2" w:rsidRPr="002A25EC" w:rsidRDefault="003D02F2" w:rsidP="009C42E6">
            <w:pPr>
              <w:jc w:val="center"/>
              <w:rPr>
                <w:rFonts w:cs="Times New Roman"/>
                <w:sz w:val="20"/>
                <w:szCs w:val="20"/>
              </w:rPr>
            </w:pPr>
            <w:r w:rsidRPr="002A25EC">
              <w:rPr>
                <w:rFonts w:cs="Times New Roman"/>
                <w:sz w:val="20"/>
                <w:szCs w:val="20"/>
              </w:rPr>
              <w:t>4 (6.0)</w:t>
            </w:r>
          </w:p>
        </w:tc>
        <w:tc>
          <w:tcPr>
            <w:tcW w:w="992" w:type="dxa"/>
          </w:tcPr>
          <w:p w14:paraId="4FD0525A" w14:textId="77777777" w:rsidR="003D02F2" w:rsidRPr="002A25EC" w:rsidRDefault="003D02F2" w:rsidP="009C42E6">
            <w:pPr>
              <w:jc w:val="center"/>
              <w:rPr>
                <w:rFonts w:cs="Times New Roman"/>
                <w:sz w:val="20"/>
                <w:szCs w:val="20"/>
              </w:rPr>
            </w:pPr>
            <w:r w:rsidRPr="002A25EC">
              <w:rPr>
                <w:rFonts w:cs="Times New Roman"/>
                <w:sz w:val="20"/>
                <w:szCs w:val="20"/>
              </w:rPr>
              <w:t>3 (4.5)</w:t>
            </w:r>
          </w:p>
        </w:tc>
      </w:tr>
      <w:tr w:rsidR="003D02F2" w:rsidRPr="002A25EC" w14:paraId="5F11354C" w14:textId="77777777" w:rsidTr="5FFA413C">
        <w:trPr>
          <w:trHeight w:val="44"/>
        </w:trPr>
        <w:tc>
          <w:tcPr>
            <w:tcW w:w="9067" w:type="dxa"/>
            <w:gridSpan w:val="7"/>
          </w:tcPr>
          <w:p w14:paraId="01601BA5" w14:textId="77777777" w:rsidR="003D02F2" w:rsidRPr="002A25EC" w:rsidRDefault="003D02F2" w:rsidP="009C42E6">
            <w:pPr>
              <w:rPr>
                <w:rFonts w:cs="Times New Roman"/>
                <w:b/>
                <w:bCs/>
                <w:sz w:val="20"/>
                <w:szCs w:val="20"/>
              </w:rPr>
            </w:pPr>
            <w:r w:rsidRPr="002A25EC">
              <w:rPr>
                <w:rFonts w:cs="Times New Roman"/>
                <w:b/>
                <w:bCs/>
                <w:sz w:val="20"/>
                <w:szCs w:val="20"/>
              </w:rPr>
              <w:t>General disorders and administration site conditions</w:t>
            </w:r>
          </w:p>
        </w:tc>
      </w:tr>
      <w:tr w:rsidR="003D02F2" w:rsidRPr="002A25EC" w14:paraId="4B3E4B4B" w14:textId="77777777" w:rsidTr="5FFA413C">
        <w:tc>
          <w:tcPr>
            <w:tcW w:w="2689" w:type="dxa"/>
          </w:tcPr>
          <w:p w14:paraId="323692D5" w14:textId="77777777" w:rsidR="003D02F2" w:rsidRPr="002A25EC" w:rsidRDefault="003D02F2" w:rsidP="009C42E6">
            <w:pPr>
              <w:rPr>
                <w:rFonts w:cs="Times New Roman"/>
                <w:sz w:val="20"/>
                <w:szCs w:val="20"/>
              </w:rPr>
            </w:pPr>
            <w:r w:rsidRPr="002A25EC">
              <w:rPr>
                <w:rFonts w:cs="Times New Roman"/>
                <w:sz w:val="20"/>
                <w:szCs w:val="20"/>
              </w:rPr>
              <w:t>Fatigue</w:t>
            </w:r>
          </w:p>
        </w:tc>
        <w:tc>
          <w:tcPr>
            <w:tcW w:w="1134" w:type="dxa"/>
          </w:tcPr>
          <w:p w14:paraId="72ABBBBC" w14:textId="77777777" w:rsidR="003D02F2" w:rsidRPr="002A25EC" w:rsidRDefault="003D02F2" w:rsidP="009C42E6">
            <w:pPr>
              <w:jc w:val="center"/>
              <w:rPr>
                <w:rFonts w:cs="Times New Roman"/>
                <w:sz w:val="20"/>
                <w:szCs w:val="20"/>
              </w:rPr>
            </w:pPr>
            <w:r w:rsidRPr="002A25EC">
              <w:rPr>
                <w:rFonts w:cs="Times New Roman"/>
                <w:sz w:val="20"/>
                <w:szCs w:val="20"/>
              </w:rPr>
              <w:t>53 (11.0)</w:t>
            </w:r>
          </w:p>
        </w:tc>
        <w:tc>
          <w:tcPr>
            <w:tcW w:w="992" w:type="dxa"/>
          </w:tcPr>
          <w:p w14:paraId="414E0AA4" w14:textId="77777777" w:rsidR="003D02F2" w:rsidRPr="002A25EC" w:rsidRDefault="003D02F2" w:rsidP="009C42E6">
            <w:pPr>
              <w:jc w:val="center"/>
              <w:rPr>
                <w:rFonts w:cs="Times New Roman"/>
                <w:sz w:val="20"/>
                <w:szCs w:val="20"/>
              </w:rPr>
            </w:pPr>
            <w:r w:rsidRPr="002A25EC">
              <w:rPr>
                <w:rFonts w:cs="Times New Roman"/>
                <w:sz w:val="20"/>
                <w:szCs w:val="20"/>
              </w:rPr>
              <w:t>7 (1.4)</w:t>
            </w:r>
          </w:p>
        </w:tc>
        <w:tc>
          <w:tcPr>
            <w:tcW w:w="1134" w:type="dxa"/>
          </w:tcPr>
          <w:p w14:paraId="69FB0C6B" w14:textId="77777777" w:rsidR="003D02F2" w:rsidRPr="002A25EC" w:rsidRDefault="003D02F2" w:rsidP="009C42E6">
            <w:pPr>
              <w:jc w:val="center"/>
              <w:rPr>
                <w:rFonts w:cs="Times New Roman"/>
                <w:sz w:val="20"/>
                <w:szCs w:val="20"/>
              </w:rPr>
            </w:pPr>
            <w:r w:rsidRPr="002A25EC">
              <w:rPr>
                <w:rFonts w:cs="Times New Roman"/>
                <w:sz w:val="20"/>
                <w:szCs w:val="20"/>
              </w:rPr>
              <w:t>9 (9.5)</w:t>
            </w:r>
          </w:p>
        </w:tc>
        <w:tc>
          <w:tcPr>
            <w:tcW w:w="992" w:type="dxa"/>
          </w:tcPr>
          <w:p w14:paraId="5F1852B7"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1134" w:type="dxa"/>
          </w:tcPr>
          <w:p w14:paraId="432A1B42" w14:textId="77777777" w:rsidR="003D02F2" w:rsidRPr="002A25EC" w:rsidRDefault="003D02F2" w:rsidP="009C42E6">
            <w:pPr>
              <w:jc w:val="center"/>
              <w:rPr>
                <w:rFonts w:cs="Times New Roman"/>
                <w:sz w:val="20"/>
                <w:szCs w:val="20"/>
              </w:rPr>
            </w:pPr>
            <w:r w:rsidRPr="002A25EC">
              <w:rPr>
                <w:rFonts w:cs="Times New Roman"/>
                <w:sz w:val="20"/>
                <w:szCs w:val="20"/>
              </w:rPr>
              <w:t>8 (11.9)</w:t>
            </w:r>
          </w:p>
        </w:tc>
        <w:tc>
          <w:tcPr>
            <w:tcW w:w="992" w:type="dxa"/>
          </w:tcPr>
          <w:p w14:paraId="41649894" w14:textId="77777777" w:rsidR="003D02F2" w:rsidRPr="002A25EC" w:rsidRDefault="003D02F2" w:rsidP="009C42E6">
            <w:pPr>
              <w:jc w:val="center"/>
              <w:rPr>
                <w:rFonts w:cs="Times New Roman"/>
                <w:sz w:val="20"/>
                <w:szCs w:val="20"/>
              </w:rPr>
            </w:pPr>
            <w:r w:rsidRPr="002A25EC">
              <w:rPr>
                <w:rFonts w:cs="Times New Roman"/>
                <w:sz w:val="20"/>
                <w:szCs w:val="20"/>
              </w:rPr>
              <w:t>1 (1.5)</w:t>
            </w:r>
          </w:p>
        </w:tc>
      </w:tr>
      <w:tr w:rsidR="003D02F2" w:rsidRPr="002A25EC" w14:paraId="5CEA4904" w14:textId="77777777" w:rsidTr="5FFA413C">
        <w:tc>
          <w:tcPr>
            <w:tcW w:w="2689" w:type="dxa"/>
          </w:tcPr>
          <w:p w14:paraId="2FDB5ACF" w14:textId="77777777" w:rsidR="003D02F2" w:rsidRPr="002A25EC" w:rsidRDefault="003D02F2" w:rsidP="009C42E6">
            <w:pPr>
              <w:rPr>
                <w:rFonts w:cs="Times New Roman"/>
                <w:sz w:val="20"/>
                <w:szCs w:val="20"/>
              </w:rPr>
            </w:pPr>
            <w:r w:rsidRPr="002A25EC">
              <w:rPr>
                <w:rFonts w:cs="Times New Roman"/>
                <w:sz w:val="20"/>
                <w:szCs w:val="20"/>
              </w:rPr>
              <w:t>Asthenia</w:t>
            </w:r>
          </w:p>
        </w:tc>
        <w:tc>
          <w:tcPr>
            <w:tcW w:w="1134" w:type="dxa"/>
          </w:tcPr>
          <w:p w14:paraId="0D377385" w14:textId="77777777" w:rsidR="003D02F2" w:rsidRPr="002A25EC" w:rsidRDefault="003D02F2" w:rsidP="009C42E6">
            <w:pPr>
              <w:jc w:val="center"/>
              <w:rPr>
                <w:rFonts w:cs="Times New Roman"/>
                <w:sz w:val="20"/>
                <w:szCs w:val="20"/>
              </w:rPr>
            </w:pPr>
            <w:r w:rsidRPr="002A25EC">
              <w:rPr>
                <w:rFonts w:cs="Times New Roman"/>
                <w:sz w:val="20"/>
                <w:szCs w:val="20"/>
              </w:rPr>
              <w:t>50 (10.3)</w:t>
            </w:r>
          </w:p>
        </w:tc>
        <w:tc>
          <w:tcPr>
            <w:tcW w:w="992" w:type="dxa"/>
          </w:tcPr>
          <w:p w14:paraId="23577143" w14:textId="77777777" w:rsidR="003D02F2" w:rsidRPr="002A25EC" w:rsidRDefault="003D02F2" w:rsidP="009C42E6">
            <w:pPr>
              <w:jc w:val="center"/>
              <w:rPr>
                <w:rFonts w:cs="Times New Roman"/>
                <w:sz w:val="20"/>
                <w:szCs w:val="20"/>
              </w:rPr>
            </w:pPr>
            <w:r w:rsidRPr="002A25EC">
              <w:rPr>
                <w:rFonts w:cs="Times New Roman"/>
                <w:sz w:val="20"/>
                <w:szCs w:val="20"/>
              </w:rPr>
              <w:t>9 (1.</w:t>
            </w:r>
            <w:r>
              <w:rPr>
                <w:rFonts w:cs="Times New Roman"/>
                <w:sz w:val="20"/>
                <w:szCs w:val="20"/>
              </w:rPr>
              <w:t>9</w:t>
            </w:r>
            <w:r w:rsidRPr="002A25EC">
              <w:rPr>
                <w:rFonts w:cs="Times New Roman"/>
                <w:sz w:val="20"/>
                <w:szCs w:val="20"/>
              </w:rPr>
              <w:t>)</w:t>
            </w:r>
          </w:p>
        </w:tc>
        <w:tc>
          <w:tcPr>
            <w:tcW w:w="1134" w:type="dxa"/>
          </w:tcPr>
          <w:p w14:paraId="6CA0D6CD" w14:textId="77777777" w:rsidR="003D02F2" w:rsidRPr="002A25EC" w:rsidRDefault="003D02F2" w:rsidP="009C42E6">
            <w:pPr>
              <w:jc w:val="center"/>
              <w:rPr>
                <w:rFonts w:cs="Times New Roman"/>
                <w:sz w:val="20"/>
                <w:szCs w:val="20"/>
              </w:rPr>
            </w:pPr>
            <w:r w:rsidRPr="002A25EC">
              <w:rPr>
                <w:rFonts w:cs="Times New Roman"/>
                <w:sz w:val="20"/>
                <w:szCs w:val="20"/>
              </w:rPr>
              <w:t>6 (6.3)</w:t>
            </w:r>
          </w:p>
        </w:tc>
        <w:tc>
          <w:tcPr>
            <w:tcW w:w="992" w:type="dxa"/>
          </w:tcPr>
          <w:p w14:paraId="715D70E7" w14:textId="77777777" w:rsidR="003D02F2" w:rsidRPr="002A25EC" w:rsidRDefault="003D02F2" w:rsidP="009C42E6">
            <w:pPr>
              <w:jc w:val="center"/>
              <w:rPr>
                <w:rFonts w:cs="Times New Roman"/>
                <w:sz w:val="20"/>
                <w:szCs w:val="20"/>
              </w:rPr>
            </w:pPr>
            <w:r w:rsidRPr="002A25EC">
              <w:rPr>
                <w:rFonts w:cs="Times New Roman"/>
                <w:sz w:val="20"/>
                <w:szCs w:val="20"/>
              </w:rPr>
              <w:t>1 (1.1)</w:t>
            </w:r>
          </w:p>
        </w:tc>
        <w:tc>
          <w:tcPr>
            <w:tcW w:w="1134" w:type="dxa"/>
          </w:tcPr>
          <w:p w14:paraId="28C146A1" w14:textId="77777777" w:rsidR="003D02F2" w:rsidRPr="002A25EC" w:rsidRDefault="003D02F2" w:rsidP="009C42E6">
            <w:pPr>
              <w:jc w:val="center"/>
              <w:rPr>
                <w:rFonts w:cs="Times New Roman"/>
                <w:sz w:val="20"/>
                <w:szCs w:val="20"/>
              </w:rPr>
            </w:pPr>
            <w:r w:rsidRPr="002A25EC">
              <w:rPr>
                <w:rFonts w:cs="Times New Roman"/>
                <w:sz w:val="20"/>
                <w:szCs w:val="20"/>
              </w:rPr>
              <w:t>15 (22.4)</w:t>
            </w:r>
          </w:p>
        </w:tc>
        <w:tc>
          <w:tcPr>
            <w:tcW w:w="992" w:type="dxa"/>
          </w:tcPr>
          <w:p w14:paraId="19BF59F2" w14:textId="77777777" w:rsidR="003D02F2" w:rsidRPr="002A25EC" w:rsidRDefault="003D02F2" w:rsidP="009C42E6">
            <w:pPr>
              <w:jc w:val="center"/>
              <w:rPr>
                <w:rFonts w:cs="Times New Roman"/>
                <w:sz w:val="20"/>
                <w:szCs w:val="20"/>
              </w:rPr>
            </w:pPr>
            <w:r w:rsidRPr="002A25EC">
              <w:rPr>
                <w:rFonts w:cs="Times New Roman"/>
                <w:sz w:val="20"/>
                <w:szCs w:val="20"/>
              </w:rPr>
              <w:t>1 (1.5)</w:t>
            </w:r>
          </w:p>
        </w:tc>
      </w:tr>
      <w:tr w:rsidR="003D02F2" w:rsidRPr="002A25EC" w14:paraId="7048CA69" w14:textId="77777777" w:rsidTr="5FFA413C">
        <w:tc>
          <w:tcPr>
            <w:tcW w:w="2689" w:type="dxa"/>
          </w:tcPr>
          <w:p w14:paraId="23000FD2" w14:textId="77777777" w:rsidR="003D02F2" w:rsidRPr="002A25EC" w:rsidRDefault="003D02F2" w:rsidP="009C42E6">
            <w:pPr>
              <w:rPr>
                <w:rFonts w:cs="Times New Roman"/>
                <w:sz w:val="20"/>
                <w:szCs w:val="20"/>
              </w:rPr>
            </w:pPr>
            <w:r w:rsidRPr="002A25EC">
              <w:rPr>
                <w:rFonts w:cs="Times New Roman"/>
                <w:sz w:val="20"/>
                <w:szCs w:val="20"/>
              </w:rPr>
              <w:t>Oedema peripheral</w:t>
            </w:r>
          </w:p>
        </w:tc>
        <w:tc>
          <w:tcPr>
            <w:tcW w:w="1134" w:type="dxa"/>
          </w:tcPr>
          <w:p w14:paraId="546BBE4F" w14:textId="77777777" w:rsidR="003D02F2" w:rsidRPr="002A25EC" w:rsidRDefault="003D02F2" w:rsidP="009C42E6">
            <w:pPr>
              <w:jc w:val="center"/>
              <w:rPr>
                <w:rFonts w:cs="Times New Roman"/>
                <w:sz w:val="20"/>
                <w:szCs w:val="20"/>
              </w:rPr>
            </w:pPr>
            <w:r w:rsidRPr="002A25EC">
              <w:rPr>
                <w:rFonts w:cs="Times New Roman"/>
                <w:sz w:val="20"/>
                <w:szCs w:val="20"/>
              </w:rPr>
              <w:t>50 (10.3)</w:t>
            </w:r>
          </w:p>
        </w:tc>
        <w:tc>
          <w:tcPr>
            <w:tcW w:w="992" w:type="dxa"/>
          </w:tcPr>
          <w:p w14:paraId="4470C06E"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1134" w:type="dxa"/>
          </w:tcPr>
          <w:p w14:paraId="34930CBC" w14:textId="77777777" w:rsidR="003D02F2" w:rsidRPr="002A25EC" w:rsidRDefault="003D02F2" w:rsidP="009C42E6">
            <w:pPr>
              <w:jc w:val="center"/>
              <w:rPr>
                <w:rFonts w:cs="Times New Roman"/>
                <w:sz w:val="20"/>
                <w:szCs w:val="20"/>
              </w:rPr>
            </w:pPr>
            <w:r w:rsidRPr="002A25EC">
              <w:rPr>
                <w:rFonts w:cs="Times New Roman"/>
                <w:sz w:val="20"/>
                <w:szCs w:val="20"/>
              </w:rPr>
              <w:t>8 (8.4)</w:t>
            </w:r>
          </w:p>
        </w:tc>
        <w:tc>
          <w:tcPr>
            <w:tcW w:w="992" w:type="dxa"/>
          </w:tcPr>
          <w:p w14:paraId="085C5ACC"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1134" w:type="dxa"/>
          </w:tcPr>
          <w:p w14:paraId="5A13F70F" w14:textId="77777777" w:rsidR="003D02F2" w:rsidRPr="002A25EC" w:rsidRDefault="003D02F2" w:rsidP="009C42E6">
            <w:pPr>
              <w:jc w:val="center"/>
              <w:rPr>
                <w:rFonts w:cs="Times New Roman"/>
                <w:sz w:val="20"/>
                <w:szCs w:val="20"/>
              </w:rPr>
            </w:pPr>
            <w:r w:rsidRPr="002A25EC">
              <w:rPr>
                <w:rFonts w:cs="Times New Roman"/>
                <w:sz w:val="20"/>
                <w:szCs w:val="20"/>
              </w:rPr>
              <w:t>7 (10.4)</w:t>
            </w:r>
          </w:p>
        </w:tc>
        <w:tc>
          <w:tcPr>
            <w:tcW w:w="992" w:type="dxa"/>
          </w:tcPr>
          <w:p w14:paraId="4AF9E812" w14:textId="77777777" w:rsidR="003D02F2" w:rsidRPr="002A25EC" w:rsidRDefault="003D02F2" w:rsidP="009C42E6">
            <w:pPr>
              <w:jc w:val="center"/>
              <w:rPr>
                <w:rFonts w:cs="Times New Roman"/>
                <w:sz w:val="20"/>
                <w:szCs w:val="20"/>
              </w:rPr>
            </w:pPr>
            <w:r w:rsidRPr="002A25EC">
              <w:rPr>
                <w:rFonts w:cs="Times New Roman"/>
                <w:sz w:val="20"/>
                <w:szCs w:val="20"/>
              </w:rPr>
              <w:t>0</w:t>
            </w:r>
          </w:p>
        </w:tc>
      </w:tr>
      <w:tr w:rsidR="003D02F2" w:rsidRPr="002A25EC" w14:paraId="66948A78" w14:textId="77777777" w:rsidTr="5FFA413C">
        <w:tc>
          <w:tcPr>
            <w:tcW w:w="2689" w:type="dxa"/>
          </w:tcPr>
          <w:p w14:paraId="338A101D" w14:textId="77777777" w:rsidR="003D02F2" w:rsidRPr="002A25EC" w:rsidRDefault="003D02F2" w:rsidP="009C42E6">
            <w:pPr>
              <w:rPr>
                <w:rFonts w:cs="Times New Roman"/>
                <w:sz w:val="20"/>
                <w:szCs w:val="20"/>
              </w:rPr>
            </w:pPr>
            <w:r w:rsidRPr="002A25EC">
              <w:rPr>
                <w:rFonts w:cs="Times New Roman"/>
                <w:sz w:val="20"/>
                <w:szCs w:val="20"/>
              </w:rPr>
              <w:t xml:space="preserve">Pyrexia </w:t>
            </w:r>
          </w:p>
        </w:tc>
        <w:tc>
          <w:tcPr>
            <w:tcW w:w="1134" w:type="dxa"/>
          </w:tcPr>
          <w:p w14:paraId="5298E6A6" w14:textId="77777777" w:rsidR="003D02F2" w:rsidRPr="002A25EC" w:rsidRDefault="003D02F2" w:rsidP="009C42E6">
            <w:pPr>
              <w:jc w:val="center"/>
              <w:rPr>
                <w:rFonts w:cs="Times New Roman"/>
                <w:sz w:val="20"/>
                <w:szCs w:val="20"/>
              </w:rPr>
            </w:pPr>
            <w:r w:rsidRPr="002A25EC">
              <w:rPr>
                <w:rFonts w:cs="Times New Roman"/>
                <w:sz w:val="20"/>
                <w:szCs w:val="20"/>
              </w:rPr>
              <w:t>29 (6.0)</w:t>
            </w:r>
          </w:p>
        </w:tc>
        <w:tc>
          <w:tcPr>
            <w:tcW w:w="992" w:type="dxa"/>
          </w:tcPr>
          <w:p w14:paraId="4ED55E66"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1134" w:type="dxa"/>
          </w:tcPr>
          <w:p w14:paraId="6A933EB4" w14:textId="77777777" w:rsidR="003D02F2" w:rsidRPr="002A25EC" w:rsidRDefault="003D02F2" w:rsidP="009C42E6">
            <w:pPr>
              <w:jc w:val="center"/>
              <w:rPr>
                <w:rFonts w:cs="Times New Roman"/>
                <w:sz w:val="20"/>
                <w:szCs w:val="20"/>
              </w:rPr>
            </w:pPr>
            <w:r w:rsidRPr="002A25EC">
              <w:rPr>
                <w:rFonts w:cs="Times New Roman"/>
                <w:sz w:val="20"/>
                <w:szCs w:val="20"/>
              </w:rPr>
              <w:t>3 (3.2)</w:t>
            </w:r>
          </w:p>
        </w:tc>
        <w:tc>
          <w:tcPr>
            <w:tcW w:w="992" w:type="dxa"/>
          </w:tcPr>
          <w:p w14:paraId="2DD95C74" w14:textId="77777777" w:rsidR="003D02F2" w:rsidRPr="002A25EC" w:rsidRDefault="003D02F2" w:rsidP="009C42E6">
            <w:pPr>
              <w:jc w:val="center"/>
              <w:rPr>
                <w:rFonts w:cs="Times New Roman"/>
                <w:sz w:val="20"/>
                <w:szCs w:val="20"/>
              </w:rPr>
            </w:pPr>
            <w:r w:rsidRPr="002A25EC">
              <w:rPr>
                <w:rFonts w:cs="Times New Roman"/>
                <w:sz w:val="20"/>
                <w:szCs w:val="20"/>
              </w:rPr>
              <w:t>1 (1.1)</w:t>
            </w:r>
          </w:p>
        </w:tc>
        <w:tc>
          <w:tcPr>
            <w:tcW w:w="1134" w:type="dxa"/>
          </w:tcPr>
          <w:p w14:paraId="06BC988C" w14:textId="77777777" w:rsidR="003D02F2" w:rsidRPr="002A25EC" w:rsidRDefault="003D02F2" w:rsidP="009C42E6">
            <w:pPr>
              <w:jc w:val="center"/>
              <w:rPr>
                <w:rFonts w:cs="Times New Roman"/>
                <w:sz w:val="20"/>
                <w:szCs w:val="20"/>
              </w:rPr>
            </w:pPr>
            <w:r w:rsidRPr="002A25EC">
              <w:rPr>
                <w:rFonts w:cs="Times New Roman"/>
                <w:sz w:val="20"/>
                <w:szCs w:val="20"/>
              </w:rPr>
              <w:t>7 (10.4)</w:t>
            </w:r>
          </w:p>
        </w:tc>
        <w:tc>
          <w:tcPr>
            <w:tcW w:w="992" w:type="dxa"/>
          </w:tcPr>
          <w:p w14:paraId="0C34F480" w14:textId="77777777" w:rsidR="003D02F2" w:rsidRPr="002A25EC" w:rsidRDefault="003D02F2" w:rsidP="009C42E6">
            <w:pPr>
              <w:jc w:val="center"/>
              <w:rPr>
                <w:rFonts w:cs="Times New Roman"/>
                <w:sz w:val="20"/>
                <w:szCs w:val="20"/>
              </w:rPr>
            </w:pPr>
            <w:r w:rsidRPr="002A25EC">
              <w:rPr>
                <w:rFonts w:cs="Times New Roman"/>
                <w:sz w:val="20"/>
                <w:szCs w:val="20"/>
              </w:rPr>
              <w:t>1 (1.5)</w:t>
            </w:r>
          </w:p>
        </w:tc>
      </w:tr>
      <w:tr w:rsidR="003D02F2" w:rsidRPr="002A25EC" w14:paraId="3762219B" w14:textId="77777777" w:rsidTr="5FFA413C">
        <w:tc>
          <w:tcPr>
            <w:tcW w:w="9067" w:type="dxa"/>
            <w:gridSpan w:val="7"/>
          </w:tcPr>
          <w:p w14:paraId="6B9111BB" w14:textId="77777777" w:rsidR="003D02F2" w:rsidRPr="002A25EC" w:rsidRDefault="003D02F2" w:rsidP="009C42E6">
            <w:pPr>
              <w:rPr>
                <w:rFonts w:cs="Times New Roman"/>
                <w:b/>
                <w:bCs/>
                <w:sz w:val="20"/>
                <w:szCs w:val="20"/>
              </w:rPr>
            </w:pPr>
            <w:r w:rsidRPr="002A25EC">
              <w:rPr>
                <w:rFonts w:cs="Times New Roman"/>
                <w:b/>
                <w:bCs/>
                <w:sz w:val="20"/>
                <w:szCs w:val="20"/>
              </w:rPr>
              <w:t>Investigations</w:t>
            </w:r>
          </w:p>
        </w:tc>
      </w:tr>
      <w:tr w:rsidR="003D02F2" w:rsidRPr="002A25EC" w14:paraId="284315AB" w14:textId="77777777" w:rsidTr="5FFA413C">
        <w:tc>
          <w:tcPr>
            <w:tcW w:w="2689" w:type="dxa"/>
          </w:tcPr>
          <w:p w14:paraId="4AAFF5B9" w14:textId="77777777" w:rsidR="003D02F2" w:rsidRPr="002A25EC" w:rsidRDefault="003D02F2" w:rsidP="009C42E6">
            <w:pPr>
              <w:rPr>
                <w:rFonts w:cs="Times New Roman"/>
                <w:sz w:val="20"/>
                <w:szCs w:val="20"/>
              </w:rPr>
            </w:pPr>
            <w:r w:rsidRPr="002A25EC">
              <w:rPr>
                <w:rFonts w:cs="Times New Roman"/>
                <w:sz w:val="20"/>
                <w:szCs w:val="20"/>
              </w:rPr>
              <w:t>Blood creatinine increased</w:t>
            </w:r>
          </w:p>
        </w:tc>
        <w:tc>
          <w:tcPr>
            <w:tcW w:w="1134" w:type="dxa"/>
          </w:tcPr>
          <w:p w14:paraId="5B729FCF" w14:textId="77777777" w:rsidR="003D02F2" w:rsidRPr="002A25EC" w:rsidRDefault="003D02F2" w:rsidP="009C42E6">
            <w:pPr>
              <w:jc w:val="center"/>
              <w:rPr>
                <w:rFonts w:cs="Times New Roman"/>
                <w:sz w:val="20"/>
                <w:szCs w:val="20"/>
              </w:rPr>
            </w:pPr>
            <w:r w:rsidRPr="002A25EC">
              <w:rPr>
                <w:rFonts w:cs="Times New Roman"/>
                <w:sz w:val="20"/>
                <w:szCs w:val="20"/>
              </w:rPr>
              <w:t>50 (10.3)</w:t>
            </w:r>
          </w:p>
        </w:tc>
        <w:tc>
          <w:tcPr>
            <w:tcW w:w="992" w:type="dxa"/>
          </w:tcPr>
          <w:p w14:paraId="5769ADBA" w14:textId="77777777" w:rsidR="003D02F2" w:rsidRPr="002A25EC" w:rsidRDefault="003D02F2" w:rsidP="009C42E6">
            <w:pPr>
              <w:jc w:val="center"/>
              <w:rPr>
                <w:rFonts w:cs="Times New Roman"/>
                <w:sz w:val="20"/>
                <w:szCs w:val="20"/>
              </w:rPr>
            </w:pPr>
            <w:r w:rsidRPr="002A25EC">
              <w:rPr>
                <w:rFonts w:cs="Times New Roman"/>
                <w:sz w:val="20"/>
                <w:szCs w:val="20"/>
              </w:rPr>
              <w:t>2 (0.4)</w:t>
            </w:r>
          </w:p>
        </w:tc>
        <w:tc>
          <w:tcPr>
            <w:tcW w:w="1134" w:type="dxa"/>
          </w:tcPr>
          <w:p w14:paraId="0C3A9722" w14:textId="77777777" w:rsidR="003D02F2" w:rsidRPr="002A25EC" w:rsidRDefault="003D02F2" w:rsidP="009C42E6">
            <w:pPr>
              <w:jc w:val="center"/>
              <w:rPr>
                <w:rFonts w:cs="Times New Roman"/>
                <w:sz w:val="20"/>
                <w:szCs w:val="20"/>
              </w:rPr>
            </w:pPr>
            <w:r w:rsidRPr="002A25EC">
              <w:rPr>
                <w:rFonts w:cs="Times New Roman"/>
                <w:sz w:val="20"/>
                <w:szCs w:val="20"/>
              </w:rPr>
              <w:t>1 (1.1)</w:t>
            </w:r>
          </w:p>
        </w:tc>
        <w:tc>
          <w:tcPr>
            <w:tcW w:w="992" w:type="dxa"/>
          </w:tcPr>
          <w:p w14:paraId="3EC4AFAB"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1134" w:type="dxa"/>
          </w:tcPr>
          <w:p w14:paraId="1A94156E" w14:textId="77777777" w:rsidR="003D02F2" w:rsidRPr="002A25EC" w:rsidRDefault="003D02F2" w:rsidP="009C42E6">
            <w:pPr>
              <w:jc w:val="center"/>
              <w:rPr>
                <w:rFonts w:cs="Times New Roman"/>
                <w:sz w:val="20"/>
                <w:szCs w:val="20"/>
              </w:rPr>
            </w:pPr>
            <w:r w:rsidRPr="002A25EC">
              <w:rPr>
                <w:rFonts w:cs="Times New Roman"/>
                <w:sz w:val="20"/>
                <w:szCs w:val="20"/>
              </w:rPr>
              <w:t>1 (1.5)</w:t>
            </w:r>
          </w:p>
        </w:tc>
        <w:tc>
          <w:tcPr>
            <w:tcW w:w="992" w:type="dxa"/>
          </w:tcPr>
          <w:p w14:paraId="3E06DC6D" w14:textId="77777777" w:rsidR="003D02F2" w:rsidRPr="002A25EC" w:rsidRDefault="003D02F2" w:rsidP="009C42E6">
            <w:pPr>
              <w:jc w:val="center"/>
              <w:rPr>
                <w:rFonts w:cs="Times New Roman"/>
                <w:sz w:val="20"/>
                <w:szCs w:val="20"/>
              </w:rPr>
            </w:pPr>
            <w:r w:rsidRPr="002A25EC">
              <w:rPr>
                <w:rFonts w:cs="Times New Roman"/>
                <w:sz w:val="20"/>
                <w:szCs w:val="20"/>
              </w:rPr>
              <w:t>0</w:t>
            </w:r>
          </w:p>
        </w:tc>
      </w:tr>
      <w:tr w:rsidR="003D02F2" w:rsidRPr="002A25EC" w14:paraId="2F518F01" w14:textId="77777777" w:rsidTr="5FFA413C">
        <w:tc>
          <w:tcPr>
            <w:tcW w:w="2689" w:type="dxa"/>
          </w:tcPr>
          <w:p w14:paraId="30A31352" w14:textId="77777777" w:rsidR="003D02F2" w:rsidRPr="002A25EC" w:rsidRDefault="003D02F2" w:rsidP="009C42E6">
            <w:pPr>
              <w:rPr>
                <w:rFonts w:cs="Times New Roman"/>
                <w:sz w:val="20"/>
                <w:szCs w:val="20"/>
              </w:rPr>
            </w:pPr>
            <w:r w:rsidRPr="002A25EC">
              <w:rPr>
                <w:rFonts w:cs="Times New Roman"/>
                <w:sz w:val="20"/>
                <w:szCs w:val="20"/>
              </w:rPr>
              <w:t>Alanine aminotransferase increased</w:t>
            </w:r>
          </w:p>
        </w:tc>
        <w:tc>
          <w:tcPr>
            <w:tcW w:w="1134" w:type="dxa"/>
          </w:tcPr>
          <w:p w14:paraId="7B28EE3A" w14:textId="77777777" w:rsidR="003D02F2" w:rsidRPr="002A25EC" w:rsidRDefault="003D02F2" w:rsidP="009C42E6">
            <w:pPr>
              <w:jc w:val="center"/>
              <w:rPr>
                <w:rFonts w:cs="Times New Roman"/>
                <w:sz w:val="20"/>
                <w:szCs w:val="20"/>
              </w:rPr>
            </w:pPr>
            <w:r w:rsidRPr="002A25EC">
              <w:rPr>
                <w:rFonts w:cs="Times New Roman"/>
                <w:sz w:val="20"/>
                <w:szCs w:val="20"/>
              </w:rPr>
              <w:t>31 (6.4)</w:t>
            </w:r>
          </w:p>
        </w:tc>
        <w:tc>
          <w:tcPr>
            <w:tcW w:w="992" w:type="dxa"/>
          </w:tcPr>
          <w:p w14:paraId="6C48252C" w14:textId="77777777" w:rsidR="003D02F2" w:rsidRPr="002A25EC" w:rsidRDefault="003D02F2" w:rsidP="009C42E6">
            <w:pPr>
              <w:jc w:val="center"/>
              <w:rPr>
                <w:rFonts w:cs="Times New Roman"/>
                <w:sz w:val="20"/>
                <w:szCs w:val="20"/>
              </w:rPr>
            </w:pPr>
            <w:r w:rsidRPr="002A25EC">
              <w:rPr>
                <w:rFonts w:cs="Times New Roman"/>
                <w:sz w:val="20"/>
                <w:szCs w:val="20"/>
              </w:rPr>
              <w:t>8 (1.7)</w:t>
            </w:r>
          </w:p>
        </w:tc>
        <w:tc>
          <w:tcPr>
            <w:tcW w:w="1134" w:type="dxa"/>
          </w:tcPr>
          <w:p w14:paraId="26C6FDCD" w14:textId="77777777" w:rsidR="003D02F2" w:rsidRPr="002A25EC" w:rsidRDefault="003D02F2" w:rsidP="009C42E6">
            <w:pPr>
              <w:jc w:val="center"/>
              <w:rPr>
                <w:rFonts w:cs="Times New Roman"/>
                <w:sz w:val="20"/>
                <w:szCs w:val="20"/>
              </w:rPr>
            </w:pPr>
            <w:r w:rsidRPr="002A25EC">
              <w:rPr>
                <w:rFonts w:cs="Times New Roman"/>
                <w:sz w:val="20"/>
                <w:szCs w:val="20"/>
              </w:rPr>
              <w:t>1 (1.1)</w:t>
            </w:r>
          </w:p>
        </w:tc>
        <w:tc>
          <w:tcPr>
            <w:tcW w:w="992" w:type="dxa"/>
          </w:tcPr>
          <w:p w14:paraId="3B035BD8"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1134" w:type="dxa"/>
          </w:tcPr>
          <w:p w14:paraId="0AE7340E" w14:textId="77777777" w:rsidR="003D02F2" w:rsidRPr="002A25EC" w:rsidRDefault="003D02F2" w:rsidP="009C42E6">
            <w:pPr>
              <w:jc w:val="center"/>
              <w:rPr>
                <w:rFonts w:cs="Times New Roman"/>
                <w:sz w:val="20"/>
                <w:szCs w:val="20"/>
              </w:rPr>
            </w:pPr>
            <w:r w:rsidRPr="002A25EC">
              <w:rPr>
                <w:rFonts w:cs="Times New Roman"/>
                <w:sz w:val="20"/>
                <w:szCs w:val="20"/>
              </w:rPr>
              <w:t>1 (1.5)</w:t>
            </w:r>
          </w:p>
        </w:tc>
        <w:tc>
          <w:tcPr>
            <w:tcW w:w="992" w:type="dxa"/>
          </w:tcPr>
          <w:p w14:paraId="62C4B49B" w14:textId="77777777" w:rsidR="003D02F2" w:rsidRPr="002A25EC" w:rsidRDefault="003D02F2" w:rsidP="009C42E6">
            <w:pPr>
              <w:jc w:val="center"/>
              <w:rPr>
                <w:rFonts w:cs="Times New Roman"/>
                <w:sz w:val="20"/>
                <w:szCs w:val="20"/>
              </w:rPr>
            </w:pPr>
            <w:r w:rsidRPr="002A25EC">
              <w:rPr>
                <w:rFonts w:cs="Times New Roman"/>
                <w:sz w:val="20"/>
                <w:szCs w:val="20"/>
              </w:rPr>
              <w:t>0</w:t>
            </w:r>
          </w:p>
        </w:tc>
      </w:tr>
      <w:tr w:rsidR="003D02F2" w:rsidRPr="002A25EC" w14:paraId="538B2CA9" w14:textId="77777777" w:rsidTr="5FFA413C">
        <w:tc>
          <w:tcPr>
            <w:tcW w:w="2689" w:type="dxa"/>
          </w:tcPr>
          <w:p w14:paraId="66E7D408" w14:textId="77777777" w:rsidR="003D02F2" w:rsidRPr="002A25EC" w:rsidRDefault="003D02F2" w:rsidP="009C42E6">
            <w:pPr>
              <w:rPr>
                <w:rFonts w:cs="Times New Roman"/>
                <w:sz w:val="20"/>
                <w:szCs w:val="20"/>
              </w:rPr>
            </w:pPr>
            <w:r w:rsidRPr="002A25EC">
              <w:rPr>
                <w:rFonts w:cs="Times New Roman"/>
                <w:sz w:val="20"/>
                <w:szCs w:val="20"/>
              </w:rPr>
              <w:t>Weight decreased</w:t>
            </w:r>
          </w:p>
        </w:tc>
        <w:tc>
          <w:tcPr>
            <w:tcW w:w="1134" w:type="dxa"/>
          </w:tcPr>
          <w:p w14:paraId="66BE195C" w14:textId="77777777" w:rsidR="003D02F2" w:rsidRPr="002A25EC" w:rsidRDefault="003D02F2" w:rsidP="009C42E6">
            <w:pPr>
              <w:jc w:val="center"/>
              <w:rPr>
                <w:rFonts w:cs="Times New Roman"/>
                <w:sz w:val="20"/>
                <w:szCs w:val="20"/>
              </w:rPr>
            </w:pPr>
            <w:r w:rsidRPr="002A25EC">
              <w:rPr>
                <w:rFonts w:cs="Times New Roman"/>
                <w:sz w:val="20"/>
                <w:szCs w:val="20"/>
              </w:rPr>
              <w:t>28 (5.8)</w:t>
            </w:r>
          </w:p>
        </w:tc>
        <w:tc>
          <w:tcPr>
            <w:tcW w:w="992" w:type="dxa"/>
          </w:tcPr>
          <w:p w14:paraId="25DFD230" w14:textId="77777777" w:rsidR="003D02F2" w:rsidRPr="002A25EC" w:rsidRDefault="003D02F2" w:rsidP="009C42E6">
            <w:pPr>
              <w:jc w:val="center"/>
              <w:rPr>
                <w:rFonts w:cs="Times New Roman"/>
                <w:sz w:val="20"/>
                <w:szCs w:val="20"/>
              </w:rPr>
            </w:pPr>
            <w:r w:rsidRPr="002A25EC">
              <w:rPr>
                <w:rFonts w:cs="Times New Roman"/>
                <w:sz w:val="20"/>
                <w:szCs w:val="20"/>
              </w:rPr>
              <w:t>1 (0.2)</w:t>
            </w:r>
          </w:p>
        </w:tc>
        <w:tc>
          <w:tcPr>
            <w:tcW w:w="1134" w:type="dxa"/>
          </w:tcPr>
          <w:p w14:paraId="168F4745" w14:textId="77777777" w:rsidR="003D02F2" w:rsidRPr="002A25EC" w:rsidRDefault="003D02F2" w:rsidP="009C42E6">
            <w:pPr>
              <w:jc w:val="center"/>
              <w:rPr>
                <w:rFonts w:cs="Times New Roman"/>
                <w:sz w:val="20"/>
                <w:szCs w:val="20"/>
              </w:rPr>
            </w:pPr>
            <w:r w:rsidRPr="002A25EC">
              <w:rPr>
                <w:rFonts w:cs="Times New Roman"/>
                <w:sz w:val="20"/>
                <w:szCs w:val="20"/>
              </w:rPr>
              <w:t>5 (5.3)</w:t>
            </w:r>
          </w:p>
        </w:tc>
        <w:tc>
          <w:tcPr>
            <w:tcW w:w="992" w:type="dxa"/>
          </w:tcPr>
          <w:p w14:paraId="11ADCEA7"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1134" w:type="dxa"/>
          </w:tcPr>
          <w:p w14:paraId="53DD9311"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992" w:type="dxa"/>
          </w:tcPr>
          <w:p w14:paraId="765FC811" w14:textId="77777777" w:rsidR="003D02F2" w:rsidRPr="002A25EC" w:rsidRDefault="003D02F2" w:rsidP="009C42E6">
            <w:pPr>
              <w:jc w:val="center"/>
              <w:rPr>
                <w:rFonts w:cs="Times New Roman"/>
                <w:sz w:val="20"/>
                <w:szCs w:val="20"/>
              </w:rPr>
            </w:pPr>
            <w:r w:rsidRPr="002A25EC">
              <w:rPr>
                <w:rFonts w:cs="Times New Roman"/>
                <w:sz w:val="20"/>
                <w:szCs w:val="20"/>
              </w:rPr>
              <w:t>0</w:t>
            </w:r>
          </w:p>
        </w:tc>
      </w:tr>
      <w:tr w:rsidR="003D02F2" w:rsidRPr="002A25EC" w14:paraId="15DA5484" w14:textId="77777777" w:rsidTr="5FFA413C">
        <w:tc>
          <w:tcPr>
            <w:tcW w:w="2689" w:type="dxa"/>
          </w:tcPr>
          <w:p w14:paraId="1D3D2C3C" w14:textId="77777777" w:rsidR="003D02F2" w:rsidRPr="002A25EC" w:rsidRDefault="003D02F2" w:rsidP="009C42E6">
            <w:pPr>
              <w:rPr>
                <w:rFonts w:cs="Times New Roman"/>
                <w:sz w:val="20"/>
                <w:szCs w:val="20"/>
              </w:rPr>
            </w:pPr>
            <w:r w:rsidRPr="002A25EC">
              <w:rPr>
                <w:rFonts w:cs="Times New Roman"/>
                <w:sz w:val="20"/>
                <w:szCs w:val="20"/>
              </w:rPr>
              <w:t>Vitamin B1 decreased</w:t>
            </w:r>
          </w:p>
        </w:tc>
        <w:tc>
          <w:tcPr>
            <w:tcW w:w="1134" w:type="dxa"/>
          </w:tcPr>
          <w:p w14:paraId="4ED6AF4C" w14:textId="77777777" w:rsidR="003D02F2" w:rsidRPr="002A25EC" w:rsidRDefault="003D02F2" w:rsidP="009C42E6">
            <w:pPr>
              <w:jc w:val="center"/>
              <w:rPr>
                <w:rFonts w:cs="Times New Roman"/>
                <w:sz w:val="20"/>
                <w:szCs w:val="20"/>
              </w:rPr>
            </w:pPr>
            <w:r w:rsidRPr="002A25EC">
              <w:rPr>
                <w:rFonts w:cs="Times New Roman"/>
                <w:sz w:val="20"/>
                <w:szCs w:val="20"/>
              </w:rPr>
              <w:t>24 (5.0)</w:t>
            </w:r>
          </w:p>
        </w:tc>
        <w:tc>
          <w:tcPr>
            <w:tcW w:w="992" w:type="dxa"/>
          </w:tcPr>
          <w:p w14:paraId="1D0FC49D"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1134" w:type="dxa"/>
          </w:tcPr>
          <w:p w14:paraId="00F671E3"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992" w:type="dxa"/>
          </w:tcPr>
          <w:p w14:paraId="097BC372"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1134" w:type="dxa"/>
          </w:tcPr>
          <w:p w14:paraId="6C05A5CF" w14:textId="77777777" w:rsidR="003D02F2" w:rsidRPr="002A25EC" w:rsidRDefault="003D02F2" w:rsidP="009C42E6">
            <w:pPr>
              <w:jc w:val="center"/>
              <w:rPr>
                <w:rFonts w:cs="Times New Roman"/>
                <w:sz w:val="20"/>
                <w:szCs w:val="20"/>
              </w:rPr>
            </w:pPr>
            <w:r w:rsidRPr="002A25EC">
              <w:rPr>
                <w:rFonts w:cs="Times New Roman"/>
                <w:sz w:val="20"/>
                <w:szCs w:val="20"/>
              </w:rPr>
              <w:t>1 (1.5)</w:t>
            </w:r>
          </w:p>
        </w:tc>
        <w:tc>
          <w:tcPr>
            <w:tcW w:w="992" w:type="dxa"/>
          </w:tcPr>
          <w:p w14:paraId="2FB6E0C9" w14:textId="77777777" w:rsidR="003D02F2" w:rsidRPr="002A25EC" w:rsidRDefault="003D02F2" w:rsidP="009C42E6">
            <w:pPr>
              <w:jc w:val="center"/>
              <w:rPr>
                <w:rFonts w:cs="Times New Roman"/>
                <w:sz w:val="20"/>
                <w:szCs w:val="20"/>
              </w:rPr>
            </w:pPr>
            <w:r w:rsidRPr="002A25EC">
              <w:rPr>
                <w:rFonts w:cs="Times New Roman"/>
                <w:sz w:val="20"/>
                <w:szCs w:val="20"/>
              </w:rPr>
              <w:t>0</w:t>
            </w:r>
          </w:p>
        </w:tc>
      </w:tr>
      <w:tr w:rsidR="003D02F2" w:rsidRPr="002A25EC" w14:paraId="4E0EBFF3" w14:textId="77777777" w:rsidTr="5FFA413C">
        <w:tc>
          <w:tcPr>
            <w:tcW w:w="9067" w:type="dxa"/>
            <w:gridSpan w:val="7"/>
          </w:tcPr>
          <w:p w14:paraId="73E90917" w14:textId="77777777" w:rsidR="003D02F2" w:rsidRPr="002A25EC" w:rsidRDefault="003D02F2" w:rsidP="009C42E6">
            <w:pPr>
              <w:rPr>
                <w:rFonts w:cs="Times New Roman"/>
                <w:b/>
                <w:bCs/>
                <w:sz w:val="20"/>
                <w:szCs w:val="20"/>
              </w:rPr>
            </w:pPr>
            <w:r w:rsidRPr="002A25EC">
              <w:rPr>
                <w:rFonts w:cs="Times New Roman"/>
                <w:b/>
                <w:bCs/>
                <w:sz w:val="20"/>
                <w:szCs w:val="20"/>
              </w:rPr>
              <w:t>Infections and infestations</w:t>
            </w:r>
          </w:p>
        </w:tc>
      </w:tr>
      <w:tr w:rsidR="003D02F2" w:rsidRPr="002A25EC" w14:paraId="0C38EB03" w14:textId="77777777" w:rsidTr="5FFA413C">
        <w:tc>
          <w:tcPr>
            <w:tcW w:w="2689" w:type="dxa"/>
          </w:tcPr>
          <w:p w14:paraId="26E6AC37" w14:textId="77777777" w:rsidR="003D02F2" w:rsidRPr="002A25EC" w:rsidRDefault="003D02F2" w:rsidP="009C42E6">
            <w:pPr>
              <w:rPr>
                <w:rFonts w:cs="Times New Roman"/>
                <w:sz w:val="20"/>
                <w:szCs w:val="20"/>
              </w:rPr>
            </w:pPr>
            <w:r w:rsidRPr="002A25EC">
              <w:rPr>
                <w:rFonts w:cs="Times New Roman"/>
                <w:sz w:val="20"/>
                <w:szCs w:val="20"/>
              </w:rPr>
              <w:t>Urinary tract infection</w:t>
            </w:r>
          </w:p>
        </w:tc>
        <w:tc>
          <w:tcPr>
            <w:tcW w:w="1134" w:type="dxa"/>
          </w:tcPr>
          <w:p w14:paraId="7A6972C6" w14:textId="77777777" w:rsidR="003D02F2" w:rsidRPr="002A25EC" w:rsidRDefault="003D02F2" w:rsidP="009C42E6">
            <w:pPr>
              <w:jc w:val="center"/>
              <w:rPr>
                <w:rFonts w:cs="Times New Roman"/>
                <w:sz w:val="20"/>
                <w:szCs w:val="20"/>
              </w:rPr>
            </w:pPr>
            <w:r w:rsidRPr="002A25EC">
              <w:rPr>
                <w:rFonts w:cs="Times New Roman"/>
                <w:sz w:val="20"/>
                <w:szCs w:val="20"/>
              </w:rPr>
              <w:t>28 (5.8)</w:t>
            </w:r>
          </w:p>
        </w:tc>
        <w:tc>
          <w:tcPr>
            <w:tcW w:w="992" w:type="dxa"/>
          </w:tcPr>
          <w:p w14:paraId="3A6509FF" w14:textId="77777777" w:rsidR="003D02F2" w:rsidRPr="002A25EC" w:rsidRDefault="003D02F2" w:rsidP="009C42E6">
            <w:pPr>
              <w:jc w:val="center"/>
              <w:rPr>
                <w:rFonts w:cs="Times New Roman"/>
                <w:sz w:val="20"/>
                <w:szCs w:val="20"/>
              </w:rPr>
            </w:pPr>
            <w:r w:rsidRPr="002A25EC">
              <w:rPr>
                <w:rFonts w:cs="Times New Roman"/>
                <w:sz w:val="20"/>
                <w:szCs w:val="20"/>
              </w:rPr>
              <w:t>2 (0.4)</w:t>
            </w:r>
          </w:p>
        </w:tc>
        <w:tc>
          <w:tcPr>
            <w:tcW w:w="1134" w:type="dxa"/>
          </w:tcPr>
          <w:p w14:paraId="513D3D0C" w14:textId="77777777" w:rsidR="003D02F2" w:rsidRPr="002A25EC" w:rsidRDefault="003D02F2" w:rsidP="009C42E6">
            <w:pPr>
              <w:jc w:val="center"/>
              <w:rPr>
                <w:rFonts w:cs="Times New Roman"/>
                <w:sz w:val="20"/>
                <w:szCs w:val="20"/>
              </w:rPr>
            </w:pPr>
            <w:r w:rsidRPr="002A25EC">
              <w:rPr>
                <w:rFonts w:cs="Times New Roman"/>
                <w:sz w:val="20"/>
                <w:szCs w:val="20"/>
              </w:rPr>
              <w:t>1 (1.1)</w:t>
            </w:r>
          </w:p>
        </w:tc>
        <w:tc>
          <w:tcPr>
            <w:tcW w:w="992" w:type="dxa"/>
          </w:tcPr>
          <w:p w14:paraId="355BE527"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1134" w:type="dxa"/>
          </w:tcPr>
          <w:p w14:paraId="2172E34F" w14:textId="77777777" w:rsidR="003D02F2" w:rsidRPr="002A25EC" w:rsidRDefault="003D02F2" w:rsidP="009C42E6">
            <w:pPr>
              <w:jc w:val="center"/>
              <w:rPr>
                <w:rFonts w:cs="Times New Roman"/>
                <w:sz w:val="20"/>
                <w:szCs w:val="20"/>
              </w:rPr>
            </w:pPr>
            <w:r w:rsidRPr="002A25EC">
              <w:rPr>
                <w:rFonts w:cs="Times New Roman"/>
                <w:sz w:val="20"/>
                <w:szCs w:val="20"/>
              </w:rPr>
              <w:t>4 (6.0)</w:t>
            </w:r>
          </w:p>
        </w:tc>
        <w:tc>
          <w:tcPr>
            <w:tcW w:w="992" w:type="dxa"/>
          </w:tcPr>
          <w:p w14:paraId="4F8714E1" w14:textId="77777777" w:rsidR="003D02F2" w:rsidRPr="002A25EC" w:rsidRDefault="003D02F2" w:rsidP="009C42E6">
            <w:pPr>
              <w:jc w:val="center"/>
              <w:rPr>
                <w:rFonts w:cs="Times New Roman"/>
                <w:sz w:val="20"/>
                <w:szCs w:val="20"/>
              </w:rPr>
            </w:pPr>
            <w:r w:rsidRPr="002A25EC">
              <w:rPr>
                <w:rFonts w:cs="Times New Roman"/>
                <w:sz w:val="20"/>
                <w:szCs w:val="20"/>
              </w:rPr>
              <w:t>0</w:t>
            </w:r>
          </w:p>
        </w:tc>
      </w:tr>
      <w:tr w:rsidR="003D02F2" w:rsidRPr="002A25EC" w14:paraId="3EA0F3AA" w14:textId="77777777" w:rsidTr="5FFA413C">
        <w:tc>
          <w:tcPr>
            <w:tcW w:w="2689" w:type="dxa"/>
          </w:tcPr>
          <w:p w14:paraId="7E9C7B72" w14:textId="77777777" w:rsidR="003D02F2" w:rsidRPr="002A25EC" w:rsidRDefault="003D02F2" w:rsidP="009C42E6">
            <w:pPr>
              <w:rPr>
                <w:rFonts w:cs="Times New Roman"/>
                <w:sz w:val="20"/>
                <w:szCs w:val="20"/>
              </w:rPr>
            </w:pPr>
            <w:r w:rsidRPr="002A25EC">
              <w:rPr>
                <w:rFonts w:cs="Times New Roman"/>
                <w:sz w:val="20"/>
                <w:szCs w:val="20"/>
              </w:rPr>
              <w:t>COVID-19</w:t>
            </w:r>
          </w:p>
        </w:tc>
        <w:tc>
          <w:tcPr>
            <w:tcW w:w="1134" w:type="dxa"/>
          </w:tcPr>
          <w:p w14:paraId="5438CECE" w14:textId="77777777" w:rsidR="003D02F2" w:rsidRPr="002A25EC" w:rsidRDefault="003D02F2" w:rsidP="009C42E6">
            <w:pPr>
              <w:jc w:val="center"/>
              <w:rPr>
                <w:rFonts w:cs="Times New Roman"/>
                <w:sz w:val="20"/>
                <w:szCs w:val="20"/>
              </w:rPr>
            </w:pPr>
            <w:r w:rsidRPr="002A25EC">
              <w:rPr>
                <w:rFonts w:cs="Times New Roman"/>
                <w:sz w:val="20"/>
                <w:szCs w:val="20"/>
              </w:rPr>
              <w:t>17 (3.5)</w:t>
            </w:r>
          </w:p>
        </w:tc>
        <w:tc>
          <w:tcPr>
            <w:tcW w:w="992" w:type="dxa"/>
          </w:tcPr>
          <w:p w14:paraId="2262A18F" w14:textId="77777777" w:rsidR="003D02F2" w:rsidRPr="002A25EC" w:rsidRDefault="003D02F2" w:rsidP="009C42E6">
            <w:pPr>
              <w:jc w:val="center"/>
              <w:rPr>
                <w:rFonts w:cs="Times New Roman"/>
                <w:sz w:val="20"/>
                <w:szCs w:val="20"/>
              </w:rPr>
            </w:pPr>
            <w:r w:rsidRPr="002A25EC">
              <w:rPr>
                <w:rFonts w:cs="Times New Roman"/>
                <w:sz w:val="20"/>
                <w:szCs w:val="20"/>
              </w:rPr>
              <w:t>3 (0.6)</w:t>
            </w:r>
          </w:p>
        </w:tc>
        <w:tc>
          <w:tcPr>
            <w:tcW w:w="1134" w:type="dxa"/>
          </w:tcPr>
          <w:p w14:paraId="3CDCB3EE"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992" w:type="dxa"/>
          </w:tcPr>
          <w:p w14:paraId="79EF8826"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1134" w:type="dxa"/>
          </w:tcPr>
          <w:p w14:paraId="75472013" w14:textId="77777777" w:rsidR="003D02F2" w:rsidRPr="002A25EC" w:rsidRDefault="003D02F2" w:rsidP="009C42E6">
            <w:pPr>
              <w:jc w:val="center"/>
              <w:rPr>
                <w:rFonts w:cs="Times New Roman"/>
                <w:sz w:val="20"/>
                <w:szCs w:val="20"/>
              </w:rPr>
            </w:pPr>
            <w:r w:rsidRPr="002A25EC">
              <w:rPr>
                <w:rFonts w:cs="Times New Roman"/>
                <w:sz w:val="20"/>
                <w:szCs w:val="20"/>
              </w:rPr>
              <w:t>5 (7.5)</w:t>
            </w:r>
          </w:p>
        </w:tc>
        <w:tc>
          <w:tcPr>
            <w:tcW w:w="992" w:type="dxa"/>
          </w:tcPr>
          <w:p w14:paraId="44A665EC" w14:textId="77777777" w:rsidR="003D02F2" w:rsidRPr="002A25EC" w:rsidRDefault="003D02F2" w:rsidP="009C42E6">
            <w:pPr>
              <w:jc w:val="center"/>
              <w:rPr>
                <w:rFonts w:cs="Times New Roman"/>
                <w:sz w:val="20"/>
                <w:szCs w:val="20"/>
              </w:rPr>
            </w:pPr>
            <w:r w:rsidRPr="002A25EC">
              <w:rPr>
                <w:rFonts w:cs="Times New Roman"/>
                <w:sz w:val="20"/>
                <w:szCs w:val="20"/>
              </w:rPr>
              <w:t>2 (3.0)</w:t>
            </w:r>
          </w:p>
        </w:tc>
      </w:tr>
      <w:tr w:rsidR="003D02F2" w:rsidRPr="002A25EC" w14:paraId="7341E71B" w14:textId="77777777" w:rsidTr="5FFA413C">
        <w:tc>
          <w:tcPr>
            <w:tcW w:w="9067" w:type="dxa"/>
            <w:gridSpan w:val="7"/>
          </w:tcPr>
          <w:p w14:paraId="3FB08DEF" w14:textId="77777777" w:rsidR="003D02F2" w:rsidRPr="002A25EC" w:rsidRDefault="003D02F2" w:rsidP="009C42E6">
            <w:pPr>
              <w:rPr>
                <w:rFonts w:cs="Times New Roman"/>
                <w:b/>
                <w:bCs/>
                <w:sz w:val="20"/>
                <w:szCs w:val="20"/>
              </w:rPr>
            </w:pPr>
            <w:r w:rsidRPr="002A25EC">
              <w:rPr>
                <w:rFonts w:cs="Times New Roman"/>
                <w:b/>
                <w:bCs/>
                <w:sz w:val="20"/>
                <w:szCs w:val="20"/>
              </w:rPr>
              <w:t>Skin and subcutaneous tissue disorders</w:t>
            </w:r>
          </w:p>
        </w:tc>
      </w:tr>
      <w:tr w:rsidR="003D02F2" w:rsidRPr="002A25EC" w14:paraId="2C9F5BC7" w14:textId="77777777" w:rsidTr="5FFA413C">
        <w:tc>
          <w:tcPr>
            <w:tcW w:w="2689" w:type="dxa"/>
          </w:tcPr>
          <w:p w14:paraId="424BFC7B" w14:textId="77777777" w:rsidR="003D02F2" w:rsidRPr="002A25EC" w:rsidRDefault="003D02F2" w:rsidP="009C42E6">
            <w:pPr>
              <w:rPr>
                <w:rFonts w:cs="Times New Roman"/>
                <w:sz w:val="20"/>
                <w:szCs w:val="20"/>
              </w:rPr>
            </w:pPr>
            <w:proofErr w:type="spellStart"/>
            <w:r w:rsidRPr="002A25EC">
              <w:rPr>
                <w:rFonts w:cs="Times New Roman"/>
                <w:sz w:val="20"/>
                <w:szCs w:val="20"/>
              </w:rPr>
              <w:t>Pruritis</w:t>
            </w:r>
            <w:proofErr w:type="spellEnd"/>
          </w:p>
        </w:tc>
        <w:tc>
          <w:tcPr>
            <w:tcW w:w="1134" w:type="dxa"/>
          </w:tcPr>
          <w:p w14:paraId="7821D651" w14:textId="77777777" w:rsidR="003D02F2" w:rsidRPr="002A25EC" w:rsidRDefault="003D02F2" w:rsidP="009C42E6">
            <w:pPr>
              <w:jc w:val="center"/>
              <w:rPr>
                <w:rFonts w:cs="Times New Roman"/>
                <w:sz w:val="20"/>
                <w:szCs w:val="20"/>
              </w:rPr>
            </w:pPr>
            <w:r w:rsidRPr="002A25EC">
              <w:rPr>
                <w:rFonts w:cs="Times New Roman"/>
                <w:sz w:val="20"/>
                <w:szCs w:val="20"/>
              </w:rPr>
              <w:t>54 (11.2)</w:t>
            </w:r>
          </w:p>
        </w:tc>
        <w:tc>
          <w:tcPr>
            <w:tcW w:w="992" w:type="dxa"/>
          </w:tcPr>
          <w:p w14:paraId="4527E73F" w14:textId="77777777" w:rsidR="003D02F2" w:rsidRPr="002A25EC" w:rsidRDefault="003D02F2" w:rsidP="009C42E6">
            <w:pPr>
              <w:jc w:val="center"/>
              <w:rPr>
                <w:rFonts w:cs="Times New Roman"/>
                <w:sz w:val="20"/>
                <w:szCs w:val="20"/>
              </w:rPr>
            </w:pPr>
            <w:r w:rsidRPr="002A25EC">
              <w:rPr>
                <w:rFonts w:cs="Times New Roman"/>
                <w:sz w:val="20"/>
                <w:szCs w:val="20"/>
              </w:rPr>
              <w:t>1 (0.2)</w:t>
            </w:r>
          </w:p>
        </w:tc>
        <w:tc>
          <w:tcPr>
            <w:tcW w:w="1134" w:type="dxa"/>
          </w:tcPr>
          <w:p w14:paraId="26DF459D" w14:textId="77777777" w:rsidR="003D02F2" w:rsidRPr="002A25EC" w:rsidRDefault="003D02F2" w:rsidP="009C42E6">
            <w:pPr>
              <w:jc w:val="center"/>
              <w:rPr>
                <w:rFonts w:cs="Times New Roman"/>
                <w:sz w:val="20"/>
                <w:szCs w:val="20"/>
              </w:rPr>
            </w:pPr>
            <w:r w:rsidRPr="002A25EC">
              <w:rPr>
                <w:rFonts w:cs="Times New Roman"/>
                <w:sz w:val="20"/>
                <w:szCs w:val="20"/>
              </w:rPr>
              <w:t>7 (7.4)</w:t>
            </w:r>
          </w:p>
        </w:tc>
        <w:tc>
          <w:tcPr>
            <w:tcW w:w="992" w:type="dxa"/>
          </w:tcPr>
          <w:p w14:paraId="5E7E56D3"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1134" w:type="dxa"/>
          </w:tcPr>
          <w:p w14:paraId="2FD5BEBC" w14:textId="77777777" w:rsidR="003D02F2" w:rsidRPr="002A25EC" w:rsidRDefault="003D02F2" w:rsidP="009C42E6">
            <w:pPr>
              <w:jc w:val="center"/>
              <w:rPr>
                <w:rFonts w:cs="Times New Roman"/>
                <w:sz w:val="20"/>
                <w:szCs w:val="20"/>
              </w:rPr>
            </w:pPr>
            <w:r w:rsidRPr="002A25EC">
              <w:rPr>
                <w:rFonts w:cs="Times New Roman"/>
                <w:sz w:val="20"/>
                <w:szCs w:val="20"/>
              </w:rPr>
              <w:t>7 (10.4)</w:t>
            </w:r>
          </w:p>
        </w:tc>
        <w:tc>
          <w:tcPr>
            <w:tcW w:w="992" w:type="dxa"/>
          </w:tcPr>
          <w:p w14:paraId="36030338" w14:textId="77777777" w:rsidR="003D02F2" w:rsidRPr="002A25EC" w:rsidRDefault="003D02F2" w:rsidP="009C42E6">
            <w:pPr>
              <w:jc w:val="center"/>
              <w:rPr>
                <w:rFonts w:cs="Times New Roman"/>
                <w:sz w:val="20"/>
                <w:szCs w:val="20"/>
              </w:rPr>
            </w:pPr>
            <w:r w:rsidRPr="002A25EC">
              <w:rPr>
                <w:rFonts w:cs="Times New Roman"/>
                <w:sz w:val="20"/>
                <w:szCs w:val="20"/>
              </w:rPr>
              <w:t>1 (1.5)</w:t>
            </w:r>
          </w:p>
        </w:tc>
      </w:tr>
      <w:tr w:rsidR="003D02F2" w:rsidRPr="002A25EC" w14:paraId="64CB4019" w14:textId="77777777" w:rsidTr="5FFA413C">
        <w:tc>
          <w:tcPr>
            <w:tcW w:w="2689" w:type="dxa"/>
          </w:tcPr>
          <w:p w14:paraId="7890B25D" w14:textId="77777777" w:rsidR="003D02F2" w:rsidRPr="002A25EC" w:rsidRDefault="003D02F2" w:rsidP="009C42E6">
            <w:pPr>
              <w:rPr>
                <w:rFonts w:cs="Times New Roman"/>
                <w:sz w:val="20"/>
                <w:szCs w:val="20"/>
              </w:rPr>
            </w:pPr>
            <w:r w:rsidRPr="002A25EC">
              <w:rPr>
                <w:rFonts w:cs="Times New Roman"/>
                <w:sz w:val="20"/>
                <w:szCs w:val="20"/>
              </w:rPr>
              <w:t>Night sweats</w:t>
            </w:r>
          </w:p>
        </w:tc>
        <w:tc>
          <w:tcPr>
            <w:tcW w:w="1134" w:type="dxa"/>
          </w:tcPr>
          <w:p w14:paraId="62178827" w14:textId="77777777" w:rsidR="003D02F2" w:rsidRPr="002A25EC" w:rsidRDefault="003D02F2" w:rsidP="009C42E6">
            <w:pPr>
              <w:jc w:val="center"/>
              <w:rPr>
                <w:rFonts w:cs="Times New Roman"/>
                <w:sz w:val="20"/>
                <w:szCs w:val="20"/>
              </w:rPr>
            </w:pPr>
            <w:r w:rsidRPr="002A25EC">
              <w:rPr>
                <w:rFonts w:cs="Times New Roman"/>
                <w:sz w:val="20"/>
                <w:szCs w:val="20"/>
              </w:rPr>
              <w:t>20 (4.1)</w:t>
            </w:r>
          </w:p>
        </w:tc>
        <w:tc>
          <w:tcPr>
            <w:tcW w:w="992" w:type="dxa"/>
          </w:tcPr>
          <w:p w14:paraId="3BCF2F70"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1134" w:type="dxa"/>
          </w:tcPr>
          <w:p w14:paraId="165BAB6A" w14:textId="77777777" w:rsidR="003D02F2" w:rsidRPr="002A25EC" w:rsidRDefault="003D02F2" w:rsidP="009C42E6">
            <w:pPr>
              <w:jc w:val="center"/>
              <w:rPr>
                <w:rFonts w:cs="Times New Roman"/>
                <w:sz w:val="20"/>
                <w:szCs w:val="20"/>
              </w:rPr>
            </w:pPr>
            <w:r w:rsidRPr="002A25EC">
              <w:rPr>
                <w:rFonts w:cs="Times New Roman"/>
                <w:sz w:val="20"/>
                <w:szCs w:val="20"/>
              </w:rPr>
              <w:t>2 (2.1)</w:t>
            </w:r>
          </w:p>
        </w:tc>
        <w:tc>
          <w:tcPr>
            <w:tcW w:w="992" w:type="dxa"/>
          </w:tcPr>
          <w:p w14:paraId="55CBBF2C"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1134" w:type="dxa"/>
          </w:tcPr>
          <w:p w14:paraId="0471E7A2" w14:textId="77777777" w:rsidR="003D02F2" w:rsidRPr="002A25EC" w:rsidRDefault="003D02F2" w:rsidP="009C42E6">
            <w:pPr>
              <w:jc w:val="center"/>
              <w:rPr>
                <w:rFonts w:cs="Times New Roman"/>
                <w:sz w:val="20"/>
                <w:szCs w:val="20"/>
              </w:rPr>
            </w:pPr>
            <w:r w:rsidRPr="002A25EC">
              <w:rPr>
                <w:rFonts w:cs="Times New Roman"/>
                <w:sz w:val="20"/>
                <w:szCs w:val="20"/>
              </w:rPr>
              <w:t>7 (10.4)</w:t>
            </w:r>
          </w:p>
        </w:tc>
        <w:tc>
          <w:tcPr>
            <w:tcW w:w="992" w:type="dxa"/>
          </w:tcPr>
          <w:p w14:paraId="20CFF3DE" w14:textId="77777777" w:rsidR="003D02F2" w:rsidRPr="002A25EC" w:rsidRDefault="003D02F2" w:rsidP="009C42E6">
            <w:pPr>
              <w:jc w:val="center"/>
              <w:rPr>
                <w:rFonts w:cs="Times New Roman"/>
                <w:sz w:val="20"/>
                <w:szCs w:val="20"/>
              </w:rPr>
            </w:pPr>
            <w:r w:rsidRPr="002A25EC">
              <w:rPr>
                <w:rFonts w:cs="Times New Roman"/>
                <w:sz w:val="20"/>
                <w:szCs w:val="20"/>
              </w:rPr>
              <w:t>2 (3.0)</w:t>
            </w:r>
          </w:p>
        </w:tc>
      </w:tr>
      <w:tr w:rsidR="003D02F2" w:rsidRPr="002A25EC" w14:paraId="59771D94" w14:textId="77777777" w:rsidTr="5FFA413C">
        <w:tc>
          <w:tcPr>
            <w:tcW w:w="9067" w:type="dxa"/>
            <w:gridSpan w:val="7"/>
          </w:tcPr>
          <w:p w14:paraId="6466DE9D" w14:textId="77777777" w:rsidR="003D02F2" w:rsidRPr="002A25EC" w:rsidRDefault="003D02F2" w:rsidP="009C42E6">
            <w:pPr>
              <w:rPr>
                <w:rFonts w:cs="Times New Roman"/>
                <w:b/>
                <w:bCs/>
                <w:sz w:val="20"/>
                <w:szCs w:val="20"/>
              </w:rPr>
            </w:pPr>
            <w:r w:rsidRPr="002A25EC">
              <w:rPr>
                <w:rFonts w:cs="Times New Roman"/>
                <w:b/>
                <w:bCs/>
                <w:sz w:val="20"/>
                <w:szCs w:val="20"/>
              </w:rPr>
              <w:t>Metabolism and nutrition disorders</w:t>
            </w:r>
          </w:p>
        </w:tc>
      </w:tr>
      <w:tr w:rsidR="003D02F2" w:rsidRPr="002A25EC" w14:paraId="0027EB6A" w14:textId="77777777" w:rsidTr="5FFA413C">
        <w:tc>
          <w:tcPr>
            <w:tcW w:w="2689" w:type="dxa"/>
          </w:tcPr>
          <w:p w14:paraId="49B689DC" w14:textId="77777777" w:rsidR="003D02F2" w:rsidRPr="002A25EC" w:rsidRDefault="003D02F2" w:rsidP="009C42E6">
            <w:pPr>
              <w:rPr>
                <w:rFonts w:cs="Times New Roman"/>
                <w:sz w:val="20"/>
                <w:szCs w:val="20"/>
              </w:rPr>
            </w:pPr>
            <w:r w:rsidRPr="002A25EC">
              <w:rPr>
                <w:rFonts w:cs="Times New Roman"/>
                <w:sz w:val="20"/>
                <w:szCs w:val="20"/>
              </w:rPr>
              <w:t>Hyperkalaemia</w:t>
            </w:r>
          </w:p>
        </w:tc>
        <w:tc>
          <w:tcPr>
            <w:tcW w:w="1134" w:type="dxa"/>
          </w:tcPr>
          <w:p w14:paraId="7AD3A79E" w14:textId="77777777" w:rsidR="003D02F2" w:rsidRPr="002A25EC" w:rsidRDefault="003D02F2" w:rsidP="009C42E6">
            <w:pPr>
              <w:jc w:val="center"/>
              <w:rPr>
                <w:rFonts w:cs="Times New Roman"/>
                <w:sz w:val="20"/>
                <w:szCs w:val="20"/>
              </w:rPr>
            </w:pPr>
            <w:r w:rsidRPr="002A25EC">
              <w:rPr>
                <w:rFonts w:cs="Times New Roman"/>
                <w:sz w:val="20"/>
                <w:szCs w:val="20"/>
              </w:rPr>
              <w:t>31 (6.4)</w:t>
            </w:r>
          </w:p>
        </w:tc>
        <w:tc>
          <w:tcPr>
            <w:tcW w:w="992" w:type="dxa"/>
          </w:tcPr>
          <w:p w14:paraId="24D24B6A" w14:textId="77777777" w:rsidR="003D02F2" w:rsidRPr="002A25EC" w:rsidRDefault="003D02F2" w:rsidP="009C42E6">
            <w:pPr>
              <w:jc w:val="center"/>
              <w:rPr>
                <w:rFonts w:cs="Times New Roman"/>
                <w:sz w:val="20"/>
                <w:szCs w:val="20"/>
              </w:rPr>
            </w:pPr>
            <w:r w:rsidRPr="002A25EC">
              <w:rPr>
                <w:rFonts w:cs="Times New Roman"/>
                <w:sz w:val="20"/>
                <w:szCs w:val="20"/>
              </w:rPr>
              <w:t>16 (3.3)</w:t>
            </w:r>
          </w:p>
        </w:tc>
        <w:tc>
          <w:tcPr>
            <w:tcW w:w="1134" w:type="dxa"/>
          </w:tcPr>
          <w:p w14:paraId="32A3F474" w14:textId="77777777" w:rsidR="003D02F2" w:rsidRPr="002A25EC" w:rsidRDefault="003D02F2" w:rsidP="009C42E6">
            <w:pPr>
              <w:jc w:val="center"/>
              <w:rPr>
                <w:rFonts w:cs="Times New Roman"/>
                <w:sz w:val="20"/>
                <w:szCs w:val="20"/>
              </w:rPr>
            </w:pPr>
            <w:r w:rsidRPr="002A25EC">
              <w:rPr>
                <w:rFonts w:cs="Times New Roman"/>
                <w:sz w:val="20"/>
                <w:szCs w:val="20"/>
              </w:rPr>
              <w:t>2 (2.1)</w:t>
            </w:r>
          </w:p>
        </w:tc>
        <w:tc>
          <w:tcPr>
            <w:tcW w:w="992" w:type="dxa"/>
          </w:tcPr>
          <w:p w14:paraId="56E5E2E7" w14:textId="77777777" w:rsidR="003D02F2" w:rsidRPr="002A25EC" w:rsidRDefault="003D02F2" w:rsidP="009C42E6">
            <w:pPr>
              <w:jc w:val="center"/>
              <w:rPr>
                <w:rFonts w:cs="Times New Roman"/>
                <w:sz w:val="20"/>
                <w:szCs w:val="20"/>
              </w:rPr>
            </w:pPr>
            <w:r w:rsidRPr="002A25EC">
              <w:rPr>
                <w:rFonts w:cs="Times New Roman"/>
                <w:sz w:val="20"/>
                <w:szCs w:val="20"/>
              </w:rPr>
              <w:t>2 (2.1)</w:t>
            </w:r>
          </w:p>
        </w:tc>
        <w:tc>
          <w:tcPr>
            <w:tcW w:w="1134" w:type="dxa"/>
          </w:tcPr>
          <w:p w14:paraId="4C3E8CD0"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992" w:type="dxa"/>
          </w:tcPr>
          <w:p w14:paraId="16ACD9B0" w14:textId="77777777" w:rsidR="003D02F2" w:rsidRPr="002A25EC" w:rsidRDefault="003D02F2" w:rsidP="009C42E6">
            <w:pPr>
              <w:jc w:val="center"/>
              <w:rPr>
                <w:rFonts w:cs="Times New Roman"/>
                <w:sz w:val="20"/>
                <w:szCs w:val="20"/>
              </w:rPr>
            </w:pPr>
            <w:r w:rsidRPr="002A25EC">
              <w:rPr>
                <w:rFonts w:cs="Times New Roman"/>
                <w:sz w:val="20"/>
                <w:szCs w:val="20"/>
              </w:rPr>
              <w:t>0</w:t>
            </w:r>
          </w:p>
        </w:tc>
      </w:tr>
      <w:tr w:rsidR="003D02F2" w:rsidRPr="002A25EC" w14:paraId="60DC1A28" w14:textId="77777777" w:rsidTr="5FFA413C">
        <w:tc>
          <w:tcPr>
            <w:tcW w:w="2689" w:type="dxa"/>
          </w:tcPr>
          <w:p w14:paraId="167EF702" w14:textId="77777777" w:rsidR="003D02F2" w:rsidRPr="002A25EC" w:rsidRDefault="003D02F2" w:rsidP="009C42E6">
            <w:pPr>
              <w:rPr>
                <w:rFonts w:cs="Times New Roman"/>
                <w:sz w:val="20"/>
                <w:szCs w:val="20"/>
              </w:rPr>
            </w:pPr>
            <w:r w:rsidRPr="002A25EC">
              <w:rPr>
                <w:rFonts w:cs="Times New Roman"/>
                <w:sz w:val="20"/>
                <w:szCs w:val="20"/>
              </w:rPr>
              <w:t>Decreased appetite</w:t>
            </w:r>
          </w:p>
        </w:tc>
        <w:tc>
          <w:tcPr>
            <w:tcW w:w="1134" w:type="dxa"/>
          </w:tcPr>
          <w:p w14:paraId="1FD6D5BB" w14:textId="77777777" w:rsidR="003D02F2" w:rsidRPr="002A25EC" w:rsidRDefault="003D02F2" w:rsidP="009C42E6">
            <w:pPr>
              <w:jc w:val="center"/>
              <w:rPr>
                <w:rFonts w:cs="Times New Roman"/>
                <w:sz w:val="20"/>
                <w:szCs w:val="20"/>
              </w:rPr>
            </w:pPr>
            <w:r w:rsidRPr="002A25EC">
              <w:rPr>
                <w:rFonts w:cs="Times New Roman"/>
                <w:sz w:val="20"/>
                <w:szCs w:val="20"/>
              </w:rPr>
              <w:t>29 (6.0)</w:t>
            </w:r>
          </w:p>
        </w:tc>
        <w:tc>
          <w:tcPr>
            <w:tcW w:w="992" w:type="dxa"/>
          </w:tcPr>
          <w:p w14:paraId="0FD22C27" w14:textId="77777777" w:rsidR="003D02F2" w:rsidRPr="002A25EC" w:rsidRDefault="003D02F2" w:rsidP="009C42E6">
            <w:pPr>
              <w:jc w:val="center"/>
              <w:rPr>
                <w:rFonts w:cs="Times New Roman"/>
                <w:sz w:val="20"/>
                <w:szCs w:val="20"/>
              </w:rPr>
            </w:pPr>
            <w:r w:rsidRPr="002A25EC">
              <w:rPr>
                <w:rFonts w:cs="Times New Roman"/>
                <w:sz w:val="20"/>
                <w:szCs w:val="20"/>
              </w:rPr>
              <w:t>3 (0.6)</w:t>
            </w:r>
          </w:p>
        </w:tc>
        <w:tc>
          <w:tcPr>
            <w:tcW w:w="1134" w:type="dxa"/>
          </w:tcPr>
          <w:p w14:paraId="0CF48938" w14:textId="77777777" w:rsidR="003D02F2" w:rsidRPr="002A25EC" w:rsidRDefault="003D02F2" w:rsidP="009C42E6">
            <w:pPr>
              <w:jc w:val="center"/>
              <w:rPr>
                <w:rFonts w:cs="Times New Roman"/>
                <w:sz w:val="20"/>
                <w:szCs w:val="20"/>
              </w:rPr>
            </w:pPr>
            <w:r w:rsidRPr="002A25EC">
              <w:rPr>
                <w:rFonts w:cs="Times New Roman"/>
                <w:sz w:val="20"/>
                <w:szCs w:val="20"/>
              </w:rPr>
              <w:t>3 (3.2)</w:t>
            </w:r>
          </w:p>
        </w:tc>
        <w:tc>
          <w:tcPr>
            <w:tcW w:w="992" w:type="dxa"/>
          </w:tcPr>
          <w:p w14:paraId="1C40F3E6" w14:textId="77777777" w:rsidR="003D02F2" w:rsidRPr="002A25EC" w:rsidRDefault="003D02F2" w:rsidP="009C42E6">
            <w:pPr>
              <w:jc w:val="center"/>
              <w:rPr>
                <w:rFonts w:cs="Times New Roman"/>
                <w:sz w:val="20"/>
                <w:szCs w:val="20"/>
              </w:rPr>
            </w:pPr>
            <w:r w:rsidRPr="002A25EC">
              <w:rPr>
                <w:rFonts w:cs="Times New Roman"/>
                <w:sz w:val="20"/>
                <w:szCs w:val="20"/>
              </w:rPr>
              <w:t>1 (1.1)</w:t>
            </w:r>
          </w:p>
        </w:tc>
        <w:tc>
          <w:tcPr>
            <w:tcW w:w="1134" w:type="dxa"/>
          </w:tcPr>
          <w:p w14:paraId="02D98E22" w14:textId="77777777" w:rsidR="003D02F2" w:rsidRPr="002A25EC" w:rsidRDefault="003D02F2" w:rsidP="009C42E6">
            <w:pPr>
              <w:jc w:val="center"/>
              <w:rPr>
                <w:rFonts w:cs="Times New Roman"/>
                <w:sz w:val="20"/>
                <w:szCs w:val="20"/>
              </w:rPr>
            </w:pPr>
            <w:r w:rsidRPr="002A25EC">
              <w:rPr>
                <w:rFonts w:cs="Times New Roman"/>
                <w:sz w:val="20"/>
                <w:szCs w:val="20"/>
              </w:rPr>
              <w:t>8 (11.9)</w:t>
            </w:r>
          </w:p>
        </w:tc>
        <w:tc>
          <w:tcPr>
            <w:tcW w:w="992" w:type="dxa"/>
          </w:tcPr>
          <w:p w14:paraId="6F2E5E14" w14:textId="77777777" w:rsidR="003D02F2" w:rsidRPr="002A25EC" w:rsidRDefault="003D02F2" w:rsidP="009C42E6">
            <w:pPr>
              <w:jc w:val="center"/>
              <w:rPr>
                <w:rFonts w:cs="Times New Roman"/>
                <w:sz w:val="20"/>
                <w:szCs w:val="20"/>
              </w:rPr>
            </w:pPr>
            <w:r w:rsidRPr="002A25EC">
              <w:rPr>
                <w:rFonts w:cs="Times New Roman"/>
                <w:sz w:val="20"/>
                <w:szCs w:val="20"/>
              </w:rPr>
              <w:t>0</w:t>
            </w:r>
          </w:p>
        </w:tc>
      </w:tr>
      <w:tr w:rsidR="003D02F2" w:rsidRPr="002A25EC" w14:paraId="3001082B" w14:textId="77777777" w:rsidTr="5FFA413C">
        <w:tc>
          <w:tcPr>
            <w:tcW w:w="2689" w:type="dxa"/>
          </w:tcPr>
          <w:p w14:paraId="76E448DE" w14:textId="77777777" w:rsidR="003D02F2" w:rsidRPr="002A25EC" w:rsidRDefault="003D02F2" w:rsidP="009C42E6">
            <w:pPr>
              <w:rPr>
                <w:rFonts w:cs="Times New Roman"/>
                <w:sz w:val="20"/>
                <w:szCs w:val="20"/>
              </w:rPr>
            </w:pPr>
            <w:r w:rsidRPr="002A25EC">
              <w:rPr>
                <w:rFonts w:cs="Times New Roman"/>
                <w:sz w:val="20"/>
                <w:szCs w:val="20"/>
              </w:rPr>
              <w:t>Hyperuricaemia</w:t>
            </w:r>
          </w:p>
        </w:tc>
        <w:tc>
          <w:tcPr>
            <w:tcW w:w="1134" w:type="dxa"/>
          </w:tcPr>
          <w:p w14:paraId="2ECC72C5" w14:textId="77777777" w:rsidR="003D02F2" w:rsidRPr="002A25EC" w:rsidRDefault="003D02F2" w:rsidP="009C42E6">
            <w:pPr>
              <w:jc w:val="center"/>
              <w:rPr>
                <w:rFonts w:cs="Times New Roman"/>
                <w:sz w:val="20"/>
                <w:szCs w:val="20"/>
              </w:rPr>
            </w:pPr>
            <w:r w:rsidRPr="002A25EC">
              <w:rPr>
                <w:rFonts w:cs="Times New Roman"/>
                <w:sz w:val="20"/>
                <w:szCs w:val="20"/>
              </w:rPr>
              <w:t>24 (5.0)</w:t>
            </w:r>
          </w:p>
        </w:tc>
        <w:tc>
          <w:tcPr>
            <w:tcW w:w="992" w:type="dxa"/>
          </w:tcPr>
          <w:p w14:paraId="745BCECC" w14:textId="77777777" w:rsidR="003D02F2" w:rsidRPr="002A25EC" w:rsidRDefault="003D02F2" w:rsidP="009C42E6">
            <w:pPr>
              <w:jc w:val="center"/>
              <w:rPr>
                <w:rFonts w:cs="Times New Roman"/>
                <w:sz w:val="20"/>
                <w:szCs w:val="20"/>
              </w:rPr>
            </w:pPr>
            <w:r w:rsidRPr="002A25EC">
              <w:rPr>
                <w:rFonts w:cs="Times New Roman"/>
                <w:sz w:val="20"/>
                <w:szCs w:val="20"/>
              </w:rPr>
              <w:t>2 (0.4)</w:t>
            </w:r>
          </w:p>
        </w:tc>
        <w:tc>
          <w:tcPr>
            <w:tcW w:w="1134" w:type="dxa"/>
          </w:tcPr>
          <w:p w14:paraId="01196325" w14:textId="77777777" w:rsidR="003D02F2" w:rsidRPr="002A25EC" w:rsidRDefault="003D02F2" w:rsidP="009C42E6">
            <w:pPr>
              <w:jc w:val="center"/>
              <w:rPr>
                <w:rFonts w:cs="Times New Roman"/>
                <w:sz w:val="20"/>
                <w:szCs w:val="20"/>
              </w:rPr>
            </w:pPr>
            <w:r w:rsidRPr="002A25EC">
              <w:rPr>
                <w:rFonts w:cs="Times New Roman"/>
                <w:sz w:val="20"/>
                <w:szCs w:val="20"/>
              </w:rPr>
              <w:t>4 (4.2)</w:t>
            </w:r>
          </w:p>
        </w:tc>
        <w:tc>
          <w:tcPr>
            <w:tcW w:w="992" w:type="dxa"/>
          </w:tcPr>
          <w:p w14:paraId="45FD3FCF" w14:textId="77777777" w:rsidR="003D02F2" w:rsidRPr="002A25EC" w:rsidRDefault="003D02F2" w:rsidP="009C42E6">
            <w:pPr>
              <w:jc w:val="center"/>
              <w:rPr>
                <w:rFonts w:cs="Times New Roman"/>
                <w:sz w:val="20"/>
                <w:szCs w:val="20"/>
              </w:rPr>
            </w:pPr>
            <w:r w:rsidRPr="002A25EC">
              <w:rPr>
                <w:rFonts w:cs="Times New Roman"/>
                <w:sz w:val="20"/>
                <w:szCs w:val="20"/>
              </w:rPr>
              <w:t>1 (1.1)</w:t>
            </w:r>
          </w:p>
        </w:tc>
        <w:tc>
          <w:tcPr>
            <w:tcW w:w="1134" w:type="dxa"/>
          </w:tcPr>
          <w:p w14:paraId="1F85B8FA" w14:textId="77777777" w:rsidR="003D02F2" w:rsidRPr="002A25EC" w:rsidRDefault="003D02F2" w:rsidP="009C42E6">
            <w:pPr>
              <w:jc w:val="center"/>
              <w:rPr>
                <w:rFonts w:cs="Times New Roman"/>
                <w:sz w:val="20"/>
                <w:szCs w:val="20"/>
              </w:rPr>
            </w:pPr>
            <w:r w:rsidRPr="002A25EC">
              <w:rPr>
                <w:rFonts w:cs="Times New Roman"/>
                <w:sz w:val="20"/>
                <w:szCs w:val="20"/>
              </w:rPr>
              <w:t>1 (1.5)</w:t>
            </w:r>
          </w:p>
        </w:tc>
        <w:tc>
          <w:tcPr>
            <w:tcW w:w="992" w:type="dxa"/>
          </w:tcPr>
          <w:p w14:paraId="6816066A" w14:textId="77777777" w:rsidR="003D02F2" w:rsidRPr="002A25EC" w:rsidRDefault="003D02F2" w:rsidP="009C42E6">
            <w:pPr>
              <w:jc w:val="center"/>
              <w:rPr>
                <w:rFonts w:cs="Times New Roman"/>
                <w:sz w:val="20"/>
                <w:szCs w:val="20"/>
              </w:rPr>
            </w:pPr>
            <w:r w:rsidRPr="002A25EC">
              <w:rPr>
                <w:rFonts w:cs="Times New Roman"/>
                <w:sz w:val="20"/>
                <w:szCs w:val="20"/>
              </w:rPr>
              <w:t>1 (1.5)</w:t>
            </w:r>
          </w:p>
        </w:tc>
      </w:tr>
      <w:tr w:rsidR="003D02F2" w:rsidRPr="002A25EC" w14:paraId="3A6FE23D" w14:textId="77777777" w:rsidTr="5FFA413C">
        <w:tc>
          <w:tcPr>
            <w:tcW w:w="9067" w:type="dxa"/>
            <w:gridSpan w:val="7"/>
          </w:tcPr>
          <w:p w14:paraId="32A33689" w14:textId="77777777" w:rsidR="003D02F2" w:rsidRPr="002A25EC" w:rsidRDefault="003D02F2" w:rsidP="009C42E6">
            <w:pPr>
              <w:rPr>
                <w:rFonts w:cs="Times New Roman"/>
                <w:b/>
                <w:bCs/>
                <w:sz w:val="20"/>
                <w:szCs w:val="20"/>
              </w:rPr>
            </w:pPr>
            <w:r w:rsidRPr="002A25EC">
              <w:rPr>
                <w:rFonts w:cs="Times New Roman"/>
                <w:b/>
                <w:bCs/>
                <w:sz w:val="20"/>
                <w:szCs w:val="20"/>
              </w:rPr>
              <w:t>Musculoskeletal and connective tissue disorders</w:t>
            </w:r>
          </w:p>
        </w:tc>
      </w:tr>
      <w:tr w:rsidR="003D02F2" w:rsidRPr="002A25EC" w14:paraId="698887B0" w14:textId="77777777" w:rsidTr="5FFA413C">
        <w:tc>
          <w:tcPr>
            <w:tcW w:w="2689" w:type="dxa"/>
          </w:tcPr>
          <w:p w14:paraId="71470809" w14:textId="77777777" w:rsidR="003D02F2" w:rsidRPr="002A25EC" w:rsidRDefault="003D02F2" w:rsidP="009C42E6">
            <w:pPr>
              <w:rPr>
                <w:rFonts w:cs="Times New Roman"/>
                <w:sz w:val="20"/>
                <w:szCs w:val="20"/>
              </w:rPr>
            </w:pPr>
            <w:r w:rsidRPr="002A25EC">
              <w:rPr>
                <w:rFonts w:cs="Times New Roman"/>
                <w:sz w:val="20"/>
                <w:szCs w:val="20"/>
              </w:rPr>
              <w:t>Muscle spasms</w:t>
            </w:r>
          </w:p>
        </w:tc>
        <w:tc>
          <w:tcPr>
            <w:tcW w:w="1134" w:type="dxa"/>
          </w:tcPr>
          <w:p w14:paraId="4D0C4538" w14:textId="77777777" w:rsidR="003D02F2" w:rsidRPr="002A25EC" w:rsidRDefault="003D02F2" w:rsidP="009C42E6">
            <w:pPr>
              <w:jc w:val="center"/>
              <w:rPr>
                <w:rFonts w:cs="Times New Roman"/>
                <w:sz w:val="20"/>
                <w:szCs w:val="20"/>
              </w:rPr>
            </w:pPr>
            <w:r w:rsidRPr="002A25EC">
              <w:rPr>
                <w:rFonts w:cs="Times New Roman"/>
                <w:sz w:val="20"/>
                <w:szCs w:val="20"/>
              </w:rPr>
              <w:t>32 (6.6)</w:t>
            </w:r>
          </w:p>
        </w:tc>
        <w:tc>
          <w:tcPr>
            <w:tcW w:w="992" w:type="dxa"/>
          </w:tcPr>
          <w:p w14:paraId="6AC84A3C"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1134" w:type="dxa"/>
          </w:tcPr>
          <w:p w14:paraId="20D4D849" w14:textId="77777777" w:rsidR="003D02F2" w:rsidRPr="002A25EC" w:rsidRDefault="003D02F2" w:rsidP="009C42E6">
            <w:pPr>
              <w:jc w:val="center"/>
              <w:rPr>
                <w:rFonts w:cs="Times New Roman"/>
                <w:sz w:val="20"/>
                <w:szCs w:val="20"/>
              </w:rPr>
            </w:pPr>
            <w:r w:rsidRPr="002A25EC">
              <w:rPr>
                <w:rFonts w:cs="Times New Roman"/>
                <w:sz w:val="20"/>
                <w:szCs w:val="20"/>
              </w:rPr>
              <w:t>1 (1.1)</w:t>
            </w:r>
          </w:p>
        </w:tc>
        <w:tc>
          <w:tcPr>
            <w:tcW w:w="992" w:type="dxa"/>
          </w:tcPr>
          <w:p w14:paraId="207A1EFF"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1134" w:type="dxa"/>
          </w:tcPr>
          <w:p w14:paraId="0803D224" w14:textId="77777777" w:rsidR="003D02F2" w:rsidRPr="002A25EC" w:rsidRDefault="003D02F2" w:rsidP="009C42E6">
            <w:pPr>
              <w:jc w:val="center"/>
              <w:rPr>
                <w:rFonts w:cs="Times New Roman"/>
                <w:sz w:val="20"/>
                <w:szCs w:val="20"/>
              </w:rPr>
            </w:pPr>
            <w:r w:rsidRPr="002A25EC">
              <w:rPr>
                <w:rFonts w:cs="Times New Roman"/>
                <w:sz w:val="20"/>
                <w:szCs w:val="20"/>
              </w:rPr>
              <w:t>4 (6.0)</w:t>
            </w:r>
          </w:p>
        </w:tc>
        <w:tc>
          <w:tcPr>
            <w:tcW w:w="992" w:type="dxa"/>
          </w:tcPr>
          <w:p w14:paraId="15A156B8" w14:textId="77777777" w:rsidR="003D02F2" w:rsidRPr="002A25EC" w:rsidRDefault="003D02F2" w:rsidP="009C42E6">
            <w:pPr>
              <w:jc w:val="center"/>
              <w:rPr>
                <w:rFonts w:cs="Times New Roman"/>
                <w:sz w:val="20"/>
                <w:szCs w:val="20"/>
              </w:rPr>
            </w:pPr>
            <w:r w:rsidRPr="002A25EC">
              <w:rPr>
                <w:rFonts w:cs="Times New Roman"/>
                <w:sz w:val="20"/>
                <w:szCs w:val="20"/>
              </w:rPr>
              <w:t>0</w:t>
            </w:r>
          </w:p>
        </w:tc>
      </w:tr>
      <w:tr w:rsidR="003D02F2" w:rsidRPr="002A25EC" w14:paraId="336190E6" w14:textId="77777777" w:rsidTr="5FFA413C">
        <w:tc>
          <w:tcPr>
            <w:tcW w:w="2689" w:type="dxa"/>
          </w:tcPr>
          <w:p w14:paraId="35CA69A4" w14:textId="77777777" w:rsidR="003D02F2" w:rsidRPr="002A25EC" w:rsidRDefault="003D02F2" w:rsidP="009C42E6">
            <w:pPr>
              <w:rPr>
                <w:rFonts w:cs="Times New Roman"/>
                <w:sz w:val="20"/>
                <w:szCs w:val="20"/>
              </w:rPr>
            </w:pPr>
            <w:r w:rsidRPr="002A25EC">
              <w:rPr>
                <w:rFonts w:cs="Times New Roman"/>
                <w:sz w:val="20"/>
                <w:szCs w:val="20"/>
              </w:rPr>
              <w:t>Pain in extremity</w:t>
            </w:r>
          </w:p>
        </w:tc>
        <w:tc>
          <w:tcPr>
            <w:tcW w:w="1134" w:type="dxa"/>
          </w:tcPr>
          <w:p w14:paraId="31439856" w14:textId="77777777" w:rsidR="003D02F2" w:rsidRPr="002A25EC" w:rsidRDefault="003D02F2" w:rsidP="009C42E6">
            <w:pPr>
              <w:jc w:val="center"/>
              <w:rPr>
                <w:rFonts w:cs="Times New Roman"/>
                <w:sz w:val="20"/>
                <w:szCs w:val="20"/>
              </w:rPr>
            </w:pPr>
            <w:r w:rsidRPr="002A25EC">
              <w:rPr>
                <w:rFonts w:cs="Times New Roman"/>
                <w:sz w:val="20"/>
                <w:szCs w:val="20"/>
              </w:rPr>
              <w:t>28 (5.8)</w:t>
            </w:r>
          </w:p>
        </w:tc>
        <w:tc>
          <w:tcPr>
            <w:tcW w:w="992" w:type="dxa"/>
          </w:tcPr>
          <w:p w14:paraId="0937FA54"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1134" w:type="dxa"/>
          </w:tcPr>
          <w:p w14:paraId="438B2F3F" w14:textId="77777777" w:rsidR="003D02F2" w:rsidRPr="002A25EC" w:rsidRDefault="003D02F2" w:rsidP="009C42E6">
            <w:pPr>
              <w:jc w:val="center"/>
              <w:rPr>
                <w:rFonts w:cs="Times New Roman"/>
                <w:sz w:val="20"/>
                <w:szCs w:val="20"/>
              </w:rPr>
            </w:pPr>
            <w:r w:rsidRPr="002A25EC">
              <w:rPr>
                <w:rFonts w:cs="Times New Roman"/>
                <w:sz w:val="20"/>
                <w:szCs w:val="20"/>
              </w:rPr>
              <w:t>4 (4.2)</w:t>
            </w:r>
          </w:p>
        </w:tc>
        <w:tc>
          <w:tcPr>
            <w:tcW w:w="992" w:type="dxa"/>
          </w:tcPr>
          <w:p w14:paraId="4DA06FB5"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1134" w:type="dxa"/>
          </w:tcPr>
          <w:p w14:paraId="1EEA5B35"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992" w:type="dxa"/>
          </w:tcPr>
          <w:p w14:paraId="1FB9BBAD" w14:textId="77777777" w:rsidR="003D02F2" w:rsidRPr="002A25EC" w:rsidRDefault="003D02F2" w:rsidP="009C42E6">
            <w:pPr>
              <w:jc w:val="center"/>
              <w:rPr>
                <w:rFonts w:cs="Times New Roman"/>
                <w:sz w:val="20"/>
                <w:szCs w:val="20"/>
              </w:rPr>
            </w:pPr>
            <w:r w:rsidRPr="002A25EC">
              <w:rPr>
                <w:rFonts w:cs="Times New Roman"/>
                <w:sz w:val="20"/>
                <w:szCs w:val="20"/>
              </w:rPr>
              <w:t>0</w:t>
            </w:r>
          </w:p>
        </w:tc>
      </w:tr>
      <w:tr w:rsidR="003D02F2" w:rsidRPr="002A25EC" w14:paraId="6FCDE061" w14:textId="77777777" w:rsidTr="5FFA413C">
        <w:tc>
          <w:tcPr>
            <w:tcW w:w="2689" w:type="dxa"/>
          </w:tcPr>
          <w:p w14:paraId="4100921C" w14:textId="77777777" w:rsidR="003D02F2" w:rsidRPr="002A25EC" w:rsidRDefault="003D02F2" w:rsidP="009C42E6">
            <w:pPr>
              <w:rPr>
                <w:rFonts w:cs="Times New Roman"/>
                <w:sz w:val="20"/>
                <w:szCs w:val="20"/>
              </w:rPr>
            </w:pPr>
            <w:r w:rsidRPr="002A25EC">
              <w:rPr>
                <w:rFonts w:cs="Times New Roman"/>
                <w:sz w:val="20"/>
                <w:szCs w:val="20"/>
              </w:rPr>
              <w:t xml:space="preserve">Arthralgia </w:t>
            </w:r>
          </w:p>
        </w:tc>
        <w:tc>
          <w:tcPr>
            <w:tcW w:w="1134" w:type="dxa"/>
          </w:tcPr>
          <w:p w14:paraId="4DF20BBF" w14:textId="77777777" w:rsidR="003D02F2" w:rsidRPr="002A25EC" w:rsidRDefault="003D02F2" w:rsidP="009C42E6">
            <w:pPr>
              <w:jc w:val="center"/>
              <w:rPr>
                <w:rFonts w:cs="Times New Roman"/>
                <w:sz w:val="20"/>
                <w:szCs w:val="20"/>
              </w:rPr>
            </w:pPr>
            <w:r w:rsidRPr="002A25EC">
              <w:rPr>
                <w:rFonts w:cs="Times New Roman"/>
                <w:sz w:val="20"/>
                <w:szCs w:val="20"/>
              </w:rPr>
              <w:t>24 (5.0)</w:t>
            </w:r>
          </w:p>
        </w:tc>
        <w:tc>
          <w:tcPr>
            <w:tcW w:w="992" w:type="dxa"/>
          </w:tcPr>
          <w:p w14:paraId="59B9747A"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1134" w:type="dxa"/>
          </w:tcPr>
          <w:p w14:paraId="3AB66136" w14:textId="77777777" w:rsidR="003D02F2" w:rsidRPr="002A25EC" w:rsidRDefault="003D02F2" w:rsidP="009C42E6">
            <w:pPr>
              <w:jc w:val="center"/>
              <w:rPr>
                <w:rFonts w:cs="Times New Roman"/>
                <w:sz w:val="20"/>
                <w:szCs w:val="20"/>
              </w:rPr>
            </w:pPr>
            <w:r w:rsidRPr="002A25EC">
              <w:rPr>
                <w:rFonts w:cs="Times New Roman"/>
                <w:sz w:val="20"/>
                <w:szCs w:val="20"/>
              </w:rPr>
              <w:t>6 (6.3)</w:t>
            </w:r>
          </w:p>
        </w:tc>
        <w:tc>
          <w:tcPr>
            <w:tcW w:w="992" w:type="dxa"/>
          </w:tcPr>
          <w:p w14:paraId="01BC15E2" w14:textId="77777777" w:rsidR="003D02F2" w:rsidRPr="002A25EC" w:rsidRDefault="003D02F2" w:rsidP="009C42E6">
            <w:pPr>
              <w:jc w:val="center"/>
              <w:rPr>
                <w:rFonts w:cs="Times New Roman"/>
                <w:sz w:val="20"/>
                <w:szCs w:val="20"/>
              </w:rPr>
            </w:pPr>
            <w:r w:rsidRPr="002A25EC">
              <w:rPr>
                <w:rFonts w:cs="Times New Roman"/>
                <w:sz w:val="20"/>
                <w:szCs w:val="20"/>
              </w:rPr>
              <w:t>1 (1.1)</w:t>
            </w:r>
          </w:p>
        </w:tc>
        <w:tc>
          <w:tcPr>
            <w:tcW w:w="1134" w:type="dxa"/>
          </w:tcPr>
          <w:p w14:paraId="27A03A99" w14:textId="77777777" w:rsidR="003D02F2" w:rsidRPr="002A25EC" w:rsidRDefault="003D02F2" w:rsidP="009C42E6">
            <w:pPr>
              <w:jc w:val="center"/>
              <w:rPr>
                <w:rFonts w:cs="Times New Roman"/>
                <w:sz w:val="20"/>
                <w:szCs w:val="20"/>
              </w:rPr>
            </w:pPr>
            <w:r w:rsidRPr="002A25EC">
              <w:rPr>
                <w:rFonts w:cs="Times New Roman"/>
                <w:sz w:val="20"/>
                <w:szCs w:val="20"/>
              </w:rPr>
              <w:t>3 (4.5)</w:t>
            </w:r>
          </w:p>
        </w:tc>
        <w:tc>
          <w:tcPr>
            <w:tcW w:w="992" w:type="dxa"/>
          </w:tcPr>
          <w:p w14:paraId="48F4BB9A" w14:textId="77777777" w:rsidR="003D02F2" w:rsidRPr="002A25EC" w:rsidRDefault="003D02F2" w:rsidP="009C42E6">
            <w:pPr>
              <w:jc w:val="center"/>
              <w:rPr>
                <w:rFonts w:cs="Times New Roman"/>
                <w:sz w:val="20"/>
                <w:szCs w:val="20"/>
              </w:rPr>
            </w:pPr>
            <w:r w:rsidRPr="002A25EC">
              <w:rPr>
                <w:rFonts w:cs="Times New Roman"/>
                <w:sz w:val="20"/>
                <w:szCs w:val="20"/>
              </w:rPr>
              <w:t>1 (1.5)</w:t>
            </w:r>
          </w:p>
        </w:tc>
      </w:tr>
      <w:tr w:rsidR="003D02F2" w:rsidRPr="002A25EC" w14:paraId="1E837C2E" w14:textId="77777777" w:rsidTr="5FFA413C">
        <w:tc>
          <w:tcPr>
            <w:tcW w:w="2689" w:type="dxa"/>
          </w:tcPr>
          <w:p w14:paraId="4825D67C" w14:textId="77777777" w:rsidR="003D02F2" w:rsidRPr="002A25EC" w:rsidRDefault="003D02F2" w:rsidP="009C42E6">
            <w:pPr>
              <w:rPr>
                <w:rFonts w:cs="Times New Roman"/>
                <w:sz w:val="20"/>
                <w:szCs w:val="20"/>
              </w:rPr>
            </w:pPr>
            <w:r w:rsidRPr="002A25EC">
              <w:rPr>
                <w:rFonts w:cs="Times New Roman"/>
                <w:sz w:val="20"/>
                <w:szCs w:val="20"/>
              </w:rPr>
              <w:t>Bone pain</w:t>
            </w:r>
          </w:p>
        </w:tc>
        <w:tc>
          <w:tcPr>
            <w:tcW w:w="1134" w:type="dxa"/>
          </w:tcPr>
          <w:p w14:paraId="6EA22697" w14:textId="77777777" w:rsidR="003D02F2" w:rsidRPr="002A25EC" w:rsidRDefault="003D02F2" w:rsidP="009C42E6">
            <w:pPr>
              <w:jc w:val="center"/>
              <w:rPr>
                <w:rFonts w:cs="Times New Roman"/>
                <w:sz w:val="20"/>
                <w:szCs w:val="20"/>
              </w:rPr>
            </w:pPr>
            <w:r w:rsidRPr="002A25EC">
              <w:rPr>
                <w:rFonts w:cs="Times New Roman"/>
                <w:sz w:val="20"/>
                <w:szCs w:val="20"/>
              </w:rPr>
              <w:t>24 (5.0)</w:t>
            </w:r>
          </w:p>
        </w:tc>
        <w:tc>
          <w:tcPr>
            <w:tcW w:w="992" w:type="dxa"/>
          </w:tcPr>
          <w:p w14:paraId="5DAF5D00" w14:textId="77777777" w:rsidR="003D02F2" w:rsidRPr="002A25EC" w:rsidRDefault="003D02F2" w:rsidP="009C42E6">
            <w:pPr>
              <w:jc w:val="center"/>
              <w:rPr>
                <w:rFonts w:cs="Times New Roman"/>
                <w:sz w:val="20"/>
                <w:szCs w:val="20"/>
              </w:rPr>
            </w:pPr>
            <w:r w:rsidRPr="002A25EC">
              <w:rPr>
                <w:rFonts w:cs="Times New Roman"/>
                <w:sz w:val="20"/>
                <w:szCs w:val="20"/>
              </w:rPr>
              <w:t>1 (0.2)</w:t>
            </w:r>
          </w:p>
        </w:tc>
        <w:tc>
          <w:tcPr>
            <w:tcW w:w="1134" w:type="dxa"/>
          </w:tcPr>
          <w:p w14:paraId="2B8FA371" w14:textId="77777777" w:rsidR="003D02F2" w:rsidRPr="002A25EC" w:rsidRDefault="003D02F2" w:rsidP="009C42E6">
            <w:pPr>
              <w:jc w:val="center"/>
              <w:rPr>
                <w:rFonts w:cs="Times New Roman"/>
                <w:sz w:val="20"/>
                <w:szCs w:val="20"/>
              </w:rPr>
            </w:pPr>
            <w:r w:rsidRPr="002A25EC">
              <w:rPr>
                <w:rFonts w:cs="Times New Roman"/>
                <w:sz w:val="20"/>
                <w:szCs w:val="20"/>
              </w:rPr>
              <w:t>2 (2.1)</w:t>
            </w:r>
          </w:p>
        </w:tc>
        <w:tc>
          <w:tcPr>
            <w:tcW w:w="992" w:type="dxa"/>
          </w:tcPr>
          <w:p w14:paraId="407DE2BE"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1134" w:type="dxa"/>
          </w:tcPr>
          <w:p w14:paraId="387071CF" w14:textId="77777777" w:rsidR="003D02F2" w:rsidRPr="002A25EC" w:rsidRDefault="003D02F2" w:rsidP="009C42E6">
            <w:pPr>
              <w:jc w:val="center"/>
              <w:rPr>
                <w:rFonts w:cs="Times New Roman"/>
                <w:sz w:val="20"/>
                <w:szCs w:val="20"/>
              </w:rPr>
            </w:pPr>
            <w:r w:rsidRPr="002A25EC">
              <w:rPr>
                <w:rFonts w:cs="Times New Roman"/>
                <w:sz w:val="20"/>
                <w:szCs w:val="20"/>
              </w:rPr>
              <w:t>4 (6.0)</w:t>
            </w:r>
          </w:p>
        </w:tc>
        <w:tc>
          <w:tcPr>
            <w:tcW w:w="992" w:type="dxa"/>
          </w:tcPr>
          <w:p w14:paraId="4CCAE36C" w14:textId="77777777" w:rsidR="003D02F2" w:rsidRPr="002A25EC" w:rsidRDefault="003D02F2" w:rsidP="009C42E6">
            <w:pPr>
              <w:jc w:val="center"/>
              <w:rPr>
                <w:rFonts w:cs="Times New Roman"/>
                <w:sz w:val="20"/>
                <w:szCs w:val="20"/>
              </w:rPr>
            </w:pPr>
            <w:r w:rsidRPr="002A25EC">
              <w:rPr>
                <w:rFonts w:cs="Times New Roman"/>
                <w:sz w:val="20"/>
                <w:szCs w:val="20"/>
              </w:rPr>
              <w:t>0</w:t>
            </w:r>
          </w:p>
        </w:tc>
      </w:tr>
      <w:tr w:rsidR="003D02F2" w:rsidRPr="002A25EC" w14:paraId="6781A07A" w14:textId="77777777" w:rsidTr="5FFA413C">
        <w:tc>
          <w:tcPr>
            <w:tcW w:w="9067" w:type="dxa"/>
            <w:gridSpan w:val="7"/>
          </w:tcPr>
          <w:p w14:paraId="353FB14D" w14:textId="77777777" w:rsidR="003D02F2" w:rsidRPr="002A25EC" w:rsidRDefault="003D02F2" w:rsidP="009C42E6">
            <w:pPr>
              <w:rPr>
                <w:rFonts w:cs="Times New Roman"/>
                <w:b/>
                <w:bCs/>
                <w:sz w:val="20"/>
                <w:szCs w:val="20"/>
              </w:rPr>
            </w:pPr>
            <w:r w:rsidRPr="002A25EC">
              <w:rPr>
                <w:rFonts w:cs="Times New Roman"/>
                <w:b/>
                <w:bCs/>
                <w:sz w:val="20"/>
                <w:szCs w:val="20"/>
              </w:rPr>
              <w:t>Nervous system disorders</w:t>
            </w:r>
          </w:p>
        </w:tc>
      </w:tr>
      <w:tr w:rsidR="003D02F2" w:rsidRPr="002A25EC" w14:paraId="2C05E196" w14:textId="77777777" w:rsidTr="5FFA413C">
        <w:tc>
          <w:tcPr>
            <w:tcW w:w="2689" w:type="dxa"/>
          </w:tcPr>
          <w:p w14:paraId="72F6496D" w14:textId="77777777" w:rsidR="003D02F2" w:rsidRPr="002A25EC" w:rsidRDefault="003D02F2" w:rsidP="009C42E6">
            <w:pPr>
              <w:rPr>
                <w:rFonts w:cs="Times New Roman"/>
                <w:sz w:val="20"/>
                <w:szCs w:val="20"/>
              </w:rPr>
            </w:pPr>
            <w:r w:rsidRPr="002A25EC">
              <w:rPr>
                <w:rFonts w:cs="Times New Roman"/>
                <w:sz w:val="20"/>
                <w:szCs w:val="20"/>
              </w:rPr>
              <w:t>Headache</w:t>
            </w:r>
          </w:p>
        </w:tc>
        <w:tc>
          <w:tcPr>
            <w:tcW w:w="1134" w:type="dxa"/>
          </w:tcPr>
          <w:p w14:paraId="6D6BC405" w14:textId="77777777" w:rsidR="003D02F2" w:rsidRPr="002A25EC" w:rsidRDefault="003D02F2" w:rsidP="009C42E6">
            <w:pPr>
              <w:jc w:val="center"/>
              <w:rPr>
                <w:rFonts w:cs="Times New Roman"/>
                <w:sz w:val="20"/>
                <w:szCs w:val="20"/>
              </w:rPr>
            </w:pPr>
            <w:r w:rsidRPr="002A25EC">
              <w:rPr>
                <w:rFonts w:cs="Times New Roman"/>
                <w:sz w:val="20"/>
                <w:szCs w:val="20"/>
              </w:rPr>
              <w:t>36 (7.4)</w:t>
            </w:r>
          </w:p>
        </w:tc>
        <w:tc>
          <w:tcPr>
            <w:tcW w:w="992" w:type="dxa"/>
          </w:tcPr>
          <w:p w14:paraId="5A4BE389" w14:textId="77777777" w:rsidR="003D02F2" w:rsidRPr="002A25EC" w:rsidRDefault="003D02F2" w:rsidP="009C42E6">
            <w:pPr>
              <w:jc w:val="center"/>
              <w:rPr>
                <w:rFonts w:cs="Times New Roman"/>
                <w:sz w:val="20"/>
                <w:szCs w:val="20"/>
              </w:rPr>
            </w:pPr>
            <w:r w:rsidRPr="002A25EC">
              <w:rPr>
                <w:rFonts w:cs="Times New Roman"/>
                <w:sz w:val="20"/>
                <w:szCs w:val="20"/>
              </w:rPr>
              <w:t>2 (0.4)</w:t>
            </w:r>
          </w:p>
        </w:tc>
        <w:tc>
          <w:tcPr>
            <w:tcW w:w="1134" w:type="dxa"/>
          </w:tcPr>
          <w:p w14:paraId="2C64D204" w14:textId="77777777" w:rsidR="003D02F2" w:rsidRPr="002A25EC" w:rsidRDefault="003D02F2" w:rsidP="009C42E6">
            <w:pPr>
              <w:jc w:val="center"/>
              <w:rPr>
                <w:rFonts w:cs="Times New Roman"/>
                <w:sz w:val="20"/>
                <w:szCs w:val="20"/>
              </w:rPr>
            </w:pPr>
            <w:r w:rsidRPr="002A25EC">
              <w:rPr>
                <w:rFonts w:cs="Times New Roman"/>
                <w:sz w:val="20"/>
                <w:szCs w:val="20"/>
              </w:rPr>
              <w:t>1 (1.1)</w:t>
            </w:r>
          </w:p>
        </w:tc>
        <w:tc>
          <w:tcPr>
            <w:tcW w:w="992" w:type="dxa"/>
          </w:tcPr>
          <w:p w14:paraId="32D9B5BA"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1134" w:type="dxa"/>
          </w:tcPr>
          <w:p w14:paraId="651D64FA" w14:textId="77777777" w:rsidR="003D02F2" w:rsidRPr="002A25EC" w:rsidRDefault="003D02F2" w:rsidP="009C42E6">
            <w:pPr>
              <w:jc w:val="center"/>
              <w:rPr>
                <w:rFonts w:cs="Times New Roman"/>
                <w:sz w:val="20"/>
                <w:szCs w:val="20"/>
              </w:rPr>
            </w:pPr>
            <w:r w:rsidRPr="002A25EC">
              <w:rPr>
                <w:rFonts w:cs="Times New Roman"/>
                <w:sz w:val="20"/>
                <w:szCs w:val="20"/>
              </w:rPr>
              <w:t>4 (6.0)</w:t>
            </w:r>
          </w:p>
        </w:tc>
        <w:tc>
          <w:tcPr>
            <w:tcW w:w="992" w:type="dxa"/>
          </w:tcPr>
          <w:p w14:paraId="33B7C4CE" w14:textId="77777777" w:rsidR="003D02F2" w:rsidRPr="002A25EC" w:rsidRDefault="003D02F2" w:rsidP="009C42E6">
            <w:pPr>
              <w:jc w:val="center"/>
              <w:rPr>
                <w:rFonts w:cs="Times New Roman"/>
                <w:sz w:val="20"/>
                <w:szCs w:val="20"/>
              </w:rPr>
            </w:pPr>
            <w:r w:rsidRPr="002A25EC">
              <w:rPr>
                <w:rFonts w:cs="Times New Roman"/>
                <w:sz w:val="20"/>
                <w:szCs w:val="20"/>
              </w:rPr>
              <w:t>0</w:t>
            </w:r>
          </w:p>
        </w:tc>
      </w:tr>
      <w:tr w:rsidR="003D02F2" w:rsidRPr="002A25EC" w14:paraId="11EDD56D" w14:textId="77777777" w:rsidTr="5FFA413C">
        <w:tc>
          <w:tcPr>
            <w:tcW w:w="2689" w:type="dxa"/>
          </w:tcPr>
          <w:p w14:paraId="78AC0DA8" w14:textId="77777777" w:rsidR="003D02F2" w:rsidRPr="002A25EC" w:rsidRDefault="003D02F2" w:rsidP="009C42E6">
            <w:pPr>
              <w:rPr>
                <w:rFonts w:cs="Times New Roman"/>
                <w:sz w:val="20"/>
                <w:szCs w:val="20"/>
              </w:rPr>
            </w:pPr>
            <w:r w:rsidRPr="002A25EC">
              <w:rPr>
                <w:rFonts w:cs="Times New Roman"/>
                <w:sz w:val="20"/>
                <w:szCs w:val="20"/>
              </w:rPr>
              <w:t>Dizziness</w:t>
            </w:r>
          </w:p>
        </w:tc>
        <w:tc>
          <w:tcPr>
            <w:tcW w:w="1134" w:type="dxa"/>
          </w:tcPr>
          <w:p w14:paraId="7B94E1E2" w14:textId="77777777" w:rsidR="003D02F2" w:rsidRPr="002A25EC" w:rsidRDefault="003D02F2" w:rsidP="009C42E6">
            <w:pPr>
              <w:jc w:val="center"/>
              <w:rPr>
                <w:rFonts w:cs="Times New Roman"/>
                <w:sz w:val="20"/>
                <w:szCs w:val="20"/>
              </w:rPr>
            </w:pPr>
            <w:r w:rsidRPr="002A25EC">
              <w:rPr>
                <w:rFonts w:cs="Times New Roman"/>
                <w:sz w:val="20"/>
                <w:szCs w:val="20"/>
              </w:rPr>
              <w:t>33 (6.8)</w:t>
            </w:r>
          </w:p>
        </w:tc>
        <w:tc>
          <w:tcPr>
            <w:tcW w:w="992" w:type="dxa"/>
          </w:tcPr>
          <w:p w14:paraId="19AAA50C"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1134" w:type="dxa"/>
          </w:tcPr>
          <w:p w14:paraId="428A8045" w14:textId="77777777" w:rsidR="003D02F2" w:rsidRPr="002A25EC" w:rsidRDefault="003D02F2" w:rsidP="009C42E6">
            <w:pPr>
              <w:jc w:val="center"/>
              <w:rPr>
                <w:rFonts w:cs="Times New Roman"/>
                <w:sz w:val="20"/>
                <w:szCs w:val="20"/>
              </w:rPr>
            </w:pPr>
            <w:r w:rsidRPr="002A25EC">
              <w:rPr>
                <w:rFonts w:cs="Times New Roman"/>
                <w:sz w:val="20"/>
                <w:szCs w:val="20"/>
              </w:rPr>
              <w:t>3 (3.2)</w:t>
            </w:r>
          </w:p>
        </w:tc>
        <w:tc>
          <w:tcPr>
            <w:tcW w:w="992" w:type="dxa"/>
          </w:tcPr>
          <w:p w14:paraId="5667B8C6"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1134" w:type="dxa"/>
          </w:tcPr>
          <w:p w14:paraId="6428585F" w14:textId="77777777" w:rsidR="003D02F2" w:rsidRPr="002A25EC" w:rsidRDefault="003D02F2" w:rsidP="009C42E6">
            <w:pPr>
              <w:jc w:val="center"/>
              <w:rPr>
                <w:rFonts w:cs="Times New Roman"/>
                <w:sz w:val="20"/>
                <w:szCs w:val="20"/>
              </w:rPr>
            </w:pPr>
            <w:r w:rsidRPr="002A25EC">
              <w:rPr>
                <w:rFonts w:cs="Times New Roman"/>
                <w:sz w:val="20"/>
                <w:szCs w:val="20"/>
              </w:rPr>
              <w:t>1 (1.5)</w:t>
            </w:r>
          </w:p>
        </w:tc>
        <w:tc>
          <w:tcPr>
            <w:tcW w:w="992" w:type="dxa"/>
          </w:tcPr>
          <w:p w14:paraId="7AD3298C" w14:textId="77777777" w:rsidR="003D02F2" w:rsidRPr="002A25EC" w:rsidRDefault="003D02F2" w:rsidP="009C42E6">
            <w:pPr>
              <w:jc w:val="center"/>
              <w:rPr>
                <w:rFonts w:cs="Times New Roman"/>
                <w:sz w:val="20"/>
                <w:szCs w:val="20"/>
              </w:rPr>
            </w:pPr>
            <w:r w:rsidRPr="002A25EC">
              <w:rPr>
                <w:rFonts w:cs="Times New Roman"/>
                <w:sz w:val="20"/>
                <w:szCs w:val="20"/>
              </w:rPr>
              <w:t>0</w:t>
            </w:r>
          </w:p>
        </w:tc>
      </w:tr>
      <w:tr w:rsidR="003D02F2" w:rsidRPr="002A25EC" w14:paraId="58E96CD5" w14:textId="77777777" w:rsidTr="5FFA413C">
        <w:tc>
          <w:tcPr>
            <w:tcW w:w="9067" w:type="dxa"/>
            <w:gridSpan w:val="7"/>
          </w:tcPr>
          <w:p w14:paraId="6C2169EC" w14:textId="77777777" w:rsidR="003D02F2" w:rsidRPr="002A25EC" w:rsidRDefault="003D02F2" w:rsidP="009C42E6">
            <w:pPr>
              <w:rPr>
                <w:rFonts w:cs="Times New Roman"/>
                <w:b/>
                <w:bCs/>
                <w:sz w:val="20"/>
                <w:szCs w:val="20"/>
              </w:rPr>
            </w:pPr>
            <w:r w:rsidRPr="002A25EC">
              <w:rPr>
                <w:rFonts w:cs="Times New Roman"/>
                <w:b/>
                <w:bCs/>
                <w:sz w:val="20"/>
                <w:szCs w:val="20"/>
              </w:rPr>
              <w:t>Respiratory, thoracic and mediastinal disorders</w:t>
            </w:r>
          </w:p>
        </w:tc>
      </w:tr>
      <w:tr w:rsidR="003D02F2" w:rsidRPr="002A25EC" w14:paraId="61C3CF00" w14:textId="77777777" w:rsidTr="5FFA413C">
        <w:tc>
          <w:tcPr>
            <w:tcW w:w="2689" w:type="dxa"/>
          </w:tcPr>
          <w:p w14:paraId="0E010904" w14:textId="77777777" w:rsidR="003D02F2" w:rsidRPr="002A25EC" w:rsidRDefault="003D02F2" w:rsidP="009C42E6">
            <w:pPr>
              <w:rPr>
                <w:rFonts w:cs="Times New Roman"/>
                <w:sz w:val="20"/>
                <w:szCs w:val="20"/>
              </w:rPr>
            </w:pPr>
            <w:r w:rsidRPr="002A25EC">
              <w:rPr>
                <w:rFonts w:cs="Times New Roman"/>
                <w:sz w:val="20"/>
                <w:szCs w:val="20"/>
              </w:rPr>
              <w:t>Dyspnoea</w:t>
            </w:r>
          </w:p>
        </w:tc>
        <w:tc>
          <w:tcPr>
            <w:tcW w:w="1134" w:type="dxa"/>
          </w:tcPr>
          <w:p w14:paraId="58C38591" w14:textId="77777777" w:rsidR="003D02F2" w:rsidRPr="002A25EC" w:rsidRDefault="003D02F2" w:rsidP="009C42E6">
            <w:pPr>
              <w:jc w:val="center"/>
              <w:rPr>
                <w:rFonts w:cs="Times New Roman"/>
                <w:sz w:val="20"/>
                <w:szCs w:val="20"/>
              </w:rPr>
            </w:pPr>
            <w:r w:rsidRPr="002A25EC">
              <w:rPr>
                <w:rFonts w:cs="Times New Roman"/>
                <w:sz w:val="20"/>
                <w:szCs w:val="20"/>
              </w:rPr>
              <w:t>42 (8.7)</w:t>
            </w:r>
          </w:p>
        </w:tc>
        <w:tc>
          <w:tcPr>
            <w:tcW w:w="992" w:type="dxa"/>
          </w:tcPr>
          <w:p w14:paraId="5FE7DE78" w14:textId="77777777" w:rsidR="003D02F2" w:rsidRPr="002A25EC" w:rsidRDefault="003D02F2" w:rsidP="009C42E6">
            <w:pPr>
              <w:jc w:val="center"/>
              <w:rPr>
                <w:rFonts w:cs="Times New Roman"/>
                <w:sz w:val="20"/>
                <w:szCs w:val="20"/>
              </w:rPr>
            </w:pPr>
            <w:r w:rsidRPr="002A25EC">
              <w:rPr>
                <w:rFonts w:cs="Times New Roman"/>
                <w:sz w:val="20"/>
                <w:szCs w:val="20"/>
              </w:rPr>
              <w:t>4 (0.8)</w:t>
            </w:r>
          </w:p>
        </w:tc>
        <w:tc>
          <w:tcPr>
            <w:tcW w:w="1134" w:type="dxa"/>
          </w:tcPr>
          <w:p w14:paraId="5D4E96C8" w14:textId="77777777" w:rsidR="003D02F2" w:rsidRPr="002A25EC" w:rsidRDefault="003D02F2" w:rsidP="009C42E6">
            <w:pPr>
              <w:jc w:val="center"/>
              <w:rPr>
                <w:rFonts w:cs="Times New Roman"/>
                <w:sz w:val="20"/>
                <w:szCs w:val="20"/>
              </w:rPr>
            </w:pPr>
            <w:r w:rsidRPr="002A25EC">
              <w:rPr>
                <w:rFonts w:cs="Times New Roman"/>
                <w:sz w:val="20"/>
                <w:szCs w:val="20"/>
              </w:rPr>
              <w:t>6 (6.3)</w:t>
            </w:r>
          </w:p>
        </w:tc>
        <w:tc>
          <w:tcPr>
            <w:tcW w:w="992" w:type="dxa"/>
          </w:tcPr>
          <w:p w14:paraId="2AFB53CB" w14:textId="77777777" w:rsidR="003D02F2" w:rsidRPr="002A25EC" w:rsidRDefault="003D02F2" w:rsidP="009C42E6">
            <w:pPr>
              <w:jc w:val="center"/>
              <w:rPr>
                <w:rFonts w:cs="Times New Roman"/>
                <w:sz w:val="20"/>
                <w:szCs w:val="20"/>
              </w:rPr>
            </w:pPr>
            <w:r w:rsidRPr="002A25EC">
              <w:rPr>
                <w:rFonts w:cs="Times New Roman"/>
                <w:sz w:val="20"/>
                <w:szCs w:val="20"/>
              </w:rPr>
              <w:t>2 (2.1)</w:t>
            </w:r>
          </w:p>
        </w:tc>
        <w:tc>
          <w:tcPr>
            <w:tcW w:w="1134" w:type="dxa"/>
          </w:tcPr>
          <w:p w14:paraId="06CA641F" w14:textId="77777777" w:rsidR="003D02F2" w:rsidRPr="002A25EC" w:rsidRDefault="003D02F2" w:rsidP="009C42E6">
            <w:pPr>
              <w:jc w:val="center"/>
              <w:rPr>
                <w:rFonts w:cs="Times New Roman"/>
                <w:sz w:val="20"/>
                <w:szCs w:val="20"/>
              </w:rPr>
            </w:pPr>
            <w:r w:rsidRPr="002A25EC">
              <w:rPr>
                <w:rFonts w:cs="Times New Roman"/>
                <w:sz w:val="20"/>
                <w:szCs w:val="20"/>
              </w:rPr>
              <w:t>3 (4.5)</w:t>
            </w:r>
          </w:p>
        </w:tc>
        <w:tc>
          <w:tcPr>
            <w:tcW w:w="992" w:type="dxa"/>
          </w:tcPr>
          <w:p w14:paraId="1D6FB6C8" w14:textId="77777777" w:rsidR="003D02F2" w:rsidRPr="002A25EC" w:rsidRDefault="003D02F2" w:rsidP="009C42E6">
            <w:pPr>
              <w:jc w:val="center"/>
              <w:rPr>
                <w:rFonts w:cs="Times New Roman"/>
                <w:sz w:val="20"/>
                <w:szCs w:val="20"/>
              </w:rPr>
            </w:pPr>
            <w:r w:rsidRPr="002A25EC">
              <w:rPr>
                <w:rFonts w:cs="Times New Roman"/>
                <w:sz w:val="20"/>
                <w:szCs w:val="20"/>
              </w:rPr>
              <w:t>0</w:t>
            </w:r>
          </w:p>
        </w:tc>
      </w:tr>
      <w:tr w:rsidR="003D02F2" w:rsidRPr="002A25EC" w14:paraId="1E68568F" w14:textId="77777777" w:rsidTr="5FFA413C">
        <w:tc>
          <w:tcPr>
            <w:tcW w:w="2689" w:type="dxa"/>
          </w:tcPr>
          <w:p w14:paraId="2FE9239E" w14:textId="77777777" w:rsidR="003D02F2" w:rsidRPr="002A25EC" w:rsidRDefault="003D02F2" w:rsidP="009C42E6">
            <w:pPr>
              <w:rPr>
                <w:rFonts w:cs="Times New Roman"/>
                <w:sz w:val="20"/>
                <w:szCs w:val="20"/>
              </w:rPr>
            </w:pPr>
            <w:r w:rsidRPr="002A25EC">
              <w:rPr>
                <w:rFonts w:cs="Times New Roman"/>
                <w:sz w:val="20"/>
                <w:szCs w:val="20"/>
              </w:rPr>
              <w:t>Cough</w:t>
            </w:r>
          </w:p>
        </w:tc>
        <w:tc>
          <w:tcPr>
            <w:tcW w:w="1134" w:type="dxa"/>
          </w:tcPr>
          <w:p w14:paraId="1E083E77" w14:textId="77777777" w:rsidR="003D02F2" w:rsidRPr="002A25EC" w:rsidRDefault="003D02F2" w:rsidP="009C42E6">
            <w:pPr>
              <w:jc w:val="center"/>
              <w:rPr>
                <w:rFonts w:cs="Times New Roman"/>
                <w:sz w:val="20"/>
                <w:szCs w:val="20"/>
              </w:rPr>
            </w:pPr>
            <w:r w:rsidRPr="002A25EC">
              <w:rPr>
                <w:rFonts w:cs="Times New Roman"/>
                <w:sz w:val="20"/>
                <w:szCs w:val="20"/>
              </w:rPr>
              <w:t>39 (8.1)</w:t>
            </w:r>
          </w:p>
        </w:tc>
        <w:tc>
          <w:tcPr>
            <w:tcW w:w="992" w:type="dxa"/>
          </w:tcPr>
          <w:p w14:paraId="3D511B72" w14:textId="77777777" w:rsidR="003D02F2" w:rsidRPr="002A25EC" w:rsidRDefault="003D02F2" w:rsidP="009C42E6">
            <w:pPr>
              <w:jc w:val="center"/>
              <w:rPr>
                <w:rFonts w:cs="Times New Roman"/>
                <w:sz w:val="20"/>
                <w:szCs w:val="20"/>
              </w:rPr>
            </w:pPr>
            <w:r w:rsidRPr="002A25EC">
              <w:rPr>
                <w:rFonts w:cs="Times New Roman"/>
                <w:sz w:val="20"/>
                <w:szCs w:val="20"/>
              </w:rPr>
              <w:t>1 (0.2)</w:t>
            </w:r>
          </w:p>
        </w:tc>
        <w:tc>
          <w:tcPr>
            <w:tcW w:w="1134" w:type="dxa"/>
          </w:tcPr>
          <w:p w14:paraId="6B96B170" w14:textId="77777777" w:rsidR="003D02F2" w:rsidRPr="002A25EC" w:rsidRDefault="003D02F2" w:rsidP="009C42E6">
            <w:pPr>
              <w:jc w:val="center"/>
              <w:rPr>
                <w:rFonts w:cs="Times New Roman"/>
                <w:sz w:val="20"/>
                <w:szCs w:val="20"/>
              </w:rPr>
            </w:pPr>
            <w:r w:rsidRPr="002A25EC">
              <w:rPr>
                <w:rFonts w:cs="Times New Roman"/>
                <w:sz w:val="20"/>
                <w:szCs w:val="20"/>
              </w:rPr>
              <w:t>6 (6.3)</w:t>
            </w:r>
          </w:p>
        </w:tc>
        <w:tc>
          <w:tcPr>
            <w:tcW w:w="992" w:type="dxa"/>
          </w:tcPr>
          <w:p w14:paraId="0F220B67"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1134" w:type="dxa"/>
          </w:tcPr>
          <w:p w14:paraId="281C2FAF" w14:textId="77777777" w:rsidR="003D02F2" w:rsidRPr="002A25EC" w:rsidRDefault="003D02F2" w:rsidP="009C42E6">
            <w:pPr>
              <w:jc w:val="center"/>
              <w:rPr>
                <w:rFonts w:cs="Times New Roman"/>
                <w:sz w:val="20"/>
                <w:szCs w:val="20"/>
              </w:rPr>
            </w:pPr>
            <w:r w:rsidRPr="002A25EC">
              <w:rPr>
                <w:rFonts w:cs="Times New Roman"/>
                <w:sz w:val="20"/>
                <w:szCs w:val="20"/>
              </w:rPr>
              <w:t>2 (3.0)</w:t>
            </w:r>
          </w:p>
        </w:tc>
        <w:tc>
          <w:tcPr>
            <w:tcW w:w="992" w:type="dxa"/>
          </w:tcPr>
          <w:p w14:paraId="5C5E0811" w14:textId="77777777" w:rsidR="003D02F2" w:rsidRPr="002A25EC" w:rsidRDefault="003D02F2" w:rsidP="009C42E6">
            <w:pPr>
              <w:jc w:val="center"/>
              <w:rPr>
                <w:rFonts w:cs="Times New Roman"/>
                <w:sz w:val="20"/>
                <w:szCs w:val="20"/>
              </w:rPr>
            </w:pPr>
            <w:r w:rsidRPr="002A25EC">
              <w:rPr>
                <w:rFonts w:cs="Times New Roman"/>
                <w:sz w:val="20"/>
                <w:szCs w:val="20"/>
              </w:rPr>
              <w:t>0</w:t>
            </w:r>
          </w:p>
        </w:tc>
      </w:tr>
      <w:tr w:rsidR="003D02F2" w:rsidRPr="002A25EC" w14:paraId="05F1561C" w14:textId="77777777" w:rsidTr="5FFA413C">
        <w:tc>
          <w:tcPr>
            <w:tcW w:w="2689" w:type="dxa"/>
          </w:tcPr>
          <w:p w14:paraId="23CD7262" w14:textId="77777777" w:rsidR="003D02F2" w:rsidRPr="002A25EC" w:rsidRDefault="003D02F2" w:rsidP="009C42E6">
            <w:pPr>
              <w:rPr>
                <w:rFonts w:cs="Times New Roman"/>
                <w:sz w:val="20"/>
                <w:szCs w:val="20"/>
              </w:rPr>
            </w:pPr>
            <w:r w:rsidRPr="002A25EC">
              <w:rPr>
                <w:rFonts w:cs="Times New Roman"/>
                <w:sz w:val="20"/>
                <w:szCs w:val="20"/>
              </w:rPr>
              <w:t>Epistaxis</w:t>
            </w:r>
          </w:p>
        </w:tc>
        <w:tc>
          <w:tcPr>
            <w:tcW w:w="1134" w:type="dxa"/>
          </w:tcPr>
          <w:p w14:paraId="1BA9E98D" w14:textId="77777777" w:rsidR="003D02F2" w:rsidRPr="002A25EC" w:rsidRDefault="003D02F2" w:rsidP="009C42E6">
            <w:pPr>
              <w:jc w:val="center"/>
              <w:rPr>
                <w:rFonts w:cs="Times New Roman"/>
                <w:sz w:val="20"/>
                <w:szCs w:val="20"/>
              </w:rPr>
            </w:pPr>
            <w:r w:rsidRPr="002A25EC">
              <w:rPr>
                <w:rFonts w:cs="Times New Roman"/>
                <w:sz w:val="20"/>
                <w:szCs w:val="20"/>
              </w:rPr>
              <w:t>22 (4.5)</w:t>
            </w:r>
          </w:p>
        </w:tc>
        <w:tc>
          <w:tcPr>
            <w:tcW w:w="992" w:type="dxa"/>
          </w:tcPr>
          <w:p w14:paraId="607198CB" w14:textId="77777777" w:rsidR="003D02F2" w:rsidRPr="002A25EC" w:rsidRDefault="003D02F2" w:rsidP="009C42E6">
            <w:pPr>
              <w:jc w:val="center"/>
              <w:rPr>
                <w:rFonts w:cs="Times New Roman"/>
                <w:sz w:val="20"/>
                <w:szCs w:val="20"/>
              </w:rPr>
            </w:pPr>
            <w:r w:rsidRPr="002A25EC">
              <w:rPr>
                <w:rFonts w:cs="Times New Roman"/>
                <w:sz w:val="20"/>
                <w:szCs w:val="20"/>
              </w:rPr>
              <w:t>1 (0.2)</w:t>
            </w:r>
          </w:p>
        </w:tc>
        <w:tc>
          <w:tcPr>
            <w:tcW w:w="1134" w:type="dxa"/>
          </w:tcPr>
          <w:p w14:paraId="00FF8408" w14:textId="77777777" w:rsidR="003D02F2" w:rsidRPr="002A25EC" w:rsidRDefault="003D02F2" w:rsidP="009C42E6">
            <w:pPr>
              <w:jc w:val="center"/>
              <w:rPr>
                <w:rFonts w:cs="Times New Roman"/>
                <w:sz w:val="20"/>
                <w:szCs w:val="20"/>
              </w:rPr>
            </w:pPr>
            <w:r w:rsidRPr="002A25EC">
              <w:rPr>
                <w:rFonts w:cs="Times New Roman"/>
                <w:sz w:val="20"/>
                <w:szCs w:val="20"/>
              </w:rPr>
              <w:t>5 (5.3)</w:t>
            </w:r>
          </w:p>
        </w:tc>
        <w:tc>
          <w:tcPr>
            <w:tcW w:w="992" w:type="dxa"/>
          </w:tcPr>
          <w:p w14:paraId="6578EA0A"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1134" w:type="dxa"/>
          </w:tcPr>
          <w:p w14:paraId="6AB7783E" w14:textId="77777777" w:rsidR="003D02F2" w:rsidRPr="002A25EC" w:rsidRDefault="003D02F2" w:rsidP="009C42E6">
            <w:pPr>
              <w:jc w:val="center"/>
              <w:rPr>
                <w:rFonts w:cs="Times New Roman"/>
                <w:sz w:val="20"/>
                <w:szCs w:val="20"/>
              </w:rPr>
            </w:pPr>
            <w:r w:rsidRPr="002A25EC">
              <w:rPr>
                <w:rFonts w:cs="Times New Roman"/>
                <w:sz w:val="20"/>
                <w:szCs w:val="20"/>
              </w:rPr>
              <w:t>0</w:t>
            </w:r>
          </w:p>
        </w:tc>
        <w:tc>
          <w:tcPr>
            <w:tcW w:w="992" w:type="dxa"/>
          </w:tcPr>
          <w:p w14:paraId="1B8CDC6F" w14:textId="77777777" w:rsidR="003D02F2" w:rsidRPr="002A25EC" w:rsidRDefault="003D02F2" w:rsidP="009C42E6">
            <w:pPr>
              <w:jc w:val="center"/>
              <w:rPr>
                <w:rFonts w:cs="Times New Roman"/>
                <w:sz w:val="20"/>
                <w:szCs w:val="20"/>
              </w:rPr>
            </w:pPr>
            <w:r w:rsidRPr="002A25EC">
              <w:rPr>
                <w:rFonts w:cs="Times New Roman"/>
                <w:sz w:val="20"/>
                <w:szCs w:val="20"/>
              </w:rPr>
              <w:t>0</w:t>
            </w:r>
          </w:p>
        </w:tc>
      </w:tr>
    </w:tbl>
    <w:p w14:paraId="2EC55A11" w14:textId="6FFB7754" w:rsidR="003D02F2" w:rsidRPr="0017375D" w:rsidRDefault="003D02F2" w:rsidP="003D02F2">
      <w:pPr>
        <w:spacing w:after="0"/>
        <w:rPr>
          <w:rFonts w:cs="Times New Roman"/>
          <w:sz w:val="16"/>
          <w:szCs w:val="16"/>
        </w:rPr>
      </w:pPr>
      <w:r w:rsidRPr="0017375D">
        <w:rPr>
          <w:rStyle w:val="BMSSuperscript"/>
          <w:sz w:val="16"/>
          <w:szCs w:val="16"/>
        </w:rPr>
        <w:t>1</w:t>
      </w:r>
      <w:r w:rsidRPr="0017375D">
        <w:rPr>
          <w:rFonts w:cs="Times New Roman"/>
          <w:sz w:val="16"/>
          <w:szCs w:val="16"/>
        </w:rPr>
        <w:t xml:space="preserve"> AEs after crossover include the AEs with the onset date on/after the crossover first </w:t>
      </w:r>
      <w:proofErr w:type="spellStart"/>
      <w:r w:rsidRPr="0017375D">
        <w:rPr>
          <w:rFonts w:cs="Times New Roman"/>
          <w:sz w:val="16"/>
          <w:szCs w:val="16"/>
        </w:rPr>
        <w:t>fedratinib</w:t>
      </w:r>
      <w:proofErr w:type="spellEnd"/>
      <w:r w:rsidRPr="0017375D">
        <w:rPr>
          <w:rFonts w:cs="Times New Roman"/>
          <w:sz w:val="16"/>
          <w:szCs w:val="16"/>
        </w:rPr>
        <w:t xml:space="preserve"> dosing date.</w:t>
      </w:r>
    </w:p>
    <w:p w14:paraId="641D1A7C" w14:textId="77777777" w:rsidR="003D02F2" w:rsidRPr="0017375D" w:rsidRDefault="003D02F2" w:rsidP="003D02F2">
      <w:pPr>
        <w:spacing w:after="0"/>
        <w:rPr>
          <w:rFonts w:cs="Times New Roman"/>
          <w:sz w:val="16"/>
          <w:szCs w:val="16"/>
        </w:rPr>
      </w:pPr>
      <w:r w:rsidRPr="0017375D">
        <w:rPr>
          <w:rStyle w:val="BMSSuperscript"/>
          <w:sz w:val="16"/>
          <w:szCs w:val="16"/>
        </w:rPr>
        <w:t>2</w:t>
      </w:r>
      <w:r w:rsidRPr="0017375D">
        <w:rPr>
          <w:rFonts w:cs="Times New Roman"/>
          <w:sz w:val="16"/>
          <w:szCs w:val="16"/>
        </w:rPr>
        <w:t xml:space="preserve"> AEs for placebo/BAT subjects with crossover are not included if AEs occurred on/after the crossover first </w:t>
      </w:r>
      <w:proofErr w:type="spellStart"/>
      <w:r w:rsidRPr="0017375D">
        <w:rPr>
          <w:rFonts w:cs="Times New Roman"/>
          <w:sz w:val="16"/>
          <w:szCs w:val="16"/>
        </w:rPr>
        <w:t>fedratinib</w:t>
      </w:r>
      <w:proofErr w:type="spellEnd"/>
      <w:r w:rsidRPr="0017375D">
        <w:rPr>
          <w:rFonts w:cs="Times New Roman"/>
          <w:sz w:val="16"/>
          <w:szCs w:val="16"/>
        </w:rPr>
        <w:t xml:space="preserve"> dosing date.</w:t>
      </w:r>
    </w:p>
    <w:p w14:paraId="4B8DFEDB" w14:textId="77777777" w:rsidR="003D02F2" w:rsidRPr="0017375D" w:rsidRDefault="003D02F2" w:rsidP="003D02F2">
      <w:pPr>
        <w:spacing w:after="0"/>
        <w:rPr>
          <w:rFonts w:cs="Times New Roman"/>
          <w:sz w:val="16"/>
          <w:szCs w:val="16"/>
        </w:rPr>
      </w:pPr>
      <w:r w:rsidRPr="0017375D">
        <w:rPr>
          <w:rStyle w:val="BMSSuperscript"/>
          <w:sz w:val="16"/>
          <w:szCs w:val="16"/>
        </w:rPr>
        <w:t>3</w:t>
      </w:r>
      <w:r w:rsidRPr="0017375D">
        <w:rPr>
          <w:rFonts w:cs="Times New Roman"/>
          <w:sz w:val="16"/>
          <w:szCs w:val="16"/>
        </w:rPr>
        <w:t xml:space="preserve"> </w:t>
      </w:r>
      <w:proofErr w:type="gramStart"/>
      <w:r w:rsidRPr="0017375D">
        <w:rPr>
          <w:rFonts w:cs="Times New Roman"/>
          <w:sz w:val="16"/>
          <w:szCs w:val="16"/>
        </w:rPr>
        <w:t>BAT</w:t>
      </w:r>
      <w:proofErr w:type="gramEnd"/>
      <w:r w:rsidRPr="0017375D">
        <w:rPr>
          <w:rFonts w:cs="Times New Roman"/>
          <w:sz w:val="16"/>
          <w:szCs w:val="16"/>
        </w:rPr>
        <w:t>: best available therapy</w:t>
      </w:r>
    </w:p>
    <w:p w14:paraId="21240D4C" w14:textId="77777777" w:rsidR="001444D0" w:rsidRDefault="001444D0">
      <w:pPr>
        <w:rPr>
          <w:rFonts w:cs="Times New Roman"/>
          <w:lang w:val="en-US"/>
        </w:rPr>
      </w:pPr>
    </w:p>
    <w:p w14:paraId="198844DC" w14:textId="74E0C136" w:rsidR="00B62BA7" w:rsidRPr="00E60B8D" w:rsidRDefault="00B62BA7" w:rsidP="00F021E7">
      <w:pPr>
        <w:rPr>
          <w:rFonts w:cs="Times New Roman"/>
          <w:u w:val="single"/>
          <w:lang w:val="en"/>
        </w:rPr>
      </w:pPr>
      <w:r w:rsidRPr="00E60B8D">
        <w:rPr>
          <w:rFonts w:cs="Times New Roman"/>
          <w:u w:val="single"/>
          <w:lang w:val="en"/>
        </w:rPr>
        <w:t>Tabulated List of Adverse Drug Reactions (ADRs)</w:t>
      </w:r>
    </w:p>
    <w:p w14:paraId="2CEBBDD3" w14:textId="77777777" w:rsidR="00AA4443" w:rsidRDefault="00AA4443" w:rsidP="00A264A9">
      <w:r>
        <w:t xml:space="preserve">These reactions are presented by MedDRA System Organ Class and by frequency. Frequencies are defined as: very common (≥ 1/10); common (≥ 1/100 to &lt; 1/10); uncommon (≥ 1/1,000 to &lt; 1/100); rare (≥ 1/10,000 to &lt; 1/1,000). </w:t>
      </w:r>
    </w:p>
    <w:p w14:paraId="0A5730AD" w14:textId="3064D90A" w:rsidR="00F021E7" w:rsidRPr="00DB51B9" w:rsidRDefault="00DB51B9" w:rsidP="002C18CF">
      <w:pPr>
        <w:pStyle w:val="Caption"/>
        <w:pageBreakBefore/>
        <w:rPr>
          <w:rStyle w:val="BMSSuperscript"/>
          <w:lang w:val="en-US"/>
        </w:rPr>
      </w:pPr>
      <w:r w:rsidRPr="7AB45BB3">
        <w:rPr>
          <w:lang w:val="en-US"/>
        </w:rPr>
        <w:lastRenderedPageBreak/>
        <w:t xml:space="preserve">Table </w:t>
      </w:r>
      <w:r>
        <w:fldChar w:fldCharType="begin"/>
      </w:r>
      <w:r>
        <w:instrText xml:space="preserve"> SEQ Table \* ARABIC </w:instrText>
      </w:r>
      <w:r>
        <w:fldChar w:fldCharType="separate"/>
      </w:r>
      <w:r w:rsidR="00196356">
        <w:rPr>
          <w:noProof/>
        </w:rPr>
        <w:t>5</w:t>
      </w:r>
      <w:r>
        <w:fldChar w:fldCharType="end"/>
      </w:r>
      <w:r w:rsidR="1139DF94" w:rsidRPr="7AB45BB3">
        <w:rPr>
          <w:lang w:val="en-US"/>
        </w:rPr>
        <w:t xml:space="preserve"> </w:t>
      </w:r>
      <w:r>
        <w:fldChar w:fldCharType="begin"/>
      </w:r>
      <w:r>
        <w:fldChar w:fldCharType="separate"/>
      </w:r>
      <w:r w:rsidR="1139DF94" w:rsidRPr="7AB45BB3">
        <w:rPr>
          <w:lang w:val="en-US"/>
        </w:rPr>
        <w:t>5</w:t>
      </w:r>
      <w:r>
        <w:fldChar w:fldCharType="end"/>
      </w:r>
      <w:r w:rsidR="00D86EB1" w:rsidRPr="7AB45BB3">
        <w:rPr>
          <w:lang w:val="en-US"/>
        </w:rPr>
        <w:t>:</w:t>
      </w:r>
      <w:r w:rsidR="00850DFB" w:rsidRPr="7AB45BB3">
        <w:rPr>
          <w:lang w:val="en-US"/>
        </w:rPr>
        <w:t xml:space="preserve"> </w:t>
      </w:r>
      <w:r w:rsidR="00FD38FC" w:rsidRPr="7AB45BB3">
        <w:rPr>
          <w:lang w:val="en-US"/>
        </w:rPr>
        <w:t xml:space="preserve">List of </w:t>
      </w:r>
      <w:r w:rsidR="00A264A9" w:rsidRPr="7AB45BB3">
        <w:rPr>
          <w:lang w:val="en-US"/>
        </w:rPr>
        <w:t xml:space="preserve">Adverse </w:t>
      </w:r>
      <w:r w:rsidR="008C41FC" w:rsidRPr="7AB45BB3">
        <w:rPr>
          <w:lang w:val="en-US"/>
        </w:rPr>
        <w:t xml:space="preserve">Drug </w:t>
      </w:r>
      <w:proofErr w:type="spellStart"/>
      <w:r w:rsidR="00A264A9" w:rsidRPr="7AB45BB3">
        <w:rPr>
          <w:lang w:val="en-US"/>
        </w:rPr>
        <w:t>Reactions</w:t>
      </w:r>
      <w:r w:rsidR="00B87309" w:rsidRPr="7AB45BB3">
        <w:rPr>
          <w:rStyle w:val="BMSSuperscript"/>
          <w:lang w:val="en-US"/>
        </w:rPr>
        <w:t>a</w:t>
      </w:r>
      <w:proofErr w:type="spellEnd"/>
    </w:p>
    <w:tbl>
      <w:tblPr>
        <w:tblStyle w:val="TableGrid"/>
        <w:tblW w:w="9067" w:type="dxa"/>
        <w:tblLook w:val="04A0" w:firstRow="1" w:lastRow="0" w:firstColumn="1" w:lastColumn="0" w:noHBand="0" w:noVBand="1"/>
      </w:tblPr>
      <w:tblGrid>
        <w:gridCol w:w="3539"/>
        <w:gridCol w:w="3544"/>
        <w:gridCol w:w="1984"/>
      </w:tblGrid>
      <w:tr w:rsidR="0090392D" w14:paraId="01B0F6F3" w14:textId="75C86C74" w:rsidTr="0090392D">
        <w:trPr>
          <w:trHeight w:val="334"/>
          <w:tblHeader/>
        </w:trPr>
        <w:tc>
          <w:tcPr>
            <w:tcW w:w="3539" w:type="dxa"/>
            <w:shd w:val="clear" w:color="auto" w:fill="D9D9D9" w:themeFill="background1" w:themeFillShade="D9"/>
          </w:tcPr>
          <w:p w14:paraId="7627678F" w14:textId="726D9751" w:rsidR="0090392D" w:rsidRPr="000D09A9" w:rsidRDefault="0090392D" w:rsidP="00972499">
            <w:pPr>
              <w:rPr>
                <w:b/>
                <w:bCs/>
                <w:lang w:val="en"/>
              </w:rPr>
            </w:pPr>
            <w:r>
              <w:rPr>
                <w:b/>
                <w:bCs/>
                <w:lang w:val="en"/>
              </w:rPr>
              <w:t>System Organ Class</w:t>
            </w:r>
          </w:p>
        </w:tc>
        <w:tc>
          <w:tcPr>
            <w:tcW w:w="3544" w:type="dxa"/>
            <w:shd w:val="clear" w:color="auto" w:fill="D9D9D9" w:themeFill="background1" w:themeFillShade="D9"/>
          </w:tcPr>
          <w:p w14:paraId="60BCCFEF" w14:textId="52CD9A26" w:rsidR="0090392D" w:rsidRPr="000D09A9" w:rsidRDefault="0090392D" w:rsidP="00287453">
            <w:pPr>
              <w:jc w:val="left"/>
              <w:rPr>
                <w:b/>
                <w:bCs/>
                <w:lang w:val="en"/>
              </w:rPr>
            </w:pPr>
            <w:r w:rsidRPr="000D09A9">
              <w:rPr>
                <w:b/>
                <w:bCs/>
                <w:lang w:val="en"/>
              </w:rPr>
              <w:t>ADRs</w:t>
            </w:r>
          </w:p>
        </w:tc>
        <w:tc>
          <w:tcPr>
            <w:tcW w:w="1984" w:type="dxa"/>
            <w:shd w:val="clear" w:color="auto" w:fill="D9D9D9" w:themeFill="background1" w:themeFillShade="D9"/>
          </w:tcPr>
          <w:p w14:paraId="084E8491" w14:textId="36AABB1A" w:rsidR="0090392D" w:rsidRPr="000D09A9" w:rsidRDefault="0090392D" w:rsidP="00287453">
            <w:pPr>
              <w:jc w:val="left"/>
              <w:rPr>
                <w:b/>
                <w:bCs/>
                <w:lang w:val="en"/>
              </w:rPr>
            </w:pPr>
            <w:r w:rsidRPr="000D09A9">
              <w:rPr>
                <w:b/>
                <w:bCs/>
                <w:lang w:val="en"/>
              </w:rPr>
              <w:t>Frequency</w:t>
            </w:r>
          </w:p>
        </w:tc>
      </w:tr>
      <w:tr w:rsidR="0090392D" w14:paraId="61BD1C42" w14:textId="2F662BD2" w:rsidTr="0090392D">
        <w:trPr>
          <w:trHeight w:val="336"/>
        </w:trPr>
        <w:tc>
          <w:tcPr>
            <w:tcW w:w="3539" w:type="dxa"/>
          </w:tcPr>
          <w:p w14:paraId="7F205762" w14:textId="7152F1AA" w:rsidR="0090392D" w:rsidRPr="001F7AB2" w:rsidRDefault="0090392D" w:rsidP="001F7AB2">
            <w:pPr>
              <w:pStyle w:val="Default"/>
              <w:jc w:val="both"/>
              <w:rPr>
                <w:rFonts w:ascii="Times New Roman" w:hAnsi="Times New Roman" w:cstheme="minorBidi"/>
                <w:b/>
                <w:bCs/>
                <w:color w:val="auto"/>
                <w:sz w:val="20"/>
                <w:szCs w:val="20"/>
                <w:lang w:val="en"/>
              </w:rPr>
            </w:pPr>
            <w:r w:rsidRPr="001F7AB2">
              <w:rPr>
                <w:rFonts w:ascii="Times New Roman" w:hAnsi="Times New Roman" w:cstheme="minorBidi"/>
                <w:b/>
                <w:bCs/>
                <w:color w:val="auto"/>
                <w:sz w:val="20"/>
                <w:szCs w:val="20"/>
                <w:lang w:val="en"/>
              </w:rPr>
              <w:t xml:space="preserve">Infections and infestations </w:t>
            </w:r>
          </w:p>
        </w:tc>
        <w:tc>
          <w:tcPr>
            <w:tcW w:w="3544" w:type="dxa"/>
          </w:tcPr>
          <w:p w14:paraId="16C55346" w14:textId="264674B4" w:rsidR="0090392D" w:rsidRPr="008F34C7" w:rsidRDefault="0090392D" w:rsidP="00AA2722">
            <w:pPr>
              <w:pStyle w:val="Default"/>
              <w:jc w:val="both"/>
              <w:rPr>
                <w:rFonts w:ascii="Times New Roman" w:hAnsi="Times New Roman" w:cstheme="minorBidi"/>
                <w:color w:val="auto"/>
                <w:sz w:val="20"/>
                <w:szCs w:val="20"/>
                <w:lang w:val="en"/>
              </w:rPr>
            </w:pPr>
            <w:r w:rsidRPr="008F34C7">
              <w:rPr>
                <w:rFonts w:ascii="Times New Roman" w:hAnsi="Times New Roman" w:cstheme="minorBidi"/>
                <w:color w:val="auto"/>
                <w:sz w:val="20"/>
                <w:szCs w:val="20"/>
                <w:lang w:val="en"/>
              </w:rPr>
              <w:t xml:space="preserve">Urinary tract infection </w:t>
            </w:r>
          </w:p>
        </w:tc>
        <w:tc>
          <w:tcPr>
            <w:tcW w:w="1984" w:type="dxa"/>
          </w:tcPr>
          <w:p w14:paraId="3CB68131" w14:textId="160DEEB0" w:rsidR="0090392D" w:rsidRPr="008F34C7" w:rsidRDefault="0090392D" w:rsidP="00AA2722">
            <w:pPr>
              <w:pStyle w:val="Default"/>
              <w:jc w:val="both"/>
              <w:rPr>
                <w:rFonts w:ascii="Times New Roman" w:hAnsi="Times New Roman" w:cstheme="minorBidi"/>
                <w:color w:val="auto"/>
                <w:sz w:val="20"/>
                <w:szCs w:val="20"/>
                <w:lang w:val="en"/>
              </w:rPr>
            </w:pPr>
            <w:r>
              <w:rPr>
                <w:rFonts w:ascii="Times New Roman" w:hAnsi="Times New Roman" w:cstheme="minorBidi"/>
                <w:color w:val="auto"/>
                <w:sz w:val="20"/>
                <w:szCs w:val="20"/>
                <w:lang w:val="en"/>
              </w:rPr>
              <w:t>Uncommon</w:t>
            </w:r>
          </w:p>
        </w:tc>
      </w:tr>
      <w:tr w:rsidR="0090392D" w14:paraId="7A236D80" w14:textId="6C4277D3" w:rsidTr="0090392D">
        <w:trPr>
          <w:trHeight w:val="330"/>
        </w:trPr>
        <w:tc>
          <w:tcPr>
            <w:tcW w:w="3539" w:type="dxa"/>
            <w:vMerge w:val="restart"/>
          </w:tcPr>
          <w:p w14:paraId="212036C4" w14:textId="2F8A8704" w:rsidR="0090392D" w:rsidRPr="001F7AB2" w:rsidRDefault="0090392D" w:rsidP="001F7AB2">
            <w:pPr>
              <w:pStyle w:val="Default"/>
              <w:jc w:val="both"/>
              <w:rPr>
                <w:rFonts w:ascii="Times New Roman" w:hAnsi="Times New Roman" w:cstheme="minorBidi"/>
                <w:b/>
                <w:bCs/>
                <w:color w:val="auto"/>
                <w:sz w:val="20"/>
                <w:szCs w:val="20"/>
                <w:lang w:val="en"/>
              </w:rPr>
            </w:pPr>
            <w:r w:rsidRPr="001F7AB2">
              <w:rPr>
                <w:rFonts w:ascii="Times New Roman" w:hAnsi="Times New Roman" w:cstheme="minorBidi"/>
                <w:b/>
                <w:bCs/>
                <w:color w:val="auto"/>
                <w:sz w:val="20"/>
                <w:szCs w:val="20"/>
                <w:lang w:val="en"/>
              </w:rPr>
              <w:t xml:space="preserve">Blood and lymphatic system disorders </w:t>
            </w:r>
          </w:p>
        </w:tc>
        <w:tc>
          <w:tcPr>
            <w:tcW w:w="3544" w:type="dxa"/>
          </w:tcPr>
          <w:p w14:paraId="6BE1CEDF" w14:textId="2BE0184D" w:rsidR="0090392D" w:rsidRPr="008F34C7" w:rsidRDefault="0090392D" w:rsidP="00AA2722">
            <w:pPr>
              <w:pStyle w:val="Default"/>
              <w:jc w:val="both"/>
              <w:rPr>
                <w:rFonts w:ascii="Times New Roman" w:hAnsi="Times New Roman" w:cstheme="minorBidi"/>
                <w:color w:val="auto"/>
                <w:sz w:val="20"/>
                <w:szCs w:val="20"/>
                <w:lang w:val="en"/>
              </w:rPr>
            </w:pPr>
            <w:proofErr w:type="spellStart"/>
            <w:r w:rsidRPr="008F34C7">
              <w:rPr>
                <w:rFonts w:ascii="Times New Roman" w:hAnsi="Times New Roman" w:cstheme="minorBidi"/>
                <w:color w:val="auto"/>
                <w:sz w:val="20"/>
                <w:szCs w:val="20"/>
                <w:lang w:val="en"/>
              </w:rPr>
              <w:t>Anaemia</w:t>
            </w:r>
            <w:proofErr w:type="spellEnd"/>
            <w:r w:rsidRPr="008F34C7">
              <w:rPr>
                <w:rFonts w:ascii="Times New Roman" w:hAnsi="Times New Roman" w:cstheme="minorBidi"/>
                <w:color w:val="auto"/>
                <w:sz w:val="20"/>
                <w:szCs w:val="20"/>
                <w:vertAlign w:val="superscript"/>
                <w:lang w:val="en"/>
              </w:rPr>
              <w:t xml:space="preserve"> </w:t>
            </w:r>
          </w:p>
        </w:tc>
        <w:tc>
          <w:tcPr>
            <w:tcW w:w="1984" w:type="dxa"/>
          </w:tcPr>
          <w:p w14:paraId="1B3A1E16" w14:textId="3A684C78" w:rsidR="0090392D" w:rsidRPr="008F34C7" w:rsidRDefault="0090392D" w:rsidP="00AA2722">
            <w:pPr>
              <w:pStyle w:val="Default"/>
              <w:jc w:val="both"/>
              <w:rPr>
                <w:rFonts w:ascii="Times New Roman" w:hAnsi="Times New Roman" w:cstheme="minorBidi"/>
                <w:color w:val="auto"/>
                <w:sz w:val="20"/>
                <w:szCs w:val="20"/>
              </w:rPr>
            </w:pPr>
            <w:r w:rsidRPr="57AD90B9">
              <w:rPr>
                <w:rFonts w:ascii="Times New Roman" w:hAnsi="Times New Roman" w:cstheme="minorBidi"/>
                <w:color w:val="auto"/>
                <w:sz w:val="20"/>
                <w:szCs w:val="20"/>
              </w:rPr>
              <w:t>Very common</w:t>
            </w:r>
          </w:p>
        </w:tc>
      </w:tr>
      <w:tr w:rsidR="0090392D" w14:paraId="28D42E4A" w14:textId="046D45E2" w:rsidTr="0090392D">
        <w:trPr>
          <w:trHeight w:val="330"/>
        </w:trPr>
        <w:tc>
          <w:tcPr>
            <w:tcW w:w="3539" w:type="dxa"/>
            <w:vMerge/>
          </w:tcPr>
          <w:p w14:paraId="7EED0088" w14:textId="77777777" w:rsidR="0090392D" w:rsidRPr="001F7AB2" w:rsidRDefault="0090392D" w:rsidP="001F7AB2">
            <w:pPr>
              <w:pStyle w:val="Default"/>
              <w:jc w:val="both"/>
              <w:rPr>
                <w:rFonts w:ascii="Times New Roman" w:hAnsi="Times New Roman" w:cstheme="minorBidi"/>
                <w:b/>
                <w:bCs/>
                <w:color w:val="auto"/>
                <w:sz w:val="20"/>
                <w:szCs w:val="20"/>
                <w:lang w:val="en"/>
              </w:rPr>
            </w:pPr>
          </w:p>
        </w:tc>
        <w:tc>
          <w:tcPr>
            <w:tcW w:w="3544" w:type="dxa"/>
          </w:tcPr>
          <w:p w14:paraId="653A5AB7" w14:textId="4F111105" w:rsidR="0090392D" w:rsidRPr="008F34C7" w:rsidRDefault="0090392D" w:rsidP="00AA2722">
            <w:pPr>
              <w:pStyle w:val="Default"/>
              <w:jc w:val="both"/>
              <w:rPr>
                <w:rFonts w:ascii="Times New Roman" w:hAnsi="Times New Roman" w:cstheme="minorBidi"/>
                <w:color w:val="auto"/>
                <w:sz w:val="20"/>
                <w:szCs w:val="20"/>
              </w:rPr>
            </w:pPr>
            <w:r w:rsidRPr="57AD90B9">
              <w:rPr>
                <w:rFonts w:ascii="Times New Roman" w:hAnsi="Times New Roman" w:cstheme="minorBidi"/>
                <w:color w:val="auto"/>
                <w:sz w:val="20"/>
                <w:szCs w:val="20"/>
              </w:rPr>
              <w:t>Thrombocytopenia</w:t>
            </w:r>
          </w:p>
        </w:tc>
        <w:tc>
          <w:tcPr>
            <w:tcW w:w="1984" w:type="dxa"/>
          </w:tcPr>
          <w:p w14:paraId="0AB6FB52" w14:textId="57351C33" w:rsidR="0090392D" w:rsidRPr="00A44D7A" w:rsidRDefault="0090392D" w:rsidP="00AA2722">
            <w:pPr>
              <w:pStyle w:val="Default"/>
              <w:jc w:val="both"/>
              <w:rPr>
                <w:rFonts w:ascii="Times New Roman" w:hAnsi="Times New Roman" w:cstheme="minorBidi"/>
                <w:color w:val="auto"/>
                <w:sz w:val="20"/>
                <w:szCs w:val="20"/>
              </w:rPr>
            </w:pPr>
            <w:r w:rsidRPr="57AD90B9">
              <w:rPr>
                <w:rFonts w:ascii="Times New Roman" w:hAnsi="Times New Roman" w:cstheme="minorBidi"/>
                <w:color w:val="auto"/>
                <w:sz w:val="20"/>
                <w:szCs w:val="20"/>
              </w:rPr>
              <w:t>Very common</w:t>
            </w:r>
          </w:p>
        </w:tc>
      </w:tr>
      <w:tr w:rsidR="0090392D" w14:paraId="4FA39588" w14:textId="77777777" w:rsidTr="0090392D">
        <w:trPr>
          <w:trHeight w:val="330"/>
        </w:trPr>
        <w:tc>
          <w:tcPr>
            <w:tcW w:w="3539" w:type="dxa"/>
            <w:vMerge/>
          </w:tcPr>
          <w:p w14:paraId="57B0F29C" w14:textId="77777777" w:rsidR="0090392D" w:rsidRPr="001F7AB2" w:rsidRDefault="0090392D" w:rsidP="001F7AB2">
            <w:pPr>
              <w:pStyle w:val="Default"/>
              <w:jc w:val="both"/>
              <w:rPr>
                <w:rFonts w:ascii="Times New Roman" w:hAnsi="Times New Roman" w:cstheme="minorBidi"/>
                <w:b/>
                <w:bCs/>
                <w:color w:val="auto"/>
                <w:sz w:val="20"/>
                <w:szCs w:val="20"/>
                <w:lang w:val="en"/>
              </w:rPr>
            </w:pPr>
          </w:p>
        </w:tc>
        <w:tc>
          <w:tcPr>
            <w:tcW w:w="3544" w:type="dxa"/>
          </w:tcPr>
          <w:p w14:paraId="3A582EA0" w14:textId="52B1F648" w:rsidR="0090392D" w:rsidRPr="57AD90B9" w:rsidRDefault="0090392D" w:rsidP="00AA2722">
            <w:pPr>
              <w:pStyle w:val="Default"/>
              <w:jc w:val="both"/>
              <w:rPr>
                <w:rFonts w:ascii="Times New Roman" w:hAnsi="Times New Roman" w:cstheme="minorBidi"/>
                <w:color w:val="auto"/>
                <w:sz w:val="20"/>
                <w:szCs w:val="20"/>
              </w:rPr>
            </w:pPr>
            <w:r>
              <w:rPr>
                <w:rFonts w:ascii="Times New Roman" w:hAnsi="Times New Roman" w:cstheme="minorBidi"/>
                <w:color w:val="auto"/>
                <w:sz w:val="20"/>
                <w:szCs w:val="20"/>
              </w:rPr>
              <w:t>Neutropenia</w:t>
            </w:r>
          </w:p>
        </w:tc>
        <w:tc>
          <w:tcPr>
            <w:tcW w:w="1984" w:type="dxa"/>
          </w:tcPr>
          <w:p w14:paraId="640195CD" w14:textId="78E17C0C" w:rsidR="0090392D" w:rsidRPr="57AD90B9" w:rsidRDefault="0090392D" w:rsidP="00AA2722">
            <w:pPr>
              <w:pStyle w:val="Default"/>
              <w:jc w:val="both"/>
              <w:rPr>
                <w:rFonts w:ascii="Times New Roman" w:hAnsi="Times New Roman" w:cstheme="minorBidi"/>
                <w:color w:val="auto"/>
                <w:sz w:val="20"/>
                <w:szCs w:val="20"/>
              </w:rPr>
            </w:pPr>
            <w:r>
              <w:rPr>
                <w:rFonts w:ascii="Times New Roman" w:hAnsi="Times New Roman" w:cstheme="minorBidi"/>
                <w:color w:val="auto"/>
                <w:sz w:val="20"/>
                <w:szCs w:val="20"/>
              </w:rPr>
              <w:t>Common</w:t>
            </w:r>
          </w:p>
        </w:tc>
      </w:tr>
      <w:tr w:rsidR="0090392D" w14:paraId="072E1FCB" w14:textId="1F555F1A" w:rsidTr="0090392D">
        <w:trPr>
          <w:trHeight w:val="310"/>
        </w:trPr>
        <w:tc>
          <w:tcPr>
            <w:tcW w:w="3539" w:type="dxa"/>
            <w:vMerge w:val="restart"/>
          </w:tcPr>
          <w:p w14:paraId="6E51E521" w14:textId="5CC6DEDB" w:rsidR="0090392D" w:rsidRPr="001F7AB2" w:rsidRDefault="0090392D" w:rsidP="001F7AB2">
            <w:pPr>
              <w:pStyle w:val="Default"/>
              <w:jc w:val="both"/>
              <w:rPr>
                <w:rFonts w:ascii="Times New Roman" w:hAnsi="Times New Roman" w:cstheme="minorBidi"/>
                <w:b/>
                <w:bCs/>
                <w:color w:val="auto"/>
                <w:sz w:val="20"/>
                <w:szCs w:val="20"/>
                <w:lang w:val="en"/>
              </w:rPr>
            </w:pPr>
            <w:r w:rsidRPr="001F7AB2">
              <w:rPr>
                <w:rFonts w:ascii="Times New Roman" w:hAnsi="Times New Roman" w:cstheme="minorBidi"/>
                <w:b/>
                <w:bCs/>
                <w:color w:val="auto"/>
                <w:sz w:val="20"/>
                <w:szCs w:val="20"/>
                <w:lang w:val="en"/>
              </w:rPr>
              <w:t xml:space="preserve">Metabolism and nutrition disorders </w:t>
            </w:r>
          </w:p>
        </w:tc>
        <w:tc>
          <w:tcPr>
            <w:tcW w:w="3544" w:type="dxa"/>
          </w:tcPr>
          <w:p w14:paraId="56D01122" w14:textId="1E79D20B" w:rsidR="0090392D" w:rsidRPr="008F34C7" w:rsidRDefault="0090392D" w:rsidP="00B84A5B">
            <w:pPr>
              <w:pStyle w:val="Default"/>
              <w:jc w:val="both"/>
              <w:rPr>
                <w:sz w:val="20"/>
                <w:szCs w:val="20"/>
              </w:rPr>
            </w:pPr>
            <w:r w:rsidRPr="008F34C7">
              <w:rPr>
                <w:rFonts w:ascii="Times New Roman" w:hAnsi="Times New Roman" w:cstheme="minorBidi"/>
                <w:color w:val="auto"/>
                <w:sz w:val="20"/>
                <w:szCs w:val="20"/>
                <w:lang w:val="en"/>
              </w:rPr>
              <w:t xml:space="preserve">Amylase increased </w:t>
            </w:r>
          </w:p>
        </w:tc>
        <w:tc>
          <w:tcPr>
            <w:tcW w:w="1984" w:type="dxa"/>
          </w:tcPr>
          <w:p w14:paraId="3645CAB3" w14:textId="427BA951" w:rsidR="0090392D" w:rsidRPr="008F34C7" w:rsidRDefault="0090392D" w:rsidP="00B84A5B">
            <w:pPr>
              <w:pStyle w:val="Default"/>
              <w:jc w:val="both"/>
              <w:rPr>
                <w:rFonts w:ascii="Times New Roman" w:hAnsi="Times New Roman" w:cstheme="minorBidi"/>
                <w:color w:val="auto"/>
                <w:sz w:val="20"/>
                <w:szCs w:val="20"/>
              </w:rPr>
            </w:pPr>
            <w:r>
              <w:rPr>
                <w:rFonts w:ascii="Times New Roman" w:hAnsi="Times New Roman" w:cstheme="minorBidi"/>
                <w:color w:val="auto"/>
                <w:sz w:val="20"/>
                <w:szCs w:val="20"/>
              </w:rPr>
              <w:t>Common</w:t>
            </w:r>
          </w:p>
        </w:tc>
      </w:tr>
      <w:tr w:rsidR="0090392D" w14:paraId="6BECD1AA" w14:textId="3CC7EF4D" w:rsidTr="0090392D">
        <w:trPr>
          <w:trHeight w:val="310"/>
        </w:trPr>
        <w:tc>
          <w:tcPr>
            <w:tcW w:w="3539" w:type="dxa"/>
            <w:vMerge/>
          </w:tcPr>
          <w:p w14:paraId="4C2583B8" w14:textId="77777777" w:rsidR="0090392D" w:rsidRPr="001F7AB2" w:rsidRDefault="0090392D" w:rsidP="001F7AB2">
            <w:pPr>
              <w:pStyle w:val="Default"/>
              <w:jc w:val="both"/>
              <w:rPr>
                <w:rFonts w:ascii="Times New Roman" w:hAnsi="Times New Roman" w:cstheme="minorBidi"/>
                <w:b/>
                <w:bCs/>
                <w:color w:val="auto"/>
                <w:sz w:val="20"/>
                <w:szCs w:val="20"/>
                <w:lang w:val="en"/>
              </w:rPr>
            </w:pPr>
          </w:p>
        </w:tc>
        <w:tc>
          <w:tcPr>
            <w:tcW w:w="3544" w:type="dxa"/>
          </w:tcPr>
          <w:p w14:paraId="563B015C" w14:textId="1D1B608B" w:rsidR="0090392D" w:rsidRPr="008F34C7" w:rsidRDefault="0090392D" w:rsidP="00B84A5B">
            <w:pPr>
              <w:pStyle w:val="Default"/>
              <w:jc w:val="both"/>
              <w:rPr>
                <w:rFonts w:ascii="Times New Roman" w:hAnsi="Times New Roman" w:cstheme="minorBidi"/>
                <w:color w:val="auto"/>
                <w:sz w:val="20"/>
                <w:szCs w:val="20"/>
              </w:rPr>
            </w:pPr>
            <w:r w:rsidRPr="57AD90B9">
              <w:rPr>
                <w:rFonts w:ascii="Times New Roman" w:hAnsi="Times New Roman" w:cstheme="minorBidi"/>
                <w:color w:val="auto"/>
                <w:sz w:val="20"/>
                <w:szCs w:val="20"/>
              </w:rPr>
              <w:t>Lipase increased</w:t>
            </w:r>
          </w:p>
        </w:tc>
        <w:tc>
          <w:tcPr>
            <w:tcW w:w="1984" w:type="dxa"/>
          </w:tcPr>
          <w:p w14:paraId="30B00642" w14:textId="3E537F5A" w:rsidR="0090392D" w:rsidRPr="00A44D7A" w:rsidRDefault="0090392D" w:rsidP="00B84A5B">
            <w:pPr>
              <w:pStyle w:val="Default"/>
              <w:jc w:val="both"/>
              <w:rPr>
                <w:rFonts w:ascii="Times New Roman" w:hAnsi="Times New Roman" w:cstheme="minorBidi"/>
                <w:color w:val="auto"/>
                <w:sz w:val="20"/>
                <w:szCs w:val="20"/>
              </w:rPr>
            </w:pPr>
            <w:r>
              <w:rPr>
                <w:rFonts w:ascii="Times New Roman" w:hAnsi="Times New Roman" w:cstheme="minorBidi"/>
                <w:color w:val="auto"/>
                <w:sz w:val="20"/>
                <w:szCs w:val="20"/>
              </w:rPr>
              <w:t>Common</w:t>
            </w:r>
          </w:p>
        </w:tc>
      </w:tr>
      <w:tr w:rsidR="0090392D" w14:paraId="03E75E2C" w14:textId="77777777" w:rsidTr="0090392D">
        <w:trPr>
          <w:trHeight w:val="310"/>
        </w:trPr>
        <w:tc>
          <w:tcPr>
            <w:tcW w:w="3539" w:type="dxa"/>
            <w:vMerge/>
          </w:tcPr>
          <w:p w14:paraId="0B70E756" w14:textId="77777777" w:rsidR="0090392D" w:rsidRPr="001F7AB2" w:rsidRDefault="0090392D" w:rsidP="001F7AB2">
            <w:pPr>
              <w:pStyle w:val="Default"/>
              <w:jc w:val="both"/>
              <w:rPr>
                <w:rFonts w:ascii="Times New Roman" w:hAnsi="Times New Roman" w:cstheme="minorBidi"/>
                <w:b/>
                <w:bCs/>
                <w:color w:val="auto"/>
                <w:sz w:val="20"/>
                <w:szCs w:val="20"/>
                <w:lang w:val="en"/>
              </w:rPr>
            </w:pPr>
          </w:p>
        </w:tc>
        <w:tc>
          <w:tcPr>
            <w:tcW w:w="3544" w:type="dxa"/>
          </w:tcPr>
          <w:p w14:paraId="0567913B" w14:textId="7761AB1D" w:rsidR="0090392D" w:rsidRPr="57AD90B9" w:rsidRDefault="0090392D" w:rsidP="00B84A5B">
            <w:pPr>
              <w:pStyle w:val="Default"/>
              <w:jc w:val="both"/>
              <w:rPr>
                <w:rFonts w:ascii="Times New Roman" w:hAnsi="Times New Roman" w:cstheme="minorBidi"/>
                <w:color w:val="auto"/>
                <w:sz w:val="20"/>
                <w:szCs w:val="20"/>
              </w:rPr>
            </w:pPr>
            <w:r>
              <w:rPr>
                <w:rFonts w:ascii="Times New Roman" w:hAnsi="Times New Roman" w:cstheme="minorBidi"/>
                <w:color w:val="auto"/>
                <w:sz w:val="20"/>
                <w:szCs w:val="20"/>
              </w:rPr>
              <w:t>Vitamin B1 deficiency</w:t>
            </w:r>
          </w:p>
        </w:tc>
        <w:tc>
          <w:tcPr>
            <w:tcW w:w="1984" w:type="dxa"/>
          </w:tcPr>
          <w:p w14:paraId="713B46BE" w14:textId="754C00EF" w:rsidR="0090392D" w:rsidRPr="57AD90B9" w:rsidRDefault="0090392D" w:rsidP="00B84A5B">
            <w:pPr>
              <w:pStyle w:val="Default"/>
              <w:jc w:val="both"/>
              <w:rPr>
                <w:rFonts w:ascii="Times New Roman" w:hAnsi="Times New Roman" w:cstheme="minorBidi"/>
                <w:color w:val="auto"/>
                <w:sz w:val="20"/>
                <w:szCs w:val="20"/>
              </w:rPr>
            </w:pPr>
            <w:r>
              <w:rPr>
                <w:rFonts w:ascii="Times New Roman" w:hAnsi="Times New Roman" w:cstheme="minorBidi"/>
                <w:color w:val="auto"/>
                <w:sz w:val="20"/>
                <w:szCs w:val="20"/>
              </w:rPr>
              <w:t>Common</w:t>
            </w:r>
          </w:p>
        </w:tc>
      </w:tr>
      <w:tr w:rsidR="0090392D" w14:paraId="5BDF40DA" w14:textId="4D1BCD4A" w:rsidTr="0090392D">
        <w:trPr>
          <w:trHeight w:val="318"/>
        </w:trPr>
        <w:tc>
          <w:tcPr>
            <w:tcW w:w="3539" w:type="dxa"/>
            <w:vMerge w:val="restart"/>
          </w:tcPr>
          <w:p w14:paraId="130A87BF" w14:textId="244964C8" w:rsidR="0090392D" w:rsidRPr="001F7AB2" w:rsidRDefault="0090392D" w:rsidP="001F7AB2">
            <w:pPr>
              <w:pStyle w:val="Default"/>
              <w:jc w:val="both"/>
              <w:rPr>
                <w:rFonts w:ascii="Times New Roman" w:hAnsi="Times New Roman" w:cstheme="minorBidi"/>
                <w:b/>
                <w:bCs/>
                <w:color w:val="auto"/>
                <w:sz w:val="20"/>
                <w:szCs w:val="20"/>
                <w:lang w:val="en"/>
              </w:rPr>
            </w:pPr>
            <w:r w:rsidRPr="001F7AB2">
              <w:rPr>
                <w:rFonts w:ascii="Times New Roman" w:hAnsi="Times New Roman" w:cstheme="minorBidi"/>
                <w:b/>
                <w:bCs/>
                <w:color w:val="auto"/>
                <w:sz w:val="20"/>
                <w:szCs w:val="20"/>
                <w:lang w:val="en"/>
              </w:rPr>
              <w:t>Nervous system disorders</w:t>
            </w:r>
          </w:p>
          <w:p w14:paraId="664DE89F" w14:textId="2EAC1244" w:rsidR="0090392D" w:rsidRPr="001F7AB2" w:rsidRDefault="0090392D" w:rsidP="00972499">
            <w:pPr>
              <w:rPr>
                <w:b/>
                <w:bCs/>
                <w:sz w:val="20"/>
                <w:szCs w:val="20"/>
                <w:lang w:val="en"/>
              </w:rPr>
            </w:pPr>
          </w:p>
        </w:tc>
        <w:tc>
          <w:tcPr>
            <w:tcW w:w="3544" w:type="dxa"/>
          </w:tcPr>
          <w:p w14:paraId="55E20B7B" w14:textId="383D4B70" w:rsidR="0090392D" w:rsidRPr="008F34C7" w:rsidRDefault="0090392D" w:rsidP="005C4906">
            <w:pPr>
              <w:pStyle w:val="Default"/>
              <w:jc w:val="both"/>
              <w:rPr>
                <w:rFonts w:ascii="Times New Roman" w:hAnsi="Times New Roman" w:cstheme="minorBidi"/>
                <w:color w:val="auto"/>
                <w:sz w:val="20"/>
                <w:szCs w:val="20"/>
                <w:lang w:val="en"/>
              </w:rPr>
            </w:pPr>
            <w:r w:rsidRPr="008F34C7">
              <w:rPr>
                <w:rFonts w:ascii="Times New Roman" w:hAnsi="Times New Roman" w:cstheme="minorBidi"/>
                <w:color w:val="auto"/>
                <w:sz w:val="20"/>
                <w:szCs w:val="20"/>
                <w:lang w:val="en"/>
              </w:rPr>
              <w:t xml:space="preserve">Headache </w:t>
            </w:r>
          </w:p>
        </w:tc>
        <w:tc>
          <w:tcPr>
            <w:tcW w:w="1984" w:type="dxa"/>
          </w:tcPr>
          <w:p w14:paraId="4B9CA20A" w14:textId="1A458ABB" w:rsidR="0090392D" w:rsidRPr="008F34C7" w:rsidRDefault="0090392D" w:rsidP="005C4906">
            <w:pPr>
              <w:pStyle w:val="Default"/>
              <w:jc w:val="both"/>
              <w:rPr>
                <w:rFonts w:ascii="Times New Roman" w:hAnsi="Times New Roman" w:cstheme="minorBidi"/>
                <w:color w:val="auto"/>
                <w:sz w:val="20"/>
                <w:szCs w:val="20"/>
              </w:rPr>
            </w:pPr>
            <w:r>
              <w:rPr>
                <w:rFonts w:ascii="Times New Roman" w:hAnsi="Times New Roman" w:cstheme="minorBidi"/>
                <w:color w:val="auto"/>
                <w:sz w:val="20"/>
                <w:szCs w:val="20"/>
              </w:rPr>
              <w:t>Common</w:t>
            </w:r>
          </w:p>
        </w:tc>
      </w:tr>
      <w:tr w:rsidR="0090392D" w14:paraId="5B213141" w14:textId="66B1BBEB" w:rsidTr="0090392D">
        <w:trPr>
          <w:trHeight w:val="266"/>
        </w:trPr>
        <w:tc>
          <w:tcPr>
            <w:tcW w:w="3539" w:type="dxa"/>
            <w:vMerge/>
          </w:tcPr>
          <w:p w14:paraId="27546F2C" w14:textId="0995A652" w:rsidR="0090392D" w:rsidRPr="001F7AB2" w:rsidRDefault="0090392D" w:rsidP="001F7AB2">
            <w:pPr>
              <w:pStyle w:val="Default"/>
              <w:jc w:val="both"/>
              <w:rPr>
                <w:rFonts w:ascii="Times New Roman" w:hAnsi="Times New Roman" w:cstheme="minorBidi"/>
                <w:b/>
                <w:bCs/>
                <w:color w:val="auto"/>
                <w:sz w:val="20"/>
                <w:szCs w:val="20"/>
                <w:lang w:val="en"/>
              </w:rPr>
            </w:pPr>
          </w:p>
        </w:tc>
        <w:tc>
          <w:tcPr>
            <w:tcW w:w="3544" w:type="dxa"/>
          </w:tcPr>
          <w:p w14:paraId="6D39BD54" w14:textId="78E7DB1B" w:rsidR="0090392D" w:rsidRPr="008F34C7" w:rsidRDefault="0090392D" w:rsidP="005C4906">
            <w:pPr>
              <w:pStyle w:val="Default"/>
              <w:jc w:val="both"/>
              <w:rPr>
                <w:rFonts w:ascii="Times New Roman" w:hAnsi="Times New Roman" w:cstheme="minorBidi"/>
                <w:color w:val="auto"/>
                <w:sz w:val="20"/>
                <w:szCs w:val="20"/>
                <w:lang w:val="en"/>
              </w:rPr>
            </w:pPr>
            <w:r w:rsidRPr="008F34C7">
              <w:rPr>
                <w:rFonts w:ascii="Times New Roman" w:hAnsi="Times New Roman" w:cstheme="minorBidi"/>
                <w:color w:val="auto"/>
                <w:sz w:val="20"/>
                <w:szCs w:val="20"/>
                <w:lang w:val="en"/>
              </w:rPr>
              <w:t xml:space="preserve">Dizziness </w:t>
            </w:r>
          </w:p>
        </w:tc>
        <w:tc>
          <w:tcPr>
            <w:tcW w:w="1984" w:type="dxa"/>
          </w:tcPr>
          <w:p w14:paraId="51640AAE" w14:textId="1F75AD19" w:rsidR="0090392D" w:rsidRPr="008F34C7" w:rsidRDefault="0090392D" w:rsidP="005C4906">
            <w:pPr>
              <w:pStyle w:val="Default"/>
              <w:jc w:val="both"/>
              <w:rPr>
                <w:rFonts w:ascii="Times New Roman" w:hAnsi="Times New Roman" w:cstheme="minorBidi"/>
                <w:color w:val="auto"/>
                <w:sz w:val="20"/>
                <w:szCs w:val="20"/>
                <w:lang w:val="en"/>
              </w:rPr>
            </w:pPr>
            <w:r w:rsidRPr="001F7AB2">
              <w:rPr>
                <w:rFonts w:ascii="Times New Roman" w:hAnsi="Times New Roman" w:cstheme="minorBidi"/>
                <w:color w:val="auto"/>
                <w:sz w:val="20"/>
                <w:szCs w:val="20"/>
                <w:lang w:val="en"/>
              </w:rPr>
              <w:t>Common</w:t>
            </w:r>
          </w:p>
        </w:tc>
      </w:tr>
      <w:tr w:rsidR="0090392D" w14:paraId="01DB5ED7" w14:textId="50779BBC" w:rsidTr="0090392D">
        <w:trPr>
          <w:trHeight w:val="266"/>
        </w:trPr>
        <w:tc>
          <w:tcPr>
            <w:tcW w:w="3539" w:type="dxa"/>
            <w:vMerge/>
          </w:tcPr>
          <w:p w14:paraId="0A5E48BA" w14:textId="77777777" w:rsidR="0090392D" w:rsidRPr="001F7AB2" w:rsidRDefault="0090392D" w:rsidP="001F7AB2">
            <w:pPr>
              <w:pStyle w:val="Default"/>
              <w:jc w:val="both"/>
              <w:rPr>
                <w:rFonts w:ascii="Times New Roman" w:hAnsi="Times New Roman" w:cstheme="minorBidi"/>
                <w:b/>
                <w:bCs/>
                <w:color w:val="auto"/>
                <w:sz w:val="20"/>
                <w:szCs w:val="20"/>
                <w:lang w:val="en"/>
              </w:rPr>
            </w:pPr>
          </w:p>
        </w:tc>
        <w:tc>
          <w:tcPr>
            <w:tcW w:w="3544" w:type="dxa"/>
          </w:tcPr>
          <w:p w14:paraId="5E18CD2D" w14:textId="71CD9D55" w:rsidR="0090392D" w:rsidRPr="008F34C7" w:rsidRDefault="0090392D" w:rsidP="5683568A">
            <w:pPr>
              <w:pStyle w:val="Default"/>
              <w:jc w:val="both"/>
              <w:rPr>
                <w:rFonts w:ascii="Times New Roman" w:hAnsi="Times New Roman" w:cstheme="minorBidi"/>
                <w:color w:val="auto"/>
                <w:sz w:val="20"/>
                <w:szCs w:val="20"/>
              </w:rPr>
            </w:pPr>
            <w:r w:rsidRPr="5683568A">
              <w:rPr>
                <w:rFonts w:ascii="Times New Roman" w:hAnsi="Times New Roman" w:cstheme="minorBidi"/>
                <w:color w:val="auto"/>
                <w:sz w:val="20"/>
                <w:szCs w:val="20"/>
              </w:rPr>
              <w:t xml:space="preserve">Wernicke's </w:t>
            </w:r>
            <w:proofErr w:type="spellStart"/>
            <w:r w:rsidRPr="5683568A">
              <w:rPr>
                <w:rFonts w:ascii="Times New Roman" w:hAnsi="Times New Roman" w:cstheme="minorBidi"/>
                <w:color w:val="auto"/>
                <w:sz w:val="20"/>
                <w:szCs w:val="20"/>
              </w:rPr>
              <w:t>encephalopathy</w:t>
            </w:r>
            <w:r>
              <w:rPr>
                <w:sz w:val="20"/>
                <w:szCs w:val="20"/>
                <w:vertAlign w:val="superscript"/>
              </w:rPr>
              <w:t>b</w:t>
            </w:r>
            <w:proofErr w:type="spellEnd"/>
            <w:r>
              <w:rPr>
                <w:sz w:val="20"/>
                <w:szCs w:val="20"/>
                <w:vertAlign w:val="superscript"/>
              </w:rPr>
              <w:t xml:space="preserve">, </w:t>
            </w:r>
            <w:r w:rsidRPr="5683568A">
              <w:rPr>
                <w:rFonts w:ascii="Times New Roman" w:hAnsi="Times New Roman" w:cstheme="minorBidi"/>
                <w:color w:val="auto"/>
                <w:sz w:val="20"/>
                <w:szCs w:val="20"/>
                <w:vertAlign w:val="superscript"/>
              </w:rPr>
              <w:t>c</w:t>
            </w:r>
          </w:p>
        </w:tc>
        <w:tc>
          <w:tcPr>
            <w:tcW w:w="1984" w:type="dxa"/>
          </w:tcPr>
          <w:p w14:paraId="78842DBB" w14:textId="5DD3BF3D" w:rsidR="0090392D" w:rsidRPr="008F34C7" w:rsidRDefault="0090392D" w:rsidP="005C4906">
            <w:pPr>
              <w:pStyle w:val="Default"/>
              <w:jc w:val="both"/>
              <w:rPr>
                <w:rFonts w:ascii="Times New Roman" w:hAnsi="Times New Roman" w:cstheme="minorBidi"/>
                <w:color w:val="auto"/>
                <w:sz w:val="20"/>
                <w:szCs w:val="20"/>
                <w:lang w:val="en"/>
              </w:rPr>
            </w:pPr>
            <w:r w:rsidRPr="001F7AB2">
              <w:rPr>
                <w:rFonts w:ascii="Times New Roman" w:hAnsi="Times New Roman" w:cstheme="minorBidi"/>
                <w:color w:val="auto"/>
                <w:sz w:val="20"/>
                <w:szCs w:val="20"/>
                <w:lang w:val="en"/>
              </w:rPr>
              <w:t>Common</w:t>
            </w:r>
          </w:p>
        </w:tc>
      </w:tr>
      <w:tr w:rsidR="0090392D" w14:paraId="05BB1FB6" w14:textId="77777777" w:rsidTr="0090392D">
        <w:trPr>
          <w:trHeight w:val="330"/>
        </w:trPr>
        <w:tc>
          <w:tcPr>
            <w:tcW w:w="3539" w:type="dxa"/>
          </w:tcPr>
          <w:p w14:paraId="02AFC5A0" w14:textId="005581D4" w:rsidR="0090392D" w:rsidRPr="001F7AB2" w:rsidRDefault="0090392D" w:rsidP="008E2F20">
            <w:pPr>
              <w:pStyle w:val="Default"/>
              <w:jc w:val="both"/>
              <w:rPr>
                <w:rFonts w:ascii="Times New Roman" w:hAnsi="Times New Roman" w:cstheme="minorBidi"/>
                <w:b/>
                <w:bCs/>
                <w:color w:val="auto"/>
                <w:sz w:val="20"/>
                <w:szCs w:val="20"/>
                <w:lang w:val="en"/>
              </w:rPr>
            </w:pPr>
            <w:r>
              <w:rPr>
                <w:rFonts w:ascii="Times New Roman" w:hAnsi="Times New Roman" w:cstheme="minorBidi"/>
                <w:b/>
                <w:bCs/>
                <w:color w:val="auto"/>
                <w:sz w:val="20"/>
                <w:szCs w:val="20"/>
                <w:lang w:val="en"/>
              </w:rPr>
              <w:t>Eye disorders</w:t>
            </w:r>
          </w:p>
        </w:tc>
        <w:tc>
          <w:tcPr>
            <w:tcW w:w="3544" w:type="dxa"/>
          </w:tcPr>
          <w:p w14:paraId="2C3D33D0" w14:textId="187639F7" w:rsidR="0090392D" w:rsidRPr="008F34C7" w:rsidRDefault="0090392D" w:rsidP="008E2F20">
            <w:pPr>
              <w:pStyle w:val="Default"/>
              <w:jc w:val="both"/>
              <w:rPr>
                <w:rFonts w:ascii="Times New Roman" w:hAnsi="Times New Roman" w:cstheme="minorBidi"/>
                <w:color w:val="auto"/>
                <w:sz w:val="20"/>
                <w:szCs w:val="20"/>
                <w:lang w:val="en"/>
              </w:rPr>
            </w:pPr>
            <w:r>
              <w:rPr>
                <w:rFonts w:ascii="Times New Roman" w:hAnsi="Times New Roman" w:cstheme="minorBidi"/>
                <w:color w:val="auto"/>
                <w:sz w:val="20"/>
                <w:szCs w:val="20"/>
                <w:lang w:val="en"/>
              </w:rPr>
              <w:t>Uveitis</w:t>
            </w:r>
            <w:r w:rsidRPr="5683568A">
              <w:rPr>
                <w:rFonts w:ascii="Times New Roman" w:hAnsi="Times New Roman" w:cstheme="minorBidi"/>
                <w:color w:val="auto"/>
                <w:sz w:val="20"/>
                <w:szCs w:val="20"/>
                <w:vertAlign w:val="superscript"/>
              </w:rPr>
              <w:t>d</w:t>
            </w:r>
          </w:p>
        </w:tc>
        <w:tc>
          <w:tcPr>
            <w:tcW w:w="1984" w:type="dxa"/>
          </w:tcPr>
          <w:p w14:paraId="42F97E3E" w14:textId="09843080" w:rsidR="0090392D" w:rsidRPr="008F34C7" w:rsidDel="005B2E16" w:rsidRDefault="0090392D" w:rsidP="008E2F20">
            <w:pPr>
              <w:pStyle w:val="Default"/>
              <w:jc w:val="both"/>
              <w:rPr>
                <w:rFonts w:ascii="Times New Roman" w:hAnsi="Times New Roman" w:cstheme="minorBidi"/>
                <w:color w:val="auto"/>
                <w:sz w:val="20"/>
                <w:szCs w:val="20"/>
                <w:lang w:val="en"/>
              </w:rPr>
            </w:pPr>
            <w:r>
              <w:rPr>
                <w:rFonts w:ascii="Times New Roman" w:hAnsi="Times New Roman" w:cstheme="minorBidi"/>
                <w:color w:val="auto"/>
                <w:sz w:val="20"/>
                <w:szCs w:val="20"/>
                <w:lang w:val="en"/>
              </w:rPr>
              <w:t>Common</w:t>
            </w:r>
          </w:p>
        </w:tc>
      </w:tr>
      <w:tr w:rsidR="0090392D" w14:paraId="4F1BFEDA" w14:textId="45B57B3F" w:rsidTr="0090392D">
        <w:trPr>
          <w:trHeight w:val="330"/>
        </w:trPr>
        <w:tc>
          <w:tcPr>
            <w:tcW w:w="3539" w:type="dxa"/>
          </w:tcPr>
          <w:p w14:paraId="3C2CC096" w14:textId="7819AFE6" w:rsidR="0090392D" w:rsidRPr="001F7AB2" w:rsidRDefault="0090392D" w:rsidP="008E2F20">
            <w:pPr>
              <w:pStyle w:val="Default"/>
              <w:jc w:val="both"/>
              <w:rPr>
                <w:rFonts w:ascii="Times New Roman" w:hAnsi="Times New Roman" w:cstheme="minorBidi"/>
                <w:b/>
                <w:bCs/>
                <w:color w:val="auto"/>
                <w:sz w:val="20"/>
                <w:szCs w:val="20"/>
                <w:lang w:val="en"/>
              </w:rPr>
            </w:pPr>
            <w:r w:rsidRPr="001F7AB2">
              <w:rPr>
                <w:rFonts w:ascii="Times New Roman" w:hAnsi="Times New Roman" w:cstheme="minorBidi"/>
                <w:b/>
                <w:bCs/>
                <w:color w:val="auto"/>
                <w:sz w:val="20"/>
                <w:szCs w:val="20"/>
                <w:lang w:val="en"/>
              </w:rPr>
              <w:t xml:space="preserve">Vascular disorders </w:t>
            </w:r>
          </w:p>
        </w:tc>
        <w:tc>
          <w:tcPr>
            <w:tcW w:w="3544" w:type="dxa"/>
          </w:tcPr>
          <w:p w14:paraId="1BE5025A" w14:textId="1A774AC3" w:rsidR="0090392D" w:rsidRPr="008F34C7" w:rsidRDefault="0090392D" w:rsidP="008E2F20">
            <w:pPr>
              <w:pStyle w:val="Default"/>
              <w:jc w:val="both"/>
              <w:rPr>
                <w:rFonts w:ascii="Times New Roman" w:hAnsi="Times New Roman" w:cstheme="minorBidi"/>
                <w:color w:val="auto"/>
                <w:sz w:val="20"/>
                <w:szCs w:val="20"/>
                <w:lang w:val="en"/>
              </w:rPr>
            </w:pPr>
            <w:r w:rsidRPr="008F34C7">
              <w:rPr>
                <w:rFonts w:ascii="Times New Roman" w:hAnsi="Times New Roman" w:cstheme="minorBidi"/>
                <w:color w:val="auto"/>
                <w:sz w:val="20"/>
                <w:szCs w:val="20"/>
                <w:lang w:val="en"/>
              </w:rPr>
              <w:t>Hypertension</w:t>
            </w:r>
          </w:p>
        </w:tc>
        <w:tc>
          <w:tcPr>
            <w:tcW w:w="1984" w:type="dxa"/>
          </w:tcPr>
          <w:p w14:paraId="758919AB" w14:textId="0C7E0BA9" w:rsidR="0090392D" w:rsidRPr="008F34C7" w:rsidRDefault="0090392D" w:rsidP="008E2F20">
            <w:pPr>
              <w:pStyle w:val="Default"/>
              <w:jc w:val="both"/>
              <w:rPr>
                <w:rFonts w:ascii="Times New Roman" w:hAnsi="Times New Roman" w:cstheme="minorBidi"/>
                <w:color w:val="auto"/>
                <w:sz w:val="20"/>
                <w:szCs w:val="20"/>
                <w:lang w:val="en"/>
              </w:rPr>
            </w:pPr>
            <w:r>
              <w:rPr>
                <w:rFonts w:ascii="Times New Roman" w:hAnsi="Times New Roman" w:cstheme="minorBidi"/>
                <w:color w:val="auto"/>
                <w:sz w:val="20"/>
                <w:szCs w:val="20"/>
                <w:lang w:val="en"/>
              </w:rPr>
              <w:t>Uncommon</w:t>
            </w:r>
          </w:p>
        </w:tc>
      </w:tr>
      <w:tr w:rsidR="0090392D" w14:paraId="21472879" w14:textId="5D872160" w:rsidTr="0090392D">
        <w:trPr>
          <w:trHeight w:val="310"/>
        </w:trPr>
        <w:tc>
          <w:tcPr>
            <w:tcW w:w="3539" w:type="dxa"/>
            <w:vMerge w:val="restart"/>
          </w:tcPr>
          <w:p w14:paraId="47750B05" w14:textId="5A9204AC" w:rsidR="0090392D" w:rsidRPr="001F7AB2" w:rsidRDefault="0090392D" w:rsidP="001F7AB2">
            <w:pPr>
              <w:pStyle w:val="Default"/>
              <w:jc w:val="both"/>
              <w:rPr>
                <w:rFonts w:ascii="Times New Roman" w:hAnsi="Times New Roman" w:cstheme="minorBidi"/>
                <w:b/>
                <w:bCs/>
                <w:color w:val="auto"/>
                <w:sz w:val="20"/>
                <w:szCs w:val="20"/>
                <w:lang w:val="en"/>
              </w:rPr>
            </w:pPr>
            <w:r w:rsidRPr="001F7AB2">
              <w:rPr>
                <w:rFonts w:ascii="Times New Roman" w:hAnsi="Times New Roman" w:cstheme="minorBidi"/>
                <w:b/>
                <w:bCs/>
                <w:color w:val="auto"/>
                <w:sz w:val="20"/>
                <w:szCs w:val="20"/>
                <w:lang w:val="en"/>
              </w:rPr>
              <w:t xml:space="preserve">Gastrointestinal disorders </w:t>
            </w:r>
          </w:p>
          <w:p w14:paraId="3FDAD665" w14:textId="2ECA0FC1" w:rsidR="0090392D" w:rsidRPr="001F7AB2" w:rsidRDefault="0090392D" w:rsidP="00F91565">
            <w:pPr>
              <w:rPr>
                <w:b/>
                <w:bCs/>
                <w:sz w:val="20"/>
                <w:szCs w:val="20"/>
                <w:lang w:val="en"/>
              </w:rPr>
            </w:pPr>
          </w:p>
        </w:tc>
        <w:tc>
          <w:tcPr>
            <w:tcW w:w="3544" w:type="dxa"/>
          </w:tcPr>
          <w:p w14:paraId="495FC0D3" w14:textId="18CB2DB7" w:rsidR="0090392D" w:rsidRPr="008F34C7" w:rsidRDefault="0090392D" w:rsidP="00F91565">
            <w:pPr>
              <w:rPr>
                <w:sz w:val="20"/>
                <w:szCs w:val="20"/>
                <w:lang w:val="en"/>
              </w:rPr>
            </w:pPr>
            <w:proofErr w:type="spellStart"/>
            <w:r w:rsidRPr="008F34C7">
              <w:rPr>
                <w:sz w:val="20"/>
                <w:szCs w:val="20"/>
                <w:lang w:val="en"/>
              </w:rPr>
              <w:t>Diarrhoea</w:t>
            </w:r>
            <w:proofErr w:type="spellEnd"/>
          </w:p>
        </w:tc>
        <w:tc>
          <w:tcPr>
            <w:tcW w:w="1984" w:type="dxa"/>
          </w:tcPr>
          <w:p w14:paraId="583B1F48" w14:textId="605CD2C8" w:rsidR="0090392D" w:rsidRPr="00A44D7A" w:rsidRDefault="0090392D" w:rsidP="00A44D7A">
            <w:pPr>
              <w:pStyle w:val="Default"/>
              <w:jc w:val="both"/>
              <w:rPr>
                <w:rFonts w:ascii="Times New Roman" w:hAnsi="Times New Roman" w:cstheme="minorBidi"/>
                <w:color w:val="auto"/>
                <w:sz w:val="20"/>
                <w:szCs w:val="20"/>
              </w:rPr>
            </w:pPr>
            <w:r w:rsidRPr="57AD90B9">
              <w:rPr>
                <w:rFonts w:ascii="Times New Roman" w:hAnsi="Times New Roman" w:cstheme="minorBidi"/>
                <w:color w:val="auto"/>
                <w:sz w:val="20"/>
                <w:szCs w:val="20"/>
              </w:rPr>
              <w:t>Very common</w:t>
            </w:r>
          </w:p>
        </w:tc>
      </w:tr>
      <w:tr w:rsidR="0090392D" w14:paraId="6BD99F17" w14:textId="64B59027" w:rsidTr="0090392D">
        <w:trPr>
          <w:trHeight w:val="310"/>
        </w:trPr>
        <w:tc>
          <w:tcPr>
            <w:tcW w:w="3539" w:type="dxa"/>
            <w:vMerge/>
          </w:tcPr>
          <w:p w14:paraId="1EE47C97" w14:textId="1D92B8D8" w:rsidR="0090392D" w:rsidRPr="001F7AB2" w:rsidRDefault="0090392D" w:rsidP="001F7AB2">
            <w:pPr>
              <w:pStyle w:val="Default"/>
              <w:jc w:val="both"/>
              <w:rPr>
                <w:rFonts w:ascii="Times New Roman" w:hAnsi="Times New Roman" w:cstheme="minorBidi"/>
                <w:b/>
                <w:bCs/>
                <w:color w:val="auto"/>
                <w:sz w:val="20"/>
                <w:szCs w:val="20"/>
                <w:lang w:val="en"/>
              </w:rPr>
            </w:pPr>
          </w:p>
        </w:tc>
        <w:tc>
          <w:tcPr>
            <w:tcW w:w="3544" w:type="dxa"/>
          </w:tcPr>
          <w:p w14:paraId="3E8C7490" w14:textId="47B7EB28" w:rsidR="0090392D" w:rsidRPr="008F34C7" w:rsidRDefault="0090392D" w:rsidP="00F91565">
            <w:pPr>
              <w:rPr>
                <w:sz w:val="20"/>
                <w:szCs w:val="20"/>
                <w:lang w:val="en"/>
              </w:rPr>
            </w:pPr>
            <w:r w:rsidRPr="008F34C7">
              <w:rPr>
                <w:sz w:val="20"/>
                <w:szCs w:val="20"/>
                <w:lang w:val="en"/>
              </w:rPr>
              <w:t>Vomiting</w:t>
            </w:r>
            <w:r>
              <w:rPr>
                <w:sz w:val="20"/>
                <w:szCs w:val="20"/>
                <w:lang w:val="en"/>
              </w:rPr>
              <w:t xml:space="preserve"> </w:t>
            </w:r>
          </w:p>
        </w:tc>
        <w:tc>
          <w:tcPr>
            <w:tcW w:w="1984" w:type="dxa"/>
          </w:tcPr>
          <w:p w14:paraId="2D608BA2" w14:textId="6EC8E39C" w:rsidR="0090392D" w:rsidRPr="001F7AB2" w:rsidRDefault="0090392D" w:rsidP="00A44D7A">
            <w:pPr>
              <w:pStyle w:val="Default"/>
              <w:jc w:val="both"/>
              <w:rPr>
                <w:rFonts w:ascii="Times New Roman" w:hAnsi="Times New Roman" w:cstheme="minorBidi"/>
                <w:color w:val="auto"/>
                <w:sz w:val="20"/>
                <w:szCs w:val="20"/>
              </w:rPr>
            </w:pPr>
            <w:r w:rsidRPr="57AD90B9">
              <w:rPr>
                <w:rFonts w:ascii="Times New Roman" w:hAnsi="Times New Roman" w:cstheme="minorBidi"/>
                <w:color w:val="auto"/>
                <w:sz w:val="20"/>
                <w:szCs w:val="20"/>
              </w:rPr>
              <w:t>Very common</w:t>
            </w:r>
          </w:p>
        </w:tc>
      </w:tr>
      <w:tr w:rsidR="0090392D" w14:paraId="28DF5C7E" w14:textId="6AAF99CE" w:rsidTr="0090392D">
        <w:trPr>
          <w:trHeight w:val="310"/>
        </w:trPr>
        <w:tc>
          <w:tcPr>
            <w:tcW w:w="3539" w:type="dxa"/>
            <w:vMerge/>
          </w:tcPr>
          <w:p w14:paraId="506DFC33" w14:textId="6029D516" w:rsidR="0090392D" w:rsidRPr="001F7AB2" w:rsidRDefault="0090392D" w:rsidP="001F7AB2">
            <w:pPr>
              <w:pStyle w:val="Default"/>
              <w:jc w:val="both"/>
              <w:rPr>
                <w:rFonts w:ascii="Times New Roman" w:hAnsi="Times New Roman" w:cstheme="minorBidi"/>
                <w:b/>
                <w:bCs/>
                <w:color w:val="auto"/>
                <w:sz w:val="20"/>
                <w:szCs w:val="20"/>
                <w:lang w:val="en"/>
              </w:rPr>
            </w:pPr>
          </w:p>
        </w:tc>
        <w:tc>
          <w:tcPr>
            <w:tcW w:w="3544" w:type="dxa"/>
          </w:tcPr>
          <w:p w14:paraId="26710BDE" w14:textId="660D62FD" w:rsidR="0090392D" w:rsidRPr="008F34C7" w:rsidRDefault="0090392D" w:rsidP="00F91565">
            <w:pPr>
              <w:rPr>
                <w:sz w:val="20"/>
                <w:szCs w:val="20"/>
                <w:lang w:val="en"/>
              </w:rPr>
            </w:pPr>
            <w:r w:rsidRPr="008F34C7">
              <w:rPr>
                <w:sz w:val="20"/>
                <w:szCs w:val="20"/>
                <w:lang w:val="en"/>
              </w:rPr>
              <w:t>Nausea</w:t>
            </w:r>
            <w:r>
              <w:rPr>
                <w:sz w:val="20"/>
                <w:szCs w:val="20"/>
                <w:lang w:val="en"/>
              </w:rPr>
              <w:t xml:space="preserve"> </w:t>
            </w:r>
          </w:p>
        </w:tc>
        <w:tc>
          <w:tcPr>
            <w:tcW w:w="1984" w:type="dxa"/>
          </w:tcPr>
          <w:p w14:paraId="59E1073C" w14:textId="2C3F52A3" w:rsidR="0090392D" w:rsidRPr="001F7AB2" w:rsidRDefault="0090392D" w:rsidP="00A44D7A">
            <w:pPr>
              <w:pStyle w:val="Default"/>
              <w:jc w:val="both"/>
              <w:rPr>
                <w:rFonts w:ascii="Times New Roman" w:hAnsi="Times New Roman" w:cstheme="minorBidi"/>
                <w:color w:val="auto"/>
                <w:sz w:val="20"/>
                <w:szCs w:val="20"/>
              </w:rPr>
            </w:pPr>
            <w:r w:rsidRPr="57AD90B9">
              <w:rPr>
                <w:rFonts w:ascii="Times New Roman" w:hAnsi="Times New Roman" w:cstheme="minorBidi"/>
                <w:color w:val="auto"/>
                <w:sz w:val="20"/>
                <w:szCs w:val="20"/>
              </w:rPr>
              <w:t>Very common</w:t>
            </w:r>
          </w:p>
        </w:tc>
      </w:tr>
      <w:tr w:rsidR="0090392D" w14:paraId="2DE357A8" w14:textId="1A56A596" w:rsidTr="0090392D">
        <w:trPr>
          <w:trHeight w:val="272"/>
        </w:trPr>
        <w:tc>
          <w:tcPr>
            <w:tcW w:w="3539" w:type="dxa"/>
            <w:vMerge/>
          </w:tcPr>
          <w:p w14:paraId="042F8E5A" w14:textId="064CEE99" w:rsidR="0090392D" w:rsidRPr="001F7AB2" w:rsidRDefault="0090392D" w:rsidP="001F7AB2">
            <w:pPr>
              <w:pStyle w:val="Default"/>
              <w:jc w:val="both"/>
              <w:rPr>
                <w:rFonts w:ascii="Times New Roman" w:hAnsi="Times New Roman" w:cstheme="minorBidi"/>
                <w:b/>
                <w:bCs/>
                <w:color w:val="auto"/>
                <w:sz w:val="20"/>
                <w:szCs w:val="20"/>
                <w:lang w:val="en"/>
              </w:rPr>
            </w:pPr>
          </w:p>
        </w:tc>
        <w:tc>
          <w:tcPr>
            <w:tcW w:w="3544" w:type="dxa"/>
          </w:tcPr>
          <w:p w14:paraId="2F74C62C" w14:textId="4EC727BE" w:rsidR="0090392D" w:rsidRPr="008F34C7" w:rsidRDefault="0090392D" w:rsidP="00F91565">
            <w:pPr>
              <w:rPr>
                <w:sz w:val="20"/>
                <w:szCs w:val="20"/>
                <w:lang w:val="en"/>
              </w:rPr>
            </w:pPr>
            <w:r w:rsidRPr="008F34C7">
              <w:rPr>
                <w:sz w:val="20"/>
                <w:szCs w:val="20"/>
                <w:lang w:val="en"/>
              </w:rPr>
              <w:t xml:space="preserve">Dyspepsia </w:t>
            </w:r>
          </w:p>
        </w:tc>
        <w:tc>
          <w:tcPr>
            <w:tcW w:w="1984" w:type="dxa"/>
          </w:tcPr>
          <w:p w14:paraId="6E4811AD" w14:textId="3294CC50" w:rsidR="0090392D" w:rsidRPr="00A44D7A" w:rsidRDefault="0090392D" w:rsidP="00A44D7A">
            <w:pPr>
              <w:pStyle w:val="Default"/>
              <w:jc w:val="both"/>
              <w:rPr>
                <w:rFonts w:ascii="Times New Roman" w:hAnsi="Times New Roman" w:cstheme="minorBidi"/>
                <w:color w:val="auto"/>
                <w:sz w:val="20"/>
                <w:szCs w:val="20"/>
                <w:lang w:val="en"/>
              </w:rPr>
            </w:pPr>
            <w:r w:rsidRPr="001F7AB2">
              <w:rPr>
                <w:rFonts w:ascii="Times New Roman" w:hAnsi="Times New Roman" w:cstheme="minorBidi"/>
                <w:color w:val="auto"/>
                <w:sz w:val="20"/>
                <w:szCs w:val="20"/>
                <w:lang w:val="en"/>
              </w:rPr>
              <w:t>Common</w:t>
            </w:r>
          </w:p>
        </w:tc>
      </w:tr>
      <w:tr w:rsidR="0090392D" w14:paraId="12E6D315" w14:textId="4B92CC0B" w:rsidTr="0090392D">
        <w:trPr>
          <w:trHeight w:val="322"/>
        </w:trPr>
        <w:tc>
          <w:tcPr>
            <w:tcW w:w="3539" w:type="dxa"/>
            <w:vMerge w:val="restart"/>
          </w:tcPr>
          <w:p w14:paraId="0EF7A20E" w14:textId="45A58DB6" w:rsidR="0090392D" w:rsidRPr="001F7AB2" w:rsidRDefault="0090392D" w:rsidP="001F7AB2">
            <w:pPr>
              <w:pStyle w:val="Default"/>
              <w:jc w:val="both"/>
              <w:rPr>
                <w:rFonts w:ascii="Times New Roman" w:hAnsi="Times New Roman" w:cstheme="minorBidi"/>
                <w:b/>
                <w:bCs/>
                <w:color w:val="auto"/>
                <w:sz w:val="20"/>
                <w:szCs w:val="20"/>
                <w:lang w:val="en"/>
              </w:rPr>
            </w:pPr>
            <w:r w:rsidRPr="001F7AB2">
              <w:rPr>
                <w:rFonts w:ascii="Times New Roman" w:hAnsi="Times New Roman" w:cstheme="minorBidi"/>
                <w:b/>
                <w:bCs/>
                <w:color w:val="auto"/>
                <w:sz w:val="20"/>
                <w:szCs w:val="20"/>
                <w:lang w:val="en"/>
              </w:rPr>
              <w:t>Hepatobiliary disorders</w:t>
            </w:r>
          </w:p>
        </w:tc>
        <w:tc>
          <w:tcPr>
            <w:tcW w:w="3544" w:type="dxa"/>
          </w:tcPr>
          <w:p w14:paraId="4D10A716" w14:textId="7B1A14AF" w:rsidR="0090392D" w:rsidRPr="008F34C7" w:rsidRDefault="0090392D" w:rsidP="002F365C">
            <w:pPr>
              <w:rPr>
                <w:sz w:val="20"/>
                <w:szCs w:val="20"/>
                <w:lang w:val="en-US"/>
              </w:rPr>
            </w:pPr>
            <w:r w:rsidRPr="008F34C7">
              <w:rPr>
                <w:sz w:val="20"/>
                <w:szCs w:val="20"/>
                <w:lang w:val="en"/>
              </w:rPr>
              <w:t>Alanine aminotransferase increased</w:t>
            </w:r>
          </w:p>
        </w:tc>
        <w:tc>
          <w:tcPr>
            <w:tcW w:w="1984" w:type="dxa"/>
          </w:tcPr>
          <w:p w14:paraId="7FE0588A" w14:textId="3298735D" w:rsidR="0090392D" w:rsidRPr="00A44D7A" w:rsidRDefault="0090392D" w:rsidP="00A44D7A">
            <w:pPr>
              <w:pStyle w:val="Default"/>
              <w:jc w:val="both"/>
              <w:rPr>
                <w:rFonts w:ascii="Times New Roman" w:hAnsi="Times New Roman" w:cstheme="minorBidi"/>
                <w:color w:val="auto"/>
                <w:sz w:val="20"/>
                <w:szCs w:val="20"/>
              </w:rPr>
            </w:pPr>
            <w:r>
              <w:rPr>
                <w:rFonts w:ascii="Times New Roman" w:hAnsi="Times New Roman" w:cstheme="minorBidi"/>
                <w:color w:val="auto"/>
                <w:sz w:val="20"/>
                <w:szCs w:val="20"/>
              </w:rPr>
              <w:t>Common</w:t>
            </w:r>
          </w:p>
        </w:tc>
      </w:tr>
      <w:tr w:rsidR="0090392D" w14:paraId="202D8B12" w14:textId="60B1166E" w:rsidTr="0090392D">
        <w:trPr>
          <w:trHeight w:val="322"/>
        </w:trPr>
        <w:tc>
          <w:tcPr>
            <w:tcW w:w="3539" w:type="dxa"/>
            <w:vMerge/>
          </w:tcPr>
          <w:p w14:paraId="28F200DB" w14:textId="77777777" w:rsidR="0090392D" w:rsidRPr="001F7AB2" w:rsidRDefault="0090392D" w:rsidP="001F7AB2">
            <w:pPr>
              <w:pStyle w:val="Default"/>
              <w:jc w:val="both"/>
              <w:rPr>
                <w:rFonts w:ascii="Times New Roman" w:hAnsi="Times New Roman" w:cstheme="minorBidi"/>
                <w:b/>
                <w:bCs/>
                <w:color w:val="auto"/>
                <w:sz w:val="20"/>
                <w:szCs w:val="20"/>
                <w:lang w:val="en"/>
              </w:rPr>
            </w:pPr>
          </w:p>
        </w:tc>
        <w:tc>
          <w:tcPr>
            <w:tcW w:w="3544" w:type="dxa"/>
          </w:tcPr>
          <w:p w14:paraId="6717A686" w14:textId="7EA8BA50" w:rsidR="0090392D" w:rsidRPr="008F34C7" w:rsidRDefault="0090392D" w:rsidP="002F365C">
            <w:pPr>
              <w:rPr>
                <w:sz w:val="20"/>
                <w:szCs w:val="20"/>
                <w:lang w:val="en-US"/>
              </w:rPr>
            </w:pPr>
            <w:r w:rsidRPr="57AD90B9">
              <w:rPr>
                <w:sz w:val="20"/>
                <w:szCs w:val="20"/>
                <w:lang w:val="en-US"/>
              </w:rPr>
              <w:t>Aspartate aminotransferase increased</w:t>
            </w:r>
          </w:p>
        </w:tc>
        <w:tc>
          <w:tcPr>
            <w:tcW w:w="1984" w:type="dxa"/>
          </w:tcPr>
          <w:p w14:paraId="115C6223" w14:textId="2A009C4E" w:rsidR="0090392D" w:rsidRPr="001F7AB2" w:rsidRDefault="0090392D" w:rsidP="00A44D7A">
            <w:pPr>
              <w:pStyle w:val="Default"/>
              <w:jc w:val="both"/>
              <w:rPr>
                <w:rFonts w:ascii="Times New Roman" w:hAnsi="Times New Roman" w:cstheme="minorBidi"/>
                <w:color w:val="auto"/>
                <w:sz w:val="20"/>
                <w:szCs w:val="20"/>
              </w:rPr>
            </w:pPr>
            <w:r>
              <w:rPr>
                <w:rFonts w:ascii="Times New Roman" w:hAnsi="Times New Roman" w:cstheme="minorBidi"/>
                <w:color w:val="auto"/>
                <w:sz w:val="20"/>
                <w:szCs w:val="20"/>
              </w:rPr>
              <w:t>Common</w:t>
            </w:r>
          </w:p>
        </w:tc>
      </w:tr>
      <w:tr w:rsidR="0090392D" w14:paraId="0531EF91" w14:textId="2FB4149F" w:rsidTr="0090392D">
        <w:trPr>
          <w:trHeight w:val="316"/>
        </w:trPr>
        <w:tc>
          <w:tcPr>
            <w:tcW w:w="3539" w:type="dxa"/>
            <w:vMerge w:val="restart"/>
          </w:tcPr>
          <w:p w14:paraId="5E996F0D" w14:textId="74791EF2" w:rsidR="0090392D" w:rsidRPr="001F7AB2" w:rsidRDefault="0090392D" w:rsidP="001F7AB2">
            <w:pPr>
              <w:pStyle w:val="Default"/>
              <w:jc w:val="both"/>
              <w:rPr>
                <w:rFonts w:ascii="Times New Roman" w:hAnsi="Times New Roman" w:cstheme="minorBidi"/>
                <w:b/>
                <w:bCs/>
                <w:color w:val="auto"/>
                <w:sz w:val="20"/>
                <w:szCs w:val="20"/>
                <w:lang w:val="en"/>
              </w:rPr>
            </w:pPr>
            <w:r w:rsidRPr="001F7AB2">
              <w:rPr>
                <w:rFonts w:ascii="Times New Roman" w:hAnsi="Times New Roman" w:cstheme="minorBidi"/>
                <w:b/>
                <w:bCs/>
                <w:color w:val="auto"/>
                <w:sz w:val="20"/>
                <w:szCs w:val="20"/>
                <w:lang w:val="en"/>
              </w:rPr>
              <w:t xml:space="preserve">Musculoskeletal and connective tissue disorders </w:t>
            </w:r>
          </w:p>
        </w:tc>
        <w:tc>
          <w:tcPr>
            <w:tcW w:w="3544" w:type="dxa"/>
          </w:tcPr>
          <w:p w14:paraId="3F4640D5" w14:textId="65A5161C" w:rsidR="0090392D" w:rsidRPr="008F34C7" w:rsidRDefault="0090392D" w:rsidP="00F91565">
            <w:pPr>
              <w:rPr>
                <w:sz w:val="20"/>
                <w:szCs w:val="20"/>
                <w:lang w:val="en"/>
              </w:rPr>
            </w:pPr>
            <w:r w:rsidRPr="008F34C7">
              <w:rPr>
                <w:sz w:val="20"/>
                <w:szCs w:val="20"/>
                <w:lang w:val="en"/>
              </w:rPr>
              <w:t>Muscle spasms</w:t>
            </w:r>
          </w:p>
        </w:tc>
        <w:tc>
          <w:tcPr>
            <w:tcW w:w="1984" w:type="dxa"/>
          </w:tcPr>
          <w:p w14:paraId="43BAC941" w14:textId="48B82DC1" w:rsidR="0090392D" w:rsidRPr="00A44D7A" w:rsidRDefault="0090392D" w:rsidP="00A44D7A">
            <w:pPr>
              <w:pStyle w:val="Default"/>
              <w:jc w:val="both"/>
              <w:rPr>
                <w:rFonts w:ascii="Times New Roman" w:hAnsi="Times New Roman" w:cstheme="minorBidi"/>
                <w:color w:val="auto"/>
                <w:sz w:val="20"/>
                <w:szCs w:val="20"/>
                <w:lang w:val="en"/>
              </w:rPr>
            </w:pPr>
            <w:r w:rsidRPr="001F7AB2">
              <w:rPr>
                <w:rFonts w:ascii="Times New Roman" w:hAnsi="Times New Roman" w:cstheme="minorBidi"/>
                <w:color w:val="auto"/>
                <w:sz w:val="20"/>
                <w:szCs w:val="20"/>
                <w:lang w:val="en"/>
              </w:rPr>
              <w:t>Common</w:t>
            </w:r>
          </w:p>
        </w:tc>
      </w:tr>
      <w:tr w:rsidR="0090392D" w14:paraId="7C43D7D7" w14:textId="7858701F" w:rsidTr="0090392D">
        <w:trPr>
          <w:trHeight w:val="316"/>
        </w:trPr>
        <w:tc>
          <w:tcPr>
            <w:tcW w:w="3539" w:type="dxa"/>
            <w:vMerge/>
          </w:tcPr>
          <w:p w14:paraId="55715B5A" w14:textId="77777777" w:rsidR="0090392D" w:rsidRPr="001F7AB2" w:rsidRDefault="0090392D" w:rsidP="001F7AB2">
            <w:pPr>
              <w:pStyle w:val="Default"/>
              <w:jc w:val="both"/>
              <w:rPr>
                <w:rFonts w:ascii="Times New Roman" w:hAnsi="Times New Roman" w:cstheme="minorBidi"/>
                <w:b/>
                <w:bCs/>
                <w:color w:val="auto"/>
                <w:sz w:val="20"/>
                <w:szCs w:val="20"/>
                <w:lang w:val="en"/>
              </w:rPr>
            </w:pPr>
          </w:p>
        </w:tc>
        <w:tc>
          <w:tcPr>
            <w:tcW w:w="3544" w:type="dxa"/>
          </w:tcPr>
          <w:p w14:paraId="78CA5F16" w14:textId="362E57AE" w:rsidR="0090392D" w:rsidRPr="008F34C7" w:rsidRDefault="0090392D" w:rsidP="00F91565">
            <w:pPr>
              <w:rPr>
                <w:sz w:val="20"/>
                <w:szCs w:val="20"/>
                <w:lang w:val="en"/>
              </w:rPr>
            </w:pPr>
            <w:r>
              <w:rPr>
                <w:sz w:val="20"/>
                <w:szCs w:val="20"/>
                <w:lang w:val="en"/>
              </w:rPr>
              <w:t>B</w:t>
            </w:r>
            <w:r w:rsidRPr="008F34C7">
              <w:rPr>
                <w:sz w:val="20"/>
                <w:szCs w:val="20"/>
                <w:lang w:val="en"/>
              </w:rPr>
              <w:t>one pain</w:t>
            </w:r>
          </w:p>
        </w:tc>
        <w:tc>
          <w:tcPr>
            <w:tcW w:w="1984" w:type="dxa"/>
          </w:tcPr>
          <w:p w14:paraId="06AED591" w14:textId="094E151B" w:rsidR="0090392D" w:rsidRPr="001F7AB2" w:rsidRDefault="0090392D" w:rsidP="00A44D7A">
            <w:pPr>
              <w:pStyle w:val="Default"/>
              <w:jc w:val="both"/>
              <w:rPr>
                <w:rFonts w:ascii="Times New Roman" w:hAnsi="Times New Roman" w:cstheme="minorBidi"/>
                <w:color w:val="auto"/>
                <w:sz w:val="20"/>
                <w:szCs w:val="20"/>
                <w:lang w:val="en"/>
              </w:rPr>
            </w:pPr>
            <w:r>
              <w:rPr>
                <w:rFonts w:ascii="Times New Roman" w:hAnsi="Times New Roman" w:cstheme="minorBidi"/>
                <w:color w:val="auto"/>
                <w:sz w:val="20"/>
                <w:szCs w:val="20"/>
                <w:lang w:val="en"/>
              </w:rPr>
              <w:t>Uncommon</w:t>
            </w:r>
          </w:p>
        </w:tc>
      </w:tr>
      <w:tr w:rsidR="0090392D" w14:paraId="699DAED8" w14:textId="6383E975" w:rsidTr="0090392D">
        <w:trPr>
          <w:trHeight w:val="316"/>
        </w:trPr>
        <w:tc>
          <w:tcPr>
            <w:tcW w:w="3539" w:type="dxa"/>
            <w:vMerge/>
          </w:tcPr>
          <w:p w14:paraId="4EB3B416" w14:textId="77777777" w:rsidR="0090392D" w:rsidRPr="001F7AB2" w:rsidRDefault="0090392D" w:rsidP="001F7AB2">
            <w:pPr>
              <w:pStyle w:val="Default"/>
              <w:jc w:val="both"/>
              <w:rPr>
                <w:rFonts w:ascii="Times New Roman" w:hAnsi="Times New Roman" w:cstheme="minorBidi"/>
                <w:b/>
                <w:bCs/>
                <w:color w:val="auto"/>
                <w:sz w:val="20"/>
                <w:szCs w:val="20"/>
                <w:lang w:val="en"/>
              </w:rPr>
            </w:pPr>
          </w:p>
        </w:tc>
        <w:tc>
          <w:tcPr>
            <w:tcW w:w="3544" w:type="dxa"/>
          </w:tcPr>
          <w:p w14:paraId="5F1087F5" w14:textId="3879E871" w:rsidR="0090392D" w:rsidRPr="008F34C7" w:rsidRDefault="0090392D" w:rsidP="00F91565">
            <w:pPr>
              <w:rPr>
                <w:sz w:val="20"/>
                <w:szCs w:val="20"/>
                <w:lang w:val="en"/>
              </w:rPr>
            </w:pPr>
            <w:r>
              <w:rPr>
                <w:sz w:val="20"/>
                <w:szCs w:val="20"/>
                <w:lang w:val="en"/>
              </w:rPr>
              <w:t>P</w:t>
            </w:r>
            <w:r w:rsidRPr="008F34C7">
              <w:rPr>
                <w:sz w:val="20"/>
                <w:szCs w:val="20"/>
                <w:lang w:val="en"/>
              </w:rPr>
              <w:t>ain in extremity</w:t>
            </w:r>
          </w:p>
        </w:tc>
        <w:tc>
          <w:tcPr>
            <w:tcW w:w="1984" w:type="dxa"/>
          </w:tcPr>
          <w:p w14:paraId="183CA549" w14:textId="4A15023F" w:rsidR="0090392D" w:rsidRPr="001F7AB2" w:rsidRDefault="0090392D" w:rsidP="00A44D7A">
            <w:pPr>
              <w:pStyle w:val="Default"/>
              <w:jc w:val="both"/>
              <w:rPr>
                <w:rFonts w:ascii="Times New Roman" w:hAnsi="Times New Roman" w:cstheme="minorBidi"/>
                <w:color w:val="auto"/>
                <w:sz w:val="20"/>
                <w:szCs w:val="20"/>
                <w:lang w:val="en"/>
              </w:rPr>
            </w:pPr>
            <w:r w:rsidRPr="001F7AB2">
              <w:rPr>
                <w:rFonts w:ascii="Times New Roman" w:hAnsi="Times New Roman" w:cstheme="minorBidi"/>
                <w:color w:val="auto"/>
                <w:sz w:val="20"/>
                <w:szCs w:val="20"/>
                <w:lang w:val="en"/>
              </w:rPr>
              <w:t>Common</w:t>
            </w:r>
          </w:p>
        </w:tc>
      </w:tr>
      <w:tr w:rsidR="0090392D" w14:paraId="277C4881" w14:textId="786B0CE9" w:rsidTr="0090392D">
        <w:trPr>
          <w:trHeight w:val="324"/>
        </w:trPr>
        <w:tc>
          <w:tcPr>
            <w:tcW w:w="3539" w:type="dxa"/>
            <w:vMerge w:val="restart"/>
          </w:tcPr>
          <w:p w14:paraId="6965C19C" w14:textId="138C53A0" w:rsidR="0090392D" w:rsidRPr="001F7AB2" w:rsidRDefault="0090392D" w:rsidP="001F7AB2">
            <w:pPr>
              <w:pStyle w:val="Default"/>
              <w:jc w:val="both"/>
              <w:rPr>
                <w:rFonts w:ascii="Times New Roman" w:hAnsi="Times New Roman" w:cstheme="minorBidi"/>
                <w:b/>
                <w:bCs/>
                <w:color w:val="auto"/>
                <w:sz w:val="20"/>
                <w:szCs w:val="20"/>
                <w:lang w:val="en"/>
              </w:rPr>
            </w:pPr>
            <w:r w:rsidRPr="001F7AB2">
              <w:rPr>
                <w:rFonts w:ascii="Times New Roman" w:hAnsi="Times New Roman" w:cstheme="minorBidi"/>
                <w:b/>
                <w:bCs/>
                <w:color w:val="auto"/>
                <w:sz w:val="20"/>
                <w:szCs w:val="20"/>
                <w:lang w:val="en"/>
              </w:rPr>
              <w:t xml:space="preserve">Renal and urinary disorders </w:t>
            </w:r>
          </w:p>
          <w:p w14:paraId="68E113CD" w14:textId="0970D80D" w:rsidR="0090392D" w:rsidRPr="001F7AB2" w:rsidRDefault="0090392D" w:rsidP="00642B63">
            <w:pPr>
              <w:rPr>
                <w:b/>
                <w:bCs/>
                <w:sz w:val="20"/>
                <w:szCs w:val="20"/>
                <w:lang w:val="en"/>
              </w:rPr>
            </w:pPr>
          </w:p>
        </w:tc>
        <w:tc>
          <w:tcPr>
            <w:tcW w:w="3544" w:type="dxa"/>
          </w:tcPr>
          <w:p w14:paraId="1DC19BA2" w14:textId="7DEE32C1" w:rsidR="0090392D" w:rsidRPr="008F34C7" w:rsidRDefault="0090392D" w:rsidP="00642B63">
            <w:pPr>
              <w:rPr>
                <w:sz w:val="20"/>
                <w:szCs w:val="20"/>
                <w:lang w:val="en-US"/>
              </w:rPr>
            </w:pPr>
            <w:r w:rsidRPr="57AD90B9">
              <w:rPr>
                <w:sz w:val="20"/>
                <w:szCs w:val="20"/>
                <w:lang w:val="en-US"/>
              </w:rPr>
              <w:t>Blood creatinine increased</w:t>
            </w:r>
          </w:p>
        </w:tc>
        <w:tc>
          <w:tcPr>
            <w:tcW w:w="1984" w:type="dxa"/>
          </w:tcPr>
          <w:p w14:paraId="758DDE93" w14:textId="361E1BF0" w:rsidR="0090392D" w:rsidRPr="00A44D7A" w:rsidRDefault="0090392D" w:rsidP="00A44D7A">
            <w:pPr>
              <w:pStyle w:val="Default"/>
              <w:jc w:val="both"/>
              <w:rPr>
                <w:rFonts w:ascii="Times New Roman" w:hAnsi="Times New Roman" w:cstheme="minorBidi"/>
                <w:color w:val="auto"/>
                <w:sz w:val="20"/>
                <w:szCs w:val="20"/>
              </w:rPr>
            </w:pPr>
            <w:r>
              <w:rPr>
                <w:rFonts w:ascii="Times New Roman" w:hAnsi="Times New Roman" w:cstheme="minorBidi"/>
                <w:color w:val="auto"/>
                <w:sz w:val="20"/>
                <w:szCs w:val="20"/>
              </w:rPr>
              <w:t>Common</w:t>
            </w:r>
          </w:p>
        </w:tc>
      </w:tr>
      <w:tr w:rsidR="0090392D" w14:paraId="3FF8A7CD" w14:textId="5F48C051" w:rsidTr="0090392D">
        <w:trPr>
          <w:trHeight w:val="272"/>
        </w:trPr>
        <w:tc>
          <w:tcPr>
            <w:tcW w:w="3539" w:type="dxa"/>
            <w:vMerge/>
          </w:tcPr>
          <w:p w14:paraId="70D8D802" w14:textId="5538B079" w:rsidR="0090392D" w:rsidRPr="001F7AB2" w:rsidRDefault="0090392D" w:rsidP="001F7AB2">
            <w:pPr>
              <w:pStyle w:val="Default"/>
              <w:jc w:val="both"/>
              <w:rPr>
                <w:rFonts w:ascii="Times New Roman" w:hAnsi="Times New Roman" w:cstheme="minorBidi"/>
                <w:b/>
                <w:bCs/>
                <w:color w:val="auto"/>
                <w:sz w:val="20"/>
                <w:szCs w:val="20"/>
                <w:lang w:val="en"/>
              </w:rPr>
            </w:pPr>
          </w:p>
        </w:tc>
        <w:tc>
          <w:tcPr>
            <w:tcW w:w="3544" w:type="dxa"/>
          </w:tcPr>
          <w:p w14:paraId="49E3B737" w14:textId="2CAFA00A" w:rsidR="0090392D" w:rsidRPr="008F34C7" w:rsidRDefault="0090392D" w:rsidP="00642B63">
            <w:pPr>
              <w:rPr>
                <w:sz w:val="20"/>
                <w:szCs w:val="20"/>
                <w:lang w:val="en"/>
              </w:rPr>
            </w:pPr>
            <w:r w:rsidRPr="008F34C7">
              <w:rPr>
                <w:sz w:val="20"/>
                <w:szCs w:val="20"/>
                <w:lang w:val="en"/>
              </w:rPr>
              <w:t>Dysuria</w:t>
            </w:r>
          </w:p>
        </w:tc>
        <w:tc>
          <w:tcPr>
            <w:tcW w:w="1984" w:type="dxa"/>
          </w:tcPr>
          <w:p w14:paraId="1C62D983" w14:textId="3C22898C" w:rsidR="0090392D" w:rsidRPr="00A44D7A" w:rsidRDefault="0090392D" w:rsidP="00A44D7A">
            <w:pPr>
              <w:pStyle w:val="Default"/>
              <w:jc w:val="both"/>
              <w:rPr>
                <w:rFonts w:ascii="Times New Roman" w:hAnsi="Times New Roman" w:cstheme="minorBidi"/>
                <w:color w:val="auto"/>
                <w:sz w:val="20"/>
                <w:szCs w:val="20"/>
                <w:lang w:val="en"/>
              </w:rPr>
            </w:pPr>
            <w:r>
              <w:rPr>
                <w:rFonts w:ascii="Times New Roman" w:hAnsi="Times New Roman" w:cstheme="minorBidi"/>
                <w:color w:val="auto"/>
                <w:sz w:val="20"/>
                <w:szCs w:val="20"/>
                <w:lang w:val="en"/>
              </w:rPr>
              <w:t>Uncommon</w:t>
            </w:r>
          </w:p>
        </w:tc>
      </w:tr>
      <w:tr w:rsidR="0090392D" w14:paraId="3B1A82E4" w14:textId="3A1D5321" w:rsidTr="0090392D">
        <w:trPr>
          <w:trHeight w:val="308"/>
        </w:trPr>
        <w:tc>
          <w:tcPr>
            <w:tcW w:w="3539" w:type="dxa"/>
            <w:vMerge w:val="restart"/>
          </w:tcPr>
          <w:p w14:paraId="03E081C3" w14:textId="1403A504" w:rsidR="0090392D" w:rsidRPr="001F7AB2" w:rsidRDefault="0090392D" w:rsidP="001F7AB2">
            <w:pPr>
              <w:pStyle w:val="Default"/>
              <w:jc w:val="both"/>
              <w:rPr>
                <w:rFonts w:ascii="Times New Roman" w:hAnsi="Times New Roman" w:cstheme="minorBidi"/>
                <w:b/>
                <w:bCs/>
                <w:color w:val="auto"/>
                <w:sz w:val="20"/>
                <w:szCs w:val="20"/>
                <w:lang w:val="en"/>
              </w:rPr>
            </w:pPr>
            <w:r w:rsidRPr="001F7AB2">
              <w:rPr>
                <w:rFonts w:ascii="Times New Roman" w:hAnsi="Times New Roman" w:cstheme="minorBidi"/>
                <w:b/>
                <w:bCs/>
                <w:color w:val="auto"/>
                <w:sz w:val="20"/>
                <w:szCs w:val="20"/>
                <w:lang w:val="en"/>
              </w:rPr>
              <w:t xml:space="preserve">General disorders and administration site conditions </w:t>
            </w:r>
          </w:p>
        </w:tc>
        <w:tc>
          <w:tcPr>
            <w:tcW w:w="3544" w:type="dxa"/>
          </w:tcPr>
          <w:p w14:paraId="56DEC438" w14:textId="0EDF62B8" w:rsidR="0090392D" w:rsidRPr="008F34C7" w:rsidRDefault="0090392D" w:rsidP="00F91565">
            <w:pPr>
              <w:rPr>
                <w:sz w:val="20"/>
                <w:szCs w:val="20"/>
                <w:lang w:val="en"/>
              </w:rPr>
            </w:pPr>
            <w:r w:rsidRPr="008F34C7">
              <w:rPr>
                <w:sz w:val="20"/>
                <w:szCs w:val="20"/>
                <w:lang w:val="en"/>
              </w:rPr>
              <w:t>Fatigue</w:t>
            </w:r>
          </w:p>
        </w:tc>
        <w:tc>
          <w:tcPr>
            <w:tcW w:w="1984" w:type="dxa"/>
          </w:tcPr>
          <w:p w14:paraId="33E13DEE" w14:textId="2ADAD7A1" w:rsidR="0090392D" w:rsidRPr="00A44D7A" w:rsidRDefault="0090392D" w:rsidP="00A44D7A">
            <w:pPr>
              <w:pStyle w:val="Default"/>
              <w:jc w:val="both"/>
              <w:rPr>
                <w:rFonts w:ascii="Times New Roman" w:hAnsi="Times New Roman" w:cstheme="minorBidi"/>
                <w:color w:val="auto"/>
                <w:sz w:val="20"/>
                <w:szCs w:val="20"/>
              </w:rPr>
            </w:pPr>
            <w:r>
              <w:rPr>
                <w:rFonts w:ascii="Times New Roman" w:hAnsi="Times New Roman" w:cstheme="minorBidi"/>
                <w:color w:val="auto"/>
                <w:sz w:val="20"/>
                <w:szCs w:val="20"/>
              </w:rPr>
              <w:t>Common</w:t>
            </w:r>
          </w:p>
        </w:tc>
      </w:tr>
      <w:tr w:rsidR="0090392D" w14:paraId="5540C451" w14:textId="77777777" w:rsidTr="0090392D">
        <w:trPr>
          <w:trHeight w:val="308"/>
        </w:trPr>
        <w:tc>
          <w:tcPr>
            <w:tcW w:w="3539" w:type="dxa"/>
            <w:vMerge/>
          </w:tcPr>
          <w:p w14:paraId="55980637" w14:textId="77777777" w:rsidR="0090392D" w:rsidRPr="001F7AB2" w:rsidRDefault="0090392D" w:rsidP="001F7AB2">
            <w:pPr>
              <w:pStyle w:val="Default"/>
              <w:jc w:val="both"/>
              <w:rPr>
                <w:rFonts w:ascii="Times New Roman" w:hAnsi="Times New Roman" w:cstheme="minorBidi"/>
                <w:b/>
                <w:bCs/>
                <w:color w:val="auto"/>
                <w:sz w:val="20"/>
                <w:szCs w:val="20"/>
                <w:lang w:val="en"/>
              </w:rPr>
            </w:pPr>
          </w:p>
        </w:tc>
        <w:tc>
          <w:tcPr>
            <w:tcW w:w="3544" w:type="dxa"/>
          </w:tcPr>
          <w:p w14:paraId="4433442C" w14:textId="011D12DA" w:rsidR="0090392D" w:rsidRPr="008F34C7" w:rsidRDefault="0090392D" w:rsidP="00F91565">
            <w:pPr>
              <w:rPr>
                <w:sz w:val="20"/>
                <w:szCs w:val="20"/>
                <w:lang w:val="en"/>
              </w:rPr>
            </w:pPr>
            <w:r>
              <w:rPr>
                <w:sz w:val="20"/>
                <w:szCs w:val="20"/>
                <w:lang w:val="en"/>
              </w:rPr>
              <w:t>A</w:t>
            </w:r>
            <w:r w:rsidRPr="008F34C7">
              <w:rPr>
                <w:sz w:val="20"/>
                <w:szCs w:val="20"/>
                <w:lang w:val="en"/>
              </w:rPr>
              <w:t>sthenia</w:t>
            </w:r>
          </w:p>
        </w:tc>
        <w:tc>
          <w:tcPr>
            <w:tcW w:w="1984" w:type="dxa"/>
          </w:tcPr>
          <w:p w14:paraId="7DCB1DCD" w14:textId="1928B6DC" w:rsidR="0090392D" w:rsidRPr="57AD90B9" w:rsidRDefault="0090392D" w:rsidP="00A44D7A">
            <w:pPr>
              <w:pStyle w:val="Default"/>
              <w:jc w:val="both"/>
              <w:rPr>
                <w:rFonts w:ascii="Times New Roman" w:hAnsi="Times New Roman" w:cstheme="minorBidi"/>
                <w:color w:val="auto"/>
                <w:sz w:val="20"/>
                <w:szCs w:val="20"/>
              </w:rPr>
            </w:pPr>
            <w:r>
              <w:rPr>
                <w:rFonts w:ascii="Times New Roman" w:hAnsi="Times New Roman" w:cstheme="minorBidi"/>
                <w:color w:val="auto"/>
                <w:sz w:val="20"/>
                <w:szCs w:val="20"/>
              </w:rPr>
              <w:t>Common</w:t>
            </w:r>
          </w:p>
        </w:tc>
      </w:tr>
      <w:tr w:rsidR="0090392D" w14:paraId="378D8959" w14:textId="2AF213FF" w:rsidTr="0090392D">
        <w:trPr>
          <w:trHeight w:val="316"/>
        </w:trPr>
        <w:tc>
          <w:tcPr>
            <w:tcW w:w="3539" w:type="dxa"/>
          </w:tcPr>
          <w:p w14:paraId="78C13596" w14:textId="288F0A77" w:rsidR="0090392D" w:rsidRPr="001F7AB2" w:rsidRDefault="0090392D" w:rsidP="001F7AB2">
            <w:pPr>
              <w:pStyle w:val="Default"/>
              <w:jc w:val="both"/>
              <w:rPr>
                <w:rFonts w:ascii="Times New Roman" w:hAnsi="Times New Roman" w:cstheme="minorBidi"/>
                <w:b/>
                <w:bCs/>
                <w:color w:val="auto"/>
                <w:sz w:val="20"/>
                <w:szCs w:val="20"/>
                <w:lang w:val="en"/>
              </w:rPr>
            </w:pPr>
            <w:r w:rsidRPr="001F7AB2">
              <w:rPr>
                <w:rFonts w:ascii="Times New Roman" w:hAnsi="Times New Roman" w:cstheme="minorBidi"/>
                <w:b/>
                <w:bCs/>
                <w:color w:val="auto"/>
                <w:sz w:val="20"/>
                <w:szCs w:val="20"/>
                <w:lang w:val="en"/>
              </w:rPr>
              <w:t xml:space="preserve">Investigations </w:t>
            </w:r>
          </w:p>
        </w:tc>
        <w:tc>
          <w:tcPr>
            <w:tcW w:w="3544" w:type="dxa"/>
          </w:tcPr>
          <w:p w14:paraId="2731AB83" w14:textId="5457205E" w:rsidR="0090392D" w:rsidRPr="008F34C7" w:rsidRDefault="0090392D" w:rsidP="00F91565">
            <w:pPr>
              <w:rPr>
                <w:sz w:val="20"/>
                <w:szCs w:val="20"/>
                <w:lang w:val="en"/>
              </w:rPr>
            </w:pPr>
            <w:r w:rsidRPr="008F34C7">
              <w:rPr>
                <w:sz w:val="20"/>
                <w:szCs w:val="20"/>
                <w:lang w:val="en"/>
              </w:rPr>
              <w:t>Weight increased</w:t>
            </w:r>
          </w:p>
        </w:tc>
        <w:tc>
          <w:tcPr>
            <w:tcW w:w="1984" w:type="dxa"/>
          </w:tcPr>
          <w:p w14:paraId="51EB0991" w14:textId="104A94E6" w:rsidR="0090392D" w:rsidRPr="00A44D7A" w:rsidRDefault="0090392D" w:rsidP="00A44D7A">
            <w:pPr>
              <w:pStyle w:val="Default"/>
              <w:jc w:val="both"/>
              <w:rPr>
                <w:rFonts w:ascii="Times New Roman" w:hAnsi="Times New Roman" w:cstheme="minorBidi"/>
                <w:color w:val="auto"/>
                <w:sz w:val="20"/>
                <w:szCs w:val="20"/>
                <w:lang w:val="en"/>
              </w:rPr>
            </w:pPr>
            <w:r w:rsidRPr="001F7AB2">
              <w:rPr>
                <w:rFonts w:ascii="Times New Roman" w:hAnsi="Times New Roman" w:cstheme="minorBidi"/>
                <w:color w:val="auto"/>
                <w:sz w:val="20"/>
                <w:szCs w:val="20"/>
                <w:lang w:val="en"/>
              </w:rPr>
              <w:t>Common</w:t>
            </w:r>
          </w:p>
        </w:tc>
      </w:tr>
    </w:tbl>
    <w:p w14:paraId="79999CF2" w14:textId="68B555AE" w:rsidR="003A1063" w:rsidRDefault="00150437" w:rsidP="00150437">
      <w:pPr>
        <w:spacing w:after="0"/>
        <w:rPr>
          <w:rFonts w:cs="Times New Roman"/>
          <w:color w:val="000000"/>
          <w:sz w:val="16"/>
          <w:szCs w:val="16"/>
          <w:lang w:val="en-US"/>
        </w:rPr>
      </w:pPr>
      <w:r w:rsidRPr="6C5E5DBB">
        <w:rPr>
          <w:rFonts w:cs="Times New Roman"/>
          <w:color w:val="000000" w:themeColor="text1"/>
          <w:sz w:val="16"/>
          <w:szCs w:val="16"/>
          <w:vertAlign w:val="superscript"/>
          <w:lang w:val="en-US"/>
        </w:rPr>
        <w:t>a</w:t>
      </w:r>
      <w:r w:rsidRPr="6C5E5DBB">
        <w:rPr>
          <w:rFonts w:cs="Times New Roman"/>
          <w:color w:val="000000" w:themeColor="text1"/>
          <w:sz w:val="16"/>
          <w:szCs w:val="16"/>
          <w:lang w:val="en-US"/>
        </w:rPr>
        <w:t xml:space="preserve"> </w:t>
      </w:r>
      <w:r w:rsidR="003A1063" w:rsidRPr="6C5E5DBB">
        <w:rPr>
          <w:rFonts w:cs="Times New Roman"/>
          <w:color w:val="000000" w:themeColor="text1"/>
          <w:sz w:val="16"/>
          <w:szCs w:val="16"/>
          <w:lang w:val="en-US"/>
        </w:rPr>
        <w:t>N=</w:t>
      </w:r>
      <w:r w:rsidR="00DF230F" w:rsidRPr="6C5E5DBB">
        <w:rPr>
          <w:rFonts w:cs="Times New Roman"/>
          <w:color w:val="000000" w:themeColor="text1"/>
          <w:sz w:val="16"/>
          <w:szCs w:val="16"/>
          <w:lang w:val="en-US"/>
        </w:rPr>
        <w:t>484</w:t>
      </w:r>
      <w:r w:rsidR="003A1063" w:rsidRPr="6C5E5DBB">
        <w:rPr>
          <w:rFonts w:cs="Times New Roman"/>
          <w:color w:val="000000" w:themeColor="text1"/>
          <w:sz w:val="16"/>
          <w:szCs w:val="16"/>
          <w:lang w:val="en-US"/>
        </w:rPr>
        <w:t xml:space="preserve"> includes </w:t>
      </w:r>
      <w:r w:rsidR="00761454" w:rsidRPr="6C5E5DBB">
        <w:rPr>
          <w:rFonts w:cs="Times New Roman"/>
          <w:color w:val="000000" w:themeColor="text1"/>
          <w:sz w:val="16"/>
          <w:szCs w:val="16"/>
          <w:lang w:val="en-US"/>
        </w:rPr>
        <w:t>s</w:t>
      </w:r>
      <w:r w:rsidR="003A1063" w:rsidRPr="6C5E5DBB">
        <w:rPr>
          <w:rFonts w:cs="Times New Roman"/>
          <w:color w:val="000000" w:themeColor="text1"/>
          <w:sz w:val="16"/>
          <w:szCs w:val="16"/>
          <w:lang w:val="en-US"/>
        </w:rPr>
        <w:t xml:space="preserve">tudies </w:t>
      </w:r>
      <w:r w:rsidR="00B87309" w:rsidRPr="6C5E5DBB">
        <w:rPr>
          <w:rFonts w:cs="Times New Roman"/>
          <w:color w:val="000000" w:themeColor="text1"/>
          <w:sz w:val="16"/>
          <w:szCs w:val="16"/>
          <w:lang w:val="en-US"/>
        </w:rPr>
        <w:t>JAKARTA, JAKARTA2</w:t>
      </w:r>
      <w:r w:rsidR="00DF230F" w:rsidRPr="6C5E5DBB">
        <w:rPr>
          <w:rFonts w:cs="Times New Roman"/>
          <w:color w:val="000000" w:themeColor="text1"/>
          <w:sz w:val="16"/>
          <w:szCs w:val="16"/>
          <w:lang w:val="en-US"/>
        </w:rPr>
        <w:t>,</w:t>
      </w:r>
      <w:r w:rsidR="003A1063" w:rsidRPr="6C5E5DBB">
        <w:rPr>
          <w:rFonts w:cs="Times New Roman"/>
          <w:color w:val="000000" w:themeColor="text1"/>
          <w:sz w:val="16"/>
          <w:szCs w:val="16"/>
          <w:lang w:val="en-US"/>
        </w:rPr>
        <w:t xml:space="preserve"> ARD11936</w:t>
      </w:r>
      <w:r w:rsidR="00DF230F" w:rsidRPr="6C5E5DBB">
        <w:rPr>
          <w:rFonts w:cs="Times New Roman"/>
          <w:color w:val="000000" w:themeColor="text1"/>
          <w:sz w:val="16"/>
          <w:szCs w:val="16"/>
          <w:lang w:val="en-US"/>
        </w:rPr>
        <w:t>,</w:t>
      </w:r>
      <w:r w:rsidR="007B6713" w:rsidRPr="6C5E5DBB">
        <w:rPr>
          <w:rFonts w:cs="Times New Roman"/>
          <w:color w:val="000000" w:themeColor="text1"/>
          <w:sz w:val="16"/>
          <w:szCs w:val="16"/>
          <w:lang w:val="en-US"/>
        </w:rPr>
        <w:t xml:space="preserve"> FREEDOM1, FREEDOM2</w:t>
      </w:r>
      <w:r w:rsidR="003A1063" w:rsidRPr="6C5E5DBB">
        <w:rPr>
          <w:rFonts w:cs="Times New Roman"/>
          <w:color w:val="000000" w:themeColor="text1"/>
          <w:sz w:val="16"/>
          <w:szCs w:val="16"/>
          <w:lang w:val="en-US"/>
        </w:rPr>
        <w:t xml:space="preserve"> and </w:t>
      </w:r>
      <w:r w:rsidR="007B6713" w:rsidRPr="6C5E5DBB">
        <w:rPr>
          <w:rFonts w:cs="Times New Roman"/>
          <w:color w:val="000000" w:themeColor="text1"/>
          <w:sz w:val="16"/>
          <w:szCs w:val="16"/>
          <w:lang w:val="en-US"/>
        </w:rPr>
        <w:t>FREEDOM3</w:t>
      </w:r>
      <w:r w:rsidR="003A1063" w:rsidRPr="6C5E5DBB">
        <w:rPr>
          <w:rFonts w:cs="Times New Roman"/>
          <w:color w:val="000000" w:themeColor="text1"/>
          <w:sz w:val="16"/>
          <w:szCs w:val="16"/>
          <w:lang w:val="en-US"/>
        </w:rPr>
        <w:t xml:space="preserve"> taking 400</w:t>
      </w:r>
      <w:r w:rsidR="00A8646E" w:rsidRPr="6C5E5DBB">
        <w:rPr>
          <w:rFonts w:cs="Times New Roman"/>
          <w:color w:val="000000" w:themeColor="text1"/>
          <w:sz w:val="16"/>
          <w:szCs w:val="16"/>
          <w:lang w:val="en-US"/>
        </w:rPr>
        <w:t> </w:t>
      </w:r>
      <w:r w:rsidR="003A1063" w:rsidRPr="6C5E5DBB">
        <w:rPr>
          <w:rFonts w:cs="Times New Roman"/>
          <w:color w:val="000000" w:themeColor="text1"/>
          <w:sz w:val="16"/>
          <w:szCs w:val="16"/>
          <w:lang w:val="en-US"/>
        </w:rPr>
        <w:t>mg for up to 6</w:t>
      </w:r>
      <w:r w:rsidR="00A8646E" w:rsidRPr="6C5E5DBB">
        <w:rPr>
          <w:rFonts w:cs="Times New Roman"/>
          <w:color w:val="000000" w:themeColor="text1"/>
          <w:sz w:val="16"/>
          <w:szCs w:val="16"/>
          <w:lang w:val="en-US"/>
        </w:rPr>
        <w:t> </w:t>
      </w:r>
      <w:r w:rsidR="003A1063" w:rsidRPr="6C5E5DBB">
        <w:rPr>
          <w:rFonts w:cs="Times New Roman"/>
          <w:color w:val="000000" w:themeColor="text1"/>
          <w:sz w:val="16"/>
          <w:szCs w:val="16"/>
          <w:lang w:val="en-US"/>
        </w:rPr>
        <w:t>cycles</w:t>
      </w:r>
      <w:r w:rsidR="00364EB7">
        <w:rPr>
          <w:rFonts w:cs="Times New Roman"/>
          <w:color w:val="000000" w:themeColor="text1"/>
          <w:sz w:val="16"/>
          <w:szCs w:val="16"/>
          <w:lang w:val="en-US"/>
        </w:rPr>
        <w:t xml:space="preserve"> (safety and crossover population)</w:t>
      </w:r>
      <w:r w:rsidR="00C00DE3" w:rsidRPr="6C5E5DBB">
        <w:rPr>
          <w:rFonts w:cs="Times New Roman"/>
          <w:color w:val="000000" w:themeColor="text1"/>
          <w:sz w:val="16"/>
          <w:szCs w:val="16"/>
          <w:lang w:val="en-US"/>
        </w:rPr>
        <w:t>. Frequency includes all grades.</w:t>
      </w:r>
      <w:r w:rsidR="003A1063" w:rsidRPr="6C5E5DBB">
        <w:rPr>
          <w:rFonts w:cs="Times New Roman"/>
          <w:color w:val="000000" w:themeColor="text1"/>
          <w:sz w:val="16"/>
          <w:szCs w:val="16"/>
          <w:lang w:val="en-US"/>
        </w:rPr>
        <w:t xml:space="preserve"> </w:t>
      </w:r>
    </w:p>
    <w:p w14:paraId="0DE61BDF" w14:textId="4EA87E56" w:rsidR="007D43E2" w:rsidRDefault="004115B1" w:rsidP="00150437">
      <w:pPr>
        <w:spacing w:after="0"/>
        <w:rPr>
          <w:rFonts w:cs="Times New Roman"/>
          <w:color w:val="000000"/>
          <w:sz w:val="16"/>
          <w:szCs w:val="16"/>
          <w:lang w:val="en-US"/>
        </w:rPr>
      </w:pPr>
      <w:r>
        <w:rPr>
          <w:rFonts w:cs="Times New Roman"/>
          <w:color w:val="000000" w:themeColor="text1"/>
          <w:sz w:val="16"/>
          <w:szCs w:val="16"/>
          <w:vertAlign w:val="superscript"/>
          <w:lang w:val="en-US"/>
        </w:rPr>
        <w:t>b</w:t>
      </w:r>
      <w:r w:rsidR="007D43E2" w:rsidRPr="6C5E5DBB">
        <w:rPr>
          <w:rFonts w:cs="Times New Roman"/>
          <w:color w:val="000000" w:themeColor="text1"/>
          <w:sz w:val="16"/>
          <w:szCs w:val="16"/>
          <w:lang w:val="en-US"/>
        </w:rPr>
        <w:t xml:space="preserve"> </w:t>
      </w:r>
      <w:r w:rsidR="00FF7806" w:rsidRPr="6C5E5DBB">
        <w:rPr>
          <w:rFonts w:cs="Times New Roman"/>
          <w:color w:val="000000" w:themeColor="text1"/>
          <w:sz w:val="16"/>
          <w:szCs w:val="16"/>
          <w:lang w:val="en-US"/>
        </w:rPr>
        <w:t xml:space="preserve">Frequency is based on all patients who received continuous doses of </w:t>
      </w:r>
      <w:proofErr w:type="spellStart"/>
      <w:r w:rsidR="00FF7806" w:rsidRPr="6C5E5DBB">
        <w:rPr>
          <w:rFonts w:cs="Times New Roman"/>
          <w:color w:val="000000" w:themeColor="text1"/>
          <w:sz w:val="16"/>
          <w:szCs w:val="16"/>
          <w:lang w:val="en-US"/>
        </w:rPr>
        <w:t>fedratinib</w:t>
      </w:r>
      <w:proofErr w:type="spellEnd"/>
      <w:r w:rsidR="00FF7806" w:rsidRPr="6C5E5DBB">
        <w:rPr>
          <w:rFonts w:cs="Times New Roman"/>
          <w:color w:val="000000" w:themeColor="text1"/>
          <w:sz w:val="16"/>
          <w:szCs w:val="16"/>
          <w:lang w:val="en-US"/>
        </w:rPr>
        <w:t xml:space="preserve"> in clinical studies (N=608).</w:t>
      </w:r>
    </w:p>
    <w:p w14:paraId="4FC7F07C" w14:textId="3103870E" w:rsidR="002352A7" w:rsidRDefault="004115B1" w:rsidP="00936CEB">
      <w:pPr>
        <w:spacing w:after="0"/>
        <w:rPr>
          <w:rFonts w:cs="Times New Roman"/>
          <w:color w:val="000000" w:themeColor="text1"/>
          <w:sz w:val="16"/>
          <w:szCs w:val="16"/>
          <w:lang w:val="en-US"/>
        </w:rPr>
      </w:pPr>
      <w:proofErr w:type="gramStart"/>
      <w:r>
        <w:rPr>
          <w:rFonts w:cs="Times New Roman"/>
          <w:color w:val="000000" w:themeColor="text1"/>
          <w:sz w:val="16"/>
          <w:szCs w:val="16"/>
          <w:vertAlign w:val="superscript"/>
          <w:lang w:val="en-US"/>
        </w:rPr>
        <w:t>c</w:t>
      </w:r>
      <w:r w:rsidR="00D441AF" w:rsidRPr="61B3ECD7">
        <w:rPr>
          <w:rFonts w:cs="Times New Roman"/>
          <w:color w:val="000000" w:themeColor="text1"/>
          <w:sz w:val="16"/>
          <w:szCs w:val="16"/>
          <w:lang w:val="en-US"/>
        </w:rPr>
        <w:t xml:space="preserve"> Patients</w:t>
      </w:r>
      <w:proofErr w:type="gramEnd"/>
      <w:r w:rsidR="00D441AF" w:rsidRPr="61B3ECD7">
        <w:rPr>
          <w:rFonts w:cs="Times New Roman"/>
          <w:color w:val="000000" w:themeColor="text1"/>
          <w:sz w:val="16"/>
          <w:szCs w:val="16"/>
          <w:lang w:val="en-US"/>
        </w:rPr>
        <w:t xml:space="preserve"> reported as having Wernicke’s Encephalopathy were all taking a dose of 500</w:t>
      </w:r>
      <w:r w:rsidR="00A8646E" w:rsidRPr="61B3ECD7">
        <w:rPr>
          <w:rFonts w:cs="Times New Roman"/>
          <w:color w:val="000000" w:themeColor="text1"/>
          <w:sz w:val="16"/>
          <w:szCs w:val="16"/>
          <w:lang w:val="en-US"/>
        </w:rPr>
        <w:t> </w:t>
      </w:r>
      <w:r w:rsidR="00D441AF" w:rsidRPr="61B3ECD7">
        <w:rPr>
          <w:rFonts w:cs="Times New Roman"/>
          <w:color w:val="000000" w:themeColor="text1"/>
          <w:sz w:val="16"/>
          <w:szCs w:val="16"/>
          <w:lang w:val="en-US"/>
        </w:rPr>
        <w:t>mg at the time of symptoms</w:t>
      </w:r>
      <w:r w:rsidR="00936CEB" w:rsidRPr="61B3ECD7">
        <w:rPr>
          <w:rFonts w:cs="Times New Roman"/>
          <w:color w:val="000000" w:themeColor="text1"/>
          <w:sz w:val="16"/>
          <w:szCs w:val="16"/>
          <w:lang w:val="en-US"/>
        </w:rPr>
        <w:t>.</w:t>
      </w:r>
    </w:p>
    <w:p w14:paraId="16960454" w14:textId="6E295030" w:rsidR="00397C78" w:rsidRPr="00936CEB" w:rsidRDefault="004115B1" w:rsidP="00AB6A47">
      <w:pPr>
        <w:spacing w:after="0"/>
        <w:rPr>
          <w:rFonts w:cs="Times New Roman"/>
          <w:color w:val="000000"/>
          <w:sz w:val="16"/>
          <w:szCs w:val="16"/>
          <w:lang w:val="en-US"/>
        </w:rPr>
      </w:pPr>
      <w:r>
        <w:rPr>
          <w:rStyle w:val="BMSSuperscript"/>
          <w:sz w:val="16"/>
          <w:szCs w:val="16"/>
        </w:rPr>
        <w:t>d</w:t>
      </w:r>
      <w:r w:rsidR="00397C78" w:rsidRPr="61B3ECD7">
        <w:rPr>
          <w:rFonts w:cs="Times New Roman"/>
          <w:color w:val="000000" w:themeColor="text1"/>
          <w:sz w:val="16"/>
          <w:szCs w:val="16"/>
          <w:lang w:val="en-US"/>
        </w:rPr>
        <w:t xml:space="preserve"> Frequency </w:t>
      </w:r>
      <w:r w:rsidR="001D0596" w:rsidRPr="61B3ECD7">
        <w:rPr>
          <w:rFonts w:cs="Times New Roman"/>
          <w:color w:val="000000" w:themeColor="text1"/>
          <w:sz w:val="16"/>
          <w:szCs w:val="16"/>
          <w:lang w:val="en-US"/>
        </w:rPr>
        <w:t xml:space="preserve">is based on studies </w:t>
      </w:r>
      <w:r w:rsidR="00A17371">
        <w:rPr>
          <w:rFonts w:cs="Times New Roman"/>
          <w:color w:val="000000" w:themeColor="text1"/>
          <w:sz w:val="16"/>
          <w:szCs w:val="16"/>
          <w:lang w:val="en-US"/>
        </w:rPr>
        <w:t xml:space="preserve">FREEDOM1, </w:t>
      </w:r>
      <w:r w:rsidR="001D0596" w:rsidRPr="61B3ECD7">
        <w:rPr>
          <w:rFonts w:cs="Times New Roman"/>
          <w:color w:val="000000" w:themeColor="text1"/>
          <w:sz w:val="16"/>
          <w:szCs w:val="16"/>
          <w:lang w:val="en-US"/>
        </w:rPr>
        <w:t>FREEDOM2 and FREEDOM3</w:t>
      </w:r>
      <w:r w:rsidR="00DB66EA" w:rsidRPr="61B3ECD7">
        <w:rPr>
          <w:rFonts w:cs="Times New Roman"/>
          <w:color w:val="000000" w:themeColor="text1"/>
          <w:sz w:val="16"/>
          <w:szCs w:val="16"/>
          <w:lang w:val="en-US"/>
        </w:rPr>
        <w:t xml:space="preserve"> </w:t>
      </w:r>
      <w:r w:rsidR="0085215B" w:rsidRPr="61B3ECD7">
        <w:rPr>
          <w:rFonts w:cs="Times New Roman"/>
          <w:color w:val="000000" w:themeColor="text1"/>
          <w:sz w:val="16"/>
          <w:szCs w:val="16"/>
          <w:lang w:val="en-US"/>
        </w:rPr>
        <w:t xml:space="preserve">in patients who took at least 1 dose of </w:t>
      </w:r>
      <w:proofErr w:type="spellStart"/>
      <w:r w:rsidR="0085215B" w:rsidRPr="61B3ECD7">
        <w:rPr>
          <w:rFonts w:cs="Times New Roman"/>
          <w:color w:val="000000" w:themeColor="text1"/>
          <w:sz w:val="16"/>
          <w:szCs w:val="16"/>
          <w:lang w:val="en-US"/>
        </w:rPr>
        <w:t>fedratinib</w:t>
      </w:r>
      <w:proofErr w:type="spellEnd"/>
      <w:r w:rsidR="0085215B" w:rsidRPr="61B3ECD7">
        <w:rPr>
          <w:rFonts w:cs="Times New Roman"/>
          <w:color w:val="000000" w:themeColor="text1"/>
          <w:sz w:val="16"/>
          <w:szCs w:val="16"/>
          <w:lang w:val="en-US"/>
        </w:rPr>
        <w:t xml:space="preserve"> regardless of dose</w:t>
      </w:r>
      <w:r w:rsidR="001D0596" w:rsidRPr="61B3ECD7">
        <w:rPr>
          <w:rFonts w:cs="Times New Roman"/>
          <w:color w:val="000000" w:themeColor="text1"/>
          <w:sz w:val="16"/>
          <w:szCs w:val="16"/>
          <w:lang w:val="en-US"/>
        </w:rPr>
        <w:t>.</w:t>
      </w:r>
    </w:p>
    <w:p w14:paraId="658CB3A1" w14:textId="7C61E66A" w:rsidR="00CE6C96" w:rsidRDefault="00CE6C96" w:rsidP="00FA6452">
      <w:pPr>
        <w:rPr>
          <w:rFonts w:cs="Times New Roman"/>
          <w:u w:val="single"/>
          <w:lang w:val="en-US"/>
        </w:rPr>
      </w:pPr>
    </w:p>
    <w:p w14:paraId="1479547B" w14:textId="6C8536A9" w:rsidR="000A3A31" w:rsidRDefault="00FA6452" w:rsidP="00FA6452">
      <w:pPr>
        <w:rPr>
          <w:rFonts w:cs="Times New Roman"/>
          <w:u w:val="single"/>
          <w:lang w:val="en-US"/>
        </w:rPr>
      </w:pPr>
      <w:r w:rsidRPr="00E60B8D">
        <w:rPr>
          <w:rFonts w:cs="Times New Roman"/>
          <w:u w:val="single"/>
          <w:lang w:val="en-US"/>
        </w:rPr>
        <w:t>Description of Selected Adverse Drug Reactions</w:t>
      </w:r>
    </w:p>
    <w:p w14:paraId="5F1A36E0" w14:textId="428840C5" w:rsidR="001C246A" w:rsidRPr="00EC384D" w:rsidRDefault="001C246A" w:rsidP="00FA6452">
      <w:pPr>
        <w:rPr>
          <w:rFonts w:cs="Times New Roman"/>
          <w:lang w:val="en-US"/>
        </w:rPr>
      </w:pPr>
      <w:r w:rsidRPr="00EC384D">
        <w:rPr>
          <w:rFonts w:cs="Times New Roman"/>
          <w:lang w:val="en-US"/>
        </w:rPr>
        <w:t xml:space="preserve">The following </w:t>
      </w:r>
      <w:r w:rsidR="009816AC" w:rsidRPr="00EC384D">
        <w:rPr>
          <w:rFonts w:cs="Times New Roman"/>
          <w:lang w:val="en-US"/>
        </w:rPr>
        <w:t>safety information is from nine Phase 1, 2 and 3 clinical studies (</w:t>
      </w:r>
      <w:r w:rsidR="00DD71F7" w:rsidRPr="00EC384D">
        <w:rPr>
          <w:rFonts w:cs="Times New Roman"/>
          <w:lang w:val="en-US"/>
        </w:rPr>
        <w:t>N=608</w:t>
      </w:r>
      <w:r w:rsidR="009816AC" w:rsidRPr="00EC384D">
        <w:rPr>
          <w:rFonts w:cs="Times New Roman"/>
          <w:lang w:val="en-US"/>
        </w:rPr>
        <w:t>), unless otherwise specified.</w:t>
      </w:r>
    </w:p>
    <w:p w14:paraId="22558D5B" w14:textId="45E307AA" w:rsidR="008A7B57" w:rsidRDefault="0037697E" w:rsidP="00DD317A">
      <w:pPr>
        <w:rPr>
          <w:rFonts w:cs="Times New Roman"/>
          <w:lang w:val="en"/>
        </w:rPr>
      </w:pPr>
      <w:r>
        <w:rPr>
          <w:i/>
          <w:iCs/>
        </w:rPr>
        <w:t>Encephalopathy, including Wernicke’s</w:t>
      </w:r>
    </w:p>
    <w:p w14:paraId="0F897D35" w14:textId="3D1FFDAF" w:rsidR="008A7B57" w:rsidRDefault="48AF73A4" w:rsidP="00DD317A">
      <w:pPr>
        <w:rPr>
          <w:rFonts w:cs="Times New Roman"/>
          <w:lang w:val="en"/>
        </w:rPr>
      </w:pPr>
      <w:r w:rsidRPr="00212EA7">
        <w:rPr>
          <w:rFonts w:cs="Times New Roman"/>
          <w:lang w:val="en"/>
        </w:rPr>
        <w:t xml:space="preserve">Serious cases were reported in </w:t>
      </w:r>
      <w:r w:rsidRPr="00AE4BC0">
        <w:rPr>
          <w:rFonts w:cs="Times New Roman"/>
          <w:lang w:val="en"/>
        </w:rPr>
        <w:t>1.3% (8/608)</w:t>
      </w:r>
      <w:r w:rsidRPr="00212EA7">
        <w:rPr>
          <w:rFonts w:cs="Times New Roman"/>
          <w:lang w:val="en"/>
        </w:rPr>
        <w:t xml:space="preserve"> of patients treated with </w:t>
      </w:r>
      <w:r>
        <w:rPr>
          <w:rFonts w:cs="Times New Roman"/>
          <w:lang w:val="en"/>
        </w:rPr>
        <w:t>INREBIC</w:t>
      </w:r>
      <w:r w:rsidRPr="00212EA7">
        <w:rPr>
          <w:rFonts w:cs="Times New Roman"/>
          <w:lang w:val="en"/>
        </w:rPr>
        <w:t xml:space="preserve"> in</w:t>
      </w:r>
      <w:r>
        <w:rPr>
          <w:rFonts w:cs="Times New Roman"/>
          <w:lang w:val="en"/>
        </w:rPr>
        <w:t xml:space="preserve"> </w:t>
      </w:r>
      <w:r w:rsidRPr="00212EA7">
        <w:rPr>
          <w:rFonts w:cs="Times New Roman"/>
          <w:lang w:val="en"/>
        </w:rPr>
        <w:t xml:space="preserve">clinical trials and 0.16% (1/608) of cases were fatal. Seven out of the 8 subjects were taking </w:t>
      </w:r>
      <w:r>
        <w:rPr>
          <w:rFonts w:cs="Times New Roman"/>
          <w:lang w:val="en"/>
        </w:rPr>
        <w:t>INREBIC</w:t>
      </w:r>
      <w:r w:rsidRPr="00212EA7">
        <w:rPr>
          <w:rFonts w:cs="Times New Roman"/>
          <w:lang w:val="en"/>
        </w:rPr>
        <w:t xml:space="preserve"> at 500</w:t>
      </w:r>
      <w:r w:rsidR="5161653F" w:rsidRPr="224071CC">
        <w:rPr>
          <w:rFonts w:cs="Times New Roman"/>
          <w:lang w:val="en"/>
        </w:rPr>
        <w:t> </w:t>
      </w:r>
      <w:r w:rsidRPr="00212EA7">
        <w:rPr>
          <w:rFonts w:cs="Times New Roman"/>
          <w:lang w:val="en"/>
        </w:rPr>
        <w:t>mg daily prior to the onset of neurologic findings and had predisposing factors such as</w:t>
      </w:r>
      <w:r>
        <w:rPr>
          <w:rFonts w:cs="Times New Roman"/>
          <w:lang w:val="en"/>
        </w:rPr>
        <w:t xml:space="preserve"> </w:t>
      </w:r>
      <w:r w:rsidRPr="00212EA7">
        <w:rPr>
          <w:rFonts w:cs="Times New Roman"/>
          <w:lang w:val="en"/>
        </w:rPr>
        <w:t>malnutrition, gastrointestinal adverse events, and other risk factors that could lead to thiamine</w:t>
      </w:r>
      <w:r>
        <w:rPr>
          <w:rFonts w:cs="Times New Roman"/>
          <w:lang w:val="en"/>
        </w:rPr>
        <w:t xml:space="preserve"> </w:t>
      </w:r>
      <w:r w:rsidRPr="00212EA7">
        <w:rPr>
          <w:rFonts w:cs="Times New Roman"/>
          <w:lang w:val="en"/>
        </w:rPr>
        <w:t xml:space="preserve">deficiency. One subject </w:t>
      </w:r>
      <w:r w:rsidRPr="00212EA7">
        <w:rPr>
          <w:rFonts w:cs="Times New Roman"/>
          <w:lang w:val="en"/>
        </w:rPr>
        <w:lastRenderedPageBreak/>
        <w:t xml:space="preserve">treated with </w:t>
      </w:r>
      <w:r>
        <w:rPr>
          <w:rFonts w:cs="Times New Roman"/>
          <w:lang w:val="en"/>
        </w:rPr>
        <w:t>INREBIC</w:t>
      </w:r>
      <w:r w:rsidRPr="00212EA7">
        <w:rPr>
          <w:rFonts w:cs="Times New Roman"/>
          <w:lang w:val="en"/>
        </w:rPr>
        <w:t xml:space="preserve"> at 400</w:t>
      </w:r>
      <w:r w:rsidR="5161653F" w:rsidRPr="224071CC">
        <w:rPr>
          <w:rFonts w:cs="Times New Roman"/>
          <w:lang w:val="en"/>
        </w:rPr>
        <w:t> </w:t>
      </w:r>
      <w:r w:rsidRPr="00212EA7">
        <w:rPr>
          <w:rFonts w:cs="Times New Roman"/>
          <w:lang w:val="en"/>
        </w:rPr>
        <w:t>mg was determined to have hepatic</w:t>
      </w:r>
      <w:r>
        <w:rPr>
          <w:rFonts w:cs="Times New Roman"/>
          <w:lang w:val="en"/>
        </w:rPr>
        <w:t xml:space="preserve"> </w:t>
      </w:r>
      <w:r w:rsidRPr="00212EA7">
        <w:rPr>
          <w:rFonts w:cs="Times New Roman"/>
          <w:lang w:val="en"/>
        </w:rPr>
        <w:t xml:space="preserve">encephalopathy. Most events </w:t>
      </w:r>
      <w:proofErr w:type="gramStart"/>
      <w:r w:rsidRPr="00212EA7">
        <w:rPr>
          <w:rFonts w:cs="Times New Roman"/>
          <w:lang w:val="en"/>
        </w:rPr>
        <w:t>resolved</w:t>
      </w:r>
      <w:proofErr w:type="gramEnd"/>
      <w:r w:rsidRPr="00212EA7">
        <w:rPr>
          <w:rFonts w:cs="Times New Roman"/>
          <w:lang w:val="en"/>
        </w:rPr>
        <w:t xml:space="preserve"> with some residual neurological symptoms including memory</w:t>
      </w:r>
      <w:r>
        <w:rPr>
          <w:rFonts w:cs="Times New Roman"/>
          <w:lang w:val="en"/>
        </w:rPr>
        <w:t xml:space="preserve"> </w:t>
      </w:r>
      <w:r w:rsidRPr="00212EA7">
        <w:rPr>
          <w:rFonts w:cs="Times New Roman"/>
          <w:lang w:val="en"/>
        </w:rPr>
        <w:t xml:space="preserve">loss, cognitive impairment, and dizziness. In a solid </w:t>
      </w:r>
      <w:proofErr w:type="spellStart"/>
      <w:r w:rsidRPr="00212EA7">
        <w:rPr>
          <w:rFonts w:cs="Times New Roman"/>
          <w:lang w:val="en"/>
        </w:rPr>
        <w:t>tumo</w:t>
      </w:r>
      <w:r>
        <w:rPr>
          <w:rFonts w:cs="Times New Roman"/>
          <w:lang w:val="en"/>
        </w:rPr>
        <w:t>u</w:t>
      </w:r>
      <w:r w:rsidRPr="00212EA7">
        <w:rPr>
          <w:rFonts w:cs="Times New Roman"/>
          <w:lang w:val="en"/>
        </w:rPr>
        <w:t>r</w:t>
      </w:r>
      <w:proofErr w:type="spellEnd"/>
      <w:r w:rsidRPr="00212EA7">
        <w:rPr>
          <w:rFonts w:cs="Times New Roman"/>
          <w:lang w:val="en"/>
        </w:rPr>
        <w:t xml:space="preserve"> study, one patient with head and neck</w:t>
      </w:r>
      <w:r>
        <w:rPr>
          <w:rFonts w:cs="Times New Roman"/>
          <w:lang w:val="en"/>
        </w:rPr>
        <w:t xml:space="preserve"> </w:t>
      </w:r>
      <w:r w:rsidRPr="00212EA7">
        <w:rPr>
          <w:rFonts w:cs="Times New Roman"/>
          <w:lang w:val="en"/>
        </w:rPr>
        <w:t>cancer, brain metastasis, difficulty</w:t>
      </w:r>
      <w:r>
        <w:rPr>
          <w:rFonts w:cs="Times New Roman"/>
          <w:lang w:val="en"/>
        </w:rPr>
        <w:t xml:space="preserve"> </w:t>
      </w:r>
      <w:r w:rsidRPr="00212EA7">
        <w:rPr>
          <w:rFonts w:cs="Times New Roman"/>
          <w:lang w:val="en"/>
        </w:rPr>
        <w:t>eating and weight loss had a fatal outcome</w:t>
      </w:r>
      <w:r w:rsidR="66AB2A34">
        <w:rPr>
          <w:rFonts w:cs="Times New Roman"/>
          <w:lang w:val="en"/>
        </w:rPr>
        <w:t xml:space="preserve"> (see Section 4.2 Dose and Method of Administration - </w:t>
      </w:r>
      <w:r w:rsidR="00B44FA4">
        <w:rPr>
          <w:rFonts w:cs="Times New Roman"/>
          <w:lang w:val="en"/>
        </w:rPr>
        <w:fldChar w:fldCharType="begin"/>
      </w:r>
      <w:r w:rsidR="00B44FA4">
        <w:rPr>
          <w:rFonts w:cs="Times New Roman"/>
          <w:lang w:val="en"/>
        </w:rPr>
        <w:instrText xml:space="preserve"> REF _Ref152234336 \h </w:instrText>
      </w:r>
      <w:r w:rsidR="00B44FA4">
        <w:rPr>
          <w:rFonts w:cs="Times New Roman"/>
          <w:lang w:val="en"/>
        </w:rPr>
      </w:r>
      <w:r w:rsidR="00B44FA4">
        <w:rPr>
          <w:rFonts w:cs="Times New Roman"/>
          <w:lang w:val="en"/>
        </w:rPr>
        <w:fldChar w:fldCharType="separate"/>
      </w:r>
      <w:r w:rsidR="00196356">
        <w:t xml:space="preserve">Table </w:t>
      </w:r>
      <w:r w:rsidR="00196356">
        <w:rPr>
          <w:noProof/>
        </w:rPr>
        <w:t>3</w:t>
      </w:r>
      <w:r w:rsidR="00B44FA4">
        <w:rPr>
          <w:rFonts w:cs="Times New Roman"/>
          <w:lang w:val="en"/>
        </w:rPr>
        <w:fldChar w:fldCharType="end"/>
      </w:r>
      <w:r w:rsidR="0048872E">
        <w:rPr>
          <w:rFonts w:cs="Times New Roman"/>
          <w:lang w:val="en"/>
        </w:rPr>
        <w:t xml:space="preserve"> </w:t>
      </w:r>
      <w:r w:rsidR="66AB2A34">
        <w:rPr>
          <w:rFonts w:cs="Times New Roman"/>
          <w:lang w:val="en"/>
        </w:rPr>
        <w:t xml:space="preserve">and </w:t>
      </w:r>
      <w:r w:rsidR="0048872E">
        <w:rPr>
          <w:rFonts w:cs="Times New Roman"/>
          <w:lang w:val="en"/>
        </w:rPr>
        <w:t xml:space="preserve">Section 4.4 Special </w:t>
      </w:r>
      <w:r w:rsidR="0048872E" w:rsidRPr="00A407DD">
        <w:rPr>
          <w:rFonts w:cs="Times New Roman"/>
          <w:lang w:val="en"/>
        </w:rPr>
        <w:t xml:space="preserve">Warnings and Precautions </w:t>
      </w:r>
      <w:r w:rsidR="0048872E">
        <w:rPr>
          <w:rFonts w:cs="Times New Roman"/>
          <w:lang w:val="en"/>
        </w:rPr>
        <w:t>for Use</w:t>
      </w:r>
      <w:r w:rsidR="66AB2A34">
        <w:rPr>
          <w:rFonts w:cs="Times New Roman"/>
          <w:lang w:val="en"/>
        </w:rPr>
        <w:t>)</w:t>
      </w:r>
      <w:r w:rsidRPr="00212EA7">
        <w:rPr>
          <w:rFonts w:cs="Times New Roman"/>
          <w:lang w:val="en"/>
        </w:rPr>
        <w:t>.</w:t>
      </w:r>
    </w:p>
    <w:p w14:paraId="0FD802DF" w14:textId="7D6106E9" w:rsidR="000F3642" w:rsidRPr="000F3642" w:rsidRDefault="000F3642" w:rsidP="00DD317A">
      <w:r>
        <w:t xml:space="preserve">In FEDR-MF-002, a randomised controlled post-marketing study of </w:t>
      </w:r>
      <w:proofErr w:type="spellStart"/>
      <w:r>
        <w:t>fedratinib</w:t>
      </w:r>
      <w:proofErr w:type="spellEnd"/>
      <w:r>
        <w:t xml:space="preserve"> vs. best available therapy (BAT), the incidence of thiamine levels below the lower limit of normal (&lt;70</w:t>
      </w:r>
      <w:r w:rsidR="0087233A">
        <w:t> </w:t>
      </w:r>
      <w:r>
        <w:t xml:space="preserve">nmol/L) was 20.9% for </w:t>
      </w:r>
      <w:proofErr w:type="spellStart"/>
      <w:r>
        <w:t>fedratinib</w:t>
      </w:r>
      <w:proofErr w:type="spellEnd"/>
      <w:r>
        <w:t xml:space="preserve"> vs 4.5% for BAT. Thiamine levels &lt;30</w:t>
      </w:r>
      <w:r w:rsidR="0087233A">
        <w:t> </w:t>
      </w:r>
      <w:r>
        <w:t xml:space="preserve">nmol/L were not observed in the study. The median time to the first low thiamine level after initiation of </w:t>
      </w:r>
      <w:proofErr w:type="spellStart"/>
      <w:r>
        <w:t>fedratinib</w:t>
      </w:r>
      <w:proofErr w:type="spellEnd"/>
      <w:r>
        <w:t xml:space="preserve"> was 29.5</w:t>
      </w:r>
      <w:r w:rsidR="0087233A">
        <w:t> </w:t>
      </w:r>
      <w:r>
        <w:t xml:space="preserve">days. The frequency of low thiamine levels in participants receiving </w:t>
      </w:r>
      <w:proofErr w:type="spellStart"/>
      <w:r>
        <w:t>fedratinib</w:t>
      </w:r>
      <w:proofErr w:type="spellEnd"/>
      <w:r>
        <w:t xml:space="preserve"> was 1.5% in those receiving thiamine supplementation 100</w:t>
      </w:r>
      <w:r w:rsidR="0087233A">
        <w:t> </w:t>
      </w:r>
      <w:r>
        <w:t>mg orally per day vs. 39.1% in those not receiving thiamine supplementation.</w:t>
      </w:r>
    </w:p>
    <w:p w14:paraId="5136A6E0" w14:textId="77777777" w:rsidR="00540A1B" w:rsidRPr="00E0631E" w:rsidRDefault="00540A1B" w:rsidP="00540A1B">
      <w:pPr>
        <w:rPr>
          <w:i/>
          <w:iCs/>
        </w:rPr>
      </w:pPr>
      <w:r w:rsidRPr="00E0631E">
        <w:rPr>
          <w:i/>
          <w:iCs/>
        </w:rPr>
        <w:t>Anaemia</w:t>
      </w:r>
    </w:p>
    <w:p w14:paraId="38ACCF52" w14:textId="01350445" w:rsidR="00540A1B" w:rsidRDefault="00540A1B" w:rsidP="00540A1B">
      <w:pPr>
        <w:rPr>
          <w:rFonts w:cs="Times New Roman"/>
          <w:lang w:val="en"/>
        </w:rPr>
      </w:pPr>
      <w:r w:rsidRPr="00347E9A">
        <w:rPr>
          <w:rFonts w:cs="Times New Roman"/>
          <w:lang w:val="en"/>
        </w:rPr>
        <w:t>In patients with primary or secondary myelofibrosis treated with 400</w:t>
      </w:r>
      <w:r w:rsidR="0087233A">
        <w:rPr>
          <w:rFonts w:cs="Times New Roman"/>
          <w:lang w:val="en"/>
        </w:rPr>
        <w:t> </w:t>
      </w:r>
      <w:r w:rsidRPr="00347E9A">
        <w:rPr>
          <w:rFonts w:cs="Times New Roman"/>
          <w:lang w:val="en"/>
        </w:rPr>
        <w:t xml:space="preserve">mg of </w:t>
      </w:r>
      <w:r>
        <w:rPr>
          <w:rFonts w:cs="Times New Roman"/>
          <w:lang w:val="en"/>
        </w:rPr>
        <w:t>INREBIC</w:t>
      </w:r>
      <w:r w:rsidRPr="00347E9A">
        <w:rPr>
          <w:rFonts w:cs="Times New Roman"/>
          <w:lang w:val="en"/>
        </w:rPr>
        <w:t xml:space="preserve">, </w:t>
      </w:r>
      <w:r w:rsidRPr="00347E9A" w:rsidDel="00280322">
        <w:rPr>
          <w:rFonts w:cs="Times New Roman"/>
          <w:lang w:val="en"/>
        </w:rPr>
        <w:t>43</w:t>
      </w:r>
      <w:r w:rsidRPr="00347E9A">
        <w:rPr>
          <w:rFonts w:cs="Times New Roman"/>
          <w:lang w:val="en"/>
        </w:rPr>
        <w:t>% of</w:t>
      </w:r>
      <w:r>
        <w:rPr>
          <w:rFonts w:cs="Times New Roman"/>
          <w:lang w:val="en"/>
        </w:rPr>
        <w:t xml:space="preserve"> </w:t>
      </w:r>
      <w:r w:rsidRPr="00347E9A">
        <w:rPr>
          <w:rFonts w:cs="Times New Roman"/>
          <w:lang w:val="en"/>
        </w:rPr>
        <w:t xml:space="preserve">patients developed Grade 3 </w:t>
      </w:r>
      <w:proofErr w:type="spellStart"/>
      <w:r w:rsidRPr="00347E9A">
        <w:rPr>
          <w:rFonts w:cs="Times New Roman"/>
          <w:lang w:val="en"/>
        </w:rPr>
        <w:t>an</w:t>
      </w:r>
      <w:r>
        <w:rPr>
          <w:rFonts w:cs="Times New Roman"/>
          <w:lang w:val="en"/>
        </w:rPr>
        <w:t>a</w:t>
      </w:r>
      <w:r w:rsidRPr="00347E9A">
        <w:rPr>
          <w:rFonts w:cs="Times New Roman"/>
          <w:lang w:val="en"/>
        </w:rPr>
        <w:t>emia</w:t>
      </w:r>
      <w:proofErr w:type="spellEnd"/>
      <w:r w:rsidRPr="00347E9A">
        <w:rPr>
          <w:rFonts w:cs="Times New Roman"/>
          <w:lang w:val="en"/>
        </w:rPr>
        <w:t xml:space="preserve">; no patients developed Grade 4 </w:t>
      </w:r>
      <w:proofErr w:type="spellStart"/>
      <w:r w:rsidRPr="00347E9A">
        <w:rPr>
          <w:rFonts w:cs="Times New Roman"/>
          <w:lang w:val="en"/>
        </w:rPr>
        <w:t>an</w:t>
      </w:r>
      <w:r>
        <w:rPr>
          <w:rFonts w:cs="Times New Roman"/>
          <w:lang w:val="en"/>
        </w:rPr>
        <w:t>a</w:t>
      </w:r>
      <w:r w:rsidRPr="00347E9A">
        <w:rPr>
          <w:rFonts w:cs="Times New Roman"/>
          <w:lang w:val="en"/>
        </w:rPr>
        <w:t>emia</w:t>
      </w:r>
      <w:proofErr w:type="spellEnd"/>
      <w:r w:rsidRPr="00347E9A">
        <w:rPr>
          <w:rFonts w:cs="Times New Roman"/>
          <w:lang w:val="en"/>
        </w:rPr>
        <w:t>. The median time to first</w:t>
      </w:r>
      <w:r>
        <w:rPr>
          <w:rFonts w:cs="Times New Roman"/>
          <w:lang w:val="en"/>
        </w:rPr>
        <w:t xml:space="preserve"> </w:t>
      </w:r>
      <w:r w:rsidRPr="00347E9A">
        <w:rPr>
          <w:rFonts w:cs="Times New Roman"/>
          <w:lang w:val="en"/>
        </w:rPr>
        <w:t xml:space="preserve">onset of Grade 3 </w:t>
      </w:r>
      <w:proofErr w:type="spellStart"/>
      <w:r w:rsidRPr="00347E9A">
        <w:rPr>
          <w:rFonts w:cs="Times New Roman"/>
          <w:lang w:val="en"/>
        </w:rPr>
        <w:t>an</w:t>
      </w:r>
      <w:r>
        <w:rPr>
          <w:rFonts w:cs="Times New Roman"/>
          <w:lang w:val="en"/>
        </w:rPr>
        <w:t>a</w:t>
      </w:r>
      <w:r w:rsidRPr="00347E9A">
        <w:rPr>
          <w:rFonts w:cs="Times New Roman"/>
          <w:lang w:val="en"/>
        </w:rPr>
        <w:t>emia</w:t>
      </w:r>
      <w:proofErr w:type="spellEnd"/>
      <w:r w:rsidRPr="00347E9A">
        <w:rPr>
          <w:rFonts w:cs="Times New Roman"/>
          <w:lang w:val="en"/>
        </w:rPr>
        <w:t xml:space="preserve"> event was approximately 45</w:t>
      </w:r>
      <w:r w:rsidR="0087233A">
        <w:rPr>
          <w:rFonts w:cs="Times New Roman"/>
          <w:lang w:val="en"/>
        </w:rPr>
        <w:t> </w:t>
      </w:r>
      <w:r w:rsidRPr="00347E9A">
        <w:rPr>
          <w:rFonts w:cs="Times New Roman"/>
          <w:lang w:val="en"/>
        </w:rPr>
        <w:t>days, with 75% of cases occurring within 3</w:t>
      </w:r>
      <w:r w:rsidR="0087233A">
        <w:rPr>
          <w:rFonts w:cs="Times New Roman"/>
          <w:lang w:val="en"/>
        </w:rPr>
        <w:t> </w:t>
      </w:r>
      <w:r w:rsidRPr="00347E9A">
        <w:rPr>
          <w:rFonts w:cs="Times New Roman"/>
          <w:lang w:val="en"/>
        </w:rPr>
        <w:t>months. Red blood cell transfusions were received by 51% of 400</w:t>
      </w:r>
      <w:r w:rsidR="0087233A">
        <w:rPr>
          <w:rFonts w:cs="Times New Roman"/>
          <w:lang w:val="en"/>
        </w:rPr>
        <w:t> </w:t>
      </w:r>
      <w:r w:rsidRPr="00347E9A">
        <w:rPr>
          <w:rFonts w:cs="Times New Roman"/>
          <w:lang w:val="en"/>
        </w:rPr>
        <w:t xml:space="preserve">mg </w:t>
      </w:r>
      <w:r>
        <w:rPr>
          <w:rFonts w:cs="Times New Roman"/>
          <w:lang w:val="en"/>
        </w:rPr>
        <w:t>INREBIC</w:t>
      </w:r>
      <w:r w:rsidRPr="00347E9A">
        <w:rPr>
          <w:rFonts w:cs="Times New Roman"/>
          <w:lang w:val="en"/>
        </w:rPr>
        <w:t>-treated patients</w:t>
      </w:r>
      <w:r>
        <w:rPr>
          <w:rFonts w:cs="Times New Roman"/>
          <w:lang w:val="en"/>
        </w:rPr>
        <w:t xml:space="preserve"> </w:t>
      </w:r>
      <w:r w:rsidRPr="00347E9A">
        <w:rPr>
          <w:rFonts w:cs="Times New Roman"/>
          <w:lang w:val="en"/>
        </w:rPr>
        <w:t>and permanent discontinuation of 400</w:t>
      </w:r>
      <w:r w:rsidR="0087233A">
        <w:rPr>
          <w:rFonts w:cs="Times New Roman"/>
          <w:lang w:val="en"/>
        </w:rPr>
        <w:t> </w:t>
      </w:r>
      <w:r w:rsidRPr="00347E9A">
        <w:rPr>
          <w:rFonts w:cs="Times New Roman"/>
          <w:lang w:val="en"/>
        </w:rPr>
        <w:t>mg</w:t>
      </w:r>
      <w:r>
        <w:rPr>
          <w:rFonts w:cs="Times New Roman"/>
          <w:lang w:val="en"/>
        </w:rPr>
        <w:t xml:space="preserve"> INREBIC</w:t>
      </w:r>
      <w:r w:rsidRPr="00347E9A">
        <w:rPr>
          <w:rFonts w:cs="Times New Roman"/>
          <w:lang w:val="en"/>
        </w:rPr>
        <w:t xml:space="preserve"> occurred due to </w:t>
      </w:r>
      <w:proofErr w:type="spellStart"/>
      <w:r w:rsidRPr="00347E9A">
        <w:rPr>
          <w:rFonts w:cs="Times New Roman"/>
          <w:lang w:val="en"/>
        </w:rPr>
        <w:t>an</w:t>
      </w:r>
      <w:r>
        <w:rPr>
          <w:rFonts w:cs="Times New Roman"/>
          <w:lang w:val="en"/>
        </w:rPr>
        <w:t>a</w:t>
      </w:r>
      <w:r w:rsidRPr="00347E9A">
        <w:rPr>
          <w:rFonts w:cs="Times New Roman"/>
          <w:lang w:val="en"/>
        </w:rPr>
        <w:t>emia</w:t>
      </w:r>
      <w:proofErr w:type="spellEnd"/>
      <w:r w:rsidRPr="00347E9A">
        <w:rPr>
          <w:rFonts w:cs="Times New Roman"/>
          <w:lang w:val="en"/>
        </w:rPr>
        <w:t xml:space="preserve"> in 1% of patients</w:t>
      </w:r>
      <w:r w:rsidR="004E280B">
        <w:rPr>
          <w:rFonts w:cs="Times New Roman"/>
          <w:lang w:val="en"/>
        </w:rPr>
        <w:t xml:space="preserve"> (see Section 4.2 Dose and Method of Administration - </w:t>
      </w:r>
      <w:r w:rsidR="00B44FA4">
        <w:rPr>
          <w:rFonts w:cs="Times New Roman"/>
          <w:lang w:val="en"/>
        </w:rPr>
        <w:fldChar w:fldCharType="begin"/>
      </w:r>
      <w:r w:rsidR="00B44FA4">
        <w:rPr>
          <w:rFonts w:cs="Times New Roman"/>
          <w:lang w:val="en"/>
        </w:rPr>
        <w:instrText xml:space="preserve"> REF _Ref152234359 \h </w:instrText>
      </w:r>
      <w:r w:rsidR="00B44FA4">
        <w:rPr>
          <w:rFonts w:cs="Times New Roman"/>
          <w:lang w:val="en"/>
        </w:rPr>
      </w:r>
      <w:r w:rsidR="00B44FA4">
        <w:rPr>
          <w:rFonts w:cs="Times New Roman"/>
          <w:lang w:val="en"/>
        </w:rPr>
        <w:fldChar w:fldCharType="separate"/>
      </w:r>
      <w:r w:rsidR="00196356">
        <w:t xml:space="preserve">Table </w:t>
      </w:r>
      <w:r w:rsidR="00196356">
        <w:rPr>
          <w:noProof/>
        </w:rPr>
        <w:t>1</w:t>
      </w:r>
      <w:r w:rsidR="00B44FA4">
        <w:rPr>
          <w:rFonts w:cs="Times New Roman"/>
          <w:lang w:val="en"/>
        </w:rPr>
        <w:fldChar w:fldCharType="end"/>
      </w:r>
      <w:r w:rsidR="004E280B">
        <w:rPr>
          <w:rFonts w:cs="Times New Roman"/>
          <w:lang w:val="en"/>
        </w:rPr>
        <w:t xml:space="preserve"> and Section 4.4 Special </w:t>
      </w:r>
      <w:r w:rsidR="004E280B" w:rsidRPr="00A407DD">
        <w:rPr>
          <w:rFonts w:cs="Times New Roman"/>
          <w:lang w:val="en"/>
        </w:rPr>
        <w:t xml:space="preserve">Warnings and Precautions </w:t>
      </w:r>
      <w:r w:rsidR="004E280B">
        <w:rPr>
          <w:rFonts w:cs="Times New Roman"/>
          <w:lang w:val="en"/>
        </w:rPr>
        <w:t>for Use)</w:t>
      </w:r>
      <w:r w:rsidRPr="00347E9A">
        <w:rPr>
          <w:rFonts w:cs="Times New Roman"/>
          <w:lang w:val="en"/>
        </w:rPr>
        <w:t>.</w:t>
      </w:r>
      <w:r>
        <w:rPr>
          <w:rFonts w:cs="Times New Roman"/>
          <w:lang w:val="en"/>
        </w:rPr>
        <w:t xml:space="preserve"> </w:t>
      </w:r>
    </w:p>
    <w:p w14:paraId="305C99CE" w14:textId="77777777" w:rsidR="00540A1B" w:rsidRPr="00E0631E" w:rsidRDefault="00540A1B" w:rsidP="00540A1B">
      <w:pPr>
        <w:rPr>
          <w:i/>
          <w:iCs/>
        </w:rPr>
      </w:pPr>
      <w:r w:rsidRPr="00E0631E">
        <w:rPr>
          <w:i/>
          <w:iCs/>
        </w:rPr>
        <w:t>Thrombocytopenia</w:t>
      </w:r>
    </w:p>
    <w:p w14:paraId="6B853D7D" w14:textId="10792EAE" w:rsidR="00540A1B" w:rsidRDefault="00540A1B" w:rsidP="00540A1B">
      <w:pPr>
        <w:rPr>
          <w:rFonts w:cs="Times New Roman"/>
          <w:lang w:val="en"/>
        </w:rPr>
      </w:pPr>
      <w:r w:rsidRPr="003F1AF1">
        <w:rPr>
          <w:rFonts w:cs="Times New Roman"/>
          <w:lang w:val="en"/>
        </w:rPr>
        <w:t>In patients with primary or secondary myelofibrosis treated with 400</w:t>
      </w:r>
      <w:r w:rsidR="009C2048">
        <w:rPr>
          <w:rFonts w:cs="Times New Roman"/>
          <w:lang w:val="en"/>
        </w:rPr>
        <w:t> </w:t>
      </w:r>
      <w:r w:rsidRPr="003F1AF1">
        <w:rPr>
          <w:rFonts w:cs="Times New Roman"/>
          <w:lang w:val="en"/>
        </w:rPr>
        <w:t xml:space="preserve">mg of </w:t>
      </w:r>
      <w:r>
        <w:rPr>
          <w:rFonts w:cs="Times New Roman"/>
          <w:lang w:val="en"/>
        </w:rPr>
        <w:t>INREBIC</w:t>
      </w:r>
      <w:r w:rsidRPr="003F1AF1">
        <w:rPr>
          <w:rFonts w:cs="Times New Roman"/>
          <w:lang w:val="en"/>
        </w:rPr>
        <w:t xml:space="preserve">, </w:t>
      </w:r>
      <w:r w:rsidRPr="003F1AF1" w:rsidDel="001B226E">
        <w:rPr>
          <w:rFonts w:cs="Times New Roman"/>
          <w:lang w:val="en"/>
        </w:rPr>
        <w:t>13</w:t>
      </w:r>
      <w:r w:rsidRPr="003F1AF1">
        <w:rPr>
          <w:rFonts w:cs="Times New Roman"/>
          <w:lang w:val="en"/>
        </w:rPr>
        <w:t>% and</w:t>
      </w:r>
      <w:r>
        <w:rPr>
          <w:rFonts w:cs="Times New Roman"/>
          <w:lang w:val="en"/>
        </w:rPr>
        <w:t xml:space="preserve"> </w:t>
      </w:r>
      <w:r w:rsidRPr="003F1AF1" w:rsidDel="00DA5824">
        <w:rPr>
          <w:rFonts w:cs="Times New Roman"/>
          <w:lang w:val="en"/>
        </w:rPr>
        <w:t>4%</w:t>
      </w:r>
      <w:r w:rsidRPr="003F1AF1">
        <w:rPr>
          <w:rFonts w:cs="Times New Roman"/>
          <w:lang w:val="en"/>
        </w:rPr>
        <w:t xml:space="preserve"> of patients developed Grade 3 and Grade 4 thrombocytopenia, respectively. The median time to</w:t>
      </w:r>
      <w:r>
        <w:rPr>
          <w:rFonts w:cs="Times New Roman"/>
          <w:lang w:val="en"/>
        </w:rPr>
        <w:t xml:space="preserve"> </w:t>
      </w:r>
      <w:r w:rsidRPr="003F1AF1">
        <w:rPr>
          <w:rFonts w:cs="Times New Roman"/>
          <w:lang w:val="en"/>
        </w:rPr>
        <w:t>first onset of Grade 3 or 4 thrombocytopenia was approximately 43</w:t>
      </w:r>
      <w:r w:rsidR="009C2048">
        <w:rPr>
          <w:rFonts w:cs="Times New Roman"/>
          <w:lang w:val="en"/>
        </w:rPr>
        <w:t> </w:t>
      </w:r>
      <w:r w:rsidRPr="003F1AF1">
        <w:rPr>
          <w:rFonts w:cs="Times New Roman"/>
          <w:lang w:val="en"/>
        </w:rPr>
        <w:t>days, with 75% of cases occurring</w:t>
      </w:r>
      <w:r>
        <w:rPr>
          <w:rFonts w:cs="Times New Roman"/>
          <w:lang w:val="en"/>
        </w:rPr>
        <w:t xml:space="preserve"> </w:t>
      </w:r>
      <w:r w:rsidRPr="003F1AF1">
        <w:rPr>
          <w:rFonts w:cs="Times New Roman"/>
          <w:lang w:val="en"/>
        </w:rPr>
        <w:t>within 3</w:t>
      </w:r>
      <w:r w:rsidR="009C2048">
        <w:rPr>
          <w:rFonts w:cs="Times New Roman"/>
          <w:lang w:val="en"/>
        </w:rPr>
        <w:t> </w:t>
      </w:r>
      <w:r w:rsidRPr="003F1AF1">
        <w:rPr>
          <w:rFonts w:cs="Times New Roman"/>
          <w:lang w:val="en"/>
        </w:rPr>
        <w:t>months. Platelet transfusions were received by 4% of 400</w:t>
      </w:r>
      <w:r w:rsidR="009C2048">
        <w:rPr>
          <w:rFonts w:cs="Times New Roman"/>
          <w:lang w:val="en"/>
        </w:rPr>
        <w:t> </w:t>
      </w:r>
      <w:r w:rsidRPr="003F1AF1">
        <w:rPr>
          <w:rFonts w:cs="Times New Roman"/>
          <w:lang w:val="en"/>
        </w:rPr>
        <w:t xml:space="preserve">mg </w:t>
      </w:r>
      <w:r>
        <w:rPr>
          <w:rFonts w:cs="Times New Roman"/>
          <w:lang w:val="en"/>
        </w:rPr>
        <w:t>INREBIC</w:t>
      </w:r>
      <w:r w:rsidRPr="003F1AF1">
        <w:rPr>
          <w:rFonts w:cs="Times New Roman"/>
          <w:lang w:val="en"/>
        </w:rPr>
        <w:t>-treated</w:t>
      </w:r>
      <w:r>
        <w:rPr>
          <w:rFonts w:cs="Times New Roman"/>
          <w:lang w:val="en"/>
        </w:rPr>
        <w:t xml:space="preserve"> </w:t>
      </w:r>
      <w:r w:rsidRPr="003F1AF1">
        <w:rPr>
          <w:rFonts w:cs="Times New Roman"/>
          <w:lang w:val="en"/>
        </w:rPr>
        <w:t>patients. Permanent discontinuation of treatment due to thrombocytopenia and bleeding that required</w:t>
      </w:r>
      <w:r>
        <w:rPr>
          <w:rFonts w:cs="Times New Roman"/>
          <w:lang w:val="en"/>
        </w:rPr>
        <w:t xml:space="preserve"> </w:t>
      </w:r>
      <w:r w:rsidRPr="003F1AF1">
        <w:rPr>
          <w:rFonts w:cs="Times New Roman"/>
          <w:lang w:val="en"/>
        </w:rPr>
        <w:t xml:space="preserve">clinical intervention occurred in </w:t>
      </w:r>
      <w:r w:rsidRPr="003F1AF1" w:rsidDel="00493F0A">
        <w:rPr>
          <w:rFonts w:cs="Times New Roman"/>
          <w:lang w:val="en"/>
        </w:rPr>
        <w:t>2</w:t>
      </w:r>
      <w:r w:rsidRPr="003F1AF1">
        <w:rPr>
          <w:rFonts w:cs="Times New Roman"/>
          <w:lang w:val="en"/>
        </w:rPr>
        <w:t>% and 6%, respectively of 400</w:t>
      </w:r>
      <w:r w:rsidR="009C2048">
        <w:rPr>
          <w:rFonts w:cs="Times New Roman"/>
          <w:lang w:val="en"/>
        </w:rPr>
        <w:t> </w:t>
      </w:r>
      <w:r w:rsidRPr="003F1AF1">
        <w:rPr>
          <w:rFonts w:cs="Times New Roman"/>
          <w:lang w:val="en"/>
        </w:rPr>
        <w:t xml:space="preserve">mg </w:t>
      </w:r>
      <w:r>
        <w:rPr>
          <w:rFonts w:cs="Times New Roman"/>
          <w:lang w:val="en"/>
        </w:rPr>
        <w:t>INREBIC</w:t>
      </w:r>
      <w:r w:rsidRPr="003F1AF1">
        <w:rPr>
          <w:rFonts w:cs="Times New Roman"/>
          <w:lang w:val="en"/>
        </w:rPr>
        <w:t>-treated patients</w:t>
      </w:r>
      <w:r w:rsidR="004E280B">
        <w:rPr>
          <w:rFonts w:cs="Times New Roman"/>
          <w:lang w:val="en"/>
        </w:rPr>
        <w:t xml:space="preserve"> (see Section 4.2 Dose and Method of Administration - </w:t>
      </w:r>
      <w:r w:rsidR="00426DC4">
        <w:rPr>
          <w:rFonts w:cs="Times New Roman"/>
          <w:lang w:val="en"/>
        </w:rPr>
        <w:fldChar w:fldCharType="begin"/>
      </w:r>
      <w:r w:rsidR="00426DC4">
        <w:rPr>
          <w:rFonts w:cs="Times New Roman"/>
          <w:lang w:val="en"/>
        </w:rPr>
        <w:instrText xml:space="preserve"> REF _Ref152234359 \h </w:instrText>
      </w:r>
      <w:r w:rsidR="00426DC4">
        <w:rPr>
          <w:rFonts w:cs="Times New Roman"/>
          <w:lang w:val="en"/>
        </w:rPr>
      </w:r>
      <w:r w:rsidR="00426DC4">
        <w:rPr>
          <w:rFonts w:cs="Times New Roman"/>
          <w:lang w:val="en"/>
        </w:rPr>
        <w:fldChar w:fldCharType="separate"/>
      </w:r>
      <w:r w:rsidR="00196356">
        <w:t xml:space="preserve">Table </w:t>
      </w:r>
      <w:r w:rsidR="00196356">
        <w:rPr>
          <w:noProof/>
        </w:rPr>
        <w:t>1</w:t>
      </w:r>
      <w:r w:rsidR="00426DC4">
        <w:rPr>
          <w:rFonts w:cs="Times New Roman"/>
          <w:lang w:val="en"/>
        </w:rPr>
        <w:fldChar w:fldCharType="end"/>
      </w:r>
      <w:r w:rsidR="004E280B">
        <w:rPr>
          <w:rFonts w:cs="Times New Roman"/>
          <w:lang w:val="en"/>
        </w:rPr>
        <w:t xml:space="preserve"> and Section 4.4 Special </w:t>
      </w:r>
      <w:r w:rsidR="004E280B" w:rsidRPr="00A407DD">
        <w:rPr>
          <w:rFonts w:cs="Times New Roman"/>
          <w:lang w:val="en"/>
        </w:rPr>
        <w:t xml:space="preserve">Warnings and Precautions </w:t>
      </w:r>
      <w:r w:rsidR="004E280B">
        <w:rPr>
          <w:rFonts w:cs="Times New Roman"/>
          <w:lang w:val="en"/>
        </w:rPr>
        <w:t>for Use)</w:t>
      </w:r>
      <w:r w:rsidRPr="003F1AF1">
        <w:rPr>
          <w:rFonts w:cs="Times New Roman"/>
          <w:lang w:val="en"/>
        </w:rPr>
        <w:t>.</w:t>
      </w:r>
    </w:p>
    <w:p w14:paraId="71CC90E0" w14:textId="77777777" w:rsidR="007A49BB" w:rsidRPr="007A49BB" w:rsidRDefault="007A49BB" w:rsidP="007A49BB">
      <w:pPr>
        <w:rPr>
          <w:rFonts w:cs="Times New Roman"/>
          <w:i/>
          <w:iCs/>
          <w:lang w:val="en-US"/>
        </w:rPr>
      </w:pPr>
      <w:r w:rsidRPr="007A49BB">
        <w:rPr>
          <w:rFonts w:cs="Times New Roman"/>
          <w:i/>
          <w:iCs/>
          <w:lang w:val="en-US"/>
        </w:rPr>
        <w:t>Gastrointestinal Toxicity</w:t>
      </w:r>
    </w:p>
    <w:p w14:paraId="14A3FA78" w14:textId="5949C933" w:rsidR="007A49BB" w:rsidRPr="003F1AF1" w:rsidRDefault="007A49BB" w:rsidP="00540A1B">
      <w:pPr>
        <w:rPr>
          <w:rFonts w:cs="Times New Roman"/>
          <w:lang w:val="en"/>
        </w:rPr>
      </w:pPr>
      <w:r w:rsidRPr="00767E58">
        <w:rPr>
          <w:rFonts w:cs="Times New Roman"/>
          <w:lang w:val="en"/>
        </w:rPr>
        <w:t xml:space="preserve">Nausea, vomiting, and </w:t>
      </w:r>
      <w:proofErr w:type="spellStart"/>
      <w:r w:rsidRPr="00767E58">
        <w:rPr>
          <w:rFonts w:cs="Times New Roman"/>
          <w:lang w:val="en"/>
        </w:rPr>
        <w:t>diarrh</w:t>
      </w:r>
      <w:r>
        <w:rPr>
          <w:rFonts w:cs="Times New Roman"/>
          <w:lang w:val="en"/>
        </w:rPr>
        <w:t>o</w:t>
      </w:r>
      <w:r w:rsidRPr="00767E58">
        <w:rPr>
          <w:rFonts w:cs="Times New Roman"/>
          <w:lang w:val="en"/>
        </w:rPr>
        <w:t>ea</w:t>
      </w:r>
      <w:proofErr w:type="spellEnd"/>
      <w:r w:rsidRPr="00767E58">
        <w:rPr>
          <w:rFonts w:cs="Times New Roman"/>
          <w:lang w:val="en"/>
        </w:rPr>
        <w:t xml:space="preserve"> are among the most frequent adverse reactions in </w:t>
      </w:r>
      <w:r>
        <w:rPr>
          <w:rFonts w:cs="Times New Roman"/>
          <w:lang w:val="en"/>
        </w:rPr>
        <w:t>INREBIC-</w:t>
      </w:r>
      <w:r w:rsidRPr="00767E58">
        <w:rPr>
          <w:rFonts w:cs="Times New Roman"/>
          <w:lang w:val="en"/>
        </w:rPr>
        <w:t>treated</w:t>
      </w:r>
      <w:r>
        <w:rPr>
          <w:rFonts w:cs="Times New Roman"/>
          <w:lang w:val="en"/>
        </w:rPr>
        <w:t xml:space="preserve"> </w:t>
      </w:r>
      <w:r w:rsidRPr="00767E58">
        <w:rPr>
          <w:rFonts w:cs="Times New Roman"/>
          <w:lang w:val="en"/>
        </w:rPr>
        <w:t>patients. In MF patients treated with 400</w:t>
      </w:r>
      <w:r w:rsidR="009C2048">
        <w:rPr>
          <w:rFonts w:cs="Times New Roman"/>
          <w:lang w:val="en"/>
        </w:rPr>
        <w:t> </w:t>
      </w:r>
      <w:r w:rsidRPr="00767E58">
        <w:rPr>
          <w:rFonts w:cs="Times New Roman"/>
          <w:lang w:val="en"/>
        </w:rPr>
        <w:t xml:space="preserve">mg of </w:t>
      </w:r>
      <w:r>
        <w:rPr>
          <w:rFonts w:cs="Times New Roman"/>
          <w:lang w:val="en"/>
        </w:rPr>
        <w:t>INREBIC</w:t>
      </w:r>
      <w:r w:rsidRPr="00767E58">
        <w:rPr>
          <w:rFonts w:cs="Times New Roman"/>
          <w:lang w:val="en"/>
        </w:rPr>
        <w:t xml:space="preserve">, </w:t>
      </w:r>
      <w:proofErr w:type="spellStart"/>
      <w:r w:rsidRPr="00767E58">
        <w:rPr>
          <w:rFonts w:cs="Times New Roman"/>
          <w:lang w:val="en"/>
        </w:rPr>
        <w:t>diarrh</w:t>
      </w:r>
      <w:r>
        <w:rPr>
          <w:rFonts w:cs="Times New Roman"/>
          <w:lang w:val="en"/>
        </w:rPr>
        <w:t>o</w:t>
      </w:r>
      <w:r w:rsidRPr="00767E58">
        <w:rPr>
          <w:rFonts w:cs="Times New Roman"/>
          <w:lang w:val="en"/>
        </w:rPr>
        <w:t>ea</w:t>
      </w:r>
      <w:proofErr w:type="spellEnd"/>
      <w:r w:rsidRPr="00767E58">
        <w:rPr>
          <w:rFonts w:cs="Times New Roman"/>
          <w:lang w:val="en"/>
        </w:rPr>
        <w:t xml:space="preserve"> occurred in </w:t>
      </w:r>
      <w:r w:rsidR="000A676A">
        <w:rPr>
          <w:rFonts w:cs="Times New Roman"/>
          <w:lang w:val="en"/>
        </w:rPr>
        <w:t>6</w:t>
      </w:r>
      <w:r w:rsidRPr="00767E58">
        <w:rPr>
          <w:rFonts w:cs="Times New Roman"/>
          <w:lang w:val="en"/>
        </w:rPr>
        <w:t>3% of</w:t>
      </w:r>
      <w:r>
        <w:rPr>
          <w:rFonts w:cs="Times New Roman"/>
          <w:lang w:val="en"/>
        </w:rPr>
        <w:t xml:space="preserve"> </w:t>
      </w:r>
      <w:r w:rsidRPr="00767E58">
        <w:rPr>
          <w:rFonts w:cs="Times New Roman"/>
          <w:lang w:val="en"/>
        </w:rPr>
        <w:t xml:space="preserve">patients, nausea in </w:t>
      </w:r>
      <w:r w:rsidRPr="00767E58" w:rsidDel="000A676A">
        <w:rPr>
          <w:rFonts w:cs="Times New Roman"/>
          <w:lang w:val="en"/>
        </w:rPr>
        <w:t>59</w:t>
      </w:r>
      <w:r w:rsidRPr="00767E58">
        <w:rPr>
          <w:rFonts w:cs="Times New Roman"/>
          <w:lang w:val="en"/>
        </w:rPr>
        <w:t xml:space="preserve">% of patients, and vomiting in </w:t>
      </w:r>
      <w:r w:rsidRPr="00767E58" w:rsidDel="00472B15">
        <w:rPr>
          <w:rFonts w:cs="Times New Roman"/>
          <w:lang w:val="en"/>
        </w:rPr>
        <w:t>39</w:t>
      </w:r>
      <w:r w:rsidRPr="00767E58">
        <w:rPr>
          <w:rFonts w:cs="Times New Roman"/>
          <w:lang w:val="en"/>
        </w:rPr>
        <w:t xml:space="preserve">% of patients. Grade 3 </w:t>
      </w:r>
      <w:proofErr w:type="spellStart"/>
      <w:r w:rsidRPr="00767E58">
        <w:rPr>
          <w:rFonts w:cs="Times New Roman"/>
          <w:lang w:val="en"/>
        </w:rPr>
        <w:t>diarrh</w:t>
      </w:r>
      <w:r>
        <w:rPr>
          <w:rFonts w:cs="Times New Roman"/>
          <w:lang w:val="en"/>
        </w:rPr>
        <w:t>o</w:t>
      </w:r>
      <w:r w:rsidRPr="00767E58">
        <w:rPr>
          <w:rFonts w:cs="Times New Roman"/>
          <w:lang w:val="en"/>
        </w:rPr>
        <w:t>ea</w:t>
      </w:r>
      <w:proofErr w:type="spellEnd"/>
      <w:r w:rsidRPr="00767E58">
        <w:rPr>
          <w:rFonts w:cs="Times New Roman"/>
          <w:lang w:val="en"/>
        </w:rPr>
        <w:t>, nausea, and</w:t>
      </w:r>
      <w:r>
        <w:rPr>
          <w:rFonts w:cs="Times New Roman"/>
          <w:lang w:val="en"/>
        </w:rPr>
        <w:t xml:space="preserve"> </w:t>
      </w:r>
      <w:r w:rsidRPr="00767E58">
        <w:rPr>
          <w:rFonts w:cs="Times New Roman"/>
          <w:lang w:val="en"/>
        </w:rPr>
        <w:t>vomiting occurred in 5%, 0.5% and 2% of patients, respectively. The median time to onset of any</w:t>
      </w:r>
      <w:r>
        <w:rPr>
          <w:rFonts w:cs="Times New Roman"/>
          <w:lang w:val="en"/>
        </w:rPr>
        <w:t xml:space="preserve"> </w:t>
      </w:r>
      <w:r w:rsidRPr="00767E58">
        <w:rPr>
          <w:rFonts w:cs="Times New Roman"/>
          <w:lang w:val="en"/>
        </w:rPr>
        <w:t xml:space="preserve">grade nausea, vomiting, and </w:t>
      </w:r>
      <w:proofErr w:type="spellStart"/>
      <w:r w:rsidRPr="00767E58">
        <w:rPr>
          <w:rFonts w:cs="Times New Roman"/>
          <w:lang w:val="en"/>
        </w:rPr>
        <w:t>diarrh</w:t>
      </w:r>
      <w:r>
        <w:rPr>
          <w:rFonts w:cs="Times New Roman"/>
          <w:lang w:val="en"/>
        </w:rPr>
        <w:t>o</w:t>
      </w:r>
      <w:r w:rsidRPr="00767E58">
        <w:rPr>
          <w:rFonts w:cs="Times New Roman"/>
          <w:lang w:val="en"/>
        </w:rPr>
        <w:t>ea</w:t>
      </w:r>
      <w:proofErr w:type="spellEnd"/>
      <w:r w:rsidRPr="00767E58">
        <w:rPr>
          <w:rFonts w:cs="Times New Roman"/>
          <w:lang w:val="en"/>
        </w:rPr>
        <w:t xml:space="preserve"> was 1 day, with 75% of cases occurring within 2</w:t>
      </w:r>
      <w:r w:rsidR="009C2048">
        <w:rPr>
          <w:rFonts w:cs="Times New Roman"/>
          <w:lang w:val="en"/>
        </w:rPr>
        <w:t> </w:t>
      </w:r>
      <w:r w:rsidRPr="00767E58">
        <w:rPr>
          <w:rFonts w:cs="Times New Roman"/>
          <w:lang w:val="en"/>
        </w:rPr>
        <w:t>weeks of</w:t>
      </w:r>
      <w:r>
        <w:rPr>
          <w:rFonts w:cs="Times New Roman"/>
          <w:lang w:val="en"/>
        </w:rPr>
        <w:t xml:space="preserve"> </w:t>
      </w:r>
      <w:r w:rsidRPr="00767E58">
        <w:rPr>
          <w:rFonts w:cs="Times New Roman"/>
          <w:lang w:val="en"/>
        </w:rPr>
        <w:t>starting treatment</w:t>
      </w:r>
      <w:r w:rsidR="004E280B">
        <w:rPr>
          <w:rFonts w:cs="Times New Roman"/>
          <w:lang w:val="en"/>
        </w:rPr>
        <w:t xml:space="preserve"> (see Section 4.2 Dose and Method of Administration - </w:t>
      </w:r>
      <w:r w:rsidR="00426DC4">
        <w:rPr>
          <w:rFonts w:cs="Times New Roman"/>
          <w:lang w:val="en"/>
        </w:rPr>
        <w:fldChar w:fldCharType="begin"/>
      </w:r>
      <w:r w:rsidR="00426DC4">
        <w:rPr>
          <w:rFonts w:cs="Times New Roman"/>
          <w:lang w:val="en"/>
        </w:rPr>
        <w:instrText xml:space="preserve"> REF _Ref152234375 \h </w:instrText>
      </w:r>
      <w:r w:rsidR="00426DC4">
        <w:rPr>
          <w:rFonts w:cs="Times New Roman"/>
          <w:lang w:val="en"/>
        </w:rPr>
      </w:r>
      <w:r w:rsidR="00426DC4">
        <w:rPr>
          <w:rFonts w:cs="Times New Roman"/>
          <w:lang w:val="en"/>
        </w:rPr>
        <w:fldChar w:fldCharType="separate"/>
      </w:r>
      <w:r w:rsidR="00196356">
        <w:t xml:space="preserve">Table </w:t>
      </w:r>
      <w:r w:rsidR="00196356">
        <w:rPr>
          <w:noProof/>
        </w:rPr>
        <w:t>2</w:t>
      </w:r>
      <w:r w:rsidR="00426DC4">
        <w:rPr>
          <w:rFonts w:cs="Times New Roman"/>
          <w:lang w:val="en"/>
        </w:rPr>
        <w:fldChar w:fldCharType="end"/>
      </w:r>
      <w:r w:rsidR="004E280B">
        <w:rPr>
          <w:rFonts w:cs="Times New Roman"/>
          <w:lang w:val="en"/>
        </w:rPr>
        <w:t xml:space="preserve"> and Section 4.4 Special </w:t>
      </w:r>
      <w:r w:rsidR="004E280B" w:rsidRPr="00A407DD">
        <w:rPr>
          <w:rFonts w:cs="Times New Roman"/>
          <w:lang w:val="en"/>
        </w:rPr>
        <w:t xml:space="preserve">Warnings and Precautions </w:t>
      </w:r>
      <w:r w:rsidR="004E280B">
        <w:rPr>
          <w:rFonts w:cs="Times New Roman"/>
          <w:lang w:val="en"/>
        </w:rPr>
        <w:t>for Use)</w:t>
      </w:r>
      <w:r w:rsidRPr="00767E58">
        <w:rPr>
          <w:rFonts w:cs="Times New Roman"/>
          <w:lang w:val="en"/>
        </w:rPr>
        <w:t>.</w:t>
      </w:r>
    </w:p>
    <w:p w14:paraId="2919704A" w14:textId="77777777" w:rsidR="009176E1" w:rsidRPr="009176E1" w:rsidRDefault="009176E1" w:rsidP="009176E1">
      <w:pPr>
        <w:rPr>
          <w:rFonts w:cs="Times New Roman"/>
          <w:i/>
          <w:iCs/>
          <w:lang w:val="en-US"/>
        </w:rPr>
      </w:pPr>
      <w:r w:rsidRPr="009176E1">
        <w:rPr>
          <w:rFonts w:cs="Times New Roman"/>
          <w:i/>
          <w:iCs/>
          <w:lang w:val="en-US"/>
        </w:rPr>
        <w:t>Hepatic Toxicity</w:t>
      </w:r>
    </w:p>
    <w:p w14:paraId="4FF589DE" w14:textId="454DFEEF" w:rsidR="009176E1" w:rsidRPr="007039FF" w:rsidRDefault="009176E1" w:rsidP="009176E1">
      <w:pPr>
        <w:rPr>
          <w:rFonts w:cs="Times New Roman"/>
          <w:lang w:val="en"/>
        </w:rPr>
      </w:pPr>
      <w:r w:rsidRPr="007039FF">
        <w:rPr>
          <w:rFonts w:cs="Times New Roman"/>
          <w:lang w:val="en"/>
        </w:rPr>
        <w:t xml:space="preserve">Elevations of ALT and AST (all grades) occurred in </w:t>
      </w:r>
      <w:r w:rsidRPr="007039FF" w:rsidDel="00810BBE">
        <w:rPr>
          <w:rFonts w:cs="Times New Roman"/>
          <w:lang w:val="en"/>
        </w:rPr>
        <w:t>43</w:t>
      </w:r>
      <w:r w:rsidRPr="007039FF">
        <w:rPr>
          <w:rFonts w:cs="Times New Roman"/>
          <w:lang w:val="en"/>
        </w:rPr>
        <w:t xml:space="preserve">% and </w:t>
      </w:r>
      <w:r w:rsidRPr="007039FF" w:rsidDel="005C4940">
        <w:rPr>
          <w:rFonts w:cs="Times New Roman"/>
          <w:lang w:val="en"/>
        </w:rPr>
        <w:t>52</w:t>
      </w:r>
      <w:r w:rsidRPr="007039FF">
        <w:rPr>
          <w:rFonts w:cs="Times New Roman"/>
          <w:lang w:val="en"/>
        </w:rPr>
        <w:t>%, respectively, with Grade 3 or 4 in</w:t>
      </w:r>
      <w:r>
        <w:rPr>
          <w:rFonts w:cs="Times New Roman"/>
          <w:lang w:val="en"/>
        </w:rPr>
        <w:t xml:space="preserve"> </w:t>
      </w:r>
      <w:r w:rsidRPr="007039FF">
        <w:rPr>
          <w:rFonts w:cs="Times New Roman"/>
          <w:lang w:val="en"/>
        </w:rPr>
        <w:t>3% and 2%, respectively, of 400</w:t>
      </w:r>
      <w:r w:rsidR="009C2048">
        <w:rPr>
          <w:rFonts w:cs="Times New Roman"/>
          <w:lang w:val="en"/>
        </w:rPr>
        <w:t> </w:t>
      </w:r>
      <w:r w:rsidRPr="007039FF">
        <w:rPr>
          <w:rFonts w:cs="Times New Roman"/>
          <w:lang w:val="en"/>
        </w:rPr>
        <w:t xml:space="preserve">mg </w:t>
      </w:r>
      <w:r>
        <w:rPr>
          <w:rFonts w:cs="Times New Roman"/>
          <w:lang w:val="en"/>
        </w:rPr>
        <w:t>INREBIC</w:t>
      </w:r>
      <w:r w:rsidRPr="007039FF">
        <w:rPr>
          <w:rFonts w:cs="Times New Roman"/>
          <w:lang w:val="en"/>
        </w:rPr>
        <w:t>-treated patients. The median time to onset of any</w:t>
      </w:r>
      <w:r>
        <w:rPr>
          <w:rFonts w:cs="Times New Roman"/>
          <w:lang w:val="en"/>
        </w:rPr>
        <w:t xml:space="preserve"> </w:t>
      </w:r>
      <w:r w:rsidRPr="007039FF">
        <w:rPr>
          <w:rFonts w:cs="Times New Roman"/>
          <w:lang w:val="en"/>
        </w:rPr>
        <w:t>grade transaminase elevation was approximately 1</w:t>
      </w:r>
      <w:r w:rsidR="009C2048">
        <w:rPr>
          <w:rFonts w:cs="Times New Roman"/>
          <w:lang w:val="en"/>
        </w:rPr>
        <w:t> </w:t>
      </w:r>
      <w:r w:rsidRPr="007039FF">
        <w:rPr>
          <w:rFonts w:cs="Times New Roman"/>
          <w:lang w:val="en"/>
        </w:rPr>
        <w:t>month, with 75% of cases occurring within 2-3</w:t>
      </w:r>
      <w:r w:rsidR="009C2048">
        <w:rPr>
          <w:rFonts w:cs="Times New Roman"/>
          <w:lang w:val="en"/>
        </w:rPr>
        <w:t> </w:t>
      </w:r>
      <w:r w:rsidRPr="007039FF">
        <w:rPr>
          <w:rFonts w:cs="Times New Roman"/>
          <w:lang w:val="en"/>
        </w:rPr>
        <w:t>months</w:t>
      </w:r>
      <w:r w:rsidR="00A32641">
        <w:rPr>
          <w:rFonts w:cs="Times New Roman"/>
          <w:lang w:val="en"/>
        </w:rPr>
        <w:t xml:space="preserve">. </w:t>
      </w:r>
      <w:r w:rsidR="00A32641" w:rsidRPr="00A32641">
        <w:rPr>
          <w:rFonts w:cs="Times New Roman"/>
          <w:lang w:val="en"/>
        </w:rPr>
        <w:t>Grade 3 or 4 ALT and AST elevations were generally reversible with dose modification or permanent treatment discontinuation</w:t>
      </w:r>
      <w:r w:rsidR="004E280B">
        <w:rPr>
          <w:rFonts w:cs="Times New Roman"/>
          <w:lang w:val="en"/>
        </w:rPr>
        <w:t xml:space="preserve"> (see Section 4.2 Dose and Method of Administration - </w:t>
      </w:r>
      <w:r w:rsidR="00426DC4">
        <w:rPr>
          <w:rFonts w:cs="Times New Roman"/>
          <w:lang w:val="en"/>
        </w:rPr>
        <w:fldChar w:fldCharType="begin"/>
      </w:r>
      <w:r w:rsidR="00426DC4">
        <w:rPr>
          <w:rFonts w:cs="Times New Roman"/>
          <w:lang w:val="en"/>
        </w:rPr>
        <w:instrText xml:space="preserve"> REF _Ref152234375 \h </w:instrText>
      </w:r>
      <w:r w:rsidR="00426DC4">
        <w:rPr>
          <w:rFonts w:cs="Times New Roman"/>
          <w:lang w:val="en"/>
        </w:rPr>
      </w:r>
      <w:r w:rsidR="00426DC4">
        <w:rPr>
          <w:rFonts w:cs="Times New Roman"/>
          <w:lang w:val="en"/>
        </w:rPr>
        <w:fldChar w:fldCharType="separate"/>
      </w:r>
      <w:r w:rsidR="00196356">
        <w:t xml:space="preserve">Table </w:t>
      </w:r>
      <w:r w:rsidR="00196356">
        <w:rPr>
          <w:noProof/>
        </w:rPr>
        <w:t>2</w:t>
      </w:r>
      <w:r w:rsidR="00426DC4">
        <w:rPr>
          <w:rFonts w:cs="Times New Roman"/>
          <w:lang w:val="en"/>
        </w:rPr>
        <w:fldChar w:fldCharType="end"/>
      </w:r>
      <w:r w:rsidR="004E280B">
        <w:rPr>
          <w:rFonts w:cs="Times New Roman"/>
          <w:lang w:val="en"/>
        </w:rPr>
        <w:t xml:space="preserve"> and Section 4.4 Special </w:t>
      </w:r>
      <w:r w:rsidR="004E280B" w:rsidRPr="00A407DD">
        <w:rPr>
          <w:rFonts w:cs="Times New Roman"/>
          <w:lang w:val="en"/>
        </w:rPr>
        <w:t xml:space="preserve">Warnings and Precautions </w:t>
      </w:r>
      <w:r w:rsidR="004E280B">
        <w:rPr>
          <w:rFonts w:cs="Times New Roman"/>
          <w:lang w:val="en"/>
        </w:rPr>
        <w:t>for Use)</w:t>
      </w:r>
      <w:r w:rsidRPr="007039FF">
        <w:rPr>
          <w:rFonts w:cs="Times New Roman"/>
          <w:lang w:val="en"/>
        </w:rPr>
        <w:t xml:space="preserve">. </w:t>
      </w:r>
    </w:p>
    <w:p w14:paraId="3CEF800F" w14:textId="77777777" w:rsidR="00DC596C" w:rsidRPr="00DC596C" w:rsidRDefault="00DC596C" w:rsidP="00DC596C">
      <w:pPr>
        <w:rPr>
          <w:rFonts w:cs="Times New Roman"/>
          <w:i/>
          <w:iCs/>
          <w:lang w:val="en-US"/>
        </w:rPr>
      </w:pPr>
      <w:r w:rsidRPr="00DC596C">
        <w:rPr>
          <w:rFonts w:cs="Times New Roman"/>
          <w:i/>
          <w:iCs/>
          <w:lang w:val="en-US"/>
        </w:rPr>
        <w:t>Elevated Amylase/Lipase</w:t>
      </w:r>
    </w:p>
    <w:p w14:paraId="12C895D3" w14:textId="2E3A975C" w:rsidR="009C077F" w:rsidRDefault="00DC596C" w:rsidP="00DC596C">
      <w:pPr>
        <w:rPr>
          <w:rFonts w:cs="Times New Roman"/>
          <w:lang w:val="en"/>
        </w:rPr>
      </w:pPr>
      <w:r w:rsidRPr="007039FF">
        <w:rPr>
          <w:rFonts w:cs="Times New Roman"/>
          <w:lang w:val="en"/>
        </w:rPr>
        <w:t xml:space="preserve">Elevations of </w:t>
      </w:r>
      <w:r>
        <w:rPr>
          <w:rFonts w:cs="Times New Roman"/>
          <w:lang w:val="en"/>
        </w:rPr>
        <w:t>a</w:t>
      </w:r>
      <w:r w:rsidRPr="007039FF">
        <w:rPr>
          <w:rFonts w:cs="Times New Roman"/>
          <w:lang w:val="en"/>
        </w:rPr>
        <w:t xml:space="preserve">mylase and/or </w:t>
      </w:r>
      <w:r>
        <w:rPr>
          <w:rFonts w:cs="Times New Roman"/>
          <w:lang w:val="en"/>
        </w:rPr>
        <w:t>l</w:t>
      </w:r>
      <w:r w:rsidRPr="007039FF">
        <w:rPr>
          <w:rFonts w:cs="Times New Roman"/>
          <w:lang w:val="en"/>
        </w:rPr>
        <w:t xml:space="preserve">ipase (all grades) occurred in </w:t>
      </w:r>
      <w:r w:rsidRPr="007039FF" w:rsidDel="009F6864">
        <w:rPr>
          <w:rFonts w:cs="Times New Roman"/>
          <w:lang w:val="en"/>
        </w:rPr>
        <w:t>20</w:t>
      </w:r>
      <w:r w:rsidRPr="007039FF">
        <w:rPr>
          <w:rFonts w:cs="Times New Roman"/>
          <w:lang w:val="en"/>
        </w:rPr>
        <w:t xml:space="preserve">% and </w:t>
      </w:r>
      <w:r w:rsidRPr="007039FF" w:rsidDel="003001E1">
        <w:rPr>
          <w:rFonts w:cs="Times New Roman"/>
          <w:lang w:val="en"/>
        </w:rPr>
        <w:t>32</w:t>
      </w:r>
      <w:r w:rsidRPr="007039FF">
        <w:rPr>
          <w:rFonts w:cs="Times New Roman"/>
          <w:lang w:val="en"/>
        </w:rPr>
        <w:t>%, respectively, with Grade</w:t>
      </w:r>
      <w:r>
        <w:rPr>
          <w:rFonts w:cs="Times New Roman"/>
          <w:lang w:val="en"/>
        </w:rPr>
        <w:t xml:space="preserve"> </w:t>
      </w:r>
      <w:r w:rsidRPr="007039FF">
        <w:rPr>
          <w:rFonts w:cs="Times New Roman"/>
          <w:lang w:val="en"/>
        </w:rPr>
        <w:t xml:space="preserve">3/4 in </w:t>
      </w:r>
      <w:r w:rsidRPr="007039FF" w:rsidDel="00212F92">
        <w:rPr>
          <w:rFonts w:cs="Times New Roman"/>
          <w:lang w:val="en"/>
        </w:rPr>
        <w:t>1.5</w:t>
      </w:r>
      <w:r w:rsidRPr="007039FF">
        <w:rPr>
          <w:rFonts w:cs="Times New Roman"/>
          <w:lang w:val="en"/>
        </w:rPr>
        <w:t xml:space="preserve">% and </w:t>
      </w:r>
      <w:r w:rsidRPr="007039FF" w:rsidDel="00212F92">
        <w:rPr>
          <w:rFonts w:cs="Times New Roman"/>
          <w:lang w:val="en"/>
        </w:rPr>
        <w:t>9</w:t>
      </w:r>
      <w:r w:rsidRPr="007039FF">
        <w:rPr>
          <w:rFonts w:cs="Times New Roman"/>
          <w:lang w:val="en"/>
        </w:rPr>
        <w:t xml:space="preserve">%, respectively, of </w:t>
      </w:r>
      <w:r>
        <w:rPr>
          <w:rFonts w:cs="Times New Roman"/>
          <w:lang w:val="en"/>
        </w:rPr>
        <w:t>INREBIC</w:t>
      </w:r>
      <w:r w:rsidRPr="007039FF">
        <w:rPr>
          <w:rFonts w:cs="Times New Roman"/>
          <w:lang w:val="en"/>
        </w:rPr>
        <w:t>-treated MF patients. The median time to onset of</w:t>
      </w:r>
      <w:r>
        <w:rPr>
          <w:rFonts w:cs="Times New Roman"/>
          <w:lang w:val="en"/>
        </w:rPr>
        <w:t xml:space="preserve"> </w:t>
      </w:r>
      <w:r w:rsidRPr="007039FF">
        <w:rPr>
          <w:rFonts w:cs="Times New Roman"/>
          <w:lang w:val="en"/>
        </w:rPr>
        <w:t xml:space="preserve">any grade </w:t>
      </w:r>
      <w:r w:rsidRPr="007039FF">
        <w:rPr>
          <w:rFonts w:cs="Times New Roman"/>
          <w:lang w:val="en"/>
        </w:rPr>
        <w:lastRenderedPageBreak/>
        <w:t>amylase or lipase elevation was 15</w:t>
      </w:r>
      <w:r w:rsidR="009C2048">
        <w:rPr>
          <w:rFonts w:cs="Times New Roman"/>
          <w:lang w:val="en"/>
        </w:rPr>
        <w:t> </w:t>
      </w:r>
      <w:r w:rsidRPr="007039FF">
        <w:rPr>
          <w:rFonts w:cs="Times New Roman"/>
          <w:lang w:val="en"/>
        </w:rPr>
        <w:t>days, with 75% of cases occurring within 1</w:t>
      </w:r>
      <w:r w:rsidR="009C2048">
        <w:rPr>
          <w:rFonts w:cs="Times New Roman"/>
          <w:lang w:val="en"/>
        </w:rPr>
        <w:t> </w:t>
      </w:r>
      <w:r w:rsidRPr="007039FF">
        <w:rPr>
          <w:rFonts w:cs="Times New Roman"/>
          <w:lang w:val="en"/>
        </w:rPr>
        <w:t>month of</w:t>
      </w:r>
      <w:r>
        <w:rPr>
          <w:rFonts w:cs="Times New Roman"/>
          <w:lang w:val="en"/>
        </w:rPr>
        <w:t xml:space="preserve"> </w:t>
      </w:r>
      <w:r w:rsidRPr="007039FF">
        <w:rPr>
          <w:rFonts w:cs="Times New Roman"/>
          <w:lang w:val="en"/>
        </w:rPr>
        <w:t xml:space="preserve">starting treatment. One patient developed pancreatitis in the </w:t>
      </w:r>
      <w:proofErr w:type="spellStart"/>
      <w:r w:rsidRPr="007039FF">
        <w:rPr>
          <w:rFonts w:cs="Times New Roman"/>
          <w:lang w:val="en"/>
        </w:rPr>
        <w:t>fedratinib</w:t>
      </w:r>
      <w:proofErr w:type="spellEnd"/>
      <w:r w:rsidRPr="007039FF">
        <w:rPr>
          <w:rFonts w:cs="Times New Roman"/>
          <w:lang w:val="en"/>
        </w:rPr>
        <w:t xml:space="preserve"> clinical development program</w:t>
      </w:r>
      <w:r>
        <w:rPr>
          <w:rFonts w:cs="Times New Roman"/>
          <w:lang w:val="en"/>
        </w:rPr>
        <w:t xml:space="preserve"> </w:t>
      </w:r>
      <w:r w:rsidRPr="007039FF">
        <w:rPr>
          <w:rFonts w:cs="Times New Roman"/>
          <w:lang w:val="en"/>
        </w:rPr>
        <w:t>(n=608</w:t>
      </w:r>
      <w:proofErr w:type="gramStart"/>
      <w:r w:rsidRPr="007039FF">
        <w:rPr>
          <w:rFonts w:cs="Times New Roman"/>
          <w:lang w:val="en"/>
        </w:rPr>
        <w:t>)</w:t>
      </w:r>
      <w:proofErr w:type="gramEnd"/>
      <w:r w:rsidRPr="007039FF">
        <w:rPr>
          <w:rFonts w:cs="Times New Roman"/>
          <w:lang w:val="en"/>
        </w:rPr>
        <w:t xml:space="preserve"> and pancreatitis resolved with treatment discontinuation</w:t>
      </w:r>
      <w:r w:rsidR="004E280B">
        <w:rPr>
          <w:rFonts w:cs="Times New Roman"/>
          <w:lang w:val="en"/>
        </w:rPr>
        <w:t xml:space="preserve"> (see Section 4.2 Dose and Method of Administration - </w:t>
      </w:r>
      <w:r w:rsidR="00426DC4">
        <w:rPr>
          <w:rFonts w:cs="Times New Roman"/>
          <w:lang w:val="en"/>
        </w:rPr>
        <w:fldChar w:fldCharType="begin"/>
      </w:r>
      <w:r w:rsidR="00426DC4">
        <w:rPr>
          <w:rFonts w:cs="Times New Roman"/>
          <w:lang w:val="en"/>
        </w:rPr>
        <w:instrText xml:space="preserve"> REF _Ref152234375 \h </w:instrText>
      </w:r>
      <w:r w:rsidR="00426DC4">
        <w:rPr>
          <w:rFonts w:cs="Times New Roman"/>
          <w:lang w:val="en"/>
        </w:rPr>
      </w:r>
      <w:r w:rsidR="00426DC4">
        <w:rPr>
          <w:rFonts w:cs="Times New Roman"/>
          <w:lang w:val="en"/>
        </w:rPr>
        <w:fldChar w:fldCharType="separate"/>
      </w:r>
      <w:r w:rsidR="00196356">
        <w:t xml:space="preserve">Table </w:t>
      </w:r>
      <w:r w:rsidR="00196356">
        <w:rPr>
          <w:noProof/>
        </w:rPr>
        <w:t>2</w:t>
      </w:r>
      <w:r w:rsidR="00426DC4">
        <w:rPr>
          <w:rFonts w:cs="Times New Roman"/>
          <w:lang w:val="en"/>
        </w:rPr>
        <w:fldChar w:fldCharType="end"/>
      </w:r>
      <w:r w:rsidR="004E280B">
        <w:rPr>
          <w:rFonts w:cs="Times New Roman"/>
          <w:lang w:val="en"/>
        </w:rPr>
        <w:t xml:space="preserve"> and Section 4.4 Special </w:t>
      </w:r>
      <w:r w:rsidR="004E280B" w:rsidRPr="00A407DD">
        <w:rPr>
          <w:rFonts w:cs="Times New Roman"/>
          <w:lang w:val="en"/>
        </w:rPr>
        <w:t xml:space="preserve">Warnings and Precautions </w:t>
      </w:r>
      <w:r w:rsidR="004E280B">
        <w:rPr>
          <w:rFonts w:cs="Times New Roman"/>
          <w:lang w:val="en"/>
        </w:rPr>
        <w:t>for Use)</w:t>
      </w:r>
      <w:r w:rsidRPr="007039FF">
        <w:rPr>
          <w:rFonts w:cs="Times New Roman"/>
          <w:lang w:val="en"/>
        </w:rPr>
        <w:t>.</w:t>
      </w:r>
    </w:p>
    <w:p w14:paraId="3D2501F7" w14:textId="02195960" w:rsidR="00DD317A" w:rsidRPr="00E50831" w:rsidRDefault="00DD317A" w:rsidP="00DD317A">
      <w:pPr>
        <w:rPr>
          <w:rFonts w:cs="Times New Roman"/>
          <w:i/>
          <w:iCs/>
          <w:lang w:val="en-US"/>
        </w:rPr>
      </w:pPr>
      <w:r w:rsidRPr="00E50831">
        <w:rPr>
          <w:rFonts w:cs="Times New Roman"/>
          <w:i/>
          <w:iCs/>
          <w:lang w:val="en-US"/>
        </w:rPr>
        <w:t>Elevated Creatinine</w:t>
      </w:r>
    </w:p>
    <w:p w14:paraId="624A3AE7" w14:textId="5AC03FB0" w:rsidR="00712EA1" w:rsidRDefault="00DD317A" w:rsidP="00361E0D">
      <w:pPr>
        <w:rPr>
          <w:rFonts w:cs="Times New Roman"/>
          <w:lang w:val="en-US"/>
        </w:rPr>
      </w:pPr>
      <w:r w:rsidRPr="00FA6452">
        <w:rPr>
          <w:rFonts w:cs="Times New Roman"/>
          <w:lang w:val="en-US"/>
        </w:rPr>
        <w:t xml:space="preserve">Elevations of creatinine (all grades) occurred in </w:t>
      </w:r>
      <w:r w:rsidRPr="00FA6452" w:rsidDel="002B04EA">
        <w:rPr>
          <w:rFonts w:cs="Times New Roman"/>
          <w:lang w:val="en-US"/>
        </w:rPr>
        <w:t>68</w:t>
      </w:r>
      <w:r w:rsidRPr="00FA6452">
        <w:rPr>
          <w:rFonts w:cs="Times New Roman"/>
          <w:lang w:val="en-US"/>
        </w:rPr>
        <w:t>% of myelofibrosis patients taking 400</w:t>
      </w:r>
      <w:r w:rsidR="009C2048">
        <w:rPr>
          <w:rFonts w:cs="Times New Roman"/>
          <w:lang w:val="en-US"/>
        </w:rPr>
        <w:t> </w:t>
      </w:r>
      <w:r w:rsidRPr="00FA6452">
        <w:rPr>
          <w:rFonts w:cs="Times New Roman"/>
          <w:lang w:val="en-US"/>
        </w:rPr>
        <w:t xml:space="preserve">mg of </w:t>
      </w:r>
      <w:r>
        <w:rPr>
          <w:rFonts w:cs="Times New Roman"/>
          <w:lang w:val="en-US"/>
        </w:rPr>
        <w:t>INREBIC</w:t>
      </w:r>
      <w:r w:rsidRPr="00FA6452">
        <w:rPr>
          <w:rFonts w:cs="Times New Roman"/>
          <w:lang w:val="en-US"/>
        </w:rPr>
        <w:t>,</w:t>
      </w:r>
      <w:r>
        <w:rPr>
          <w:rFonts w:cs="Times New Roman"/>
          <w:lang w:val="en-US"/>
        </w:rPr>
        <w:t xml:space="preserve"> </w:t>
      </w:r>
      <w:r w:rsidRPr="00FA6452">
        <w:rPr>
          <w:rFonts w:cs="Times New Roman"/>
          <w:lang w:val="en-US"/>
        </w:rPr>
        <w:t xml:space="preserve">and were generally asymptomatic Grade 1 or 2 events, with Grade 3 or 4 occurring in </w:t>
      </w:r>
      <w:r w:rsidRPr="00FA6452" w:rsidDel="00EB2AFC">
        <w:rPr>
          <w:rFonts w:cs="Times New Roman"/>
          <w:lang w:val="en-US"/>
        </w:rPr>
        <w:t>1.5</w:t>
      </w:r>
      <w:r w:rsidRPr="00FA6452">
        <w:rPr>
          <w:rFonts w:cs="Times New Roman"/>
          <w:lang w:val="en-US"/>
        </w:rPr>
        <w:t>% and 0%, respectively.</w:t>
      </w:r>
      <w:r>
        <w:rPr>
          <w:rFonts w:cs="Times New Roman"/>
          <w:lang w:val="en-US"/>
        </w:rPr>
        <w:t xml:space="preserve"> </w:t>
      </w:r>
      <w:r w:rsidRPr="00FA6452">
        <w:rPr>
          <w:rFonts w:cs="Times New Roman"/>
          <w:lang w:val="en-US"/>
        </w:rPr>
        <w:t>The median time to onset of any grade creatinine elevation was 17 days, with 75% of cases occurring within 2</w:t>
      </w:r>
      <w:r w:rsidR="009C2048">
        <w:rPr>
          <w:rFonts w:cs="Times New Roman"/>
          <w:lang w:val="en-US"/>
        </w:rPr>
        <w:t> </w:t>
      </w:r>
      <w:r w:rsidRPr="00FA6452">
        <w:rPr>
          <w:rFonts w:cs="Times New Roman"/>
          <w:lang w:val="en-US"/>
        </w:rPr>
        <w:t>months.</w:t>
      </w:r>
    </w:p>
    <w:p w14:paraId="5DE97CD8" w14:textId="77777777" w:rsidR="00991C8B" w:rsidRPr="005907C0" w:rsidRDefault="00991C8B" w:rsidP="00991C8B">
      <w:pPr>
        <w:rPr>
          <w:rFonts w:cs="Times New Roman"/>
          <w:i/>
          <w:iCs/>
          <w:lang w:val="en-US"/>
        </w:rPr>
      </w:pPr>
      <w:r w:rsidRPr="005907C0">
        <w:rPr>
          <w:rFonts w:cs="Times New Roman"/>
          <w:i/>
          <w:iCs/>
          <w:lang w:val="en-US"/>
        </w:rPr>
        <w:t>Uveitis</w:t>
      </w:r>
    </w:p>
    <w:p w14:paraId="256C42C4" w14:textId="5DB25389" w:rsidR="00991C8B" w:rsidRPr="007D17F5" w:rsidRDefault="00991C8B" w:rsidP="00361E0D">
      <w:r w:rsidRPr="00D16598">
        <w:rPr>
          <w:rFonts w:cs="Times New Roman"/>
          <w:lang w:val="en"/>
        </w:rPr>
        <w:t>Uveitis has been observed in post-</w:t>
      </w:r>
      <w:r>
        <w:rPr>
          <w:rFonts w:cs="Times New Roman"/>
          <w:lang w:val="en"/>
        </w:rPr>
        <w:t>marketing</w:t>
      </w:r>
      <w:r w:rsidRPr="00D16598">
        <w:rPr>
          <w:rFonts w:cs="Times New Roman"/>
          <w:lang w:val="en"/>
        </w:rPr>
        <w:t xml:space="preserve"> clinical trials</w:t>
      </w:r>
      <w:r>
        <w:rPr>
          <w:rFonts w:cs="Times New Roman"/>
          <w:lang w:val="en"/>
        </w:rPr>
        <w:t xml:space="preserve"> (</w:t>
      </w:r>
      <w:r w:rsidR="00846D97">
        <w:t>FREEDOM1, FREEDOM2 and FREEDOM3</w:t>
      </w:r>
      <w:r>
        <w:t>)</w:t>
      </w:r>
      <w:r w:rsidR="00DC0CE0" w:rsidRPr="240E3510">
        <w:rPr>
          <w:rFonts w:cs="Times New Roman"/>
          <w:lang w:val="en-US"/>
        </w:rPr>
        <w:t xml:space="preserve"> with an overall incidence of 4.4%. The incidence is highest among Japanese patients (19.4%), suggesting variability in risk by ethnicity/race. </w:t>
      </w:r>
      <w:proofErr w:type="spellStart"/>
      <w:r w:rsidR="00DC0CE0" w:rsidRPr="240E3510">
        <w:rPr>
          <w:rFonts w:cs="Times New Roman"/>
          <w:lang w:val="en-US"/>
        </w:rPr>
        <w:t>Fedratinib</w:t>
      </w:r>
      <w:proofErr w:type="spellEnd"/>
      <w:r w:rsidR="00DC0CE0" w:rsidRPr="240E3510">
        <w:rPr>
          <w:rFonts w:cs="Times New Roman"/>
          <w:lang w:val="en-US"/>
        </w:rPr>
        <w:t>-associated uveitis is a late-onset adverse event, with the first episode occurring at a median of 14</w:t>
      </w:r>
      <w:r w:rsidR="00DC0CE0">
        <w:rPr>
          <w:rFonts w:cs="Times New Roman"/>
          <w:lang w:val="en-US"/>
        </w:rPr>
        <w:t> </w:t>
      </w:r>
      <w:r w:rsidR="00DC0CE0" w:rsidRPr="240E3510">
        <w:rPr>
          <w:rFonts w:cs="Times New Roman"/>
          <w:lang w:val="en-US"/>
        </w:rPr>
        <w:t>months after starting treatment, with a range of 8 to 22</w:t>
      </w:r>
      <w:r w:rsidR="00DC0CE0">
        <w:rPr>
          <w:rFonts w:cs="Times New Roman"/>
          <w:lang w:val="en-US"/>
        </w:rPr>
        <w:t> </w:t>
      </w:r>
      <w:r w:rsidR="00DC0CE0" w:rsidRPr="240E3510">
        <w:rPr>
          <w:rFonts w:cs="Times New Roman"/>
          <w:lang w:val="en-US"/>
        </w:rPr>
        <w:t>months</w:t>
      </w:r>
      <w:r w:rsidR="00DC0CE0">
        <w:rPr>
          <w:rFonts w:cs="Times New Roman"/>
          <w:lang w:val="en-US"/>
        </w:rPr>
        <w:t>.</w:t>
      </w:r>
      <w:r>
        <w:rPr>
          <w:rFonts w:cs="Times New Roman"/>
          <w:lang w:val="en-US"/>
        </w:rPr>
        <w:t xml:space="preserve"> </w:t>
      </w:r>
      <w:r w:rsidR="005F2812">
        <w:t>Among the patients developing uveitis, m</w:t>
      </w:r>
      <w:r w:rsidRPr="00606F2F">
        <w:t>o</w:t>
      </w:r>
      <w:r w:rsidR="0074308F">
        <w:t>st (55%) had more</w:t>
      </w:r>
      <w:r w:rsidRPr="00606F2F">
        <w:t xml:space="preserve"> than one episode of uveitis</w:t>
      </w:r>
      <w:r>
        <w:t xml:space="preserve">. </w:t>
      </w:r>
      <w:r w:rsidRPr="00DB411D">
        <w:t xml:space="preserve">The uveitis episodes varied in grade, with </w:t>
      </w:r>
      <w:r w:rsidR="001765EF">
        <w:t>G</w:t>
      </w:r>
      <w:r w:rsidRPr="00DB411D">
        <w:t>rade 1/2 in 60</w:t>
      </w:r>
      <w:r>
        <w:t>%</w:t>
      </w:r>
      <w:r w:rsidRPr="00DB411D">
        <w:t xml:space="preserve"> of episodes, and </w:t>
      </w:r>
      <w:r w:rsidR="001765EF">
        <w:t>G</w:t>
      </w:r>
      <w:r w:rsidRPr="00DB411D">
        <w:t>rade 3/4 in 40% of episodes</w:t>
      </w:r>
      <w:r w:rsidRPr="0085214A">
        <w:t xml:space="preserve">. Topical steroids were sufficient for treatment in 75% of episodes, and systemic steroids were required in 25% of episodes. </w:t>
      </w:r>
      <w:proofErr w:type="spellStart"/>
      <w:r w:rsidRPr="0085214A">
        <w:t>Fedratinib</w:t>
      </w:r>
      <w:proofErr w:type="spellEnd"/>
      <w:r w:rsidRPr="0085214A">
        <w:t xml:space="preserve"> was discontinued due to uveitis in 27% of patients.</w:t>
      </w:r>
    </w:p>
    <w:p w14:paraId="7C24FDA8" w14:textId="492F6AAC" w:rsidR="00F677B7" w:rsidRDefault="00F677B7" w:rsidP="003D7174">
      <w:pPr>
        <w:pStyle w:val="Heading3"/>
        <w:rPr>
          <w:rFonts w:hint="eastAsia"/>
        </w:rPr>
      </w:pPr>
      <w:r>
        <w:t>Reporting suspected adverse effects</w:t>
      </w:r>
    </w:p>
    <w:p w14:paraId="3D139680" w14:textId="193A1817" w:rsidR="00B57C92" w:rsidRPr="000A4651" w:rsidRDefault="00B57C92" w:rsidP="003D202A">
      <w:pPr>
        <w:rPr>
          <w:rFonts w:cs="Times New Roman"/>
        </w:rPr>
      </w:pPr>
      <w:r w:rsidRPr="000A4651">
        <w:rPr>
          <w:rFonts w:cs="Times New Roman"/>
        </w:rPr>
        <w:t xml:space="preserve">Reporting suspected adverse reactions after registration of the medicinal product is important. It allows continued monitoring of the benefit-risk balance of the medicinal product. </w:t>
      </w:r>
      <w:r w:rsidR="003D202A" w:rsidRPr="000A4651">
        <w:rPr>
          <w:rFonts w:cs="Times New Roman"/>
          <w:lang w:val="en-US"/>
        </w:rPr>
        <w:t>Healthcare professionals are asked to report any suspected adverse reactions at http://www.tga.gov.au/reporting-problems.</w:t>
      </w:r>
    </w:p>
    <w:p w14:paraId="6D047B41" w14:textId="77777777" w:rsidR="001A3992" w:rsidRPr="000A4651" w:rsidRDefault="001A3992" w:rsidP="002C18CF">
      <w:pPr>
        <w:pStyle w:val="Heading2"/>
      </w:pPr>
      <w:r w:rsidRPr="000A4651">
        <w:t>Overdose</w:t>
      </w:r>
    </w:p>
    <w:p w14:paraId="45D2D82C" w14:textId="3CC980D3" w:rsidR="006702A9" w:rsidRDefault="00035092" w:rsidP="003D202A">
      <w:pPr>
        <w:rPr>
          <w:rFonts w:cs="Times New Roman"/>
          <w:lang w:val="en-US"/>
        </w:rPr>
      </w:pPr>
      <w:r w:rsidRPr="00035092">
        <w:rPr>
          <w:rFonts w:cs="Times New Roman"/>
          <w:lang w:val="en-US"/>
        </w:rPr>
        <w:t xml:space="preserve">Experience with overdose of </w:t>
      </w:r>
      <w:proofErr w:type="spellStart"/>
      <w:r w:rsidRPr="00035092">
        <w:rPr>
          <w:rFonts w:cs="Times New Roman"/>
          <w:lang w:val="en-US"/>
        </w:rPr>
        <w:t>fedratinib</w:t>
      </w:r>
      <w:proofErr w:type="spellEnd"/>
      <w:r w:rsidRPr="00035092">
        <w:rPr>
          <w:rFonts w:cs="Times New Roman"/>
          <w:lang w:val="en-US"/>
        </w:rPr>
        <w:t xml:space="preserve"> is limited. During clinical studies of </w:t>
      </w:r>
      <w:proofErr w:type="spellStart"/>
      <w:r w:rsidRPr="00035092">
        <w:rPr>
          <w:rFonts w:cs="Times New Roman"/>
          <w:lang w:val="en-US"/>
        </w:rPr>
        <w:t>fedratinib</w:t>
      </w:r>
      <w:proofErr w:type="spellEnd"/>
      <w:r w:rsidRPr="00035092">
        <w:rPr>
          <w:rFonts w:cs="Times New Roman"/>
          <w:lang w:val="en-US"/>
        </w:rPr>
        <w:t xml:space="preserve"> in myelofibrosis patients, doses were escalated up to 600</w:t>
      </w:r>
      <w:r w:rsidR="00D447B3">
        <w:rPr>
          <w:rFonts w:cs="Times New Roman"/>
          <w:lang w:val="en-US"/>
        </w:rPr>
        <w:t> </w:t>
      </w:r>
      <w:r w:rsidRPr="00035092">
        <w:rPr>
          <w:rFonts w:cs="Times New Roman"/>
          <w:lang w:val="en-US"/>
        </w:rPr>
        <w:t>mg per day including 1 accidental overdose at 800</w:t>
      </w:r>
      <w:r w:rsidR="00D447B3">
        <w:rPr>
          <w:rFonts w:cs="Times New Roman"/>
          <w:lang w:val="en-US"/>
        </w:rPr>
        <w:t> </w:t>
      </w:r>
      <w:r w:rsidRPr="00035092">
        <w:rPr>
          <w:rFonts w:cs="Times New Roman"/>
          <w:lang w:val="en-US"/>
        </w:rPr>
        <w:t>mg. At doses above 400</w:t>
      </w:r>
      <w:r w:rsidR="00D447B3">
        <w:rPr>
          <w:rFonts w:cs="Times New Roman"/>
          <w:lang w:val="en-US"/>
        </w:rPr>
        <w:t> </w:t>
      </w:r>
      <w:r w:rsidRPr="00035092">
        <w:rPr>
          <w:rFonts w:cs="Times New Roman"/>
          <w:lang w:val="en-US"/>
        </w:rPr>
        <w:t xml:space="preserve">mg, gastrointestinal toxicity, fatigue and dizziness as well as </w:t>
      </w:r>
      <w:proofErr w:type="spellStart"/>
      <w:r w:rsidRPr="00035092">
        <w:rPr>
          <w:rFonts w:cs="Times New Roman"/>
          <w:lang w:val="en-US"/>
        </w:rPr>
        <w:t>anaemia</w:t>
      </w:r>
      <w:proofErr w:type="spellEnd"/>
      <w:r w:rsidRPr="00035092">
        <w:rPr>
          <w:rFonts w:cs="Times New Roman"/>
          <w:lang w:val="en-US"/>
        </w:rPr>
        <w:t xml:space="preserve"> and thrombocytopenia </w:t>
      </w:r>
      <w:proofErr w:type="gramStart"/>
      <w:r w:rsidRPr="00035092">
        <w:rPr>
          <w:rFonts w:cs="Times New Roman"/>
          <w:lang w:val="en-US"/>
        </w:rPr>
        <w:t>tended</w:t>
      </w:r>
      <w:proofErr w:type="gramEnd"/>
      <w:r w:rsidRPr="00035092">
        <w:rPr>
          <w:rFonts w:cs="Times New Roman"/>
          <w:lang w:val="en-US"/>
        </w:rPr>
        <w:t xml:space="preserve"> to occur more commonly. In pooled clinical studies data</w:t>
      </w:r>
      <w:r>
        <w:rPr>
          <w:rFonts w:cs="Times New Roman"/>
          <w:lang w:val="en-US"/>
        </w:rPr>
        <w:t>,</w:t>
      </w:r>
      <w:r w:rsidRPr="00035092">
        <w:rPr>
          <w:rFonts w:cs="Times New Roman"/>
          <w:lang w:val="en-US"/>
        </w:rPr>
        <w:t xml:space="preserve"> encephalopathy including Wernicke’s encephalopathy was associated with doses of 500</w:t>
      </w:r>
      <w:r w:rsidR="00D447B3">
        <w:rPr>
          <w:rFonts w:cs="Times New Roman"/>
          <w:lang w:val="en-US"/>
        </w:rPr>
        <w:t> </w:t>
      </w:r>
      <w:r w:rsidRPr="00035092">
        <w:rPr>
          <w:rFonts w:cs="Times New Roman"/>
          <w:lang w:val="en-US"/>
        </w:rPr>
        <w:t xml:space="preserve">mg. </w:t>
      </w:r>
    </w:p>
    <w:p w14:paraId="06ED9661" w14:textId="3BB5BAFA" w:rsidR="00035092" w:rsidRPr="00035092" w:rsidRDefault="00035092" w:rsidP="003D202A">
      <w:pPr>
        <w:rPr>
          <w:rFonts w:cs="Times New Roman"/>
          <w:lang w:val="en-US"/>
        </w:rPr>
      </w:pPr>
      <w:r w:rsidRPr="00035092">
        <w:rPr>
          <w:rFonts w:cs="Times New Roman"/>
          <w:lang w:val="en-US"/>
        </w:rPr>
        <w:t xml:space="preserve">In the event of an overdose, no further </w:t>
      </w:r>
      <w:proofErr w:type="spellStart"/>
      <w:r w:rsidR="00B36957">
        <w:rPr>
          <w:rFonts w:cs="Times New Roman"/>
          <w:lang w:val="en-US"/>
        </w:rPr>
        <w:t>fedratinib</w:t>
      </w:r>
      <w:proofErr w:type="spellEnd"/>
      <w:r w:rsidRPr="00035092">
        <w:rPr>
          <w:rFonts w:cs="Times New Roman"/>
          <w:lang w:val="en-US"/>
        </w:rPr>
        <w:t xml:space="preserve"> should be administered; the individual should be monitored </w:t>
      </w:r>
      <w:proofErr w:type="gramStart"/>
      <w:r w:rsidRPr="00035092">
        <w:rPr>
          <w:rFonts w:cs="Times New Roman"/>
          <w:lang w:val="en-US"/>
        </w:rPr>
        <w:t>clinically</w:t>
      </w:r>
      <w:proofErr w:type="gramEnd"/>
      <w:r w:rsidRPr="00035092">
        <w:rPr>
          <w:rFonts w:cs="Times New Roman"/>
          <w:lang w:val="en-US"/>
        </w:rPr>
        <w:t xml:space="preserve"> and supportive measures should be undertaken as clinically indicated.</w:t>
      </w:r>
    </w:p>
    <w:p w14:paraId="3A089AC3" w14:textId="129A2435" w:rsidR="003D202A" w:rsidRDefault="003D202A" w:rsidP="003D202A">
      <w:pPr>
        <w:rPr>
          <w:rFonts w:cs="Times New Roman"/>
        </w:rPr>
      </w:pPr>
      <w:r w:rsidRPr="000A4651">
        <w:rPr>
          <w:rFonts w:cs="Times New Roman"/>
        </w:rPr>
        <w:t>For information on the management of overdose, contact the Poison Information Centre on 131126 (Australia).</w:t>
      </w:r>
    </w:p>
    <w:p w14:paraId="5FF95703" w14:textId="77777777" w:rsidR="001A3992" w:rsidRPr="000A4651" w:rsidRDefault="001A3992" w:rsidP="00D86EB1">
      <w:pPr>
        <w:pStyle w:val="Heading1"/>
      </w:pPr>
      <w:r w:rsidRPr="000A4651">
        <w:t>Pharmacological properties</w:t>
      </w:r>
    </w:p>
    <w:p w14:paraId="7B8BE53A" w14:textId="3076F219" w:rsidR="001A3992" w:rsidRPr="000A4651" w:rsidRDefault="00E61227" w:rsidP="002C18CF">
      <w:pPr>
        <w:pStyle w:val="Heading2"/>
      </w:pPr>
      <w:r w:rsidRPr="000A4651">
        <w:t>Pharmacodynamic properties</w:t>
      </w:r>
    </w:p>
    <w:p w14:paraId="40E5EBCA" w14:textId="204C7C86" w:rsidR="001A3992" w:rsidRPr="000A4651" w:rsidRDefault="001A3992" w:rsidP="001A5A2A">
      <w:pPr>
        <w:pStyle w:val="Heading3"/>
        <w:rPr>
          <w:rFonts w:hint="eastAsia"/>
        </w:rPr>
      </w:pPr>
      <w:r w:rsidRPr="000A4651">
        <w:t>Mechanism of action</w:t>
      </w:r>
    </w:p>
    <w:p w14:paraId="26FEC3AB" w14:textId="439DDA42" w:rsidR="009B59BA" w:rsidRDefault="00515AF2" w:rsidP="00515AF2">
      <w:pPr>
        <w:rPr>
          <w:rFonts w:cs="Times New Roman"/>
          <w:lang w:val="en-US"/>
        </w:rPr>
      </w:pPr>
      <w:proofErr w:type="spellStart"/>
      <w:r w:rsidRPr="00515AF2">
        <w:rPr>
          <w:rFonts w:cs="Times New Roman"/>
          <w:lang w:val="en-US"/>
        </w:rPr>
        <w:t>Fedratinib</w:t>
      </w:r>
      <w:proofErr w:type="spellEnd"/>
      <w:r w:rsidRPr="00515AF2">
        <w:rPr>
          <w:rFonts w:cs="Times New Roman"/>
          <w:lang w:val="en-US"/>
        </w:rPr>
        <w:t xml:space="preserve"> is an oral kinase inhibitor with activity against wild type and mutationally activated Janus</w:t>
      </w:r>
      <w:r>
        <w:rPr>
          <w:rFonts w:cs="Times New Roman"/>
          <w:lang w:val="en-US"/>
        </w:rPr>
        <w:t xml:space="preserve"> </w:t>
      </w:r>
      <w:r w:rsidRPr="00515AF2">
        <w:rPr>
          <w:rFonts w:cs="Times New Roman"/>
          <w:lang w:val="en-US"/>
        </w:rPr>
        <w:t xml:space="preserve">Associated Kinase 2 (JAK2) and FMS-like tyrosine kinase 3 (FLT3). </w:t>
      </w:r>
      <w:proofErr w:type="spellStart"/>
      <w:r w:rsidRPr="00515AF2">
        <w:rPr>
          <w:rFonts w:cs="Times New Roman"/>
          <w:lang w:val="en-US"/>
        </w:rPr>
        <w:t>Fedratinib</w:t>
      </w:r>
      <w:proofErr w:type="spellEnd"/>
      <w:r w:rsidRPr="00515AF2">
        <w:rPr>
          <w:rFonts w:cs="Times New Roman"/>
          <w:lang w:val="en-US"/>
        </w:rPr>
        <w:t xml:space="preserve"> is a JAK2-selective</w:t>
      </w:r>
      <w:r>
        <w:rPr>
          <w:rFonts w:cs="Times New Roman"/>
          <w:lang w:val="en-US"/>
        </w:rPr>
        <w:t xml:space="preserve"> </w:t>
      </w:r>
      <w:r w:rsidRPr="00515AF2">
        <w:rPr>
          <w:rFonts w:cs="Times New Roman"/>
          <w:lang w:val="en-US"/>
        </w:rPr>
        <w:t>inhibitor with higher inhibitory activity for JAK2 over family members JAK1, JAK3, and TYK2.</w:t>
      </w:r>
      <w:r>
        <w:rPr>
          <w:rFonts w:cs="Times New Roman"/>
          <w:lang w:val="en-US"/>
        </w:rPr>
        <w:t xml:space="preserve"> </w:t>
      </w:r>
      <w:r w:rsidRPr="00515AF2">
        <w:rPr>
          <w:rFonts w:cs="Times New Roman"/>
          <w:lang w:val="en-US"/>
        </w:rPr>
        <w:t>Abnormal activation of JAK2 is associated with myeloproliferative neoplasms (MPNs), including</w:t>
      </w:r>
      <w:r>
        <w:rPr>
          <w:rFonts w:cs="Times New Roman"/>
          <w:lang w:val="en-US"/>
        </w:rPr>
        <w:t xml:space="preserve"> </w:t>
      </w:r>
      <w:r w:rsidRPr="00515AF2">
        <w:rPr>
          <w:rFonts w:cs="Times New Roman"/>
          <w:lang w:val="en-US"/>
        </w:rPr>
        <w:t>myelofibrosis and polycythemia vera. In cell models expressing mutationally active JAK2</w:t>
      </w:r>
      <w:r w:rsidRPr="00CD6DF1">
        <w:rPr>
          <w:rFonts w:cs="Times New Roman"/>
          <w:vertAlign w:val="superscript"/>
          <w:lang w:val="en-US"/>
        </w:rPr>
        <w:t>V617F</w:t>
      </w:r>
      <w:r w:rsidRPr="00515AF2">
        <w:rPr>
          <w:rFonts w:cs="Times New Roman"/>
          <w:lang w:val="en-US"/>
        </w:rPr>
        <w:t xml:space="preserve"> or</w:t>
      </w:r>
      <w:r>
        <w:rPr>
          <w:rFonts w:cs="Times New Roman"/>
          <w:lang w:val="en-US"/>
        </w:rPr>
        <w:t xml:space="preserve"> </w:t>
      </w:r>
      <w:r w:rsidRPr="00515AF2">
        <w:rPr>
          <w:rFonts w:cs="Times New Roman"/>
          <w:lang w:val="en-US"/>
        </w:rPr>
        <w:t>FLT3</w:t>
      </w:r>
      <w:r w:rsidRPr="00CD6DF1">
        <w:rPr>
          <w:rFonts w:cs="Times New Roman"/>
          <w:vertAlign w:val="superscript"/>
          <w:lang w:val="en-US"/>
        </w:rPr>
        <w:t>ITD</w:t>
      </w:r>
      <w:r w:rsidRPr="00515AF2">
        <w:rPr>
          <w:rFonts w:cs="Times New Roman"/>
          <w:lang w:val="en-US"/>
        </w:rPr>
        <w:t xml:space="preserve">, </w:t>
      </w:r>
      <w:proofErr w:type="spellStart"/>
      <w:r w:rsidRPr="00515AF2">
        <w:rPr>
          <w:rFonts w:cs="Times New Roman"/>
          <w:lang w:val="en-US"/>
        </w:rPr>
        <w:t>fedratinib</w:t>
      </w:r>
      <w:proofErr w:type="spellEnd"/>
      <w:r w:rsidRPr="00515AF2">
        <w:rPr>
          <w:rFonts w:cs="Times New Roman"/>
          <w:lang w:val="en-US"/>
        </w:rPr>
        <w:t xml:space="preserve"> reduced phosphorylation of signal transducer and activator of transcription</w:t>
      </w:r>
      <w:r>
        <w:rPr>
          <w:rFonts w:cs="Times New Roman"/>
          <w:lang w:val="en-US"/>
        </w:rPr>
        <w:t xml:space="preserve"> </w:t>
      </w:r>
      <w:r w:rsidRPr="00515AF2">
        <w:rPr>
          <w:rFonts w:cs="Times New Roman"/>
          <w:lang w:val="en-US"/>
        </w:rPr>
        <w:t>(STAT3/5) proteins, inhibited cell proliferation, and induced apoptotic cell death. In mouse models of</w:t>
      </w:r>
      <w:r>
        <w:rPr>
          <w:rFonts w:cs="Times New Roman"/>
          <w:lang w:val="en-US"/>
        </w:rPr>
        <w:t xml:space="preserve"> </w:t>
      </w:r>
      <w:r w:rsidRPr="00515AF2">
        <w:rPr>
          <w:rFonts w:cs="Times New Roman"/>
          <w:lang w:val="en-US"/>
        </w:rPr>
        <w:lastRenderedPageBreak/>
        <w:t>JAK2</w:t>
      </w:r>
      <w:r w:rsidRPr="00B51CE9">
        <w:rPr>
          <w:rFonts w:cs="Times New Roman"/>
          <w:vertAlign w:val="superscript"/>
          <w:lang w:val="en-US"/>
        </w:rPr>
        <w:t>V617F</w:t>
      </w:r>
      <w:r w:rsidRPr="00515AF2">
        <w:rPr>
          <w:rFonts w:cs="Times New Roman"/>
          <w:lang w:val="en-US"/>
        </w:rPr>
        <w:t xml:space="preserve">-driven myeloproliferative disease, </w:t>
      </w:r>
      <w:proofErr w:type="spellStart"/>
      <w:r w:rsidRPr="00515AF2">
        <w:rPr>
          <w:rFonts w:cs="Times New Roman"/>
          <w:lang w:val="en-US"/>
        </w:rPr>
        <w:t>fedratinib</w:t>
      </w:r>
      <w:proofErr w:type="spellEnd"/>
      <w:r w:rsidRPr="00515AF2">
        <w:rPr>
          <w:rFonts w:cs="Times New Roman"/>
          <w:lang w:val="en-US"/>
        </w:rPr>
        <w:t xml:space="preserve"> blocked phosphorylation of STAT3/5, and</w:t>
      </w:r>
      <w:r>
        <w:rPr>
          <w:rFonts w:cs="Times New Roman"/>
          <w:lang w:val="en-US"/>
        </w:rPr>
        <w:t xml:space="preserve"> </w:t>
      </w:r>
      <w:r w:rsidRPr="00515AF2">
        <w:rPr>
          <w:rFonts w:cs="Times New Roman"/>
          <w:lang w:val="en-US"/>
        </w:rPr>
        <w:t xml:space="preserve">improved survival, white blood cell counts, </w:t>
      </w:r>
      <w:proofErr w:type="spellStart"/>
      <w:r w:rsidRPr="00515AF2">
        <w:rPr>
          <w:rFonts w:cs="Times New Roman"/>
          <w:lang w:val="en-US"/>
        </w:rPr>
        <w:t>h</w:t>
      </w:r>
      <w:r w:rsidR="00B51CE9">
        <w:rPr>
          <w:rFonts w:cs="Times New Roman"/>
          <w:lang w:val="en-US"/>
        </w:rPr>
        <w:t>a</w:t>
      </w:r>
      <w:r w:rsidRPr="00515AF2">
        <w:rPr>
          <w:rFonts w:cs="Times New Roman"/>
          <w:lang w:val="en-US"/>
        </w:rPr>
        <w:t>ematocrit</w:t>
      </w:r>
      <w:proofErr w:type="spellEnd"/>
      <w:r w:rsidRPr="00515AF2">
        <w:rPr>
          <w:rFonts w:cs="Times New Roman"/>
          <w:lang w:val="en-US"/>
        </w:rPr>
        <w:t>, splenomegaly, and fibrosis.</w:t>
      </w:r>
      <w:r w:rsidR="009B59BA" w:rsidRPr="00515AF2">
        <w:rPr>
          <w:rFonts w:cs="Times New Roman"/>
          <w:lang w:val="en-US"/>
        </w:rPr>
        <w:t xml:space="preserve"> </w:t>
      </w:r>
    </w:p>
    <w:p w14:paraId="45F3B105" w14:textId="57E3D74F" w:rsidR="004A172F" w:rsidRDefault="004A172F" w:rsidP="00515AF2">
      <w:pPr>
        <w:rPr>
          <w:rFonts w:cs="Times New Roman"/>
          <w:lang w:val="en-US"/>
        </w:rPr>
      </w:pPr>
      <w:r>
        <w:rPr>
          <w:b/>
          <w:bCs/>
        </w:rPr>
        <w:t>Pharmacodynamic Effects</w:t>
      </w:r>
    </w:p>
    <w:p w14:paraId="045A056F" w14:textId="04FDA5AE" w:rsidR="00A22AEB" w:rsidRPr="004A172F" w:rsidRDefault="00A22AEB" w:rsidP="004A172F">
      <w:pPr>
        <w:rPr>
          <w:rFonts w:cs="Times New Roman"/>
          <w:lang w:val="en-US"/>
        </w:rPr>
      </w:pPr>
      <w:proofErr w:type="spellStart"/>
      <w:r w:rsidRPr="004A172F">
        <w:rPr>
          <w:rFonts w:cs="Times New Roman"/>
          <w:lang w:val="en-US"/>
        </w:rPr>
        <w:t>Fedratinib</w:t>
      </w:r>
      <w:proofErr w:type="spellEnd"/>
      <w:r w:rsidRPr="004A172F">
        <w:rPr>
          <w:rFonts w:cs="Times New Roman"/>
          <w:lang w:val="en-US"/>
        </w:rPr>
        <w:t xml:space="preserve"> inhibits cytokine induced STAT3 phosphorylation in whole blood from myelofibrosis</w:t>
      </w:r>
      <w:r w:rsidR="004A172F">
        <w:rPr>
          <w:rFonts w:cs="Times New Roman"/>
          <w:lang w:val="en-US"/>
        </w:rPr>
        <w:t xml:space="preserve"> </w:t>
      </w:r>
      <w:r w:rsidRPr="004A172F">
        <w:rPr>
          <w:rFonts w:cs="Times New Roman"/>
          <w:lang w:val="en-US"/>
        </w:rPr>
        <w:t>patients. A single dose administration of 300, 400, or 500</w:t>
      </w:r>
      <w:r w:rsidR="00D447B3">
        <w:rPr>
          <w:rFonts w:cs="Times New Roman"/>
          <w:lang w:val="en-US"/>
        </w:rPr>
        <w:t> </w:t>
      </w:r>
      <w:r w:rsidRPr="004A172F">
        <w:rPr>
          <w:rFonts w:cs="Times New Roman"/>
          <w:lang w:val="en-US"/>
        </w:rPr>
        <w:t xml:space="preserve">mg of </w:t>
      </w:r>
      <w:proofErr w:type="spellStart"/>
      <w:r w:rsidRPr="004A172F">
        <w:rPr>
          <w:rFonts w:cs="Times New Roman"/>
          <w:lang w:val="en-US"/>
        </w:rPr>
        <w:t>fedratinib</w:t>
      </w:r>
      <w:proofErr w:type="spellEnd"/>
      <w:r w:rsidRPr="004A172F">
        <w:rPr>
          <w:rFonts w:cs="Times New Roman"/>
          <w:lang w:val="en-US"/>
        </w:rPr>
        <w:t xml:space="preserve"> resulted in maximal</w:t>
      </w:r>
      <w:r w:rsidR="004A172F">
        <w:rPr>
          <w:rFonts w:cs="Times New Roman"/>
          <w:lang w:val="en-US"/>
        </w:rPr>
        <w:t xml:space="preserve"> </w:t>
      </w:r>
      <w:r w:rsidRPr="004A172F">
        <w:rPr>
          <w:rFonts w:cs="Times New Roman"/>
          <w:lang w:val="en-US"/>
        </w:rPr>
        <w:t>inhibition of STAT3 phosphorylation approximately 2</w:t>
      </w:r>
      <w:r w:rsidR="00D447B3">
        <w:rPr>
          <w:rFonts w:cs="Times New Roman"/>
          <w:lang w:val="en-US"/>
        </w:rPr>
        <w:t> </w:t>
      </w:r>
      <w:r w:rsidRPr="004A172F">
        <w:rPr>
          <w:rFonts w:cs="Times New Roman"/>
          <w:lang w:val="en-US"/>
        </w:rPr>
        <w:t>hours after dosing, with values returning to near</w:t>
      </w:r>
      <w:r w:rsidR="004A172F">
        <w:rPr>
          <w:rFonts w:cs="Times New Roman"/>
          <w:lang w:val="en-US"/>
        </w:rPr>
        <w:t xml:space="preserve"> </w:t>
      </w:r>
      <w:r w:rsidRPr="004A172F">
        <w:rPr>
          <w:rFonts w:cs="Times New Roman"/>
          <w:lang w:val="en-US"/>
        </w:rPr>
        <w:t>baseline at 24</w:t>
      </w:r>
      <w:r w:rsidR="00D447B3">
        <w:rPr>
          <w:rFonts w:cs="Times New Roman"/>
          <w:lang w:val="en-US"/>
        </w:rPr>
        <w:t> </w:t>
      </w:r>
      <w:r w:rsidRPr="004A172F">
        <w:rPr>
          <w:rFonts w:cs="Times New Roman"/>
          <w:lang w:val="en-US"/>
        </w:rPr>
        <w:t>hours. Similar levels of inhibition were achieved at steady state PK on Cycle 1 Day 15,</w:t>
      </w:r>
      <w:r w:rsidR="004A172F">
        <w:rPr>
          <w:rFonts w:cs="Times New Roman"/>
          <w:lang w:val="en-US"/>
        </w:rPr>
        <w:t xml:space="preserve"> </w:t>
      </w:r>
      <w:r w:rsidRPr="004A172F">
        <w:rPr>
          <w:rFonts w:cs="Times New Roman"/>
          <w:lang w:val="en-US"/>
        </w:rPr>
        <w:t>after administration of 300, 400, or 500</w:t>
      </w:r>
      <w:r w:rsidR="00D447B3">
        <w:rPr>
          <w:rFonts w:cs="Times New Roman"/>
          <w:lang w:val="en-US"/>
        </w:rPr>
        <w:t> </w:t>
      </w:r>
      <w:r w:rsidRPr="004A172F">
        <w:rPr>
          <w:rFonts w:cs="Times New Roman"/>
          <w:lang w:val="en-US"/>
        </w:rPr>
        <w:t xml:space="preserve">mg of </w:t>
      </w:r>
      <w:proofErr w:type="spellStart"/>
      <w:r w:rsidRPr="004A172F">
        <w:rPr>
          <w:rFonts w:cs="Times New Roman"/>
          <w:lang w:val="en-US"/>
        </w:rPr>
        <w:t>fedratinib</w:t>
      </w:r>
      <w:proofErr w:type="spellEnd"/>
      <w:r w:rsidRPr="004A172F">
        <w:rPr>
          <w:rFonts w:cs="Times New Roman"/>
          <w:lang w:val="en-US"/>
        </w:rPr>
        <w:t xml:space="preserve"> per day.</w:t>
      </w:r>
    </w:p>
    <w:p w14:paraId="0C8F2BAC" w14:textId="77777777" w:rsidR="00A22AEB" w:rsidRPr="004A172F" w:rsidRDefault="00A22AEB" w:rsidP="004A172F">
      <w:pPr>
        <w:rPr>
          <w:rFonts w:cs="Times New Roman"/>
          <w:u w:val="single"/>
          <w:lang w:val="en-US"/>
        </w:rPr>
      </w:pPr>
      <w:r w:rsidRPr="004A172F">
        <w:rPr>
          <w:rFonts w:cs="Times New Roman"/>
          <w:u w:val="single"/>
          <w:lang w:val="en-US"/>
        </w:rPr>
        <w:t>Cardiac Electrophysiology</w:t>
      </w:r>
    </w:p>
    <w:p w14:paraId="54313F85" w14:textId="2B30DE17" w:rsidR="00A22AEB" w:rsidRPr="00515AF2" w:rsidRDefault="00A22AEB" w:rsidP="00A22AEB">
      <w:pPr>
        <w:rPr>
          <w:rFonts w:cs="Times New Roman"/>
          <w:lang w:val="en-US"/>
        </w:rPr>
      </w:pPr>
      <w:r w:rsidRPr="004A172F">
        <w:rPr>
          <w:rFonts w:cs="Times New Roman"/>
          <w:lang w:val="en-US"/>
        </w:rPr>
        <w:t xml:space="preserve">The potential for QTc prolongation with </w:t>
      </w:r>
      <w:proofErr w:type="spellStart"/>
      <w:r w:rsidRPr="004A172F">
        <w:rPr>
          <w:rFonts w:cs="Times New Roman"/>
          <w:lang w:val="en-US"/>
        </w:rPr>
        <w:t>fedratinib</w:t>
      </w:r>
      <w:proofErr w:type="spellEnd"/>
      <w:r w:rsidRPr="004A172F">
        <w:rPr>
          <w:rFonts w:cs="Times New Roman"/>
          <w:lang w:val="en-US"/>
        </w:rPr>
        <w:t xml:space="preserve"> was evaluated in 31 patients with solid </w:t>
      </w:r>
      <w:proofErr w:type="spellStart"/>
      <w:r w:rsidRPr="004A172F">
        <w:rPr>
          <w:rFonts w:cs="Times New Roman"/>
          <w:lang w:val="en-US"/>
        </w:rPr>
        <w:t>tumo</w:t>
      </w:r>
      <w:r w:rsidR="0061791B">
        <w:rPr>
          <w:rFonts w:cs="Times New Roman"/>
          <w:lang w:val="en-US"/>
        </w:rPr>
        <w:t>u</w:t>
      </w:r>
      <w:r w:rsidRPr="004A172F">
        <w:rPr>
          <w:rFonts w:cs="Times New Roman"/>
          <w:lang w:val="en-US"/>
        </w:rPr>
        <w:t>rs</w:t>
      </w:r>
      <w:proofErr w:type="spellEnd"/>
      <w:r w:rsidR="004A172F">
        <w:rPr>
          <w:rFonts w:cs="Times New Roman"/>
          <w:lang w:val="en-US"/>
        </w:rPr>
        <w:t xml:space="preserve"> </w:t>
      </w:r>
      <w:r w:rsidRPr="004A172F">
        <w:rPr>
          <w:rFonts w:cs="Times New Roman"/>
          <w:lang w:val="en-US"/>
        </w:rPr>
        <w:t xml:space="preserve">receiving </w:t>
      </w:r>
      <w:proofErr w:type="spellStart"/>
      <w:r w:rsidRPr="004A172F">
        <w:rPr>
          <w:rFonts w:cs="Times New Roman"/>
          <w:lang w:val="en-US"/>
        </w:rPr>
        <w:t>fedratinib</w:t>
      </w:r>
      <w:proofErr w:type="spellEnd"/>
      <w:r w:rsidRPr="004A172F">
        <w:rPr>
          <w:rFonts w:cs="Times New Roman"/>
          <w:lang w:val="en-US"/>
        </w:rPr>
        <w:t xml:space="preserve"> 500</w:t>
      </w:r>
      <w:r w:rsidR="00D447B3">
        <w:rPr>
          <w:rFonts w:cs="Times New Roman"/>
          <w:lang w:val="en-US"/>
        </w:rPr>
        <w:t> </w:t>
      </w:r>
      <w:r w:rsidRPr="004A172F">
        <w:rPr>
          <w:rFonts w:cs="Times New Roman"/>
          <w:lang w:val="en-US"/>
        </w:rPr>
        <w:t>mg doses every day (QD) for 14</w:t>
      </w:r>
      <w:r w:rsidR="00D447B3">
        <w:rPr>
          <w:rFonts w:cs="Times New Roman"/>
          <w:lang w:val="en-US"/>
        </w:rPr>
        <w:t> </w:t>
      </w:r>
      <w:r w:rsidRPr="004A172F">
        <w:rPr>
          <w:rFonts w:cs="Times New Roman"/>
          <w:lang w:val="en-US"/>
        </w:rPr>
        <w:t xml:space="preserve">days. The largest time-matched mean </w:t>
      </w:r>
      <w:proofErr w:type="spellStart"/>
      <w:r w:rsidRPr="004A172F">
        <w:rPr>
          <w:rFonts w:cs="Times New Roman"/>
          <w:lang w:val="en-US"/>
        </w:rPr>
        <w:t>QTcF</w:t>
      </w:r>
      <w:proofErr w:type="spellEnd"/>
      <w:r w:rsidR="004A172F">
        <w:rPr>
          <w:rFonts w:cs="Times New Roman"/>
          <w:lang w:val="en-US"/>
        </w:rPr>
        <w:t xml:space="preserve"> </w:t>
      </w:r>
      <w:r w:rsidRPr="004A172F">
        <w:rPr>
          <w:rFonts w:cs="Times New Roman"/>
          <w:lang w:val="en-US"/>
        </w:rPr>
        <w:t xml:space="preserve">difference for </w:t>
      </w:r>
      <w:proofErr w:type="spellStart"/>
      <w:r w:rsidRPr="004A172F">
        <w:rPr>
          <w:rFonts w:cs="Times New Roman"/>
          <w:lang w:val="en-US"/>
        </w:rPr>
        <w:t>fedratinib</w:t>
      </w:r>
      <w:proofErr w:type="spellEnd"/>
      <w:r w:rsidRPr="004A172F">
        <w:rPr>
          <w:rFonts w:cs="Times New Roman"/>
          <w:lang w:val="en-US"/>
        </w:rPr>
        <w:t xml:space="preserve"> vs. placebo observed at 4-hour post-dose was 4.32</w:t>
      </w:r>
      <w:r w:rsidR="00D447B3">
        <w:rPr>
          <w:rFonts w:cs="Times New Roman"/>
          <w:lang w:val="en-US"/>
        </w:rPr>
        <w:t> </w:t>
      </w:r>
      <w:r w:rsidRPr="004A172F">
        <w:rPr>
          <w:rFonts w:cs="Times New Roman"/>
          <w:lang w:val="en-US"/>
        </w:rPr>
        <w:t>msec (90% confidence</w:t>
      </w:r>
      <w:r w:rsidR="004A172F">
        <w:rPr>
          <w:rFonts w:cs="Times New Roman"/>
          <w:lang w:val="en-US"/>
        </w:rPr>
        <w:t xml:space="preserve"> </w:t>
      </w:r>
      <w:r w:rsidRPr="004A172F">
        <w:rPr>
          <w:rFonts w:cs="Times New Roman"/>
          <w:lang w:val="en-US"/>
        </w:rPr>
        <w:t>interval [CI]: 1.16, 7.49). Overall, no large mean increase in the QTc interval (</w:t>
      </w:r>
      <w:r w:rsidR="003A584C">
        <w:rPr>
          <w:rFonts w:cs="Times New Roman"/>
          <w:lang w:val="en-US"/>
        </w:rPr>
        <w:t>&gt;</w:t>
      </w:r>
      <w:r w:rsidRPr="004A172F">
        <w:rPr>
          <w:rFonts w:cs="Times New Roman"/>
          <w:lang w:val="en-US"/>
        </w:rPr>
        <w:t>20</w:t>
      </w:r>
      <w:r w:rsidR="00D447B3">
        <w:rPr>
          <w:rFonts w:cs="Times New Roman"/>
          <w:lang w:val="en-US"/>
        </w:rPr>
        <w:t> </w:t>
      </w:r>
      <w:r w:rsidRPr="004A172F">
        <w:rPr>
          <w:rFonts w:cs="Times New Roman"/>
          <w:lang w:val="en-US"/>
        </w:rPr>
        <w:t>msec) was detected</w:t>
      </w:r>
      <w:r w:rsidR="004A172F">
        <w:rPr>
          <w:rFonts w:cs="Times New Roman"/>
          <w:lang w:val="en-US"/>
        </w:rPr>
        <w:t xml:space="preserve"> </w:t>
      </w:r>
      <w:r w:rsidRPr="004A172F">
        <w:rPr>
          <w:rFonts w:cs="Times New Roman"/>
          <w:lang w:val="en-US"/>
        </w:rPr>
        <w:t xml:space="preserve">with daily dosing of </w:t>
      </w:r>
      <w:proofErr w:type="spellStart"/>
      <w:r w:rsidRPr="004A172F">
        <w:rPr>
          <w:rFonts w:cs="Times New Roman"/>
          <w:lang w:val="en-US"/>
        </w:rPr>
        <w:t>fedratinib</w:t>
      </w:r>
      <w:proofErr w:type="spellEnd"/>
      <w:r w:rsidRPr="004A172F">
        <w:rPr>
          <w:rFonts w:cs="Times New Roman"/>
          <w:lang w:val="en-US"/>
        </w:rPr>
        <w:t xml:space="preserve"> 500</w:t>
      </w:r>
      <w:r w:rsidR="00D447B3">
        <w:rPr>
          <w:rFonts w:cs="Times New Roman"/>
          <w:lang w:val="en-US"/>
        </w:rPr>
        <w:t> </w:t>
      </w:r>
      <w:r w:rsidRPr="004A172F">
        <w:rPr>
          <w:rFonts w:cs="Times New Roman"/>
          <w:lang w:val="en-US"/>
        </w:rPr>
        <w:t>mg (1.25 times the recommended dose of 400</w:t>
      </w:r>
      <w:r w:rsidR="00D447B3">
        <w:rPr>
          <w:rFonts w:cs="Times New Roman"/>
          <w:lang w:val="en-US"/>
        </w:rPr>
        <w:t> </w:t>
      </w:r>
      <w:r w:rsidRPr="004A172F">
        <w:rPr>
          <w:rFonts w:cs="Times New Roman"/>
          <w:lang w:val="en-US"/>
        </w:rPr>
        <w:t>mg QD) for 14</w:t>
      </w:r>
      <w:r w:rsidR="00D447B3">
        <w:rPr>
          <w:rFonts w:cs="Times New Roman"/>
          <w:lang w:val="en-US"/>
        </w:rPr>
        <w:t> </w:t>
      </w:r>
      <w:r w:rsidRPr="004A172F">
        <w:rPr>
          <w:rFonts w:cs="Times New Roman"/>
          <w:lang w:val="en-US"/>
        </w:rPr>
        <w:t>days.</w:t>
      </w:r>
    </w:p>
    <w:p w14:paraId="4F9378D4" w14:textId="77777777" w:rsidR="001A3992" w:rsidRDefault="001A3992" w:rsidP="001A5A2A">
      <w:pPr>
        <w:pStyle w:val="Heading3"/>
        <w:rPr>
          <w:rFonts w:hint="eastAsia"/>
        </w:rPr>
      </w:pPr>
      <w:r w:rsidRPr="000A4651">
        <w:t>Clinical trials</w:t>
      </w:r>
    </w:p>
    <w:p w14:paraId="16745132" w14:textId="7A80BA5A" w:rsidR="001B0E4A" w:rsidRPr="00EB25FE" w:rsidRDefault="005C577C" w:rsidP="006208EF">
      <w:pPr>
        <w:rPr>
          <w:rFonts w:cs="Times New Roman"/>
          <w:b/>
          <w:bCs/>
          <w:lang w:val="en-US"/>
        </w:rPr>
      </w:pPr>
      <w:r>
        <w:rPr>
          <w:rFonts w:cs="Times New Roman"/>
          <w:b/>
          <w:bCs/>
          <w:lang w:val="en-US"/>
        </w:rPr>
        <w:t xml:space="preserve">Patients who are JAK inhibitor </w:t>
      </w:r>
      <w:proofErr w:type="gramStart"/>
      <w:r w:rsidR="00B47F75" w:rsidRPr="00B47F75">
        <w:rPr>
          <w:rFonts w:cs="Times New Roman"/>
          <w:b/>
          <w:bCs/>
          <w:lang w:val="en-US"/>
        </w:rPr>
        <w:t>naïve</w:t>
      </w:r>
      <w:proofErr w:type="gramEnd"/>
    </w:p>
    <w:p w14:paraId="19C6F6EB" w14:textId="75A95D5C" w:rsidR="00D342A4" w:rsidRDefault="00D342A4" w:rsidP="001B0E4A">
      <w:pPr>
        <w:rPr>
          <w:rFonts w:cs="Times New Roman"/>
          <w:lang w:val="en-US"/>
        </w:rPr>
      </w:pPr>
      <w:r w:rsidRPr="00D342A4">
        <w:rPr>
          <w:rFonts w:cs="Times New Roman"/>
          <w:lang w:val="en-US"/>
        </w:rPr>
        <w:t xml:space="preserve">JAKARTA was a double-blind, </w:t>
      </w:r>
      <w:proofErr w:type="spellStart"/>
      <w:r w:rsidRPr="00D342A4">
        <w:rPr>
          <w:rFonts w:cs="Times New Roman"/>
          <w:lang w:val="en-US"/>
        </w:rPr>
        <w:t>randomi</w:t>
      </w:r>
      <w:r w:rsidR="001642A1">
        <w:rPr>
          <w:rFonts w:cs="Times New Roman"/>
          <w:lang w:val="en-US"/>
        </w:rPr>
        <w:t>s</w:t>
      </w:r>
      <w:r w:rsidRPr="00D342A4">
        <w:rPr>
          <w:rFonts w:cs="Times New Roman"/>
          <w:lang w:val="en-US"/>
        </w:rPr>
        <w:t>ed</w:t>
      </w:r>
      <w:proofErr w:type="spellEnd"/>
      <w:r w:rsidRPr="00D342A4">
        <w:rPr>
          <w:rFonts w:cs="Times New Roman"/>
          <w:lang w:val="en-US"/>
        </w:rPr>
        <w:t>, placebo-controlled Phase 3 study in patients with</w:t>
      </w:r>
      <w:r>
        <w:rPr>
          <w:rFonts w:cs="Times New Roman"/>
          <w:lang w:val="en-US"/>
        </w:rPr>
        <w:t xml:space="preserve"> </w:t>
      </w:r>
      <w:r w:rsidRPr="00D342A4">
        <w:rPr>
          <w:rFonts w:cs="Times New Roman"/>
          <w:lang w:val="en-US"/>
        </w:rPr>
        <w:t>intermediate-2 or high-risk myelofibrosis, post-polycythemia vera myelofibrosis or post-essential</w:t>
      </w:r>
      <w:r>
        <w:rPr>
          <w:rFonts w:cs="Times New Roman"/>
          <w:lang w:val="en-US"/>
        </w:rPr>
        <w:t xml:space="preserve"> </w:t>
      </w:r>
      <w:r w:rsidRPr="00D342A4">
        <w:rPr>
          <w:rFonts w:cs="Times New Roman"/>
          <w:lang w:val="en-US"/>
        </w:rPr>
        <w:t xml:space="preserve">thrombocythemia myelofibrosis with splenomegaly and platelet count </w:t>
      </w:r>
      <w:r w:rsidR="001642A1">
        <w:rPr>
          <w:rFonts w:cs="Times New Roman"/>
          <w:lang w:val="en-US"/>
        </w:rPr>
        <w:t>≥</w:t>
      </w:r>
      <w:r w:rsidRPr="00D342A4">
        <w:rPr>
          <w:rFonts w:cs="Times New Roman"/>
          <w:lang w:val="en-US"/>
        </w:rPr>
        <w:t>50 x 10</w:t>
      </w:r>
      <w:r w:rsidRPr="001B0E4A">
        <w:rPr>
          <w:rStyle w:val="BMSSuperscript"/>
        </w:rPr>
        <w:t>9</w:t>
      </w:r>
      <w:r w:rsidRPr="00D342A4">
        <w:rPr>
          <w:rFonts w:cs="Times New Roman"/>
          <w:lang w:val="en-US"/>
        </w:rPr>
        <w:t>/L. A total of 289</w:t>
      </w:r>
      <w:r>
        <w:rPr>
          <w:rFonts w:cs="Times New Roman"/>
          <w:lang w:val="en-US"/>
        </w:rPr>
        <w:t xml:space="preserve"> </w:t>
      </w:r>
      <w:r w:rsidRPr="00D342A4">
        <w:rPr>
          <w:rFonts w:cs="Times New Roman"/>
          <w:lang w:val="en-US"/>
        </w:rPr>
        <w:t xml:space="preserve">patients were </w:t>
      </w:r>
      <w:proofErr w:type="spellStart"/>
      <w:r w:rsidRPr="00D342A4">
        <w:rPr>
          <w:rFonts w:cs="Times New Roman"/>
          <w:lang w:val="en-US"/>
        </w:rPr>
        <w:t>randomi</w:t>
      </w:r>
      <w:r w:rsidR="00622A0B">
        <w:rPr>
          <w:rFonts w:cs="Times New Roman"/>
          <w:lang w:val="en-US"/>
        </w:rPr>
        <w:t>s</w:t>
      </w:r>
      <w:r w:rsidRPr="00D342A4">
        <w:rPr>
          <w:rFonts w:cs="Times New Roman"/>
          <w:lang w:val="en-US"/>
        </w:rPr>
        <w:t>ed</w:t>
      </w:r>
      <w:proofErr w:type="spellEnd"/>
      <w:r w:rsidRPr="00D342A4">
        <w:rPr>
          <w:rFonts w:cs="Times New Roman"/>
          <w:lang w:val="en-US"/>
        </w:rPr>
        <w:t xml:space="preserve"> to receive either </w:t>
      </w:r>
      <w:proofErr w:type="spellStart"/>
      <w:r w:rsidR="000A0B9A">
        <w:rPr>
          <w:rFonts w:cs="Times New Roman"/>
          <w:lang w:val="en-US"/>
        </w:rPr>
        <w:t>fedratinib</w:t>
      </w:r>
      <w:proofErr w:type="spellEnd"/>
      <w:r w:rsidRPr="00D342A4">
        <w:rPr>
          <w:rFonts w:cs="Times New Roman"/>
          <w:lang w:val="en-US"/>
        </w:rPr>
        <w:t xml:space="preserve"> 500</w:t>
      </w:r>
      <w:r w:rsidR="00D447B3">
        <w:rPr>
          <w:rFonts w:cs="Times New Roman"/>
          <w:lang w:val="en-US"/>
        </w:rPr>
        <w:t> </w:t>
      </w:r>
      <w:r w:rsidRPr="00D342A4">
        <w:rPr>
          <w:rFonts w:cs="Times New Roman"/>
          <w:lang w:val="en-US"/>
        </w:rPr>
        <w:t>mg (</w:t>
      </w:r>
      <w:r w:rsidR="00D555E3">
        <w:rPr>
          <w:rFonts w:cs="Times New Roman"/>
          <w:lang w:val="en-US"/>
        </w:rPr>
        <w:t>n</w:t>
      </w:r>
      <w:r w:rsidRPr="00D342A4">
        <w:rPr>
          <w:rFonts w:cs="Times New Roman"/>
          <w:lang w:val="en-US"/>
        </w:rPr>
        <w:t>=97), 400</w:t>
      </w:r>
      <w:r w:rsidR="00D447B3">
        <w:rPr>
          <w:rFonts w:cs="Times New Roman"/>
          <w:lang w:val="en-US"/>
        </w:rPr>
        <w:t> </w:t>
      </w:r>
      <w:r w:rsidRPr="00D342A4">
        <w:rPr>
          <w:rFonts w:cs="Times New Roman"/>
          <w:lang w:val="en-US"/>
        </w:rPr>
        <w:t>mg (n=96), or</w:t>
      </w:r>
      <w:r>
        <w:rPr>
          <w:rFonts w:cs="Times New Roman"/>
          <w:lang w:val="en-US"/>
        </w:rPr>
        <w:t xml:space="preserve"> </w:t>
      </w:r>
      <w:r w:rsidRPr="00D342A4">
        <w:rPr>
          <w:rFonts w:cs="Times New Roman"/>
          <w:lang w:val="en-US"/>
        </w:rPr>
        <w:t xml:space="preserve">placebo (n=96) once daily for at least </w:t>
      </w:r>
      <w:r w:rsidR="00ED327F" w:rsidRPr="00D8413E">
        <w:rPr>
          <w:rFonts w:cs="Times New Roman"/>
          <w:lang w:val="en-US"/>
        </w:rPr>
        <w:t>24 weeks (6 x 28 day cycles)</w:t>
      </w:r>
      <w:r w:rsidRPr="00D342A4">
        <w:rPr>
          <w:rFonts w:cs="Times New Roman"/>
          <w:lang w:val="en-US"/>
        </w:rPr>
        <w:t xml:space="preserve">. </w:t>
      </w:r>
      <w:r w:rsidR="00DE7780" w:rsidRPr="00D8413E">
        <w:rPr>
          <w:rFonts w:cs="Times New Roman"/>
          <w:lang w:val="en-US"/>
        </w:rPr>
        <w:t>Placebo patients could cross-over after 24</w:t>
      </w:r>
      <w:r w:rsidR="007D0396">
        <w:rPr>
          <w:rFonts w:cs="Times New Roman"/>
          <w:lang w:val="en-US"/>
        </w:rPr>
        <w:t> </w:t>
      </w:r>
      <w:r w:rsidR="00DE7780" w:rsidRPr="00D8413E">
        <w:rPr>
          <w:rFonts w:cs="Times New Roman"/>
          <w:lang w:val="en-US"/>
        </w:rPr>
        <w:t xml:space="preserve">weeks </w:t>
      </w:r>
      <w:proofErr w:type="gramStart"/>
      <w:r w:rsidR="00DE7780" w:rsidRPr="00D8413E">
        <w:rPr>
          <w:rFonts w:cs="Times New Roman"/>
          <w:lang w:val="en-US"/>
        </w:rPr>
        <w:t>to</w:t>
      </w:r>
      <w:proofErr w:type="gramEnd"/>
      <w:r w:rsidR="00DE7780" w:rsidRPr="00D8413E">
        <w:rPr>
          <w:rFonts w:cs="Times New Roman"/>
          <w:lang w:val="en-US"/>
        </w:rPr>
        <w:t xml:space="preserve"> active treatment. The 400</w:t>
      </w:r>
      <w:r w:rsidR="007D0396">
        <w:rPr>
          <w:rFonts w:cs="Times New Roman"/>
          <w:lang w:val="en-US"/>
        </w:rPr>
        <w:t> </w:t>
      </w:r>
      <w:r w:rsidR="00DE7780" w:rsidRPr="00D8413E">
        <w:rPr>
          <w:rFonts w:cs="Times New Roman"/>
          <w:lang w:val="en-US"/>
        </w:rPr>
        <w:t>mg dose appeared to be better tolerated than the 500</w:t>
      </w:r>
      <w:r w:rsidR="007D0396">
        <w:rPr>
          <w:rFonts w:cs="Times New Roman"/>
          <w:lang w:val="en-US"/>
        </w:rPr>
        <w:t> </w:t>
      </w:r>
      <w:r w:rsidR="00DE7780" w:rsidRPr="00D8413E">
        <w:rPr>
          <w:rFonts w:cs="Times New Roman"/>
          <w:lang w:val="en-US"/>
        </w:rPr>
        <w:t>mg dose with fewer patients in the 400</w:t>
      </w:r>
      <w:r w:rsidR="007D0396">
        <w:rPr>
          <w:rFonts w:cs="Times New Roman"/>
          <w:lang w:val="en-US"/>
        </w:rPr>
        <w:t> </w:t>
      </w:r>
      <w:r w:rsidR="00DE7780" w:rsidRPr="00D8413E">
        <w:rPr>
          <w:rFonts w:cs="Times New Roman"/>
          <w:lang w:val="en-US"/>
        </w:rPr>
        <w:t xml:space="preserve">mg arm reporting Grade 3 or 4 treatment emergent adverse events (TEAEs), TEAEs leading to dose reduction or dose interruption, and TEAEs leading to permanent treatment discontinuation. </w:t>
      </w:r>
      <w:r w:rsidRPr="00D342A4">
        <w:rPr>
          <w:rFonts w:cs="Times New Roman"/>
          <w:lang w:val="en-US"/>
        </w:rPr>
        <w:t>The median age was 65</w:t>
      </w:r>
      <w:r w:rsidRPr="00D342A4" w:rsidDel="00D447B3">
        <w:rPr>
          <w:rFonts w:cs="Times New Roman"/>
          <w:lang w:val="en-US"/>
        </w:rPr>
        <w:t xml:space="preserve"> </w:t>
      </w:r>
      <w:r w:rsidRPr="00D342A4">
        <w:rPr>
          <w:rFonts w:cs="Times New Roman"/>
          <w:lang w:val="en-US"/>
        </w:rPr>
        <w:t>years (range 27 to 86</w:t>
      </w:r>
      <w:r w:rsidRPr="00D342A4" w:rsidDel="00D447B3">
        <w:rPr>
          <w:rFonts w:cs="Times New Roman"/>
          <w:lang w:val="en-US"/>
        </w:rPr>
        <w:t xml:space="preserve"> </w:t>
      </w:r>
      <w:r w:rsidRPr="00D342A4">
        <w:rPr>
          <w:rFonts w:cs="Times New Roman"/>
          <w:lang w:val="en-US"/>
        </w:rPr>
        <w:t>years)</w:t>
      </w:r>
      <w:r w:rsidR="00A001D3" w:rsidRPr="008867AF">
        <w:rPr>
          <w:rFonts w:cs="Times New Roman"/>
          <w:lang w:val="en-US"/>
        </w:rPr>
        <w:t xml:space="preserve"> with </w:t>
      </w:r>
      <w:r w:rsidR="00A001D3" w:rsidRPr="00135D12" w:rsidDel="00A54E92">
        <w:rPr>
          <w:rFonts w:cs="Times New Roman"/>
          <w:lang w:val="en-US"/>
        </w:rPr>
        <w:t>40</w:t>
      </w:r>
      <w:r w:rsidRPr="00135D12">
        <w:rPr>
          <w:rFonts w:cs="Times New Roman"/>
          <w:lang w:val="en-US"/>
        </w:rPr>
        <w:t>%</w:t>
      </w:r>
      <w:r w:rsidRPr="008867AF">
        <w:rPr>
          <w:rFonts w:cs="Times New Roman"/>
          <w:lang w:val="en-US"/>
        </w:rPr>
        <w:t xml:space="preserve"> of patients </w:t>
      </w:r>
      <w:r w:rsidR="00A001D3" w:rsidRPr="008867AF">
        <w:rPr>
          <w:rFonts w:cs="Times New Roman"/>
          <w:lang w:val="en-US"/>
        </w:rPr>
        <w:t>between</w:t>
      </w:r>
      <w:r w:rsidRPr="008867AF">
        <w:rPr>
          <w:rFonts w:cs="Times New Roman"/>
          <w:lang w:val="en-US"/>
        </w:rPr>
        <w:t xml:space="preserve"> 65</w:t>
      </w:r>
      <w:r w:rsidRPr="008867AF" w:rsidDel="00D447B3">
        <w:rPr>
          <w:rFonts w:cs="Times New Roman"/>
          <w:lang w:val="en-US"/>
        </w:rPr>
        <w:t xml:space="preserve"> </w:t>
      </w:r>
      <w:r w:rsidR="00A001D3" w:rsidRPr="008867AF">
        <w:rPr>
          <w:rFonts w:cs="Times New Roman"/>
          <w:lang w:val="en-US"/>
        </w:rPr>
        <w:t>and 74 year and 11% of patients at least 75 </w:t>
      </w:r>
      <w:r w:rsidRPr="008867AF">
        <w:rPr>
          <w:rFonts w:cs="Times New Roman"/>
          <w:lang w:val="en-US"/>
        </w:rPr>
        <w:t>years</w:t>
      </w:r>
      <w:r w:rsidRPr="00D342A4">
        <w:rPr>
          <w:rFonts w:cs="Times New Roman"/>
          <w:lang w:val="en-US"/>
        </w:rPr>
        <w:t>, and 59% were male. Sixty-four percent (64%) of patients</w:t>
      </w:r>
      <w:r>
        <w:rPr>
          <w:rFonts w:cs="Times New Roman"/>
          <w:lang w:val="en-US"/>
        </w:rPr>
        <w:t xml:space="preserve"> </w:t>
      </w:r>
      <w:r w:rsidRPr="00D342A4">
        <w:rPr>
          <w:rFonts w:cs="Times New Roman"/>
          <w:lang w:val="en-US"/>
        </w:rPr>
        <w:t>had primary MF, 26% had post-polycythemia vera MF, and 10% had post-essential thrombocythemia</w:t>
      </w:r>
      <w:r>
        <w:rPr>
          <w:rFonts w:cs="Times New Roman"/>
          <w:lang w:val="en-US"/>
        </w:rPr>
        <w:t xml:space="preserve"> </w:t>
      </w:r>
      <w:r w:rsidRPr="00D342A4">
        <w:rPr>
          <w:rFonts w:cs="Times New Roman"/>
          <w:lang w:val="en-US"/>
        </w:rPr>
        <w:t>MF. Fifty-two percent (52%) of patients had intermediate-2 risk, and 48% had high-risk disease. The</w:t>
      </w:r>
      <w:r>
        <w:rPr>
          <w:rFonts w:cs="Times New Roman"/>
          <w:lang w:val="en-US"/>
        </w:rPr>
        <w:t xml:space="preserve"> </w:t>
      </w:r>
      <w:r w:rsidRPr="00D342A4">
        <w:rPr>
          <w:rFonts w:cs="Times New Roman"/>
          <w:lang w:val="en-US"/>
        </w:rPr>
        <w:t xml:space="preserve">median </w:t>
      </w:r>
      <w:proofErr w:type="spellStart"/>
      <w:r w:rsidRPr="00D342A4">
        <w:rPr>
          <w:rFonts w:cs="Times New Roman"/>
          <w:lang w:val="en-US"/>
        </w:rPr>
        <w:t>h</w:t>
      </w:r>
      <w:r w:rsidR="000A0B9A">
        <w:rPr>
          <w:rFonts w:cs="Times New Roman"/>
          <w:lang w:val="en-US"/>
        </w:rPr>
        <w:t>a</w:t>
      </w:r>
      <w:r w:rsidRPr="00D342A4">
        <w:rPr>
          <w:rFonts w:cs="Times New Roman"/>
          <w:lang w:val="en-US"/>
        </w:rPr>
        <w:t>emoglobin</w:t>
      </w:r>
      <w:proofErr w:type="spellEnd"/>
      <w:r w:rsidRPr="00D342A4">
        <w:rPr>
          <w:rFonts w:cs="Times New Roman"/>
          <w:lang w:val="en-US"/>
        </w:rPr>
        <w:t xml:space="preserve"> count at baseline was 10.2</w:t>
      </w:r>
      <w:r w:rsidR="00D447B3">
        <w:rPr>
          <w:rFonts w:cs="Times New Roman"/>
          <w:lang w:val="en-US"/>
        </w:rPr>
        <w:t> </w:t>
      </w:r>
      <w:r w:rsidRPr="00D342A4">
        <w:rPr>
          <w:rFonts w:cs="Times New Roman"/>
          <w:lang w:val="en-US"/>
        </w:rPr>
        <w:t>g/dL</w:t>
      </w:r>
      <w:r w:rsidR="00E30770">
        <w:rPr>
          <w:rFonts w:cs="Times New Roman"/>
          <w:lang w:val="en-US"/>
        </w:rPr>
        <w:t xml:space="preserve"> </w:t>
      </w:r>
      <w:r w:rsidR="00E30770" w:rsidRPr="001B0E4A">
        <w:rPr>
          <w:rFonts w:cs="Times New Roman"/>
          <w:lang w:val="en-US"/>
        </w:rPr>
        <w:t>(range 4.5 to 17.4</w:t>
      </w:r>
      <w:r w:rsidR="000B2F7C" w:rsidRPr="001B0E4A">
        <w:rPr>
          <w:rFonts w:cs="Times New Roman"/>
          <w:lang w:val="en-US"/>
        </w:rPr>
        <w:t> </w:t>
      </w:r>
      <w:r w:rsidR="00E30770" w:rsidRPr="001B0E4A">
        <w:rPr>
          <w:rFonts w:cs="Times New Roman"/>
          <w:lang w:val="en-US"/>
        </w:rPr>
        <w:t>g/dL)</w:t>
      </w:r>
      <w:r w:rsidRPr="00D342A4">
        <w:rPr>
          <w:rFonts w:cs="Times New Roman"/>
          <w:lang w:val="en-US"/>
        </w:rPr>
        <w:t>. The median platelet count at baseline was 213.5</w:t>
      </w:r>
      <w:r>
        <w:rPr>
          <w:rFonts w:cs="Times New Roman"/>
          <w:lang w:val="en-US"/>
        </w:rPr>
        <w:t xml:space="preserve"> </w:t>
      </w:r>
      <w:r w:rsidRPr="00D342A4">
        <w:rPr>
          <w:rFonts w:cs="Times New Roman"/>
          <w:lang w:val="en-US"/>
        </w:rPr>
        <w:t>x</w:t>
      </w:r>
      <w:r w:rsidR="00F33CCA">
        <w:rPr>
          <w:rFonts w:cs="Times New Roman"/>
          <w:lang w:val="en-US"/>
        </w:rPr>
        <w:t> </w:t>
      </w:r>
      <w:r w:rsidRPr="00D342A4">
        <w:rPr>
          <w:rFonts w:cs="Times New Roman"/>
          <w:lang w:val="en-US"/>
        </w:rPr>
        <w:t>10</w:t>
      </w:r>
      <w:r w:rsidRPr="007B64B9">
        <w:rPr>
          <w:rStyle w:val="BMSSuperscript"/>
        </w:rPr>
        <w:t>9</w:t>
      </w:r>
      <w:r w:rsidRPr="00D342A4">
        <w:rPr>
          <w:rFonts w:cs="Times New Roman"/>
          <w:lang w:val="en-US"/>
        </w:rPr>
        <w:t>/L; 16.3% of patients had a platelet count &lt;100 x 10</w:t>
      </w:r>
      <w:r w:rsidR="000A0B9A" w:rsidRPr="007B64B9">
        <w:rPr>
          <w:rStyle w:val="BMSSuperscript"/>
        </w:rPr>
        <w:t>9</w:t>
      </w:r>
      <w:r w:rsidRPr="00D342A4">
        <w:rPr>
          <w:rFonts w:cs="Times New Roman"/>
          <w:lang w:val="en-US"/>
        </w:rPr>
        <w:t>/L, and 83.7% of patients had a platelet</w:t>
      </w:r>
      <w:r>
        <w:rPr>
          <w:rFonts w:cs="Times New Roman"/>
          <w:lang w:val="en-US"/>
        </w:rPr>
        <w:t xml:space="preserve"> </w:t>
      </w:r>
      <w:r w:rsidRPr="00D342A4">
        <w:rPr>
          <w:rFonts w:cs="Times New Roman"/>
          <w:lang w:val="en-US"/>
        </w:rPr>
        <w:t xml:space="preserve">count </w:t>
      </w:r>
      <w:r w:rsidR="000A0B9A">
        <w:rPr>
          <w:rFonts w:cs="Times New Roman"/>
          <w:lang w:val="en-US"/>
        </w:rPr>
        <w:t>≥</w:t>
      </w:r>
      <w:r w:rsidRPr="00D342A4">
        <w:rPr>
          <w:rFonts w:cs="Times New Roman"/>
          <w:lang w:val="en-US"/>
        </w:rPr>
        <w:t>100 x 10</w:t>
      </w:r>
      <w:r w:rsidR="000A0B9A" w:rsidRPr="007B64B9">
        <w:rPr>
          <w:rStyle w:val="BMSSuperscript"/>
        </w:rPr>
        <w:t>9</w:t>
      </w:r>
      <w:r w:rsidRPr="00D342A4">
        <w:rPr>
          <w:rFonts w:cs="Times New Roman"/>
          <w:lang w:val="en-US"/>
        </w:rPr>
        <w:t>/L. Patients had a median palpable spleen length of 15</w:t>
      </w:r>
      <w:r w:rsidR="00436EE3">
        <w:rPr>
          <w:rFonts w:cs="Times New Roman"/>
          <w:lang w:val="en-US"/>
        </w:rPr>
        <w:t> </w:t>
      </w:r>
      <w:r w:rsidRPr="00D342A4">
        <w:rPr>
          <w:rFonts w:cs="Times New Roman"/>
          <w:lang w:val="en-US"/>
        </w:rPr>
        <w:t>cm at baseline and a median</w:t>
      </w:r>
      <w:r>
        <w:rPr>
          <w:rFonts w:cs="Times New Roman"/>
          <w:lang w:val="en-US"/>
        </w:rPr>
        <w:t xml:space="preserve"> </w:t>
      </w:r>
      <w:r w:rsidRPr="00D342A4">
        <w:rPr>
          <w:rFonts w:cs="Times New Roman"/>
          <w:lang w:val="en-US"/>
        </w:rPr>
        <w:t>spleen volume as measured by magnetic resonance imaging (MRI) or computed tomography (CT) of</w:t>
      </w:r>
      <w:r>
        <w:rPr>
          <w:rFonts w:cs="Times New Roman"/>
          <w:lang w:val="en-US"/>
        </w:rPr>
        <w:t xml:space="preserve"> </w:t>
      </w:r>
      <w:r w:rsidRPr="00D342A4">
        <w:rPr>
          <w:rFonts w:cs="Times New Roman"/>
          <w:lang w:val="en-US"/>
        </w:rPr>
        <w:t>2568</w:t>
      </w:r>
      <w:r w:rsidR="00436EE3">
        <w:rPr>
          <w:rFonts w:cs="Times New Roman"/>
          <w:lang w:val="en-US"/>
        </w:rPr>
        <w:t> </w:t>
      </w:r>
      <w:r w:rsidRPr="00D342A4">
        <w:rPr>
          <w:rFonts w:cs="Times New Roman"/>
          <w:lang w:val="en-US"/>
        </w:rPr>
        <w:t>mL (range of 316 to 8244</w:t>
      </w:r>
      <w:r w:rsidR="00436EE3">
        <w:rPr>
          <w:rFonts w:cs="Times New Roman"/>
          <w:lang w:val="en-US"/>
        </w:rPr>
        <w:t> </w:t>
      </w:r>
      <w:r w:rsidRPr="00D342A4">
        <w:rPr>
          <w:rFonts w:cs="Times New Roman"/>
          <w:lang w:val="en-US"/>
        </w:rPr>
        <w:t>mL) at baseline. (The median normal spleen volume is approximately</w:t>
      </w:r>
      <w:r>
        <w:rPr>
          <w:rFonts w:cs="Times New Roman"/>
          <w:lang w:val="en-US"/>
        </w:rPr>
        <w:t xml:space="preserve"> </w:t>
      </w:r>
      <w:r w:rsidRPr="00D342A4">
        <w:rPr>
          <w:rFonts w:cs="Times New Roman"/>
          <w:lang w:val="en-US"/>
        </w:rPr>
        <w:t>215</w:t>
      </w:r>
      <w:r w:rsidR="00436EE3">
        <w:rPr>
          <w:rFonts w:cs="Times New Roman"/>
          <w:lang w:val="en-US"/>
        </w:rPr>
        <w:t> </w:t>
      </w:r>
      <w:r w:rsidRPr="00D342A4">
        <w:rPr>
          <w:rFonts w:cs="Times New Roman"/>
          <w:lang w:val="en-US"/>
        </w:rPr>
        <w:t>mL).</w:t>
      </w:r>
    </w:p>
    <w:p w14:paraId="2C73B430" w14:textId="54EC69B5" w:rsidR="00D342A4" w:rsidRPr="00D342A4" w:rsidRDefault="00D342A4" w:rsidP="00D342A4">
      <w:pPr>
        <w:rPr>
          <w:rFonts w:cs="Times New Roman"/>
          <w:lang w:val="en-US"/>
        </w:rPr>
      </w:pPr>
      <w:r w:rsidRPr="00D342A4">
        <w:rPr>
          <w:rFonts w:cs="Times New Roman"/>
          <w:lang w:val="en-US"/>
        </w:rPr>
        <w:t xml:space="preserve">The primary efficacy endpoint was the proportion of patients achieving a </w:t>
      </w:r>
      <w:r w:rsidR="008A1DE4">
        <w:rPr>
          <w:rFonts w:cs="Times New Roman"/>
          <w:lang w:val="en-US"/>
        </w:rPr>
        <w:t>≥</w:t>
      </w:r>
      <w:r w:rsidRPr="00D342A4">
        <w:rPr>
          <w:rFonts w:cs="Times New Roman"/>
          <w:lang w:val="en-US"/>
        </w:rPr>
        <w:t>35%</w:t>
      </w:r>
      <w:r>
        <w:rPr>
          <w:rFonts w:cs="Times New Roman"/>
          <w:lang w:val="en-US"/>
        </w:rPr>
        <w:t xml:space="preserve"> </w:t>
      </w:r>
      <w:r w:rsidRPr="00D342A4">
        <w:rPr>
          <w:rFonts w:cs="Times New Roman"/>
          <w:lang w:val="en-US"/>
        </w:rPr>
        <w:t xml:space="preserve">reduction from baseline in spleen volume at </w:t>
      </w:r>
      <w:r w:rsidR="00E74B35">
        <w:rPr>
          <w:rFonts w:cs="Times New Roman"/>
          <w:lang w:val="en-US"/>
        </w:rPr>
        <w:t>Week 24</w:t>
      </w:r>
      <w:r w:rsidRPr="00D342A4">
        <w:rPr>
          <w:rFonts w:cs="Times New Roman"/>
          <w:lang w:val="en-US"/>
        </w:rPr>
        <w:t xml:space="preserve"> </w:t>
      </w:r>
      <w:r w:rsidR="00E74B35">
        <w:rPr>
          <w:rFonts w:cs="Times New Roman"/>
          <w:lang w:val="en-US"/>
        </w:rPr>
        <w:t>(</w:t>
      </w:r>
      <w:r w:rsidRPr="00D342A4">
        <w:rPr>
          <w:rFonts w:cs="Times New Roman"/>
          <w:lang w:val="en-US"/>
        </w:rPr>
        <w:t>End of Cycle 6</w:t>
      </w:r>
      <w:r w:rsidR="004236FF">
        <w:rPr>
          <w:rFonts w:cs="Times New Roman"/>
          <w:lang w:val="en-US"/>
        </w:rPr>
        <w:t>, EOC6</w:t>
      </w:r>
      <w:r w:rsidR="00E74B35">
        <w:rPr>
          <w:rFonts w:cs="Times New Roman"/>
          <w:lang w:val="en-US"/>
        </w:rPr>
        <w:t>)</w:t>
      </w:r>
      <w:r w:rsidRPr="00D342A4">
        <w:rPr>
          <w:rFonts w:cs="Times New Roman"/>
          <w:lang w:val="en-US"/>
        </w:rPr>
        <w:t xml:space="preserve"> as measured by MRI or CT</w:t>
      </w:r>
      <w:r>
        <w:rPr>
          <w:rFonts w:cs="Times New Roman"/>
          <w:lang w:val="en-US"/>
        </w:rPr>
        <w:t xml:space="preserve"> </w:t>
      </w:r>
      <w:r w:rsidRPr="00D342A4">
        <w:rPr>
          <w:rFonts w:cs="Times New Roman"/>
          <w:lang w:val="en-US"/>
        </w:rPr>
        <w:t>confirmed 4</w:t>
      </w:r>
      <w:r w:rsidR="00436EE3">
        <w:rPr>
          <w:rFonts w:cs="Times New Roman"/>
          <w:lang w:val="en-US"/>
        </w:rPr>
        <w:t> </w:t>
      </w:r>
      <w:r w:rsidRPr="00D342A4">
        <w:rPr>
          <w:rFonts w:cs="Times New Roman"/>
          <w:lang w:val="en-US"/>
        </w:rPr>
        <w:t>weeks later.</w:t>
      </w:r>
    </w:p>
    <w:p w14:paraId="19EAEA85" w14:textId="0CA0251D" w:rsidR="00D342A4" w:rsidRDefault="008B7881" w:rsidP="00D342A4">
      <w:pPr>
        <w:rPr>
          <w:rFonts w:cs="Times New Roman"/>
          <w:lang w:val="en-US"/>
        </w:rPr>
      </w:pPr>
      <w:r>
        <w:rPr>
          <w:rFonts w:cs="Times New Roman"/>
          <w:lang w:val="en-US"/>
        </w:rPr>
        <w:t xml:space="preserve">The key </w:t>
      </w:r>
      <w:r w:rsidR="00D342A4" w:rsidRPr="00D342A4">
        <w:rPr>
          <w:rFonts w:cs="Times New Roman"/>
          <w:lang w:val="en-US"/>
        </w:rPr>
        <w:t xml:space="preserve">secondary endpoint was the proportion of patients with a </w:t>
      </w:r>
      <w:r w:rsidR="008A1DE4">
        <w:rPr>
          <w:rFonts w:cs="Times New Roman"/>
          <w:lang w:val="en-US"/>
        </w:rPr>
        <w:t>≥</w:t>
      </w:r>
      <w:r w:rsidR="00D342A4" w:rsidRPr="00D342A4">
        <w:rPr>
          <w:rFonts w:cs="Times New Roman"/>
          <w:lang w:val="en-US"/>
        </w:rPr>
        <w:t>50% reduction in</w:t>
      </w:r>
      <w:r w:rsidR="00D342A4">
        <w:rPr>
          <w:rFonts w:cs="Times New Roman"/>
          <w:lang w:val="en-US"/>
        </w:rPr>
        <w:t xml:space="preserve"> </w:t>
      </w:r>
      <w:r w:rsidR="00D342A4" w:rsidRPr="00D342A4">
        <w:rPr>
          <w:rFonts w:cs="Times New Roman"/>
          <w:lang w:val="en-US"/>
        </w:rPr>
        <w:t xml:space="preserve">Total Symptom Score (TSS) from baseline to the </w:t>
      </w:r>
      <w:r w:rsidR="004236FF">
        <w:rPr>
          <w:rFonts w:cs="Times New Roman"/>
          <w:lang w:val="en-US"/>
        </w:rPr>
        <w:t>EOC6</w:t>
      </w:r>
      <w:r w:rsidR="00D342A4" w:rsidRPr="00D342A4">
        <w:rPr>
          <w:rFonts w:cs="Times New Roman"/>
          <w:lang w:val="en-US"/>
        </w:rPr>
        <w:t xml:space="preserve"> as measured by the modified</w:t>
      </w:r>
      <w:r w:rsidR="00D342A4">
        <w:rPr>
          <w:rFonts w:cs="Times New Roman"/>
          <w:lang w:val="en-US"/>
        </w:rPr>
        <w:t xml:space="preserve"> </w:t>
      </w:r>
      <w:r w:rsidR="00D342A4" w:rsidRPr="00D342A4">
        <w:rPr>
          <w:rFonts w:cs="Times New Roman"/>
          <w:lang w:val="en-US"/>
        </w:rPr>
        <w:t>Myelofibrosis Symptoms Assessment Form (MFSAF) v2.0 diary.</w:t>
      </w:r>
    </w:p>
    <w:p w14:paraId="3C299EB3" w14:textId="1E0E4D51" w:rsidR="00273463" w:rsidRPr="00D342A4" w:rsidDel="00676340" w:rsidRDefault="00672EF0" w:rsidP="00D342A4">
      <w:pPr>
        <w:rPr>
          <w:rFonts w:cs="Times New Roman"/>
          <w:lang w:val="en-US"/>
        </w:rPr>
      </w:pPr>
      <w:r w:rsidRPr="00D8413E">
        <w:rPr>
          <w:rFonts w:cs="Times New Roman"/>
          <w:lang w:val="en-US"/>
        </w:rPr>
        <w:t>Analyses of reduction in spleen volume are presented in Table 6.</w:t>
      </w:r>
    </w:p>
    <w:p w14:paraId="4839E4FA" w14:textId="3C020489" w:rsidR="00D342A4" w:rsidRDefault="00D86EB1" w:rsidP="00641070">
      <w:pPr>
        <w:pStyle w:val="Caption"/>
        <w:keepNext/>
        <w:keepLines/>
        <w:rPr>
          <w:rFonts w:cs="Times New Roman"/>
          <w:b w:val="0"/>
          <w:bCs/>
          <w:lang w:val="en-US"/>
        </w:rPr>
      </w:pPr>
      <w:r w:rsidDel="0023582A">
        <w:lastRenderedPageBreak/>
        <w:t xml:space="preserve">Table </w:t>
      </w:r>
      <w:r w:rsidR="00621671" w:rsidDel="0023582A">
        <w:fldChar w:fldCharType="begin"/>
      </w:r>
      <w:r w:rsidR="00621671" w:rsidDel="0023582A">
        <w:instrText xml:space="preserve"> SEQ Table \* ARABIC </w:instrText>
      </w:r>
      <w:r w:rsidR="00621671" w:rsidDel="0023582A">
        <w:fldChar w:fldCharType="separate"/>
      </w:r>
      <w:r w:rsidR="00196356">
        <w:rPr>
          <w:noProof/>
        </w:rPr>
        <w:t>6</w:t>
      </w:r>
      <w:r w:rsidR="00621671" w:rsidDel="0023582A">
        <w:rPr>
          <w:noProof/>
        </w:rPr>
        <w:fldChar w:fldCharType="end"/>
      </w:r>
      <w:r>
        <w:t xml:space="preserve">: </w:t>
      </w:r>
      <w:r w:rsidR="002851AC" w:rsidRPr="002C41FB">
        <w:rPr>
          <w:rFonts w:cs="Times New Roman"/>
          <w:bCs/>
          <w:lang w:val="en-US"/>
        </w:rPr>
        <w:t>Percent</w:t>
      </w:r>
      <w:r w:rsidR="00D50CBF">
        <w:rPr>
          <w:rFonts w:cs="Times New Roman"/>
          <w:bCs/>
          <w:lang w:val="en-US"/>
        </w:rPr>
        <w:t>age</w:t>
      </w:r>
      <w:r w:rsidR="002851AC" w:rsidRPr="002C41FB">
        <w:rPr>
          <w:rFonts w:cs="Times New Roman"/>
          <w:bCs/>
          <w:lang w:val="en-US"/>
        </w:rPr>
        <w:t xml:space="preserve"> of Patients Achieving Spleen Volume Reduction and Spleen Size Reduction from Baseline to</w:t>
      </w:r>
      <w:r w:rsidR="002C41FB" w:rsidRPr="002C41FB">
        <w:rPr>
          <w:rFonts w:cs="Times New Roman"/>
          <w:bCs/>
          <w:lang w:val="en-US"/>
        </w:rPr>
        <w:t xml:space="preserve"> </w:t>
      </w:r>
      <w:r w:rsidR="002851AC" w:rsidRPr="002C41FB">
        <w:rPr>
          <w:rFonts w:cs="Times New Roman"/>
          <w:bCs/>
          <w:lang w:val="en-US"/>
        </w:rPr>
        <w:t>the End of Cycles 6 (ITT Population)</w:t>
      </w:r>
    </w:p>
    <w:tbl>
      <w:tblPr>
        <w:tblStyle w:val="TableGrid"/>
        <w:tblW w:w="0" w:type="auto"/>
        <w:tblLook w:val="04A0" w:firstRow="1" w:lastRow="0" w:firstColumn="1" w:lastColumn="0" w:noHBand="0" w:noVBand="1"/>
      </w:tblPr>
      <w:tblGrid>
        <w:gridCol w:w="5382"/>
        <w:gridCol w:w="1843"/>
        <w:gridCol w:w="1791"/>
      </w:tblGrid>
      <w:tr w:rsidR="000F5706" w14:paraId="24C76A8C" w14:textId="77777777" w:rsidTr="007D0396">
        <w:trPr>
          <w:tblHeader/>
        </w:trPr>
        <w:tc>
          <w:tcPr>
            <w:tcW w:w="5382" w:type="dxa"/>
            <w:shd w:val="clear" w:color="auto" w:fill="D9D9D9" w:themeFill="background1" w:themeFillShade="D9"/>
          </w:tcPr>
          <w:p w14:paraId="10C9F49F" w14:textId="236BD636" w:rsidR="000F5706" w:rsidRPr="00312AD1" w:rsidRDefault="00E01C5E" w:rsidP="00312AD1">
            <w:pPr>
              <w:jc w:val="center"/>
              <w:rPr>
                <w:rFonts w:cs="Times New Roman"/>
                <w:b/>
                <w:bCs/>
                <w:lang w:val="en-US"/>
              </w:rPr>
            </w:pPr>
            <w:r w:rsidRPr="00312AD1">
              <w:rPr>
                <w:rFonts w:cs="Times New Roman"/>
                <w:b/>
                <w:bCs/>
                <w:lang w:val="en-US"/>
              </w:rPr>
              <w:t>Spleen Volume and Spleen Size</w:t>
            </w:r>
            <w:r w:rsidR="00312AD1">
              <w:rPr>
                <w:rFonts w:cs="Times New Roman"/>
                <w:b/>
                <w:bCs/>
                <w:lang w:val="en-US"/>
              </w:rPr>
              <w:t xml:space="preserve"> </w:t>
            </w:r>
            <w:r w:rsidRPr="00312AD1">
              <w:rPr>
                <w:rFonts w:cs="Times New Roman"/>
                <w:b/>
                <w:bCs/>
                <w:lang w:val="en-US"/>
              </w:rPr>
              <w:t>at the End of Cycles 6</w:t>
            </w:r>
          </w:p>
        </w:tc>
        <w:tc>
          <w:tcPr>
            <w:tcW w:w="1843" w:type="dxa"/>
            <w:shd w:val="clear" w:color="auto" w:fill="D9D9D9" w:themeFill="background1" w:themeFillShade="D9"/>
          </w:tcPr>
          <w:p w14:paraId="4ABDB550" w14:textId="7B05A1E4" w:rsidR="00E01C5E" w:rsidRPr="00312AD1" w:rsidRDefault="00E01C5E" w:rsidP="00312AD1">
            <w:pPr>
              <w:jc w:val="center"/>
              <w:rPr>
                <w:rFonts w:cs="Times New Roman"/>
                <w:b/>
                <w:bCs/>
                <w:lang w:val="en-US"/>
              </w:rPr>
            </w:pPr>
            <w:r w:rsidRPr="00312AD1">
              <w:rPr>
                <w:rFonts w:cs="Times New Roman"/>
                <w:b/>
                <w:bCs/>
                <w:lang w:val="en-US"/>
              </w:rPr>
              <w:t>INREBIC</w:t>
            </w:r>
            <w:r w:rsidR="00312AD1">
              <w:rPr>
                <w:rFonts w:cs="Times New Roman"/>
                <w:b/>
                <w:bCs/>
                <w:lang w:val="en-US"/>
              </w:rPr>
              <w:t xml:space="preserve"> </w:t>
            </w:r>
            <w:r w:rsidRPr="00312AD1">
              <w:rPr>
                <w:rFonts w:cs="Times New Roman"/>
                <w:b/>
                <w:bCs/>
                <w:lang w:val="en-US"/>
              </w:rPr>
              <w:t>400</w:t>
            </w:r>
            <w:r w:rsidR="00436EE3">
              <w:rPr>
                <w:rFonts w:cs="Times New Roman"/>
                <w:b/>
                <w:bCs/>
                <w:lang w:val="en-US"/>
              </w:rPr>
              <w:t> </w:t>
            </w:r>
            <w:r w:rsidRPr="00312AD1">
              <w:rPr>
                <w:rFonts w:cs="Times New Roman"/>
                <w:b/>
                <w:bCs/>
                <w:lang w:val="en-US"/>
              </w:rPr>
              <w:t>mg</w:t>
            </w:r>
          </w:p>
          <w:p w14:paraId="6AE1A4B6" w14:textId="77777777" w:rsidR="00E01C5E" w:rsidRPr="00312AD1" w:rsidRDefault="00E01C5E" w:rsidP="00312AD1">
            <w:pPr>
              <w:jc w:val="center"/>
              <w:rPr>
                <w:rFonts w:cs="Times New Roman"/>
                <w:b/>
                <w:bCs/>
                <w:lang w:val="en-US"/>
              </w:rPr>
            </w:pPr>
            <w:r w:rsidRPr="00312AD1">
              <w:rPr>
                <w:rFonts w:cs="Times New Roman"/>
                <w:b/>
                <w:bCs/>
                <w:lang w:val="en-US"/>
              </w:rPr>
              <w:t>N=96</w:t>
            </w:r>
          </w:p>
          <w:p w14:paraId="2EBA21CC" w14:textId="6D78D479" w:rsidR="000F5706" w:rsidRPr="00312AD1" w:rsidRDefault="00E01C5E" w:rsidP="00312AD1">
            <w:pPr>
              <w:jc w:val="center"/>
              <w:rPr>
                <w:rFonts w:cs="Times New Roman"/>
                <w:lang w:val="en-US"/>
              </w:rPr>
            </w:pPr>
            <w:r w:rsidRPr="00312AD1">
              <w:rPr>
                <w:rFonts w:cs="Times New Roman"/>
                <w:lang w:val="en-US"/>
              </w:rPr>
              <w:t>n (%)</w:t>
            </w:r>
          </w:p>
        </w:tc>
        <w:tc>
          <w:tcPr>
            <w:tcW w:w="1791" w:type="dxa"/>
            <w:shd w:val="clear" w:color="auto" w:fill="D9D9D9" w:themeFill="background1" w:themeFillShade="D9"/>
          </w:tcPr>
          <w:p w14:paraId="0902A6A7" w14:textId="77777777" w:rsidR="00E01C5E" w:rsidRPr="00312AD1" w:rsidRDefault="00E01C5E" w:rsidP="00312AD1">
            <w:pPr>
              <w:jc w:val="center"/>
              <w:rPr>
                <w:rFonts w:cs="Times New Roman"/>
                <w:b/>
                <w:bCs/>
                <w:lang w:val="en-US"/>
              </w:rPr>
            </w:pPr>
            <w:r w:rsidRPr="00312AD1">
              <w:rPr>
                <w:rFonts w:cs="Times New Roman"/>
                <w:b/>
                <w:bCs/>
                <w:lang w:val="en-US"/>
              </w:rPr>
              <w:t>Placebo</w:t>
            </w:r>
          </w:p>
          <w:p w14:paraId="70ACA80E" w14:textId="77777777" w:rsidR="00BB19D9" w:rsidRPr="00312AD1" w:rsidRDefault="00BB19D9" w:rsidP="00312AD1">
            <w:pPr>
              <w:jc w:val="center"/>
              <w:rPr>
                <w:rFonts w:cs="Times New Roman"/>
                <w:b/>
                <w:bCs/>
                <w:lang w:val="en-US"/>
              </w:rPr>
            </w:pPr>
          </w:p>
          <w:p w14:paraId="45C013C2" w14:textId="77777777" w:rsidR="00E01C5E" w:rsidRDefault="00E01C5E" w:rsidP="00312AD1">
            <w:pPr>
              <w:jc w:val="center"/>
              <w:rPr>
                <w:rFonts w:cs="Times New Roman"/>
                <w:b/>
                <w:bCs/>
                <w:lang w:val="en-US"/>
              </w:rPr>
            </w:pPr>
            <w:r w:rsidRPr="00312AD1">
              <w:rPr>
                <w:rFonts w:cs="Times New Roman"/>
                <w:b/>
                <w:bCs/>
                <w:lang w:val="en-US"/>
              </w:rPr>
              <w:t>N=96</w:t>
            </w:r>
          </w:p>
          <w:p w14:paraId="35AF6521" w14:textId="74C2D111" w:rsidR="000F5706" w:rsidRPr="00312AD1" w:rsidRDefault="00E01C5E" w:rsidP="00312AD1">
            <w:pPr>
              <w:jc w:val="center"/>
              <w:rPr>
                <w:rFonts w:cs="Times New Roman"/>
                <w:lang w:val="en-US"/>
              </w:rPr>
            </w:pPr>
            <w:r w:rsidRPr="00312AD1">
              <w:rPr>
                <w:rFonts w:cs="Times New Roman"/>
                <w:lang w:val="en-US"/>
              </w:rPr>
              <w:t>n (%)</w:t>
            </w:r>
          </w:p>
        </w:tc>
      </w:tr>
      <w:tr w:rsidR="004B65C0" w14:paraId="7D9D3DBD" w14:textId="77777777" w:rsidTr="474FE90C">
        <w:tc>
          <w:tcPr>
            <w:tcW w:w="9016" w:type="dxa"/>
            <w:gridSpan w:val="3"/>
          </w:tcPr>
          <w:p w14:paraId="1597DA45" w14:textId="30B7E039" w:rsidR="004B65C0" w:rsidRPr="004B65C0" w:rsidRDefault="004B65C0" w:rsidP="0045440E">
            <w:pPr>
              <w:rPr>
                <w:rFonts w:cs="Times New Roman"/>
                <w:b/>
                <w:bCs/>
                <w:lang w:val="en-US"/>
              </w:rPr>
            </w:pPr>
            <w:r w:rsidRPr="004B65C0">
              <w:rPr>
                <w:rFonts w:cs="Times New Roman"/>
                <w:b/>
                <w:bCs/>
                <w:lang w:val="en-US"/>
              </w:rPr>
              <w:t>Spleen Volume</w:t>
            </w:r>
          </w:p>
        </w:tc>
      </w:tr>
      <w:tr w:rsidR="000F5706" w14:paraId="1688F2DE" w14:textId="77777777" w:rsidTr="007D0396">
        <w:tc>
          <w:tcPr>
            <w:tcW w:w="5382" w:type="dxa"/>
          </w:tcPr>
          <w:p w14:paraId="1456701A" w14:textId="37FE5289" w:rsidR="000F5706" w:rsidRDefault="004B65C0" w:rsidP="004B65C0">
            <w:pPr>
              <w:rPr>
                <w:rFonts w:cs="Times New Roman"/>
                <w:lang w:val="en-US"/>
              </w:rPr>
            </w:pPr>
            <w:r w:rsidRPr="004B65C0">
              <w:rPr>
                <w:rFonts w:cs="Times New Roman"/>
                <w:lang w:val="en-US"/>
              </w:rPr>
              <w:t>Number (%) of Patients with Spleen Volume Reduction by</w:t>
            </w:r>
            <w:r>
              <w:rPr>
                <w:rFonts w:cs="Times New Roman"/>
                <w:lang w:val="en-US"/>
              </w:rPr>
              <w:t xml:space="preserve"> </w:t>
            </w:r>
            <w:r w:rsidR="008A1DE4">
              <w:rPr>
                <w:rFonts w:cs="Times New Roman"/>
                <w:lang w:val="en-US"/>
              </w:rPr>
              <w:t>≥</w:t>
            </w:r>
            <w:r w:rsidRPr="004B65C0">
              <w:rPr>
                <w:rFonts w:cs="Times New Roman"/>
                <w:lang w:val="en-US"/>
              </w:rPr>
              <w:t xml:space="preserve">35% at </w:t>
            </w:r>
            <w:r w:rsidR="00FC6F10">
              <w:rPr>
                <w:rFonts w:cs="Times New Roman"/>
                <w:lang w:val="en-US"/>
              </w:rPr>
              <w:t>EOC6</w:t>
            </w:r>
          </w:p>
        </w:tc>
        <w:tc>
          <w:tcPr>
            <w:tcW w:w="1843" w:type="dxa"/>
          </w:tcPr>
          <w:p w14:paraId="53175369" w14:textId="4B8B4B67" w:rsidR="000F5706" w:rsidRDefault="004B65C0" w:rsidP="00DB2307">
            <w:pPr>
              <w:jc w:val="center"/>
              <w:rPr>
                <w:rFonts w:cs="Times New Roman"/>
                <w:lang w:val="en-US"/>
              </w:rPr>
            </w:pPr>
            <w:r w:rsidRPr="00DB2307">
              <w:rPr>
                <w:rFonts w:cs="Times New Roman"/>
                <w:lang w:val="en-US"/>
              </w:rPr>
              <w:t>45 (46.9)</w:t>
            </w:r>
          </w:p>
        </w:tc>
        <w:tc>
          <w:tcPr>
            <w:tcW w:w="1791" w:type="dxa"/>
          </w:tcPr>
          <w:p w14:paraId="40E7C54D" w14:textId="4C32CF71" w:rsidR="000F5706" w:rsidRDefault="00DB2307" w:rsidP="00DB2307">
            <w:pPr>
              <w:jc w:val="center"/>
              <w:rPr>
                <w:rFonts w:cs="Times New Roman"/>
                <w:lang w:val="en-US"/>
              </w:rPr>
            </w:pPr>
            <w:r w:rsidRPr="00DB2307">
              <w:rPr>
                <w:rFonts w:cs="Times New Roman"/>
                <w:lang w:val="en-US"/>
              </w:rPr>
              <w:t>1 (1.0)</w:t>
            </w:r>
          </w:p>
        </w:tc>
      </w:tr>
      <w:tr w:rsidR="0035565C" w14:paraId="3FC414DE" w14:textId="77777777" w:rsidTr="007D0396">
        <w:tc>
          <w:tcPr>
            <w:tcW w:w="5382" w:type="dxa"/>
          </w:tcPr>
          <w:p w14:paraId="6A4B7971" w14:textId="5C5F81FF" w:rsidR="0035565C" w:rsidRPr="00AF6C2A" w:rsidRDefault="725E19B4" w:rsidP="00203F51">
            <w:pPr>
              <w:ind w:left="720"/>
              <w:rPr>
                <w:rFonts w:cs="Times New Roman"/>
                <w:lang w:val="en-US"/>
              </w:rPr>
            </w:pPr>
            <w:r w:rsidRPr="5DAC2444">
              <w:rPr>
                <w:rFonts w:cs="Times New Roman"/>
                <w:lang w:val="en-US"/>
              </w:rPr>
              <w:t xml:space="preserve">95% confidence interval </w:t>
            </w:r>
          </w:p>
        </w:tc>
        <w:tc>
          <w:tcPr>
            <w:tcW w:w="1843" w:type="dxa"/>
          </w:tcPr>
          <w:p w14:paraId="6C7EDC29" w14:textId="28E00B17" w:rsidR="0035565C" w:rsidRPr="00DB2307" w:rsidRDefault="00AF6C2A" w:rsidP="00CB16F0">
            <w:pPr>
              <w:jc w:val="center"/>
              <w:rPr>
                <w:rFonts w:cs="Times New Roman"/>
                <w:lang w:val="en-US"/>
              </w:rPr>
            </w:pPr>
            <w:r w:rsidRPr="00AF6C2A">
              <w:rPr>
                <w:rFonts w:cs="Times New Roman"/>
                <w:lang w:val="en-US"/>
              </w:rPr>
              <w:t xml:space="preserve">36.9, 56.9 </w:t>
            </w:r>
          </w:p>
        </w:tc>
        <w:tc>
          <w:tcPr>
            <w:tcW w:w="1791" w:type="dxa"/>
          </w:tcPr>
          <w:p w14:paraId="59D0F140" w14:textId="183A1046" w:rsidR="0035565C" w:rsidRPr="00DB2307" w:rsidRDefault="00AF6C2A" w:rsidP="00CB16F0">
            <w:pPr>
              <w:jc w:val="center"/>
              <w:rPr>
                <w:rFonts w:cs="Times New Roman"/>
                <w:lang w:val="en-US"/>
              </w:rPr>
            </w:pPr>
            <w:r w:rsidRPr="00AF6C2A">
              <w:rPr>
                <w:rFonts w:cs="Times New Roman"/>
                <w:lang w:val="en-US"/>
              </w:rPr>
              <w:t xml:space="preserve">0.0, 3.1 </w:t>
            </w:r>
          </w:p>
        </w:tc>
      </w:tr>
      <w:tr w:rsidR="00EA75BC" w14:paraId="764DFCEA" w14:textId="77777777" w:rsidTr="007D0396">
        <w:tc>
          <w:tcPr>
            <w:tcW w:w="5382" w:type="dxa"/>
          </w:tcPr>
          <w:p w14:paraId="1ED9E499" w14:textId="5D1FF17C" w:rsidR="00EA75BC" w:rsidRDefault="00EA75BC" w:rsidP="00203F51">
            <w:pPr>
              <w:ind w:left="720"/>
              <w:rPr>
                <w:rFonts w:cs="Times New Roman"/>
                <w:lang w:val="en-US"/>
              </w:rPr>
            </w:pPr>
            <w:r>
              <w:rPr>
                <w:rFonts w:cs="Times New Roman"/>
                <w:lang w:val="en-US"/>
              </w:rPr>
              <w:t>p-value</w:t>
            </w:r>
          </w:p>
        </w:tc>
        <w:tc>
          <w:tcPr>
            <w:tcW w:w="3634" w:type="dxa"/>
            <w:gridSpan w:val="2"/>
          </w:tcPr>
          <w:p w14:paraId="77CC5E63" w14:textId="5F872CC3" w:rsidR="00EA75BC" w:rsidRDefault="00EA75BC" w:rsidP="00EA75BC">
            <w:pPr>
              <w:jc w:val="center"/>
              <w:rPr>
                <w:rFonts w:cs="Times New Roman"/>
                <w:lang w:val="en-US"/>
              </w:rPr>
            </w:pPr>
            <w:r w:rsidRPr="00EA75BC">
              <w:rPr>
                <w:rFonts w:cs="Times New Roman"/>
                <w:lang w:val="en-US"/>
              </w:rPr>
              <w:t>p&lt;0.0001</w:t>
            </w:r>
          </w:p>
        </w:tc>
      </w:tr>
      <w:tr w:rsidR="000F5706" w14:paraId="6D2F9E96" w14:textId="77777777" w:rsidTr="007D0396">
        <w:tc>
          <w:tcPr>
            <w:tcW w:w="5382" w:type="dxa"/>
          </w:tcPr>
          <w:p w14:paraId="28EC8E14" w14:textId="6BFE5C76" w:rsidR="000F5706" w:rsidRDefault="00EA75BC" w:rsidP="00EA75BC">
            <w:pPr>
              <w:rPr>
                <w:rFonts w:cs="Times New Roman"/>
                <w:lang w:val="en-US"/>
              </w:rPr>
            </w:pPr>
            <w:r w:rsidRPr="00EA75BC">
              <w:rPr>
                <w:rFonts w:cs="Times New Roman"/>
                <w:lang w:val="en-US"/>
              </w:rPr>
              <w:t>Number (%) of Patients with Spleen Volume Reduction by</w:t>
            </w:r>
            <w:r>
              <w:rPr>
                <w:rFonts w:cs="Times New Roman"/>
                <w:lang w:val="en-US"/>
              </w:rPr>
              <w:t xml:space="preserve"> </w:t>
            </w:r>
            <w:r w:rsidR="008A1DE4">
              <w:rPr>
                <w:rFonts w:cs="Times New Roman"/>
                <w:lang w:val="en-US"/>
              </w:rPr>
              <w:t>≥</w:t>
            </w:r>
            <w:r w:rsidRPr="00EA75BC">
              <w:rPr>
                <w:rFonts w:cs="Times New Roman"/>
                <w:lang w:val="en-US"/>
              </w:rPr>
              <w:t xml:space="preserve">35% at </w:t>
            </w:r>
            <w:r w:rsidR="00FC6F10">
              <w:rPr>
                <w:rFonts w:cs="Times New Roman"/>
                <w:lang w:val="en-US"/>
              </w:rPr>
              <w:t>EOC6</w:t>
            </w:r>
            <w:r w:rsidRPr="00EA75BC">
              <w:rPr>
                <w:rFonts w:cs="Times New Roman"/>
                <w:lang w:val="en-US"/>
              </w:rPr>
              <w:t xml:space="preserve"> (</w:t>
            </w:r>
            <w:r w:rsidR="00BB49A0">
              <w:rPr>
                <w:rFonts w:cs="Times New Roman"/>
                <w:lang w:val="en-US"/>
              </w:rPr>
              <w:t>confirmed</w:t>
            </w:r>
            <w:r w:rsidRPr="00EA75BC">
              <w:rPr>
                <w:rFonts w:cs="Times New Roman"/>
                <w:lang w:val="en-US"/>
              </w:rPr>
              <w:t xml:space="preserve"> 4</w:t>
            </w:r>
            <w:r w:rsidR="00E05B28">
              <w:rPr>
                <w:rFonts w:cs="Times New Roman"/>
                <w:lang w:val="en-US"/>
              </w:rPr>
              <w:t> </w:t>
            </w:r>
            <w:r w:rsidR="00907E43">
              <w:rPr>
                <w:rFonts w:cs="Times New Roman"/>
                <w:lang w:val="en-US"/>
              </w:rPr>
              <w:t>w</w:t>
            </w:r>
            <w:r w:rsidRPr="00EA75BC">
              <w:rPr>
                <w:rFonts w:cs="Times New Roman"/>
                <w:lang w:val="en-US"/>
              </w:rPr>
              <w:t xml:space="preserve">eeks </w:t>
            </w:r>
            <w:r w:rsidR="00907E43">
              <w:rPr>
                <w:rFonts w:cs="Times New Roman"/>
                <w:lang w:val="en-US"/>
              </w:rPr>
              <w:t>l</w:t>
            </w:r>
            <w:r w:rsidRPr="00EA75BC">
              <w:rPr>
                <w:rFonts w:cs="Times New Roman"/>
                <w:lang w:val="en-US"/>
              </w:rPr>
              <w:t>ater)</w:t>
            </w:r>
          </w:p>
        </w:tc>
        <w:tc>
          <w:tcPr>
            <w:tcW w:w="1843" w:type="dxa"/>
          </w:tcPr>
          <w:p w14:paraId="16134C7E" w14:textId="4DE0C02F" w:rsidR="000F5706" w:rsidRDefault="00A41708" w:rsidP="00A41708">
            <w:pPr>
              <w:jc w:val="center"/>
              <w:rPr>
                <w:rFonts w:cs="Times New Roman"/>
                <w:lang w:val="en-US"/>
              </w:rPr>
            </w:pPr>
            <w:r w:rsidRPr="00A41708">
              <w:rPr>
                <w:rFonts w:cs="Times New Roman"/>
                <w:lang w:val="en-US"/>
              </w:rPr>
              <w:t>35 (36.5)</w:t>
            </w:r>
          </w:p>
        </w:tc>
        <w:tc>
          <w:tcPr>
            <w:tcW w:w="1791" w:type="dxa"/>
          </w:tcPr>
          <w:p w14:paraId="7D6A2C3A" w14:textId="4A999820" w:rsidR="000F5706" w:rsidRDefault="00A41708" w:rsidP="00A41708">
            <w:pPr>
              <w:jc w:val="center"/>
              <w:rPr>
                <w:rFonts w:cs="Times New Roman"/>
                <w:lang w:val="en-US"/>
              </w:rPr>
            </w:pPr>
            <w:r w:rsidRPr="00A41708">
              <w:rPr>
                <w:rFonts w:cs="Times New Roman"/>
                <w:lang w:val="en-US"/>
              </w:rPr>
              <w:t>1 (1.0)</w:t>
            </w:r>
          </w:p>
        </w:tc>
      </w:tr>
      <w:tr w:rsidR="00BE1D88" w14:paraId="37D6C8DF" w14:textId="77777777" w:rsidTr="007D0396">
        <w:tc>
          <w:tcPr>
            <w:tcW w:w="5382" w:type="dxa"/>
          </w:tcPr>
          <w:p w14:paraId="06628F1D" w14:textId="0C66BDB5" w:rsidR="00BE1D88" w:rsidRPr="00EA75BC" w:rsidRDefault="00BE1D88" w:rsidP="00203F51">
            <w:pPr>
              <w:ind w:left="720"/>
              <w:rPr>
                <w:rFonts w:cs="Times New Roman"/>
                <w:lang w:val="en-US"/>
              </w:rPr>
            </w:pPr>
            <w:r w:rsidRPr="00AF6C2A">
              <w:rPr>
                <w:rFonts w:cs="Times New Roman"/>
                <w:lang w:val="en-US"/>
              </w:rPr>
              <w:t xml:space="preserve">95% confidence interval </w:t>
            </w:r>
          </w:p>
        </w:tc>
        <w:tc>
          <w:tcPr>
            <w:tcW w:w="1843" w:type="dxa"/>
          </w:tcPr>
          <w:p w14:paraId="0E18FDE4" w14:textId="471750A6" w:rsidR="00BE1D88" w:rsidRPr="00580BDF" w:rsidRDefault="00580BDF" w:rsidP="00580BDF">
            <w:pPr>
              <w:jc w:val="center"/>
              <w:rPr>
                <w:rFonts w:cs="Times New Roman"/>
                <w:lang w:val="en-US"/>
              </w:rPr>
            </w:pPr>
            <w:r w:rsidRPr="00580BDF">
              <w:rPr>
                <w:rFonts w:cs="Times New Roman"/>
                <w:lang w:val="en-US"/>
              </w:rPr>
              <w:t>26.8, 46.1</w:t>
            </w:r>
          </w:p>
        </w:tc>
        <w:tc>
          <w:tcPr>
            <w:tcW w:w="1791" w:type="dxa"/>
          </w:tcPr>
          <w:p w14:paraId="6FD0C9B3" w14:textId="528C3C6C" w:rsidR="00BE1D88" w:rsidRPr="00580BDF" w:rsidRDefault="00580BDF" w:rsidP="00580BDF">
            <w:pPr>
              <w:jc w:val="center"/>
              <w:rPr>
                <w:rFonts w:cs="Times New Roman"/>
                <w:lang w:val="en-US"/>
              </w:rPr>
            </w:pPr>
            <w:r w:rsidRPr="00580BDF">
              <w:rPr>
                <w:rFonts w:cs="Times New Roman"/>
                <w:lang w:val="en-US"/>
              </w:rPr>
              <w:t>0.0, 3.1</w:t>
            </w:r>
          </w:p>
        </w:tc>
      </w:tr>
      <w:tr w:rsidR="00A41708" w14:paraId="2D25C4C5" w14:textId="77777777" w:rsidTr="007D0396">
        <w:trPr>
          <w:trHeight w:val="100"/>
        </w:trPr>
        <w:tc>
          <w:tcPr>
            <w:tcW w:w="5382" w:type="dxa"/>
          </w:tcPr>
          <w:p w14:paraId="56E3C186" w14:textId="5526B130" w:rsidR="00A41708" w:rsidRDefault="00A41708" w:rsidP="00203F51">
            <w:pPr>
              <w:ind w:left="720"/>
              <w:rPr>
                <w:rFonts w:cs="Times New Roman"/>
                <w:lang w:val="en-US"/>
              </w:rPr>
            </w:pPr>
            <w:r>
              <w:rPr>
                <w:rFonts w:cs="Times New Roman"/>
                <w:lang w:val="en-US"/>
              </w:rPr>
              <w:t>p-value</w:t>
            </w:r>
          </w:p>
        </w:tc>
        <w:tc>
          <w:tcPr>
            <w:tcW w:w="3634" w:type="dxa"/>
            <w:gridSpan w:val="2"/>
          </w:tcPr>
          <w:p w14:paraId="38082FFD" w14:textId="48685FC5" w:rsidR="00A41708" w:rsidRDefault="00A41708" w:rsidP="00A41708">
            <w:pPr>
              <w:jc w:val="center"/>
              <w:rPr>
                <w:rFonts w:cs="Times New Roman"/>
                <w:lang w:val="en-US"/>
              </w:rPr>
            </w:pPr>
            <w:r w:rsidRPr="00EA75BC">
              <w:rPr>
                <w:rFonts w:cs="Times New Roman"/>
                <w:lang w:val="en-US"/>
              </w:rPr>
              <w:t>p&lt;0.0001</w:t>
            </w:r>
          </w:p>
        </w:tc>
      </w:tr>
    </w:tbl>
    <w:p w14:paraId="151D61BB" w14:textId="77777777" w:rsidR="00A27880" w:rsidRDefault="00A27880" w:rsidP="00712EA1">
      <w:pPr>
        <w:rPr>
          <w:rFonts w:cs="Times New Roman"/>
          <w:lang w:val="en-US"/>
        </w:rPr>
      </w:pPr>
    </w:p>
    <w:p w14:paraId="2693D075" w14:textId="182E1DD8" w:rsidR="006404DD" w:rsidRDefault="002C41FB" w:rsidP="00712EA1">
      <w:pPr>
        <w:rPr>
          <w:rFonts w:cs="Times New Roman"/>
          <w:lang w:val="en-US"/>
        </w:rPr>
      </w:pPr>
      <w:r w:rsidRPr="474FE90C">
        <w:rPr>
          <w:rFonts w:cs="Times New Roman"/>
          <w:lang w:val="en-US"/>
        </w:rPr>
        <w:t xml:space="preserve">A higher proportion of patients in the </w:t>
      </w:r>
      <w:r w:rsidR="000E739D" w:rsidRPr="474FE90C">
        <w:rPr>
          <w:rFonts w:cs="Times New Roman"/>
          <w:lang w:val="en-US"/>
        </w:rPr>
        <w:t xml:space="preserve">INREBIC </w:t>
      </w:r>
      <w:r w:rsidRPr="474FE90C">
        <w:rPr>
          <w:rFonts w:cs="Times New Roman"/>
          <w:lang w:val="en-US"/>
        </w:rPr>
        <w:t>400</w:t>
      </w:r>
      <w:r w:rsidR="00E05B28">
        <w:rPr>
          <w:rFonts w:cs="Times New Roman"/>
          <w:lang w:val="en-US"/>
        </w:rPr>
        <w:t> </w:t>
      </w:r>
      <w:r w:rsidRPr="474FE90C">
        <w:rPr>
          <w:rFonts w:cs="Times New Roman"/>
          <w:lang w:val="en-US"/>
        </w:rPr>
        <w:t xml:space="preserve">mg group achieved a </w:t>
      </w:r>
      <w:r w:rsidR="00434F97" w:rsidRPr="474FE90C">
        <w:rPr>
          <w:rFonts w:cs="Times New Roman"/>
          <w:lang w:val="en-US"/>
        </w:rPr>
        <w:t>≥</w:t>
      </w:r>
      <w:r w:rsidRPr="474FE90C">
        <w:rPr>
          <w:rFonts w:cs="Times New Roman"/>
          <w:lang w:val="en-US"/>
        </w:rPr>
        <w:t>35% reduction from baseline in spleen volume regardless of the presence or absence of the JAK2</w:t>
      </w:r>
      <w:r w:rsidRPr="00F64694">
        <w:rPr>
          <w:rFonts w:cs="Times New Roman"/>
          <w:vertAlign w:val="superscript"/>
          <w:lang w:val="en-US"/>
        </w:rPr>
        <w:t>V617F</w:t>
      </w:r>
      <w:r w:rsidRPr="474FE90C">
        <w:rPr>
          <w:rFonts w:cs="Times New Roman"/>
          <w:lang w:val="en-US"/>
        </w:rPr>
        <w:t xml:space="preserve"> mutation.</w:t>
      </w:r>
      <w:r w:rsidR="00712EA1">
        <w:rPr>
          <w:rFonts w:cs="Times New Roman"/>
          <w:lang w:val="en-US"/>
        </w:rPr>
        <w:t xml:space="preserve"> </w:t>
      </w:r>
    </w:p>
    <w:p w14:paraId="3A09B0A1" w14:textId="60FC137E" w:rsidR="00DB3A5A" w:rsidRPr="00DB3A5A" w:rsidRDefault="00DB3A5A" w:rsidP="00DB3A5A">
      <w:pPr>
        <w:rPr>
          <w:rFonts w:cs="Times New Roman"/>
          <w:lang w:val="en-US"/>
        </w:rPr>
      </w:pPr>
      <w:r w:rsidRPr="00DB3A5A">
        <w:rPr>
          <w:rFonts w:cs="Times New Roman"/>
          <w:lang w:val="en-US"/>
        </w:rPr>
        <w:t>Based on Kaplan-Meier estimates, the median duration of spleen response was 18.2</w:t>
      </w:r>
      <w:r w:rsidR="0003013F">
        <w:rPr>
          <w:rFonts w:cs="Times New Roman"/>
          <w:lang w:val="en-US"/>
        </w:rPr>
        <w:t> </w:t>
      </w:r>
      <w:r w:rsidRPr="00DB3A5A">
        <w:rPr>
          <w:rFonts w:cs="Times New Roman"/>
          <w:lang w:val="en-US"/>
        </w:rPr>
        <w:t>months for the</w:t>
      </w:r>
      <w:r>
        <w:rPr>
          <w:rFonts w:cs="Times New Roman"/>
          <w:lang w:val="en-US"/>
        </w:rPr>
        <w:t xml:space="preserve"> </w:t>
      </w:r>
      <w:r w:rsidR="006E26DA">
        <w:rPr>
          <w:rFonts w:cs="Times New Roman"/>
          <w:lang w:val="en-US"/>
        </w:rPr>
        <w:t>INREBIC</w:t>
      </w:r>
      <w:r w:rsidRPr="00DB3A5A">
        <w:rPr>
          <w:rFonts w:cs="Times New Roman"/>
          <w:lang w:val="en-US"/>
        </w:rPr>
        <w:t xml:space="preserve"> 400</w:t>
      </w:r>
      <w:r w:rsidR="0003013F">
        <w:rPr>
          <w:rFonts w:cs="Times New Roman"/>
          <w:lang w:val="en-US"/>
        </w:rPr>
        <w:t> </w:t>
      </w:r>
      <w:r w:rsidRPr="00DB3A5A">
        <w:rPr>
          <w:rFonts w:cs="Times New Roman"/>
          <w:lang w:val="en-US"/>
        </w:rPr>
        <w:t>mg group.</w:t>
      </w:r>
    </w:p>
    <w:p w14:paraId="7817D12E" w14:textId="1A1173CB" w:rsidR="00DB3A5A" w:rsidRPr="00DB3A5A" w:rsidRDefault="00DB3A5A" w:rsidP="00DB3A5A">
      <w:pPr>
        <w:rPr>
          <w:rFonts w:cs="Times New Roman"/>
          <w:lang w:val="en-US"/>
        </w:rPr>
      </w:pPr>
      <w:r w:rsidRPr="00DB3A5A">
        <w:rPr>
          <w:rFonts w:cs="Times New Roman"/>
          <w:lang w:val="en-US"/>
        </w:rPr>
        <w:t>The modified MFSAF included 6 key MF-associated symptoms: night sweats, itching, abdominal</w:t>
      </w:r>
      <w:r>
        <w:rPr>
          <w:rFonts w:cs="Times New Roman"/>
          <w:lang w:val="en-US"/>
        </w:rPr>
        <w:t xml:space="preserve"> </w:t>
      </w:r>
      <w:r w:rsidRPr="00DB3A5A">
        <w:rPr>
          <w:rFonts w:cs="Times New Roman"/>
          <w:lang w:val="en-US"/>
        </w:rPr>
        <w:t>discomfort, early satiety, pain under ribs on left side, and bone or muscle pain. The symptoms were</w:t>
      </w:r>
      <w:r>
        <w:rPr>
          <w:rFonts w:cs="Times New Roman"/>
          <w:lang w:val="en-US"/>
        </w:rPr>
        <w:t xml:space="preserve"> </w:t>
      </w:r>
      <w:r w:rsidRPr="00DB3A5A">
        <w:rPr>
          <w:rFonts w:cs="Times New Roman"/>
          <w:lang w:val="en-US"/>
        </w:rPr>
        <w:t>measured on a scale from 0 (absent) to 10 (worst imaginable).</w:t>
      </w:r>
    </w:p>
    <w:p w14:paraId="51F87A21" w14:textId="1950A7D9" w:rsidR="00F01F58" w:rsidRDefault="00DB3A5A" w:rsidP="00DB3A5A">
      <w:pPr>
        <w:rPr>
          <w:rFonts w:cs="Times New Roman"/>
          <w:lang w:val="en-US"/>
        </w:rPr>
      </w:pPr>
      <w:r w:rsidRPr="00DB3A5A">
        <w:rPr>
          <w:rFonts w:cs="Times New Roman"/>
          <w:lang w:val="en-US"/>
        </w:rPr>
        <w:t xml:space="preserve">The </w:t>
      </w:r>
      <w:r w:rsidR="00005446">
        <w:rPr>
          <w:rFonts w:cs="Times New Roman"/>
          <w:lang w:val="en-US"/>
        </w:rPr>
        <w:t>percentage</w:t>
      </w:r>
      <w:r w:rsidRPr="00DB3A5A">
        <w:rPr>
          <w:rFonts w:cs="Times New Roman"/>
          <w:lang w:val="en-US"/>
        </w:rPr>
        <w:t xml:space="preserve"> of patients with a </w:t>
      </w:r>
      <w:r w:rsidR="008A1DE4">
        <w:rPr>
          <w:rFonts w:cs="Times New Roman"/>
          <w:lang w:val="en-US"/>
        </w:rPr>
        <w:t>≥</w:t>
      </w:r>
      <w:r w:rsidRPr="00DB3A5A">
        <w:rPr>
          <w:rFonts w:cs="Times New Roman"/>
          <w:lang w:val="en-US"/>
        </w:rPr>
        <w:t xml:space="preserve">50% reduction in TSS </w:t>
      </w:r>
      <w:r w:rsidR="008F5FEF">
        <w:rPr>
          <w:rFonts w:cs="Times New Roman"/>
          <w:lang w:val="en-US"/>
        </w:rPr>
        <w:t xml:space="preserve">at the </w:t>
      </w:r>
      <w:r w:rsidR="00BA3EA8">
        <w:rPr>
          <w:rFonts w:cs="Times New Roman"/>
          <w:lang w:val="en-US"/>
        </w:rPr>
        <w:t>EOC6</w:t>
      </w:r>
      <w:r w:rsidRPr="00DB3A5A">
        <w:rPr>
          <w:rFonts w:cs="Times New Roman"/>
          <w:lang w:val="en-US"/>
        </w:rPr>
        <w:t xml:space="preserve"> was 40.4% </w:t>
      </w:r>
      <w:r w:rsidR="00DA1F25">
        <w:t xml:space="preserve">(36/89, 95% CI: 30.3%, 50.6%) </w:t>
      </w:r>
      <w:r w:rsidRPr="00DB3A5A">
        <w:rPr>
          <w:rFonts w:cs="Times New Roman"/>
          <w:lang w:val="en-US"/>
        </w:rPr>
        <w:t xml:space="preserve">in the </w:t>
      </w:r>
      <w:r w:rsidR="00827C86">
        <w:rPr>
          <w:rFonts w:cs="Times New Roman"/>
          <w:lang w:val="en-US"/>
        </w:rPr>
        <w:t xml:space="preserve">INREBIC </w:t>
      </w:r>
      <w:r w:rsidRPr="00DB3A5A">
        <w:rPr>
          <w:rFonts w:cs="Times New Roman"/>
          <w:lang w:val="en-US"/>
        </w:rPr>
        <w:t>400</w:t>
      </w:r>
      <w:r w:rsidR="00A77782">
        <w:rPr>
          <w:rFonts w:cs="Times New Roman"/>
          <w:lang w:val="en-US"/>
        </w:rPr>
        <w:t> </w:t>
      </w:r>
      <w:r w:rsidRPr="00DB3A5A">
        <w:rPr>
          <w:rFonts w:cs="Times New Roman"/>
          <w:lang w:val="en-US"/>
        </w:rPr>
        <w:t>mg arm and 8.6%</w:t>
      </w:r>
      <w:r w:rsidR="00FB11BF">
        <w:rPr>
          <w:rFonts w:cs="Times New Roman"/>
          <w:lang w:val="en-US"/>
        </w:rPr>
        <w:t xml:space="preserve"> </w:t>
      </w:r>
      <w:r w:rsidR="00FB11BF">
        <w:t>(7/81, 95% CI: 2.5%, 14.8%)</w:t>
      </w:r>
      <w:r w:rsidRPr="00DB3A5A">
        <w:rPr>
          <w:rFonts w:cs="Times New Roman"/>
          <w:lang w:val="en-US"/>
        </w:rPr>
        <w:t xml:space="preserve"> in the placebo arm.</w:t>
      </w:r>
    </w:p>
    <w:p w14:paraId="13F7193F" w14:textId="450E320E" w:rsidR="00EB25FE" w:rsidRDefault="00EB25FE" w:rsidP="00EB25FE">
      <w:pPr>
        <w:rPr>
          <w:rFonts w:cs="Times New Roman"/>
          <w:b/>
          <w:bCs/>
          <w:lang w:val="en-US"/>
        </w:rPr>
      </w:pPr>
      <w:r w:rsidRPr="00EB25FE">
        <w:rPr>
          <w:rFonts w:cs="Times New Roman"/>
          <w:b/>
          <w:bCs/>
          <w:lang w:val="en-US"/>
        </w:rPr>
        <w:t xml:space="preserve">Patients </w:t>
      </w:r>
      <w:r w:rsidR="000F50BC">
        <w:rPr>
          <w:rFonts w:cs="Times New Roman"/>
          <w:b/>
          <w:bCs/>
          <w:lang w:val="en-US"/>
        </w:rPr>
        <w:t>who have been treated with</w:t>
      </w:r>
      <w:r w:rsidRPr="00EB25FE">
        <w:rPr>
          <w:rFonts w:cs="Times New Roman"/>
          <w:b/>
          <w:bCs/>
          <w:lang w:val="en-US"/>
        </w:rPr>
        <w:t xml:space="preserve"> </w:t>
      </w:r>
      <w:proofErr w:type="spellStart"/>
      <w:r w:rsidR="000F50BC">
        <w:rPr>
          <w:rFonts w:cs="Times New Roman"/>
          <w:b/>
          <w:bCs/>
          <w:lang w:val="en-US"/>
        </w:rPr>
        <w:t>r</w:t>
      </w:r>
      <w:r w:rsidRPr="00EB25FE">
        <w:rPr>
          <w:rFonts w:cs="Times New Roman"/>
          <w:b/>
          <w:bCs/>
          <w:lang w:val="en-US"/>
        </w:rPr>
        <w:t>uxolitinib</w:t>
      </w:r>
      <w:proofErr w:type="spellEnd"/>
    </w:p>
    <w:p w14:paraId="266849EA" w14:textId="47A83826" w:rsidR="00D423F1" w:rsidRPr="00203F51" w:rsidRDefault="00D423F1" w:rsidP="001C2844">
      <w:pPr>
        <w:rPr>
          <w:rFonts w:cs="Times New Roman"/>
          <w:lang w:val="en-US"/>
        </w:rPr>
      </w:pPr>
      <w:r w:rsidRPr="00BB19D9">
        <w:rPr>
          <w:rFonts w:cs="Times New Roman"/>
          <w:lang w:val="en-US"/>
        </w:rPr>
        <w:t xml:space="preserve">FREEDOM2 is an ongoing Phase 3, </w:t>
      </w:r>
      <w:proofErr w:type="spellStart"/>
      <w:r w:rsidRPr="00BB19D9">
        <w:rPr>
          <w:rFonts w:cs="Times New Roman"/>
          <w:lang w:val="en-US"/>
        </w:rPr>
        <w:t>multicentre</w:t>
      </w:r>
      <w:proofErr w:type="spellEnd"/>
      <w:r w:rsidRPr="00BB19D9">
        <w:rPr>
          <w:rFonts w:cs="Times New Roman"/>
          <w:lang w:val="en-US"/>
        </w:rPr>
        <w:t xml:space="preserve">, open-label, </w:t>
      </w:r>
      <w:proofErr w:type="spellStart"/>
      <w:r w:rsidRPr="00BB19D9">
        <w:rPr>
          <w:rFonts w:cs="Times New Roman"/>
          <w:lang w:val="en-US"/>
        </w:rPr>
        <w:t>randomised</w:t>
      </w:r>
      <w:proofErr w:type="spellEnd"/>
      <w:r w:rsidRPr="00BB19D9">
        <w:rPr>
          <w:rFonts w:cs="Times New Roman"/>
          <w:lang w:val="en-US"/>
        </w:rPr>
        <w:t xml:space="preserve"> study in patients with DIPSS-intermediate or high-risk primary myelofibrosis, post-</w:t>
      </w:r>
      <w:proofErr w:type="spellStart"/>
      <w:r w:rsidRPr="00BB19D9">
        <w:rPr>
          <w:rFonts w:cs="Times New Roman"/>
          <w:lang w:val="en-US"/>
        </w:rPr>
        <w:t>polycythaemia</w:t>
      </w:r>
      <w:proofErr w:type="spellEnd"/>
      <w:r w:rsidRPr="00BB19D9">
        <w:rPr>
          <w:rFonts w:cs="Times New Roman"/>
          <w:lang w:val="en-US"/>
        </w:rPr>
        <w:t xml:space="preserve"> vera myelofibrosis, or post-essential thrombocythemia myelofibrosis and previously treated with </w:t>
      </w:r>
      <w:proofErr w:type="spellStart"/>
      <w:r w:rsidRPr="00BB19D9">
        <w:rPr>
          <w:rFonts w:cs="Times New Roman"/>
          <w:lang w:val="en-US"/>
        </w:rPr>
        <w:t>ruxolitinib</w:t>
      </w:r>
      <w:proofErr w:type="spellEnd"/>
      <w:r w:rsidRPr="00BB19D9">
        <w:rPr>
          <w:rFonts w:cs="Times New Roman"/>
          <w:lang w:val="en-US"/>
        </w:rPr>
        <w:t>. Patients had splenomegaly, platelet count ≥ 50</w:t>
      </w:r>
      <w:r w:rsidRPr="00BB19D9">
        <w:rPr>
          <w:rFonts w:cs="Times New Roman" w:hint="eastAsia"/>
          <w:lang w:val="en-US"/>
        </w:rPr>
        <w:t>×</w:t>
      </w:r>
      <w:r w:rsidRPr="00BB19D9">
        <w:rPr>
          <w:rFonts w:cs="Times New Roman"/>
          <w:lang w:val="en-US"/>
        </w:rPr>
        <w:t>10</w:t>
      </w:r>
      <w:r w:rsidRPr="0040733F">
        <w:rPr>
          <w:rStyle w:val="BMSSuperscript"/>
        </w:rPr>
        <w:t>9</w:t>
      </w:r>
      <w:r w:rsidRPr="00BB19D9">
        <w:rPr>
          <w:rFonts w:cs="Times New Roman"/>
          <w:lang w:val="en-US"/>
        </w:rPr>
        <w:t xml:space="preserve">/L and were relapsed or refractory to prior </w:t>
      </w:r>
      <w:proofErr w:type="spellStart"/>
      <w:r w:rsidRPr="00BB19D9">
        <w:rPr>
          <w:rFonts w:cs="Times New Roman"/>
          <w:lang w:val="en-US"/>
        </w:rPr>
        <w:t>ruxolitinib</w:t>
      </w:r>
      <w:proofErr w:type="spellEnd"/>
      <w:r w:rsidRPr="00BB19D9">
        <w:rPr>
          <w:rFonts w:cs="Times New Roman"/>
          <w:lang w:val="en-US"/>
        </w:rPr>
        <w:t xml:space="preserve"> treatment or intolerant to </w:t>
      </w:r>
      <w:proofErr w:type="spellStart"/>
      <w:r w:rsidRPr="00BB19D9">
        <w:rPr>
          <w:rFonts w:cs="Times New Roman"/>
          <w:lang w:val="en-US"/>
        </w:rPr>
        <w:t>ruxolitinib</w:t>
      </w:r>
      <w:proofErr w:type="spellEnd"/>
      <w:r w:rsidR="00782181">
        <w:rPr>
          <w:rFonts w:cs="Times New Roman"/>
          <w:lang w:val="en-US"/>
        </w:rPr>
        <w:t>.</w:t>
      </w:r>
      <w:r w:rsidR="00D376C5">
        <w:rPr>
          <w:rFonts w:cs="Times New Roman"/>
          <w:lang w:val="en-US"/>
        </w:rPr>
        <w:t xml:space="preserve"> </w:t>
      </w:r>
      <w:r w:rsidRPr="00BB19D9">
        <w:rPr>
          <w:rFonts w:cs="Times New Roman"/>
          <w:lang w:val="en-US"/>
        </w:rPr>
        <w:t xml:space="preserve">A total of 201 patients were </w:t>
      </w:r>
      <w:proofErr w:type="spellStart"/>
      <w:r w:rsidRPr="00BB19D9">
        <w:rPr>
          <w:rFonts w:cs="Times New Roman"/>
          <w:lang w:val="en-US"/>
        </w:rPr>
        <w:t>randomised</w:t>
      </w:r>
      <w:proofErr w:type="spellEnd"/>
      <w:r w:rsidRPr="00203F51">
        <w:rPr>
          <w:rFonts w:cs="Times New Roman"/>
          <w:lang w:val="en-US"/>
        </w:rPr>
        <w:t xml:space="preserve"> to receive either</w:t>
      </w:r>
      <w:r w:rsidRPr="00BB19D9">
        <w:rPr>
          <w:rFonts w:cs="Times New Roman"/>
          <w:lang w:val="en-US"/>
        </w:rPr>
        <w:t xml:space="preserve"> </w:t>
      </w:r>
      <w:proofErr w:type="spellStart"/>
      <w:r w:rsidRPr="00BB19D9">
        <w:rPr>
          <w:rFonts w:cs="Times New Roman"/>
          <w:lang w:val="en-US"/>
        </w:rPr>
        <w:t>fedratinib</w:t>
      </w:r>
      <w:proofErr w:type="spellEnd"/>
      <w:r w:rsidRPr="00BB19D9">
        <w:rPr>
          <w:rFonts w:cs="Times New Roman"/>
          <w:lang w:val="en-US"/>
        </w:rPr>
        <w:t xml:space="preserve"> </w:t>
      </w:r>
      <w:r w:rsidRPr="00203F51">
        <w:rPr>
          <w:rFonts w:cs="Times New Roman"/>
          <w:lang w:val="en-US"/>
        </w:rPr>
        <w:t xml:space="preserve">400 mg (n=134) or </w:t>
      </w:r>
      <w:r w:rsidRPr="00BB19D9">
        <w:rPr>
          <w:rFonts w:cs="Times New Roman"/>
          <w:lang w:val="en-US"/>
        </w:rPr>
        <w:t>investigator-selected best available therapy (BAT</w:t>
      </w:r>
      <w:r w:rsidRPr="00203F51">
        <w:rPr>
          <w:rFonts w:cs="Times New Roman"/>
          <w:lang w:val="en-US"/>
        </w:rPr>
        <w:t>, n=67</w:t>
      </w:r>
      <w:r w:rsidRPr="00BB19D9">
        <w:rPr>
          <w:rFonts w:cs="Times New Roman"/>
          <w:lang w:val="en-US"/>
        </w:rPr>
        <w:t xml:space="preserve">), including </w:t>
      </w:r>
      <w:proofErr w:type="spellStart"/>
      <w:r w:rsidRPr="00BB19D9">
        <w:rPr>
          <w:rFonts w:cs="Times New Roman"/>
          <w:lang w:val="en-US"/>
        </w:rPr>
        <w:t>ruxolitinib</w:t>
      </w:r>
      <w:proofErr w:type="spellEnd"/>
      <w:r w:rsidRPr="00BB19D9">
        <w:rPr>
          <w:rFonts w:cs="Times New Roman"/>
          <w:lang w:val="en-US"/>
        </w:rPr>
        <w:t xml:space="preserve"> or other approved JAK inhibitors, in repeated 28-day treatment cycles. The most frequent BAT was </w:t>
      </w:r>
      <w:proofErr w:type="spellStart"/>
      <w:r w:rsidRPr="00BB19D9">
        <w:rPr>
          <w:rFonts w:cs="Times New Roman"/>
          <w:lang w:val="en-US"/>
        </w:rPr>
        <w:t>ruxolitinib</w:t>
      </w:r>
      <w:proofErr w:type="spellEnd"/>
      <w:r w:rsidRPr="00BB19D9">
        <w:rPr>
          <w:rFonts w:cs="Times New Roman"/>
          <w:lang w:val="en-US"/>
        </w:rPr>
        <w:t xml:space="preserve"> which was reported for 77.6% </w:t>
      </w:r>
      <w:proofErr w:type="gramStart"/>
      <w:r w:rsidRPr="00BB19D9">
        <w:rPr>
          <w:rFonts w:cs="Times New Roman"/>
          <w:lang w:val="en-US"/>
        </w:rPr>
        <w:t>subjects</w:t>
      </w:r>
      <w:proofErr w:type="gramEnd"/>
      <w:r w:rsidRPr="00BB19D9">
        <w:rPr>
          <w:rFonts w:cs="Times New Roman"/>
          <w:lang w:val="en-US"/>
        </w:rPr>
        <w:t xml:space="preserve"> of the BAT group. The median age was 70</w:t>
      </w:r>
      <w:r w:rsidR="0040733F">
        <w:rPr>
          <w:rFonts w:cs="Times New Roman"/>
          <w:lang w:val="en-US"/>
        </w:rPr>
        <w:t> </w:t>
      </w:r>
      <w:r w:rsidRPr="00BB19D9">
        <w:rPr>
          <w:rFonts w:cs="Times New Roman"/>
          <w:lang w:val="en-US"/>
        </w:rPr>
        <w:t>years (range 38 to 91 years), 70% of patients were older than 65</w:t>
      </w:r>
      <w:r w:rsidR="0040733F">
        <w:rPr>
          <w:rFonts w:cs="Times New Roman"/>
          <w:lang w:val="en-US"/>
        </w:rPr>
        <w:t> </w:t>
      </w:r>
      <w:r w:rsidRPr="00BB19D9">
        <w:rPr>
          <w:rFonts w:cs="Times New Roman"/>
          <w:lang w:val="en-US"/>
        </w:rPr>
        <w:t xml:space="preserve">years, and 52% were male. The median (Q1, Q3) treatment duration until the cut-off date was 43.0 (19.0, 75.1) weeks in the </w:t>
      </w:r>
      <w:proofErr w:type="spellStart"/>
      <w:r w:rsidRPr="00BB19D9">
        <w:rPr>
          <w:rFonts w:cs="Times New Roman"/>
          <w:lang w:val="en-US"/>
        </w:rPr>
        <w:t>fedratinib</w:t>
      </w:r>
      <w:proofErr w:type="spellEnd"/>
      <w:r w:rsidRPr="00BB19D9">
        <w:rPr>
          <w:rFonts w:cs="Times New Roman"/>
          <w:lang w:val="en-US"/>
        </w:rPr>
        <w:t xml:space="preserve"> group and 24.7 weeks </w:t>
      </w:r>
      <w:r w:rsidR="0040733F" w:rsidRPr="00BB19D9">
        <w:rPr>
          <w:rFonts w:cs="Times New Roman"/>
          <w:lang w:val="en-US"/>
        </w:rPr>
        <w:t xml:space="preserve">(22.6, 26.7) </w:t>
      </w:r>
      <w:r w:rsidRPr="00BB19D9">
        <w:rPr>
          <w:rFonts w:cs="Times New Roman"/>
          <w:lang w:val="en-US"/>
        </w:rPr>
        <w:t>in the BAT group.</w:t>
      </w:r>
      <w:r w:rsidR="00501853">
        <w:rPr>
          <w:rFonts w:cs="Times New Roman"/>
          <w:lang w:val="en-US"/>
        </w:rPr>
        <w:t xml:space="preserve"> </w:t>
      </w:r>
      <w:r w:rsidRPr="00203F51">
        <w:rPr>
          <w:rFonts w:cs="Times New Roman"/>
          <w:lang w:val="en-US"/>
        </w:rPr>
        <w:t>Fifty-five percent (5</w:t>
      </w:r>
      <w:r w:rsidR="00AC1BA5">
        <w:rPr>
          <w:rFonts w:cs="Times New Roman"/>
          <w:lang w:val="en-US"/>
        </w:rPr>
        <w:t>5</w:t>
      </w:r>
      <w:r w:rsidRPr="00203F51">
        <w:rPr>
          <w:rFonts w:cs="Times New Roman"/>
          <w:lang w:val="en-US"/>
        </w:rPr>
        <w:t>%) of patients had primary MF, 2</w:t>
      </w:r>
      <w:r w:rsidR="00AC1BA5">
        <w:rPr>
          <w:rFonts w:cs="Times New Roman"/>
          <w:lang w:val="en-US"/>
        </w:rPr>
        <w:t>7</w:t>
      </w:r>
      <w:r w:rsidRPr="00203F51">
        <w:rPr>
          <w:rFonts w:cs="Times New Roman"/>
          <w:lang w:val="en-US"/>
        </w:rPr>
        <w:t>% had post-</w:t>
      </w:r>
      <w:proofErr w:type="spellStart"/>
      <w:r w:rsidRPr="00203F51">
        <w:rPr>
          <w:rFonts w:cs="Times New Roman"/>
          <w:lang w:val="en-US"/>
        </w:rPr>
        <w:t>polycythaemia</w:t>
      </w:r>
      <w:proofErr w:type="spellEnd"/>
      <w:r w:rsidRPr="00203F51">
        <w:rPr>
          <w:rFonts w:cs="Times New Roman"/>
          <w:lang w:val="en-US"/>
        </w:rPr>
        <w:t xml:space="preserve"> vera MF, and 18% had post-essential thrombocythemia MF. Seventy-six percent (76%) of patients had intermediate-2 risk and 2</w:t>
      </w:r>
      <w:r w:rsidR="00AC1BA5">
        <w:rPr>
          <w:rFonts w:cs="Times New Roman"/>
          <w:lang w:val="en-US"/>
        </w:rPr>
        <w:t>3</w:t>
      </w:r>
      <w:r w:rsidRPr="00203F51">
        <w:rPr>
          <w:rFonts w:cs="Times New Roman"/>
          <w:lang w:val="en-US"/>
        </w:rPr>
        <w:t>% had high-risk disease.</w:t>
      </w:r>
      <w:r w:rsidR="00501853" w:rsidRPr="00203F51">
        <w:rPr>
          <w:rFonts w:cs="Times New Roman"/>
          <w:lang w:val="en-US"/>
        </w:rPr>
        <w:t xml:space="preserve"> </w:t>
      </w:r>
      <w:r w:rsidR="002A12B7">
        <w:rPr>
          <w:rFonts w:cs="Times New Roman"/>
          <w:lang w:val="en-US"/>
        </w:rPr>
        <w:t xml:space="preserve">Twenty </w:t>
      </w:r>
      <w:r w:rsidR="00925947">
        <w:rPr>
          <w:rFonts w:cs="Times New Roman"/>
          <w:lang w:val="en-US"/>
        </w:rPr>
        <w:t>percent (</w:t>
      </w:r>
      <w:r w:rsidR="00AC1BA5">
        <w:rPr>
          <w:rFonts w:cs="Times New Roman"/>
          <w:lang w:val="en-US"/>
        </w:rPr>
        <w:t>20</w:t>
      </w:r>
      <w:r w:rsidR="00925947">
        <w:rPr>
          <w:rFonts w:cs="Times New Roman"/>
          <w:lang w:val="en-US"/>
        </w:rPr>
        <w:t xml:space="preserve">%) of patients were RBC transfusion dependent. </w:t>
      </w:r>
      <w:r w:rsidRPr="00203F51">
        <w:rPr>
          <w:rFonts w:cs="Times New Roman"/>
          <w:lang w:val="en-US"/>
        </w:rPr>
        <w:t xml:space="preserve">The median </w:t>
      </w:r>
      <w:proofErr w:type="spellStart"/>
      <w:r w:rsidRPr="00203F51">
        <w:rPr>
          <w:rFonts w:cs="Times New Roman"/>
          <w:lang w:val="en-US"/>
        </w:rPr>
        <w:t>haemoglobin</w:t>
      </w:r>
      <w:proofErr w:type="spellEnd"/>
      <w:r w:rsidRPr="00203F51">
        <w:rPr>
          <w:rFonts w:cs="Times New Roman"/>
          <w:lang w:val="en-US"/>
        </w:rPr>
        <w:t xml:space="preserve"> count at baseline was 9.3</w:t>
      </w:r>
      <w:r w:rsidR="0040733F">
        <w:rPr>
          <w:rFonts w:cs="Times New Roman"/>
          <w:lang w:val="en-US"/>
        </w:rPr>
        <w:t> </w:t>
      </w:r>
      <w:r w:rsidRPr="00203F51">
        <w:rPr>
          <w:rFonts w:cs="Times New Roman"/>
          <w:lang w:val="en-US"/>
        </w:rPr>
        <w:t>g/dL (range 5.</w:t>
      </w:r>
      <w:r w:rsidR="005E38F1">
        <w:rPr>
          <w:rFonts w:cs="Times New Roman"/>
          <w:lang w:val="en-US"/>
        </w:rPr>
        <w:t>7</w:t>
      </w:r>
      <w:r w:rsidRPr="00203F51">
        <w:rPr>
          <w:rFonts w:cs="Times New Roman"/>
          <w:lang w:val="en-US"/>
        </w:rPr>
        <w:t xml:space="preserve"> to 14.4</w:t>
      </w:r>
      <w:r w:rsidR="0040733F">
        <w:rPr>
          <w:rFonts w:cs="Times New Roman"/>
          <w:lang w:val="en-US"/>
        </w:rPr>
        <w:t> </w:t>
      </w:r>
      <w:r w:rsidRPr="00203F51">
        <w:rPr>
          <w:rFonts w:cs="Times New Roman"/>
          <w:lang w:val="en-US"/>
        </w:rPr>
        <w:t>g/dL).</w:t>
      </w:r>
      <w:r w:rsidR="00501853" w:rsidRPr="00203F51">
        <w:rPr>
          <w:rFonts w:cs="Times New Roman"/>
          <w:lang w:val="en-US"/>
        </w:rPr>
        <w:t xml:space="preserve"> </w:t>
      </w:r>
      <w:r w:rsidRPr="00203F51">
        <w:rPr>
          <w:rFonts w:cs="Times New Roman"/>
          <w:lang w:val="en-US"/>
        </w:rPr>
        <w:t>The median platelet count was 120 x 10</w:t>
      </w:r>
      <w:r w:rsidR="0040733F" w:rsidRPr="0040733F">
        <w:rPr>
          <w:rStyle w:val="BMSSuperscript"/>
        </w:rPr>
        <w:t>9</w:t>
      </w:r>
      <w:r w:rsidRPr="00203F51">
        <w:rPr>
          <w:rFonts w:cs="Times New Roman"/>
          <w:lang w:val="en-US"/>
        </w:rPr>
        <w:t>/L (range 29 to 1715 x</w:t>
      </w:r>
      <w:r w:rsidR="0040733F">
        <w:rPr>
          <w:rFonts w:cs="Times New Roman"/>
          <w:lang w:val="en-US"/>
        </w:rPr>
        <w:t> </w:t>
      </w:r>
      <w:r w:rsidRPr="00203F51">
        <w:rPr>
          <w:rFonts w:cs="Times New Roman"/>
          <w:lang w:val="en-US"/>
        </w:rPr>
        <w:t>10</w:t>
      </w:r>
      <w:r w:rsidR="0040733F" w:rsidRPr="0040733F">
        <w:rPr>
          <w:rStyle w:val="BMSSuperscript"/>
        </w:rPr>
        <w:t>9</w:t>
      </w:r>
      <w:r w:rsidRPr="00203F51">
        <w:rPr>
          <w:rFonts w:cs="Times New Roman"/>
          <w:lang w:val="en-US"/>
        </w:rPr>
        <w:t xml:space="preserve">/L); 34.3% of </w:t>
      </w:r>
      <w:r w:rsidRPr="2C0321B5">
        <w:rPr>
          <w:rFonts w:cs="Times New Roman"/>
          <w:lang w:val="en-US"/>
        </w:rPr>
        <w:t>patients</w:t>
      </w:r>
      <w:r w:rsidRPr="00203F51">
        <w:rPr>
          <w:rFonts w:cs="Times New Roman"/>
          <w:lang w:val="en-US"/>
        </w:rPr>
        <w:t xml:space="preserve"> had a platelet count &lt; 100 x 1</w:t>
      </w:r>
      <w:r w:rsidR="00203F51" w:rsidRPr="00203F51">
        <w:rPr>
          <w:rFonts w:cs="Times New Roman"/>
          <w:lang w:val="en-US"/>
        </w:rPr>
        <w:t>0</w:t>
      </w:r>
      <w:r w:rsidR="00203F51" w:rsidRPr="0040733F">
        <w:rPr>
          <w:rStyle w:val="BMSSuperscript"/>
        </w:rPr>
        <w:t>9</w:t>
      </w:r>
      <w:r w:rsidRPr="00203F51">
        <w:rPr>
          <w:rFonts w:cs="Times New Roman"/>
          <w:lang w:val="en-US"/>
        </w:rPr>
        <w:t>/L and 61.7% of patients had a platelet count ≥ 100 x 10</w:t>
      </w:r>
      <w:r w:rsidR="0040733F" w:rsidRPr="0040733F">
        <w:rPr>
          <w:rStyle w:val="BMSSuperscript"/>
        </w:rPr>
        <w:t>9</w:t>
      </w:r>
      <w:r w:rsidRPr="00203F51">
        <w:rPr>
          <w:rFonts w:cs="Times New Roman"/>
          <w:lang w:val="en-US"/>
        </w:rPr>
        <w:t xml:space="preserve">/L. Patients had a median palpable spleen length of 16 cm (range 4 to 40 cm) at baseline and a median spleen volume as measured by magnetic resonance imaging (MRI) or computed tomography (CT) of </w:t>
      </w:r>
      <w:r w:rsidRPr="00203F51">
        <w:rPr>
          <w:rFonts w:cs="Times New Roman"/>
          <w:lang w:val="en-US"/>
        </w:rPr>
        <w:lastRenderedPageBreak/>
        <w:t>2678.97</w:t>
      </w:r>
      <w:r w:rsidR="0040733F">
        <w:rPr>
          <w:rFonts w:cs="Times New Roman"/>
          <w:lang w:val="en-US"/>
        </w:rPr>
        <w:t> </w:t>
      </w:r>
      <w:r w:rsidRPr="00203F51">
        <w:rPr>
          <w:rFonts w:cs="Times New Roman"/>
          <w:lang w:val="en-US"/>
        </w:rPr>
        <w:t>mL (range of  383.1 to 8909.4</w:t>
      </w:r>
      <w:r w:rsidR="0040733F">
        <w:rPr>
          <w:rFonts w:cs="Times New Roman"/>
          <w:lang w:val="en-US"/>
        </w:rPr>
        <w:t> </w:t>
      </w:r>
      <w:r w:rsidRPr="00203F51">
        <w:rPr>
          <w:rFonts w:cs="Times New Roman"/>
          <w:lang w:val="en-US"/>
        </w:rPr>
        <w:t>mL) at baseline. (The median normal spleen volume is approximately 215</w:t>
      </w:r>
      <w:r w:rsidR="0040733F">
        <w:rPr>
          <w:rFonts w:cs="Times New Roman"/>
          <w:lang w:val="en-US"/>
        </w:rPr>
        <w:t> </w:t>
      </w:r>
      <w:r w:rsidRPr="00203F51">
        <w:rPr>
          <w:rFonts w:cs="Times New Roman"/>
          <w:lang w:val="en-US"/>
        </w:rPr>
        <w:t xml:space="preserve">mL). </w:t>
      </w:r>
    </w:p>
    <w:p w14:paraId="0243D270" w14:textId="31861017" w:rsidR="00D423F1" w:rsidRPr="00203F51" w:rsidRDefault="00D423F1" w:rsidP="00D423F1">
      <w:pPr>
        <w:rPr>
          <w:rFonts w:cs="Times New Roman"/>
          <w:lang w:val="en-US"/>
        </w:rPr>
      </w:pPr>
      <w:r w:rsidRPr="00203F51">
        <w:rPr>
          <w:rFonts w:cs="Times New Roman"/>
          <w:lang w:val="en-US"/>
        </w:rPr>
        <w:t xml:space="preserve">The primary efficacy endpoint was the proportion of patients achieving a ≥35% reduction in spleen volume from baseline at EOC6. Spleen volume was assessed by MRI/CT scan at screening, end of cycles 3, 6, 12, 18, 24, and at the end of treatment. </w:t>
      </w:r>
    </w:p>
    <w:p w14:paraId="7EECD2E6" w14:textId="7C490ED0" w:rsidR="00D423F1" w:rsidRPr="00203F51" w:rsidRDefault="00D423F1" w:rsidP="00D423F1">
      <w:pPr>
        <w:rPr>
          <w:rFonts w:cs="Times New Roman"/>
          <w:lang w:val="en-US"/>
        </w:rPr>
      </w:pPr>
      <w:r w:rsidRPr="00203F51">
        <w:rPr>
          <w:rFonts w:cs="Times New Roman"/>
          <w:lang w:val="en-US"/>
        </w:rPr>
        <w:t>The key secondary endpoint was the proportion of patients achieving a ≥50% reduction from baseline in total symptom score (TSS) on the Myelofibrosis Symptom Assessment Form (MFSAF) at EOC6.</w:t>
      </w:r>
    </w:p>
    <w:p w14:paraId="32218E58" w14:textId="2FAC0203" w:rsidR="00D423F1" w:rsidRPr="00203F51" w:rsidRDefault="0040733F" w:rsidP="0040733F">
      <w:pPr>
        <w:pStyle w:val="Caption"/>
        <w:rPr>
          <w:rFonts w:cs="Times New Roman"/>
          <w:bCs/>
          <w:lang w:val="en-US"/>
        </w:rPr>
      </w:pPr>
      <w:r>
        <w:t xml:space="preserve">Table </w:t>
      </w:r>
      <w:r>
        <w:fldChar w:fldCharType="begin"/>
      </w:r>
      <w:r>
        <w:instrText xml:space="preserve"> SEQ Table \* ARABIC </w:instrText>
      </w:r>
      <w:r>
        <w:fldChar w:fldCharType="separate"/>
      </w:r>
      <w:r w:rsidR="00196356">
        <w:rPr>
          <w:noProof/>
        </w:rPr>
        <w:t>7</w:t>
      </w:r>
      <w:r>
        <w:fldChar w:fldCharType="end"/>
      </w:r>
      <w:r w:rsidR="00D423F1" w:rsidRPr="00203F51">
        <w:rPr>
          <w:rFonts w:cs="Times New Roman"/>
          <w:bCs/>
          <w:lang w:val="en-US"/>
        </w:rPr>
        <w:t>: Spleen Volume Response Rate at End of Cycle 6 (≥35% Spleen Volume Reduction) by MRI or CT (ITT Population</w:t>
      </w:r>
      <w:r w:rsidR="00F864B3">
        <w:rPr>
          <w:rFonts w:cs="Times New Roman"/>
          <w:bCs/>
          <w:lang w:val="en-US"/>
        </w:rPr>
        <w:t xml:space="preserve"> in </w:t>
      </w:r>
      <w:r w:rsidR="00AB49EB">
        <w:rPr>
          <w:rFonts w:cs="Times New Roman"/>
          <w:bCs/>
          <w:lang w:val="en-US"/>
        </w:rPr>
        <w:t xml:space="preserve">study </w:t>
      </w:r>
      <w:r w:rsidR="00C47204">
        <w:rPr>
          <w:rFonts w:cs="Times New Roman"/>
          <w:bCs/>
          <w:lang w:val="en-US"/>
        </w:rPr>
        <w:t>FREEDOM2</w:t>
      </w:r>
      <w:r w:rsidR="00D423F1" w:rsidRPr="00203F51">
        <w:rPr>
          <w:rFonts w:cs="Times New Roman"/>
          <w:bCs/>
          <w:lang w:val="en-US"/>
        </w:rPr>
        <w:t>)</w:t>
      </w:r>
    </w:p>
    <w:tbl>
      <w:tblPr>
        <w:tblStyle w:val="TableGrid"/>
        <w:tblW w:w="0" w:type="auto"/>
        <w:tblLook w:val="04A0" w:firstRow="1" w:lastRow="0" w:firstColumn="1" w:lastColumn="0" w:noHBand="0" w:noVBand="1"/>
      </w:tblPr>
      <w:tblGrid>
        <w:gridCol w:w="5240"/>
        <w:gridCol w:w="1985"/>
        <w:gridCol w:w="1791"/>
      </w:tblGrid>
      <w:tr w:rsidR="00D423F1" w:rsidRPr="00203F51" w14:paraId="32A804D7" w14:textId="77777777" w:rsidTr="00B257A5">
        <w:trPr>
          <w:tblHeader/>
        </w:trPr>
        <w:tc>
          <w:tcPr>
            <w:tcW w:w="5240" w:type="dxa"/>
            <w:shd w:val="clear" w:color="auto" w:fill="D9D9D9" w:themeFill="background1" w:themeFillShade="D9"/>
          </w:tcPr>
          <w:p w14:paraId="4C5E850F" w14:textId="77777777" w:rsidR="00D423F1" w:rsidRPr="00203F51" w:rsidRDefault="00D423F1" w:rsidP="00B257A5">
            <w:pPr>
              <w:jc w:val="center"/>
              <w:rPr>
                <w:rFonts w:cs="Times New Roman"/>
                <w:b/>
                <w:bCs/>
                <w:lang w:val="en-US"/>
              </w:rPr>
            </w:pPr>
            <w:r w:rsidRPr="00203F51">
              <w:rPr>
                <w:rFonts w:cs="Times New Roman"/>
                <w:b/>
                <w:bCs/>
                <w:lang w:val="en-US"/>
              </w:rPr>
              <w:t>Response</w:t>
            </w:r>
          </w:p>
        </w:tc>
        <w:tc>
          <w:tcPr>
            <w:tcW w:w="1985" w:type="dxa"/>
            <w:shd w:val="clear" w:color="auto" w:fill="D9D9D9" w:themeFill="background1" w:themeFillShade="D9"/>
          </w:tcPr>
          <w:p w14:paraId="6123680A" w14:textId="77777777" w:rsidR="00D423F1" w:rsidRPr="00203F51" w:rsidRDefault="00D423F1" w:rsidP="00B257A5">
            <w:pPr>
              <w:jc w:val="center"/>
              <w:rPr>
                <w:rFonts w:cs="Times New Roman"/>
                <w:b/>
                <w:bCs/>
                <w:lang w:val="en-US"/>
              </w:rPr>
            </w:pPr>
            <w:r w:rsidRPr="00203F51">
              <w:rPr>
                <w:rFonts w:cs="Times New Roman"/>
                <w:b/>
                <w:bCs/>
                <w:lang w:val="en-US"/>
              </w:rPr>
              <w:t>INREBIC 400 mg</w:t>
            </w:r>
          </w:p>
          <w:p w14:paraId="265B2E70" w14:textId="77777777" w:rsidR="00D423F1" w:rsidRPr="00203F51" w:rsidRDefault="00D423F1" w:rsidP="00B257A5">
            <w:pPr>
              <w:jc w:val="center"/>
              <w:rPr>
                <w:rFonts w:cs="Times New Roman"/>
                <w:b/>
                <w:bCs/>
                <w:lang w:val="en-US"/>
              </w:rPr>
            </w:pPr>
            <w:r w:rsidRPr="00203F51">
              <w:rPr>
                <w:rFonts w:cs="Times New Roman"/>
                <w:b/>
                <w:bCs/>
                <w:lang w:val="en-US"/>
              </w:rPr>
              <w:t>N=134</w:t>
            </w:r>
          </w:p>
          <w:p w14:paraId="13113A42" w14:textId="77777777" w:rsidR="00D423F1" w:rsidRPr="00203F51" w:rsidRDefault="00D423F1" w:rsidP="00B257A5">
            <w:pPr>
              <w:jc w:val="center"/>
              <w:rPr>
                <w:rFonts w:cs="Times New Roman"/>
                <w:lang w:val="en-US"/>
              </w:rPr>
            </w:pPr>
            <w:r w:rsidRPr="00203F51">
              <w:rPr>
                <w:rFonts w:cs="Times New Roman"/>
                <w:lang w:val="en-US"/>
              </w:rPr>
              <w:t>n (%)</w:t>
            </w:r>
          </w:p>
        </w:tc>
        <w:tc>
          <w:tcPr>
            <w:tcW w:w="1791" w:type="dxa"/>
            <w:shd w:val="clear" w:color="auto" w:fill="D9D9D9" w:themeFill="background1" w:themeFillShade="D9"/>
          </w:tcPr>
          <w:p w14:paraId="16F4B8F7" w14:textId="77777777" w:rsidR="00D423F1" w:rsidRPr="00203F51" w:rsidRDefault="00D423F1" w:rsidP="00B257A5">
            <w:pPr>
              <w:jc w:val="center"/>
              <w:rPr>
                <w:rFonts w:cs="Times New Roman"/>
                <w:b/>
                <w:bCs/>
                <w:lang w:val="en-US"/>
              </w:rPr>
            </w:pPr>
            <w:r w:rsidRPr="00203F51">
              <w:rPr>
                <w:rFonts w:cs="Times New Roman"/>
                <w:b/>
                <w:bCs/>
                <w:lang w:val="en-US"/>
              </w:rPr>
              <w:t>BAT</w:t>
            </w:r>
          </w:p>
          <w:p w14:paraId="45689E0B" w14:textId="77777777" w:rsidR="00D423F1" w:rsidRPr="00203F51" w:rsidRDefault="00D423F1" w:rsidP="00B257A5">
            <w:pPr>
              <w:jc w:val="center"/>
              <w:rPr>
                <w:rFonts w:cs="Times New Roman"/>
                <w:b/>
                <w:bCs/>
                <w:lang w:val="en-US"/>
              </w:rPr>
            </w:pPr>
            <w:r w:rsidRPr="00203F51">
              <w:rPr>
                <w:rFonts w:cs="Times New Roman"/>
                <w:b/>
                <w:bCs/>
                <w:lang w:val="en-US"/>
              </w:rPr>
              <w:t>N=67</w:t>
            </w:r>
          </w:p>
          <w:p w14:paraId="5983DC51" w14:textId="77777777" w:rsidR="00D423F1" w:rsidRPr="00203F51" w:rsidRDefault="00D423F1" w:rsidP="00B257A5">
            <w:pPr>
              <w:jc w:val="center"/>
              <w:rPr>
                <w:rFonts w:cs="Times New Roman"/>
                <w:lang w:val="en-US"/>
              </w:rPr>
            </w:pPr>
            <w:r w:rsidRPr="00203F51">
              <w:rPr>
                <w:rFonts w:cs="Times New Roman"/>
                <w:lang w:val="en-US"/>
              </w:rPr>
              <w:t>n (%)</w:t>
            </w:r>
          </w:p>
        </w:tc>
      </w:tr>
      <w:tr w:rsidR="00D423F1" w:rsidRPr="00203F51" w14:paraId="3BFC92F3" w14:textId="77777777" w:rsidTr="00B257A5">
        <w:tc>
          <w:tcPr>
            <w:tcW w:w="5240" w:type="dxa"/>
          </w:tcPr>
          <w:p w14:paraId="72CE77C8" w14:textId="6340FBFC" w:rsidR="00D423F1" w:rsidRPr="00203F51" w:rsidRDefault="00D423F1" w:rsidP="00B257A5">
            <w:pPr>
              <w:rPr>
                <w:rFonts w:cs="Times New Roman"/>
                <w:lang w:val="en-US"/>
              </w:rPr>
            </w:pPr>
            <w:r w:rsidRPr="00203F51">
              <w:rPr>
                <w:rFonts w:cs="Times New Roman"/>
                <w:lang w:val="en-US"/>
              </w:rPr>
              <w:t>Subjects with ≥35% reduction in spleen volume at EOC6</w:t>
            </w:r>
            <w:r w:rsidRPr="00203F51">
              <w:rPr>
                <w:rFonts w:cs="Times New Roman"/>
                <w:vertAlign w:val="superscript"/>
                <w:lang w:val="en-US"/>
              </w:rPr>
              <w:t>a</w:t>
            </w:r>
          </w:p>
        </w:tc>
        <w:tc>
          <w:tcPr>
            <w:tcW w:w="1985" w:type="dxa"/>
          </w:tcPr>
          <w:p w14:paraId="75D61F07" w14:textId="77777777" w:rsidR="00D423F1" w:rsidRPr="00203F51" w:rsidRDefault="00D423F1" w:rsidP="00B257A5">
            <w:pPr>
              <w:jc w:val="center"/>
              <w:rPr>
                <w:rFonts w:cs="Times New Roman"/>
                <w:lang w:val="en-US"/>
              </w:rPr>
            </w:pPr>
            <w:r w:rsidRPr="00203F51">
              <w:rPr>
                <w:rFonts w:cs="Times New Roman"/>
                <w:lang w:val="en-US"/>
              </w:rPr>
              <w:t>48 (35.8)</w:t>
            </w:r>
          </w:p>
        </w:tc>
        <w:tc>
          <w:tcPr>
            <w:tcW w:w="1791" w:type="dxa"/>
          </w:tcPr>
          <w:p w14:paraId="3271349F" w14:textId="77777777" w:rsidR="00D423F1" w:rsidRPr="00203F51" w:rsidRDefault="00D423F1" w:rsidP="00B257A5">
            <w:pPr>
              <w:jc w:val="center"/>
              <w:rPr>
                <w:rFonts w:cs="Times New Roman"/>
                <w:lang w:val="en-US"/>
              </w:rPr>
            </w:pPr>
            <w:r w:rsidRPr="00203F51">
              <w:rPr>
                <w:rFonts w:cs="Times New Roman"/>
                <w:lang w:val="en-US"/>
              </w:rPr>
              <w:t>4 (6.0)</w:t>
            </w:r>
          </w:p>
        </w:tc>
      </w:tr>
      <w:tr w:rsidR="00D423F1" w:rsidRPr="00203F51" w14:paraId="1FAB4812" w14:textId="77777777" w:rsidTr="00B257A5">
        <w:tc>
          <w:tcPr>
            <w:tcW w:w="5240" w:type="dxa"/>
          </w:tcPr>
          <w:p w14:paraId="639E504A" w14:textId="77777777" w:rsidR="00D423F1" w:rsidRPr="00203F51" w:rsidRDefault="00D423F1" w:rsidP="00203F51">
            <w:pPr>
              <w:ind w:left="720"/>
              <w:rPr>
                <w:rFonts w:cs="Times New Roman"/>
                <w:lang w:val="en-US"/>
              </w:rPr>
            </w:pPr>
            <w:r w:rsidRPr="00203F51">
              <w:rPr>
                <w:rFonts w:cs="Times New Roman"/>
                <w:lang w:val="en-US"/>
              </w:rPr>
              <w:t xml:space="preserve">95% confidence </w:t>
            </w:r>
            <w:proofErr w:type="spellStart"/>
            <w:r w:rsidRPr="00203F51">
              <w:rPr>
                <w:rFonts w:cs="Times New Roman"/>
                <w:lang w:val="en-US"/>
              </w:rPr>
              <w:t>interval</w:t>
            </w:r>
            <w:r w:rsidRPr="00203F51">
              <w:rPr>
                <w:rFonts w:cs="Times New Roman"/>
                <w:vertAlign w:val="superscript"/>
                <w:lang w:val="en-US"/>
              </w:rPr>
              <w:t>b</w:t>
            </w:r>
            <w:proofErr w:type="spellEnd"/>
          </w:p>
        </w:tc>
        <w:tc>
          <w:tcPr>
            <w:tcW w:w="1985" w:type="dxa"/>
          </w:tcPr>
          <w:p w14:paraId="4B7B02D2" w14:textId="77777777" w:rsidR="00D423F1" w:rsidRPr="00203F51" w:rsidRDefault="00D423F1" w:rsidP="00B257A5">
            <w:pPr>
              <w:jc w:val="center"/>
              <w:rPr>
                <w:rFonts w:cs="Times New Roman"/>
                <w:lang w:val="en-US"/>
              </w:rPr>
            </w:pPr>
            <w:r w:rsidRPr="00203F51">
              <w:rPr>
                <w:rFonts w:cs="Times New Roman"/>
                <w:lang w:val="en-US"/>
              </w:rPr>
              <w:t>27.7, 44.6</w:t>
            </w:r>
          </w:p>
        </w:tc>
        <w:tc>
          <w:tcPr>
            <w:tcW w:w="1791" w:type="dxa"/>
          </w:tcPr>
          <w:p w14:paraId="49280742" w14:textId="77777777" w:rsidR="00D423F1" w:rsidRPr="00203F51" w:rsidRDefault="00D423F1" w:rsidP="00B257A5">
            <w:pPr>
              <w:jc w:val="center"/>
              <w:rPr>
                <w:rFonts w:cs="Times New Roman"/>
                <w:lang w:val="en-US"/>
              </w:rPr>
            </w:pPr>
            <w:r w:rsidRPr="00203F51">
              <w:rPr>
                <w:rFonts w:cs="Times New Roman"/>
                <w:lang w:val="en-US"/>
              </w:rPr>
              <w:t>1.7, 14.6</w:t>
            </w:r>
          </w:p>
        </w:tc>
      </w:tr>
      <w:tr w:rsidR="00D423F1" w:rsidRPr="00203F51" w14:paraId="4241E311" w14:textId="77777777" w:rsidTr="00B257A5">
        <w:tc>
          <w:tcPr>
            <w:tcW w:w="9016" w:type="dxa"/>
            <w:gridSpan w:val="3"/>
          </w:tcPr>
          <w:p w14:paraId="08F88CE5" w14:textId="77777777" w:rsidR="00D423F1" w:rsidRPr="00203F51" w:rsidRDefault="00D423F1" w:rsidP="00B257A5">
            <w:pPr>
              <w:jc w:val="left"/>
              <w:rPr>
                <w:rFonts w:cs="Times New Roman"/>
              </w:rPr>
            </w:pPr>
            <w:r w:rsidRPr="00203F51">
              <w:rPr>
                <w:rFonts w:cs="Times New Roman"/>
                <w:lang w:val="en-US"/>
              </w:rPr>
              <w:t xml:space="preserve">Stratified analysis, based on </w:t>
            </w:r>
            <w:proofErr w:type="spellStart"/>
            <w:r w:rsidRPr="00203F51">
              <w:rPr>
                <w:rFonts w:cs="Times New Roman"/>
                <w:lang w:val="en-US"/>
              </w:rPr>
              <w:t>eCRF</w:t>
            </w:r>
            <w:r w:rsidRPr="00203F51">
              <w:rPr>
                <w:rFonts w:cs="Times New Roman"/>
                <w:vertAlign w:val="superscript"/>
                <w:lang w:val="en-US"/>
              </w:rPr>
              <w:t>c</w:t>
            </w:r>
            <w:proofErr w:type="spellEnd"/>
          </w:p>
        </w:tc>
      </w:tr>
      <w:tr w:rsidR="00D423F1" w:rsidRPr="00203F51" w14:paraId="33773D81" w14:textId="77777777" w:rsidTr="00B257A5">
        <w:tc>
          <w:tcPr>
            <w:tcW w:w="5240" w:type="dxa"/>
          </w:tcPr>
          <w:p w14:paraId="74B0CDA7" w14:textId="77ADBAFE" w:rsidR="00D423F1" w:rsidRPr="00203F51" w:rsidRDefault="00D423F1" w:rsidP="00203F51">
            <w:pPr>
              <w:ind w:left="720"/>
              <w:rPr>
                <w:rFonts w:eastAsia="TimesNewRoman" w:cs="Times New Roman"/>
              </w:rPr>
            </w:pPr>
            <w:r w:rsidRPr="00203F51">
              <w:rPr>
                <w:rFonts w:cs="Times New Roman"/>
                <w:lang w:val="en-US"/>
              </w:rPr>
              <w:t xml:space="preserve">Difference in proportion </w:t>
            </w:r>
          </w:p>
        </w:tc>
        <w:tc>
          <w:tcPr>
            <w:tcW w:w="3776" w:type="dxa"/>
            <w:gridSpan w:val="2"/>
          </w:tcPr>
          <w:p w14:paraId="3DCE6EA3" w14:textId="77777777" w:rsidR="00D423F1" w:rsidRPr="00203F51" w:rsidRDefault="00D423F1" w:rsidP="00B257A5">
            <w:pPr>
              <w:jc w:val="center"/>
              <w:rPr>
                <w:rFonts w:cs="Times New Roman"/>
              </w:rPr>
            </w:pPr>
            <w:r w:rsidRPr="00203F51">
              <w:rPr>
                <w:rFonts w:cs="Times New Roman"/>
                <w:lang w:val="en-US"/>
              </w:rPr>
              <w:t xml:space="preserve">29.6 </w:t>
            </w:r>
          </w:p>
        </w:tc>
      </w:tr>
      <w:tr w:rsidR="00D423F1" w:rsidRPr="00203F51" w14:paraId="0D883E18" w14:textId="77777777" w:rsidTr="00B257A5">
        <w:tc>
          <w:tcPr>
            <w:tcW w:w="5240" w:type="dxa"/>
          </w:tcPr>
          <w:p w14:paraId="007F52FC" w14:textId="77777777" w:rsidR="00D423F1" w:rsidRPr="00203F51" w:rsidRDefault="00D423F1" w:rsidP="00203F51">
            <w:pPr>
              <w:ind w:left="720"/>
              <w:rPr>
                <w:rFonts w:cs="Times New Roman"/>
              </w:rPr>
            </w:pPr>
            <w:r w:rsidRPr="00203F51">
              <w:rPr>
                <w:rFonts w:cs="Times New Roman"/>
                <w:lang w:val="en-US"/>
              </w:rPr>
              <w:t xml:space="preserve">95% </w:t>
            </w:r>
            <w:proofErr w:type="spellStart"/>
            <w:r w:rsidRPr="00203F51">
              <w:rPr>
                <w:rFonts w:cs="Times New Roman"/>
                <w:lang w:val="en-US"/>
              </w:rPr>
              <w:t>CI</w:t>
            </w:r>
            <w:r w:rsidRPr="00203F51">
              <w:rPr>
                <w:rFonts w:cs="Times New Roman"/>
                <w:vertAlign w:val="superscript"/>
                <w:lang w:val="en-US"/>
              </w:rPr>
              <w:t>d</w:t>
            </w:r>
            <w:proofErr w:type="spellEnd"/>
          </w:p>
        </w:tc>
        <w:tc>
          <w:tcPr>
            <w:tcW w:w="3776" w:type="dxa"/>
            <w:gridSpan w:val="2"/>
          </w:tcPr>
          <w:p w14:paraId="2F9F4E36" w14:textId="77777777" w:rsidR="00D423F1" w:rsidRPr="00203F51" w:rsidRDefault="00D423F1" w:rsidP="00B257A5">
            <w:pPr>
              <w:jc w:val="center"/>
              <w:rPr>
                <w:rFonts w:cs="Times New Roman"/>
              </w:rPr>
            </w:pPr>
            <w:r w:rsidRPr="00203F51">
              <w:rPr>
                <w:rFonts w:cs="Times New Roman"/>
                <w:lang w:val="en-US"/>
              </w:rPr>
              <w:t>19.9, 39.4</w:t>
            </w:r>
          </w:p>
        </w:tc>
      </w:tr>
      <w:tr w:rsidR="00D423F1" w:rsidRPr="00203F51" w14:paraId="760E5DB7" w14:textId="77777777" w:rsidTr="00B257A5">
        <w:tc>
          <w:tcPr>
            <w:tcW w:w="5240" w:type="dxa"/>
          </w:tcPr>
          <w:p w14:paraId="3EC2E0D8" w14:textId="77777777" w:rsidR="00D423F1" w:rsidRPr="00203F51" w:rsidRDefault="00D423F1" w:rsidP="00203F51">
            <w:pPr>
              <w:ind w:left="720"/>
              <w:rPr>
                <w:rFonts w:cs="Times New Roman"/>
                <w:lang w:val="en-US"/>
              </w:rPr>
            </w:pPr>
            <w:r w:rsidRPr="00203F51">
              <w:rPr>
                <w:rFonts w:cs="Times New Roman"/>
                <w:lang w:val="en-US"/>
              </w:rPr>
              <w:t>p-value</w:t>
            </w:r>
          </w:p>
        </w:tc>
        <w:tc>
          <w:tcPr>
            <w:tcW w:w="3776" w:type="dxa"/>
            <w:gridSpan w:val="2"/>
          </w:tcPr>
          <w:p w14:paraId="5538908D" w14:textId="77777777" w:rsidR="00D423F1" w:rsidRPr="00203F51" w:rsidRDefault="00D423F1" w:rsidP="00B257A5">
            <w:pPr>
              <w:jc w:val="center"/>
              <w:rPr>
                <w:rFonts w:cs="Times New Roman"/>
                <w:lang w:val="en-US"/>
              </w:rPr>
            </w:pPr>
            <w:r w:rsidRPr="00203F51">
              <w:rPr>
                <w:rFonts w:cs="Times New Roman"/>
                <w:lang w:val="en-US"/>
              </w:rPr>
              <w:t>p&lt;0.0001</w:t>
            </w:r>
          </w:p>
        </w:tc>
      </w:tr>
      <w:tr w:rsidR="00D423F1" w:rsidRPr="00203F51" w14:paraId="27E54B4A" w14:textId="77777777" w:rsidTr="00B257A5">
        <w:tc>
          <w:tcPr>
            <w:tcW w:w="9016" w:type="dxa"/>
            <w:gridSpan w:val="3"/>
          </w:tcPr>
          <w:p w14:paraId="202E3649" w14:textId="77777777" w:rsidR="00D423F1" w:rsidRPr="00203F51" w:rsidRDefault="00D423F1" w:rsidP="00B257A5">
            <w:pPr>
              <w:jc w:val="left"/>
              <w:rPr>
                <w:rFonts w:cs="Times New Roman"/>
                <w:lang w:val="en-US"/>
              </w:rPr>
            </w:pPr>
            <w:r w:rsidRPr="00203F51">
              <w:rPr>
                <w:rFonts w:cs="Times New Roman"/>
                <w:lang w:val="en-US"/>
              </w:rPr>
              <w:t xml:space="preserve">Stratified analysis, based on </w:t>
            </w:r>
            <w:proofErr w:type="spellStart"/>
            <w:r w:rsidRPr="00203F51">
              <w:rPr>
                <w:rFonts w:cs="Times New Roman"/>
                <w:lang w:val="en-US"/>
              </w:rPr>
              <w:t>IRT</w:t>
            </w:r>
            <w:r w:rsidRPr="00203F51">
              <w:rPr>
                <w:rFonts w:cs="Times New Roman"/>
                <w:vertAlign w:val="superscript"/>
                <w:lang w:val="en-US"/>
              </w:rPr>
              <w:t>c</w:t>
            </w:r>
            <w:proofErr w:type="spellEnd"/>
          </w:p>
        </w:tc>
      </w:tr>
      <w:tr w:rsidR="00D423F1" w:rsidRPr="00203F51" w14:paraId="2B5A96BA" w14:textId="77777777" w:rsidTr="00B257A5">
        <w:tc>
          <w:tcPr>
            <w:tcW w:w="5240" w:type="dxa"/>
          </w:tcPr>
          <w:p w14:paraId="22861546" w14:textId="1DFA5514" w:rsidR="00D423F1" w:rsidRPr="00203F51" w:rsidRDefault="00D423F1" w:rsidP="00203F51">
            <w:pPr>
              <w:ind w:left="720"/>
              <w:rPr>
                <w:rFonts w:cs="Times New Roman"/>
              </w:rPr>
            </w:pPr>
            <w:r w:rsidRPr="00203F51">
              <w:rPr>
                <w:rFonts w:cs="Times New Roman"/>
                <w:lang w:val="en-US"/>
              </w:rPr>
              <w:t>Difference in proportion</w:t>
            </w:r>
            <w:r w:rsidR="006F6F2A">
              <w:rPr>
                <w:rFonts w:cs="Times New Roman"/>
                <w:lang w:val="en-US"/>
              </w:rPr>
              <w:t xml:space="preserve"> </w:t>
            </w:r>
          </w:p>
        </w:tc>
        <w:tc>
          <w:tcPr>
            <w:tcW w:w="3776" w:type="dxa"/>
            <w:gridSpan w:val="2"/>
          </w:tcPr>
          <w:p w14:paraId="0CEAEB89" w14:textId="77777777" w:rsidR="00D423F1" w:rsidRPr="00203F51" w:rsidRDefault="00D423F1" w:rsidP="00B257A5">
            <w:pPr>
              <w:jc w:val="center"/>
              <w:rPr>
                <w:rFonts w:cs="Times New Roman"/>
                <w:lang w:val="en-US"/>
              </w:rPr>
            </w:pPr>
            <w:r w:rsidRPr="00203F51">
              <w:rPr>
                <w:rFonts w:cs="Times New Roman"/>
                <w:lang w:val="en-US"/>
              </w:rPr>
              <w:t>29.6</w:t>
            </w:r>
          </w:p>
        </w:tc>
      </w:tr>
      <w:tr w:rsidR="00D423F1" w:rsidRPr="00203F51" w14:paraId="725DBD4C" w14:textId="77777777" w:rsidTr="00B257A5">
        <w:tc>
          <w:tcPr>
            <w:tcW w:w="5240" w:type="dxa"/>
          </w:tcPr>
          <w:p w14:paraId="4D551AA3" w14:textId="77777777" w:rsidR="00D423F1" w:rsidRPr="00203F51" w:rsidRDefault="00D423F1" w:rsidP="00203F51">
            <w:pPr>
              <w:ind w:left="720"/>
              <w:rPr>
                <w:rFonts w:cs="Times New Roman"/>
              </w:rPr>
            </w:pPr>
            <w:r w:rsidRPr="00203F51">
              <w:rPr>
                <w:rFonts w:cs="Times New Roman"/>
                <w:lang w:val="en-US"/>
              </w:rPr>
              <w:t xml:space="preserve">95% </w:t>
            </w:r>
            <w:proofErr w:type="spellStart"/>
            <w:r w:rsidRPr="00203F51">
              <w:rPr>
                <w:rFonts w:cs="Times New Roman"/>
                <w:lang w:val="en-US"/>
              </w:rPr>
              <w:t>CI</w:t>
            </w:r>
            <w:r w:rsidRPr="00203F51">
              <w:rPr>
                <w:rFonts w:cs="Times New Roman"/>
                <w:vertAlign w:val="superscript"/>
                <w:lang w:val="en-US"/>
              </w:rPr>
              <w:t>d</w:t>
            </w:r>
            <w:proofErr w:type="spellEnd"/>
          </w:p>
        </w:tc>
        <w:tc>
          <w:tcPr>
            <w:tcW w:w="3776" w:type="dxa"/>
            <w:gridSpan w:val="2"/>
          </w:tcPr>
          <w:p w14:paraId="54EBBA7A" w14:textId="77777777" w:rsidR="00D423F1" w:rsidRPr="00203F51" w:rsidRDefault="00D423F1" w:rsidP="00B257A5">
            <w:pPr>
              <w:jc w:val="center"/>
              <w:rPr>
                <w:rFonts w:cs="Times New Roman"/>
              </w:rPr>
            </w:pPr>
            <w:r w:rsidRPr="00203F51">
              <w:rPr>
                <w:rFonts w:cs="Times New Roman"/>
                <w:lang w:val="en-US"/>
              </w:rPr>
              <w:t>19.9, 39.3</w:t>
            </w:r>
          </w:p>
        </w:tc>
      </w:tr>
      <w:tr w:rsidR="00D423F1" w:rsidRPr="00203F51" w14:paraId="42EB0123" w14:textId="77777777" w:rsidTr="00B257A5">
        <w:tc>
          <w:tcPr>
            <w:tcW w:w="5240" w:type="dxa"/>
          </w:tcPr>
          <w:p w14:paraId="11340ACB" w14:textId="77777777" w:rsidR="00D423F1" w:rsidRPr="00203F51" w:rsidRDefault="00D423F1" w:rsidP="00203F51">
            <w:pPr>
              <w:ind w:left="720"/>
              <w:rPr>
                <w:rFonts w:cs="Times New Roman"/>
              </w:rPr>
            </w:pPr>
            <w:r w:rsidRPr="00203F51">
              <w:rPr>
                <w:rFonts w:cs="Times New Roman"/>
                <w:lang w:val="en-US"/>
              </w:rPr>
              <w:t>p-value</w:t>
            </w:r>
          </w:p>
        </w:tc>
        <w:tc>
          <w:tcPr>
            <w:tcW w:w="3776" w:type="dxa"/>
            <w:gridSpan w:val="2"/>
          </w:tcPr>
          <w:p w14:paraId="148EBCBB" w14:textId="77777777" w:rsidR="00D423F1" w:rsidRPr="00203F51" w:rsidRDefault="00D423F1" w:rsidP="00B257A5">
            <w:pPr>
              <w:jc w:val="center"/>
              <w:rPr>
                <w:rFonts w:cs="Times New Roman"/>
                <w:lang w:val="en-US"/>
              </w:rPr>
            </w:pPr>
            <w:r w:rsidRPr="00203F51">
              <w:rPr>
                <w:rFonts w:cs="Times New Roman"/>
                <w:lang w:val="en-US"/>
              </w:rPr>
              <w:t>p&lt;0.0001</w:t>
            </w:r>
          </w:p>
        </w:tc>
      </w:tr>
      <w:tr w:rsidR="00D423F1" w:rsidRPr="00203F51" w14:paraId="6C03BD8C" w14:textId="77777777" w:rsidTr="00B257A5">
        <w:tc>
          <w:tcPr>
            <w:tcW w:w="9016" w:type="dxa"/>
            <w:gridSpan w:val="3"/>
          </w:tcPr>
          <w:p w14:paraId="4C978630" w14:textId="77777777" w:rsidR="00D423F1" w:rsidRPr="00203F51" w:rsidRDefault="00D423F1" w:rsidP="00B257A5">
            <w:pPr>
              <w:jc w:val="left"/>
              <w:rPr>
                <w:rFonts w:cs="Times New Roman"/>
                <w:lang w:val="en-US"/>
              </w:rPr>
            </w:pPr>
            <w:r w:rsidRPr="00203F51">
              <w:rPr>
                <w:rFonts w:cs="Times New Roman"/>
                <w:lang w:val="en-US"/>
              </w:rPr>
              <w:t xml:space="preserve">Unstratified </w:t>
            </w:r>
            <w:proofErr w:type="spellStart"/>
            <w:r w:rsidRPr="00203F51">
              <w:rPr>
                <w:rFonts w:cs="Times New Roman"/>
                <w:lang w:val="en-US"/>
              </w:rPr>
              <w:t>analysis</w:t>
            </w:r>
            <w:r w:rsidRPr="00203F51">
              <w:rPr>
                <w:rFonts w:cs="Times New Roman"/>
                <w:vertAlign w:val="superscript"/>
                <w:lang w:val="en-US"/>
              </w:rPr>
              <w:t>e</w:t>
            </w:r>
            <w:proofErr w:type="spellEnd"/>
          </w:p>
        </w:tc>
      </w:tr>
      <w:tr w:rsidR="00D423F1" w:rsidRPr="00203F51" w14:paraId="20850D6B" w14:textId="77777777" w:rsidTr="00B257A5">
        <w:tc>
          <w:tcPr>
            <w:tcW w:w="5240" w:type="dxa"/>
          </w:tcPr>
          <w:p w14:paraId="668B8317" w14:textId="68BCB452" w:rsidR="00D423F1" w:rsidRPr="00203F51" w:rsidRDefault="00D423F1" w:rsidP="00203F51">
            <w:pPr>
              <w:ind w:left="720"/>
              <w:rPr>
                <w:rFonts w:cs="Times New Roman"/>
                <w:lang w:val="en-US"/>
              </w:rPr>
            </w:pPr>
            <w:r w:rsidRPr="00203F51">
              <w:rPr>
                <w:rFonts w:cs="Times New Roman"/>
                <w:lang w:val="en-US"/>
              </w:rPr>
              <w:t>Difference in proportion</w:t>
            </w:r>
          </w:p>
        </w:tc>
        <w:tc>
          <w:tcPr>
            <w:tcW w:w="3776" w:type="dxa"/>
            <w:gridSpan w:val="2"/>
          </w:tcPr>
          <w:p w14:paraId="11310477" w14:textId="77777777" w:rsidR="00D423F1" w:rsidRPr="00203F51" w:rsidRDefault="00D423F1" w:rsidP="00B257A5">
            <w:pPr>
              <w:jc w:val="center"/>
              <w:rPr>
                <w:rFonts w:cs="Times New Roman"/>
                <w:lang w:val="en-US"/>
              </w:rPr>
            </w:pPr>
            <w:r w:rsidRPr="00203F51">
              <w:rPr>
                <w:rFonts w:cs="Times New Roman"/>
                <w:lang w:val="en-US"/>
              </w:rPr>
              <w:t>29.9</w:t>
            </w:r>
          </w:p>
        </w:tc>
      </w:tr>
      <w:tr w:rsidR="00D423F1" w:rsidRPr="00203F51" w14:paraId="02DC705B" w14:textId="77777777" w:rsidTr="00B257A5">
        <w:tc>
          <w:tcPr>
            <w:tcW w:w="5240" w:type="dxa"/>
          </w:tcPr>
          <w:p w14:paraId="2B608096" w14:textId="77777777" w:rsidR="00D423F1" w:rsidRPr="00203F51" w:rsidRDefault="00D423F1" w:rsidP="00203F51">
            <w:pPr>
              <w:ind w:left="720"/>
              <w:rPr>
                <w:rFonts w:cs="Times New Roman"/>
              </w:rPr>
            </w:pPr>
            <w:r w:rsidRPr="00203F51">
              <w:rPr>
                <w:rFonts w:cs="Times New Roman"/>
                <w:lang w:val="en-US"/>
              </w:rPr>
              <w:t xml:space="preserve">95% </w:t>
            </w:r>
            <w:proofErr w:type="spellStart"/>
            <w:r w:rsidRPr="00203F51">
              <w:rPr>
                <w:rFonts w:cs="Times New Roman"/>
                <w:lang w:val="en-US"/>
              </w:rPr>
              <w:t>CI</w:t>
            </w:r>
            <w:r w:rsidRPr="00203F51">
              <w:rPr>
                <w:rFonts w:cs="Times New Roman"/>
                <w:vertAlign w:val="superscript"/>
                <w:lang w:val="en-US"/>
              </w:rPr>
              <w:t>d</w:t>
            </w:r>
            <w:proofErr w:type="spellEnd"/>
          </w:p>
        </w:tc>
        <w:tc>
          <w:tcPr>
            <w:tcW w:w="3776" w:type="dxa"/>
            <w:gridSpan w:val="2"/>
          </w:tcPr>
          <w:p w14:paraId="3031D59B" w14:textId="77777777" w:rsidR="00D423F1" w:rsidRPr="00203F51" w:rsidRDefault="00D423F1" w:rsidP="00B257A5">
            <w:pPr>
              <w:jc w:val="center"/>
              <w:rPr>
                <w:rFonts w:cs="Times New Roman"/>
              </w:rPr>
            </w:pPr>
            <w:r w:rsidRPr="00203F51">
              <w:rPr>
                <w:rFonts w:cs="Times New Roman"/>
                <w:lang w:val="en-US"/>
              </w:rPr>
              <w:t>19.9, 39.8</w:t>
            </w:r>
          </w:p>
        </w:tc>
      </w:tr>
      <w:tr w:rsidR="00D423F1" w:rsidRPr="00203F51" w14:paraId="233F3F5F" w14:textId="77777777" w:rsidTr="00B257A5">
        <w:trPr>
          <w:trHeight w:val="100"/>
        </w:trPr>
        <w:tc>
          <w:tcPr>
            <w:tcW w:w="5240" w:type="dxa"/>
          </w:tcPr>
          <w:p w14:paraId="5DCF0CC0" w14:textId="77777777" w:rsidR="00D423F1" w:rsidRPr="00203F51" w:rsidRDefault="00D423F1" w:rsidP="00203F51">
            <w:pPr>
              <w:ind w:left="720"/>
              <w:rPr>
                <w:rFonts w:cs="Times New Roman"/>
                <w:lang w:val="en-US"/>
              </w:rPr>
            </w:pPr>
            <w:r w:rsidRPr="00203F51">
              <w:rPr>
                <w:rFonts w:cs="Times New Roman"/>
                <w:lang w:val="en-US"/>
              </w:rPr>
              <w:t>p-value</w:t>
            </w:r>
          </w:p>
        </w:tc>
        <w:tc>
          <w:tcPr>
            <w:tcW w:w="3776" w:type="dxa"/>
            <w:gridSpan w:val="2"/>
          </w:tcPr>
          <w:p w14:paraId="6B291CB5" w14:textId="77777777" w:rsidR="00D423F1" w:rsidRPr="00203F51" w:rsidRDefault="00D423F1" w:rsidP="00B257A5">
            <w:pPr>
              <w:jc w:val="center"/>
              <w:rPr>
                <w:rFonts w:cs="Times New Roman"/>
                <w:lang w:val="en-US"/>
              </w:rPr>
            </w:pPr>
            <w:r w:rsidRPr="00203F51">
              <w:rPr>
                <w:rFonts w:cs="Times New Roman"/>
                <w:lang w:val="en-US"/>
              </w:rPr>
              <w:t>p&lt;0.0001</w:t>
            </w:r>
          </w:p>
        </w:tc>
      </w:tr>
    </w:tbl>
    <w:p w14:paraId="10E66845" w14:textId="77777777" w:rsidR="00203F51" w:rsidRDefault="00D423F1" w:rsidP="00203F51">
      <w:pPr>
        <w:spacing w:after="0"/>
        <w:rPr>
          <w:rFonts w:cs="Times New Roman"/>
          <w:color w:val="000000"/>
          <w:sz w:val="16"/>
          <w:szCs w:val="16"/>
          <w:lang w:val="en-US"/>
        </w:rPr>
      </w:pPr>
      <w:r w:rsidRPr="00203F51">
        <w:rPr>
          <w:rStyle w:val="BMSSuperscript"/>
        </w:rPr>
        <w:t xml:space="preserve">a </w:t>
      </w:r>
      <w:r w:rsidRPr="66BF5F6D">
        <w:rPr>
          <w:rFonts w:cs="Times New Roman"/>
          <w:color w:val="000000" w:themeColor="text1"/>
          <w:sz w:val="16"/>
          <w:szCs w:val="16"/>
          <w:lang w:val="en-US"/>
        </w:rPr>
        <w:t>Subjects with missing assessment at the EOC6, including those who met the criteria for progression of splenomegaly before the EOC6, were considered non-responders. They were included in the denominator.</w:t>
      </w:r>
    </w:p>
    <w:p w14:paraId="5433737A" w14:textId="2A5819E6" w:rsidR="00D423F1" w:rsidRPr="00203F51" w:rsidRDefault="00D423F1" w:rsidP="00203F51">
      <w:pPr>
        <w:spacing w:after="0"/>
        <w:rPr>
          <w:rFonts w:cs="Times New Roman"/>
          <w:color w:val="000000"/>
          <w:sz w:val="16"/>
          <w:szCs w:val="16"/>
          <w:lang w:val="en-US"/>
        </w:rPr>
      </w:pPr>
      <w:r w:rsidRPr="00203F51">
        <w:rPr>
          <w:rStyle w:val="BMSSuperscript"/>
        </w:rPr>
        <w:t>b</w:t>
      </w:r>
      <w:r w:rsidRPr="00203F51">
        <w:rPr>
          <w:rFonts w:cs="Times New Roman"/>
          <w:color w:val="000000"/>
          <w:sz w:val="16"/>
          <w:szCs w:val="16"/>
          <w:lang w:val="en-US"/>
        </w:rPr>
        <w:t xml:space="preserve"> </w:t>
      </w:r>
      <w:proofErr w:type="gramStart"/>
      <w:r w:rsidRPr="00203F51">
        <w:rPr>
          <w:rFonts w:cs="Times New Roman"/>
          <w:color w:val="000000"/>
          <w:sz w:val="16"/>
          <w:szCs w:val="16"/>
          <w:lang w:val="en-US"/>
        </w:rPr>
        <w:t>The</w:t>
      </w:r>
      <w:proofErr w:type="gramEnd"/>
      <w:r w:rsidRPr="00203F51">
        <w:rPr>
          <w:rFonts w:cs="Times New Roman"/>
          <w:color w:val="000000"/>
          <w:sz w:val="16"/>
          <w:szCs w:val="16"/>
          <w:lang w:val="en-US"/>
        </w:rPr>
        <w:t xml:space="preserve"> two-sided 95% CI was based on the exact Clopper-Pearson method.</w:t>
      </w:r>
    </w:p>
    <w:p w14:paraId="54E1E736" w14:textId="77777777" w:rsidR="00D423F1" w:rsidRPr="00203F51" w:rsidRDefault="00D423F1" w:rsidP="00203F51">
      <w:pPr>
        <w:spacing w:after="0"/>
        <w:rPr>
          <w:rFonts w:cs="Times New Roman"/>
          <w:color w:val="000000"/>
          <w:sz w:val="16"/>
          <w:szCs w:val="16"/>
          <w:lang w:val="en-US"/>
        </w:rPr>
      </w:pPr>
      <w:r w:rsidRPr="00203F51">
        <w:rPr>
          <w:rStyle w:val="BMSSuperscript"/>
        </w:rPr>
        <w:t>c</w:t>
      </w:r>
      <w:r w:rsidRPr="00203F51">
        <w:rPr>
          <w:rFonts w:cs="Times New Roman"/>
          <w:color w:val="000000"/>
          <w:sz w:val="16"/>
          <w:szCs w:val="16"/>
          <w:lang w:val="en-US"/>
        </w:rPr>
        <w:t xml:space="preserve"> </w:t>
      </w:r>
      <w:proofErr w:type="gramStart"/>
      <w:r w:rsidRPr="00203F51">
        <w:rPr>
          <w:rFonts w:cs="Times New Roman"/>
          <w:color w:val="000000"/>
          <w:sz w:val="16"/>
          <w:szCs w:val="16"/>
          <w:lang w:val="en-US"/>
        </w:rPr>
        <w:t>The</w:t>
      </w:r>
      <w:proofErr w:type="gramEnd"/>
      <w:r w:rsidRPr="00203F51">
        <w:rPr>
          <w:rFonts w:cs="Times New Roman"/>
          <w:color w:val="000000"/>
          <w:sz w:val="16"/>
          <w:szCs w:val="16"/>
          <w:lang w:val="en-US"/>
        </w:rPr>
        <w:t xml:space="preserve"> stratified p-value was one-sided based on CMH test using the Greenland and Robins method to adjust for stratification factors: spleen size by palpation and platelet counts. The third stratification factor 'refractory/relapsed or intolerance to </w:t>
      </w:r>
      <w:proofErr w:type="spellStart"/>
      <w:r w:rsidRPr="00203F51">
        <w:rPr>
          <w:rFonts w:cs="Times New Roman"/>
          <w:color w:val="000000"/>
          <w:sz w:val="16"/>
          <w:szCs w:val="16"/>
          <w:lang w:val="en-US"/>
        </w:rPr>
        <w:t>ruxolitinib</w:t>
      </w:r>
      <w:proofErr w:type="spellEnd"/>
      <w:r w:rsidRPr="00203F51">
        <w:rPr>
          <w:rFonts w:cs="Times New Roman"/>
          <w:color w:val="000000"/>
          <w:sz w:val="16"/>
          <w:szCs w:val="16"/>
          <w:lang w:val="en-US"/>
        </w:rPr>
        <w:t xml:space="preserve"> treatment' was dropped due to small cell count issue.</w:t>
      </w:r>
    </w:p>
    <w:p w14:paraId="796FDEED" w14:textId="77777777" w:rsidR="00D423F1" w:rsidRPr="00203F51" w:rsidRDefault="00D423F1" w:rsidP="00203F51">
      <w:pPr>
        <w:spacing w:after="0"/>
        <w:rPr>
          <w:rFonts w:cs="Times New Roman"/>
          <w:color w:val="000000"/>
          <w:sz w:val="16"/>
          <w:szCs w:val="16"/>
          <w:lang w:val="en-US"/>
        </w:rPr>
      </w:pPr>
      <w:r w:rsidRPr="00203F51">
        <w:rPr>
          <w:rStyle w:val="BMSSuperscript"/>
        </w:rPr>
        <w:t>d</w:t>
      </w:r>
      <w:r w:rsidRPr="00203F51">
        <w:rPr>
          <w:rFonts w:cs="Times New Roman"/>
          <w:color w:val="000000"/>
          <w:sz w:val="16"/>
          <w:szCs w:val="16"/>
          <w:lang w:val="en-US"/>
        </w:rPr>
        <w:t xml:space="preserve"> </w:t>
      </w:r>
      <w:proofErr w:type="gramStart"/>
      <w:r w:rsidRPr="00203F51">
        <w:rPr>
          <w:rFonts w:cs="Times New Roman"/>
          <w:color w:val="000000"/>
          <w:sz w:val="16"/>
          <w:szCs w:val="16"/>
          <w:lang w:val="en-US"/>
        </w:rPr>
        <w:t>The</w:t>
      </w:r>
      <w:proofErr w:type="gramEnd"/>
      <w:r w:rsidRPr="00203F51">
        <w:rPr>
          <w:rFonts w:cs="Times New Roman"/>
          <w:color w:val="000000"/>
          <w:sz w:val="16"/>
          <w:szCs w:val="16"/>
          <w:lang w:val="en-US"/>
        </w:rPr>
        <w:t xml:space="preserve"> 95% CI of the difference was based on Greenland and Robins method.</w:t>
      </w:r>
    </w:p>
    <w:p w14:paraId="53C821E8" w14:textId="77777777" w:rsidR="00D423F1" w:rsidRPr="00203F51" w:rsidRDefault="00D423F1" w:rsidP="00203F51">
      <w:pPr>
        <w:spacing w:after="0"/>
        <w:rPr>
          <w:rFonts w:cs="Times New Roman"/>
          <w:color w:val="000000"/>
          <w:sz w:val="16"/>
          <w:szCs w:val="16"/>
          <w:lang w:val="en-US"/>
        </w:rPr>
      </w:pPr>
      <w:r w:rsidRPr="00203F51">
        <w:rPr>
          <w:rStyle w:val="BMSSuperscript"/>
        </w:rPr>
        <w:t>e</w:t>
      </w:r>
      <w:r w:rsidRPr="00203F51">
        <w:rPr>
          <w:rFonts w:cs="Times New Roman"/>
          <w:color w:val="000000"/>
          <w:sz w:val="16"/>
          <w:szCs w:val="16"/>
          <w:lang w:val="en-US"/>
        </w:rPr>
        <w:t xml:space="preserve"> </w:t>
      </w:r>
      <w:proofErr w:type="gramStart"/>
      <w:r w:rsidRPr="00203F51">
        <w:rPr>
          <w:rFonts w:cs="Times New Roman"/>
          <w:color w:val="000000"/>
          <w:sz w:val="16"/>
          <w:szCs w:val="16"/>
          <w:lang w:val="en-US"/>
        </w:rPr>
        <w:t>The</w:t>
      </w:r>
      <w:proofErr w:type="gramEnd"/>
      <w:r w:rsidRPr="00203F51">
        <w:rPr>
          <w:rFonts w:cs="Times New Roman"/>
          <w:color w:val="000000"/>
          <w:sz w:val="16"/>
          <w:szCs w:val="16"/>
          <w:lang w:val="en-US"/>
        </w:rPr>
        <w:t xml:space="preserve"> unstratified p-value was one-sided based on the z-test with an un-pooled estimate of variance.</w:t>
      </w:r>
    </w:p>
    <w:p w14:paraId="3E83E7FC" w14:textId="77777777" w:rsidR="00203F51" w:rsidRDefault="00203F51" w:rsidP="00D423F1">
      <w:pPr>
        <w:rPr>
          <w:rFonts w:cs="Times New Roman"/>
          <w:lang w:val="en-US"/>
        </w:rPr>
      </w:pPr>
    </w:p>
    <w:p w14:paraId="36E02873" w14:textId="11EDB554" w:rsidR="00D423F1" w:rsidRPr="00203F51" w:rsidRDefault="0040733F" w:rsidP="0040733F">
      <w:pPr>
        <w:pStyle w:val="Caption"/>
        <w:rPr>
          <w:rFonts w:cs="Times New Roman"/>
          <w:bCs/>
          <w:lang w:val="en-US"/>
        </w:rPr>
      </w:pPr>
      <w:r>
        <w:t xml:space="preserve">Table </w:t>
      </w:r>
      <w:r>
        <w:fldChar w:fldCharType="begin"/>
      </w:r>
      <w:r>
        <w:instrText xml:space="preserve"> SEQ Table \* ARABIC </w:instrText>
      </w:r>
      <w:r>
        <w:fldChar w:fldCharType="separate"/>
      </w:r>
      <w:r w:rsidR="00196356">
        <w:rPr>
          <w:noProof/>
        </w:rPr>
        <w:t>8</w:t>
      </w:r>
      <w:r>
        <w:fldChar w:fldCharType="end"/>
      </w:r>
      <w:r w:rsidR="00D423F1" w:rsidRPr="00203F51">
        <w:rPr>
          <w:rFonts w:cs="Times New Roman"/>
          <w:bCs/>
          <w:lang w:val="en-US"/>
        </w:rPr>
        <w:t>: Symptom Response Rate at End of Cycle 6 (ITT Population with non-zero baseline TSS)</w:t>
      </w:r>
    </w:p>
    <w:tbl>
      <w:tblPr>
        <w:tblStyle w:val="TableGrid"/>
        <w:tblW w:w="0" w:type="auto"/>
        <w:tblLook w:val="04A0" w:firstRow="1" w:lastRow="0" w:firstColumn="1" w:lastColumn="0" w:noHBand="0" w:noVBand="1"/>
      </w:tblPr>
      <w:tblGrid>
        <w:gridCol w:w="5240"/>
        <w:gridCol w:w="1985"/>
        <w:gridCol w:w="1791"/>
      </w:tblGrid>
      <w:tr w:rsidR="00D423F1" w:rsidRPr="00203F51" w14:paraId="60009734" w14:textId="77777777" w:rsidTr="00B257A5">
        <w:trPr>
          <w:tblHeader/>
        </w:trPr>
        <w:tc>
          <w:tcPr>
            <w:tcW w:w="5240" w:type="dxa"/>
            <w:shd w:val="clear" w:color="auto" w:fill="D9D9D9" w:themeFill="background1" w:themeFillShade="D9"/>
          </w:tcPr>
          <w:p w14:paraId="507C8A49" w14:textId="77777777" w:rsidR="00D423F1" w:rsidRPr="00203F51" w:rsidRDefault="00D423F1" w:rsidP="00B257A5">
            <w:pPr>
              <w:jc w:val="center"/>
              <w:rPr>
                <w:rFonts w:cs="Times New Roman"/>
                <w:b/>
                <w:bCs/>
                <w:lang w:val="en-US"/>
              </w:rPr>
            </w:pPr>
            <w:r w:rsidRPr="00203F51">
              <w:rPr>
                <w:rFonts w:cs="Times New Roman"/>
                <w:b/>
                <w:bCs/>
                <w:lang w:val="en-US"/>
              </w:rPr>
              <w:t>Response</w:t>
            </w:r>
          </w:p>
        </w:tc>
        <w:tc>
          <w:tcPr>
            <w:tcW w:w="1985" w:type="dxa"/>
            <w:shd w:val="clear" w:color="auto" w:fill="D9D9D9" w:themeFill="background1" w:themeFillShade="D9"/>
          </w:tcPr>
          <w:p w14:paraId="54D1E96F" w14:textId="77777777" w:rsidR="00D423F1" w:rsidRPr="00203F51" w:rsidRDefault="00D423F1" w:rsidP="00B257A5">
            <w:pPr>
              <w:jc w:val="center"/>
              <w:rPr>
                <w:rFonts w:cs="Times New Roman"/>
                <w:b/>
                <w:bCs/>
                <w:lang w:val="en-US"/>
              </w:rPr>
            </w:pPr>
            <w:r w:rsidRPr="00203F51">
              <w:rPr>
                <w:rFonts w:cs="Times New Roman"/>
                <w:b/>
                <w:bCs/>
                <w:lang w:val="en-US"/>
              </w:rPr>
              <w:t>INREBIC 400 mg</w:t>
            </w:r>
          </w:p>
          <w:p w14:paraId="13F53C24" w14:textId="77777777" w:rsidR="00D423F1" w:rsidRPr="00203F51" w:rsidRDefault="00D423F1" w:rsidP="00B257A5">
            <w:pPr>
              <w:jc w:val="center"/>
              <w:rPr>
                <w:rFonts w:cs="Times New Roman"/>
                <w:b/>
                <w:bCs/>
                <w:lang w:val="en-US"/>
              </w:rPr>
            </w:pPr>
            <w:r w:rsidRPr="00203F51">
              <w:rPr>
                <w:rFonts w:cs="Times New Roman"/>
                <w:b/>
                <w:bCs/>
                <w:lang w:val="en-US"/>
              </w:rPr>
              <w:t>N=126</w:t>
            </w:r>
          </w:p>
          <w:p w14:paraId="4210EB5F" w14:textId="77777777" w:rsidR="00D423F1" w:rsidRPr="00203F51" w:rsidRDefault="00D423F1" w:rsidP="00B257A5">
            <w:pPr>
              <w:jc w:val="center"/>
              <w:rPr>
                <w:rFonts w:cs="Times New Roman"/>
                <w:lang w:val="en-US"/>
              </w:rPr>
            </w:pPr>
            <w:r w:rsidRPr="00203F51">
              <w:rPr>
                <w:rFonts w:cs="Times New Roman"/>
                <w:lang w:val="en-US"/>
              </w:rPr>
              <w:t>n (%)</w:t>
            </w:r>
          </w:p>
        </w:tc>
        <w:tc>
          <w:tcPr>
            <w:tcW w:w="1791" w:type="dxa"/>
            <w:shd w:val="clear" w:color="auto" w:fill="D9D9D9" w:themeFill="background1" w:themeFillShade="D9"/>
          </w:tcPr>
          <w:p w14:paraId="1E22817E" w14:textId="77777777" w:rsidR="00D423F1" w:rsidRPr="00203F51" w:rsidRDefault="00D423F1" w:rsidP="00B257A5">
            <w:pPr>
              <w:jc w:val="center"/>
              <w:rPr>
                <w:rFonts w:cs="Times New Roman"/>
                <w:b/>
                <w:bCs/>
                <w:lang w:val="en-US"/>
              </w:rPr>
            </w:pPr>
            <w:r w:rsidRPr="00203F51">
              <w:rPr>
                <w:rFonts w:cs="Times New Roman"/>
                <w:b/>
                <w:bCs/>
                <w:lang w:val="en-US"/>
              </w:rPr>
              <w:t>BAT</w:t>
            </w:r>
          </w:p>
          <w:p w14:paraId="2CCE7A6B" w14:textId="77777777" w:rsidR="00D423F1" w:rsidRPr="00203F51" w:rsidRDefault="00D423F1" w:rsidP="00B257A5">
            <w:pPr>
              <w:jc w:val="center"/>
              <w:rPr>
                <w:rFonts w:cs="Times New Roman"/>
                <w:b/>
                <w:bCs/>
                <w:lang w:val="en-US"/>
              </w:rPr>
            </w:pPr>
            <w:r w:rsidRPr="00203F51">
              <w:rPr>
                <w:rFonts w:cs="Times New Roman"/>
                <w:b/>
                <w:bCs/>
                <w:lang w:val="en-US"/>
              </w:rPr>
              <w:t>N=65</w:t>
            </w:r>
          </w:p>
          <w:p w14:paraId="083B24D4" w14:textId="77777777" w:rsidR="00D423F1" w:rsidRPr="00203F51" w:rsidRDefault="00D423F1" w:rsidP="00B257A5">
            <w:pPr>
              <w:jc w:val="center"/>
              <w:rPr>
                <w:rFonts w:cs="Times New Roman"/>
                <w:lang w:val="en-US"/>
              </w:rPr>
            </w:pPr>
            <w:r w:rsidRPr="00203F51">
              <w:rPr>
                <w:rFonts w:cs="Times New Roman"/>
                <w:lang w:val="en-US"/>
              </w:rPr>
              <w:t>n (%)</w:t>
            </w:r>
          </w:p>
        </w:tc>
      </w:tr>
      <w:tr w:rsidR="00D423F1" w:rsidRPr="00203F51" w14:paraId="0BE60169" w14:textId="77777777" w:rsidTr="00B257A5">
        <w:tc>
          <w:tcPr>
            <w:tcW w:w="5240" w:type="dxa"/>
          </w:tcPr>
          <w:p w14:paraId="11B59CF4" w14:textId="0C24101A" w:rsidR="00D423F1" w:rsidRPr="00203F51" w:rsidRDefault="00D423F1" w:rsidP="00B257A5">
            <w:pPr>
              <w:rPr>
                <w:rFonts w:cs="Times New Roman"/>
                <w:lang w:val="en-US"/>
              </w:rPr>
            </w:pPr>
            <w:r w:rsidRPr="00203F51">
              <w:rPr>
                <w:rFonts w:cs="Times New Roman"/>
                <w:lang w:val="en-US"/>
              </w:rPr>
              <w:t>Subjects with ≥50% reduction in TSS at EOC6</w:t>
            </w:r>
            <w:r w:rsidRPr="00203F51">
              <w:rPr>
                <w:rFonts w:cs="Times New Roman"/>
                <w:vertAlign w:val="superscript"/>
                <w:lang w:val="en-US"/>
              </w:rPr>
              <w:t>a</w:t>
            </w:r>
          </w:p>
        </w:tc>
        <w:tc>
          <w:tcPr>
            <w:tcW w:w="1985" w:type="dxa"/>
          </w:tcPr>
          <w:p w14:paraId="7F53082A" w14:textId="77777777" w:rsidR="00D423F1" w:rsidRPr="00203F51" w:rsidRDefault="00D423F1" w:rsidP="00B257A5">
            <w:pPr>
              <w:jc w:val="center"/>
              <w:rPr>
                <w:rFonts w:cs="Times New Roman"/>
                <w:lang w:val="en-US"/>
              </w:rPr>
            </w:pPr>
            <w:r w:rsidRPr="00203F51">
              <w:rPr>
                <w:rFonts w:cs="Times New Roman"/>
                <w:lang w:val="en-US"/>
              </w:rPr>
              <w:t>43 (34.1)</w:t>
            </w:r>
          </w:p>
        </w:tc>
        <w:tc>
          <w:tcPr>
            <w:tcW w:w="1791" w:type="dxa"/>
          </w:tcPr>
          <w:p w14:paraId="2F6D370F" w14:textId="77777777" w:rsidR="00D423F1" w:rsidRPr="00203F51" w:rsidRDefault="00D423F1" w:rsidP="00B257A5">
            <w:pPr>
              <w:jc w:val="center"/>
              <w:rPr>
                <w:rFonts w:cs="Times New Roman"/>
                <w:lang w:val="en-US"/>
              </w:rPr>
            </w:pPr>
            <w:r w:rsidRPr="00203F51">
              <w:rPr>
                <w:rFonts w:cs="Times New Roman"/>
                <w:lang w:val="en-US"/>
              </w:rPr>
              <w:t>11 (16.9)</w:t>
            </w:r>
          </w:p>
        </w:tc>
      </w:tr>
      <w:tr w:rsidR="00D423F1" w:rsidRPr="00203F51" w14:paraId="0140A421" w14:textId="77777777" w:rsidTr="00B257A5">
        <w:tc>
          <w:tcPr>
            <w:tcW w:w="5240" w:type="dxa"/>
          </w:tcPr>
          <w:p w14:paraId="11D0CD26" w14:textId="77777777" w:rsidR="00D423F1" w:rsidRPr="00203F51" w:rsidRDefault="00D423F1" w:rsidP="00203F51">
            <w:pPr>
              <w:ind w:left="720"/>
              <w:rPr>
                <w:rFonts w:cs="Times New Roman"/>
                <w:lang w:val="en-US"/>
              </w:rPr>
            </w:pPr>
            <w:r w:rsidRPr="00203F51">
              <w:rPr>
                <w:rFonts w:cs="Times New Roman"/>
                <w:lang w:val="en-US"/>
              </w:rPr>
              <w:t xml:space="preserve">95% confidence </w:t>
            </w:r>
            <w:proofErr w:type="spellStart"/>
            <w:r w:rsidRPr="00203F51">
              <w:rPr>
                <w:rFonts w:cs="Times New Roman"/>
                <w:lang w:val="en-US"/>
              </w:rPr>
              <w:t>interval</w:t>
            </w:r>
            <w:r w:rsidRPr="00203F51">
              <w:rPr>
                <w:rFonts w:cs="Times New Roman"/>
                <w:vertAlign w:val="superscript"/>
                <w:lang w:val="en-US"/>
              </w:rPr>
              <w:t>b</w:t>
            </w:r>
            <w:proofErr w:type="spellEnd"/>
          </w:p>
        </w:tc>
        <w:tc>
          <w:tcPr>
            <w:tcW w:w="1985" w:type="dxa"/>
          </w:tcPr>
          <w:p w14:paraId="125AE088" w14:textId="77777777" w:rsidR="00D423F1" w:rsidRPr="00203F51" w:rsidRDefault="00D423F1" w:rsidP="00B257A5">
            <w:pPr>
              <w:jc w:val="center"/>
              <w:rPr>
                <w:rFonts w:cs="Times New Roman"/>
                <w:lang w:val="en-US"/>
              </w:rPr>
            </w:pPr>
            <w:r w:rsidRPr="00203F51">
              <w:rPr>
                <w:rFonts w:cs="Times New Roman"/>
                <w:lang w:val="en-US"/>
              </w:rPr>
              <w:t>25.9, 43.1</w:t>
            </w:r>
          </w:p>
        </w:tc>
        <w:tc>
          <w:tcPr>
            <w:tcW w:w="1791" w:type="dxa"/>
          </w:tcPr>
          <w:p w14:paraId="43647DF3" w14:textId="77777777" w:rsidR="00D423F1" w:rsidRPr="00203F51" w:rsidRDefault="00D423F1" w:rsidP="00B257A5">
            <w:pPr>
              <w:jc w:val="center"/>
              <w:rPr>
                <w:rFonts w:cs="Times New Roman"/>
                <w:lang w:val="en-US"/>
              </w:rPr>
            </w:pPr>
            <w:r w:rsidRPr="00203F51">
              <w:rPr>
                <w:rFonts w:cs="Times New Roman"/>
                <w:lang w:val="en-US"/>
              </w:rPr>
              <w:t>8.8, 28.3</w:t>
            </w:r>
          </w:p>
        </w:tc>
      </w:tr>
      <w:tr w:rsidR="00D423F1" w:rsidRPr="00203F51" w14:paraId="1FCBFC8D" w14:textId="77777777" w:rsidTr="00B257A5">
        <w:tc>
          <w:tcPr>
            <w:tcW w:w="9016" w:type="dxa"/>
            <w:gridSpan w:val="3"/>
          </w:tcPr>
          <w:p w14:paraId="27E53917" w14:textId="77777777" w:rsidR="00D423F1" w:rsidRPr="00203F51" w:rsidRDefault="00D423F1" w:rsidP="00B257A5">
            <w:pPr>
              <w:jc w:val="left"/>
              <w:rPr>
                <w:rFonts w:cs="Times New Roman"/>
              </w:rPr>
            </w:pPr>
            <w:r w:rsidRPr="00203F51">
              <w:rPr>
                <w:rFonts w:cs="Times New Roman"/>
                <w:lang w:val="en-US"/>
              </w:rPr>
              <w:t xml:space="preserve">Stratified analysis, based on </w:t>
            </w:r>
            <w:proofErr w:type="spellStart"/>
            <w:r w:rsidRPr="00203F51">
              <w:rPr>
                <w:rFonts w:cs="Times New Roman"/>
                <w:lang w:val="en-US"/>
              </w:rPr>
              <w:t>eCRF</w:t>
            </w:r>
            <w:r w:rsidRPr="00203F51">
              <w:rPr>
                <w:rFonts w:cs="Times New Roman"/>
                <w:vertAlign w:val="superscript"/>
                <w:lang w:val="en-US"/>
              </w:rPr>
              <w:t>c</w:t>
            </w:r>
            <w:proofErr w:type="spellEnd"/>
          </w:p>
        </w:tc>
      </w:tr>
      <w:tr w:rsidR="00D423F1" w:rsidRPr="00203F51" w14:paraId="7D0B6355" w14:textId="77777777" w:rsidTr="00B257A5">
        <w:tc>
          <w:tcPr>
            <w:tcW w:w="5240" w:type="dxa"/>
          </w:tcPr>
          <w:p w14:paraId="6FA4805A" w14:textId="008EBDF0" w:rsidR="00D423F1" w:rsidRPr="00203F51" w:rsidRDefault="00D423F1" w:rsidP="00203F51">
            <w:pPr>
              <w:ind w:left="720"/>
              <w:rPr>
                <w:rFonts w:eastAsia="TimesNewRoman" w:cs="Times New Roman"/>
              </w:rPr>
            </w:pPr>
            <w:r w:rsidRPr="00203F51">
              <w:rPr>
                <w:rFonts w:cs="Times New Roman"/>
                <w:lang w:val="en-US"/>
              </w:rPr>
              <w:t>Difference in proportion</w:t>
            </w:r>
          </w:p>
        </w:tc>
        <w:tc>
          <w:tcPr>
            <w:tcW w:w="3776" w:type="dxa"/>
            <w:gridSpan w:val="2"/>
          </w:tcPr>
          <w:p w14:paraId="14DCFE10" w14:textId="77777777" w:rsidR="00D423F1" w:rsidRPr="00203F51" w:rsidRDefault="00D423F1" w:rsidP="00B257A5">
            <w:pPr>
              <w:jc w:val="center"/>
              <w:rPr>
                <w:rFonts w:cs="Times New Roman"/>
              </w:rPr>
            </w:pPr>
            <w:r w:rsidRPr="00203F51">
              <w:rPr>
                <w:rFonts w:cs="Times New Roman"/>
                <w:lang w:val="en-US"/>
              </w:rPr>
              <w:t>17.1</w:t>
            </w:r>
          </w:p>
        </w:tc>
      </w:tr>
      <w:tr w:rsidR="00D423F1" w:rsidRPr="00203F51" w14:paraId="5DEED2FE" w14:textId="77777777" w:rsidTr="00B257A5">
        <w:tc>
          <w:tcPr>
            <w:tcW w:w="5240" w:type="dxa"/>
          </w:tcPr>
          <w:p w14:paraId="38EEA492" w14:textId="77777777" w:rsidR="00D423F1" w:rsidRPr="00203F51" w:rsidRDefault="00D423F1" w:rsidP="00203F51">
            <w:pPr>
              <w:ind w:left="720"/>
              <w:rPr>
                <w:rFonts w:cs="Times New Roman"/>
              </w:rPr>
            </w:pPr>
            <w:r w:rsidRPr="00203F51">
              <w:rPr>
                <w:rFonts w:cs="Times New Roman"/>
                <w:lang w:val="en-US"/>
              </w:rPr>
              <w:t xml:space="preserve">95% </w:t>
            </w:r>
            <w:proofErr w:type="spellStart"/>
            <w:r w:rsidRPr="00203F51">
              <w:rPr>
                <w:rFonts w:cs="Times New Roman"/>
                <w:lang w:val="en-US"/>
              </w:rPr>
              <w:t>CI</w:t>
            </w:r>
            <w:r w:rsidRPr="00203F51">
              <w:rPr>
                <w:rFonts w:cs="Times New Roman"/>
                <w:vertAlign w:val="superscript"/>
                <w:lang w:val="en-US"/>
              </w:rPr>
              <w:t>d</w:t>
            </w:r>
            <w:proofErr w:type="spellEnd"/>
          </w:p>
        </w:tc>
        <w:tc>
          <w:tcPr>
            <w:tcW w:w="3776" w:type="dxa"/>
            <w:gridSpan w:val="2"/>
          </w:tcPr>
          <w:p w14:paraId="362C5612" w14:textId="77777777" w:rsidR="00D423F1" w:rsidRPr="00203F51" w:rsidRDefault="00D423F1" w:rsidP="00B257A5">
            <w:pPr>
              <w:jc w:val="center"/>
              <w:rPr>
                <w:rFonts w:cs="Times New Roman"/>
                <w:lang w:val="en-US"/>
              </w:rPr>
            </w:pPr>
            <w:r w:rsidRPr="00203F51">
              <w:rPr>
                <w:rFonts w:cs="Times New Roman"/>
                <w:lang w:val="en-US"/>
              </w:rPr>
              <w:t>4.8, 29.4</w:t>
            </w:r>
          </w:p>
        </w:tc>
      </w:tr>
      <w:tr w:rsidR="00D423F1" w:rsidRPr="00203F51" w14:paraId="0F2DFED1" w14:textId="77777777" w:rsidTr="00B257A5">
        <w:tc>
          <w:tcPr>
            <w:tcW w:w="5240" w:type="dxa"/>
          </w:tcPr>
          <w:p w14:paraId="2E214E0A" w14:textId="77777777" w:rsidR="00D423F1" w:rsidRPr="00203F51" w:rsidRDefault="00D423F1" w:rsidP="00203F51">
            <w:pPr>
              <w:ind w:left="720"/>
              <w:rPr>
                <w:rFonts w:cs="Times New Roman"/>
                <w:lang w:val="en-US"/>
              </w:rPr>
            </w:pPr>
            <w:r w:rsidRPr="00203F51">
              <w:rPr>
                <w:rFonts w:cs="Times New Roman"/>
                <w:lang w:val="en-US"/>
              </w:rPr>
              <w:t>p-value</w:t>
            </w:r>
          </w:p>
        </w:tc>
        <w:tc>
          <w:tcPr>
            <w:tcW w:w="3776" w:type="dxa"/>
            <w:gridSpan w:val="2"/>
          </w:tcPr>
          <w:p w14:paraId="4EBBA176" w14:textId="77777777" w:rsidR="00D423F1" w:rsidRPr="00203F51" w:rsidRDefault="00D423F1" w:rsidP="00B257A5">
            <w:pPr>
              <w:jc w:val="center"/>
              <w:rPr>
                <w:rFonts w:cs="Times New Roman"/>
                <w:lang w:val="en-US"/>
              </w:rPr>
            </w:pPr>
            <w:r w:rsidRPr="00203F51">
              <w:rPr>
                <w:rFonts w:cs="Times New Roman"/>
                <w:lang w:val="en-US"/>
              </w:rPr>
              <w:t>0.0033</w:t>
            </w:r>
          </w:p>
        </w:tc>
      </w:tr>
      <w:tr w:rsidR="00D423F1" w:rsidRPr="00203F51" w14:paraId="64EA9B0B" w14:textId="77777777" w:rsidTr="00B257A5">
        <w:tc>
          <w:tcPr>
            <w:tcW w:w="9016" w:type="dxa"/>
            <w:gridSpan w:val="3"/>
          </w:tcPr>
          <w:p w14:paraId="72954E52" w14:textId="77777777" w:rsidR="00D423F1" w:rsidRPr="00203F51" w:rsidRDefault="00D423F1" w:rsidP="00B257A5">
            <w:pPr>
              <w:jc w:val="left"/>
              <w:rPr>
                <w:rFonts w:cs="Times New Roman"/>
                <w:lang w:val="en-US"/>
              </w:rPr>
            </w:pPr>
            <w:r w:rsidRPr="00203F51">
              <w:rPr>
                <w:rFonts w:cs="Times New Roman"/>
                <w:lang w:val="en-US"/>
              </w:rPr>
              <w:t xml:space="preserve">Stratified analysis, based on </w:t>
            </w:r>
            <w:proofErr w:type="spellStart"/>
            <w:r w:rsidRPr="00203F51">
              <w:rPr>
                <w:rFonts w:cs="Times New Roman"/>
                <w:lang w:val="en-US"/>
              </w:rPr>
              <w:t>IRT</w:t>
            </w:r>
            <w:r w:rsidRPr="00203F51">
              <w:rPr>
                <w:rFonts w:cs="Times New Roman"/>
                <w:vertAlign w:val="superscript"/>
                <w:lang w:val="en-US"/>
              </w:rPr>
              <w:t>c</w:t>
            </w:r>
            <w:proofErr w:type="spellEnd"/>
          </w:p>
        </w:tc>
      </w:tr>
      <w:tr w:rsidR="00D423F1" w:rsidRPr="00203F51" w14:paraId="76B48811" w14:textId="77777777" w:rsidTr="00B257A5">
        <w:tc>
          <w:tcPr>
            <w:tcW w:w="5240" w:type="dxa"/>
          </w:tcPr>
          <w:p w14:paraId="174AED8F" w14:textId="77777777" w:rsidR="00D423F1" w:rsidRPr="00203F51" w:rsidRDefault="00D423F1" w:rsidP="00203F51">
            <w:pPr>
              <w:ind w:left="720"/>
              <w:rPr>
                <w:rFonts w:cs="Times New Roman"/>
              </w:rPr>
            </w:pPr>
            <w:r w:rsidRPr="00203F51">
              <w:rPr>
                <w:rFonts w:cs="Times New Roman"/>
                <w:lang w:val="en-US"/>
              </w:rPr>
              <w:lastRenderedPageBreak/>
              <w:t>Difference in proportion</w:t>
            </w:r>
          </w:p>
        </w:tc>
        <w:tc>
          <w:tcPr>
            <w:tcW w:w="3776" w:type="dxa"/>
            <w:gridSpan w:val="2"/>
          </w:tcPr>
          <w:p w14:paraId="30884464" w14:textId="77777777" w:rsidR="00D423F1" w:rsidRPr="00203F51" w:rsidRDefault="00D423F1" w:rsidP="00B257A5">
            <w:pPr>
              <w:jc w:val="center"/>
              <w:rPr>
                <w:rFonts w:cs="Times New Roman"/>
                <w:lang w:val="en-US"/>
              </w:rPr>
            </w:pPr>
            <w:r w:rsidRPr="00203F51">
              <w:rPr>
                <w:rFonts w:cs="Times New Roman"/>
                <w:lang w:val="en-US"/>
              </w:rPr>
              <w:t>17.2</w:t>
            </w:r>
          </w:p>
        </w:tc>
      </w:tr>
      <w:tr w:rsidR="00D423F1" w:rsidRPr="00203F51" w14:paraId="3CC38081" w14:textId="77777777" w:rsidTr="00B257A5">
        <w:tc>
          <w:tcPr>
            <w:tcW w:w="5240" w:type="dxa"/>
          </w:tcPr>
          <w:p w14:paraId="06D4E8EB" w14:textId="77777777" w:rsidR="00D423F1" w:rsidRPr="00203F51" w:rsidRDefault="00D423F1" w:rsidP="00203F51">
            <w:pPr>
              <w:ind w:left="720"/>
              <w:rPr>
                <w:rFonts w:cs="Times New Roman"/>
              </w:rPr>
            </w:pPr>
            <w:r w:rsidRPr="00203F51">
              <w:rPr>
                <w:rFonts w:cs="Times New Roman"/>
                <w:lang w:val="en-US"/>
              </w:rPr>
              <w:t xml:space="preserve">95% </w:t>
            </w:r>
            <w:proofErr w:type="spellStart"/>
            <w:r w:rsidRPr="00203F51">
              <w:rPr>
                <w:rFonts w:cs="Times New Roman"/>
                <w:lang w:val="en-US"/>
              </w:rPr>
              <w:t>CI</w:t>
            </w:r>
            <w:r w:rsidRPr="00203F51">
              <w:rPr>
                <w:rFonts w:cs="Times New Roman"/>
                <w:vertAlign w:val="superscript"/>
                <w:lang w:val="en-US"/>
              </w:rPr>
              <w:t>d</w:t>
            </w:r>
            <w:proofErr w:type="spellEnd"/>
          </w:p>
        </w:tc>
        <w:tc>
          <w:tcPr>
            <w:tcW w:w="3776" w:type="dxa"/>
            <w:gridSpan w:val="2"/>
          </w:tcPr>
          <w:p w14:paraId="30F832D9" w14:textId="77777777" w:rsidR="00D423F1" w:rsidRPr="00203F51" w:rsidRDefault="00D423F1" w:rsidP="00B257A5">
            <w:pPr>
              <w:jc w:val="center"/>
              <w:rPr>
                <w:rFonts w:cs="Times New Roman"/>
                <w:lang w:val="en-US"/>
              </w:rPr>
            </w:pPr>
            <w:r w:rsidRPr="00203F51">
              <w:rPr>
                <w:rFonts w:cs="Times New Roman"/>
                <w:lang w:val="en-US"/>
              </w:rPr>
              <w:t>4.9, 29.5</w:t>
            </w:r>
          </w:p>
        </w:tc>
      </w:tr>
      <w:tr w:rsidR="00D423F1" w:rsidRPr="00203F51" w14:paraId="170B20DC" w14:textId="77777777" w:rsidTr="00B257A5">
        <w:tc>
          <w:tcPr>
            <w:tcW w:w="5240" w:type="dxa"/>
          </w:tcPr>
          <w:p w14:paraId="3325AE41" w14:textId="77777777" w:rsidR="00D423F1" w:rsidRPr="00203F51" w:rsidRDefault="00D423F1" w:rsidP="00203F51">
            <w:pPr>
              <w:ind w:left="720"/>
              <w:rPr>
                <w:rFonts w:cs="Times New Roman"/>
              </w:rPr>
            </w:pPr>
            <w:r w:rsidRPr="00203F51">
              <w:rPr>
                <w:rFonts w:cs="Times New Roman"/>
                <w:lang w:val="en-US"/>
              </w:rPr>
              <w:t>p-value</w:t>
            </w:r>
          </w:p>
        </w:tc>
        <w:tc>
          <w:tcPr>
            <w:tcW w:w="3776" w:type="dxa"/>
            <w:gridSpan w:val="2"/>
          </w:tcPr>
          <w:p w14:paraId="479AC1D7" w14:textId="77777777" w:rsidR="00D423F1" w:rsidRPr="00203F51" w:rsidRDefault="00D423F1" w:rsidP="00B257A5">
            <w:pPr>
              <w:jc w:val="center"/>
              <w:rPr>
                <w:rFonts w:cs="Times New Roman"/>
                <w:lang w:val="en-US"/>
              </w:rPr>
            </w:pPr>
            <w:r w:rsidRPr="00203F51">
              <w:rPr>
                <w:rFonts w:cs="Times New Roman"/>
                <w:lang w:val="en-US"/>
              </w:rPr>
              <w:t>0.0030</w:t>
            </w:r>
          </w:p>
        </w:tc>
      </w:tr>
      <w:tr w:rsidR="00D423F1" w:rsidRPr="00203F51" w14:paraId="741D4F6F" w14:textId="77777777" w:rsidTr="00B257A5">
        <w:tc>
          <w:tcPr>
            <w:tcW w:w="9016" w:type="dxa"/>
            <w:gridSpan w:val="3"/>
          </w:tcPr>
          <w:p w14:paraId="20F863E7" w14:textId="77777777" w:rsidR="00D423F1" w:rsidRPr="00203F51" w:rsidRDefault="00D423F1" w:rsidP="00B257A5">
            <w:pPr>
              <w:jc w:val="left"/>
              <w:rPr>
                <w:rFonts w:cs="Times New Roman"/>
                <w:lang w:val="en-US"/>
              </w:rPr>
            </w:pPr>
            <w:r w:rsidRPr="00203F51">
              <w:rPr>
                <w:rFonts w:cs="Times New Roman"/>
                <w:lang w:val="en-US"/>
              </w:rPr>
              <w:t xml:space="preserve">Unstratified </w:t>
            </w:r>
            <w:proofErr w:type="spellStart"/>
            <w:r w:rsidRPr="00203F51">
              <w:rPr>
                <w:rFonts w:cs="Times New Roman"/>
                <w:lang w:val="en-US"/>
              </w:rPr>
              <w:t>analysis</w:t>
            </w:r>
            <w:r w:rsidRPr="00203F51">
              <w:rPr>
                <w:rFonts w:cs="Times New Roman"/>
                <w:vertAlign w:val="superscript"/>
                <w:lang w:val="en-US"/>
              </w:rPr>
              <w:t>e</w:t>
            </w:r>
            <w:proofErr w:type="spellEnd"/>
          </w:p>
        </w:tc>
      </w:tr>
      <w:tr w:rsidR="00D423F1" w:rsidRPr="00203F51" w14:paraId="189300A3" w14:textId="77777777" w:rsidTr="00B257A5">
        <w:tc>
          <w:tcPr>
            <w:tcW w:w="5240" w:type="dxa"/>
          </w:tcPr>
          <w:p w14:paraId="237D5035" w14:textId="77777777" w:rsidR="00D423F1" w:rsidRPr="00203F51" w:rsidRDefault="00D423F1" w:rsidP="00203F51">
            <w:pPr>
              <w:ind w:left="720"/>
              <w:rPr>
                <w:rFonts w:cs="Times New Roman"/>
                <w:lang w:val="en-US"/>
              </w:rPr>
            </w:pPr>
            <w:r w:rsidRPr="00203F51">
              <w:rPr>
                <w:rFonts w:cs="Times New Roman"/>
                <w:lang w:val="en-US"/>
              </w:rPr>
              <w:t>Difference in proportion</w:t>
            </w:r>
          </w:p>
        </w:tc>
        <w:tc>
          <w:tcPr>
            <w:tcW w:w="3776" w:type="dxa"/>
            <w:gridSpan w:val="2"/>
          </w:tcPr>
          <w:p w14:paraId="197AD6E6" w14:textId="77777777" w:rsidR="00D423F1" w:rsidRPr="00203F51" w:rsidRDefault="00D423F1" w:rsidP="00B257A5">
            <w:pPr>
              <w:jc w:val="center"/>
              <w:rPr>
                <w:rFonts w:cs="Times New Roman"/>
                <w:lang w:val="en-US"/>
              </w:rPr>
            </w:pPr>
            <w:r w:rsidRPr="00203F51">
              <w:rPr>
                <w:rFonts w:cs="Times New Roman"/>
                <w:lang w:val="en-US"/>
              </w:rPr>
              <w:t>17.2</w:t>
            </w:r>
          </w:p>
        </w:tc>
      </w:tr>
      <w:tr w:rsidR="00D423F1" w:rsidRPr="00203F51" w14:paraId="1798B8A1" w14:textId="77777777" w:rsidTr="00B257A5">
        <w:tc>
          <w:tcPr>
            <w:tcW w:w="5240" w:type="dxa"/>
          </w:tcPr>
          <w:p w14:paraId="5A8C20D7" w14:textId="77777777" w:rsidR="00D423F1" w:rsidRPr="00203F51" w:rsidRDefault="00D423F1" w:rsidP="00203F51">
            <w:pPr>
              <w:ind w:left="720"/>
              <w:rPr>
                <w:rFonts w:cs="Times New Roman"/>
              </w:rPr>
            </w:pPr>
            <w:r w:rsidRPr="00203F51">
              <w:rPr>
                <w:rFonts w:cs="Times New Roman"/>
                <w:lang w:val="en-US"/>
              </w:rPr>
              <w:t xml:space="preserve">95% </w:t>
            </w:r>
            <w:proofErr w:type="spellStart"/>
            <w:r w:rsidRPr="00203F51">
              <w:rPr>
                <w:rFonts w:cs="Times New Roman"/>
                <w:lang w:val="en-US"/>
              </w:rPr>
              <w:t>CI</w:t>
            </w:r>
            <w:r w:rsidRPr="00203F51">
              <w:rPr>
                <w:rFonts w:cs="Times New Roman"/>
                <w:vertAlign w:val="superscript"/>
                <w:lang w:val="en-US"/>
              </w:rPr>
              <w:t>d</w:t>
            </w:r>
            <w:proofErr w:type="spellEnd"/>
          </w:p>
        </w:tc>
        <w:tc>
          <w:tcPr>
            <w:tcW w:w="3776" w:type="dxa"/>
            <w:gridSpan w:val="2"/>
          </w:tcPr>
          <w:p w14:paraId="4CD4B7B7" w14:textId="77777777" w:rsidR="00D423F1" w:rsidRPr="00203F51" w:rsidRDefault="00D423F1" w:rsidP="00B257A5">
            <w:pPr>
              <w:jc w:val="center"/>
              <w:rPr>
                <w:rFonts w:cs="Times New Roman"/>
                <w:lang w:val="en-US"/>
              </w:rPr>
            </w:pPr>
            <w:r w:rsidRPr="00203F51">
              <w:rPr>
                <w:rFonts w:cs="Times New Roman"/>
                <w:lang w:val="en-US"/>
              </w:rPr>
              <w:t>4.9, 29.5</w:t>
            </w:r>
          </w:p>
        </w:tc>
      </w:tr>
      <w:tr w:rsidR="00D423F1" w:rsidRPr="00203F51" w14:paraId="5332BAAE" w14:textId="77777777" w:rsidTr="00B257A5">
        <w:trPr>
          <w:trHeight w:val="100"/>
        </w:trPr>
        <w:tc>
          <w:tcPr>
            <w:tcW w:w="5240" w:type="dxa"/>
          </w:tcPr>
          <w:p w14:paraId="58EFC776" w14:textId="77777777" w:rsidR="00D423F1" w:rsidRPr="00203F51" w:rsidRDefault="00D423F1" w:rsidP="00203F51">
            <w:pPr>
              <w:ind w:left="720"/>
              <w:rPr>
                <w:rFonts w:cs="Times New Roman"/>
                <w:lang w:val="en-US"/>
              </w:rPr>
            </w:pPr>
            <w:r w:rsidRPr="00203F51">
              <w:rPr>
                <w:rFonts w:cs="Times New Roman"/>
                <w:lang w:val="en-US"/>
              </w:rPr>
              <w:t>p-value</w:t>
            </w:r>
          </w:p>
        </w:tc>
        <w:tc>
          <w:tcPr>
            <w:tcW w:w="3776" w:type="dxa"/>
            <w:gridSpan w:val="2"/>
          </w:tcPr>
          <w:p w14:paraId="01C3E4F2" w14:textId="77777777" w:rsidR="00D423F1" w:rsidRPr="00203F51" w:rsidRDefault="00D423F1" w:rsidP="00B257A5">
            <w:pPr>
              <w:jc w:val="center"/>
              <w:rPr>
                <w:rFonts w:cs="Times New Roman"/>
                <w:lang w:val="en-US"/>
              </w:rPr>
            </w:pPr>
            <w:r w:rsidRPr="00203F51">
              <w:rPr>
                <w:rFonts w:cs="Times New Roman"/>
                <w:lang w:val="en-US"/>
              </w:rPr>
              <w:t>0.0031</w:t>
            </w:r>
          </w:p>
        </w:tc>
      </w:tr>
    </w:tbl>
    <w:p w14:paraId="46956413" w14:textId="77777777" w:rsidR="000E5A8A" w:rsidRDefault="000E5A8A" w:rsidP="000E5A8A">
      <w:pPr>
        <w:spacing w:after="0"/>
        <w:rPr>
          <w:rFonts w:cs="Times New Roman"/>
          <w:color w:val="000000"/>
          <w:sz w:val="16"/>
          <w:szCs w:val="16"/>
          <w:lang w:val="en-US"/>
        </w:rPr>
      </w:pPr>
      <w:r w:rsidRPr="00203F51">
        <w:rPr>
          <w:rStyle w:val="BMSSuperscript"/>
        </w:rPr>
        <w:t xml:space="preserve">a </w:t>
      </w:r>
      <w:r w:rsidRPr="00203F51">
        <w:rPr>
          <w:rFonts w:cs="Times New Roman"/>
          <w:color w:val="000000"/>
          <w:sz w:val="16"/>
          <w:szCs w:val="16"/>
          <w:lang w:val="en-US"/>
        </w:rPr>
        <w:t>Subjects with missing assessment at the EOC6, including those who met the criteria for progression of splenomegaly before the EOC6, were considered non-responders. They were included in the denominator.</w:t>
      </w:r>
    </w:p>
    <w:p w14:paraId="6C2D1919" w14:textId="77777777" w:rsidR="000E5A8A" w:rsidRPr="00203F51" w:rsidRDefault="000E5A8A" w:rsidP="000E5A8A">
      <w:pPr>
        <w:spacing w:after="0"/>
        <w:rPr>
          <w:rFonts w:cs="Times New Roman"/>
          <w:color w:val="000000"/>
          <w:sz w:val="16"/>
          <w:szCs w:val="16"/>
          <w:lang w:val="en-US"/>
        </w:rPr>
      </w:pPr>
      <w:r w:rsidRPr="00203F51">
        <w:rPr>
          <w:rStyle w:val="BMSSuperscript"/>
        </w:rPr>
        <w:t>b</w:t>
      </w:r>
      <w:r w:rsidRPr="00203F51">
        <w:rPr>
          <w:rFonts w:cs="Times New Roman"/>
          <w:color w:val="000000"/>
          <w:sz w:val="16"/>
          <w:szCs w:val="16"/>
          <w:lang w:val="en-US"/>
        </w:rPr>
        <w:t xml:space="preserve"> </w:t>
      </w:r>
      <w:proofErr w:type="gramStart"/>
      <w:r w:rsidRPr="00203F51">
        <w:rPr>
          <w:rFonts w:cs="Times New Roman"/>
          <w:color w:val="000000"/>
          <w:sz w:val="16"/>
          <w:szCs w:val="16"/>
          <w:lang w:val="en-US"/>
        </w:rPr>
        <w:t>The</w:t>
      </w:r>
      <w:proofErr w:type="gramEnd"/>
      <w:r w:rsidRPr="00203F51">
        <w:rPr>
          <w:rFonts w:cs="Times New Roman"/>
          <w:color w:val="000000"/>
          <w:sz w:val="16"/>
          <w:szCs w:val="16"/>
          <w:lang w:val="en-US"/>
        </w:rPr>
        <w:t xml:space="preserve"> two-sided 95% CI was based on the exact Clopper-Pearson method.</w:t>
      </w:r>
    </w:p>
    <w:p w14:paraId="1928B903" w14:textId="77777777" w:rsidR="000E5A8A" w:rsidRPr="00203F51" w:rsidRDefault="000E5A8A" w:rsidP="000E5A8A">
      <w:pPr>
        <w:spacing w:after="0"/>
        <w:rPr>
          <w:rFonts w:cs="Times New Roman"/>
          <w:color w:val="000000"/>
          <w:sz w:val="16"/>
          <w:szCs w:val="16"/>
          <w:lang w:val="en-US"/>
        </w:rPr>
      </w:pPr>
      <w:r w:rsidRPr="00203F51">
        <w:rPr>
          <w:rStyle w:val="BMSSuperscript"/>
        </w:rPr>
        <w:t>c</w:t>
      </w:r>
      <w:r w:rsidRPr="00203F51">
        <w:rPr>
          <w:rFonts w:cs="Times New Roman"/>
          <w:color w:val="000000"/>
          <w:sz w:val="16"/>
          <w:szCs w:val="16"/>
          <w:lang w:val="en-US"/>
        </w:rPr>
        <w:t xml:space="preserve"> </w:t>
      </w:r>
      <w:proofErr w:type="gramStart"/>
      <w:r w:rsidRPr="00203F51">
        <w:rPr>
          <w:rFonts w:cs="Times New Roman"/>
          <w:color w:val="000000"/>
          <w:sz w:val="16"/>
          <w:szCs w:val="16"/>
          <w:lang w:val="en-US"/>
        </w:rPr>
        <w:t>The</w:t>
      </w:r>
      <w:proofErr w:type="gramEnd"/>
      <w:r w:rsidRPr="00203F51">
        <w:rPr>
          <w:rFonts w:cs="Times New Roman"/>
          <w:color w:val="000000"/>
          <w:sz w:val="16"/>
          <w:szCs w:val="16"/>
          <w:lang w:val="en-US"/>
        </w:rPr>
        <w:t xml:space="preserve"> stratified p-value was one-sided based on CMH test using the Greenland and Robins method to adjust for stratification factors: spleen size by palpation and platelet counts. The third stratification factor 'refractory/relapsed or intolerance to </w:t>
      </w:r>
      <w:proofErr w:type="spellStart"/>
      <w:r w:rsidRPr="00203F51">
        <w:rPr>
          <w:rFonts w:cs="Times New Roman"/>
          <w:color w:val="000000"/>
          <w:sz w:val="16"/>
          <w:szCs w:val="16"/>
          <w:lang w:val="en-US"/>
        </w:rPr>
        <w:t>ruxolitinib</w:t>
      </w:r>
      <w:proofErr w:type="spellEnd"/>
      <w:r w:rsidRPr="00203F51">
        <w:rPr>
          <w:rFonts w:cs="Times New Roman"/>
          <w:color w:val="000000"/>
          <w:sz w:val="16"/>
          <w:szCs w:val="16"/>
          <w:lang w:val="en-US"/>
        </w:rPr>
        <w:t xml:space="preserve"> treatment' was dropped due to small cell count issue.</w:t>
      </w:r>
    </w:p>
    <w:p w14:paraId="4A4E7557" w14:textId="77777777" w:rsidR="000E5A8A" w:rsidRPr="00203F51" w:rsidRDefault="000E5A8A" w:rsidP="000E5A8A">
      <w:pPr>
        <w:spacing w:after="0"/>
        <w:rPr>
          <w:rFonts w:cs="Times New Roman"/>
          <w:color w:val="000000"/>
          <w:sz w:val="16"/>
          <w:szCs w:val="16"/>
          <w:lang w:val="en-US"/>
        </w:rPr>
      </w:pPr>
      <w:r w:rsidRPr="00203F51">
        <w:rPr>
          <w:rStyle w:val="BMSSuperscript"/>
        </w:rPr>
        <w:t>d</w:t>
      </w:r>
      <w:r w:rsidRPr="00203F51">
        <w:rPr>
          <w:rFonts w:cs="Times New Roman"/>
          <w:color w:val="000000"/>
          <w:sz w:val="16"/>
          <w:szCs w:val="16"/>
          <w:lang w:val="en-US"/>
        </w:rPr>
        <w:t xml:space="preserve"> </w:t>
      </w:r>
      <w:proofErr w:type="gramStart"/>
      <w:r w:rsidRPr="00203F51">
        <w:rPr>
          <w:rFonts w:cs="Times New Roman"/>
          <w:color w:val="000000"/>
          <w:sz w:val="16"/>
          <w:szCs w:val="16"/>
          <w:lang w:val="en-US"/>
        </w:rPr>
        <w:t>The</w:t>
      </w:r>
      <w:proofErr w:type="gramEnd"/>
      <w:r w:rsidRPr="00203F51">
        <w:rPr>
          <w:rFonts w:cs="Times New Roman"/>
          <w:color w:val="000000"/>
          <w:sz w:val="16"/>
          <w:szCs w:val="16"/>
          <w:lang w:val="en-US"/>
        </w:rPr>
        <w:t xml:space="preserve"> 95% CI of the difference was based on Greenland and Robins method.</w:t>
      </w:r>
    </w:p>
    <w:p w14:paraId="3EF86EDC" w14:textId="77777777" w:rsidR="000E5A8A" w:rsidRPr="00203F51" w:rsidRDefault="000E5A8A" w:rsidP="000E5A8A">
      <w:pPr>
        <w:spacing w:after="0"/>
        <w:rPr>
          <w:rFonts w:cs="Times New Roman"/>
          <w:color w:val="000000"/>
          <w:sz w:val="16"/>
          <w:szCs w:val="16"/>
          <w:lang w:val="en-US"/>
        </w:rPr>
      </w:pPr>
      <w:r w:rsidRPr="00203F51">
        <w:rPr>
          <w:rStyle w:val="BMSSuperscript"/>
        </w:rPr>
        <w:t>e</w:t>
      </w:r>
      <w:r w:rsidRPr="00203F51">
        <w:rPr>
          <w:rFonts w:cs="Times New Roman"/>
          <w:color w:val="000000"/>
          <w:sz w:val="16"/>
          <w:szCs w:val="16"/>
          <w:lang w:val="en-US"/>
        </w:rPr>
        <w:t xml:space="preserve"> </w:t>
      </w:r>
      <w:proofErr w:type="gramStart"/>
      <w:r w:rsidRPr="00203F51">
        <w:rPr>
          <w:rFonts w:cs="Times New Roman"/>
          <w:color w:val="000000"/>
          <w:sz w:val="16"/>
          <w:szCs w:val="16"/>
          <w:lang w:val="en-US"/>
        </w:rPr>
        <w:t>The</w:t>
      </w:r>
      <w:proofErr w:type="gramEnd"/>
      <w:r w:rsidRPr="00203F51">
        <w:rPr>
          <w:rFonts w:cs="Times New Roman"/>
          <w:color w:val="000000"/>
          <w:sz w:val="16"/>
          <w:szCs w:val="16"/>
          <w:lang w:val="en-US"/>
        </w:rPr>
        <w:t xml:space="preserve"> unstratified p-value was one-sided based on the z-test with an un-pooled estimate of variance.</w:t>
      </w:r>
    </w:p>
    <w:p w14:paraId="678F2BB0" w14:textId="5791CFA2" w:rsidR="001A3992" w:rsidRPr="000A4651" w:rsidRDefault="00E61227" w:rsidP="002C18CF">
      <w:pPr>
        <w:pStyle w:val="Heading2"/>
      </w:pPr>
      <w:r w:rsidRPr="000A4651">
        <w:t>Pharmacokinetic properties</w:t>
      </w:r>
    </w:p>
    <w:p w14:paraId="7A8BF47F" w14:textId="3DA5F203" w:rsidR="001A3992" w:rsidRDefault="001A3992" w:rsidP="001A5A2A">
      <w:pPr>
        <w:pStyle w:val="Heading3"/>
        <w:rPr>
          <w:rFonts w:hint="eastAsia"/>
        </w:rPr>
      </w:pPr>
      <w:r w:rsidRPr="000A4651">
        <w:t>Absorption</w:t>
      </w:r>
    </w:p>
    <w:p w14:paraId="6309D996" w14:textId="6270722F" w:rsidR="009D4DF3" w:rsidRPr="009D4DF3" w:rsidRDefault="009D4DF3" w:rsidP="009D4DF3">
      <w:pPr>
        <w:rPr>
          <w:rFonts w:cs="Times New Roman"/>
          <w:lang w:val="en-US"/>
        </w:rPr>
      </w:pPr>
      <w:proofErr w:type="spellStart"/>
      <w:r w:rsidRPr="009D4DF3">
        <w:rPr>
          <w:rFonts w:cs="Times New Roman"/>
          <w:lang w:val="en-US"/>
        </w:rPr>
        <w:t>Fedratinib</w:t>
      </w:r>
      <w:proofErr w:type="spellEnd"/>
      <w:r w:rsidRPr="009D4DF3">
        <w:rPr>
          <w:rFonts w:cs="Times New Roman"/>
          <w:lang w:val="en-US"/>
        </w:rPr>
        <w:t xml:space="preserve"> at 300</w:t>
      </w:r>
      <w:r w:rsidR="004E509C">
        <w:rPr>
          <w:rFonts w:cs="Times New Roman"/>
          <w:lang w:val="en-US"/>
        </w:rPr>
        <w:t> </w:t>
      </w:r>
      <w:r w:rsidRPr="009D4DF3">
        <w:rPr>
          <w:rFonts w:cs="Times New Roman"/>
          <w:lang w:val="en-US"/>
        </w:rPr>
        <w:t>mg to 500</w:t>
      </w:r>
      <w:r w:rsidR="004E509C">
        <w:rPr>
          <w:rFonts w:cs="Times New Roman"/>
          <w:lang w:val="en-US"/>
        </w:rPr>
        <w:t> </w:t>
      </w:r>
      <w:r w:rsidRPr="009D4DF3">
        <w:rPr>
          <w:rFonts w:cs="Times New Roman"/>
          <w:lang w:val="en-US"/>
        </w:rPr>
        <w:t>mg once daily (0.75 to 1.25 times the recommended dose of 400</w:t>
      </w:r>
      <w:r w:rsidR="004E509C">
        <w:rPr>
          <w:rFonts w:cs="Times New Roman"/>
          <w:lang w:val="en-US"/>
        </w:rPr>
        <w:t> </w:t>
      </w:r>
      <w:r w:rsidRPr="009D4DF3">
        <w:rPr>
          <w:rFonts w:cs="Times New Roman"/>
          <w:lang w:val="en-US"/>
        </w:rPr>
        <w:t>mg)</w:t>
      </w:r>
      <w:r>
        <w:rPr>
          <w:rFonts w:cs="Times New Roman"/>
          <w:lang w:val="en-US"/>
        </w:rPr>
        <w:t xml:space="preserve"> </w:t>
      </w:r>
      <w:r w:rsidRPr="009D4DF3">
        <w:rPr>
          <w:rFonts w:cs="Times New Roman"/>
          <w:lang w:val="en-US"/>
        </w:rPr>
        <w:t xml:space="preserve">results in a dose proportional increase in geometric mean </w:t>
      </w:r>
      <w:proofErr w:type="spellStart"/>
      <w:r w:rsidRPr="009D4DF3">
        <w:rPr>
          <w:rFonts w:cs="Times New Roman"/>
          <w:lang w:val="en-US"/>
        </w:rPr>
        <w:t>fedratinib</w:t>
      </w:r>
      <w:proofErr w:type="spellEnd"/>
      <w:r w:rsidRPr="009D4DF3">
        <w:rPr>
          <w:rFonts w:cs="Times New Roman"/>
          <w:lang w:val="en-US"/>
        </w:rPr>
        <w:t xml:space="preserve"> peak concentrations (</w:t>
      </w:r>
      <w:proofErr w:type="spellStart"/>
      <w:r w:rsidRPr="009D4DF3">
        <w:rPr>
          <w:rFonts w:cs="Times New Roman"/>
          <w:lang w:val="en-US"/>
        </w:rPr>
        <w:t>C</w:t>
      </w:r>
      <w:r w:rsidRPr="00E70A7B">
        <w:rPr>
          <w:rFonts w:cs="Times New Roman"/>
          <w:vertAlign w:val="subscript"/>
          <w:lang w:val="en-US"/>
        </w:rPr>
        <w:t>max</w:t>
      </w:r>
      <w:proofErr w:type="spellEnd"/>
      <w:r w:rsidRPr="009D4DF3">
        <w:rPr>
          <w:rFonts w:cs="Times New Roman"/>
          <w:lang w:val="en-US"/>
        </w:rPr>
        <w:t>) and the</w:t>
      </w:r>
      <w:r>
        <w:rPr>
          <w:rFonts w:cs="Times New Roman"/>
          <w:lang w:val="en-US"/>
        </w:rPr>
        <w:t xml:space="preserve"> </w:t>
      </w:r>
      <w:r w:rsidRPr="009D4DF3">
        <w:rPr>
          <w:rFonts w:cs="Times New Roman"/>
          <w:lang w:val="en-US"/>
        </w:rPr>
        <w:t>area under the plasma concentration time curve over the dosing interval (AUC</w:t>
      </w:r>
      <w:r w:rsidRPr="00E70A7B">
        <w:rPr>
          <w:rFonts w:cs="Times New Roman"/>
          <w:vertAlign w:val="subscript"/>
          <w:lang w:val="en-US"/>
        </w:rPr>
        <w:t>tau</w:t>
      </w:r>
      <w:r w:rsidRPr="009D4DF3">
        <w:rPr>
          <w:rFonts w:cs="Times New Roman"/>
          <w:lang w:val="en-US"/>
        </w:rPr>
        <w:t>). The mean steady</w:t>
      </w:r>
      <w:r>
        <w:rPr>
          <w:rFonts w:cs="Times New Roman"/>
          <w:lang w:val="en-US"/>
        </w:rPr>
        <w:t xml:space="preserve"> </w:t>
      </w:r>
      <w:r w:rsidRPr="009D4DF3">
        <w:rPr>
          <w:rFonts w:cs="Times New Roman"/>
          <w:lang w:val="en-US"/>
        </w:rPr>
        <w:t>state levels are achieved within 15</w:t>
      </w:r>
      <w:r w:rsidR="004E509C">
        <w:rPr>
          <w:rFonts w:cs="Times New Roman"/>
          <w:lang w:val="en-US"/>
        </w:rPr>
        <w:t> </w:t>
      </w:r>
      <w:r w:rsidRPr="009D4DF3">
        <w:rPr>
          <w:rFonts w:cs="Times New Roman"/>
          <w:lang w:val="en-US"/>
        </w:rPr>
        <w:t>days of daily dosing. The mean accumulation ratio ranged between</w:t>
      </w:r>
      <w:r>
        <w:rPr>
          <w:rFonts w:cs="Times New Roman"/>
          <w:lang w:val="en-US"/>
        </w:rPr>
        <w:t xml:space="preserve"> </w:t>
      </w:r>
      <w:r w:rsidRPr="009D4DF3">
        <w:rPr>
          <w:rFonts w:cs="Times New Roman"/>
          <w:lang w:val="en-US"/>
        </w:rPr>
        <w:t>3- to 4-fold.</w:t>
      </w:r>
    </w:p>
    <w:p w14:paraId="258545F9" w14:textId="716A492C" w:rsidR="009D4DF3" w:rsidRPr="009D4DF3" w:rsidRDefault="009D4DF3" w:rsidP="009D4DF3">
      <w:pPr>
        <w:rPr>
          <w:rFonts w:cs="Times New Roman"/>
          <w:lang w:val="en-US"/>
        </w:rPr>
      </w:pPr>
      <w:r w:rsidRPr="009D4DF3">
        <w:rPr>
          <w:rFonts w:cs="Times New Roman"/>
          <w:lang w:val="en-US"/>
        </w:rPr>
        <w:t>At the dose of 400</w:t>
      </w:r>
      <w:r w:rsidR="004E509C">
        <w:rPr>
          <w:rFonts w:cs="Times New Roman"/>
          <w:lang w:val="en-US"/>
        </w:rPr>
        <w:t> </w:t>
      </w:r>
      <w:r w:rsidRPr="009D4DF3">
        <w:rPr>
          <w:rFonts w:cs="Times New Roman"/>
          <w:lang w:val="en-US"/>
        </w:rPr>
        <w:t xml:space="preserve">mg once daily, the geometric mean (coefficient of variation, %CV) </w:t>
      </w:r>
      <w:proofErr w:type="spellStart"/>
      <w:r w:rsidRPr="009D4DF3">
        <w:rPr>
          <w:rFonts w:cs="Times New Roman"/>
          <w:lang w:val="en-US"/>
        </w:rPr>
        <w:t>fedratinib</w:t>
      </w:r>
      <w:proofErr w:type="spellEnd"/>
      <w:r w:rsidRPr="009D4DF3">
        <w:rPr>
          <w:rFonts w:cs="Times New Roman"/>
          <w:lang w:val="en-US"/>
        </w:rPr>
        <w:t xml:space="preserve"> </w:t>
      </w:r>
      <w:proofErr w:type="spellStart"/>
      <w:r w:rsidRPr="009D4DF3">
        <w:rPr>
          <w:rFonts w:cs="Times New Roman"/>
          <w:lang w:val="en-US"/>
        </w:rPr>
        <w:t>C</w:t>
      </w:r>
      <w:r w:rsidRPr="00E70A7B">
        <w:rPr>
          <w:rFonts w:cs="Times New Roman"/>
          <w:vertAlign w:val="subscript"/>
          <w:lang w:val="en-US"/>
        </w:rPr>
        <w:t>max</w:t>
      </w:r>
      <w:proofErr w:type="spellEnd"/>
      <w:r>
        <w:rPr>
          <w:rFonts w:cs="Times New Roman"/>
          <w:lang w:val="en-US"/>
        </w:rPr>
        <w:t xml:space="preserve"> </w:t>
      </w:r>
      <w:r w:rsidRPr="009D4DF3">
        <w:rPr>
          <w:rFonts w:cs="Times New Roman"/>
          <w:lang w:val="en-US"/>
        </w:rPr>
        <w:t>is 1804</w:t>
      </w:r>
      <w:r w:rsidR="004E509C">
        <w:rPr>
          <w:rFonts w:cs="Times New Roman"/>
          <w:lang w:val="en-US"/>
        </w:rPr>
        <w:t> </w:t>
      </w:r>
      <w:r w:rsidRPr="009D4DF3">
        <w:rPr>
          <w:rFonts w:cs="Times New Roman"/>
          <w:lang w:val="en-US"/>
        </w:rPr>
        <w:t>ng/mL (49%) and AUC</w:t>
      </w:r>
      <w:r w:rsidRPr="00456590">
        <w:rPr>
          <w:rFonts w:cs="Times New Roman"/>
          <w:vertAlign w:val="subscript"/>
          <w:lang w:val="en-US"/>
        </w:rPr>
        <w:t>tau</w:t>
      </w:r>
      <w:r w:rsidRPr="009D4DF3">
        <w:rPr>
          <w:rFonts w:cs="Times New Roman"/>
          <w:lang w:val="en-US"/>
        </w:rPr>
        <w:t xml:space="preserve"> is 26870</w:t>
      </w:r>
      <w:r w:rsidR="004E509C">
        <w:rPr>
          <w:rFonts w:cs="Times New Roman"/>
          <w:lang w:val="en-US"/>
        </w:rPr>
        <w:t> </w:t>
      </w:r>
      <w:r w:rsidRPr="009D4DF3">
        <w:rPr>
          <w:rFonts w:cs="Times New Roman"/>
          <w:lang w:val="en-US"/>
        </w:rPr>
        <w:t>ng.hr/mL (43%) in patients with myelofibrosis.</w:t>
      </w:r>
    </w:p>
    <w:p w14:paraId="4DAC95D6" w14:textId="60F68953" w:rsidR="009D4DF3" w:rsidRPr="009D4DF3" w:rsidRDefault="009D4DF3" w:rsidP="009D4DF3">
      <w:pPr>
        <w:rPr>
          <w:rFonts w:cs="Times New Roman"/>
          <w:lang w:val="en-US"/>
        </w:rPr>
      </w:pPr>
      <w:r w:rsidRPr="009D4DF3">
        <w:rPr>
          <w:rFonts w:cs="Times New Roman"/>
          <w:lang w:val="en-US"/>
        </w:rPr>
        <w:t>Following 400</w:t>
      </w:r>
      <w:r w:rsidR="004E509C">
        <w:rPr>
          <w:rFonts w:cs="Times New Roman"/>
          <w:lang w:val="en-US"/>
        </w:rPr>
        <w:t> </w:t>
      </w:r>
      <w:r w:rsidRPr="009D4DF3">
        <w:rPr>
          <w:rFonts w:cs="Times New Roman"/>
          <w:lang w:val="en-US"/>
        </w:rPr>
        <w:t xml:space="preserve">mg once daily oral administration, </w:t>
      </w:r>
      <w:proofErr w:type="spellStart"/>
      <w:r w:rsidRPr="009D4DF3">
        <w:rPr>
          <w:rFonts w:cs="Times New Roman"/>
          <w:lang w:val="en-US"/>
        </w:rPr>
        <w:t>fedratinib</w:t>
      </w:r>
      <w:proofErr w:type="spellEnd"/>
      <w:r w:rsidRPr="009D4DF3">
        <w:rPr>
          <w:rFonts w:cs="Times New Roman"/>
          <w:lang w:val="en-US"/>
        </w:rPr>
        <w:t xml:space="preserve"> is rapidly absorbed, achieving </w:t>
      </w:r>
      <w:proofErr w:type="spellStart"/>
      <w:r w:rsidRPr="009D4DF3">
        <w:rPr>
          <w:rFonts w:cs="Times New Roman"/>
          <w:lang w:val="en-US"/>
        </w:rPr>
        <w:t>C</w:t>
      </w:r>
      <w:r w:rsidRPr="00E70A7B">
        <w:rPr>
          <w:rFonts w:cs="Times New Roman"/>
          <w:vertAlign w:val="subscript"/>
          <w:lang w:val="en-US"/>
        </w:rPr>
        <w:t>max</w:t>
      </w:r>
      <w:proofErr w:type="spellEnd"/>
      <w:r w:rsidRPr="009D4DF3">
        <w:rPr>
          <w:rFonts w:cs="Times New Roman"/>
          <w:lang w:val="en-US"/>
        </w:rPr>
        <w:t xml:space="preserve"> at</w:t>
      </w:r>
      <w:r>
        <w:rPr>
          <w:rFonts w:cs="Times New Roman"/>
          <w:lang w:val="en-US"/>
        </w:rPr>
        <w:t xml:space="preserve"> </w:t>
      </w:r>
      <w:proofErr w:type="gramStart"/>
      <w:r w:rsidRPr="009D4DF3">
        <w:rPr>
          <w:rFonts w:cs="Times New Roman"/>
          <w:lang w:val="en-US"/>
        </w:rPr>
        <w:t>steady-state</w:t>
      </w:r>
      <w:proofErr w:type="gramEnd"/>
      <w:r w:rsidRPr="009D4DF3">
        <w:rPr>
          <w:rFonts w:cs="Times New Roman"/>
          <w:lang w:val="en-US"/>
        </w:rPr>
        <w:t xml:space="preserve"> in 3</w:t>
      </w:r>
      <w:r w:rsidR="004E509C">
        <w:rPr>
          <w:rFonts w:cs="Times New Roman"/>
          <w:lang w:val="en-US"/>
        </w:rPr>
        <w:t> </w:t>
      </w:r>
      <w:r w:rsidRPr="009D4DF3">
        <w:rPr>
          <w:rFonts w:cs="Times New Roman"/>
          <w:lang w:val="en-US"/>
        </w:rPr>
        <w:t>hours (range: 2 to 4</w:t>
      </w:r>
      <w:r w:rsidR="004E509C">
        <w:rPr>
          <w:rFonts w:cs="Times New Roman"/>
          <w:lang w:val="en-US"/>
        </w:rPr>
        <w:t> </w:t>
      </w:r>
      <w:r w:rsidRPr="009D4DF3">
        <w:rPr>
          <w:rFonts w:cs="Times New Roman"/>
          <w:lang w:val="en-US"/>
        </w:rPr>
        <w:t>hours). Based on a mass balance study in humans, oral absorption</w:t>
      </w:r>
      <w:r>
        <w:rPr>
          <w:rFonts w:cs="Times New Roman"/>
          <w:lang w:val="en-US"/>
        </w:rPr>
        <w:t xml:space="preserve"> </w:t>
      </w:r>
      <w:r w:rsidRPr="009D4DF3">
        <w:rPr>
          <w:rFonts w:cs="Times New Roman"/>
          <w:lang w:val="en-US"/>
        </w:rPr>
        <w:t xml:space="preserve">of </w:t>
      </w:r>
      <w:proofErr w:type="spellStart"/>
      <w:r w:rsidRPr="009D4DF3">
        <w:rPr>
          <w:rFonts w:cs="Times New Roman"/>
          <w:lang w:val="en-US"/>
        </w:rPr>
        <w:t>fedratinib</w:t>
      </w:r>
      <w:proofErr w:type="spellEnd"/>
      <w:r w:rsidRPr="009D4DF3">
        <w:rPr>
          <w:rFonts w:cs="Times New Roman"/>
          <w:lang w:val="en-US"/>
        </w:rPr>
        <w:t xml:space="preserve"> is estimated to be approximately 77%.</w:t>
      </w:r>
    </w:p>
    <w:p w14:paraId="70FD15DF" w14:textId="77777777" w:rsidR="009D4DF3" w:rsidRPr="009D4DF3" w:rsidRDefault="009D4DF3" w:rsidP="009D4DF3">
      <w:pPr>
        <w:rPr>
          <w:rFonts w:cs="Times New Roman"/>
          <w:u w:val="single"/>
          <w:lang w:val="en-US"/>
        </w:rPr>
      </w:pPr>
      <w:r w:rsidRPr="009D4DF3">
        <w:rPr>
          <w:rFonts w:cs="Times New Roman"/>
          <w:u w:val="single"/>
          <w:lang w:val="en-US"/>
        </w:rPr>
        <w:t>Food Effect</w:t>
      </w:r>
    </w:p>
    <w:p w14:paraId="5AD7A203" w14:textId="6CFF0F24" w:rsidR="009D4DF3" w:rsidRPr="009D4DF3" w:rsidRDefault="009D4DF3" w:rsidP="009D4DF3">
      <w:pPr>
        <w:rPr>
          <w:rFonts w:cs="Times New Roman"/>
          <w:lang w:val="en-US"/>
        </w:rPr>
      </w:pPr>
      <w:r w:rsidRPr="009D4DF3">
        <w:rPr>
          <w:rFonts w:cs="Times New Roman"/>
          <w:lang w:val="en-US"/>
        </w:rPr>
        <w:t>A low-fat, low-calorie (total 162 calories: 6% from fat, 78% from carbohydrate and 16% from protein)</w:t>
      </w:r>
      <w:r>
        <w:rPr>
          <w:rFonts w:cs="Times New Roman"/>
          <w:lang w:val="en-US"/>
        </w:rPr>
        <w:t xml:space="preserve"> </w:t>
      </w:r>
      <w:r w:rsidRPr="009D4DF3">
        <w:rPr>
          <w:rFonts w:cs="Times New Roman"/>
          <w:lang w:val="en-US"/>
        </w:rPr>
        <w:t>or a high-fat, high-calorie (total 815 calories: 52% from fat, 33% from carbohydrate and 15% from</w:t>
      </w:r>
      <w:r>
        <w:rPr>
          <w:rFonts w:cs="Times New Roman"/>
          <w:lang w:val="en-US"/>
        </w:rPr>
        <w:t xml:space="preserve"> </w:t>
      </w:r>
      <w:r w:rsidRPr="009D4DF3">
        <w:rPr>
          <w:rFonts w:cs="Times New Roman"/>
          <w:lang w:val="en-US"/>
        </w:rPr>
        <w:t>protein) meal increased area under the curve over time to infinity (AUC</w:t>
      </w:r>
      <w:r w:rsidRPr="00E70A7B">
        <w:rPr>
          <w:rFonts w:cs="Times New Roman"/>
          <w:vertAlign w:val="subscript"/>
          <w:lang w:val="en-US"/>
        </w:rPr>
        <w:t>inf</w:t>
      </w:r>
      <w:r w:rsidRPr="009D4DF3">
        <w:rPr>
          <w:rFonts w:cs="Times New Roman"/>
          <w:lang w:val="en-US"/>
        </w:rPr>
        <w:t xml:space="preserve">) up to 24% and </w:t>
      </w:r>
      <w:proofErr w:type="spellStart"/>
      <w:r w:rsidRPr="009D4DF3">
        <w:rPr>
          <w:rFonts w:cs="Times New Roman"/>
          <w:lang w:val="en-US"/>
        </w:rPr>
        <w:t>C</w:t>
      </w:r>
      <w:r w:rsidRPr="00E70A7B">
        <w:rPr>
          <w:rFonts w:cs="Times New Roman"/>
          <w:vertAlign w:val="subscript"/>
          <w:lang w:val="en-US"/>
        </w:rPr>
        <w:t>max</w:t>
      </w:r>
      <w:proofErr w:type="spellEnd"/>
      <w:r w:rsidRPr="009D4DF3">
        <w:rPr>
          <w:rFonts w:cs="Times New Roman"/>
          <w:lang w:val="en-US"/>
        </w:rPr>
        <w:t xml:space="preserve"> up to</w:t>
      </w:r>
      <w:r>
        <w:rPr>
          <w:rFonts w:cs="Times New Roman"/>
          <w:lang w:val="en-US"/>
        </w:rPr>
        <w:t xml:space="preserve"> </w:t>
      </w:r>
      <w:r w:rsidRPr="009D4DF3">
        <w:rPr>
          <w:rFonts w:cs="Times New Roman"/>
          <w:lang w:val="en-US"/>
        </w:rPr>
        <w:t>14% of a single 500</w:t>
      </w:r>
      <w:r w:rsidR="00253E6C">
        <w:rPr>
          <w:rFonts w:cs="Times New Roman"/>
          <w:lang w:val="en-US"/>
        </w:rPr>
        <w:t> </w:t>
      </w:r>
      <w:r w:rsidRPr="009D4DF3">
        <w:rPr>
          <w:rFonts w:cs="Times New Roman"/>
          <w:lang w:val="en-US"/>
        </w:rPr>
        <w:t xml:space="preserve">mg dose of </w:t>
      </w:r>
      <w:proofErr w:type="spellStart"/>
      <w:r w:rsidRPr="009D4DF3">
        <w:rPr>
          <w:rFonts w:cs="Times New Roman"/>
          <w:lang w:val="en-US"/>
        </w:rPr>
        <w:t>fedratinib</w:t>
      </w:r>
      <w:proofErr w:type="spellEnd"/>
      <w:r w:rsidRPr="009D4DF3">
        <w:rPr>
          <w:rFonts w:cs="Times New Roman"/>
          <w:lang w:val="en-US"/>
        </w:rPr>
        <w:t xml:space="preserve">. Thus, </w:t>
      </w:r>
      <w:proofErr w:type="spellStart"/>
      <w:r w:rsidRPr="009D4DF3">
        <w:rPr>
          <w:rFonts w:cs="Times New Roman"/>
          <w:lang w:val="en-US"/>
        </w:rPr>
        <w:t>fedratinib</w:t>
      </w:r>
      <w:proofErr w:type="spellEnd"/>
      <w:r w:rsidRPr="009D4DF3">
        <w:rPr>
          <w:rFonts w:cs="Times New Roman"/>
          <w:lang w:val="en-US"/>
        </w:rPr>
        <w:t xml:space="preserve"> can be taken with or without food since no</w:t>
      </w:r>
      <w:r>
        <w:rPr>
          <w:rFonts w:cs="Times New Roman"/>
          <w:lang w:val="en-US"/>
        </w:rPr>
        <w:t xml:space="preserve"> </w:t>
      </w:r>
      <w:r w:rsidRPr="009D4DF3">
        <w:rPr>
          <w:rFonts w:cs="Times New Roman"/>
          <w:lang w:val="en-US"/>
        </w:rPr>
        <w:t xml:space="preserve">clinically meaningful effect on the pharmacokinetics of </w:t>
      </w:r>
      <w:proofErr w:type="spellStart"/>
      <w:r w:rsidRPr="009D4DF3">
        <w:rPr>
          <w:rFonts w:cs="Times New Roman"/>
          <w:lang w:val="en-US"/>
        </w:rPr>
        <w:t>fedratinib</w:t>
      </w:r>
      <w:proofErr w:type="spellEnd"/>
      <w:r w:rsidRPr="009D4DF3">
        <w:rPr>
          <w:rFonts w:cs="Times New Roman"/>
          <w:lang w:val="en-US"/>
        </w:rPr>
        <w:t xml:space="preserve"> was observed with food.</w:t>
      </w:r>
      <w:r>
        <w:rPr>
          <w:rFonts w:cs="Times New Roman"/>
          <w:lang w:val="en-US"/>
        </w:rPr>
        <w:t xml:space="preserve"> </w:t>
      </w:r>
      <w:r w:rsidRPr="009D4DF3">
        <w:rPr>
          <w:rFonts w:cs="Times New Roman"/>
          <w:lang w:val="en-US"/>
        </w:rPr>
        <w:t>Administration with a high fat meal may reduce the incidence of nausea and vomiting and thus</w:t>
      </w:r>
      <w:r>
        <w:rPr>
          <w:rFonts w:cs="Times New Roman"/>
          <w:lang w:val="en-US"/>
        </w:rPr>
        <w:t xml:space="preserve"> </w:t>
      </w:r>
      <w:proofErr w:type="spellStart"/>
      <w:r w:rsidRPr="009D4DF3">
        <w:rPr>
          <w:rFonts w:cs="Times New Roman"/>
          <w:lang w:val="en-US"/>
        </w:rPr>
        <w:t>fedratinib</w:t>
      </w:r>
      <w:proofErr w:type="spellEnd"/>
      <w:r w:rsidRPr="009D4DF3">
        <w:rPr>
          <w:rFonts w:cs="Times New Roman"/>
          <w:lang w:val="en-US"/>
        </w:rPr>
        <w:t xml:space="preserve"> is recommended to be taken with food.</w:t>
      </w:r>
    </w:p>
    <w:p w14:paraId="662FAC1D" w14:textId="784DC6FC" w:rsidR="001A3992" w:rsidRDefault="001A3992" w:rsidP="009D4DF3">
      <w:pPr>
        <w:pStyle w:val="Heading3"/>
        <w:rPr>
          <w:rFonts w:hint="eastAsia"/>
        </w:rPr>
      </w:pPr>
      <w:r w:rsidRPr="000A4651">
        <w:t>Distribution</w:t>
      </w:r>
    </w:p>
    <w:p w14:paraId="3CF2016E" w14:textId="3A37AC16" w:rsidR="00456590" w:rsidRPr="00456590" w:rsidRDefault="00456590" w:rsidP="00456590">
      <w:pPr>
        <w:rPr>
          <w:rFonts w:cs="Times New Roman"/>
          <w:lang w:val="en-US"/>
        </w:rPr>
      </w:pPr>
      <w:r w:rsidRPr="00456590">
        <w:rPr>
          <w:rFonts w:cs="Times New Roman"/>
          <w:lang w:val="en-US"/>
        </w:rPr>
        <w:t xml:space="preserve">The apparent volume of distribution of </w:t>
      </w:r>
      <w:proofErr w:type="spellStart"/>
      <w:r w:rsidRPr="00456590">
        <w:rPr>
          <w:rFonts w:cs="Times New Roman"/>
          <w:lang w:val="en-US"/>
        </w:rPr>
        <w:t>fedratinib</w:t>
      </w:r>
      <w:proofErr w:type="spellEnd"/>
      <w:r w:rsidRPr="00456590">
        <w:rPr>
          <w:rFonts w:cs="Times New Roman"/>
          <w:lang w:val="en-US"/>
        </w:rPr>
        <w:t xml:space="preserve"> at </w:t>
      </w:r>
      <w:proofErr w:type="gramStart"/>
      <w:r w:rsidRPr="00456590">
        <w:rPr>
          <w:rFonts w:cs="Times New Roman"/>
          <w:lang w:val="en-US"/>
        </w:rPr>
        <w:t>steady-state</w:t>
      </w:r>
      <w:proofErr w:type="gramEnd"/>
      <w:r w:rsidRPr="00456590">
        <w:rPr>
          <w:rFonts w:cs="Times New Roman"/>
          <w:lang w:val="en-US"/>
        </w:rPr>
        <w:t xml:space="preserve"> is 1770</w:t>
      </w:r>
      <w:r w:rsidR="0067672E">
        <w:rPr>
          <w:rFonts w:cs="Times New Roman"/>
          <w:lang w:val="en-US"/>
        </w:rPr>
        <w:t> </w:t>
      </w:r>
      <w:r w:rsidRPr="00456590">
        <w:rPr>
          <w:rFonts w:cs="Times New Roman"/>
          <w:lang w:val="en-US"/>
        </w:rPr>
        <w:t>L in patients with myelofibrosis at 400</w:t>
      </w:r>
      <w:r w:rsidR="0067672E">
        <w:rPr>
          <w:rFonts w:cs="Times New Roman"/>
          <w:lang w:val="en-US"/>
        </w:rPr>
        <w:t> </w:t>
      </w:r>
      <w:r w:rsidRPr="00456590">
        <w:rPr>
          <w:rFonts w:cs="Times New Roman"/>
          <w:lang w:val="en-US"/>
        </w:rPr>
        <w:t xml:space="preserve">mg once daily dose suggesting extensive tissue distribution. The human plasma protein binding of </w:t>
      </w:r>
      <w:proofErr w:type="spellStart"/>
      <w:r w:rsidRPr="00456590">
        <w:rPr>
          <w:rFonts w:cs="Times New Roman"/>
          <w:lang w:val="en-US"/>
        </w:rPr>
        <w:t>fedratinib</w:t>
      </w:r>
      <w:proofErr w:type="spellEnd"/>
      <w:r w:rsidRPr="00456590">
        <w:rPr>
          <w:rFonts w:cs="Times New Roman"/>
          <w:lang w:val="en-US"/>
        </w:rPr>
        <w:t xml:space="preserve"> is</w:t>
      </w:r>
      <w:r>
        <w:rPr>
          <w:rFonts w:cs="Times New Roman"/>
          <w:lang w:val="en-US"/>
        </w:rPr>
        <w:t xml:space="preserve"> </w:t>
      </w:r>
      <w:r w:rsidRPr="00456590">
        <w:rPr>
          <w:rFonts w:cs="Times New Roman"/>
          <w:lang w:val="en-US"/>
        </w:rPr>
        <w:t xml:space="preserve">approximately 92%, mostly to </w:t>
      </w:r>
      <w:r>
        <w:rPr>
          <w:rFonts w:cs="Times New Roman"/>
          <w:lang w:val="en-US"/>
        </w:rPr>
        <w:t>α</w:t>
      </w:r>
      <w:r w:rsidRPr="00D17798">
        <w:rPr>
          <w:rFonts w:cs="Times New Roman"/>
          <w:vertAlign w:val="subscript"/>
          <w:lang w:val="en-US"/>
        </w:rPr>
        <w:t>1</w:t>
      </w:r>
      <w:r w:rsidRPr="00456590">
        <w:rPr>
          <w:rFonts w:cs="Times New Roman"/>
          <w:lang w:val="en-US"/>
        </w:rPr>
        <w:t>-acid glycoprotein.</w:t>
      </w:r>
    </w:p>
    <w:p w14:paraId="4DEAB7AA" w14:textId="77777777" w:rsidR="001A3992" w:rsidRDefault="001A3992" w:rsidP="001A5A2A">
      <w:pPr>
        <w:pStyle w:val="Heading3"/>
        <w:rPr>
          <w:rFonts w:hint="eastAsia"/>
        </w:rPr>
      </w:pPr>
      <w:r w:rsidRPr="000A4651">
        <w:lastRenderedPageBreak/>
        <w:t>Metabolism</w:t>
      </w:r>
    </w:p>
    <w:p w14:paraId="0789E31C" w14:textId="58214DC3" w:rsidR="000C1E29" w:rsidRPr="000C1E29" w:rsidRDefault="000C1E29" w:rsidP="000C1E29">
      <w:pPr>
        <w:rPr>
          <w:rFonts w:cs="Times New Roman"/>
          <w:lang w:val="en-US"/>
        </w:rPr>
      </w:pPr>
      <w:proofErr w:type="spellStart"/>
      <w:r w:rsidRPr="000C1E29">
        <w:rPr>
          <w:rFonts w:cs="Times New Roman"/>
          <w:lang w:val="en-US"/>
        </w:rPr>
        <w:t>Fedratinib</w:t>
      </w:r>
      <w:proofErr w:type="spellEnd"/>
      <w:r w:rsidRPr="000C1E29">
        <w:rPr>
          <w:rFonts w:cs="Times New Roman"/>
          <w:lang w:val="en-US"/>
        </w:rPr>
        <w:t xml:space="preserve"> is </w:t>
      </w:r>
      <w:r w:rsidR="00331562">
        <w:rPr>
          <w:rFonts w:cs="Times New Roman"/>
          <w:lang w:val="en-US"/>
        </w:rPr>
        <w:t xml:space="preserve">chiefly </w:t>
      </w:r>
      <w:proofErr w:type="spellStart"/>
      <w:r w:rsidRPr="000C1E29">
        <w:rPr>
          <w:rFonts w:cs="Times New Roman"/>
          <w:lang w:val="en-US"/>
        </w:rPr>
        <w:t>metaboli</w:t>
      </w:r>
      <w:r w:rsidR="00FE363F">
        <w:rPr>
          <w:rFonts w:cs="Times New Roman"/>
          <w:lang w:val="en-US"/>
        </w:rPr>
        <w:t>s</w:t>
      </w:r>
      <w:r w:rsidRPr="000C1E29">
        <w:rPr>
          <w:rFonts w:cs="Times New Roman"/>
          <w:lang w:val="en-US"/>
        </w:rPr>
        <w:t>ed</w:t>
      </w:r>
      <w:proofErr w:type="spellEnd"/>
      <w:r w:rsidRPr="000C1E29">
        <w:rPr>
          <w:rFonts w:cs="Times New Roman"/>
          <w:lang w:val="en-US"/>
        </w:rPr>
        <w:t xml:space="preserve"> by CYP3A4,</w:t>
      </w:r>
      <w:r>
        <w:rPr>
          <w:rFonts w:cs="Times New Roman"/>
          <w:lang w:val="en-US"/>
        </w:rPr>
        <w:t xml:space="preserve"> </w:t>
      </w:r>
      <w:r w:rsidRPr="000C1E29">
        <w:rPr>
          <w:rFonts w:cs="Times New Roman"/>
          <w:lang w:val="en-US"/>
        </w:rPr>
        <w:t xml:space="preserve">with a lesser contribution from CYP2C19 and flavin-containing monooxygenases </w:t>
      </w:r>
      <w:r w:rsidR="00331562">
        <w:rPr>
          <w:rFonts w:cs="Times New Roman"/>
          <w:lang w:val="en-US"/>
        </w:rPr>
        <w:t xml:space="preserve">3 </w:t>
      </w:r>
      <w:r w:rsidRPr="000C1E29">
        <w:rPr>
          <w:rFonts w:cs="Times New Roman"/>
          <w:lang w:val="en-US"/>
        </w:rPr>
        <w:t>(FMO</w:t>
      </w:r>
      <w:r w:rsidR="00331562">
        <w:rPr>
          <w:rFonts w:cs="Times New Roman"/>
          <w:lang w:val="en-US"/>
        </w:rPr>
        <w:t>3</w:t>
      </w:r>
      <w:r w:rsidRPr="000C1E29">
        <w:rPr>
          <w:rFonts w:cs="Times New Roman"/>
          <w:lang w:val="en-US"/>
        </w:rPr>
        <w:t>).</w:t>
      </w:r>
    </w:p>
    <w:p w14:paraId="05AE8106" w14:textId="14396F9D" w:rsidR="000C1E29" w:rsidRPr="000C1E29" w:rsidRDefault="000C1E29" w:rsidP="000C1E29">
      <w:pPr>
        <w:rPr>
          <w:rFonts w:cs="Times New Roman"/>
          <w:lang w:val="en-US"/>
        </w:rPr>
      </w:pPr>
      <w:proofErr w:type="spellStart"/>
      <w:r w:rsidRPr="000C1E29">
        <w:rPr>
          <w:rFonts w:cs="Times New Roman"/>
          <w:lang w:val="en-US"/>
        </w:rPr>
        <w:t>Fedratinib</w:t>
      </w:r>
      <w:proofErr w:type="spellEnd"/>
      <w:r w:rsidRPr="000C1E29">
        <w:rPr>
          <w:rFonts w:cs="Times New Roman"/>
          <w:lang w:val="en-US"/>
        </w:rPr>
        <w:t xml:space="preserve"> was the predominant entity (approximately 80% of plasma radioactivity) in systemic</w:t>
      </w:r>
      <w:r>
        <w:rPr>
          <w:rFonts w:cs="Times New Roman"/>
          <w:lang w:val="en-US"/>
        </w:rPr>
        <w:t xml:space="preserve"> </w:t>
      </w:r>
      <w:r w:rsidRPr="000C1E29">
        <w:rPr>
          <w:rFonts w:cs="Times New Roman"/>
          <w:lang w:val="en-US"/>
        </w:rPr>
        <w:t xml:space="preserve">circulation after oral administration of </w:t>
      </w:r>
      <w:proofErr w:type="spellStart"/>
      <w:r w:rsidRPr="000C1E29">
        <w:rPr>
          <w:rFonts w:cs="Times New Roman"/>
          <w:lang w:val="en-US"/>
        </w:rPr>
        <w:t>radiolabel</w:t>
      </w:r>
      <w:r w:rsidR="00D40F56">
        <w:rPr>
          <w:rFonts w:cs="Times New Roman"/>
          <w:lang w:val="en-US"/>
        </w:rPr>
        <w:t>l</w:t>
      </w:r>
      <w:r w:rsidRPr="000C1E29">
        <w:rPr>
          <w:rFonts w:cs="Times New Roman"/>
          <w:lang w:val="en-US"/>
        </w:rPr>
        <w:t>ed-fedratinib</w:t>
      </w:r>
      <w:proofErr w:type="spellEnd"/>
      <w:r w:rsidRPr="000C1E29">
        <w:rPr>
          <w:rFonts w:cs="Times New Roman"/>
          <w:lang w:val="en-US"/>
        </w:rPr>
        <w:t>. None of the metabolites contribute greater</w:t>
      </w:r>
      <w:r>
        <w:rPr>
          <w:rFonts w:cs="Times New Roman"/>
          <w:lang w:val="en-US"/>
        </w:rPr>
        <w:t xml:space="preserve"> </w:t>
      </w:r>
      <w:r w:rsidRPr="000C1E29">
        <w:rPr>
          <w:rFonts w:cs="Times New Roman"/>
          <w:lang w:val="en-US"/>
        </w:rPr>
        <w:t xml:space="preserve">than 10% of total drug related exposure </w:t>
      </w:r>
      <w:proofErr w:type="gramStart"/>
      <w:r w:rsidRPr="000C1E29">
        <w:rPr>
          <w:rFonts w:cs="Times New Roman"/>
          <w:lang w:val="en-US"/>
        </w:rPr>
        <w:t>in</w:t>
      </w:r>
      <w:proofErr w:type="gramEnd"/>
      <w:r w:rsidRPr="000C1E29">
        <w:rPr>
          <w:rFonts w:cs="Times New Roman"/>
          <w:lang w:val="en-US"/>
        </w:rPr>
        <w:t xml:space="preserve"> plasma.</w:t>
      </w:r>
    </w:p>
    <w:p w14:paraId="4094DA83" w14:textId="77777777" w:rsidR="001A3992" w:rsidRDefault="001A3992" w:rsidP="001A5A2A">
      <w:pPr>
        <w:pStyle w:val="Heading3"/>
        <w:rPr>
          <w:rFonts w:hint="eastAsia"/>
        </w:rPr>
      </w:pPr>
      <w:r w:rsidRPr="000A4651">
        <w:t>Excretion</w:t>
      </w:r>
    </w:p>
    <w:p w14:paraId="53B4E533" w14:textId="3522E7B1" w:rsidR="00365D07" w:rsidRPr="00365D07" w:rsidRDefault="00365D07" w:rsidP="00365D07">
      <w:pPr>
        <w:rPr>
          <w:rFonts w:cs="Times New Roman"/>
          <w:lang w:val="en-US"/>
        </w:rPr>
      </w:pPr>
      <w:r w:rsidRPr="00365D07">
        <w:rPr>
          <w:rFonts w:cs="Times New Roman"/>
          <w:lang w:val="en-US"/>
        </w:rPr>
        <w:t>Following a single oral dose of radiolabeled-</w:t>
      </w:r>
      <w:proofErr w:type="spellStart"/>
      <w:r w:rsidRPr="00365D07">
        <w:rPr>
          <w:rFonts w:cs="Times New Roman"/>
          <w:lang w:val="en-US"/>
        </w:rPr>
        <w:t>fedratinib</w:t>
      </w:r>
      <w:proofErr w:type="spellEnd"/>
      <w:r w:rsidRPr="00365D07">
        <w:rPr>
          <w:rFonts w:cs="Times New Roman"/>
          <w:lang w:val="en-US"/>
        </w:rPr>
        <w:t>, elimination was primarily through metabolism</w:t>
      </w:r>
      <w:r>
        <w:rPr>
          <w:rFonts w:cs="Times New Roman"/>
          <w:lang w:val="en-US"/>
        </w:rPr>
        <w:t xml:space="preserve"> </w:t>
      </w:r>
      <w:r w:rsidRPr="00365D07">
        <w:rPr>
          <w:rFonts w:cs="Times New Roman"/>
          <w:lang w:val="en-US"/>
        </w:rPr>
        <w:t xml:space="preserve">with approximately 77% of radioactivity excreted in </w:t>
      </w:r>
      <w:proofErr w:type="spellStart"/>
      <w:r w:rsidRPr="00365D07">
        <w:rPr>
          <w:rFonts w:cs="Times New Roman"/>
          <w:lang w:val="en-US"/>
        </w:rPr>
        <w:t>f</w:t>
      </w:r>
      <w:r w:rsidR="00CC4E7D">
        <w:rPr>
          <w:rFonts w:cs="Times New Roman"/>
          <w:lang w:val="en-US"/>
        </w:rPr>
        <w:t>a</w:t>
      </w:r>
      <w:r w:rsidRPr="00365D07">
        <w:rPr>
          <w:rFonts w:cs="Times New Roman"/>
          <w:lang w:val="en-US"/>
        </w:rPr>
        <w:t>eces</w:t>
      </w:r>
      <w:proofErr w:type="spellEnd"/>
      <w:r w:rsidRPr="00365D07">
        <w:rPr>
          <w:rFonts w:cs="Times New Roman"/>
          <w:lang w:val="en-US"/>
        </w:rPr>
        <w:t xml:space="preserve"> and only approximately 5% of the excreted</w:t>
      </w:r>
      <w:r>
        <w:rPr>
          <w:rFonts w:cs="Times New Roman"/>
          <w:lang w:val="en-US"/>
        </w:rPr>
        <w:t xml:space="preserve"> </w:t>
      </w:r>
      <w:r w:rsidRPr="00365D07">
        <w:rPr>
          <w:rFonts w:cs="Times New Roman"/>
          <w:lang w:val="en-US"/>
        </w:rPr>
        <w:t>in urine. Unchanged drug was the major component in excreta, accounting on average for</w:t>
      </w:r>
      <w:r>
        <w:rPr>
          <w:rFonts w:cs="Times New Roman"/>
          <w:lang w:val="en-US"/>
        </w:rPr>
        <w:t xml:space="preserve"> </w:t>
      </w:r>
      <w:r w:rsidRPr="00365D07">
        <w:rPr>
          <w:rFonts w:cs="Times New Roman"/>
          <w:lang w:val="en-US"/>
        </w:rPr>
        <w:t xml:space="preserve">approximately 23% and 3% of the dose in </w:t>
      </w:r>
      <w:proofErr w:type="spellStart"/>
      <w:r w:rsidRPr="00365D07">
        <w:rPr>
          <w:rFonts w:cs="Times New Roman"/>
          <w:lang w:val="en-US"/>
        </w:rPr>
        <w:t>f</w:t>
      </w:r>
      <w:r w:rsidR="00CC4E7D">
        <w:rPr>
          <w:rFonts w:cs="Times New Roman"/>
          <w:lang w:val="en-US"/>
        </w:rPr>
        <w:t>a</w:t>
      </w:r>
      <w:r w:rsidRPr="00365D07">
        <w:rPr>
          <w:rFonts w:cs="Times New Roman"/>
          <w:lang w:val="en-US"/>
        </w:rPr>
        <w:t>eces</w:t>
      </w:r>
      <w:proofErr w:type="spellEnd"/>
      <w:r w:rsidRPr="00365D07">
        <w:rPr>
          <w:rFonts w:cs="Times New Roman"/>
          <w:lang w:val="en-US"/>
        </w:rPr>
        <w:t xml:space="preserve"> and urine, respectively.</w:t>
      </w:r>
    </w:p>
    <w:p w14:paraId="59AC0A9F" w14:textId="17DC1AB3" w:rsidR="00365D07" w:rsidRDefault="00365D07" w:rsidP="00365D07">
      <w:pPr>
        <w:rPr>
          <w:rFonts w:cs="Times New Roman"/>
          <w:lang w:val="en-US"/>
        </w:rPr>
      </w:pPr>
      <w:proofErr w:type="spellStart"/>
      <w:r w:rsidRPr="00365D07">
        <w:rPr>
          <w:rFonts w:cs="Times New Roman"/>
          <w:lang w:val="en-US"/>
        </w:rPr>
        <w:t>Fedratinib</w:t>
      </w:r>
      <w:proofErr w:type="spellEnd"/>
      <w:r w:rsidRPr="00365D07">
        <w:rPr>
          <w:rFonts w:cs="Times New Roman"/>
          <w:lang w:val="en-US"/>
        </w:rPr>
        <w:t xml:space="preserve"> pharmacokinetics is </w:t>
      </w:r>
      <w:proofErr w:type="spellStart"/>
      <w:r w:rsidRPr="00365D07">
        <w:rPr>
          <w:rFonts w:cs="Times New Roman"/>
          <w:lang w:val="en-US"/>
        </w:rPr>
        <w:t>characteri</w:t>
      </w:r>
      <w:r w:rsidR="00CC4E7D">
        <w:rPr>
          <w:rFonts w:cs="Times New Roman"/>
          <w:lang w:val="en-US"/>
        </w:rPr>
        <w:t>s</w:t>
      </w:r>
      <w:r w:rsidRPr="00365D07">
        <w:rPr>
          <w:rFonts w:cs="Times New Roman"/>
          <w:lang w:val="en-US"/>
        </w:rPr>
        <w:t>ed</w:t>
      </w:r>
      <w:proofErr w:type="spellEnd"/>
      <w:r w:rsidRPr="00365D07">
        <w:rPr>
          <w:rFonts w:cs="Times New Roman"/>
          <w:lang w:val="en-US"/>
        </w:rPr>
        <w:t xml:space="preserve"> by a biphasic disposition with an effective half-life of 41</w:t>
      </w:r>
      <w:r w:rsidR="0067672E">
        <w:rPr>
          <w:rFonts w:cs="Times New Roman"/>
          <w:lang w:val="en-US"/>
        </w:rPr>
        <w:t> </w:t>
      </w:r>
      <w:r w:rsidRPr="00365D07">
        <w:rPr>
          <w:rFonts w:cs="Times New Roman"/>
          <w:lang w:val="en-US"/>
        </w:rPr>
        <w:t>hours, a terminal half-life of approximately 114</w:t>
      </w:r>
      <w:r w:rsidR="0067672E">
        <w:rPr>
          <w:rFonts w:cs="Times New Roman"/>
          <w:lang w:val="en-US"/>
        </w:rPr>
        <w:t> </w:t>
      </w:r>
      <w:r w:rsidRPr="00365D07">
        <w:rPr>
          <w:rFonts w:cs="Times New Roman"/>
          <w:lang w:val="en-US"/>
        </w:rPr>
        <w:t>hours, and apparent clearance (CL/F) (%CV) of 13</w:t>
      </w:r>
      <w:r w:rsidR="0067672E">
        <w:rPr>
          <w:rFonts w:cs="Times New Roman"/>
          <w:lang w:val="en-US"/>
        </w:rPr>
        <w:t> </w:t>
      </w:r>
      <w:r w:rsidRPr="00365D07">
        <w:rPr>
          <w:rFonts w:cs="Times New Roman"/>
          <w:lang w:val="en-US"/>
        </w:rPr>
        <w:t>L/</w:t>
      </w:r>
      <w:proofErr w:type="spellStart"/>
      <w:r w:rsidRPr="00365D07">
        <w:rPr>
          <w:rFonts w:cs="Times New Roman"/>
          <w:lang w:val="en-US"/>
        </w:rPr>
        <w:t>hr</w:t>
      </w:r>
      <w:proofErr w:type="spellEnd"/>
      <w:r w:rsidRPr="00365D07">
        <w:rPr>
          <w:rFonts w:cs="Times New Roman"/>
          <w:lang w:val="en-US"/>
        </w:rPr>
        <w:t xml:space="preserve"> (51%) in patients with myelofibrosis.</w:t>
      </w:r>
    </w:p>
    <w:p w14:paraId="00ACAC60" w14:textId="3A76F155" w:rsidR="0068747E" w:rsidRDefault="0068747E" w:rsidP="0068747E">
      <w:pPr>
        <w:pStyle w:val="Heading3"/>
        <w:rPr>
          <w:rFonts w:hint="eastAsia"/>
        </w:rPr>
      </w:pPr>
      <w:r w:rsidRPr="0068747E">
        <w:t>Special Populations</w:t>
      </w:r>
    </w:p>
    <w:p w14:paraId="4BDCD345" w14:textId="5459E326" w:rsidR="001E1565" w:rsidRPr="00357D05" w:rsidRDefault="001E1565" w:rsidP="001E1565">
      <w:pPr>
        <w:rPr>
          <w:i/>
          <w:iCs/>
        </w:rPr>
      </w:pPr>
      <w:r w:rsidRPr="00357D05">
        <w:rPr>
          <w:i/>
          <w:iCs/>
        </w:rPr>
        <w:t>Renal Impairment</w:t>
      </w:r>
    </w:p>
    <w:p w14:paraId="07774720" w14:textId="01A31041" w:rsidR="00357D05" w:rsidRDefault="00A5439A" w:rsidP="00A5439A">
      <w:r w:rsidRPr="00A5439A">
        <w:t>Following a single 300</w:t>
      </w:r>
      <w:r w:rsidR="0067672E">
        <w:t> </w:t>
      </w:r>
      <w:r w:rsidRPr="00A5439A">
        <w:t xml:space="preserve">mg dose of </w:t>
      </w:r>
      <w:proofErr w:type="spellStart"/>
      <w:r w:rsidRPr="00A5439A">
        <w:t>fedratinib</w:t>
      </w:r>
      <w:proofErr w:type="spellEnd"/>
      <w:r w:rsidRPr="00A5439A">
        <w:t>, the AUC</w:t>
      </w:r>
      <w:r w:rsidRPr="00516EAB">
        <w:rPr>
          <w:vertAlign w:val="subscript"/>
        </w:rPr>
        <w:t>inf</w:t>
      </w:r>
      <w:r w:rsidRPr="00A5439A">
        <w:t xml:space="preserve"> of </w:t>
      </w:r>
      <w:proofErr w:type="spellStart"/>
      <w:r w:rsidRPr="00A5439A">
        <w:t>fedratinib</w:t>
      </w:r>
      <w:proofErr w:type="spellEnd"/>
      <w:r w:rsidRPr="00A5439A">
        <w:t xml:space="preserve"> increased by 1.5-fold in subjects</w:t>
      </w:r>
      <w:r>
        <w:t xml:space="preserve"> </w:t>
      </w:r>
      <w:r w:rsidRPr="00A5439A">
        <w:t>with moderate (</w:t>
      </w:r>
      <w:proofErr w:type="spellStart"/>
      <w:r w:rsidR="0074563D">
        <w:t>CrCl</w:t>
      </w:r>
      <w:proofErr w:type="spellEnd"/>
      <w:r w:rsidRPr="00A5439A">
        <w:t xml:space="preserve"> 30</w:t>
      </w:r>
      <w:r w:rsidR="0067672E">
        <w:t> </w:t>
      </w:r>
      <w:r w:rsidRPr="00A5439A">
        <w:t>mL/min to 59</w:t>
      </w:r>
      <w:r w:rsidR="0067672E">
        <w:t> </w:t>
      </w:r>
      <w:r w:rsidRPr="00A5439A">
        <w:t>mL/min) renal impairment and 1.9-fold in subjects with</w:t>
      </w:r>
      <w:r>
        <w:t xml:space="preserve"> </w:t>
      </w:r>
      <w:r w:rsidRPr="00A5439A">
        <w:t>severe (</w:t>
      </w:r>
      <w:proofErr w:type="spellStart"/>
      <w:r w:rsidR="0074563D">
        <w:t>CrCl</w:t>
      </w:r>
      <w:proofErr w:type="spellEnd"/>
      <w:r w:rsidRPr="00A5439A">
        <w:t xml:space="preserve"> 15</w:t>
      </w:r>
      <w:r w:rsidR="0067672E">
        <w:t> </w:t>
      </w:r>
      <w:r w:rsidRPr="00A5439A">
        <w:t>mL/min to 29</w:t>
      </w:r>
      <w:r w:rsidR="0067672E">
        <w:t> </w:t>
      </w:r>
      <w:r w:rsidRPr="00A5439A">
        <w:t>mL/min) renal impairment, compared to that in subjects with</w:t>
      </w:r>
      <w:r>
        <w:t xml:space="preserve"> </w:t>
      </w:r>
      <w:r w:rsidRPr="00A5439A">
        <w:t>normal renal function (</w:t>
      </w:r>
      <w:proofErr w:type="spellStart"/>
      <w:r w:rsidR="0074563D">
        <w:t>CrCl</w:t>
      </w:r>
      <w:proofErr w:type="spellEnd"/>
      <w:r w:rsidRPr="00A5439A">
        <w:t xml:space="preserve"> </w:t>
      </w:r>
      <w:r w:rsidR="00516EAB">
        <w:rPr>
          <w:rFonts w:cs="Times New Roman"/>
        </w:rPr>
        <w:t>≥</w:t>
      </w:r>
      <w:r w:rsidRPr="00A5439A">
        <w:t>90</w:t>
      </w:r>
      <w:r w:rsidR="0067672E">
        <w:t> </w:t>
      </w:r>
      <w:r w:rsidRPr="00A5439A">
        <w:t>mL/min)</w:t>
      </w:r>
      <w:r w:rsidR="00587E5B">
        <w:t xml:space="preserve"> (</w:t>
      </w:r>
      <w:r w:rsidR="001857D8">
        <w:rPr>
          <w:rFonts w:cs="Times New Roman"/>
          <w:lang w:val="en"/>
        </w:rPr>
        <w:t>see Section 4.2 Dose and Method of Administration).</w:t>
      </w:r>
    </w:p>
    <w:p w14:paraId="7AC6BD2F" w14:textId="11BBA9FF" w:rsidR="001E1565" w:rsidRPr="00357D05" w:rsidRDefault="001E1565" w:rsidP="001E1565">
      <w:pPr>
        <w:rPr>
          <w:i/>
          <w:iCs/>
        </w:rPr>
      </w:pPr>
      <w:r w:rsidRPr="00357D05">
        <w:rPr>
          <w:i/>
          <w:iCs/>
        </w:rPr>
        <w:t>Hepatic Impairment</w:t>
      </w:r>
    </w:p>
    <w:p w14:paraId="2BDC0DFA" w14:textId="18CD5D98" w:rsidR="00846D97" w:rsidRPr="00587E5B" w:rsidRDefault="00587E5B" w:rsidP="00587E5B">
      <w:r w:rsidRPr="00587E5B">
        <w:t xml:space="preserve">The safety and pharmacokinetics of a single oral dose of </w:t>
      </w:r>
      <w:proofErr w:type="spellStart"/>
      <w:r w:rsidRPr="00587E5B">
        <w:t>fedratinib</w:t>
      </w:r>
      <w:proofErr w:type="spellEnd"/>
      <w:r w:rsidRPr="00587E5B">
        <w:t xml:space="preserve"> were evaluated in</w:t>
      </w:r>
      <w:r>
        <w:t xml:space="preserve"> </w:t>
      </w:r>
      <w:r w:rsidRPr="00587E5B">
        <w:t xml:space="preserve">subjects with normal hepatic function and with mild </w:t>
      </w:r>
      <w:r w:rsidR="00A92ECE">
        <w:t xml:space="preserve">to moderate </w:t>
      </w:r>
      <w:r w:rsidRPr="00587E5B">
        <w:t xml:space="preserve">hepatic impairment </w:t>
      </w:r>
      <w:r>
        <w:t>(</w:t>
      </w:r>
      <w:r w:rsidRPr="00587E5B">
        <w:t>Child-Pugh A</w:t>
      </w:r>
      <w:r w:rsidR="00A92ECE">
        <w:t>, B</w:t>
      </w:r>
      <w:r>
        <w:t>)</w:t>
      </w:r>
      <w:r w:rsidR="008E3650">
        <w:t xml:space="preserve"> </w:t>
      </w:r>
      <w:r w:rsidR="00A92ECE">
        <w:t>at 300</w:t>
      </w:r>
      <w:r w:rsidR="004B0505">
        <w:t> </w:t>
      </w:r>
      <w:proofErr w:type="gramStart"/>
      <w:r w:rsidR="00A92ECE">
        <w:t>mg</w:t>
      </w:r>
      <w:r w:rsidR="00E77152" w:rsidRPr="00E77152">
        <w:t>;</w:t>
      </w:r>
      <w:proofErr w:type="gramEnd"/>
      <w:r w:rsidR="00E77152" w:rsidRPr="00E77152">
        <w:t xml:space="preserve"> in subjects with normal hepatic function and with severe hepatic impairment [Child-Pugh C] at 200</w:t>
      </w:r>
      <w:r w:rsidR="004B0505">
        <w:t> </w:t>
      </w:r>
      <w:r w:rsidR="00E77152" w:rsidRPr="00E77152">
        <w:t>mg. The geometric mean ratios (90% confidence interval) of AUCinf were 1.07 (0.74, 1.54), 1.14 (0.77, 1.67) and 0.66 (0.37, 1.19) in subjects with mild (n=8), moderate (n=8), and severe hepatic impairment (n=6), respectively, to subjects with normal hepatic function</w:t>
      </w:r>
      <w:r w:rsidRPr="00587E5B">
        <w:t>. No clinically</w:t>
      </w:r>
      <w:r>
        <w:t xml:space="preserve"> </w:t>
      </w:r>
      <w:r w:rsidRPr="00587E5B">
        <w:t xml:space="preserve">meaningful effect on the pharmacokinetics of </w:t>
      </w:r>
      <w:proofErr w:type="spellStart"/>
      <w:r w:rsidRPr="00587E5B">
        <w:t>fedratinib</w:t>
      </w:r>
      <w:proofErr w:type="spellEnd"/>
      <w:r w:rsidRPr="00587E5B">
        <w:t xml:space="preserve"> was observed in subjects with mild</w:t>
      </w:r>
      <w:r w:rsidR="00190EED">
        <w:t>, moderate and severe</w:t>
      </w:r>
      <w:r w:rsidRPr="00587E5B">
        <w:t xml:space="preserve"> hepatic</w:t>
      </w:r>
      <w:r>
        <w:t xml:space="preserve"> </w:t>
      </w:r>
      <w:r w:rsidRPr="00587E5B">
        <w:t xml:space="preserve">impairment compared to that in subjects with normal hepatic function </w:t>
      </w:r>
      <w:r>
        <w:t>(</w:t>
      </w:r>
      <w:r w:rsidRPr="00E77152">
        <w:t>see Section 4.2 Dose and Method of Administration).</w:t>
      </w:r>
    </w:p>
    <w:p w14:paraId="19D643CE" w14:textId="44762FEE" w:rsidR="001E1565" w:rsidRPr="00357D05" w:rsidRDefault="001E1565" w:rsidP="001E1565">
      <w:pPr>
        <w:rPr>
          <w:i/>
          <w:iCs/>
        </w:rPr>
      </w:pPr>
      <w:r w:rsidRPr="00357D05">
        <w:rPr>
          <w:i/>
          <w:iCs/>
        </w:rPr>
        <w:t>Paediatric and adolescent</w:t>
      </w:r>
    </w:p>
    <w:p w14:paraId="5AD7DA1C" w14:textId="5FD5638F" w:rsidR="00357D05" w:rsidRDefault="00357D05" w:rsidP="001E1565">
      <w:r>
        <w:t xml:space="preserve">The safety and efficacy of </w:t>
      </w:r>
      <w:proofErr w:type="spellStart"/>
      <w:r w:rsidR="00E01D25">
        <w:t>fedratinib</w:t>
      </w:r>
      <w:proofErr w:type="spellEnd"/>
      <w:r>
        <w:t xml:space="preserve"> in paediatric patients less than 18</w:t>
      </w:r>
      <w:r w:rsidR="004B0505">
        <w:t> </w:t>
      </w:r>
      <w:r>
        <w:t>years of age have not been established.</w:t>
      </w:r>
    </w:p>
    <w:p w14:paraId="4072664B" w14:textId="3A56F9E6" w:rsidR="001E1565" w:rsidRPr="00357D05" w:rsidRDefault="00BD77EB" w:rsidP="001E1565">
      <w:pPr>
        <w:rPr>
          <w:i/>
          <w:iCs/>
        </w:rPr>
      </w:pPr>
      <w:r>
        <w:rPr>
          <w:i/>
          <w:iCs/>
        </w:rPr>
        <w:t>Elderly</w:t>
      </w:r>
    </w:p>
    <w:p w14:paraId="17CFF918" w14:textId="086C5853" w:rsidR="00643889" w:rsidRPr="00643889" w:rsidRDefault="00643889" w:rsidP="00643889">
      <w:r w:rsidRPr="00643889">
        <w:t>In a population pharmacokinetics analysis of cumulative data from patients, age was not a significant</w:t>
      </w:r>
      <w:r>
        <w:t xml:space="preserve"> </w:t>
      </w:r>
      <w:r w:rsidRPr="00643889">
        <w:t>covariate influencing AUC.</w:t>
      </w:r>
    </w:p>
    <w:p w14:paraId="2A7E78A3" w14:textId="329C9F20" w:rsidR="00357D05" w:rsidRDefault="00643889" w:rsidP="00643889">
      <w:r w:rsidRPr="00643889">
        <w:t xml:space="preserve">No clinically meaningful effect on the pharmacokinetics of </w:t>
      </w:r>
      <w:proofErr w:type="spellStart"/>
      <w:r w:rsidRPr="00643889">
        <w:t>fedratinib</w:t>
      </w:r>
      <w:proofErr w:type="spellEnd"/>
      <w:r w:rsidRPr="00643889">
        <w:t xml:space="preserve"> was observed </w:t>
      </w:r>
      <w:proofErr w:type="gramStart"/>
      <w:r w:rsidRPr="00643889">
        <w:t>with regard to</w:t>
      </w:r>
      <w:proofErr w:type="gramEnd"/>
      <w:r w:rsidRPr="00643889">
        <w:t xml:space="preserve"> age</w:t>
      </w:r>
      <w:r>
        <w:t xml:space="preserve"> </w:t>
      </w:r>
      <w:r w:rsidRPr="00643889">
        <w:t>(20</w:t>
      </w:r>
      <w:r w:rsidR="004B0505">
        <w:t> </w:t>
      </w:r>
      <w:r w:rsidRPr="00643889">
        <w:t>years to 95</w:t>
      </w:r>
      <w:r w:rsidR="004B0505">
        <w:t> </w:t>
      </w:r>
      <w:r w:rsidRPr="00643889">
        <w:t>years). Therefore, no dose adjustment based on age is recommended for elderly subjects.</w:t>
      </w:r>
    </w:p>
    <w:p w14:paraId="51AF2F2E" w14:textId="77777777" w:rsidR="002C18CF" w:rsidRDefault="002C18CF" w:rsidP="00643889"/>
    <w:p w14:paraId="69F4720E" w14:textId="77777777" w:rsidR="002C18CF" w:rsidRPr="001E1565" w:rsidRDefault="002C18CF" w:rsidP="00643889"/>
    <w:p w14:paraId="298FA0B1" w14:textId="77777777" w:rsidR="001A3992" w:rsidRPr="000A4651" w:rsidRDefault="001A3992" w:rsidP="002C18CF">
      <w:pPr>
        <w:pStyle w:val="Heading2"/>
      </w:pPr>
      <w:r w:rsidRPr="000A4651">
        <w:lastRenderedPageBreak/>
        <w:t>Preclinical safety data</w:t>
      </w:r>
    </w:p>
    <w:p w14:paraId="06147C9F" w14:textId="6BDE444B" w:rsidR="001A3992" w:rsidRDefault="001A3992" w:rsidP="001A5A2A">
      <w:pPr>
        <w:pStyle w:val="Heading3"/>
        <w:rPr>
          <w:rFonts w:hint="eastAsia"/>
        </w:rPr>
      </w:pPr>
      <w:r w:rsidRPr="000A4651">
        <w:t>Genotoxicity</w:t>
      </w:r>
    </w:p>
    <w:p w14:paraId="48EEEE4D" w14:textId="450F54BB" w:rsidR="003D7174" w:rsidRPr="00832521" w:rsidRDefault="00832521" w:rsidP="00832521">
      <w:proofErr w:type="spellStart"/>
      <w:r w:rsidRPr="00832521">
        <w:t>Fedratinib</w:t>
      </w:r>
      <w:proofErr w:type="spellEnd"/>
      <w:r w:rsidRPr="00832521">
        <w:t xml:space="preserve"> was not mutagenic in a bacterial</w:t>
      </w:r>
      <w:r>
        <w:t xml:space="preserve"> </w:t>
      </w:r>
      <w:r w:rsidRPr="00832521">
        <w:t>mutagenicity assay (</w:t>
      </w:r>
      <w:proofErr w:type="gramStart"/>
      <w:r w:rsidRPr="00832521">
        <w:t>Ames</w:t>
      </w:r>
      <w:proofErr w:type="gramEnd"/>
      <w:r w:rsidRPr="00832521">
        <w:t xml:space="preserve"> test) or clastogenic in an in vitro chromosomal aberration assay (Chinese</w:t>
      </w:r>
      <w:r>
        <w:t xml:space="preserve"> </w:t>
      </w:r>
      <w:r w:rsidRPr="00832521">
        <w:t>hamster ovary cells) or in vivo in a micronucleus test in rats.</w:t>
      </w:r>
    </w:p>
    <w:p w14:paraId="5AFD9CD4" w14:textId="5D887893" w:rsidR="001A3992" w:rsidRDefault="001A3992" w:rsidP="001A5A2A">
      <w:pPr>
        <w:pStyle w:val="Heading3"/>
        <w:rPr>
          <w:rFonts w:hint="eastAsia"/>
        </w:rPr>
      </w:pPr>
      <w:r w:rsidRPr="000A4651">
        <w:t>Carcinogenicity</w:t>
      </w:r>
    </w:p>
    <w:p w14:paraId="57867CB0" w14:textId="62FF3F82" w:rsidR="003D7174" w:rsidRDefault="00832521" w:rsidP="00832521">
      <w:proofErr w:type="spellStart"/>
      <w:r w:rsidRPr="00832521">
        <w:t>Fedratinib</w:t>
      </w:r>
      <w:proofErr w:type="spellEnd"/>
      <w:r w:rsidRPr="00832521">
        <w:t xml:space="preserve"> was not carcinogenic in</w:t>
      </w:r>
      <w:r w:rsidR="00D70E0B" w:rsidRPr="00D70E0B">
        <w:t xml:space="preserve"> a 6-month study in transgenic (</w:t>
      </w:r>
      <w:proofErr w:type="gramStart"/>
      <w:r w:rsidR="00D70E0B" w:rsidRPr="00D70E0B">
        <w:t>Tg.rasH</w:t>
      </w:r>
      <w:proofErr w:type="gramEnd"/>
      <w:r w:rsidR="00D70E0B" w:rsidRPr="00D70E0B">
        <w:t>2) mice with oral administration up to the highest dose tested (30</w:t>
      </w:r>
      <w:r w:rsidR="00D70E0B">
        <w:t> </w:t>
      </w:r>
      <w:r w:rsidR="00D70E0B" w:rsidRPr="00D70E0B">
        <w:t>mg/kg/day). This dose yields exposure in male and female animals 0.44 and 0.76 times, respectively, that of patients at the maximum recommended human dose.</w:t>
      </w:r>
    </w:p>
    <w:p w14:paraId="4E764C47" w14:textId="77777777" w:rsidR="001A3992" w:rsidRPr="000A4651" w:rsidRDefault="001A3992" w:rsidP="00D86EB1">
      <w:pPr>
        <w:pStyle w:val="Heading1"/>
      </w:pPr>
      <w:r w:rsidRPr="000A4651">
        <w:t>Pharmaceutical particulars</w:t>
      </w:r>
    </w:p>
    <w:p w14:paraId="2B5922C6" w14:textId="7D1A6621" w:rsidR="001A3992" w:rsidRPr="000A4651" w:rsidRDefault="00F01F58" w:rsidP="002C18CF">
      <w:pPr>
        <w:pStyle w:val="Heading2"/>
        <w:rPr>
          <w:lang w:val="en-US"/>
        </w:rPr>
      </w:pPr>
      <w:r w:rsidRPr="000A4651">
        <w:rPr>
          <w:lang w:val="en-US"/>
        </w:rPr>
        <w:t>List of excipients</w:t>
      </w:r>
    </w:p>
    <w:p w14:paraId="2D3AFC6C" w14:textId="4F9154B3" w:rsidR="009B07C9" w:rsidRPr="009B07C9" w:rsidRDefault="009B07C9" w:rsidP="009B07C9">
      <w:r w:rsidRPr="009B07C9">
        <w:t>Capsule content:</w:t>
      </w:r>
      <w:r w:rsidR="00697B3B">
        <w:t xml:space="preserve"> </w:t>
      </w:r>
      <w:r w:rsidRPr="009B07C9">
        <w:t>Silicified microcrystalline cellulose</w:t>
      </w:r>
      <w:r w:rsidR="00697B3B">
        <w:t>, s</w:t>
      </w:r>
      <w:r w:rsidRPr="009B07C9">
        <w:t xml:space="preserve">odium </w:t>
      </w:r>
      <w:proofErr w:type="spellStart"/>
      <w:r w:rsidRPr="009B07C9">
        <w:t>stearylfumarate</w:t>
      </w:r>
      <w:proofErr w:type="spellEnd"/>
    </w:p>
    <w:p w14:paraId="75DA6715" w14:textId="7ED6832F" w:rsidR="009B07C9" w:rsidRPr="009B07C9" w:rsidRDefault="009B07C9" w:rsidP="009B07C9">
      <w:r w:rsidRPr="009B07C9">
        <w:t>Capsule shell:</w:t>
      </w:r>
      <w:r w:rsidR="00E40670">
        <w:t xml:space="preserve"> </w:t>
      </w:r>
      <w:proofErr w:type="spellStart"/>
      <w:r w:rsidRPr="009B07C9">
        <w:t>Gelatin</w:t>
      </w:r>
      <w:proofErr w:type="spellEnd"/>
      <w:r w:rsidR="00E40670">
        <w:t xml:space="preserve">, </w:t>
      </w:r>
      <w:r w:rsidR="00697B3B">
        <w:t>t</w:t>
      </w:r>
      <w:r w:rsidRPr="009B07C9">
        <w:t>itanium dioxide</w:t>
      </w:r>
      <w:r w:rsidR="00E40670">
        <w:t xml:space="preserve">, </w:t>
      </w:r>
      <w:r w:rsidRPr="009B07C9">
        <w:t>iron oxide</w:t>
      </w:r>
      <w:r w:rsidR="009571B7">
        <w:t xml:space="preserve"> red</w:t>
      </w:r>
    </w:p>
    <w:p w14:paraId="73770B24" w14:textId="464E41ED" w:rsidR="009B07C9" w:rsidRPr="009B07C9" w:rsidRDefault="009B07C9" w:rsidP="00E40670">
      <w:pPr>
        <w:tabs>
          <w:tab w:val="left" w:pos="1612"/>
        </w:tabs>
      </w:pPr>
      <w:r w:rsidRPr="009B07C9">
        <w:t>Printing ink</w:t>
      </w:r>
      <w:r w:rsidR="00E40670">
        <w:t xml:space="preserve">: </w:t>
      </w:r>
      <w:r w:rsidR="006060D6" w:rsidRPr="006060D6">
        <w:t>OPACODE monogramming ink S-1-18086 W</w:t>
      </w:r>
      <w:r w:rsidR="008C3732">
        <w:t>hite</w:t>
      </w:r>
      <w:r w:rsidR="00B45A18">
        <w:t xml:space="preserve"> (</w:t>
      </w:r>
      <w:r w:rsidR="00F16A84">
        <w:t xml:space="preserve">TGA </w:t>
      </w:r>
      <w:r w:rsidR="00B45A18">
        <w:t xml:space="preserve">Proprietary </w:t>
      </w:r>
      <w:r w:rsidR="0020584E">
        <w:t>I</w:t>
      </w:r>
      <w:r w:rsidR="00B45A18">
        <w:t>ngredient ID 107579)</w:t>
      </w:r>
    </w:p>
    <w:p w14:paraId="1597DDC0" w14:textId="69A82A98" w:rsidR="001A3992" w:rsidRPr="000A4651" w:rsidRDefault="00F01F58" w:rsidP="002C18CF">
      <w:pPr>
        <w:pStyle w:val="Heading2"/>
        <w:rPr>
          <w:lang w:val="en-US"/>
        </w:rPr>
      </w:pPr>
      <w:r w:rsidRPr="000A4651">
        <w:rPr>
          <w:lang w:val="en-US"/>
        </w:rPr>
        <w:t>Incompatibilities</w:t>
      </w:r>
    </w:p>
    <w:p w14:paraId="6F787CD0" w14:textId="7AD80C38" w:rsidR="003D7174" w:rsidRPr="004A2B1E" w:rsidRDefault="004A2B1E" w:rsidP="004A2B1E">
      <w:pPr>
        <w:tabs>
          <w:tab w:val="left" w:pos="1612"/>
        </w:tabs>
      </w:pPr>
      <w:r w:rsidRPr="004A2B1E">
        <w:t>Not applicable</w:t>
      </w:r>
    </w:p>
    <w:p w14:paraId="7E22BDBA" w14:textId="55EA094E" w:rsidR="001A3992" w:rsidRPr="000A4651" w:rsidRDefault="00F01F58" w:rsidP="002C18CF">
      <w:pPr>
        <w:pStyle w:val="Heading2"/>
        <w:rPr>
          <w:lang w:val="en-US"/>
        </w:rPr>
      </w:pPr>
      <w:r w:rsidRPr="000A4651">
        <w:rPr>
          <w:lang w:val="en-US"/>
        </w:rPr>
        <w:t>Shelf life</w:t>
      </w:r>
    </w:p>
    <w:p w14:paraId="36780BD0" w14:textId="550BF947" w:rsidR="00F01F58" w:rsidRPr="000A4651" w:rsidRDefault="00F01F58" w:rsidP="00F01F58">
      <w:pPr>
        <w:rPr>
          <w:rFonts w:cs="Times New Roman"/>
        </w:rPr>
      </w:pPr>
      <w:r w:rsidRPr="000A4651">
        <w:rPr>
          <w:rFonts w:cs="Times New Roman"/>
        </w:rPr>
        <w:t xml:space="preserve">In Australia, information on the shelf life can be found on the public summary of the </w:t>
      </w:r>
      <w:r w:rsidR="00BF3128">
        <w:rPr>
          <w:rFonts w:cs="Times New Roman"/>
        </w:rPr>
        <w:t>Australian Register of Therapeutic Goods (</w:t>
      </w:r>
      <w:r w:rsidRPr="000A4651">
        <w:rPr>
          <w:rFonts w:cs="Times New Roman"/>
        </w:rPr>
        <w:t>ARTG</w:t>
      </w:r>
      <w:r w:rsidR="00BF3128">
        <w:rPr>
          <w:rFonts w:cs="Times New Roman"/>
        </w:rPr>
        <w:t>)</w:t>
      </w:r>
      <w:r w:rsidRPr="000A4651">
        <w:rPr>
          <w:rFonts w:cs="Times New Roman"/>
        </w:rPr>
        <w:t>. The expiry date can be found on the packaging</w:t>
      </w:r>
      <w:r w:rsidR="00BF3128">
        <w:rPr>
          <w:rFonts w:cs="Times New Roman"/>
        </w:rPr>
        <w:t>.</w:t>
      </w:r>
    </w:p>
    <w:p w14:paraId="15D58481" w14:textId="71640D57" w:rsidR="001A3992" w:rsidRPr="000A4651" w:rsidRDefault="00F01F58" w:rsidP="002C18CF">
      <w:pPr>
        <w:pStyle w:val="Heading2"/>
        <w:rPr>
          <w:lang w:val="en-US"/>
        </w:rPr>
      </w:pPr>
      <w:r w:rsidRPr="000A4651">
        <w:rPr>
          <w:lang w:val="en-US"/>
        </w:rPr>
        <w:t>Special precautions for storage</w:t>
      </w:r>
    </w:p>
    <w:p w14:paraId="36E650CE" w14:textId="598F68ED" w:rsidR="00F01F58" w:rsidRPr="00440029" w:rsidRDefault="00440029" w:rsidP="00EA48C0">
      <w:pPr>
        <w:rPr>
          <w:rFonts w:cs="Times New Roman"/>
        </w:rPr>
      </w:pPr>
      <w:r w:rsidRPr="00440029">
        <w:rPr>
          <w:rFonts w:cs="Times New Roman"/>
        </w:rPr>
        <w:t>Store below 30°C. Store in the original package.</w:t>
      </w:r>
    </w:p>
    <w:p w14:paraId="3B490D20" w14:textId="1D5F4E69" w:rsidR="001A3992" w:rsidRPr="000A4651" w:rsidRDefault="001A3992" w:rsidP="002C18CF">
      <w:pPr>
        <w:pStyle w:val="Heading2"/>
        <w:rPr>
          <w:lang w:val="en-US"/>
        </w:rPr>
      </w:pPr>
      <w:r w:rsidRPr="000A4651">
        <w:rPr>
          <w:lang w:val="en-US"/>
        </w:rPr>
        <w:t>N</w:t>
      </w:r>
      <w:r w:rsidR="005A7542" w:rsidRPr="000A4651">
        <w:rPr>
          <w:lang w:val="en-US"/>
        </w:rPr>
        <w:t>ature and contents of container</w:t>
      </w:r>
    </w:p>
    <w:p w14:paraId="4589C72C" w14:textId="7A6AC89E" w:rsidR="005A7542" w:rsidRPr="006C134C" w:rsidRDefault="00CC7A6B" w:rsidP="006C134C">
      <w:pPr>
        <w:rPr>
          <w:rFonts w:cs="Times New Roman"/>
        </w:rPr>
      </w:pPr>
      <w:r w:rsidRPr="00CC7A6B">
        <w:rPr>
          <w:rFonts w:cs="Times New Roman"/>
        </w:rPr>
        <w:t>High</w:t>
      </w:r>
      <w:r w:rsidR="006B026C">
        <w:rPr>
          <w:rFonts w:cs="Times New Roman"/>
        </w:rPr>
        <w:t>-d</w:t>
      </w:r>
      <w:r w:rsidRPr="00CC7A6B">
        <w:rPr>
          <w:rFonts w:cs="Times New Roman"/>
        </w:rPr>
        <w:t>ensity Polyethylene (HDPE) bottles with polypropylene child resistant closure</w:t>
      </w:r>
      <w:r w:rsidR="00FB31DE">
        <w:rPr>
          <w:rFonts w:cs="Times New Roman"/>
        </w:rPr>
        <w:t xml:space="preserve"> and </w:t>
      </w:r>
      <w:r w:rsidR="00FB31DE" w:rsidRPr="00CC7A6B">
        <w:rPr>
          <w:rFonts w:cs="Times New Roman"/>
        </w:rPr>
        <w:t>induction seal</w:t>
      </w:r>
      <w:r w:rsidRPr="00CC7A6B">
        <w:rPr>
          <w:rFonts w:cs="Times New Roman"/>
        </w:rPr>
        <w:t>.</w:t>
      </w:r>
      <w:r w:rsidR="0008745C">
        <w:rPr>
          <w:rFonts w:cs="Times New Roman"/>
        </w:rPr>
        <w:t xml:space="preserve"> </w:t>
      </w:r>
      <w:r w:rsidR="006C134C" w:rsidRPr="006C134C">
        <w:rPr>
          <w:rFonts w:cs="Times New Roman"/>
        </w:rPr>
        <w:t>Pack size: 120 capsules</w:t>
      </w:r>
    </w:p>
    <w:p w14:paraId="7C894A4E" w14:textId="249B8E5F" w:rsidR="001A3992" w:rsidRPr="000A4651" w:rsidRDefault="001A3992" w:rsidP="002C18CF">
      <w:pPr>
        <w:pStyle w:val="Heading2"/>
        <w:rPr>
          <w:lang w:val="en-US"/>
        </w:rPr>
      </w:pPr>
      <w:r w:rsidRPr="000A4651">
        <w:rPr>
          <w:lang w:val="en-US"/>
        </w:rPr>
        <w:t>S</w:t>
      </w:r>
      <w:r w:rsidR="004F767B" w:rsidRPr="000A4651">
        <w:rPr>
          <w:lang w:val="en-US"/>
        </w:rPr>
        <w:t>pecial precautions for disposal</w:t>
      </w:r>
    </w:p>
    <w:p w14:paraId="74EC68B8" w14:textId="0A99DE78" w:rsidR="000E17B7" w:rsidRPr="006C134C" w:rsidRDefault="00392A02" w:rsidP="006C134C">
      <w:pPr>
        <w:rPr>
          <w:rFonts w:cs="Times New Roman"/>
        </w:rPr>
      </w:pPr>
      <w:r w:rsidRPr="006C134C">
        <w:rPr>
          <w:rFonts w:cs="Times New Roman"/>
        </w:rPr>
        <w:t>In Australia, any unused medicine or waste material should be disposed of by taking to your local pharmacy.</w:t>
      </w:r>
    </w:p>
    <w:p w14:paraId="39F48FB1" w14:textId="6122F427" w:rsidR="001A3992" w:rsidRDefault="001A3992" w:rsidP="002C18CF">
      <w:pPr>
        <w:pStyle w:val="Heading2"/>
        <w:rPr>
          <w:lang w:val="en-US"/>
        </w:rPr>
      </w:pPr>
      <w:r w:rsidRPr="000A4651">
        <w:rPr>
          <w:lang w:val="en-US"/>
        </w:rPr>
        <w:t>Physicochemical properties</w:t>
      </w:r>
    </w:p>
    <w:tbl>
      <w:tblPr>
        <w:tblStyle w:val="TableGrid"/>
        <w:tblW w:w="0" w:type="auto"/>
        <w:tblLook w:val="04A0" w:firstRow="1" w:lastRow="0" w:firstColumn="1" w:lastColumn="0" w:noHBand="0" w:noVBand="1"/>
      </w:tblPr>
      <w:tblGrid>
        <w:gridCol w:w="2689"/>
        <w:gridCol w:w="6327"/>
      </w:tblGrid>
      <w:tr w:rsidR="00595170" w14:paraId="2031283B" w14:textId="77777777" w:rsidTr="390FC611">
        <w:tc>
          <w:tcPr>
            <w:tcW w:w="2689" w:type="dxa"/>
          </w:tcPr>
          <w:p w14:paraId="58499C63" w14:textId="77777777" w:rsidR="00595170" w:rsidRDefault="00595170">
            <w:pPr>
              <w:rPr>
                <w:lang w:val="en-US"/>
              </w:rPr>
            </w:pPr>
            <w:r>
              <w:rPr>
                <w:lang w:val="en-US"/>
              </w:rPr>
              <w:t>Molecular formula</w:t>
            </w:r>
          </w:p>
        </w:tc>
        <w:tc>
          <w:tcPr>
            <w:tcW w:w="6327" w:type="dxa"/>
          </w:tcPr>
          <w:p w14:paraId="1B01694B" w14:textId="54924E79" w:rsidR="00595170" w:rsidRDefault="00595170">
            <w:pPr>
              <w:rPr>
                <w:lang w:val="en-US"/>
              </w:rPr>
            </w:pPr>
            <w:r w:rsidRPr="000B1BE0">
              <w:rPr>
                <w:lang w:val="en-US"/>
              </w:rPr>
              <w:t>C</w:t>
            </w:r>
            <w:r w:rsidRPr="00FD0254">
              <w:rPr>
                <w:vertAlign w:val="subscript"/>
                <w:lang w:val="en-US"/>
              </w:rPr>
              <w:t>27</w:t>
            </w:r>
            <w:r w:rsidRPr="000B1BE0">
              <w:rPr>
                <w:lang w:val="en-US"/>
              </w:rPr>
              <w:t>H</w:t>
            </w:r>
            <w:r w:rsidRPr="00FD0254">
              <w:rPr>
                <w:vertAlign w:val="subscript"/>
                <w:lang w:val="en-US"/>
              </w:rPr>
              <w:t>36</w:t>
            </w:r>
            <w:r w:rsidRPr="000B1BE0">
              <w:rPr>
                <w:lang w:val="en-US"/>
              </w:rPr>
              <w:t>N</w:t>
            </w:r>
            <w:r w:rsidRPr="00FD0254">
              <w:rPr>
                <w:vertAlign w:val="subscript"/>
                <w:lang w:val="en-US"/>
              </w:rPr>
              <w:t>6</w:t>
            </w:r>
            <w:r w:rsidRPr="000B1BE0">
              <w:rPr>
                <w:lang w:val="en-US"/>
              </w:rPr>
              <w:t>O</w:t>
            </w:r>
            <w:r w:rsidRPr="00FD0254">
              <w:rPr>
                <w:vertAlign w:val="subscript"/>
                <w:lang w:val="en-US"/>
              </w:rPr>
              <w:t>3</w:t>
            </w:r>
            <w:r w:rsidRPr="000B1BE0">
              <w:rPr>
                <w:lang w:val="en-US"/>
              </w:rPr>
              <w:t>S</w:t>
            </w:r>
            <w:r w:rsidR="009F270F">
              <w:rPr>
                <w:lang w:val="en-US"/>
              </w:rPr>
              <w:t>,</w:t>
            </w:r>
            <w:r w:rsidR="002D0640">
              <w:rPr>
                <w:lang w:val="en-US"/>
              </w:rPr>
              <w:t xml:space="preserve"> 2HCl, H</w:t>
            </w:r>
            <w:r w:rsidR="002D0640" w:rsidRPr="002D0640">
              <w:rPr>
                <w:vertAlign w:val="subscript"/>
                <w:lang w:val="en-US"/>
              </w:rPr>
              <w:t>2</w:t>
            </w:r>
            <w:r w:rsidR="002D0640">
              <w:rPr>
                <w:lang w:val="en-US"/>
              </w:rPr>
              <w:t>O</w:t>
            </w:r>
          </w:p>
        </w:tc>
      </w:tr>
      <w:tr w:rsidR="00595170" w14:paraId="78F445DF" w14:textId="77777777" w:rsidTr="390FC611">
        <w:tc>
          <w:tcPr>
            <w:tcW w:w="2689" w:type="dxa"/>
          </w:tcPr>
          <w:p w14:paraId="18E12BF0" w14:textId="77777777" w:rsidR="00595170" w:rsidRDefault="00595170">
            <w:pPr>
              <w:rPr>
                <w:lang w:val="en-US"/>
              </w:rPr>
            </w:pPr>
            <w:r>
              <w:rPr>
                <w:lang w:val="en-US"/>
              </w:rPr>
              <w:t>Molecular weight</w:t>
            </w:r>
          </w:p>
        </w:tc>
        <w:tc>
          <w:tcPr>
            <w:tcW w:w="6327" w:type="dxa"/>
          </w:tcPr>
          <w:p w14:paraId="1237924D" w14:textId="43440354" w:rsidR="00595170" w:rsidRDefault="002D0640">
            <w:pPr>
              <w:rPr>
                <w:lang w:val="en-US"/>
              </w:rPr>
            </w:pPr>
            <w:r>
              <w:rPr>
                <w:lang w:val="en-US"/>
              </w:rPr>
              <w:t>615.62</w:t>
            </w:r>
          </w:p>
        </w:tc>
      </w:tr>
      <w:tr w:rsidR="00595170" w14:paraId="6859E948" w14:textId="77777777" w:rsidTr="390FC611">
        <w:tc>
          <w:tcPr>
            <w:tcW w:w="2689" w:type="dxa"/>
          </w:tcPr>
          <w:p w14:paraId="7B76A7B9" w14:textId="77777777" w:rsidR="00595170" w:rsidRDefault="00595170">
            <w:pPr>
              <w:rPr>
                <w:lang w:val="en-US"/>
              </w:rPr>
            </w:pPr>
            <w:r>
              <w:rPr>
                <w:lang w:val="en-US"/>
              </w:rPr>
              <w:t>Chemical name</w:t>
            </w:r>
          </w:p>
        </w:tc>
        <w:tc>
          <w:tcPr>
            <w:tcW w:w="6327" w:type="dxa"/>
          </w:tcPr>
          <w:p w14:paraId="0EB81CA9" w14:textId="28760224" w:rsidR="00AF15C5" w:rsidRPr="00DA09B4" w:rsidRDefault="1803CD7F" w:rsidP="00AF15C5">
            <w:pPr>
              <w:rPr>
                <w:lang w:val="en-US"/>
              </w:rPr>
            </w:pPr>
            <w:r w:rsidRPr="390FC611">
              <w:rPr>
                <w:i/>
                <w:iCs/>
                <w:lang w:val="en-US"/>
              </w:rPr>
              <w:t>N-tert-</w:t>
            </w:r>
            <w:r w:rsidRPr="390FC611">
              <w:rPr>
                <w:lang w:val="en-US"/>
              </w:rPr>
              <w:t>butyl-3</w:t>
            </w:r>
            <w:proofErr w:type="gramStart"/>
            <w:r w:rsidRPr="390FC611">
              <w:rPr>
                <w:lang w:val="en-US"/>
              </w:rPr>
              <w:t>-[</w:t>
            </w:r>
            <w:proofErr w:type="gramEnd"/>
            <w:r w:rsidRPr="390FC611">
              <w:rPr>
                <w:lang w:val="en-US"/>
              </w:rPr>
              <w:t>(5-methyl-2</w:t>
            </w:r>
            <w:proofErr w:type="gramStart"/>
            <w:r w:rsidRPr="390FC611">
              <w:rPr>
                <w:lang w:val="en-US"/>
              </w:rPr>
              <w:t>-{ [</w:t>
            </w:r>
            <w:proofErr w:type="gramEnd"/>
            <w:r w:rsidRPr="390FC611">
              <w:rPr>
                <w:lang w:val="en-US"/>
              </w:rPr>
              <w:t>4-(2-pyrrolidin-1-</w:t>
            </w:r>
          </w:p>
          <w:p w14:paraId="48302F59" w14:textId="77777777" w:rsidR="00AF15C5" w:rsidRPr="00DA09B4" w:rsidRDefault="00AF15C5" w:rsidP="00AF15C5">
            <w:pPr>
              <w:rPr>
                <w:lang w:val="en-US"/>
              </w:rPr>
            </w:pPr>
            <w:proofErr w:type="spellStart"/>
            <w:proofErr w:type="gramStart"/>
            <w:r w:rsidRPr="00DA09B4">
              <w:rPr>
                <w:lang w:val="en-US"/>
              </w:rPr>
              <w:t>ylethoxy</w:t>
            </w:r>
            <w:proofErr w:type="spellEnd"/>
            <w:r w:rsidRPr="00DA09B4">
              <w:rPr>
                <w:lang w:val="en-US"/>
              </w:rPr>
              <w:t>)phenyl</w:t>
            </w:r>
            <w:proofErr w:type="gramEnd"/>
            <w:r w:rsidRPr="00DA09B4">
              <w:rPr>
                <w:lang w:val="en-US"/>
              </w:rPr>
              <w:t>]</w:t>
            </w:r>
            <w:proofErr w:type="gramStart"/>
            <w:r w:rsidRPr="00DA09B4">
              <w:rPr>
                <w:lang w:val="en-US"/>
              </w:rPr>
              <w:t>amino}pyrimidin</w:t>
            </w:r>
            <w:proofErr w:type="gramEnd"/>
            <w:r w:rsidRPr="00DA09B4">
              <w:rPr>
                <w:lang w:val="en-US"/>
              </w:rPr>
              <w:t>-4-</w:t>
            </w:r>
            <w:proofErr w:type="gramStart"/>
            <w:r w:rsidRPr="00DA09B4">
              <w:rPr>
                <w:lang w:val="en-US"/>
              </w:rPr>
              <w:t>yl)amino</w:t>
            </w:r>
            <w:proofErr w:type="gramEnd"/>
            <w:r w:rsidRPr="00DA09B4">
              <w:rPr>
                <w:lang w:val="en-US"/>
              </w:rPr>
              <w:t>]</w:t>
            </w:r>
            <w:proofErr w:type="spellStart"/>
            <w:r w:rsidRPr="00DA09B4">
              <w:rPr>
                <w:lang w:val="en-US"/>
              </w:rPr>
              <w:t>benzenesulfonamide</w:t>
            </w:r>
            <w:proofErr w:type="spellEnd"/>
            <w:r w:rsidRPr="00DA09B4">
              <w:rPr>
                <w:lang w:val="en-US"/>
              </w:rPr>
              <w:t xml:space="preserve"> dihydrochloride monohydrate</w:t>
            </w:r>
          </w:p>
          <w:p w14:paraId="6BA3073F" w14:textId="47BFB8FF" w:rsidR="00595170" w:rsidRPr="0034105C" w:rsidRDefault="00595170">
            <w:pPr>
              <w:rPr>
                <w:lang w:val="en-US"/>
              </w:rPr>
            </w:pPr>
          </w:p>
        </w:tc>
      </w:tr>
      <w:tr w:rsidR="00595170" w14:paraId="3CE534DC" w14:textId="77777777" w:rsidTr="390FC611">
        <w:tc>
          <w:tcPr>
            <w:tcW w:w="2689" w:type="dxa"/>
          </w:tcPr>
          <w:p w14:paraId="5C57507D" w14:textId="77777777" w:rsidR="00595170" w:rsidRDefault="00595170">
            <w:pPr>
              <w:rPr>
                <w:lang w:val="en-US"/>
              </w:rPr>
            </w:pPr>
            <w:r>
              <w:rPr>
                <w:lang w:val="en-US"/>
              </w:rPr>
              <w:t>Chemical Abstract Service (CAS) registry number</w:t>
            </w:r>
          </w:p>
        </w:tc>
        <w:tc>
          <w:tcPr>
            <w:tcW w:w="6327" w:type="dxa"/>
          </w:tcPr>
          <w:p w14:paraId="4C037D28" w14:textId="2128F5F7" w:rsidR="00595170" w:rsidRDefault="00845E74">
            <w:pPr>
              <w:rPr>
                <w:lang w:val="en-US"/>
              </w:rPr>
            </w:pPr>
            <w:r w:rsidRPr="00814C82">
              <w:rPr>
                <w:lang w:val="en-US"/>
              </w:rPr>
              <w:t>1374744-69-0</w:t>
            </w:r>
          </w:p>
        </w:tc>
      </w:tr>
      <w:tr w:rsidR="00595170" w14:paraId="503E6898" w14:textId="77777777" w:rsidTr="390FC611">
        <w:tc>
          <w:tcPr>
            <w:tcW w:w="2689" w:type="dxa"/>
          </w:tcPr>
          <w:p w14:paraId="4029A0C8" w14:textId="77777777" w:rsidR="00595170" w:rsidRDefault="00595170">
            <w:pPr>
              <w:rPr>
                <w:lang w:val="en-US"/>
              </w:rPr>
            </w:pPr>
            <w:r>
              <w:rPr>
                <w:lang w:val="en-US"/>
              </w:rPr>
              <w:lastRenderedPageBreak/>
              <w:t>Chemical structure</w:t>
            </w:r>
          </w:p>
        </w:tc>
        <w:tc>
          <w:tcPr>
            <w:tcW w:w="6327" w:type="dxa"/>
          </w:tcPr>
          <w:p w14:paraId="66856D2D" w14:textId="3B70CAB7" w:rsidR="00595170" w:rsidRDefault="00595170">
            <w:pPr>
              <w:rPr>
                <w:lang w:val="en-US"/>
              </w:rPr>
            </w:pPr>
          </w:p>
          <w:p w14:paraId="1809EFBA" w14:textId="7AEA6C2D" w:rsidR="007E1FFE" w:rsidRDefault="004E18ED">
            <w:pPr>
              <w:rPr>
                <w:lang w:val="en-US"/>
              </w:rPr>
            </w:pPr>
            <w:r>
              <w:rPr>
                <w:noProof/>
              </w:rPr>
              <w:drawing>
                <wp:inline distT="0" distB="0" distL="0" distR="0" wp14:anchorId="0E4503B2" wp14:editId="3D727788">
                  <wp:extent cx="3439236" cy="1065759"/>
                  <wp:effectExtent l="0" t="0" r="0" b="1270"/>
                  <wp:docPr id="10" name="Picture 10" descr="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emical structure"/>
                          <pic:cNvPicPr/>
                        </pic:nvPicPr>
                        <pic:blipFill>
                          <a:blip r:embed="rId12"/>
                          <a:stretch>
                            <a:fillRect/>
                          </a:stretch>
                        </pic:blipFill>
                        <pic:spPr>
                          <a:xfrm>
                            <a:off x="0" y="0"/>
                            <a:ext cx="3484334" cy="1079734"/>
                          </a:xfrm>
                          <a:prstGeom prst="rect">
                            <a:avLst/>
                          </a:prstGeom>
                        </pic:spPr>
                      </pic:pic>
                    </a:graphicData>
                  </a:graphic>
                </wp:inline>
              </w:drawing>
            </w:r>
          </w:p>
        </w:tc>
      </w:tr>
    </w:tbl>
    <w:p w14:paraId="57072ED1" w14:textId="77777777" w:rsidR="00054256" w:rsidRPr="00054256" w:rsidRDefault="00054256" w:rsidP="00054256">
      <w:pPr>
        <w:rPr>
          <w:lang w:val="en-US"/>
        </w:rPr>
      </w:pPr>
    </w:p>
    <w:p w14:paraId="3B206A7B" w14:textId="77777777" w:rsidR="001A3992" w:rsidRPr="000A4651" w:rsidRDefault="001A3992" w:rsidP="00D86EB1">
      <w:pPr>
        <w:pStyle w:val="Heading1"/>
      </w:pPr>
      <w:r w:rsidRPr="000A4651">
        <w:t>Medicine schedule (Poisons Standard)</w:t>
      </w:r>
    </w:p>
    <w:p w14:paraId="3B8B424C" w14:textId="6F4138B1" w:rsidR="00207448" w:rsidRPr="000A4651" w:rsidRDefault="00BF3128" w:rsidP="00207448">
      <w:pPr>
        <w:rPr>
          <w:rFonts w:cs="Times New Roman"/>
          <w:lang w:val="en-US"/>
        </w:rPr>
      </w:pPr>
      <w:r>
        <w:rPr>
          <w:rFonts w:cs="Times New Roman"/>
          <w:lang w:val="en-US"/>
        </w:rPr>
        <w:t xml:space="preserve">Schedule 4 - </w:t>
      </w:r>
      <w:r w:rsidR="00207448" w:rsidRPr="000A4651">
        <w:rPr>
          <w:rFonts w:cs="Times New Roman"/>
          <w:lang w:val="en-US"/>
        </w:rPr>
        <w:t>Prescription Only Medicine</w:t>
      </w:r>
      <w:r w:rsidR="00C300B1" w:rsidRPr="000A4651">
        <w:rPr>
          <w:rFonts w:cs="Times New Roman"/>
          <w:lang w:val="en-US"/>
        </w:rPr>
        <w:t>.</w:t>
      </w:r>
    </w:p>
    <w:p w14:paraId="65A1CF8A" w14:textId="77777777" w:rsidR="001A3992" w:rsidRPr="000A4651" w:rsidRDefault="001A3992" w:rsidP="00D86EB1">
      <w:pPr>
        <w:pStyle w:val="Heading1"/>
      </w:pPr>
      <w:r w:rsidRPr="000A4651">
        <w:t>Sponsor</w:t>
      </w:r>
    </w:p>
    <w:p w14:paraId="342E389E" w14:textId="1CED5830" w:rsidR="00E1061D" w:rsidRDefault="00AC3E14" w:rsidP="00E1061D">
      <w:pPr>
        <w:spacing w:after="0"/>
      </w:pPr>
      <w:r>
        <w:t xml:space="preserve">Bristol-Myers Squibb Australia </w:t>
      </w:r>
      <w:r w:rsidRPr="00A52278">
        <w:t>P</w:t>
      </w:r>
      <w:r>
        <w:t>ty Ltd</w:t>
      </w:r>
      <w:r w:rsidR="00E1061D">
        <w:t xml:space="preserve"> </w:t>
      </w:r>
    </w:p>
    <w:p w14:paraId="4351B578" w14:textId="585CDF76" w:rsidR="00E1061D" w:rsidRDefault="00E1061D" w:rsidP="00E1061D">
      <w:pPr>
        <w:spacing w:after="0"/>
      </w:pPr>
      <w:r>
        <w:t>4 Nexus Court</w:t>
      </w:r>
      <w:r w:rsidR="00392B2E">
        <w:t>, Mulgrave</w:t>
      </w:r>
      <w:r>
        <w:t xml:space="preserve"> </w:t>
      </w:r>
    </w:p>
    <w:p w14:paraId="24645967" w14:textId="19950324" w:rsidR="00E1061D" w:rsidRDefault="00392B2E" w:rsidP="00E1061D">
      <w:pPr>
        <w:spacing w:after="0"/>
      </w:pPr>
      <w:r>
        <w:t>Victoria</w:t>
      </w:r>
      <w:r w:rsidR="00E1061D">
        <w:t xml:space="preserve"> 3170</w:t>
      </w:r>
      <w:r>
        <w:t xml:space="preserve">, </w:t>
      </w:r>
      <w:r w:rsidR="00E1061D">
        <w:t xml:space="preserve">Australia </w:t>
      </w:r>
    </w:p>
    <w:p w14:paraId="554CD133" w14:textId="7A779E58" w:rsidR="00A52278" w:rsidRPr="00A52278" w:rsidRDefault="00A52278" w:rsidP="00A52278">
      <w:pPr>
        <w:spacing w:after="0"/>
      </w:pPr>
      <w:r w:rsidRPr="00A52278">
        <w:t xml:space="preserve">Toll free number: 1800 067 567 </w:t>
      </w:r>
    </w:p>
    <w:p w14:paraId="26FD3FC5" w14:textId="00AE5B89" w:rsidR="00E1061D" w:rsidRPr="00A52278" w:rsidRDefault="00A52278" w:rsidP="00A52278">
      <w:pPr>
        <w:spacing w:after="0"/>
      </w:pPr>
      <w:r>
        <w:t xml:space="preserve">Email: </w:t>
      </w:r>
      <w:r w:rsidRPr="00A52278">
        <w:t>MedInfo.Australia@bms.com</w:t>
      </w:r>
      <w:r w:rsidR="00E1061D" w:rsidRPr="00A52278">
        <w:t xml:space="preserve"> </w:t>
      </w:r>
    </w:p>
    <w:p w14:paraId="0BA3DFB1" w14:textId="4EBC4DBA" w:rsidR="001A3992" w:rsidRPr="000A4651" w:rsidRDefault="001A3992" w:rsidP="00D86EB1">
      <w:pPr>
        <w:pStyle w:val="Heading1"/>
      </w:pPr>
      <w:r w:rsidRPr="000A4651">
        <w:t>Date</w:t>
      </w:r>
      <w:r w:rsidR="007C4044" w:rsidRPr="000A4651">
        <w:t xml:space="preserve"> of first approval (ARTG entry)</w:t>
      </w:r>
    </w:p>
    <w:p w14:paraId="516EA795" w14:textId="6203D696" w:rsidR="00207448" w:rsidRPr="00C12D31" w:rsidRDefault="006E14A0" w:rsidP="00207448">
      <w:pPr>
        <w:ind w:left="630" w:hanging="630"/>
        <w:rPr>
          <w:rFonts w:cs="Times New Roman"/>
        </w:rPr>
      </w:pPr>
      <w:r>
        <w:rPr>
          <w:rFonts w:cs="Times New Roman"/>
        </w:rPr>
        <w:t>13 February 2025</w:t>
      </w:r>
      <w:r w:rsidR="00207448" w:rsidRPr="00C12D31">
        <w:rPr>
          <w:rFonts w:cs="Times New Roman"/>
        </w:rPr>
        <w:t xml:space="preserve"> </w:t>
      </w:r>
    </w:p>
    <w:p w14:paraId="28C934C3" w14:textId="77777777" w:rsidR="001A3992" w:rsidRPr="000A4651" w:rsidRDefault="001A3992" w:rsidP="00D86EB1">
      <w:pPr>
        <w:pStyle w:val="Heading1"/>
      </w:pPr>
      <w:r w:rsidRPr="000A4651">
        <w:t>Date of revision of the text</w:t>
      </w:r>
    </w:p>
    <w:p w14:paraId="6CBD3527" w14:textId="21D9F729" w:rsidR="007C4044" w:rsidRPr="0088502A" w:rsidRDefault="0088502A" w:rsidP="00207448">
      <w:pPr>
        <w:ind w:left="630" w:hanging="630"/>
        <w:rPr>
          <w:rFonts w:cs="Times New Roman"/>
        </w:rPr>
      </w:pPr>
      <w:r w:rsidRPr="0088502A">
        <w:rPr>
          <w:rFonts w:cs="Times New Roman"/>
        </w:rPr>
        <w:t>N/A</w:t>
      </w:r>
    </w:p>
    <w:p w14:paraId="49F9DDCD" w14:textId="77777777" w:rsidR="001A3992" w:rsidRPr="000A4651" w:rsidRDefault="001A3992" w:rsidP="002C18CF">
      <w:pPr>
        <w:pStyle w:val="Heading2"/>
        <w:numPr>
          <w:ilvl w:val="0"/>
          <w:numId w:val="0"/>
        </w:numPr>
        <w:rPr>
          <w:lang w:val="en-US"/>
        </w:rPr>
      </w:pPr>
      <w:r w:rsidRPr="000A4651">
        <w:rPr>
          <w:lang w:val="en-US"/>
        </w:rPr>
        <w:t>Summary table of changes</w:t>
      </w:r>
    </w:p>
    <w:tbl>
      <w:tblPr>
        <w:tblStyle w:val="LightGrid"/>
        <w:tblW w:w="9062" w:type="dxa"/>
        <w:tblCellMar>
          <w:top w:w="57" w:type="dxa"/>
          <w:bottom w:w="57" w:type="dxa"/>
        </w:tblCellMar>
        <w:tblLook w:val="06A0" w:firstRow="1" w:lastRow="0" w:firstColumn="1" w:lastColumn="0" w:noHBand="1" w:noVBand="1"/>
      </w:tblPr>
      <w:tblGrid>
        <w:gridCol w:w="1368"/>
        <w:gridCol w:w="7694"/>
      </w:tblGrid>
      <w:tr w:rsidR="003217A8" w:rsidRPr="000A4651" w14:paraId="7BCF663E" w14:textId="77777777" w:rsidTr="00BF31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F2F2F2" w:themeFill="background1" w:themeFillShade="F2"/>
            <w:vAlign w:val="center"/>
          </w:tcPr>
          <w:p w14:paraId="11BEEDD2" w14:textId="77777777" w:rsidR="003217A8" w:rsidRPr="000A4651" w:rsidRDefault="003217A8" w:rsidP="001A3992">
            <w:pPr>
              <w:rPr>
                <w:rFonts w:cs="Times New Roman"/>
                <w:sz w:val="20"/>
                <w:lang w:val="en-US"/>
              </w:rPr>
            </w:pPr>
            <w:r w:rsidRPr="000A4651">
              <w:rPr>
                <w:rFonts w:cs="Times New Roman"/>
                <w:sz w:val="20"/>
                <w:lang w:val="en-US"/>
              </w:rPr>
              <w:t>Section Changed</w:t>
            </w:r>
          </w:p>
        </w:tc>
        <w:tc>
          <w:tcPr>
            <w:tcW w:w="7694" w:type="dxa"/>
            <w:shd w:val="clear" w:color="auto" w:fill="F2F2F2" w:themeFill="background1" w:themeFillShade="F2"/>
            <w:vAlign w:val="center"/>
          </w:tcPr>
          <w:p w14:paraId="4338F9AE" w14:textId="77777777" w:rsidR="003217A8" w:rsidRPr="000A4651" w:rsidRDefault="003217A8" w:rsidP="001A3992">
            <w:pPr>
              <w:cnfStyle w:val="100000000000" w:firstRow="1" w:lastRow="0" w:firstColumn="0" w:lastColumn="0" w:oddVBand="0" w:evenVBand="0" w:oddHBand="0" w:evenHBand="0" w:firstRowFirstColumn="0" w:firstRowLastColumn="0" w:lastRowFirstColumn="0" w:lastRowLastColumn="0"/>
              <w:rPr>
                <w:rFonts w:cs="Times New Roman"/>
                <w:sz w:val="20"/>
                <w:lang w:val="en-US"/>
              </w:rPr>
            </w:pPr>
            <w:r w:rsidRPr="000A4651">
              <w:rPr>
                <w:rFonts w:cs="Times New Roman"/>
                <w:sz w:val="20"/>
                <w:lang w:val="en-US"/>
              </w:rPr>
              <w:t>Summary of new information</w:t>
            </w:r>
          </w:p>
        </w:tc>
      </w:tr>
      <w:tr w:rsidR="003217A8" w:rsidRPr="000A4651" w14:paraId="74F286C1" w14:textId="77777777" w:rsidTr="00BF3128">
        <w:tc>
          <w:tcPr>
            <w:cnfStyle w:val="001000000000" w:firstRow="0" w:lastRow="0" w:firstColumn="1" w:lastColumn="0" w:oddVBand="0" w:evenVBand="0" w:oddHBand="0" w:evenHBand="0" w:firstRowFirstColumn="0" w:firstRowLastColumn="0" w:lastRowFirstColumn="0" w:lastRowLastColumn="0"/>
            <w:tcW w:w="1368" w:type="dxa"/>
            <w:vAlign w:val="center"/>
          </w:tcPr>
          <w:p w14:paraId="5E925727" w14:textId="1D21B9B6" w:rsidR="003217A8" w:rsidRPr="006B1A9F" w:rsidRDefault="006B1A9F" w:rsidP="001A3992">
            <w:pPr>
              <w:rPr>
                <w:rFonts w:cs="Times New Roman"/>
                <w:b w:val="0"/>
                <w:bCs w:val="0"/>
                <w:lang w:val="en-US"/>
              </w:rPr>
            </w:pPr>
            <w:r w:rsidRPr="006B1A9F">
              <w:rPr>
                <w:rFonts w:cs="Times New Roman"/>
                <w:b w:val="0"/>
                <w:bCs w:val="0"/>
                <w:lang w:val="en-US"/>
              </w:rPr>
              <w:t>N/A</w:t>
            </w:r>
          </w:p>
        </w:tc>
        <w:tc>
          <w:tcPr>
            <w:tcW w:w="7694" w:type="dxa"/>
            <w:vAlign w:val="center"/>
          </w:tcPr>
          <w:p w14:paraId="6B4298F3" w14:textId="3931C285" w:rsidR="003217A8" w:rsidRPr="000A4651" w:rsidRDefault="006B1A9F" w:rsidP="001A3992">
            <w:pPr>
              <w:cnfStyle w:val="000000000000" w:firstRow="0" w:lastRow="0" w:firstColumn="0" w:lastColumn="0" w:oddVBand="0" w:evenVBand="0" w:oddHBand="0" w:evenHBand="0" w:firstRowFirstColumn="0" w:firstRowLastColumn="0" w:lastRowFirstColumn="0" w:lastRowLastColumn="0"/>
              <w:rPr>
                <w:rFonts w:cs="Times New Roman"/>
                <w:lang w:val="en-US"/>
              </w:rPr>
            </w:pPr>
            <w:r>
              <w:rPr>
                <w:rFonts w:cs="Times New Roman"/>
                <w:lang w:val="en-US"/>
              </w:rPr>
              <w:t>Initial version</w:t>
            </w:r>
          </w:p>
        </w:tc>
      </w:tr>
    </w:tbl>
    <w:p w14:paraId="1E6CBE4A" w14:textId="30073A2F" w:rsidR="00960CD5" w:rsidRPr="000A4651" w:rsidRDefault="006B1A9F" w:rsidP="00C300B1">
      <w:pPr>
        <w:spacing w:before="240" w:after="120"/>
        <w:rPr>
          <w:rFonts w:cs="Times New Roman"/>
        </w:rPr>
      </w:pPr>
      <w:r>
        <w:rPr>
          <w:rFonts w:cs="Times New Roman"/>
          <w:lang w:val="en-US"/>
        </w:rPr>
        <w:t>INREBIC</w:t>
      </w:r>
      <w:r w:rsidR="00DA2EDA" w:rsidRPr="00DA2EDA">
        <w:rPr>
          <w:rFonts w:cs="Times New Roman"/>
          <w:vertAlign w:val="superscript"/>
          <w:lang w:val="en-US"/>
        </w:rPr>
        <w:t>®</w:t>
      </w:r>
      <w:r w:rsidR="004704A9" w:rsidRPr="000A4651">
        <w:rPr>
          <w:rFonts w:cs="Times New Roman"/>
          <w:lang w:val="en-US"/>
        </w:rPr>
        <w:t xml:space="preserve"> is a trademark of </w:t>
      </w:r>
      <w:r>
        <w:rPr>
          <w:rFonts w:cs="Times New Roman"/>
          <w:lang w:val="en-US"/>
        </w:rPr>
        <w:t xml:space="preserve">Celgene Corporation, a </w:t>
      </w:r>
      <w:r w:rsidR="004704A9" w:rsidRPr="000A4651">
        <w:rPr>
          <w:rFonts w:cs="Times New Roman"/>
          <w:lang w:val="en-US"/>
        </w:rPr>
        <w:t>Bristol-Myers Squibb</w:t>
      </w:r>
      <w:r w:rsidR="004D18C7" w:rsidRPr="000A4651">
        <w:rPr>
          <w:rFonts w:cs="Times New Roman"/>
          <w:lang w:val="en-US"/>
        </w:rPr>
        <w:t xml:space="preserve"> </w:t>
      </w:r>
      <w:r w:rsidR="00E518F1">
        <w:rPr>
          <w:rFonts w:cs="Times New Roman"/>
          <w:lang w:val="en-US"/>
        </w:rPr>
        <w:t>c</w:t>
      </w:r>
      <w:r w:rsidR="004D18C7" w:rsidRPr="000A4651">
        <w:rPr>
          <w:rFonts w:cs="Times New Roman"/>
          <w:lang w:val="en-US"/>
        </w:rPr>
        <w:t>ompany</w:t>
      </w:r>
      <w:r w:rsidR="00CB5929" w:rsidRPr="000A4651">
        <w:rPr>
          <w:rFonts w:cs="Times New Roman"/>
          <w:lang w:val="en-US"/>
        </w:rPr>
        <w:t>.</w:t>
      </w:r>
    </w:p>
    <w:sectPr w:rsidR="00960CD5" w:rsidRPr="000A4651" w:rsidSect="00E4747E">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pgMar w:top="72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73C4E" w14:textId="77777777" w:rsidR="001F3AA2" w:rsidRDefault="001F3AA2" w:rsidP="001A3992">
      <w:pPr>
        <w:spacing w:after="0"/>
      </w:pPr>
      <w:r>
        <w:separator/>
      </w:r>
    </w:p>
  </w:endnote>
  <w:endnote w:type="continuationSeparator" w:id="0">
    <w:p w14:paraId="11B6A7BE" w14:textId="77777777" w:rsidR="001F3AA2" w:rsidRDefault="001F3AA2" w:rsidP="001A3992">
      <w:pPr>
        <w:spacing w:after="0"/>
      </w:pPr>
      <w:r>
        <w:continuationSeparator/>
      </w:r>
    </w:p>
  </w:endnote>
  <w:endnote w:type="continuationNotice" w:id="1">
    <w:p w14:paraId="716ACE7F" w14:textId="77777777" w:rsidR="001F3AA2" w:rsidRDefault="001F3A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Yu Gothic"/>
    <w:panose1 w:val="00000000000000000000"/>
    <w:charset w:val="80"/>
    <w:family w:val="auto"/>
    <w:notTrueType/>
    <w:pitch w:val="default"/>
    <w:sig w:usb0="00000003" w:usb1="08070000" w:usb2="00000010" w:usb3="00000000" w:csb0="00020001" w:csb1="00000000"/>
  </w:font>
  <w:font w:name="TimesNewRoman">
    <w:altName w:val="Yu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2689" w14:textId="77777777" w:rsidR="00CF7A43" w:rsidRDefault="00CF7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93163430"/>
      <w:docPartObj>
        <w:docPartGallery w:val="Page Numbers (Bottom of Page)"/>
        <w:docPartUnique/>
      </w:docPartObj>
    </w:sdtPr>
    <w:sdtEndPr>
      <w:rPr>
        <w:sz w:val="20"/>
        <w:szCs w:val="20"/>
      </w:rPr>
    </w:sdtEndPr>
    <w:sdtContent>
      <w:p w14:paraId="13ED8EB3" w14:textId="559E4420" w:rsidR="00594184" w:rsidRPr="003109D8" w:rsidRDefault="003109D8" w:rsidP="003109D8">
        <w:pPr>
          <w:pStyle w:val="Footer"/>
          <w:tabs>
            <w:tab w:val="clear" w:pos="4513"/>
          </w:tabs>
          <w:rPr>
            <w:rFonts w:ascii="Times New Roman" w:hAnsi="Times New Roman" w:cs="Times New Roman"/>
            <w:sz w:val="20"/>
          </w:rPr>
        </w:pPr>
        <w:r w:rsidRPr="003109D8">
          <w:rPr>
            <w:rFonts w:ascii="Times New Roman" w:hAnsi="Times New Roman" w:cs="Times New Roman"/>
            <w:sz w:val="20"/>
            <w:szCs w:val="20"/>
          </w:rPr>
          <w:t>AU_PI_</w:t>
        </w:r>
        <w:r w:rsidR="00533F6B">
          <w:rPr>
            <w:rFonts w:ascii="Times New Roman" w:hAnsi="Times New Roman" w:cs="Times New Roman"/>
            <w:sz w:val="20"/>
            <w:szCs w:val="20"/>
          </w:rPr>
          <w:t>INREBIC</w:t>
        </w:r>
        <w:r w:rsidRPr="001F57B8">
          <w:rPr>
            <w:rFonts w:ascii="Times New Roman" w:hAnsi="Times New Roman" w:cs="Times New Roman"/>
            <w:sz w:val="20"/>
            <w:szCs w:val="20"/>
          </w:rPr>
          <w:t>_V</w:t>
        </w:r>
        <w:r w:rsidR="006E14A0">
          <w:rPr>
            <w:rFonts w:ascii="Times New Roman" w:hAnsi="Times New Roman" w:cs="Times New Roman"/>
            <w:sz w:val="20"/>
            <w:szCs w:val="20"/>
          </w:rPr>
          <w:t>1.0</w:t>
        </w:r>
        <w:r>
          <w:rPr>
            <w:rFonts w:ascii="Times New Roman" w:hAnsi="Times New Roman" w:cs="Times New Roman"/>
            <w:sz w:val="20"/>
            <w:szCs w:val="20"/>
          </w:rPr>
          <w:tab/>
        </w:r>
        <w:r w:rsidR="00431ACD" w:rsidRPr="003109D8">
          <w:rPr>
            <w:rFonts w:ascii="Times New Roman" w:hAnsi="Times New Roman" w:cs="Times New Roman"/>
            <w:sz w:val="20"/>
          </w:rPr>
          <w:fldChar w:fldCharType="begin"/>
        </w:r>
        <w:r w:rsidR="00431ACD" w:rsidRPr="003109D8">
          <w:rPr>
            <w:rFonts w:ascii="Times New Roman" w:hAnsi="Times New Roman" w:cs="Times New Roman"/>
            <w:sz w:val="20"/>
          </w:rPr>
          <w:instrText xml:space="preserve"> PAGE   \* MERGEFORMAT </w:instrText>
        </w:r>
        <w:r w:rsidR="00431ACD" w:rsidRPr="003109D8">
          <w:rPr>
            <w:rFonts w:ascii="Times New Roman" w:hAnsi="Times New Roman" w:cs="Times New Roman"/>
            <w:sz w:val="20"/>
          </w:rPr>
          <w:fldChar w:fldCharType="separate"/>
        </w:r>
        <w:r w:rsidR="00AA7E77">
          <w:rPr>
            <w:rFonts w:ascii="Times New Roman" w:hAnsi="Times New Roman" w:cs="Times New Roman"/>
            <w:noProof/>
            <w:sz w:val="20"/>
          </w:rPr>
          <w:t>1</w:t>
        </w:r>
        <w:r w:rsidR="00431ACD" w:rsidRPr="003109D8">
          <w:rPr>
            <w:rFonts w:ascii="Times New Roman" w:hAnsi="Times New Roman" w:cs="Times New Roman"/>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F43E4" w14:textId="77777777" w:rsidR="00CF7A43" w:rsidRDefault="00CF7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11CDF" w14:textId="77777777" w:rsidR="001F3AA2" w:rsidRDefault="001F3AA2" w:rsidP="001A3992">
      <w:pPr>
        <w:spacing w:after="0"/>
      </w:pPr>
      <w:r>
        <w:separator/>
      </w:r>
    </w:p>
  </w:footnote>
  <w:footnote w:type="continuationSeparator" w:id="0">
    <w:p w14:paraId="33222372" w14:textId="77777777" w:rsidR="001F3AA2" w:rsidRDefault="001F3AA2" w:rsidP="001A3992">
      <w:pPr>
        <w:spacing w:after="0"/>
      </w:pPr>
      <w:r>
        <w:continuationSeparator/>
      </w:r>
    </w:p>
  </w:footnote>
  <w:footnote w:type="continuationNotice" w:id="1">
    <w:p w14:paraId="592C8A4A" w14:textId="77777777" w:rsidR="001F3AA2" w:rsidRDefault="001F3A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FC97" w14:textId="77777777" w:rsidR="00CF7A43" w:rsidRDefault="00CF7A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994D" w14:textId="77777777" w:rsidR="002C18CF" w:rsidRPr="002C18CF" w:rsidRDefault="002C18CF" w:rsidP="002C18CF">
    <w:pPr>
      <w:pStyle w:val="ListBullet"/>
      <w:spacing w:after="0"/>
      <w:ind w:left="0" w:firstLine="0"/>
      <w:rPr>
        <w:sz w:val="16"/>
        <w:szCs w:val="16"/>
      </w:rPr>
    </w:pPr>
  </w:p>
  <w:tbl>
    <w:tblPr>
      <w:tblStyle w:val="TableGrid"/>
      <w:tblW w:w="0" w:type="auto"/>
      <w:shd w:val="clear" w:color="auto" w:fill="E4F2E0"/>
      <w:tblLook w:val="04A0" w:firstRow="1" w:lastRow="0" w:firstColumn="1" w:lastColumn="0" w:noHBand="0" w:noVBand="1"/>
    </w:tblPr>
    <w:tblGrid>
      <w:gridCol w:w="9016"/>
    </w:tblGrid>
    <w:tr w:rsidR="002C18CF" w:rsidRPr="000B2145" w14:paraId="56DC4819" w14:textId="77777777" w:rsidTr="00790C28">
      <w:trPr>
        <w:trHeight w:val="1012"/>
      </w:trPr>
      <w:tc>
        <w:tcPr>
          <w:tcW w:w="9498" w:type="dxa"/>
          <w:shd w:val="clear" w:color="auto" w:fill="E4F2E0"/>
        </w:tcPr>
        <w:p w14:paraId="1D5812F7" w14:textId="7DD7DF7F" w:rsidR="002C18CF" w:rsidRPr="0065362D" w:rsidRDefault="002C18CF" w:rsidP="00CF7A43">
          <w:pPr>
            <w:pStyle w:val="Footer"/>
            <w:jc w:val="left"/>
            <w:rPr>
              <w:b/>
              <w:bCs/>
              <w:sz w:val="17"/>
              <w:szCs w:val="17"/>
            </w:rPr>
          </w:pPr>
          <w:bookmarkStart w:id="4" w:name="_Hlk109054010"/>
          <w:proofErr w:type="spellStart"/>
          <w:r w:rsidRPr="0065362D">
            <w:rPr>
              <w:b/>
              <w:bCs/>
              <w:sz w:val="17"/>
              <w:szCs w:val="17"/>
            </w:rPr>
            <w:t>AusPAR</w:t>
          </w:r>
          <w:proofErr w:type="spellEnd"/>
          <w:r w:rsidRPr="0065362D">
            <w:rPr>
              <w:b/>
              <w:bCs/>
              <w:sz w:val="17"/>
              <w:szCs w:val="17"/>
            </w:rPr>
            <w:t xml:space="preserve"> – </w:t>
          </w:r>
          <w:proofErr w:type="spellStart"/>
          <w:r w:rsidRPr="0065362D">
            <w:rPr>
              <w:b/>
              <w:bCs/>
              <w:sz w:val="17"/>
              <w:szCs w:val="17"/>
            </w:rPr>
            <w:t>Inrebic</w:t>
          </w:r>
          <w:proofErr w:type="spellEnd"/>
          <w:r w:rsidRPr="0065362D">
            <w:rPr>
              <w:b/>
              <w:bCs/>
              <w:sz w:val="17"/>
              <w:szCs w:val="17"/>
            </w:rPr>
            <w:t xml:space="preserve"> – </w:t>
          </w:r>
          <w:proofErr w:type="spellStart"/>
          <w:r w:rsidRPr="0065362D">
            <w:rPr>
              <w:b/>
              <w:bCs/>
              <w:sz w:val="17"/>
              <w:szCs w:val="17"/>
            </w:rPr>
            <w:t>fedratinib</w:t>
          </w:r>
          <w:proofErr w:type="spellEnd"/>
          <w:r w:rsidRPr="0065362D">
            <w:rPr>
              <w:b/>
              <w:bCs/>
              <w:sz w:val="17"/>
              <w:szCs w:val="17"/>
            </w:rPr>
            <w:t xml:space="preserve"> (as hydrochloride)- Bristol-Myers Squibb Australia Pty Ltd – PM-2024-00081-1-4.</w:t>
          </w:r>
          <w:r w:rsidR="00790C28" w:rsidRPr="0065362D">
            <w:rPr>
              <w:b/>
              <w:bCs/>
              <w:sz w:val="17"/>
              <w:szCs w:val="17"/>
            </w:rPr>
            <w:br/>
          </w:r>
          <w:r w:rsidRPr="0065362D">
            <w:rPr>
              <w:b/>
              <w:bCs/>
              <w:sz w:val="17"/>
              <w:szCs w:val="17"/>
            </w:rPr>
            <w:t>Date of Finalisation: 4 July 2025.</w:t>
          </w:r>
          <w:r w:rsidRPr="0065362D">
            <w:rPr>
              <w:b/>
              <w:sz w:val="17"/>
              <w:szCs w:val="17"/>
            </w:rPr>
            <w:t xml:space="preserve"> This is the Product Information that was approved with the submission described in this </w:t>
          </w:r>
          <w:proofErr w:type="spellStart"/>
          <w:r w:rsidRPr="0065362D">
            <w:rPr>
              <w:b/>
              <w:sz w:val="17"/>
              <w:szCs w:val="17"/>
            </w:rPr>
            <w:t>AusPAR</w:t>
          </w:r>
          <w:proofErr w:type="spellEnd"/>
          <w:r w:rsidRPr="0065362D">
            <w:rPr>
              <w:b/>
              <w:sz w:val="17"/>
              <w:szCs w:val="17"/>
            </w:rPr>
            <w:t>. It may have been superseded. For the most recent PI, please refer to the TGA website at &lt;</w:t>
          </w:r>
          <w:hyperlink r:id="rId1" w:history="1">
            <w:r w:rsidRPr="0065362D">
              <w:rPr>
                <w:rStyle w:val="Hyperlink"/>
                <w:b/>
                <w:sz w:val="17"/>
                <w:szCs w:val="17"/>
              </w:rPr>
              <w:t>https://www.tga.gov.au/product-information-pi</w:t>
            </w:r>
          </w:hyperlink>
          <w:r w:rsidRPr="0065362D">
            <w:rPr>
              <w:b/>
              <w:sz w:val="17"/>
              <w:szCs w:val="17"/>
            </w:rPr>
            <w:t>&gt;</w:t>
          </w:r>
        </w:p>
      </w:tc>
    </w:tr>
    <w:bookmarkEnd w:id="4"/>
  </w:tbl>
  <w:p w14:paraId="1FE18FAB" w14:textId="77777777" w:rsidR="002C18CF" w:rsidRPr="002C18CF" w:rsidRDefault="002C18CF">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71D6" w14:textId="77777777" w:rsidR="00CF7A43" w:rsidRDefault="00CF7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F02"/>
    <w:multiLevelType w:val="hybridMultilevel"/>
    <w:tmpl w:val="7D48C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3F1EE4"/>
    <w:multiLevelType w:val="hybridMultilevel"/>
    <w:tmpl w:val="80301114"/>
    <w:lvl w:ilvl="0" w:tplc="E7C630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134089"/>
    <w:multiLevelType w:val="hybridMultilevel"/>
    <w:tmpl w:val="2D58F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E017A"/>
    <w:multiLevelType w:val="hybridMultilevel"/>
    <w:tmpl w:val="A1D4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744EF"/>
    <w:multiLevelType w:val="hybridMultilevel"/>
    <w:tmpl w:val="562C4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45350"/>
    <w:multiLevelType w:val="hybridMultilevel"/>
    <w:tmpl w:val="E306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22408"/>
    <w:multiLevelType w:val="hybridMultilevel"/>
    <w:tmpl w:val="18B2B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905CD"/>
    <w:multiLevelType w:val="hybridMultilevel"/>
    <w:tmpl w:val="3432F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F0085B"/>
    <w:multiLevelType w:val="hybridMultilevel"/>
    <w:tmpl w:val="7C6A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B13908"/>
    <w:multiLevelType w:val="hybridMultilevel"/>
    <w:tmpl w:val="35EAA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150DFA"/>
    <w:multiLevelType w:val="hybridMultilevel"/>
    <w:tmpl w:val="A7DAC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22A08"/>
    <w:multiLevelType w:val="hybridMultilevel"/>
    <w:tmpl w:val="5D12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133135"/>
    <w:multiLevelType w:val="hybridMultilevel"/>
    <w:tmpl w:val="D93A20B6"/>
    <w:lvl w:ilvl="0" w:tplc="4310086A">
      <w:start w:val="1"/>
      <w:numFmt w:val="lowerLetter"/>
      <w:lvlText w:val="%1)"/>
      <w:lvlJc w:val="left"/>
      <w:pPr>
        <w:ind w:left="1020" w:hanging="360"/>
      </w:pPr>
    </w:lvl>
    <w:lvl w:ilvl="1" w:tplc="4BD2424C">
      <w:start w:val="1"/>
      <w:numFmt w:val="lowerLetter"/>
      <w:lvlText w:val="%2)"/>
      <w:lvlJc w:val="left"/>
      <w:pPr>
        <w:ind w:left="1020" w:hanging="360"/>
      </w:pPr>
    </w:lvl>
    <w:lvl w:ilvl="2" w:tplc="D0C471CE">
      <w:start w:val="1"/>
      <w:numFmt w:val="lowerLetter"/>
      <w:lvlText w:val="%3)"/>
      <w:lvlJc w:val="left"/>
      <w:pPr>
        <w:ind w:left="1020" w:hanging="360"/>
      </w:pPr>
    </w:lvl>
    <w:lvl w:ilvl="3" w:tplc="80F25294">
      <w:start w:val="1"/>
      <w:numFmt w:val="lowerLetter"/>
      <w:lvlText w:val="%4)"/>
      <w:lvlJc w:val="left"/>
      <w:pPr>
        <w:ind w:left="1020" w:hanging="360"/>
      </w:pPr>
    </w:lvl>
    <w:lvl w:ilvl="4" w:tplc="5768C0AC">
      <w:start w:val="1"/>
      <w:numFmt w:val="lowerLetter"/>
      <w:lvlText w:val="%5)"/>
      <w:lvlJc w:val="left"/>
      <w:pPr>
        <w:ind w:left="1020" w:hanging="360"/>
      </w:pPr>
    </w:lvl>
    <w:lvl w:ilvl="5" w:tplc="077431C8">
      <w:start w:val="1"/>
      <w:numFmt w:val="lowerLetter"/>
      <w:lvlText w:val="%6)"/>
      <w:lvlJc w:val="left"/>
      <w:pPr>
        <w:ind w:left="1020" w:hanging="360"/>
      </w:pPr>
    </w:lvl>
    <w:lvl w:ilvl="6" w:tplc="148236D2">
      <w:start w:val="1"/>
      <w:numFmt w:val="lowerLetter"/>
      <w:lvlText w:val="%7)"/>
      <w:lvlJc w:val="left"/>
      <w:pPr>
        <w:ind w:left="1020" w:hanging="360"/>
      </w:pPr>
    </w:lvl>
    <w:lvl w:ilvl="7" w:tplc="A766840C">
      <w:start w:val="1"/>
      <w:numFmt w:val="lowerLetter"/>
      <w:lvlText w:val="%8)"/>
      <w:lvlJc w:val="left"/>
      <w:pPr>
        <w:ind w:left="1020" w:hanging="360"/>
      </w:pPr>
    </w:lvl>
    <w:lvl w:ilvl="8" w:tplc="54269842">
      <w:start w:val="1"/>
      <w:numFmt w:val="lowerLetter"/>
      <w:lvlText w:val="%9)"/>
      <w:lvlJc w:val="left"/>
      <w:pPr>
        <w:ind w:left="1020" w:hanging="360"/>
      </w:pPr>
    </w:lvl>
  </w:abstractNum>
  <w:abstractNum w:abstractNumId="16" w15:restartNumberingAfterBreak="0">
    <w:nsid w:val="49FD3E76"/>
    <w:multiLevelType w:val="hybridMultilevel"/>
    <w:tmpl w:val="D02CE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9936BE"/>
    <w:multiLevelType w:val="hybridMultilevel"/>
    <w:tmpl w:val="65D4F3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5F55404"/>
    <w:multiLevelType w:val="hybridMultilevel"/>
    <w:tmpl w:val="C19882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702A7A"/>
    <w:multiLevelType w:val="hybridMultilevel"/>
    <w:tmpl w:val="7584E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0B3F91"/>
    <w:multiLevelType w:val="hybridMultilevel"/>
    <w:tmpl w:val="A5648DCE"/>
    <w:lvl w:ilvl="0" w:tplc="04090001">
      <w:start w:val="1"/>
      <w:numFmt w:val="bullet"/>
      <w:lvlText w:val=""/>
      <w:lvlJc w:val="left"/>
      <w:pPr>
        <w:ind w:left="720" w:hanging="360"/>
      </w:pPr>
      <w:rPr>
        <w:rFonts w:ascii="Symbol" w:hAnsi="Symbol" w:hint="default"/>
      </w:rPr>
    </w:lvl>
    <w:lvl w:ilvl="1" w:tplc="B3FA33A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AF6C4D"/>
    <w:multiLevelType w:val="hybridMultilevel"/>
    <w:tmpl w:val="03AE8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BD1837"/>
    <w:multiLevelType w:val="hybridMultilevel"/>
    <w:tmpl w:val="1866818A"/>
    <w:lvl w:ilvl="0" w:tplc="A16AFA74">
      <w:start w:val="1"/>
      <w:numFmt w:val="decimal"/>
      <w:pStyle w:val="BMSHeadingAnnex"/>
      <w:lvlText w:val="Annex %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C7661F"/>
    <w:multiLevelType w:val="hybridMultilevel"/>
    <w:tmpl w:val="22B4C2BC"/>
    <w:lvl w:ilvl="0" w:tplc="AF12DD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332797"/>
    <w:multiLevelType w:val="multilevel"/>
    <w:tmpl w:val="59265CF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363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F85EED"/>
    <w:multiLevelType w:val="hybridMultilevel"/>
    <w:tmpl w:val="9152852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07862777">
    <w:abstractNumId w:val="27"/>
  </w:num>
  <w:num w:numId="2" w16cid:durableId="1864325711">
    <w:abstractNumId w:val="3"/>
  </w:num>
  <w:num w:numId="3" w16cid:durableId="2074085413">
    <w:abstractNumId w:val="1"/>
  </w:num>
  <w:num w:numId="4" w16cid:durableId="67970371">
    <w:abstractNumId w:val="19"/>
  </w:num>
  <w:num w:numId="5" w16cid:durableId="1949198594">
    <w:abstractNumId w:val="31"/>
  </w:num>
  <w:num w:numId="6" w16cid:durableId="553976169">
    <w:abstractNumId w:val="28"/>
  </w:num>
  <w:num w:numId="7" w16cid:durableId="140585861">
    <w:abstractNumId w:val="24"/>
  </w:num>
  <w:num w:numId="8" w16cid:durableId="1005863128">
    <w:abstractNumId w:val="29"/>
  </w:num>
  <w:num w:numId="9" w16cid:durableId="138156233">
    <w:abstractNumId w:val="11"/>
  </w:num>
  <w:num w:numId="10" w16cid:durableId="713509335">
    <w:abstractNumId w:val="23"/>
  </w:num>
  <w:num w:numId="11" w16cid:durableId="1095442687">
    <w:abstractNumId w:val="27"/>
  </w:num>
  <w:num w:numId="12" w16cid:durableId="9720770">
    <w:abstractNumId w:val="27"/>
  </w:num>
  <w:num w:numId="13" w16cid:durableId="1008218312">
    <w:abstractNumId w:val="27"/>
  </w:num>
  <w:num w:numId="14" w16cid:durableId="2146851327">
    <w:abstractNumId w:val="27"/>
  </w:num>
  <w:num w:numId="15" w16cid:durableId="470441665">
    <w:abstractNumId w:val="27"/>
  </w:num>
  <w:num w:numId="16" w16cid:durableId="1557471495">
    <w:abstractNumId w:val="27"/>
  </w:num>
  <w:num w:numId="17" w16cid:durableId="1733775266">
    <w:abstractNumId w:val="27"/>
  </w:num>
  <w:num w:numId="18" w16cid:durableId="1208107750">
    <w:abstractNumId w:val="10"/>
  </w:num>
  <w:num w:numId="19" w16cid:durableId="317732867">
    <w:abstractNumId w:val="12"/>
  </w:num>
  <w:num w:numId="20" w16cid:durableId="655839604">
    <w:abstractNumId w:val="22"/>
  </w:num>
  <w:num w:numId="21" w16cid:durableId="429787522">
    <w:abstractNumId w:val="8"/>
  </w:num>
  <w:num w:numId="22" w16cid:durableId="1087311629">
    <w:abstractNumId w:val="26"/>
  </w:num>
  <w:num w:numId="23" w16cid:durableId="20474498">
    <w:abstractNumId w:val="7"/>
  </w:num>
  <w:num w:numId="24" w16cid:durableId="1826966434">
    <w:abstractNumId w:val="5"/>
  </w:num>
  <w:num w:numId="25" w16cid:durableId="2010064223">
    <w:abstractNumId w:val="18"/>
  </w:num>
  <w:num w:numId="26" w16cid:durableId="152838758">
    <w:abstractNumId w:val="0"/>
  </w:num>
  <w:num w:numId="27" w16cid:durableId="779375733">
    <w:abstractNumId w:val="2"/>
  </w:num>
  <w:num w:numId="28" w16cid:durableId="24714165">
    <w:abstractNumId w:val="6"/>
  </w:num>
  <w:num w:numId="29" w16cid:durableId="897282557">
    <w:abstractNumId w:val="13"/>
  </w:num>
  <w:num w:numId="30" w16cid:durableId="17675066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0102634">
    <w:abstractNumId w:val="16"/>
  </w:num>
  <w:num w:numId="32" w16cid:durableId="513227984">
    <w:abstractNumId w:val="9"/>
  </w:num>
  <w:num w:numId="33" w16cid:durableId="920065479">
    <w:abstractNumId w:val="14"/>
  </w:num>
  <w:num w:numId="34" w16cid:durableId="1439249708">
    <w:abstractNumId w:val="4"/>
  </w:num>
  <w:num w:numId="35" w16cid:durableId="91168381">
    <w:abstractNumId w:val="20"/>
  </w:num>
  <w:num w:numId="36" w16cid:durableId="1586843278">
    <w:abstractNumId w:val="21"/>
  </w:num>
  <w:num w:numId="37" w16cid:durableId="609169576">
    <w:abstractNumId w:val="27"/>
  </w:num>
  <w:num w:numId="38" w16cid:durableId="1039554506">
    <w:abstractNumId w:val="27"/>
  </w:num>
  <w:num w:numId="39" w16cid:durableId="1991401499">
    <w:abstractNumId w:val="27"/>
  </w:num>
  <w:num w:numId="40" w16cid:durableId="115030467">
    <w:abstractNumId w:val="27"/>
  </w:num>
  <w:num w:numId="41" w16cid:durableId="1075972253">
    <w:abstractNumId w:val="25"/>
  </w:num>
  <w:num w:numId="42" w16cid:durableId="2082946423">
    <w:abstractNumId w:val="25"/>
  </w:num>
  <w:num w:numId="43" w16cid:durableId="412045478">
    <w:abstractNumId w:val="25"/>
  </w:num>
  <w:num w:numId="44" w16cid:durableId="779449456">
    <w:abstractNumId w:val="17"/>
  </w:num>
  <w:num w:numId="45" w16cid:durableId="71245070">
    <w:abstractNumId w:val="30"/>
  </w:num>
  <w:num w:numId="46" w16cid:durableId="1869223113">
    <w:abstractNumId w:val="25"/>
  </w:num>
  <w:num w:numId="47" w16cid:durableId="1318656756">
    <w:abstractNumId w:val="15"/>
  </w:num>
  <w:num w:numId="48" w16cid:durableId="19290012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MSCT_StylesUpdated" w:val="N"/>
    <w:docVar w:name="CurrentCoreTemplateVersion" w:val="4.01"/>
    <w:docVar w:name="InitialCoreTemplateVersion" w:val="4.01"/>
  </w:docVars>
  <w:rsids>
    <w:rsidRoot w:val="001829B1"/>
    <w:rsid w:val="0000059A"/>
    <w:rsid w:val="000012FE"/>
    <w:rsid w:val="00004E41"/>
    <w:rsid w:val="00005446"/>
    <w:rsid w:val="0000739F"/>
    <w:rsid w:val="00011B36"/>
    <w:rsid w:val="00012021"/>
    <w:rsid w:val="0001236B"/>
    <w:rsid w:val="000133CC"/>
    <w:rsid w:val="00013483"/>
    <w:rsid w:val="00015646"/>
    <w:rsid w:val="000206E9"/>
    <w:rsid w:val="00020750"/>
    <w:rsid w:val="00021626"/>
    <w:rsid w:val="00021BCD"/>
    <w:rsid w:val="00022E56"/>
    <w:rsid w:val="00023AEF"/>
    <w:rsid w:val="0002522C"/>
    <w:rsid w:val="00026E9E"/>
    <w:rsid w:val="0003013F"/>
    <w:rsid w:val="000309D3"/>
    <w:rsid w:val="00032ACB"/>
    <w:rsid w:val="000334DB"/>
    <w:rsid w:val="0003379A"/>
    <w:rsid w:val="00035092"/>
    <w:rsid w:val="000368FF"/>
    <w:rsid w:val="00036D30"/>
    <w:rsid w:val="00037622"/>
    <w:rsid w:val="00037900"/>
    <w:rsid w:val="0003798D"/>
    <w:rsid w:val="000379B6"/>
    <w:rsid w:val="000409D8"/>
    <w:rsid w:val="000414C3"/>
    <w:rsid w:val="00041ACC"/>
    <w:rsid w:val="0004223C"/>
    <w:rsid w:val="00042501"/>
    <w:rsid w:val="00043789"/>
    <w:rsid w:val="00045A71"/>
    <w:rsid w:val="00047F17"/>
    <w:rsid w:val="000519E3"/>
    <w:rsid w:val="00052BB8"/>
    <w:rsid w:val="00054091"/>
    <w:rsid w:val="00054256"/>
    <w:rsid w:val="0005711D"/>
    <w:rsid w:val="000573D8"/>
    <w:rsid w:val="0006171A"/>
    <w:rsid w:val="00063642"/>
    <w:rsid w:val="0006727F"/>
    <w:rsid w:val="00070244"/>
    <w:rsid w:val="0007363C"/>
    <w:rsid w:val="000747F6"/>
    <w:rsid w:val="00074FD1"/>
    <w:rsid w:val="000758FD"/>
    <w:rsid w:val="0007615F"/>
    <w:rsid w:val="0007651D"/>
    <w:rsid w:val="000770CE"/>
    <w:rsid w:val="000772A6"/>
    <w:rsid w:val="00077A00"/>
    <w:rsid w:val="00080C11"/>
    <w:rsid w:val="00081343"/>
    <w:rsid w:val="00081B9E"/>
    <w:rsid w:val="000821D7"/>
    <w:rsid w:val="000826B6"/>
    <w:rsid w:val="000835EE"/>
    <w:rsid w:val="0008745C"/>
    <w:rsid w:val="0009063D"/>
    <w:rsid w:val="00090DA5"/>
    <w:rsid w:val="0009230A"/>
    <w:rsid w:val="00093E7C"/>
    <w:rsid w:val="000946EA"/>
    <w:rsid w:val="00096DF0"/>
    <w:rsid w:val="000A0250"/>
    <w:rsid w:val="000A0B9A"/>
    <w:rsid w:val="000A1312"/>
    <w:rsid w:val="000A279C"/>
    <w:rsid w:val="000A2C3F"/>
    <w:rsid w:val="000A3A31"/>
    <w:rsid w:val="000A42A1"/>
    <w:rsid w:val="000A4651"/>
    <w:rsid w:val="000A5648"/>
    <w:rsid w:val="000A676A"/>
    <w:rsid w:val="000A6E4B"/>
    <w:rsid w:val="000A6E58"/>
    <w:rsid w:val="000B00BD"/>
    <w:rsid w:val="000B1357"/>
    <w:rsid w:val="000B142F"/>
    <w:rsid w:val="000B19FA"/>
    <w:rsid w:val="000B1BE0"/>
    <w:rsid w:val="000B1C98"/>
    <w:rsid w:val="000B2299"/>
    <w:rsid w:val="000B2961"/>
    <w:rsid w:val="000B2D75"/>
    <w:rsid w:val="000B2F7C"/>
    <w:rsid w:val="000B3307"/>
    <w:rsid w:val="000B337D"/>
    <w:rsid w:val="000B3BB6"/>
    <w:rsid w:val="000B50A9"/>
    <w:rsid w:val="000B50DC"/>
    <w:rsid w:val="000B5183"/>
    <w:rsid w:val="000B5C31"/>
    <w:rsid w:val="000B7F59"/>
    <w:rsid w:val="000C032F"/>
    <w:rsid w:val="000C1E29"/>
    <w:rsid w:val="000C2512"/>
    <w:rsid w:val="000C6B43"/>
    <w:rsid w:val="000C6C1C"/>
    <w:rsid w:val="000C7192"/>
    <w:rsid w:val="000C7312"/>
    <w:rsid w:val="000C7FFC"/>
    <w:rsid w:val="000D01D9"/>
    <w:rsid w:val="000D0795"/>
    <w:rsid w:val="000D09A9"/>
    <w:rsid w:val="000D0B4D"/>
    <w:rsid w:val="000D1CD8"/>
    <w:rsid w:val="000D1D4B"/>
    <w:rsid w:val="000D2CB2"/>
    <w:rsid w:val="000D39A8"/>
    <w:rsid w:val="000D422E"/>
    <w:rsid w:val="000D7182"/>
    <w:rsid w:val="000E17B7"/>
    <w:rsid w:val="000E25D7"/>
    <w:rsid w:val="000E2EC6"/>
    <w:rsid w:val="000E344C"/>
    <w:rsid w:val="000E54F8"/>
    <w:rsid w:val="000E5917"/>
    <w:rsid w:val="000E5A8A"/>
    <w:rsid w:val="000E6682"/>
    <w:rsid w:val="000E739D"/>
    <w:rsid w:val="000E7E6E"/>
    <w:rsid w:val="000E7F00"/>
    <w:rsid w:val="000F020D"/>
    <w:rsid w:val="000F03E1"/>
    <w:rsid w:val="000F16D7"/>
    <w:rsid w:val="000F1773"/>
    <w:rsid w:val="000F1C2D"/>
    <w:rsid w:val="000F3642"/>
    <w:rsid w:val="000F4779"/>
    <w:rsid w:val="000F50BC"/>
    <w:rsid w:val="000F56AD"/>
    <w:rsid w:val="000F5706"/>
    <w:rsid w:val="000F60E6"/>
    <w:rsid w:val="000F6C08"/>
    <w:rsid w:val="000F6ED6"/>
    <w:rsid w:val="000F7140"/>
    <w:rsid w:val="0010159D"/>
    <w:rsid w:val="00101650"/>
    <w:rsid w:val="001018A7"/>
    <w:rsid w:val="0010385F"/>
    <w:rsid w:val="00104737"/>
    <w:rsid w:val="00106F02"/>
    <w:rsid w:val="00107097"/>
    <w:rsid w:val="00112836"/>
    <w:rsid w:val="001131B8"/>
    <w:rsid w:val="00113EA6"/>
    <w:rsid w:val="0011487F"/>
    <w:rsid w:val="00114906"/>
    <w:rsid w:val="00117B56"/>
    <w:rsid w:val="00117D8C"/>
    <w:rsid w:val="00121C59"/>
    <w:rsid w:val="00121D35"/>
    <w:rsid w:val="00123940"/>
    <w:rsid w:val="00124A88"/>
    <w:rsid w:val="00124E81"/>
    <w:rsid w:val="001256F9"/>
    <w:rsid w:val="00126F17"/>
    <w:rsid w:val="001310DD"/>
    <w:rsid w:val="0013193D"/>
    <w:rsid w:val="00132161"/>
    <w:rsid w:val="00133357"/>
    <w:rsid w:val="00133553"/>
    <w:rsid w:val="001338C2"/>
    <w:rsid w:val="00135D12"/>
    <w:rsid w:val="001364AF"/>
    <w:rsid w:val="00136A5B"/>
    <w:rsid w:val="00136C7B"/>
    <w:rsid w:val="00136EE5"/>
    <w:rsid w:val="00137749"/>
    <w:rsid w:val="00137937"/>
    <w:rsid w:val="00137F3C"/>
    <w:rsid w:val="00140A4A"/>
    <w:rsid w:val="001412FF"/>
    <w:rsid w:val="00142F1D"/>
    <w:rsid w:val="001434FD"/>
    <w:rsid w:val="001435FF"/>
    <w:rsid w:val="001444D0"/>
    <w:rsid w:val="00144B35"/>
    <w:rsid w:val="00144F5D"/>
    <w:rsid w:val="00147024"/>
    <w:rsid w:val="00150437"/>
    <w:rsid w:val="00150984"/>
    <w:rsid w:val="00151EF4"/>
    <w:rsid w:val="001525EC"/>
    <w:rsid w:val="001540A9"/>
    <w:rsid w:val="00154ECA"/>
    <w:rsid w:val="001572A8"/>
    <w:rsid w:val="0015791B"/>
    <w:rsid w:val="001612B9"/>
    <w:rsid w:val="00162415"/>
    <w:rsid w:val="00162D68"/>
    <w:rsid w:val="00162F85"/>
    <w:rsid w:val="001638A8"/>
    <w:rsid w:val="001642A1"/>
    <w:rsid w:val="001647D7"/>
    <w:rsid w:val="00164E04"/>
    <w:rsid w:val="00166079"/>
    <w:rsid w:val="0016614E"/>
    <w:rsid w:val="001674F9"/>
    <w:rsid w:val="00167658"/>
    <w:rsid w:val="001715C9"/>
    <w:rsid w:val="0017375D"/>
    <w:rsid w:val="00174B70"/>
    <w:rsid w:val="00175824"/>
    <w:rsid w:val="00175A92"/>
    <w:rsid w:val="001765EF"/>
    <w:rsid w:val="00176BFD"/>
    <w:rsid w:val="001801E0"/>
    <w:rsid w:val="00180200"/>
    <w:rsid w:val="00180545"/>
    <w:rsid w:val="00180F56"/>
    <w:rsid w:val="00181015"/>
    <w:rsid w:val="00181669"/>
    <w:rsid w:val="001829B1"/>
    <w:rsid w:val="00184BB5"/>
    <w:rsid w:val="00185516"/>
    <w:rsid w:val="001857D8"/>
    <w:rsid w:val="001871E0"/>
    <w:rsid w:val="0018786F"/>
    <w:rsid w:val="00187E66"/>
    <w:rsid w:val="00190778"/>
    <w:rsid w:val="00190EED"/>
    <w:rsid w:val="00192DC3"/>
    <w:rsid w:val="00195CA7"/>
    <w:rsid w:val="00196356"/>
    <w:rsid w:val="00197874"/>
    <w:rsid w:val="001A16D8"/>
    <w:rsid w:val="001A1FD7"/>
    <w:rsid w:val="001A2060"/>
    <w:rsid w:val="001A2979"/>
    <w:rsid w:val="001A2A02"/>
    <w:rsid w:val="001A301F"/>
    <w:rsid w:val="001A3992"/>
    <w:rsid w:val="001A3AAB"/>
    <w:rsid w:val="001A5A2A"/>
    <w:rsid w:val="001A644D"/>
    <w:rsid w:val="001A7C2F"/>
    <w:rsid w:val="001B0E4A"/>
    <w:rsid w:val="001B0F54"/>
    <w:rsid w:val="001B21A6"/>
    <w:rsid w:val="001B226E"/>
    <w:rsid w:val="001B4A47"/>
    <w:rsid w:val="001B56F5"/>
    <w:rsid w:val="001B5DAE"/>
    <w:rsid w:val="001B6402"/>
    <w:rsid w:val="001B7974"/>
    <w:rsid w:val="001C0A3F"/>
    <w:rsid w:val="001C0B47"/>
    <w:rsid w:val="001C246A"/>
    <w:rsid w:val="001C2844"/>
    <w:rsid w:val="001C317F"/>
    <w:rsid w:val="001C32A5"/>
    <w:rsid w:val="001C41C3"/>
    <w:rsid w:val="001C45AF"/>
    <w:rsid w:val="001C4DDA"/>
    <w:rsid w:val="001C68BC"/>
    <w:rsid w:val="001C7162"/>
    <w:rsid w:val="001D0147"/>
    <w:rsid w:val="001D0596"/>
    <w:rsid w:val="001D0FE5"/>
    <w:rsid w:val="001D1007"/>
    <w:rsid w:val="001D2D75"/>
    <w:rsid w:val="001D3708"/>
    <w:rsid w:val="001D46EF"/>
    <w:rsid w:val="001D4741"/>
    <w:rsid w:val="001D48FE"/>
    <w:rsid w:val="001D4A1B"/>
    <w:rsid w:val="001D5C14"/>
    <w:rsid w:val="001D7045"/>
    <w:rsid w:val="001D7981"/>
    <w:rsid w:val="001D7C0E"/>
    <w:rsid w:val="001E1565"/>
    <w:rsid w:val="001E2441"/>
    <w:rsid w:val="001E3E63"/>
    <w:rsid w:val="001E5D9E"/>
    <w:rsid w:val="001E63C1"/>
    <w:rsid w:val="001F00B3"/>
    <w:rsid w:val="001F1C2E"/>
    <w:rsid w:val="001F2149"/>
    <w:rsid w:val="001F2650"/>
    <w:rsid w:val="001F3A13"/>
    <w:rsid w:val="001F3AA2"/>
    <w:rsid w:val="001F5168"/>
    <w:rsid w:val="001F57B8"/>
    <w:rsid w:val="001F6A00"/>
    <w:rsid w:val="001F6B39"/>
    <w:rsid w:val="001F6E9C"/>
    <w:rsid w:val="001F7AB2"/>
    <w:rsid w:val="00200014"/>
    <w:rsid w:val="002014EC"/>
    <w:rsid w:val="00201573"/>
    <w:rsid w:val="002020A9"/>
    <w:rsid w:val="002022C4"/>
    <w:rsid w:val="0020264B"/>
    <w:rsid w:val="00203F51"/>
    <w:rsid w:val="00204465"/>
    <w:rsid w:val="002047CF"/>
    <w:rsid w:val="00204E65"/>
    <w:rsid w:val="00205442"/>
    <w:rsid w:val="0020584E"/>
    <w:rsid w:val="0020669A"/>
    <w:rsid w:val="00206A68"/>
    <w:rsid w:val="00207448"/>
    <w:rsid w:val="00211A54"/>
    <w:rsid w:val="00211F08"/>
    <w:rsid w:val="002120EF"/>
    <w:rsid w:val="00212EA7"/>
    <w:rsid w:val="00212F92"/>
    <w:rsid w:val="00213C87"/>
    <w:rsid w:val="002140D8"/>
    <w:rsid w:val="002151F7"/>
    <w:rsid w:val="00215D35"/>
    <w:rsid w:val="0021607B"/>
    <w:rsid w:val="00216BCA"/>
    <w:rsid w:val="00217220"/>
    <w:rsid w:val="0022005D"/>
    <w:rsid w:val="0022010F"/>
    <w:rsid w:val="0022296D"/>
    <w:rsid w:val="00222D0C"/>
    <w:rsid w:val="00223221"/>
    <w:rsid w:val="00225B6C"/>
    <w:rsid w:val="00225F71"/>
    <w:rsid w:val="00226D33"/>
    <w:rsid w:val="00232B2A"/>
    <w:rsid w:val="00232FD4"/>
    <w:rsid w:val="002330FF"/>
    <w:rsid w:val="0023398F"/>
    <w:rsid w:val="0023434D"/>
    <w:rsid w:val="00234D66"/>
    <w:rsid w:val="002352A7"/>
    <w:rsid w:val="0023582A"/>
    <w:rsid w:val="00235EF8"/>
    <w:rsid w:val="00236911"/>
    <w:rsid w:val="00236C8B"/>
    <w:rsid w:val="002375EC"/>
    <w:rsid w:val="00237A75"/>
    <w:rsid w:val="00237E54"/>
    <w:rsid w:val="002411C8"/>
    <w:rsid w:val="0024329F"/>
    <w:rsid w:val="00243D78"/>
    <w:rsid w:val="002446CA"/>
    <w:rsid w:val="00250569"/>
    <w:rsid w:val="00250799"/>
    <w:rsid w:val="00253E6C"/>
    <w:rsid w:val="00255049"/>
    <w:rsid w:val="002556BF"/>
    <w:rsid w:val="00256992"/>
    <w:rsid w:val="00257C8F"/>
    <w:rsid w:val="00260EDC"/>
    <w:rsid w:val="002613DB"/>
    <w:rsid w:val="00262D98"/>
    <w:rsid w:val="00263A64"/>
    <w:rsid w:val="00263FD3"/>
    <w:rsid w:val="002648D5"/>
    <w:rsid w:val="002652B0"/>
    <w:rsid w:val="002659DB"/>
    <w:rsid w:val="00267248"/>
    <w:rsid w:val="0027062B"/>
    <w:rsid w:val="0027249C"/>
    <w:rsid w:val="00273463"/>
    <w:rsid w:val="002742C8"/>
    <w:rsid w:val="00276360"/>
    <w:rsid w:val="0027653E"/>
    <w:rsid w:val="00280322"/>
    <w:rsid w:val="00280CBE"/>
    <w:rsid w:val="00280DD2"/>
    <w:rsid w:val="00283894"/>
    <w:rsid w:val="00284678"/>
    <w:rsid w:val="002848F0"/>
    <w:rsid w:val="00285131"/>
    <w:rsid w:val="002851AC"/>
    <w:rsid w:val="00285DC7"/>
    <w:rsid w:val="00286497"/>
    <w:rsid w:val="00287453"/>
    <w:rsid w:val="00287500"/>
    <w:rsid w:val="0028761A"/>
    <w:rsid w:val="002904B4"/>
    <w:rsid w:val="00293624"/>
    <w:rsid w:val="0029459C"/>
    <w:rsid w:val="00294916"/>
    <w:rsid w:val="00295D53"/>
    <w:rsid w:val="0029604C"/>
    <w:rsid w:val="002968A6"/>
    <w:rsid w:val="002A0B9A"/>
    <w:rsid w:val="002A12B7"/>
    <w:rsid w:val="002A13AE"/>
    <w:rsid w:val="002A1651"/>
    <w:rsid w:val="002A25EC"/>
    <w:rsid w:val="002A27C5"/>
    <w:rsid w:val="002A3265"/>
    <w:rsid w:val="002A326F"/>
    <w:rsid w:val="002A3852"/>
    <w:rsid w:val="002A3DFF"/>
    <w:rsid w:val="002A6F48"/>
    <w:rsid w:val="002A77ED"/>
    <w:rsid w:val="002A7AA8"/>
    <w:rsid w:val="002B04EA"/>
    <w:rsid w:val="002B15C4"/>
    <w:rsid w:val="002B2AD7"/>
    <w:rsid w:val="002B2D3A"/>
    <w:rsid w:val="002B2E3A"/>
    <w:rsid w:val="002B5714"/>
    <w:rsid w:val="002B787A"/>
    <w:rsid w:val="002B7A43"/>
    <w:rsid w:val="002C025E"/>
    <w:rsid w:val="002C04D8"/>
    <w:rsid w:val="002C0FF7"/>
    <w:rsid w:val="002C1764"/>
    <w:rsid w:val="002C18CF"/>
    <w:rsid w:val="002C2EC2"/>
    <w:rsid w:val="002C3168"/>
    <w:rsid w:val="002C3793"/>
    <w:rsid w:val="002C41FB"/>
    <w:rsid w:val="002C49D4"/>
    <w:rsid w:val="002C50B5"/>
    <w:rsid w:val="002C6323"/>
    <w:rsid w:val="002C6623"/>
    <w:rsid w:val="002D0640"/>
    <w:rsid w:val="002D08B4"/>
    <w:rsid w:val="002D153F"/>
    <w:rsid w:val="002D3E7C"/>
    <w:rsid w:val="002D4F7C"/>
    <w:rsid w:val="002D622C"/>
    <w:rsid w:val="002D7603"/>
    <w:rsid w:val="002D7E78"/>
    <w:rsid w:val="002E0314"/>
    <w:rsid w:val="002E06DF"/>
    <w:rsid w:val="002E1567"/>
    <w:rsid w:val="002E277D"/>
    <w:rsid w:val="002E3432"/>
    <w:rsid w:val="002E3496"/>
    <w:rsid w:val="002E3BD6"/>
    <w:rsid w:val="002E43A8"/>
    <w:rsid w:val="002E4CE7"/>
    <w:rsid w:val="002E5626"/>
    <w:rsid w:val="002F0C39"/>
    <w:rsid w:val="002F34D0"/>
    <w:rsid w:val="002F365C"/>
    <w:rsid w:val="002F374F"/>
    <w:rsid w:val="002F4F9A"/>
    <w:rsid w:val="002F59C8"/>
    <w:rsid w:val="002F6175"/>
    <w:rsid w:val="002F6422"/>
    <w:rsid w:val="002F7811"/>
    <w:rsid w:val="003001E1"/>
    <w:rsid w:val="00301A34"/>
    <w:rsid w:val="0030249B"/>
    <w:rsid w:val="003029E4"/>
    <w:rsid w:val="003050B7"/>
    <w:rsid w:val="00306653"/>
    <w:rsid w:val="003109D8"/>
    <w:rsid w:val="00310FEA"/>
    <w:rsid w:val="00311A33"/>
    <w:rsid w:val="00311DF2"/>
    <w:rsid w:val="0031256D"/>
    <w:rsid w:val="00312AD1"/>
    <w:rsid w:val="0031353A"/>
    <w:rsid w:val="00313A4A"/>
    <w:rsid w:val="003144B2"/>
    <w:rsid w:val="00315552"/>
    <w:rsid w:val="00315936"/>
    <w:rsid w:val="00316485"/>
    <w:rsid w:val="00317474"/>
    <w:rsid w:val="0031763C"/>
    <w:rsid w:val="0031787B"/>
    <w:rsid w:val="003217A8"/>
    <w:rsid w:val="00322B99"/>
    <w:rsid w:val="00322FF1"/>
    <w:rsid w:val="0032363C"/>
    <w:rsid w:val="00327693"/>
    <w:rsid w:val="00331562"/>
    <w:rsid w:val="00332371"/>
    <w:rsid w:val="00333B47"/>
    <w:rsid w:val="003351AE"/>
    <w:rsid w:val="00336E7A"/>
    <w:rsid w:val="003372C2"/>
    <w:rsid w:val="003376FA"/>
    <w:rsid w:val="00337B77"/>
    <w:rsid w:val="0034105C"/>
    <w:rsid w:val="00343E1D"/>
    <w:rsid w:val="003442DC"/>
    <w:rsid w:val="00344381"/>
    <w:rsid w:val="003443FE"/>
    <w:rsid w:val="00344CFB"/>
    <w:rsid w:val="00345FF2"/>
    <w:rsid w:val="003468C1"/>
    <w:rsid w:val="003470E6"/>
    <w:rsid w:val="00347582"/>
    <w:rsid w:val="00347E9A"/>
    <w:rsid w:val="003504D7"/>
    <w:rsid w:val="00351FBC"/>
    <w:rsid w:val="00352CDA"/>
    <w:rsid w:val="003531D5"/>
    <w:rsid w:val="00354101"/>
    <w:rsid w:val="00354B3C"/>
    <w:rsid w:val="003550E9"/>
    <w:rsid w:val="0035565C"/>
    <w:rsid w:val="003558FB"/>
    <w:rsid w:val="00356585"/>
    <w:rsid w:val="00356FF0"/>
    <w:rsid w:val="00357708"/>
    <w:rsid w:val="00357D05"/>
    <w:rsid w:val="003601C1"/>
    <w:rsid w:val="00360F22"/>
    <w:rsid w:val="003612C4"/>
    <w:rsid w:val="00361E0D"/>
    <w:rsid w:val="00362194"/>
    <w:rsid w:val="00362D3A"/>
    <w:rsid w:val="00364112"/>
    <w:rsid w:val="00364EB7"/>
    <w:rsid w:val="003656B0"/>
    <w:rsid w:val="00365D07"/>
    <w:rsid w:val="003712CC"/>
    <w:rsid w:val="00372491"/>
    <w:rsid w:val="003726D3"/>
    <w:rsid w:val="00373976"/>
    <w:rsid w:val="003747B6"/>
    <w:rsid w:val="00374C2E"/>
    <w:rsid w:val="003759B8"/>
    <w:rsid w:val="0037697E"/>
    <w:rsid w:val="0038115E"/>
    <w:rsid w:val="003832B7"/>
    <w:rsid w:val="003840AD"/>
    <w:rsid w:val="00384D0B"/>
    <w:rsid w:val="0038514E"/>
    <w:rsid w:val="00392A02"/>
    <w:rsid w:val="00392B2E"/>
    <w:rsid w:val="003932BA"/>
    <w:rsid w:val="00393519"/>
    <w:rsid w:val="00393A2E"/>
    <w:rsid w:val="00394724"/>
    <w:rsid w:val="00395207"/>
    <w:rsid w:val="00396C59"/>
    <w:rsid w:val="0039720D"/>
    <w:rsid w:val="00397A3E"/>
    <w:rsid w:val="00397C78"/>
    <w:rsid w:val="003A0F4E"/>
    <w:rsid w:val="003A1063"/>
    <w:rsid w:val="003A2DC3"/>
    <w:rsid w:val="003A31E6"/>
    <w:rsid w:val="003A3F32"/>
    <w:rsid w:val="003A5811"/>
    <w:rsid w:val="003A584C"/>
    <w:rsid w:val="003B14A8"/>
    <w:rsid w:val="003B240D"/>
    <w:rsid w:val="003B3B63"/>
    <w:rsid w:val="003B5626"/>
    <w:rsid w:val="003B5D40"/>
    <w:rsid w:val="003B7C25"/>
    <w:rsid w:val="003C1779"/>
    <w:rsid w:val="003C3D79"/>
    <w:rsid w:val="003C3E17"/>
    <w:rsid w:val="003C5C45"/>
    <w:rsid w:val="003C5E1F"/>
    <w:rsid w:val="003C6B3C"/>
    <w:rsid w:val="003C741E"/>
    <w:rsid w:val="003C7739"/>
    <w:rsid w:val="003D0147"/>
    <w:rsid w:val="003D02F2"/>
    <w:rsid w:val="003D0525"/>
    <w:rsid w:val="003D202A"/>
    <w:rsid w:val="003D2218"/>
    <w:rsid w:val="003D30DF"/>
    <w:rsid w:val="003D48C5"/>
    <w:rsid w:val="003D5759"/>
    <w:rsid w:val="003D5C17"/>
    <w:rsid w:val="003D66A4"/>
    <w:rsid w:val="003D6E7E"/>
    <w:rsid w:val="003D7174"/>
    <w:rsid w:val="003D72D2"/>
    <w:rsid w:val="003E1C05"/>
    <w:rsid w:val="003E35EE"/>
    <w:rsid w:val="003E5221"/>
    <w:rsid w:val="003E5A4D"/>
    <w:rsid w:val="003E7AAA"/>
    <w:rsid w:val="003E7DFC"/>
    <w:rsid w:val="003F05E1"/>
    <w:rsid w:val="003F0E2C"/>
    <w:rsid w:val="003F1621"/>
    <w:rsid w:val="003F1AF1"/>
    <w:rsid w:val="003F21BB"/>
    <w:rsid w:val="003F23EA"/>
    <w:rsid w:val="003F24E2"/>
    <w:rsid w:val="003F2DAA"/>
    <w:rsid w:val="003F4560"/>
    <w:rsid w:val="003F4805"/>
    <w:rsid w:val="003F4A9D"/>
    <w:rsid w:val="003F5AC5"/>
    <w:rsid w:val="003F6638"/>
    <w:rsid w:val="003F7991"/>
    <w:rsid w:val="00400178"/>
    <w:rsid w:val="00402201"/>
    <w:rsid w:val="004023F8"/>
    <w:rsid w:val="004032BD"/>
    <w:rsid w:val="004039C5"/>
    <w:rsid w:val="0040432B"/>
    <w:rsid w:val="004050E1"/>
    <w:rsid w:val="0040733F"/>
    <w:rsid w:val="00407F16"/>
    <w:rsid w:val="004102AD"/>
    <w:rsid w:val="004115B1"/>
    <w:rsid w:val="0041179F"/>
    <w:rsid w:val="00412A08"/>
    <w:rsid w:val="00412A96"/>
    <w:rsid w:val="00413210"/>
    <w:rsid w:val="00413966"/>
    <w:rsid w:val="00414873"/>
    <w:rsid w:val="00415C42"/>
    <w:rsid w:val="004169B1"/>
    <w:rsid w:val="00417B0D"/>
    <w:rsid w:val="0042020B"/>
    <w:rsid w:val="00422A6E"/>
    <w:rsid w:val="0042316B"/>
    <w:rsid w:val="00423206"/>
    <w:rsid w:val="004236FF"/>
    <w:rsid w:val="00423A0D"/>
    <w:rsid w:val="00423D3D"/>
    <w:rsid w:val="0042527A"/>
    <w:rsid w:val="004253B9"/>
    <w:rsid w:val="00426046"/>
    <w:rsid w:val="00426DC4"/>
    <w:rsid w:val="00427621"/>
    <w:rsid w:val="0042798D"/>
    <w:rsid w:val="00430D63"/>
    <w:rsid w:val="00431ACD"/>
    <w:rsid w:val="00432D27"/>
    <w:rsid w:val="0043450D"/>
    <w:rsid w:val="00434F97"/>
    <w:rsid w:val="00436133"/>
    <w:rsid w:val="00436A67"/>
    <w:rsid w:val="00436EE3"/>
    <w:rsid w:val="00437F42"/>
    <w:rsid w:val="00440029"/>
    <w:rsid w:val="00441DA5"/>
    <w:rsid w:val="004423F1"/>
    <w:rsid w:val="00444EE0"/>
    <w:rsid w:val="004456AD"/>
    <w:rsid w:val="004460EA"/>
    <w:rsid w:val="0044618E"/>
    <w:rsid w:val="004531A2"/>
    <w:rsid w:val="0045440E"/>
    <w:rsid w:val="00455016"/>
    <w:rsid w:val="00455705"/>
    <w:rsid w:val="00456590"/>
    <w:rsid w:val="004570C7"/>
    <w:rsid w:val="00457745"/>
    <w:rsid w:val="00460B42"/>
    <w:rsid w:val="00460FD4"/>
    <w:rsid w:val="00461723"/>
    <w:rsid w:val="004631A2"/>
    <w:rsid w:val="004648F9"/>
    <w:rsid w:val="00464B60"/>
    <w:rsid w:val="00464C2C"/>
    <w:rsid w:val="00464F16"/>
    <w:rsid w:val="00466805"/>
    <w:rsid w:val="00466858"/>
    <w:rsid w:val="004701D4"/>
    <w:rsid w:val="004704A9"/>
    <w:rsid w:val="00470CF1"/>
    <w:rsid w:val="00471109"/>
    <w:rsid w:val="00472B15"/>
    <w:rsid w:val="00472BAD"/>
    <w:rsid w:val="00475AB9"/>
    <w:rsid w:val="0047610D"/>
    <w:rsid w:val="00476CBD"/>
    <w:rsid w:val="00481DE7"/>
    <w:rsid w:val="004827B0"/>
    <w:rsid w:val="004827E8"/>
    <w:rsid w:val="0048370B"/>
    <w:rsid w:val="0048420C"/>
    <w:rsid w:val="00485049"/>
    <w:rsid w:val="00486757"/>
    <w:rsid w:val="00487A1D"/>
    <w:rsid w:val="00487F86"/>
    <w:rsid w:val="0048872E"/>
    <w:rsid w:val="004901FA"/>
    <w:rsid w:val="0049066A"/>
    <w:rsid w:val="00491244"/>
    <w:rsid w:val="00491F6D"/>
    <w:rsid w:val="00492429"/>
    <w:rsid w:val="00492B89"/>
    <w:rsid w:val="00493F0A"/>
    <w:rsid w:val="0049465F"/>
    <w:rsid w:val="004950FE"/>
    <w:rsid w:val="0049528E"/>
    <w:rsid w:val="0049539A"/>
    <w:rsid w:val="00495B34"/>
    <w:rsid w:val="00495B98"/>
    <w:rsid w:val="00496B59"/>
    <w:rsid w:val="0049700E"/>
    <w:rsid w:val="00497D21"/>
    <w:rsid w:val="004A078C"/>
    <w:rsid w:val="004A172F"/>
    <w:rsid w:val="004A29FD"/>
    <w:rsid w:val="004A2B1E"/>
    <w:rsid w:val="004A2DAE"/>
    <w:rsid w:val="004A42AD"/>
    <w:rsid w:val="004A713E"/>
    <w:rsid w:val="004A7B8E"/>
    <w:rsid w:val="004B0505"/>
    <w:rsid w:val="004B050C"/>
    <w:rsid w:val="004B0740"/>
    <w:rsid w:val="004B1725"/>
    <w:rsid w:val="004B2210"/>
    <w:rsid w:val="004B3304"/>
    <w:rsid w:val="004B4E23"/>
    <w:rsid w:val="004B5EAF"/>
    <w:rsid w:val="004B65C0"/>
    <w:rsid w:val="004B7F19"/>
    <w:rsid w:val="004C03E7"/>
    <w:rsid w:val="004C10B7"/>
    <w:rsid w:val="004C2590"/>
    <w:rsid w:val="004C2F40"/>
    <w:rsid w:val="004C30CA"/>
    <w:rsid w:val="004C364D"/>
    <w:rsid w:val="004C3C91"/>
    <w:rsid w:val="004C4908"/>
    <w:rsid w:val="004C5045"/>
    <w:rsid w:val="004C50AF"/>
    <w:rsid w:val="004C568C"/>
    <w:rsid w:val="004C5FF3"/>
    <w:rsid w:val="004C6278"/>
    <w:rsid w:val="004D0A9F"/>
    <w:rsid w:val="004D18C7"/>
    <w:rsid w:val="004D2CEA"/>
    <w:rsid w:val="004D2D8D"/>
    <w:rsid w:val="004D72A1"/>
    <w:rsid w:val="004D7D5A"/>
    <w:rsid w:val="004E067C"/>
    <w:rsid w:val="004E0E70"/>
    <w:rsid w:val="004E1732"/>
    <w:rsid w:val="004E18ED"/>
    <w:rsid w:val="004E280B"/>
    <w:rsid w:val="004E509C"/>
    <w:rsid w:val="004E5275"/>
    <w:rsid w:val="004E67BE"/>
    <w:rsid w:val="004E6C64"/>
    <w:rsid w:val="004F0F5B"/>
    <w:rsid w:val="004F0F73"/>
    <w:rsid w:val="004F21B9"/>
    <w:rsid w:val="004F2FA7"/>
    <w:rsid w:val="004F35B0"/>
    <w:rsid w:val="004F4047"/>
    <w:rsid w:val="004F51BB"/>
    <w:rsid w:val="004F565A"/>
    <w:rsid w:val="004F65CD"/>
    <w:rsid w:val="004F6C7B"/>
    <w:rsid w:val="004F6E3F"/>
    <w:rsid w:val="004F6F96"/>
    <w:rsid w:val="004F767B"/>
    <w:rsid w:val="004F7F62"/>
    <w:rsid w:val="005001F3"/>
    <w:rsid w:val="00500758"/>
    <w:rsid w:val="005016D9"/>
    <w:rsid w:val="00501853"/>
    <w:rsid w:val="0050187B"/>
    <w:rsid w:val="00503116"/>
    <w:rsid w:val="0050451C"/>
    <w:rsid w:val="00504982"/>
    <w:rsid w:val="00504C57"/>
    <w:rsid w:val="00507586"/>
    <w:rsid w:val="00507C5D"/>
    <w:rsid w:val="00510034"/>
    <w:rsid w:val="005101D8"/>
    <w:rsid w:val="0051057B"/>
    <w:rsid w:val="0051298D"/>
    <w:rsid w:val="00512B4C"/>
    <w:rsid w:val="00512BA0"/>
    <w:rsid w:val="005147E6"/>
    <w:rsid w:val="00515AF2"/>
    <w:rsid w:val="00515E9A"/>
    <w:rsid w:val="00516BE7"/>
    <w:rsid w:val="00516EAB"/>
    <w:rsid w:val="00517777"/>
    <w:rsid w:val="0052065A"/>
    <w:rsid w:val="005263C9"/>
    <w:rsid w:val="0053151E"/>
    <w:rsid w:val="0053171A"/>
    <w:rsid w:val="005321F2"/>
    <w:rsid w:val="00532E61"/>
    <w:rsid w:val="00533376"/>
    <w:rsid w:val="00533394"/>
    <w:rsid w:val="00533AAB"/>
    <w:rsid w:val="00533F6B"/>
    <w:rsid w:val="00534D1F"/>
    <w:rsid w:val="0053560D"/>
    <w:rsid w:val="0053575C"/>
    <w:rsid w:val="00540A1B"/>
    <w:rsid w:val="00542587"/>
    <w:rsid w:val="00543496"/>
    <w:rsid w:val="00544926"/>
    <w:rsid w:val="00544A7F"/>
    <w:rsid w:val="00545721"/>
    <w:rsid w:val="0054675C"/>
    <w:rsid w:val="00546804"/>
    <w:rsid w:val="00550294"/>
    <w:rsid w:val="0055086E"/>
    <w:rsid w:val="005514D9"/>
    <w:rsid w:val="00551D66"/>
    <w:rsid w:val="005530AD"/>
    <w:rsid w:val="0055334D"/>
    <w:rsid w:val="0055601C"/>
    <w:rsid w:val="00556432"/>
    <w:rsid w:val="00556835"/>
    <w:rsid w:val="00560CF8"/>
    <w:rsid w:val="005636AD"/>
    <w:rsid w:val="00564403"/>
    <w:rsid w:val="00564A14"/>
    <w:rsid w:val="00564B7E"/>
    <w:rsid w:val="00566C26"/>
    <w:rsid w:val="00566CE8"/>
    <w:rsid w:val="00566F2C"/>
    <w:rsid w:val="005705BD"/>
    <w:rsid w:val="00570F78"/>
    <w:rsid w:val="005712AC"/>
    <w:rsid w:val="0057327A"/>
    <w:rsid w:val="005757EB"/>
    <w:rsid w:val="00576C32"/>
    <w:rsid w:val="00577486"/>
    <w:rsid w:val="00577993"/>
    <w:rsid w:val="00577A7A"/>
    <w:rsid w:val="0058000B"/>
    <w:rsid w:val="00580470"/>
    <w:rsid w:val="00580BDF"/>
    <w:rsid w:val="005812AD"/>
    <w:rsid w:val="005814D3"/>
    <w:rsid w:val="00581A73"/>
    <w:rsid w:val="005823BE"/>
    <w:rsid w:val="00585DAE"/>
    <w:rsid w:val="00586612"/>
    <w:rsid w:val="00586A6A"/>
    <w:rsid w:val="00586E17"/>
    <w:rsid w:val="00587E5B"/>
    <w:rsid w:val="00590A10"/>
    <w:rsid w:val="00591484"/>
    <w:rsid w:val="00593649"/>
    <w:rsid w:val="00594184"/>
    <w:rsid w:val="005950A2"/>
    <w:rsid w:val="00595170"/>
    <w:rsid w:val="00595215"/>
    <w:rsid w:val="005965D6"/>
    <w:rsid w:val="005968E0"/>
    <w:rsid w:val="00596FE6"/>
    <w:rsid w:val="005A1D58"/>
    <w:rsid w:val="005A23AC"/>
    <w:rsid w:val="005A2A25"/>
    <w:rsid w:val="005A4133"/>
    <w:rsid w:val="005A4170"/>
    <w:rsid w:val="005A5B11"/>
    <w:rsid w:val="005A6DA7"/>
    <w:rsid w:val="005A7542"/>
    <w:rsid w:val="005A755E"/>
    <w:rsid w:val="005A768C"/>
    <w:rsid w:val="005A796C"/>
    <w:rsid w:val="005A7F7E"/>
    <w:rsid w:val="005B0C5B"/>
    <w:rsid w:val="005B1C51"/>
    <w:rsid w:val="005B2A97"/>
    <w:rsid w:val="005B2D21"/>
    <w:rsid w:val="005B2E16"/>
    <w:rsid w:val="005B2EEA"/>
    <w:rsid w:val="005B3E71"/>
    <w:rsid w:val="005B6900"/>
    <w:rsid w:val="005C1F87"/>
    <w:rsid w:val="005C33D4"/>
    <w:rsid w:val="005C3C9F"/>
    <w:rsid w:val="005C3CCA"/>
    <w:rsid w:val="005C4906"/>
    <w:rsid w:val="005C4940"/>
    <w:rsid w:val="005C577C"/>
    <w:rsid w:val="005C5A0A"/>
    <w:rsid w:val="005C635B"/>
    <w:rsid w:val="005C63AE"/>
    <w:rsid w:val="005D11E9"/>
    <w:rsid w:val="005D12A1"/>
    <w:rsid w:val="005D17FA"/>
    <w:rsid w:val="005D275F"/>
    <w:rsid w:val="005D301C"/>
    <w:rsid w:val="005D429A"/>
    <w:rsid w:val="005D50DE"/>
    <w:rsid w:val="005D5ED5"/>
    <w:rsid w:val="005D6440"/>
    <w:rsid w:val="005D6519"/>
    <w:rsid w:val="005D72EB"/>
    <w:rsid w:val="005D7535"/>
    <w:rsid w:val="005E2741"/>
    <w:rsid w:val="005E33CF"/>
    <w:rsid w:val="005E38F1"/>
    <w:rsid w:val="005E3F2E"/>
    <w:rsid w:val="005E4063"/>
    <w:rsid w:val="005E4469"/>
    <w:rsid w:val="005E4668"/>
    <w:rsid w:val="005E5259"/>
    <w:rsid w:val="005E571C"/>
    <w:rsid w:val="005F0953"/>
    <w:rsid w:val="005F1352"/>
    <w:rsid w:val="005F1C26"/>
    <w:rsid w:val="005F2812"/>
    <w:rsid w:val="005F29EC"/>
    <w:rsid w:val="005F4196"/>
    <w:rsid w:val="005F43FF"/>
    <w:rsid w:val="006001B0"/>
    <w:rsid w:val="00601395"/>
    <w:rsid w:val="0060225C"/>
    <w:rsid w:val="006030D8"/>
    <w:rsid w:val="00603D49"/>
    <w:rsid w:val="006046C5"/>
    <w:rsid w:val="00605C37"/>
    <w:rsid w:val="006060D6"/>
    <w:rsid w:val="00607BB4"/>
    <w:rsid w:val="00611CD5"/>
    <w:rsid w:val="00611EE8"/>
    <w:rsid w:val="006121FE"/>
    <w:rsid w:val="00612D2C"/>
    <w:rsid w:val="0061441C"/>
    <w:rsid w:val="00615994"/>
    <w:rsid w:val="006159D4"/>
    <w:rsid w:val="00616582"/>
    <w:rsid w:val="00616768"/>
    <w:rsid w:val="00616E17"/>
    <w:rsid w:val="006172FA"/>
    <w:rsid w:val="0061791B"/>
    <w:rsid w:val="00617AAC"/>
    <w:rsid w:val="00620850"/>
    <w:rsid w:val="006208EF"/>
    <w:rsid w:val="006210F7"/>
    <w:rsid w:val="006210FE"/>
    <w:rsid w:val="00621671"/>
    <w:rsid w:val="00622A0B"/>
    <w:rsid w:val="00622B21"/>
    <w:rsid w:val="006241F8"/>
    <w:rsid w:val="00624C6F"/>
    <w:rsid w:val="00626C5C"/>
    <w:rsid w:val="006273FC"/>
    <w:rsid w:val="00630BE4"/>
    <w:rsid w:val="0063139F"/>
    <w:rsid w:val="006326F4"/>
    <w:rsid w:val="006328AB"/>
    <w:rsid w:val="00632904"/>
    <w:rsid w:val="00632DF3"/>
    <w:rsid w:val="006331AF"/>
    <w:rsid w:val="006331F7"/>
    <w:rsid w:val="00636900"/>
    <w:rsid w:val="00637B11"/>
    <w:rsid w:val="00637B52"/>
    <w:rsid w:val="00637C6E"/>
    <w:rsid w:val="00637D8A"/>
    <w:rsid w:val="00637E81"/>
    <w:rsid w:val="0064042E"/>
    <w:rsid w:val="006404DD"/>
    <w:rsid w:val="00641070"/>
    <w:rsid w:val="00641C91"/>
    <w:rsid w:val="00642878"/>
    <w:rsid w:val="00642ADE"/>
    <w:rsid w:val="00642B63"/>
    <w:rsid w:val="00643889"/>
    <w:rsid w:val="00643CFE"/>
    <w:rsid w:val="00644643"/>
    <w:rsid w:val="00650C84"/>
    <w:rsid w:val="00650F56"/>
    <w:rsid w:val="006517D1"/>
    <w:rsid w:val="0065362D"/>
    <w:rsid w:val="00656A44"/>
    <w:rsid w:val="00657267"/>
    <w:rsid w:val="006574E8"/>
    <w:rsid w:val="00657A64"/>
    <w:rsid w:val="00657B48"/>
    <w:rsid w:val="00660128"/>
    <w:rsid w:val="006606F6"/>
    <w:rsid w:val="00661EC3"/>
    <w:rsid w:val="00662F42"/>
    <w:rsid w:val="00664A22"/>
    <w:rsid w:val="00664BF1"/>
    <w:rsid w:val="006654B3"/>
    <w:rsid w:val="006666E4"/>
    <w:rsid w:val="00666714"/>
    <w:rsid w:val="00666F1C"/>
    <w:rsid w:val="00667390"/>
    <w:rsid w:val="0066770D"/>
    <w:rsid w:val="006702A9"/>
    <w:rsid w:val="006714C8"/>
    <w:rsid w:val="0067198C"/>
    <w:rsid w:val="00671A11"/>
    <w:rsid w:val="00672EF0"/>
    <w:rsid w:val="006733D1"/>
    <w:rsid w:val="006743AA"/>
    <w:rsid w:val="006744DF"/>
    <w:rsid w:val="00676340"/>
    <w:rsid w:val="0067672E"/>
    <w:rsid w:val="00676BFF"/>
    <w:rsid w:val="00677115"/>
    <w:rsid w:val="00677908"/>
    <w:rsid w:val="00677DB5"/>
    <w:rsid w:val="00681A76"/>
    <w:rsid w:val="00683E60"/>
    <w:rsid w:val="006840F7"/>
    <w:rsid w:val="006858E6"/>
    <w:rsid w:val="0068747E"/>
    <w:rsid w:val="00690017"/>
    <w:rsid w:val="0069002E"/>
    <w:rsid w:val="006900AB"/>
    <w:rsid w:val="00690112"/>
    <w:rsid w:val="00693D2C"/>
    <w:rsid w:val="00695B8F"/>
    <w:rsid w:val="00697B3B"/>
    <w:rsid w:val="006A098C"/>
    <w:rsid w:val="006A337C"/>
    <w:rsid w:val="006A3972"/>
    <w:rsid w:val="006A3BC9"/>
    <w:rsid w:val="006B026C"/>
    <w:rsid w:val="006B1A9F"/>
    <w:rsid w:val="006B219C"/>
    <w:rsid w:val="006B37A0"/>
    <w:rsid w:val="006B4768"/>
    <w:rsid w:val="006B4953"/>
    <w:rsid w:val="006B54DD"/>
    <w:rsid w:val="006B66E6"/>
    <w:rsid w:val="006B69AF"/>
    <w:rsid w:val="006C02A2"/>
    <w:rsid w:val="006C042B"/>
    <w:rsid w:val="006C1321"/>
    <w:rsid w:val="006C134C"/>
    <w:rsid w:val="006C32C5"/>
    <w:rsid w:val="006C3ECD"/>
    <w:rsid w:val="006C3FCC"/>
    <w:rsid w:val="006C4119"/>
    <w:rsid w:val="006C4A4D"/>
    <w:rsid w:val="006C5307"/>
    <w:rsid w:val="006C767C"/>
    <w:rsid w:val="006C7CEE"/>
    <w:rsid w:val="006C7D33"/>
    <w:rsid w:val="006D071C"/>
    <w:rsid w:val="006D07F8"/>
    <w:rsid w:val="006D1DA1"/>
    <w:rsid w:val="006D2139"/>
    <w:rsid w:val="006D3B55"/>
    <w:rsid w:val="006D3CAC"/>
    <w:rsid w:val="006D4597"/>
    <w:rsid w:val="006D47CE"/>
    <w:rsid w:val="006D59D4"/>
    <w:rsid w:val="006D7C73"/>
    <w:rsid w:val="006E14A0"/>
    <w:rsid w:val="006E26DA"/>
    <w:rsid w:val="006E289A"/>
    <w:rsid w:val="006E2C15"/>
    <w:rsid w:val="006E6B6E"/>
    <w:rsid w:val="006E6D29"/>
    <w:rsid w:val="006F2A27"/>
    <w:rsid w:val="006F34E3"/>
    <w:rsid w:val="006F3739"/>
    <w:rsid w:val="006F3CCA"/>
    <w:rsid w:val="006F3F23"/>
    <w:rsid w:val="006F3F5C"/>
    <w:rsid w:val="006F45C2"/>
    <w:rsid w:val="006F5F34"/>
    <w:rsid w:val="006F6F2A"/>
    <w:rsid w:val="007039FF"/>
    <w:rsid w:val="00704152"/>
    <w:rsid w:val="0070747E"/>
    <w:rsid w:val="00707A52"/>
    <w:rsid w:val="0071156E"/>
    <w:rsid w:val="00712EA1"/>
    <w:rsid w:val="00714DEE"/>
    <w:rsid w:val="00715261"/>
    <w:rsid w:val="00715357"/>
    <w:rsid w:val="00715924"/>
    <w:rsid w:val="00716DF3"/>
    <w:rsid w:val="007204E6"/>
    <w:rsid w:val="00720698"/>
    <w:rsid w:val="00720F93"/>
    <w:rsid w:val="007230A1"/>
    <w:rsid w:val="007248F8"/>
    <w:rsid w:val="00725378"/>
    <w:rsid w:val="00725B45"/>
    <w:rsid w:val="0073014D"/>
    <w:rsid w:val="0073048A"/>
    <w:rsid w:val="00730A60"/>
    <w:rsid w:val="00730AD3"/>
    <w:rsid w:val="007326B7"/>
    <w:rsid w:val="0073282A"/>
    <w:rsid w:val="00732DEC"/>
    <w:rsid w:val="00732F94"/>
    <w:rsid w:val="007335FD"/>
    <w:rsid w:val="007339AE"/>
    <w:rsid w:val="00733CEA"/>
    <w:rsid w:val="007368F6"/>
    <w:rsid w:val="00736BE7"/>
    <w:rsid w:val="0073790C"/>
    <w:rsid w:val="007404E6"/>
    <w:rsid w:val="00740620"/>
    <w:rsid w:val="007409BE"/>
    <w:rsid w:val="00740C54"/>
    <w:rsid w:val="00740E5A"/>
    <w:rsid w:val="00742A1D"/>
    <w:rsid w:val="0074308F"/>
    <w:rsid w:val="00743106"/>
    <w:rsid w:val="00744550"/>
    <w:rsid w:val="0074563D"/>
    <w:rsid w:val="00745D43"/>
    <w:rsid w:val="007462C3"/>
    <w:rsid w:val="00746D88"/>
    <w:rsid w:val="00747C33"/>
    <w:rsid w:val="007515DD"/>
    <w:rsid w:val="00752712"/>
    <w:rsid w:val="0075468E"/>
    <w:rsid w:val="00754D01"/>
    <w:rsid w:val="007556DA"/>
    <w:rsid w:val="007573A6"/>
    <w:rsid w:val="007600EA"/>
    <w:rsid w:val="00761454"/>
    <w:rsid w:val="007616C2"/>
    <w:rsid w:val="007632E3"/>
    <w:rsid w:val="0076514F"/>
    <w:rsid w:val="0076671C"/>
    <w:rsid w:val="00767A1C"/>
    <w:rsid w:val="00767E58"/>
    <w:rsid w:val="00770035"/>
    <w:rsid w:val="00770298"/>
    <w:rsid w:val="0077085A"/>
    <w:rsid w:val="007709AE"/>
    <w:rsid w:val="00771D60"/>
    <w:rsid w:val="007739F9"/>
    <w:rsid w:val="00773E53"/>
    <w:rsid w:val="00774B20"/>
    <w:rsid w:val="00775F54"/>
    <w:rsid w:val="00776C2C"/>
    <w:rsid w:val="00776C56"/>
    <w:rsid w:val="00782146"/>
    <w:rsid w:val="00782181"/>
    <w:rsid w:val="007822A7"/>
    <w:rsid w:val="007829FA"/>
    <w:rsid w:val="007836ED"/>
    <w:rsid w:val="00783EAB"/>
    <w:rsid w:val="0078531A"/>
    <w:rsid w:val="00785AA0"/>
    <w:rsid w:val="00790C28"/>
    <w:rsid w:val="007913C1"/>
    <w:rsid w:val="007914D8"/>
    <w:rsid w:val="00791DCD"/>
    <w:rsid w:val="00791F3D"/>
    <w:rsid w:val="007920F6"/>
    <w:rsid w:val="0079210D"/>
    <w:rsid w:val="007936DE"/>
    <w:rsid w:val="00795B8C"/>
    <w:rsid w:val="00795FD5"/>
    <w:rsid w:val="0079644E"/>
    <w:rsid w:val="00796D5D"/>
    <w:rsid w:val="007970F2"/>
    <w:rsid w:val="007A0C80"/>
    <w:rsid w:val="007A0D60"/>
    <w:rsid w:val="007A0F64"/>
    <w:rsid w:val="007A15E2"/>
    <w:rsid w:val="007A190E"/>
    <w:rsid w:val="007A1933"/>
    <w:rsid w:val="007A24E9"/>
    <w:rsid w:val="007A49BB"/>
    <w:rsid w:val="007A502C"/>
    <w:rsid w:val="007A7642"/>
    <w:rsid w:val="007A7979"/>
    <w:rsid w:val="007B0B7B"/>
    <w:rsid w:val="007B27C7"/>
    <w:rsid w:val="007B291D"/>
    <w:rsid w:val="007B469C"/>
    <w:rsid w:val="007B4B20"/>
    <w:rsid w:val="007B4B9F"/>
    <w:rsid w:val="007B64B9"/>
    <w:rsid w:val="007B6713"/>
    <w:rsid w:val="007B73F0"/>
    <w:rsid w:val="007B79E8"/>
    <w:rsid w:val="007C002A"/>
    <w:rsid w:val="007C0AA3"/>
    <w:rsid w:val="007C0B4A"/>
    <w:rsid w:val="007C168D"/>
    <w:rsid w:val="007C1EDB"/>
    <w:rsid w:val="007C2532"/>
    <w:rsid w:val="007C3CD0"/>
    <w:rsid w:val="007C4044"/>
    <w:rsid w:val="007C4861"/>
    <w:rsid w:val="007C57AC"/>
    <w:rsid w:val="007C7700"/>
    <w:rsid w:val="007D0396"/>
    <w:rsid w:val="007D0434"/>
    <w:rsid w:val="007D08E6"/>
    <w:rsid w:val="007D0C53"/>
    <w:rsid w:val="007D1238"/>
    <w:rsid w:val="007D17F5"/>
    <w:rsid w:val="007D33DA"/>
    <w:rsid w:val="007D3A26"/>
    <w:rsid w:val="007D43E2"/>
    <w:rsid w:val="007D484D"/>
    <w:rsid w:val="007D48C2"/>
    <w:rsid w:val="007D4AD4"/>
    <w:rsid w:val="007D74F7"/>
    <w:rsid w:val="007D77C7"/>
    <w:rsid w:val="007E0CE0"/>
    <w:rsid w:val="007E0EF3"/>
    <w:rsid w:val="007E1B62"/>
    <w:rsid w:val="007E1FFE"/>
    <w:rsid w:val="007E2469"/>
    <w:rsid w:val="007E28D9"/>
    <w:rsid w:val="007E3EA5"/>
    <w:rsid w:val="007E47AF"/>
    <w:rsid w:val="007E4997"/>
    <w:rsid w:val="007E4B06"/>
    <w:rsid w:val="007E6C1A"/>
    <w:rsid w:val="007E7407"/>
    <w:rsid w:val="007E9B02"/>
    <w:rsid w:val="007F0664"/>
    <w:rsid w:val="007F1929"/>
    <w:rsid w:val="007F2096"/>
    <w:rsid w:val="007F5481"/>
    <w:rsid w:val="007F6E86"/>
    <w:rsid w:val="007F7024"/>
    <w:rsid w:val="007F79CB"/>
    <w:rsid w:val="00800968"/>
    <w:rsid w:val="00801A24"/>
    <w:rsid w:val="00801ABD"/>
    <w:rsid w:val="008049AB"/>
    <w:rsid w:val="00806F78"/>
    <w:rsid w:val="008071F6"/>
    <w:rsid w:val="00810BBE"/>
    <w:rsid w:val="00810E04"/>
    <w:rsid w:val="008116DA"/>
    <w:rsid w:val="008121F4"/>
    <w:rsid w:val="00813829"/>
    <w:rsid w:val="00814B36"/>
    <w:rsid w:val="00814C82"/>
    <w:rsid w:val="0081590C"/>
    <w:rsid w:val="0081628D"/>
    <w:rsid w:val="00816BD2"/>
    <w:rsid w:val="008178B7"/>
    <w:rsid w:val="008207FC"/>
    <w:rsid w:val="0082207A"/>
    <w:rsid w:val="008243A4"/>
    <w:rsid w:val="00824BC7"/>
    <w:rsid w:val="0082631C"/>
    <w:rsid w:val="00827AB3"/>
    <w:rsid w:val="00827C86"/>
    <w:rsid w:val="00830169"/>
    <w:rsid w:val="008305F9"/>
    <w:rsid w:val="00832252"/>
    <w:rsid w:val="00832521"/>
    <w:rsid w:val="00833BB2"/>
    <w:rsid w:val="00833DEA"/>
    <w:rsid w:val="008341C4"/>
    <w:rsid w:val="00835397"/>
    <w:rsid w:val="00835B5B"/>
    <w:rsid w:val="008372D0"/>
    <w:rsid w:val="008377FE"/>
    <w:rsid w:val="008379A8"/>
    <w:rsid w:val="0084011B"/>
    <w:rsid w:val="00840330"/>
    <w:rsid w:val="00841D7B"/>
    <w:rsid w:val="00843D8A"/>
    <w:rsid w:val="00844142"/>
    <w:rsid w:val="008441C2"/>
    <w:rsid w:val="0084467F"/>
    <w:rsid w:val="00845E74"/>
    <w:rsid w:val="00846D97"/>
    <w:rsid w:val="00850DFB"/>
    <w:rsid w:val="0085215B"/>
    <w:rsid w:val="00854130"/>
    <w:rsid w:val="008563DD"/>
    <w:rsid w:val="008604B1"/>
    <w:rsid w:val="00860ABF"/>
    <w:rsid w:val="00861104"/>
    <w:rsid w:val="00862D51"/>
    <w:rsid w:val="00864866"/>
    <w:rsid w:val="00866497"/>
    <w:rsid w:val="00866693"/>
    <w:rsid w:val="00866AD3"/>
    <w:rsid w:val="00870C74"/>
    <w:rsid w:val="008710E8"/>
    <w:rsid w:val="00871A95"/>
    <w:rsid w:val="0087233A"/>
    <w:rsid w:val="00872B35"/>
    <w:rsid w:val="008741C0"/>
    <w:rsid w:val="00874A88"/>
    <w:rsid w:val="00874B4A"/>
    <w:rsid w:val="008757B9"/>
    <w:rsid w:val="00875ACB"/>
    <w:rsid w:val="00876C4C"/>
    <w:rsid w:val="008778B3"/>
    <w:rsid w:val="00877C91"/>
    <w:rsid w:val="008809B2"/>
    <w:rsid w:val="00882348"/>
    <w:rsid w:val="00883265"/>
    <w:rsid w:val="00883688"/>
    <w:rsid w:val="00883D9C"/>
    <w:rsid w:val="00884570"/>
    <w:rsid w:val="00884598"/>
    <w:rsid w:val="0088502A"/>
    <w:rsid w:val="008867AF"/>
    <w:rsid w:val="00886EDE"/>
    <w:rsid w:val="0088730E"/>
    <w:rsid w:val="00891A99"/>
    <w:rsid w:val="008930AF"/>
    <w:rsid w:val="008931D7"/>
    <w:rsid w:val="0089366E"/>
    <w:rsid w:val="008940A2"/>
    <w:rsid w:val="008942A5"/>
    <w:rsid w:val="008951FE"/>
    <w:rsid w:val="00895241"/>
    <w:rsid w:val="008955BA"/>
    <w:rsid w:val="00895F3C"/>
    <w:rsid w:val="00897649"/>
    <w:rsid w:val="008A1113"/>
    <w:rsid w:val="008A1285"/>
    <w:rsid w:val="008A1359"/>
    <w:rsid w:val="008A1798"/>
    <w:rsid w:val="008A1DE4"/>
    <w:rsid w:val="008A22AC"/>
    <w:rsid w:val="008A246C"/>
    <w:rsid w:val="008A30D2"/>
    <w:rsid w:val="008A31F1"/>
    <w:rsid w:val="008A3CFF"/>
    <w:rsid w:val="008A4931"/>
    <w:rsid w:val="008A65F8"/>
    <w:rsid w:val="008A671B"/>
    <w:rsid w:val="008A6A73"/>
    <w:rsid w:val="008A7119"/>
    <w:rsid w:val="008A7B57"/>
    <w:rsid w:val="008B1D78"/>
    <w:rsid w:val="008B34E8"/>
    <w:rsid w:val="008B3672"/>
    <w:rsid w:val="008B4224"/>
    <w:rsid w:val="008B47F2"/>
    <w:rsid w:val="008B5948"/>
    <w:rsid w:val="008B6985"/>
    <w:rsid w:val="008B703F"/>
    <w:rsid w:val="008B7881"/>
    <w:rsid w:val="008C1533"/>
    <w:rsid w:val="008C3732"/>
    <w:rsid w:val="008C3DF7"/>
    <w:rsid w:val="008C3FFB"/>
    <w:rsid w:val="008C41FC"/>
    <w:rsid w:val="008C43C7"/>
    <w:rsid w:val="008C4D97"/>
    <w:rsid w:val="008C5271"/>
    <w:rsid w:val="008C6097"/>
    <w:rsid w:val="008C6B0F"/>
    <w:rsid w:val="008C724E"/>
    <w:rsid w:val="008D0227"/>
    <w:rsid w:val="008D1135"/>
    <w:rsid w:val="008D4211"/>
    <w:rsid w:val="008D4268"/>
    <w:rsid w:val="008D5069"/>
    <w:rsid w:val="008D5947"/>
    <w:rsid w:val="008D6154"/>
    <w:rsid w:val="008E284A"/>
    <w:rsid w:val="008E2F20"/>
    <w:rsid w:val="008E3588"/>
    <w:rsid w:val="008E3627"/>
    <w:rsid w:val="008E3650"/>
    <w:rsid w:val="008E3A23"/>
    <w:rsid w:val="008E4BF4"/>
    <w:rsid w:val="008E6BEC"/>
    <w:rsid w:val="008E7348"/>
    <w:rsid w:val="008F1BB4"/>
    <w:rsid w:val="008F2594"/>
    <w:rsid w:val="008F2C06"/>
    <w:rsid w:val="008F3105"/>
    <w:rsid w:val="008F34C7"/>
    <w:rsid w:val="008F451D"/>
    <w:rsid w:val="008F45F2"/>
    <w:rsid w:val="008F557C"/>
    <w:rsid w:val="008F584B"/>
    <w:rsid w:val="008F5FEF"/>
    <w:rsid w:val="008F61FE"/>
    <w:rsid w:val="008F66F9"/>
    <w:rsid w:val="008F67F9"/>
    <w:rsid w:val="008F706F"/>
    <w:rsid w:val="008F70CD"/>
    <w:rsid w:val="0090014B"/>
    <w:rsid w:val="00900F2B"/>
    <w:rsid w:val="00901DAA"/>
    <w:rsid w:val="00902765"/>
    <w:rsid w:val="0090320D"/>
    <w:rsid w:val="009038EC"/>
    <w:rsid w:val="0090392D"/>
    <w:rsid w:val="009050EA"/>
    <w:rsid w:val="0090543D"/>
    <w:rsid w:val="00905CD9"/>
    <w:rsid w:val="00905D82"/>
    <w:rsid w:val="0090654D"/>
    <w:rsid w:val="00907428"/>
    <w:rsid w:val="00907E43"/>
    <w:rsid w:val="00907FF2"/>
    <w:rsid w:val="0091079F"/>
    <w:rsid w:val="009118C3"/>
    <w:rsid w:val="00911C12"/>
    <w:rsid w:val="00912867"/>
    <w:rsid w:val="00914699"/>
    <w:rsid w:val="00914F66"/>
    <w:rsid w:val="009163B6"/>
    <w:rsid w:val="009168F5"/>
    <w:rsid w:val="00916BE2"/>
    <w:rsid w:val="009176E1"/>
    <w:rsid w:val="00920C05"/>
    <w:rsid w:val="0092320C"/>
    <w:rsid w:val="00925947"/>
    <w:rsid w:val="00925CF0"/>
    <w:rsid w:val="009264AA"/>
    <w:rsid w:val="00927C6E"/>
    <w:rsid w:val="009300F3"/>
    <w:rsid w:val="00930267"/>
    <w:rsid w:val="00930869"/>
    <w:rsid w:val="00930A9A"/>
    <w:rsid w:val="00934B6B"/>
    <w:rsid w:val="00934DE1"/>
    <w:rsid w:val="009355DC"/>
    <w:rsid w:val="00936CEB"/>
    <w:rsid w:val="00940222"/>
    <w:rsid w:val="0094047B"/>
    <w:rsid w:val="009405AC"/>
    <w:rsid w:val="00941CED"/>
    <w:rsid w:val="009438AB"/>
    <w:rsid w:val="00943C85"/>
    <w:rsid w:val="00947492"/>
    <w:rsid w:val="00947939"/>
    <w:rsid w:val="00947BF0"/>
    <w:rsid w:val="00950FC3"/>
    <w:rsid w:val="0095109A"/>
    <w:rsid w:val="00951724"/>
    <w:rsid w:val="0095307D"/>
    <w:rsid w:val="009531A4"/>
    <w:rsid w:val="009555CC"/>
    <w:rsid w:val="00956F2D"/>
    <w:rsid w:val="00956F54"/>
    <w:rsid w:val="009571B7"/>
    <w:rsid w:val="00957610"/>
    <w:rsid w:val="00960567"/>
    <w:rsid w:val="00960CD5"/>
    <w:rsid w:val="00961E4D"/>
    <w:rsid w:val="00962DF7"/>
    <w:rsid w:val="00962E70"/>
    <w:rsid w:val="0096331A"/>
    <w:rsid w:val="00963D87"/>
    <w:rsid w:val="0096506F"/>
    <w:rsid w:val="00965437"/>
    <w:rsid w:val="00965A9D"/>
    <w:rsid w:val="00966837"/>
    <w:rsid w:val="00966DE2"/>
    <w:rsid w:val="00966E19"/>
    <w:rsid w:val="00971325"/>
    <w:rsid w:val="009716D1"/>
    <w:rsid w:val="00972499"/>
    <w:rsid w:val="0097692B"/>
    <w:rsid w:val="009775B7"/>
    <w:rsid w:val="00977AED"/>
    <w:rsid w:val="00977D0D"/>
    <w:rsid w:val="00977FE8"/>
    <w:rsid w:val="00981370"/>
    <w:rsid w:val="009816AC"/>
    <w:rsid w:val="009819AC"/>
    <w:rsid w:val="00983CFA"/>
    <w:rsid w:val="00985BC2"/>
    <w:rsid w:val="00986992"/>
    <w:rsid w:val="00986A3F"/>
    <w:rsid w:val="00987387"/>
    <w:rsid w:val="0099047C"/>
    <w:rsid w:val="00990778"/>
    <w:rsid w:val="00991933"/>
    <w:rsid w:val="0099195E"/>
    <w:rsid w:val="00991C8B"/>
    <w:rsid w:val="0099475A"/>
    <w:rsid w:val="00995E95"/>
    <w:rsid w:val="009967FD"/>
    <w:rsid w:val="009A00B5"/>
    <w:rsid w:val="009A12D4"/>
    <w:rsid w:val="009A42B5"/>
    <w:rsid w:val="009A6489"/>
    <w:rsid w:val="009B063C"/>
    <w:rsid w:val="009B0788"/>
    <w:rsid w:val="009B07C9"/>
    <w:rsid w:val="009B0DC2"/>
    <w:rsid w:val="009B113E"/>
    <w:rsid w:val="009B2A20"/>
    <w:rsid w:val="009B56CD"/>
    <w:rsid w:val="009B5997"/>
    <w:rsid w:val="009B59BA"/>
    <w:rsid w:val="009B6836"/>
    <w:rsid w:val="009B6C52"/>
    <w:rsid w:val="009B78A0"/>
    <w:rsid w:val="009B7A09"/>
    <w:rsid w:val="009C06A6"/>
    <w:rsid w:val="009C077F"/>
    <w:rsid w:val="009C1971"/>
    <w:rsid w:val="009C2048"/>
    <w:rsid w:val="009C4052"/>
    <w:rsid w:val="009C42E6"/>
    <w:rsid w:val="009C50C4"/>
    <w:rsid w:val="009C6183"/>
    <w:rsid w:val="009C65E5"/>
    <w:rsid w:val="009C7B66"/>
    <w:rsid w:val="009D1191"/>
    <w:rsid w:val="009D133B"/>
    <w:rsid w:val="009D38BD"/>
    <w:rsid w:val="009D4DF3"/>
    <w:rsid w:val="009D5058"/>
    <w:rsid w:val="009D62C3"/>
    <w:rsid w:val="009D6622"/>
    <w:rsid w:val="009D74CB"/>
    <w:rsid w:val="009D7AB5"/>
    <w:rsid w:val="009E017D"/>
    <w:rsid w:val="009E20F2"/>
    <w:rsid w:val="009E26B1"/>
    <w:rsid w:val="009E5229"/>
    <w:rsid w:val="009E598D"/>
    <w:rsid w:val="009E5EA0"/>
    <w:rsid w:val="009F1480"/>
    <w:rsid w:val="009F25B2"/>
    <w:rsid w:val="009F270F"/>
    <w:rsid w:val="009F3209"/>
    <w:rsid w:val="009F48D7"/>
    <w:rsid w:val="009F6864"/>
    <w:rsid w:val="009F7CF4"/>
    <w:rsid w:val="00A001D3"/>
    <w:rsid w:val="00A00A08"/>
    <w:rsid w:val="00A01034"/>
    <w:rsid w:val="00A01344"/>
    <w:rsid w:val="00A025AF"/>
    <w:rsid w:val="00A02F9A"/>
    <w:rsid w:val="00A0322C"/>
    <w:rsid w:val="00A03707"/>
    <w:rsid w:val="00A03C7E"/>
    <w:rsid w:val="00A04894"/>
    <w:rsid w:val="00A05239"/>
    <w:rsid w:val="00A05546"/>
    <w:rsid w:val="00A0562B"/>
    <w:rsid w:val="00A06F79"/>
    <w:rsid w:val="00A071F8"/>
    <w:rsid w:val="00A079FD"/>
    <w:rsid w:val="00A10441"/>
    <w:rsid w:val="00A1086B"/>
    <w:rsid w:val="00A11F2A"/>
    <w:rsid w:val="00A12E72"/>
    <w:rsid w:val="00A12FBE"/>
    <w:rsid w:val="00A13B12"/>
    <w:rsid w:val="00A155B4"/>
    <w:rsid w:val="00A15751"/>
    <w:rsid w:val="00A157D8"/>
    <w:rsid w:val="00A16A48"/>
    <w:rsid w:val="00A17278"/>
    <w:rsid w:val="00A17371"/>
    <w:rsid w:val="00A20060"/>
    <w:rsid w:val="00A20EB8"/>
    <w:rsid w:val="00A220E5"/>
    <w:rsid w:val="00A22AEB"/>
    <w:rsid w:val="00A25843"/>
    <w:rsid w:val="00A262DA"/>
    <w:rsid w:val="00A264A9"/>
    <w:rsid w:val="00A26A67"/>
    <w:rsid w:val="00A27880"/>
    <w:rsid w:val="00A314D4"/>
    <w:rsid w:val="00A32221"/>
    <w:rsid w:val="00A32352"/>
    <w:rsid w:val="00A32641"/>
    <w:rsid w:val="00A33264"/>
    <w:rsid w:val="00A35EA6"/>
    <w:rsid w:val="00A37101"/>
    <w:rsid w:val="00A407DD"/>
    <w:rsid w:val="00A416E1"/>
    <w:rsid w:val="00A41708"/>
    <w:rsid w:val="00A41A22"/>
    <w:rsid w:val="00A41AF8"/>
    <w:rsid w:val="00A4297D"/>
    <w:rsid w:val="00A43204"/>
    <w:rsid w:val="00A432EC"/>
    <w:rsid w:val="00A44510"/>
    <w:rsid w:val="00A44737"/>
    <w:rsid w:val="00A44D7A"/>
    <w:rsid w:val="00A46315"/>
    <w:rsid w:val="00A47345"/>
    <w:rsid w:val="00A5008D"/>
    <w:rsid w:val="00A5059A"/>
    <w:rsid w:val="00A51C02"/>
    <w:rsid w:val="00A52278"/>
    <w:rsid w:val="00A52C69"/>
    <w:rsid w:val="00A5439A"/>
    <w:rsid w:val="00A54758"/>
    <w:rsid w:val="00A54E92"/>
    <w:rsid w:val="00A55440"/>
    <w:rsid w:val="00A56F5C"/>
    <w:rsid w:val="00A57BD3"/>
    <w:rsid w:val="00A614D2"/>
    <w:rsid w:val="00A61855"/>
    <w:rsid w:val="00A61AEF"/>
    <w:rsid w:val="00A63119"/>
    <w:rsid w:val="00A637E8"/>
    <w:rsid w:val="00A66ED8"/>
    <w:rsid w:val="00A67E02"/>
    <w:rsid w:val="00A67E98"/>
    <w:rsid w:val="00A70457"/>
    <w:rsid w:val="00A70A70"/>
    <w:rsid w:val="00A7130C"/>
    <w:rsid w:val="00A71DD5"/>
    <w:rsid w:val="00A72D6C"/>
    <w:rsid w:val="00A735AA"/>
    <w:rsid w:val="00A7375B"/>
    <w:rsid w:val="00A73FB7"/>
    <w:rsid w:val="00A7414B"/>
    <w:rsid w:val="00A75AAA"/>
    <w:rsid w:val="00A76EA4"/>
    <w:rsid w:val="00A77782"/>
    <w:rsid w:val="00A801D6"/>
    <w:rsid w:val="00A80BEB"/>
    <w:rsid w:val="00A851FB"/>
    <w:rsid w:val="00A858D4"/>
    <w:rsid w:val="00A8646E"/>
    <w:rsid w:val="00A8727A"/>
    <w:rsid w:val="00A8729D"/>
    <w:rsid w:val="00A909A3"/>
    <w:rsid w:val="00A92ECE"/>
    <w:rsid w:val="00A93821"/>
    <w:rsid w:val="00A96A5F"/>
    <w:rsid w:val="00A96D76"/>
    <w:rsid w:val="00A97F96"/>
    <w:rsid w:val="00AA12D3"/>
    <w:rsid w:val="00AA2722"/>
    <w:rsid w:val="00AA4443"/>
    <w:rsid w:val="00AA44BF"/>
    <w:rsid w:val="00AA51FD"/>
    <w:rsid w:val="00AA5871"/>
    <w:rsid w:val="00AA595B"/>
    <w:rsid w:val="00AA5ACD"/>
    <w:rsid w:val="00AA7E77"/>
    <w:rsid w:val="00AB16F8"/>
    <w:rsid w:val="00AB2A66"/>
    <w:rsid w:val="00AB2A95"/>
    <w:rsid w:val="00AB2A96"/>
    <w:rsid w:val="00AB378C"/>
    <w:rsid w:val="00AB39D6"/>
    <w:rsid w:val="00AB3B14"/>
    <w:rsid w:val="00AB4378"/>
    <w:rsid w:val="00AB49EB"/>
    <w:rsid w:val="00AB4FD9"/>
    <w:rsid w:val="00AB5D6F"/>
    <w:rsid w:val="00AB6A47"/>
    <w:rsid w:val="00AB6DAB"/>
    <w:rsid w:val="00AB7508"/>
    <w:rsid w:val="00AB778A"/>
    <w:rsid w:val="00AC0C71"/>
    <w:rsid w:val="00AC0CCC"/>
    <w:rsid w:val="00AC1BA5"/>
    <w:rsid w:val="00AC2180"/>
    <w:rsid w:val="00AC32AE"/>
    <w:rsid w:val="00AC3E14"/>
    <w:rsid w:val="00AC5841"/>
    <w:rsid w:val="00AC5FA6"/>
    <w:rsid w:val="00AC6966"/>
    <w:rsid w:val="00AC69BF"/>
    <w:rsid w:val="00AC6A93"/>
    <w:rsid w:val="00AC71EF"/>
    <w:rsid w:val="00AC7450"/>
    <w:rsid w:val="00AC7F1E"/>
    <w:rsid w:val="00AD197A"/>
    <w:rsid w:val="00AD383D"/>
    <w:rsid w:val="00AD4AF7"/>
    <w:rsid w:val="00AD4CC1"/>
    <w:rsid w:val="00AD5D5E"/>
    <w:rsid w:val="00AD67B0"/>
    <w:rsid w:val="00AE1839"/>
    <w:rsid w:val="00AE343D"/>
    <w:rsid w:val="00AE3781"/>
    <w:rsid w:val="00AE3BBF"/>
    <w:rsid w:val="00AE4727"/>
    <w:rsid w:val="00AE4BC0"/>
    <w:rsid w:val="00AE5084"/>
    <w:rsid w:val="00AE512F"/>
    <w:rsid w:val="00AE5683"/>
    <w:rsid w:val="00AE5B80"/>
    <w:rsid w:val="00AE620D"/>
    <w:rsid w:val="00AE6DA0"/>
    <w:rsid w:val="00AE7061"/>
    <w:rsid w:val="00AF02EE"/>
    <w:rsid w:val="00AF0466"/>
    <w:rsid w:val="00AF09B4"/>
    <w:rsid w:val="00AF15C5"/>
    <w:rsid w:val="00AF253E"/>
    <w:rsid w:val="00AF4837"/>
    <w:rsid w:val="00AF5529"/>
    <w:rsid w:val="00AF6C2A"/>
    <w:rsid w:val="00B00199"/>
    <w:rsid w:val="00B007D4"/>
    <w:rsid w:val="00B00F99"/>
    <w:rsid w:val="00B021F9"/>
    <w:rsid w:val="00B03B5D"/>
    <w:rsid w:val="00B0431A"/>
    <w:rsid w:val="00B04A4F"/>
    <w:rsid w:val="00B0573E"/>
    <w:rsid w:val="00B07278"/>
    <w:rsid w:val="00B0727B"/>
    <w:rsid w:val="00B07632"/>
    <w:rsid w:val="00B076B7"/>
    <w:rsid w:val="00B079F3"/>
    <w:rsid w:val="00B12667"/>
    <w:rsid w:val="00B14D19"/>
    <w:rsid w:val="00B1564A"/>
    <w:rsid w:val="00B15BA8"/>
    <w:rsid w:val="00B16ACF"/>
    <w:rsid w:val="00B17140"/>
    <w:rsid w:val="00B178CD"/>
    <w:rsid w:val="00B179C5"/>
    <w:rsid w:val="00B17D0C"/>
    <w:rsid w:val="00B2058E"/>
    <w:rsid w:val="00B20972"/>
    <w:rsid w:val="00B20B46"/>
    <w:rsid w:val="00B21077"/>
    <w:rsid w:val="00B23119"/>
    <w:rsid w:val="00B2328A"/>
    <w:rsid w:val="00B236C9"/>
    <w:rsid w:val="00B23FDC"/>
    <w:rsid w:val="00B24304"/>
    <w:rsid w:val="00B257A5"/>
    <w:rsid w:val="00B26DA0"/>
    <w:rsid w:val="00B30C37"/>
    <w:rsid w:val="00B313B1"/>
    <w:rsid w:val="00B32037"/>
    <w:rsid w:val="00B334F0"/>
    <w:rsid w:val="00B36042"/>
    <w:rsid w:val="00B36957"/>
    <w:rsid w:val="00B3698B"/>
    <w:rsid w:val="00B37367"/>
    <w:rsid w:val="00B3784F"/>
    <w:rsid w:val="00B379DA"/>
    <w:rsid w:val="00B40F6C"/>
    <w:rsid w:val="00B42434"/>
    <w:rsid w:val="00B43703"/>
    <w:rsid w:val="00B445C5"/>
    <w:rsid w:val="00B44FA4"/>
    <w:rsid w:val="00B45A18"/>
    <w:rsid w:val="00B46F78"/>
    <w:rsid w:val="00B47224"/>
    <w:rsid w:val="00B47F64"/>
    <w:rsid w:val="00B47F75"/>
    <w:rsid w:val="00B501F0"/>
    <w:rsid w:val="00B5101E"/>
    <w:rsid w:val="00B51CE9"/>
    <w:rsid w:val="00B51DEB"/>
    <w:rsid w:val="00B52D7C"/>
    <w:rsid w:val="00B5567C"/>
    <w:rsid w:val="00B56264"/>
    <w:rsid w:val="00B576C0"/>
    <w:rsid w:val="00B57C92"/>
    <w:rsid w:val="00B624E3"/>
    <w:rsid w:val="00B62B64"/>
    <w:rsid w:val="00B62BA7"/>
    <w:rsid w:val="00B62EFC"/>
    <w:rsid w:val="00B65291"/>
    <w:rsid w:val="00B653B5"/>
    <w:rsid w:val="00B657B5"/>
    <w:rsid w:val="00B6586F"/>
    <w:rsid w:val="00B65EC5"/>
    <w:rsid w:val="00B660B1"/>
    <w:rsid w:val="00B67478"/>
    <w:rsid w:val="00B7067B"/>
    <w:rsid w:val="00B70F46"/>
    <w:rsid w:val="00B755CB"/>
    <w:rsid w:val="00B75B28"/>
    <w:rsid w:val="00B7677E"/>
    <w:rsid w:val="00B76AC9"/>
    <w:rsid w:val="00B826EC"/>
    <w:rsid w:val="00B830E2"/>
    <w:rsid w:val="00B84346"/>
    <w:rsid w:val="00B84A5B"/>
    <w:rsid w:val="00B84BE2"/>
    <w:rsid w:val="00B85502"/>
    <w:rsid w:val="00B86AD7"/>
    <w:rsid w:val="00B87309"/>
    <w:rsid w:val="00B8744A"/>
    <w:rsid w:val="00B91AC5"/>
    <w:rsid w:val="00B95798"/>
    <w:rsid w:val="00B9648F"/>
    <w:rsid w:val="00B9757F"/>
    <w:rsid w:val="00B9779C"/>
    <w:rsid w:val="00B97975"/>
    <w:rsid w:val="00B97A4D"/>
    <w:rsid w:val="00BA0209"/>
    <w:rsid w:val="00BA1F7A"/>
    <w:rsid w:val="00BA1FFE"/>
    <w:rsid w:val="00BA24A1"/>
    <w:rsid w:val="00BA3110"/>
    <w:rsid w:val="00BA3EA8"/>
    <w:rsid w:val="00BA4127"/>
    <w:rsid w:val="00BA4B55"/>
    <w:rsid w:val="00BA5802"/>
    <w:rsid w:val="00BB0914"/>
    <w:rsid w:val="00BB0D8A"/>
    <w:rsid w:val="00BB0EB6"/>
    <w:rsid w:val="00BB19D9"/>
    <w:rsid w:val="00BB1CB6"/>
    <w:rsid w:val="00BB200D"/>
    <w:rsid w:val="00BB49A0"/>
    <w:rsid w:val="00BB4A1E"/>
    <w:rsid w:val="00BB5A22"/>
    <w:rsid w:val="00BB5AF4"/>
    <w:rsid w:val="00BB7655"/>
    <w:rsid w:val="00BC1712"/>
    <w:rsid w:val="00BC25BD"/>
    <w:rsid w:val="00BC60BE"/>
    <w:rsid w:val="00BC6551"/>
    <w:rsid w:val="00BC76D8"/>
    <w:rsid w:val="00BC7B8A"/>
    <w:rsid w:val="00BC7BAB"/>
    <w:rsid w:val="00BD017B"/>
    <w:rsid w:val="00BD0F28"/>
    <w:rsid w:val="00BD18BD"/>
    <w:rsid w:val="00BD310C"/>
    <w:rsid w:val="00BD4439"/>
    <w:rsid w:val="00BD6F06"/>
    <w:rsid w:val="00BD77EB"/>
    <w:rsid w:val="00BE051C"/>
    <w:rsid w:val="00BE096A"/>
    <w:rsid w:val="00BE1D88"/>
    <w:rsid w:val="00BE355A"/>
    <w:rsid w:val="00BE37E1"/>
    <w:rsid w:val="00BE3B5A"/>
    <w:rsid w:val="00BE3E91"/>
    <w:rsid w:val="00BE7854"/>
    <w:rsid w:val="00BE79BF"/>
    <w:rsid w:val="00BF083F"/>
    <w:rsid w:val="00BF12BD"/>
    <w:rsid w:val="00BF1356"/>
    <w:rsid w:val="00BF1AF6"/>
    <w:rsid w:val="00BF2F15"/>
    <w:rsid w:val="00BF3128"/>
    <w:rsid w:val="00C007F0"/>
    <w:rsid w:val="00C00DE3"/>
    <w:rsid w:val="00C00F89"/>
    <w:rsid w:val="00C02708"/>
    <w:rsid w:val="00C03C71"/>
    <w:rsid w:val="00C04296"/>
    <w:rsid w:val="00C046F7"/>
    <w:rsid w:val="00C054F4"/>
    <w:rsid w:val="00C05F70"/>
    <w:rsid w:val="00C10EC5"/>
    <w:rsid w:val="00C11C93"/>
    <w:rsid w:val="00C124FA"/>
    <w:rsid w:val="00C12564"/>
    <w:rsid w:val="00C12D31"/>
    <w:rsid w:val="00C13A8C"/>
    <w:rsid w:val="00C13B9F"/>
    <w:rsid w:val="00C16773"/>
    <w:rsid w:val="00C16A5E"/>
    <w:rsid w:val="00C21AE3"/>
    <w:rsid w:val="00C22181"/>
    <w:rsid w:val="00C226BE"/>
    <w:rsid w:val="00C22E1C"/>
    <w:rsid w:val="00C23890"/>
    <w:rsid w:val="00C24166"/>
    <w:rsid w:val="00C276B1"/>
    <w:rsid w:val="00C27979"/>
    <w:rsid w:val="00C300B1"/>
    <w:rsid w:val="00C3148B"/>
    <w:rsid w:val="00C31DB8"/>
    <w:rsid w:val="00C31F3B"/>
    <w:rsid w:val="00C3270C"/>
    <w:rsid w:val="00C3284B"/>
    <w:rsid w:val="00C3348E"/>
    <w:rsid w:val="00C344D2"/>
    <w:rsid w:val="00C36030"/>
    <w:rsid w:val="00C3643F"/>
    <w:rsid w:val="00C36C7A"/>
    <w:rsid w:val="00C375C6"/>
    <w:rsid w:val="00C40369"/>
    <w:rsid w:val="00C42D54"/>
    <w:rsid w:val="00C43721"/>
    <w:rsid w:val="00C44E51"/>
    <w:rsid w:val="00C45F48"/>
    <w:rsid w:val="00C45F6B"/>
    <w:rsid w:val="00C47204"/>
    <w:rsid w:val="00C47671"/>
    <w:rsid w:val="00C47A16"/>
    <w:rsid w:val="00C50FE7"/>
    <w:rsid w:val="00C53827"/>
    <w:rsid w:val="00C54D1F"/>
    <w:rsid w:val="00C5602B"/>
    <w:rsid w:val="00C5713F"/>
    <w:rsid w:val="00C624B5"/>
    <w:rsid w:val="00C62D3A"/>
    <w:rsid w:val="00C63765"/>
    <w:rsid w:val="00C64410"/>
    <w:rsid w:val="00C65823"/>
    <w:rsid w:val="00C65CA5"/>
    <w:rsid w:val="00C66685"/>
    <w:rsid w:val="00C67141"/>
    <w:rsid w:val="00C673D0"/>
    <w:rsid w:val="00C71334"/>
    <w:rsid w:val="00C72828"/>
    <w:rsid w:val="00C72E17"/>
    <w:rsid w:val="00C7426F"/>
    <w:rsid w:val="00C75276"/>
    <w:rsid w:val="00C752D3"/>
    <w:rsid w:val="00C761F7"/>
    <w:rsid w:val="00C80469"/>
    <w:rsid w:val="00C80D31"/>
    <w:rsid w:val="00C8177E"/>
    <w:rsid w:val="00C82773"/>
    <w:rsid w:val="00C82CCB"/>
    <w:rsid w:val="00C8369D"/>
    <w:rsid w:val="00C84BEE"/>
    <w:rsid w:val="00C84D8B"/>
    <w:rsid w:val="00C85485"/>
    <w:rsid w:val="00C85C20"/>
    <w:rsid w:val="00C86D8A"/>
    <w:rsid w:val="00C9043A"/>
    <w:rsid w:val="00C91CFC"/>
    <w:rsid w:val="00C93674"/>
    <w:rsid w:val="00C96E44"/>
    <w:rsid w:val="00C9798F"/>
    <w:rsid w:val="00CA1200"/>
    <w:rsid w:val="00CA208D"/>
    <w:rsid w:val="00CA2D3C"/>
    <w:rsid w:val="00CA31C5"/>
    <w:rsid w:val="00CA50E6"/>
    <w:rsid w:val="00CA6CCF"/>
    <w:rsid w:val="00CB0B00"/>
    <w:rsid w:val="00CB16F0"/>
    <w:rsid w:val="00CB18EA"/>
    <w:rsid w:val="00CB337D"/>
    <w:rsid w:val="00CB35E5"/>
    <w:rsid w:val="00CB4BC6"/>
    <w:rsid w:val="00CB510D"/>
    <w:rsid w:val="00CB57CA"/>
    <w:rsid w:val="00CB5929"/>
    <w:rsid w:val="00CB6855"/>
    <w:rsid w:val="00CB7F8E"/>
    <w:rsid w:val="00CC06BD"/>
    <w:rsid w:val="00CC22ED"/>
    <w:rsid w:val="00CC3263"/>
    <w:rsid w:val="00CC3C09"/>
    <w:rsid w:val="00CC3F40"/>
    <w:rsid w:val="00CC4044"/>
    <w:rsid w:val="00CC4E4A"/>
    <w:rsid w:val="00CC4E7D"/>
    <w:rsid w:val="00CC55B8"/>
    <w:rsid w:val="00CC621D"/>
    <w:rsid w:val="00CC6AE0"/>
    <w:rsid w:val="00CC795B"/>
    <w:rsid w:val="00CC7A6B"/>
    <w:rsid w:val="00CC7AE3"/>
    <w:rsid w:val="00CD15B3"/>
    <w:rsid w:val="00CD23CD"/>
    <w:rsid w:val="00CD2F44"/>
    <w:rsid w:val="00CD3CAA"/>
    <w:rsid w:val="00CD3E35"/>
    <w:rsid w:val="00CD406B"/>
    <w:rsid w:val="00CD4A31"/>
    <w:rsid w:val="00CD4D79"/>
    <w:rsid w:val="00CD5238"/>
    <w:rsid w:val="00CD538A"/>
    <w:rsid w:val="00CD58CB"/>
    <w:rsid w:val="00CD6DF1"/>
    <w:rsid w:val="00CD7825"/>
    <w:rsid w:val="00CD7EE4"/>
    <w:rsid w:val="00CE00E3"/>
    <w:rsid w:val="00CE0977"/>
    <w:rsid w:val="00CE15FA"/>
    <w:rsid w:val="00CE19AC"/>
    <w:rsid w:val="00CE1F8C"/>
    <w:rsid w:val="00CE228F"/>
    <w:rsid w:val="00CE32B3"/>
    <w:rsid w:val="00CE3DA1"/>
    <w:rsid w:val="00CE3F10"/>
    <w:rsid w:val="00CE4615"/>
    <w:rsid w:val="00CE511A"/>
    <w:rsid w:val="00CE58F5"/>
    <w:rsid w:val="00CE6528"/>
    <w:rsid w:val="00CE6C96"/>
    <w:rsid w:val="00CE74AC"/>
    <w:rsid w:val="00CF1065"/>
    <w:rsid w:val="00CF12B8"/>
    <w:rsid w:val="00CF20D5"/>
    <w:rsid w:val="00CF2FC2"/>
    <w:rsid w:val="00CF3B37"/>
    <w:rsid w:val="00CF6032"/>
    <w:rsid w:val="00CF66E4"/>
    <w:rsid w:val="00CF7A43"/>
    <w:rsid w:val="00D02072"/>
    <w:rsid w:val="00D02432"/>
    <w:rsid w:val="00D03107"/>
    <w:rsid w:val="00D03396"/>
    <w:rsid w:val="00D038F7"/>
    <w:rsid w:val="00D05E54"/>
    <w:rsid w:val="00D05F88"/>
    <w:rsid w:val="00D06E3A"/>
    <w:rsid w:val="00D072B9"/>
    <w:rsid w:val="00D07D72"/>
    <w:rsid w:val="00D10671"/>
    <w:rsid w:val="00D12567"/>
    <w:rsid w:val="00D12585"/>
    <w:rsid w:val="00D127B4"/>
    <w:rsid w:val="00D14131"/>
    <w:rsid w:val="00D14334"/>
    <w:rsid w:val="00D14549"/>
    <w:rsid w:val="00D14C60"/>
    <w:rsid w:val="00D15038"/>
    <w:rsid w:val="00D158CF"/>
    <w:rsid w:val="00D17798"/>
    <w:rsid w:val="00D215AF"/>
    <w:rsid w:val="00D2296C"/>
    <w:rsid w:val="00D2364A"/>
    <w:rsid w:val="00D237A7"/>
    <w:rsid w:val="00D248EC"/>
    <w:rsid w:val="00D24C50"/>
    <w:rsid w:val="00D24E70"/>
    <w:rsid w:val="00D264B1"/>
    <w:rsid w:val="00D278D4"/>
    <w:rsid w:val="00D311AA"/>
    <w:rsid w:val="00D3130E"/>
    <w:rsid w:val="00D3265E"/>
    <w:rsid w:val="00D32D00"/>
    <w:rsid w:val="00D32FCC"/>
    <w:rsid w:val="00D33CE2"/>
    <w:rsid w:val="00D342A4"/>
    <w:rsid w:val="00D34707"/>
    <w:rsid w:val="00D34DFF"/>
    <w:rsid w:val="00D35A26"/>
    <w:rsid w:val="00D376C5"/>
    <w:rsid w:val="00D40F56"/>
    <w:rsid w:val="00D410A8"/>
    <w:rsid w:val="00D41A52"/>
    <w:rsid w:val="00D423F1"/>
    <w:rsid w:val="00D43575"/>
    <w:rsid w:val="00D436A7"/>
    <w:rsid w:val="00D441AF"/>
    <w:rsid w:val="00D447B3"/>
    <w:rsid w:val="00D460B9"/>
    <w:rsid w:val="00D475A0"/>
    <w:rsid w:val="00D47B84"/>
    <w:rsid w:val="00D47C6E"/>
    <w:rsid w:val="00D50C01"/>
    <w:rsid w:val="00D50CBF"/>
    <w:rsid w:val="00D50F2B"/>
    <w:rsid w:val="00D53E15"/>
    <w:rsid w:val="00D5552D"/>
    <w:rsid w:val="00D555E3"/>
    <w:rsid w:val="00D55868"/>
    <w:rsid w:val="00D57CBC"/>
    <w:rsid w:val="00D61501"/>
    <w:rsid w:val="00D61681"/>
    <w:rsid w:val="00D6172E"/>
    <w:rsid w:val="00D62A0F"/>
    <w:rsid w:val="00D63AD9"/>
    <w:rsid w:val="00D65BF6"/>
    <w:rsid w:val="00D66A52"/>
    <w:rsid w:val="00D66E05"/>
    <w:rsid w:val="00D6765E"/>
    <w:rsid w:val="00D70476"/>
    <w:rsid w:val="00D70CEC"/>
    <w:rsid w:val="00D70E0B"/>
    <w:rsid w:val="00D71259"/>
    <w:rsid w:val="00D74C27"/>
    <w:rsid w:val="00D760FF"/>
    <w:rsid w:val="00D7638A"/>
    <w:rsid w:val="00D76C67"/>
    <w:rsid w:val="00D7739E"/>
    <w:rsid w:val="00D77485"/>
    <w:rsid w:val="00D8096A"/>
    <w:rsid w:val="00D81155"/>
    <w:rsid w:val="00D81203"/>
    <w:rsid w:val="00D81F3A"/>
    <w:rsid w:val="00D82B88"/>
    <w:rsid w:val="00D82DD9"/>
    <w:rsid w:val="00D83FA2"/>
    <w:rsid w:val="00D8413E"/>
    <w:rsid w:val="00D84FB4"/>
    <w:rsid w:val="00D8538E"/>
    <w:rsid w:val="00D85A20"/>
    <w:rsid w:val="00D86856"/>
    <w:rsid w:val="00D86EB1"/>
    <w:rsid w:val="00D87996"/>
    <w:rsid w:val="00D87BEC"/>
    <w:rsid w:val="00D90E4B"/>
    <w:rsid w:val="00D950F3"/>
    <w:rsid w:val="00D96415"/>
    <w:rsid w:val="00D97306"/>
    <w:rsid w:val="00DA039B"/>
    <w:rsid w:val="00DA09B4"/>
    <w:rsid w:val="00DA1F25"/>
    <w:rsid w:val="00DA2EDA"/>
    <w:rsid w:val="00DA3E09"/>
    <w:rsid w:val="00DA40AC"/>
    <w:rsid w:val="00DA45F2"/>
    <w:rsid w:val="00DA5824"/>
    <w:rsid w:val="00DA58CA"/>
    <w:rsid w:val="00DA5AC5"/>
    <w:rsid w:val="00DA5BC9"/>
    <w:rsid w:val="00DA5DA4"/>
    <w:rsid w:val="00DA604C"/>
    <w:rsid w:val="00DA663A"/>
    <w:rsid w:val="00DA7126"/>
    <w:rsid w:val="00DB04BC"/>
    <w:rsid w:val="00DB0B93"/>
    <w:rsid w:val="00DB2307"/>
    <w:rsid w:val="00DB3A5A"/>
    <w:rsid w:val="00DB3C03"/>
    <w:rsid w:val="00DB3C75"/>
    <w:rsid w:val="00DB5188"/>
    <w:rsid w:val="00DB51B9"/>
    <w:rsid w:val="00DB6674"/>
    <w:rsid w:val="00DB66EA"/>
    <w:rsid w:val="00DC07A4"/>
    <w:rsid w:val="00DC0CE0"/>
    <w:rsid w:val="00DC0E96"/>
    <w:rsid w:val="00DC1169"/>
    <w:rsid w:val="00DC36F7"/>
    <w:rsid w:val="00DC4127"/>
    <w:rsid w:val="00DC424B"/>
    <w:rsid w:val="00DC4439"/>
    <w:rsid w:val="00DC4442"/>
    <w:rsid w:val="00DC596C"/>
    <w:rsid w:val="00DC5B69"/>
    <w:rsid w:val="00DC62A1"/>
    <w:rsid w:val="00DC7E79"/>
    <w:rsid w:val="00DD3169"/>
    <w:rsid w:val="00DD317A"/>
    <w:rsid w:val="00DD32F0"/>
    <w:rsid w:val="00DD4ED0"/>
    <w:rsid w:val="00DD5096"/>
    <w:rsid w:val="00DD6153"/>
    <w:rsid w:val="00DD6AB5"/>
    <w:rsid w:val="00DD6BCA"/>
    <w:rsid w:val="00DD71F7"/>
    <w:rsid w:val="00DE0129"/>
    <w:rsid w:val="00DE04F4"/>
    <w:rsid w:val="00DE0F3A"/>
    <w:rsid w:val="00DE1ED8"/>
    <w:rsid w:val="00DE3797"/>
    <w:rsid w:val="00DE3EC2"/>
    <w:rsid w:val="00DE587B"/>
    <w:rsid w:val="00DE6129"/>
    <w:rsid w:val="00DE74D6"/>
    <w:rsid w:val="00DE7780"/>
    <w:rsid w:val="00DF0360"/>
    <w:rsid w:val="00DF18BF"/>
    <w:rsid w:val="00DF2280"/>
    <w:rsid w:val="00DF230F"/>
    <w:rsid w:val="00DF3A17"/>
    <w:rsid w:val="00DF4DCF"/>
    <w:rsid w:val="00DF74F1"/>
    <w:rsid w:val="00E005C7"/>
    <w:rsid w:val="00E00BBC"/>
    <w:rsid w:val="00E01802"/>
    <w:rsid w:val="00E01C5E"/>
    <w:rsid w:val="00E01D25"/>
    <w:rsid w:val="00E01FD7"/>
    <w:rsid w:val="00E0239D"/>
    <w:rsid w:val="00E0356C"/>
    <w:rsid w:val="00E03D77"/>
    <w:rsid w:val="00E05B28"/>
    <w:rsid w:val="00E05C15"/>
    <w:rsid w:val="00E0631E"/>
    <w:rsid w:val="00E07012"/>
    <w:rsid w:val="00E076E7"/>
    <w:rsid w:val="00E07CBB"/>
    <w:rsid w:val="00E1061D"/>
    <w:rsid w:val="00E10C26"/>
    <w:rsid w:val="00E12796"/>
    <w:rsid w:val="00E12D40"/>
    <w:rsid w:val="00E133F4"/>
    <w:rsid w:val="00E13FDD"/>
    <w:rsid w:val="00E168F0"/>
    <w:rsid w:val="00E1707A"/>
    <w:rsid w:val="00E220E4"/>
    <w:rsid w:val="00E221B0"/>
    <w:rsid w:val="00E232BF"/>
    <w:rsid w:val="00E235C6"/>
    <w:rsid w:val="00E267D4"/>
    <w:rsid w:val="00E277D3"/>
    <w:rsid w:val="00E30770"/>
    <w:rsid w:val="00E3095D"/>
    <w:rsid w:val="00E3163E"/>
    <w:rsid w:val="00E31D3C"/>
    <w:rsid w:val="00E32355"/>
    <w:rsid w:val="00E325DF"/>
    <w:rsid w:val="00E32BDD"/>
    <w:rsid w:val="00E32DC5"/>
    <w:rsid w:val="00E347D7"/>
    <w:rsid w:val="00E36017"/>
    <w:rsid w:val="00E3696D"/>
    <w:rsid w:val="00E37605"/>
    <w:rsid w:val="00E376B1"/>
    <w:rsid w:val="00E40670"/>
    <w:rsid w:val="00E40B35"/>
    <w:rsid w:val="00E41672"/>
    <w:rsid w:val="00E41E58"/>
    <w:rsid w:val="00E444BD"/>
    <w:rsid w:val="00E452F2"/>
    <w:rsid w:val="00E457EE"/>
    <w:rsid w:val="00E4747E"/>
    <w:rsid w:val="00E500A5"/>
    <w:rsid w:val="00E50831"/>
    <w:rsid w:val="00E518F1"/>
    <w:rsid w:val="00E534DD"/>
    <w:rsid w:val="00E56260"/>
    <w:rsid w:val="00E57849"/>
    <w:rsid w:val="00E6014C"/>
    <w:rsid w:val="00E60B8D"/>
    <w:rsid w:val="00E6120B"/>
    <w:rsid w:val="00E61227"/>
    <w:rsid w:val="00E61741"/>
    <w:rsid w:val="00E62C70"/>
    <w:rsid w:val="00E638E3"/>
    <w:rsid w:val="00E63E9A"/>
    <w:rsid w:val="00E644FE"/>
    <w:rsid w:val="00E64E8C"/>
    <w:rsid w:val="00E654DE"/>
    <w:rsid w:val="00E656E2"/>
    <w:rsid w:val="00E658B3"/>
    <w:rsid w:val="00E6730C"/>
    <w:rsid w:val="00E707C8"/>
    <w:rsid w:val="00E70A7B"/>
    <w:rsid w:val="00E722C1"/>
    <w:rsid w:val="00E744F1"/>
    <w:rsid w:val="00E74A56"/>
    <w:rsid w:val="00E74B35"/>
    <w:rsid w:val="00E764B2"/>
    <w:rsid w:val="00E77152"/>
    <w:rsid w:val="00E80368"/>
    <w:rsid w:val="00E819FD"/>
    <w:rsid w:val="00E83769"/>
    <w:rsid w:val="00E83BBE"/>
    <w:rsid w:val="00E853FC"/>
    <w:rsid w:val="00E85970"/>
    <w:rsid w:val="00E85D18"/>
    <w:rsid w:val="00E86ECE"/>
    <w:rsid w:val="00E9121D"/>
    <w:rsid w:val="00E92C75"/>
    <w:rsid w:val="00E93315"/>
    <w:rsid w:val="00E9342C"/>
    <w:rsid w:val="00E9415A"/>
    <w:rsid w:val="00E94222"/>
    <w:rsid w:val="00E9471F"/>
    <w:rsid w:val="00E95D7E"/>
    <w:rsid w:val="00E961F5"/>
    <w:rsid w:val="00E97117"/>
    <w:rsid w:val="00E97B58"/>
    <w:rsid w:val="00EA08D9"/>
    <w:rsid w:val="00EA451B"/>
    <w:rsid w:val="00EA48C0"/>
    <w:rsid w:val="00EA53CB"/>
    <w:rsid w:val="00EA5920"/>
    <w:rsid w:val="00EA75BC"/>
    <w:rsid w:val="00EA78D3"/>
    <w:rsid w:val="00EB1106"/>
    <w:rsid w:val="00EB13A5"/>
    <w:rsid w:val="00EB1F8C"/>
    <w:rsid w:val="00EB21C1"/>
    <w:rsid w:val="00EB25FE"/>
    <w:rsid w:val="00EB26A1"/>
    <w:rsid w:val="00EB2AFC"/>
    <w:rsid w:val="00EB3974"/>
    <w:rsid w:val="00EB3C99"/>
    <w:rsid w:val="00EB4A7A"/>
    <w:rsid w:val="00EB4DD4"/>
    <w:rsid w:val="00EB6EF9"/>
    <w:rsid w:val="00EB7822"/>
    <w:rsid w:val="00EC000C"/>
    <w:rsid w:val="00EC1AD9"/>
    <w:rsid w:val="00EC1C3B"/>
    <w:rsid w:val="00EC384D"/>
    <w:rsid w:val="00EC5D1F"/>
    <w:rsid w:val="00EC668F"/>
    <w:rsid w:val="00ED0880"/>
    <w:rsid w:val="00ED0AF9"/>
    <w:rsid w:val="00ED11B8"/>
    <w:rsid w:val="00ED18C5"/>
    <w:rsid w:val="00ED1EC6"/>
    <w:rsid w:val="00ED274B"/>
    <w:rsid w:val="00ED327F"/>
    <w:rsid w:val="00ED6634"/>
    <w:rsid w:val="00ED6AB7"/>
    <w:rsid w:val="00ED6D5B"/>
    <w:rsid w:val="00ED7ABA"/>
    <w:rsid w:val="00ED7D15"/>
    <w:rsid w:val="00EE0806"/>
    <w:rsid w:val="00EE0CB1"/>
    <w:rsid w:val="00EE12EE"/>
    <w:rsid w:val="00EE197E"/>
    <w:rsid w:val="00EE1BF5"/>
    <w:rsid w:val="00EE1C42"/>
    <w:rsid w:val="00EE3059"/>
    <w:rsid w:val="00EE30C8"/>
    <w:rsid w:val="00EE3736"/>
    <w:rsid w:val="00EE492A"/>
    <w:rsid w:val="00EE4AD8"/>
    <w:rsid w:val="00EE5290"/>
    <w:rsid w:val="00EE5B56"/>
    <w:rsid w:val="00EE6029"/>
    <w:rsid w:val="00EE79C4"/>
    <w:rsid w:val="00EF031D"/>
    <w:rsid w:val="00EF164F"/>
    <w:rsid w:val="00EF3288"/>
    <w:rsid w:val="00EF6D8E"/>
    <w:rsid w:val="00EF7F90"/>
    <w:rsid w:val="00F01390"/>
    <w:rsid w:val="00F015DD"/>
    <w:rsid w:val="00F016B0"/>
    <w:rsid w:val="00F01A57"/>
    <w:rsid w:val="00F01F58"/>
    <w:rsid w:val="00F01F95"/>
    <w:rsid w:val="00F021E7"/>
    <w:rsid w:val="00F023DF"/>
    <w:rsid w:val="00F03149"/>
    <w:rsid w:val="00F03799"/>
    <w:rsid w:val="00F061E9"/>
    <w:rsid w:val="00F0686C"/>
    <w:rsid w:val="00F0788E"/>
    <w:rsid w:val="00F108AA"/>
    <w:rsid w:val="00F10C00"/>
    <w:rsid w:val="00F11C8E"/>
    <w:rsid w:val="00F13064"/>
    <w:rsid w:val="00F14731"/>
    <w:rsid w:val="00F15110"/>
    <w:rsid w:val="00F151D5"/>
    <w:rsid w:val="00F15529"/>
    <w:rsid w:val="00F15602"/>
    <w:rsid w:val="00F16A84"/>
    <w:rsid w:val="00F203A1"/>
    <w:rsid w:val="00F21267"/>
    <w:rsid w:val="00F22081"/>
    <w:rsid w:val="00F2214E"/>
    <w:rsid w:val="00F245B4"/>
    <w:rsid w:val="00F24C3B"/>
    <w:rsid w:val="00F250D7"/>
    <w:rsid w:val="00F25529"/>
    <w:rsid w:val="00F265D5"/>
    <w:rsid w:val="00F27393"/>
    <w:rsid w:val="00F31932"/>
    <w:rsid w:val="00F33B84"/>
    <w:rsid w:val="00F33CCA"/>
    <w:rsid w:val="00F34106"/>
    <w:rsid w:val="00F34C8E"/>
    <w:rsid w:val="00F35896"/>
    <w:rsid w:val="00F376C9"/>
    <w:rsid w:val="00F40968"/>
    <w:rsid w:val="00F40CBF"/>
    <w:rsid w:val="00F41802"/>
    <w:rsid w:val="00F420EB"/>
    <w:rsid w:val="00F450A5"/>
    <w:rsid w:val="00F45659"/>
    <w:rsid w:val="00F45868"/>
    <w:rsid w:val="00F50BD2"/>
    <w:rsid w:val="00F52918"/>
    <w:rsid w:val="00F543EA"/>
    <w:rsid w:val="00F5703A"/>
    <w:rsid w:val="00F57968"/>
    <w:rsid w:val="00F6052C"/>
    <w:rsid w:val="00F60683"/>
    <w:rsid w:val="00F617D4"/>
    <w:rsid w:val="00F61FDD"/>
    <w:rsid w:val="00F621D0"/>
    <w:rsid w:val="00F62CB8"/>
    <w:rsid w:val="00F62DC7"/>
    <w:rsid w:val="00F6357D"/>
    <w:rsid w:val="00F645E9"/>
    <w:rsid w:val="00F64694"/>
    <w:rsid w:val="00F64959"/>
    <w:rsid w:val="00F651D9"/>
    <w:rsid w:val="00F65627"/>
    <w:rsid w:val="00F656C9"/>
    <w:rsid w:val="00F677B7"/>
    <w:rsid w:val="00F67EC4"/>
    <w:rsid w:val="00F701D2"/>
    <w:rsid w:val="00F7092B"/>
    <w:rsid w:val="00F70ED9"/>
    <w:rsid w:val="00F7271C"/>
    <w:rsid w:val="00F73BDE"/>
    <w:rsid w:val="00F74190"/>
    <w:rsid w:val="00F74920"/>
    <w:rsid w:val="00F771DD"/>
    <w:rsid w:val="00F77B14"/>
    <w:rsid w:val="00F83585"/>
    <w:rsid w:val="00F84ED2"/>
    <w:rsid w:val="00F86172"/>
    <w:rsid w:val="00F864B3"/>
    <w:rsid w:val="00F86D12"/>
    <w:rsid w:val="00F87098"/>
    <w:rsid w:val="00F8783D"/>
    <w:rsid w:val="00F90E6D"/>
    <w:rsid w:val="00F91565"/>
    <w:rsid w:val="00F923D7"/>
    <w:rsid w:val="00F92B23"/>
    <w:rsid w:val="00F93CD3"/>
    <w:rsid w:val="00F94457"/>
    <w:rsid w:val="00F97608"/>
    <w:rsid w:val="00F97D39"/>
    <w:rsid w:val="00F97E69"/>
    <w:rsid w:val="00FA099D"/>
    <w:rsid w:val="00FA0B47"/>
    <w:rsid w:val="00FA14BD"/>
    <w:rsid w:val="00FA3140"/>
    <w:rsid w:val="00FA3BEB"/>
    <w:rsid w:val="00FA4AF9"/>
    <w:rsid w:val="00FA6452"/>
    <w:rsid w:val="00FA6631"/>
    <w:rsid w:val="00FA6798"/>
    <w:rsid w:val="00FA7F97"/>
    <w:rsid w:val="00FB0BCE"/>
    <w:rsid w:val="00FB11BF"/>
    <w:rsid w:val="00FB27DB"/>
    <w:rsid w:val="00FB2B44"/>
    <w:rsid w:val="00FB31DE"/>
    <w:rsid w:val="00FB5B1A"/>
    <w:rsid w:val="00FB6A48"/>
    <w:rsid w:val="00FB722E"/>
    <w:rsid w:val="00FC2105"/>
    <w:rsid w:val="00FC41A3"/>
    <w:rsid w:val="00FC420F"/>
    <w:rsid w:val="00FC59D7"/>
    <w:rsid w:val="00FC5A2D"/>
    <w:rsid w:val="00FC5D2B"/>
    <w:rsid w:val="00FC6F10"/>
    <w:rsid w:val="00FC7066"/>
    <w:rsid w:val="00FD0254"/>
    <w:rsid w:val="00FD0D1A"/>
    <w:rsid w:val="00FD1216"/>
    <w:rsid w:val="00FD1BE7"/>
    <w:rsid w:val="00FD2E24"/>
    <w:rsid w:val="00FD34D9"/>
    <w:rsid w:val="00FD38FC"/>
    <w:rsid w:val="00FD3B05"/>
    <w:rsid w:val="00FD3D9F"/>
    <w:rsid w:val="00FD6C20"/>
    <w:rsid w:val="00FD6E8E"/>
    <w:rsid w:val="00FD721B"/>
    <w:rsid w:val="00FE363F"/>
    <w:rsid w:val="00FE3CA7"/>
    <w:rsid w:val="00FE3EAD"/>
    <w:rsid w:val="00FE4B95"/>
    <w:rsid w:val="00FE4C5B"/>
    <w:rsid w:val="00FE4D93"/>
    <w:rsid w:val="00FE5282"/>
    <w:rsid w:val="00FE5FD1"/>
    <w:rsid w:val="00FF0967"/>
    <w:rsid w:val="00FF10BB"/>
    <w:rsid w:val="00FF1523"/>
    <w:rsid w:val="00FF22A0"/>
    <w:rsid w:val="00FF2F87"/>
    <w:rsid w:val="00FF301F"/>
    <w:rsid w:val="00FF509A"/>
    <w:rsid w:val="00FF7806"/>
    <w:rsid w:val="018ACF22"/>
    <w:rsid w:val="0243B8F4"/>
    <w:rsid w:val="03D905A4"/>
    <w:rsid w:val="04596D94"/>
    <w:rsid w:val="05522AE7"/>
    <w:rsid w:val="056197A7"/>
    <w:rsid w:val="069ECF22"/>
    <w:rsid w:val="0804E305"/>
    <w:rsid w:val="093A3B94"/>
    <w:rsid w:val="0A1ACC6B"/>
    <w:rsid w:val="0A1D0221"/>
    <w:rsid w:val="0AD50533"/>
    <w:rsid w:val="0DD26871"/>
    <w:rsid w:val="10AB5605"/>
    <w:rsid w:val="10DAB74B"/>
    <w:rsid w:val="10E959DB"/>
    <w:rsid w:val="1139DF94"/>
    <w:rsid w:val="11A2EEFE"/>
    <w:rsid w:val="11C51479"/>
    <w:rsid w:val="121A93DF"/>
    <w:rsid w:val="1264E570"/>
    <w:rsid w:val="1434AF50"/>
    <w:rsid w:val="1462A4ED"/>
    <w:rsid w:val="14C2DE93"/>
    <w:rsid w:val="151E9175"/>
    <w:rsid w:val="16124BBB"/>
    <w:rsid w:val="16F77257"/>
    <w:rsid w:val="17091CF8"/>
    <w:rsid w:val="17C18089"/>
    <w:rsid w:val="1803CD7F"/>
    <w:rsid w:val="18064913"/>
    <w:rsid w:val="18122ECD"/>
    <w:rsid w:val="18921DF0"/>
    <w:rsid w:val="18E64FB4"/>
    <w:rsid w:val="18F5AB6C"/>
    <w:rsid w:val="19CD1F36"/>
    <w:rsid w:val="1A63D32A"/>
    <w:rsid w:val="1AA38AF5"/>
    <w:rsid w:val="1C8A233C"/>
    <w:rsid w:val="1CC3A28F"/>
    <w:rsid w:val="1DD03FD3"/>
    <w:rsid w:val="1EB5A24D"/>
    <w:rsid w:val="1F667BA3"/>
    <w:rsid w:val="21D63EAF"/>
    <w:rsid w:val="224071CC"/>
    <w:rsid w:val="22A8BFB8"/>
    <w:rsid w:val="23D1DC3A"/>
    <w:rsid w:val="23FD3B8D"/>
    <w:rsid w:val="240E3510"/>
    <w:rsid w:val="25990BEE"/>
    <w:rsid w:val="271B821C"/>
    <w:rsid w:val="27EBA426"/>
    <w:rsid w:val="27FCF1DB"/>
    <w:rsid w:val="2851088A"/>
    <w:rsid w:val="2A77788B"/>
    <w:rsid w:val="2B418999"/>
    <w:rsid w:val="2B682B42"/>
    <w:rsid w:val="2C0321B5"/>
    <w:rsid w:val="2EC0B567"/>
    <w:rsid w:val="305017C0"/>
    <w:rsid w:val="32045702"/>
    <w:rsid w:val="321D9264"/>
    <w:rsid w:val="3312CDAD"/>
    <w:rsid w:val="3334E6BC"/>
    <w:rsid w:val="34986352"/>
    <w:rsid w:val="34D2533D"/>
    <w:rsid w:val="34D57336"/>
    <w:rsid w:val="35251A21"/>
    <w:rsid w:val="35C985F0"/>
    <w:rsid w:val="37811E69"/>
    <w:rsid w:val="390FC611"/>
    <w:rsid w:val="3914D09F"/>
    <w:rsid w:val="3ACC5D97"/>
    <w:rsid w:val="3AFF7F8D"/>
    <w:rsid w:val="3BB0F5B4"/>
    <w:rsid w:val="3BF53F13"/>
    <w:rsid w:val="3FA2EBD0"/>
    <w:rsid w:val="416B0363"/>
    <w:rsid w:val="422278CC"/>
    <w:rsid w:val="422EC8E6"/>
    <w:rsid w:val="422ED142"/>
    <w:rsid w:val="438E3BCE"/>
    <w:rsid w:val="45321934"/>
    <w:rsid w:val="46BCCBC4"/>
    <w:rsid w:val="474FE90C"/>
    <w:rsid w:val="47E94526"/>
    <w:rsid w:val="48AF73A4"/>
    <w:rsid w:val="491293DA"/>
    <w:rsid w:val="49F5AA7E"/>
    <w:rsid w:val="4AACF7ED"/>
    <w:rsid w:val="4B2090D9"/>
    <w:rsid w:val="4B32ACE4"/>
    <w:rsid w:val="4D666A32"/>
    <w:rsid w:val="4DBCD995"/>
    <w:rsid w:val="4F90D737"/>
    <w:rsid w:val="51499FDD"/>
    <w:rsid w:val="5161653F"/>
    <w:rsid w:val="54B7E0C9"/>
    <w:rsid w:val="55FD5B9B"/>
    <w:rsid w:val="5679B1A6"/>
    <w:rsid w:val="56822B59"/>
    <w:rsid w:val="5683568A"/>
    <w:rsid w:val="56A3FBD8"/>
    <w:rsid w:val="56F0DC97"/>
    <w:rsid w:val="572FA534"/>
    <w:rsid w:val="57711094"/>
    <w:rsid w:val="5773C73A"/>
    <w:rsid w:val="577DFA27"/>
    <w:rsid w:val="578C5BB7"/>
    <w:rsid w:val="57AD90B9"/>
    <w:rsid w:val="583D8FEC"/>
    <w:rsid w:val="59BE4D70"/>
    <w:rsid w:val="59CB72F4"/>
    <w:rsid w:val="59EB18AD"/>
    <w:rsid w:val="5A06124A"/>
    <w:rsid w:val="5A30E3A0"/>
    <w:rsid w:val="5A8B9B6A"/>
    <w:rsid w:val="5AE94D7F"/>
    <w:rsid w:val="5B1FD71F"/>
    <w:rsid w:val="5CD644DD"/>
    <w:rsid w:val="5DAC2444"/>
    <w:rsid w:val="5DFDDBEC"/>
    <w:rsid w:val="5F0C4A14"/>
    <w:rsid w:val="5F22179E"/>
    <w:rsid w:val="5F275399"/>
    <w:rsid w:val="5FFA413C"/>
    <w:rsid w:val="614FDBB0"/>
    <w:rsid w:val="61B3ECD7"/>
    <w:rsid w:val="61BC783C"/>
    <w:rsid w:val="62CA41AC"/>
    <w:rsid w:val="636E72A0"/>
    <w:rsid w:val="64708B5F"/>
    <w:rsid w:val="64D1D9B5"/>
    <w:rsid w:val="65F06415"/>
    <w:rsid w:val="66AB2A34"/>
    <w:rsid w:val="66BF5F6D"/>
    <w:rsid w:val="67AECE65"/>
    <w:rsid w:val="6893DC45"/>
    <w:rsid w:val="69635552"/>
    <w:rsid w:val="6A5C138A"/>
    <w:rsid w:val="6A7B1C54"/>
    <w:rsid w:val="6AE07535"/>
    <w:rsid w:val="6B36CE57"/>
    <w:rsid w:val="6C5E5DBB"/>
    <w:rsid w:val="6F2E1B67"/>
    <w:rsid w:val="6FB5C5B1"/>
    <w:rsid w:val="700CBB0B"/>
    <w:rsid w:val="70524CC6"/>
    <w:rsid w:val="712DD2CD"/>
    <w:rsid w:val="71EDA5CE"/>
    <w:rsid w:val="725E19B4"/>
    <w:rsid w:val="72ACE8BF"/>
    <w:rsid w:val="72AF18D3"/>
    <w:rsid w:val="72CF1E01"/>
    <w:rsid w:val="72F30E3F"/>
    <w:rsid w:val="743A0774"/>
    <w:rsid w:val="74C329F9"/>
    <w:rsid w:val="754A320C"/>
    <w:rsid w:val="7573FC53"/>
    <w:rsid w:val="757C872E"/>
    <w:rsid w:val="766F98FA"/>
    <w:rsid w:val="769B7CE9"/>
    <w:rsid w:val="7734FA8D"/>
    <w:rsid w:val="77BFD9B4"/>
    <w:rsid w:val="786B7A70"/>
    <w:rsid w:val="7A234DDF"/>
    <w:rsid w:val="7AB45BB3"/>
    <w:rsid w:val="7BF8A5EC"/>
    <w:rsid w:val="7CA1D2E6"/>
    <w:rsid w:val="7DBDBCB5"/>
    <w:rsid w:val="7DD5D264"/>
    <w:rsid w:val="7E40B469"/>
    <w:rsid w:val="7EBA3933"/>
    <w:rsid w:val="7FAB413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CE35"/>
  <w15:docId w15:val="{F85EE9E6-6915-41BB-9A29-50843300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79A"/>
    <w:pPr>
      <w:spacing w:line="240" w:lineRule="auto"/>
      <w:jc w:val="both"/>
    </w:pPr>
    <w:rPr>
      <w:rFonts w:ascii="Times New Roman" w:hAnsi="Times New Roman"/>
    </w:rPr>
  </w:style>
  <w:style w:type="paragraph" w:styleId="Heading1">
    <w:name w:val="heading 1"/>
    <w:basedOn w:val="Normal"/>
    <w:next w:val="Normal"/>
    <w:link w:val="Heading1Char"/>
    <w:autoRedefine/>
    <w:uiPriority w:val="9"/>
    <w:qFormat/>
    <w:rsid w:val="00D86EB1"/>
    <w:pPr>
      <w:keepNext/>
      <w:keepLines/>
      <w:numPr>
        <w:numId w:val="1"/>
      </w:numPr>
      <w:spacing w:before="200" w:after="120"/>
      <w:outlineLvl w:val="0"/>
    </w:pPr>
    <w:rPr>
      <w:rFonts w:eastAsiaTheme="majorEastAsia" w:cs="Times New Roman"/>
      <w:b/>
      <w:bCs/>
      <w:caps/>
      <w:sz w:val="28"/>
      <w:szCs w:val="28"/>
      <w:lang w:val="en-US"/>
    </w:rPr>
  </w:style>
  <w:style w:type="paragraph" w:styleId="Heading2">
    <w:name w:val="heading 2"/>
    <w:basedOn w:val="Normal"/>
    <w:next w:val="Normal"/>
    <w:link w:val="Heading2Char"/>
    <w:autoRedefine/>
    <w:uiPriority w:val="9"/>
    <w:unhideWhenUsed/>
    <w:qFormat/>
    <w:rsid w:val="002C18CF"/>
    <w:pPr>
      <w:numPr>
        <w:ilvl w:val="1"/>
        <w:numId w:val="1"/>
      </w:numPr>
      <w:spacing w:before="120" w:after="120"/>
      <w:ind w:left="811" w:hanging="811"/>
      <w:jc w:val="left"/>
      <w:outlineLvl w:val="1"/>
    </w:pPr>
    <w:rPr>
      <w:rFonts w:ascii="Times New Roman Bold" w:hAnsi="Times New Roman Bold" w:cs="Times New Roman"/>
      <w:b/>
      <w:caps/>
      <w:sz w:val="26"/>
      <w:szCs w:val="26"/>
    </w:rPr>
  </w:style>
  <w:style w:type="paragraph" w:styleId="Heading3">
    <w:name w:val="heading 3"/>
    <w:basedOn w:val="Normal"/>
    <w:next w:val="Normal"/>
    <w:link w:val="Heading3Char"/>
    <w:autoRedefine/>
    <w:uiPriority w:val="9"/>
    <w:unhideWhenUsed/>
    <w:qFormat/>
    <w:rsid w:val="00EA451B"/>
    <w:pPr>
      <w:keepNext/>
      <w:keepLines/>
      <w:spacing w:before="120" w:after="120"/>
      <w:outlineLvl w:val="2"/>
    </w:pPr>
    <w:rPr>
      <w:rFonts w:ascii="Times New Roman Bold" w:eastAsiaTheme="majorEastAsia" w:hAnsi="Times New Roman Bold" w:cs="Times New Roman"/>
      <w:b/>
      <w:bCs/>
      <w:sz w:val="24"/>
      <w:szCs w:val="28"/>
    </w:rPr>
  </w:style>
  <w:style w:type="paragraph" w:styleId="Heading4">
    <w:name w:val="heading 4"/>
    <w:basedOn w:val="Normal"/>
    <w:next w:val="Normal"/>
    <w:link w:val="Heading4Char"/>
    <w:autoRedefine/>
    <w:uiPriority w:val="9"/>
    <w:unhideWhenUsed/>
    <w:qFormat/>
    <w:rsid w:val="00666714"/>
    <w:pPr>
      <w:keepNext/>
      <w:keepLines/>
      <w:spacing w:before="120" w:after="120"/>
      <w:jc w:val="left"/>
      <w:outlineLvl w:val="3"/>
    </w:pPr>
    <w:rPr>
      <w:rFonts w:ascii="Times New Roman Bold" w:eastAsia="SimSun" w:hAnsi="Times New Roman Bold" w:cs="Times New Roman"/>
      <w:b/>
      <w:bCs/>
      <w:i/>
      <w:iCs/>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EB1"/>
    <w:rPr>
      <w:rFonts w:ascii="Times New Roman" w:eastAsiaTheme="majorEastAsia" w:hAnsi="Times New Roman" w:cs="Times New Roman"/>
      <w:b/>
      <w:bCs/>
      <w:caps/>
      <w:sz w:val="28"/>
      <w:szCs w:val="28"/>
      <w:lang w:val="en-US"/>
    </w:rPr>
  </w:style>
  <w:style w:type="character" w:customStyle="1" w:styleId="Heading2Char">
    <w:name w:val="Heading 2 Char"/>
    <w:basedOn w:val="DefaultParagraphFont"/>
    <w:link w:val="Heading2"/>
    <w:uiPriority w:val="9"/>
    <w:rsid w:val="002C18CF"/>
    <w:rPr>
      <w:rFonts w:ascii="Times New Roman Bold" w:hAnsi="Times New Roman Bold" w:cs="Times New Roman"/>
      <w:b/>
      <w:caps/>
      <w:sz w:val="26"/>
      <w:szCs w:val="26"/>
    </w:rPr>
  </w:style>
  <w:style w:type="character" w:customStyle="1" w:styleId="Heading3Char">
    <w:name w:val="Heading 3 Char"/>
    <w:basedOn w:val="DefaultParagraphFont"/>
    <w:link w:val="Heading3"/>
    <w:uiPriority w:val="9"/>
    <w:rsid w:val="00EA451B"/>
    <w:rPr>
      <w:rFonts w:ascii="Times New Roman Bold" w:eastAsiaTheme="majorEastAsia" w:hAnsi="Times New Roman Bold" w:cs="Times New Roman"/>
      <w:b/>
      <w:bCs/>
      <w:sz w:val="24"/>
      <w:szCs w:val="28"/>
    </w:rPr>
  </w:style>
  <w:style w:type="character" w:customStyle="1" w:styleId="Heading4Char">
    <w:name w:val="Heading 4 Char"/>
    <w:basedOn w:val="DefaultParagraphFont"/>
    <w:link w:val="Heading4"/>
    <w:uiPriority w:val="9"/>
    <w:rsid w:val="00666714"/>
    <w:rPr>
      <w:rFonts w:ascii="Times New Roman Bold" w:eastAsia="SimSun" w:hAnsi="Times New Roman Bold" w:cs="Times New Roman"/>
      <w:b/>
      <w:bCs/>
      <w:i/>
      <w:iCs/>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aliases w:val="Questions,List Paragraph1,Question,Paragrafo elenco"/>
    <w:basedOn w:val="Normal"/>
    <w:link w:val="ListParagraphChar"/>
    <w:uiPriority w:val="34"/>
    <w:qFormat/>
    <w:rsid w:val="001A3992"/>
    <w:pPr>
      <w:ind w:left="720"/>
      <w:contextualSpacing/>
    </w:pPr>
    <w:rPr>
      <w:rFonts w:ascii="Cambria" w:hAnsi="Cambria"/>
    </w:rPr>
  </w:style>
  <w:style w:type="character" w:styleId="CommentReference">
    <w:name w:val="annotation reference"/>
    <w:aliases w:val="Annotationmark"/>
    <w:basedOn w:val="DefaultParagraphFont"/>
    <w:unhideWhenUsed/>
    <w:rsid w:val="001A3992"/>
    <w:rPr>
      <w:sz w:val="16"/>
      <w:szCs w:val="16"/>
    </w:rPr>
  </w:style>
  <w:style w:type="paragraph" w:styleId="CommentText">
    <w:name w:val="annotation text"/>
    <w:aliases w:val="Annotationtext,Comment Text Char Char,Comment Text Char1 Char Char,Comment Text Char Char Char Char,Comment Text Char Char1,- H19,Comment Text Char2 Char,Car6"/>
    <w:basedOn w:val="Normal"/>
    <w:link w:val="CommentTextChar"/>
    <w:unhideWhenUsed/>
    <w:rsid w:val="001A3992"/>
    <w:rPr>
      <w:rFonts w:ascii="Cambria" w:hAnsi="Cambria"/>
      <w:sz w:val="20"/>
      <w:szCs w:val="20"/>
    </w:rPr>
  </w:style>
  <w:style w:type="character" w:customStyle="1" w:styleId="CommentTextChar">
    <w:name w:val="Comment Text Char"/>
    <w:aliases w:val="Annotationtext Char,Comment Text Char Char Char,Comment Text Char1 Char Char Char,Comment Text Char Char Char Char Char,Comment Text Char Char1 Char,- H19 Char,Comment Text Char2 Char Char,Car6 Char"/>
    <w:basedOn w:val="DefaultParagraphFont"/>
    <w:link w:val="CommentText"/>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1A3992"/>
    <w:pPr>
      <w:tabs>
        <w:tab w:val="center" w:pos="4513"/>
        <w:tab w:val="right" w:pos="9026"/>
      </w:tabs>
      <w:spacing w:after="0"/>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pPr>
  </w:style>
  <w:style w:type="character" w:customStyle="1" w:styleId="HeaderChar">
    <w:name w:val="Header Char"/>
    <w:basedOn w:val="DefaultParagraphFont"/>
    <w:link w:val="Header"/>
    <w:uiPriority w:val="99"/>
    <w:rsid w:val="00CA6CCF"/>
  </w:style>
  <w:style w:type="paragraph" w:styleId="CommentSubject">
    <w:name w:val="annotation subject"/>
    <w:basedOn w:val="CommentText"/>
    <w:next w:val="CommentText"/>
    <w:link w:val="CommentSubjectChar"/>
    <w:uiPriority w:val="99"/>
    <w:semiHidden/>
    <w:unhideWhenUsed/>
    <w:rsid w:val="00C046F7"/>
    <w:rPr>
      <w:rFonts w:asciiTheme="minorHAnsi" w:hAnsiTheme="minorHAnsi"/>
      <w:b/>
      <w:bCs/>
    </w:rPr>
  </w:style>
  <w:style w:type="character" w:customStyle="1" w:styleId="CommentSubjectChar">
    <w:name w:val="Comment Subject Char"/>
    <w:basedOn w:val="CommentTextChar"/>
    <w:link w:val="CommentSubject"/>
    <w:uiPriority w:val="99"/>
    <w:semiHidden/>
    <w:rsid w:val="00C046F7"/>
    <w:rPr>
      <w:rFonts w:ascii="Cambria" w:hAnsi="Cambria"/>
      <w:b/>
      <w:bCs/>
      <w:sz w:val="20"/>
      <w:szCs w:val="20"/>
    </w:rPr>
  </w:style>
  <w:style w:type="paragraph" w:customStyle="1" w:styleId="Default">
    <w:name w:val="Default"/>
    <w:rsid w:val="00C046F7"/>
    <w:pPr>
      <w:autoSpaceDE w:val="0"/>
      <w:autoSpaceDN w:val="0"/>
      <w:adjustRightInd w:val="0"/>
      <w:spacing w:after="0" w:line="240" w:lineRule="auto"/>
    </w:pPr>
    <w:rPr>
      <w:rFonts w:ascii="Cambria" w:hAnsi="Cambria" w:cs="Cambria"/>
      <w:color w:val="000000"/>
      <w:sz w:val="24"/>
      <w:szCs w:val="24"/>
      <w:lang w:val="en-US"/>
    </w:rPr>
  </w:style>
  <w:style w:type="paragraph" w:styleId="Title">
    <w:name w:val="Title"/>
    <w:basedOn w:val="Normal"/>
    <w:next w:val="Normal"/>
    <w:link w:val="TitleChar"/>
    <w:autoRedefine/>
    <w:uiPriority w:val="10"/>
    <w:qFormat/>
    <w:rsid w:val="00A8729D"/>
    <w:pPr>
      <w:spacing w:before="240" w:after="240"/>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A8729D"/>
    <w:rPr>
      <w:rFonts w:ascii="Times New Roman" w:eastAsiaTheme="majorEastAsia" w:hAnsi="Times New Roman" w:cstheme="majorBidi"/>
      <w:b/>
      <w:caps/>
      <w:spacing w:val="-10"/>
      <w:kern w:val="28"/>
      <w:sz w:val="32"/>
      <w:szCs w:val="56"/>
    </w:rPr>
  </w:style>
  <w:style w:type="paragraph" w:styleId="NoSpacing">
    <w:name w:val="No Spacing"/>
    <w:aliases w:val="Bullet"/>
    <w:autoRedefine/>
    <w:uiPriority w:val="1"/>
    <w:qFormat/>
    <w:rsid w:val="002C2EC2"/>
    <w:pPr>
      <w:spacing w:before="120" w:after="120" w:line="240" w:lineRule="auto"/>
    </w:pPr>
    <w:rPr>
      <w:rFonts w:ascii="Times New Roman" w:hAnsi="Times New Roman"/>
      <w:b/>
      <w:sz w:val="20"/>
    </w:rPr>
  </w:style>
  <w:style w:type="character" w:styleId="IntenseReference">
    <w:name w:val="Intense Reference"/>
    <w:basedOn w:val="DefaultParagraphFont"/>
    <w:uiPriority w:val="32"/>
    <w:rsid w:val="00570F78"/>
    <w:rPr>
      <w:b/>
      <w:bCs/>
      <w:smallCaps/>
      <w:color w:val="4F81BD" w:themeColor="accent1"/>
      <w:spacing w:val="5"/>
    </w:rPr>
  </w:style>
  <w:style w:type="character" w:styleId="Strong">
    <w:name w:val="Strong"/>
    <w:basedOn w:val="DefaultParagraphFont"/>
    <w:uiPriority w:val="22"/>
    <w:rsid w:val="007D33DA"/>
    <w:rPr>
      <w:b/>
      <w:bCs/>
    </w:rPr>
  </w:style>
  <w:style w:type="table" w:styleId="TableGrid">
    <w:name w:val="Table Grid"/>
    <w:basedOn w:val="TableNormal"/>
    <w:uiPriority w:val="59"/>
    <w:rsid w:val="007D3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638E3"/>
    <w:pPr>
      <w:ind w:left="720" w:hanging="720"/>
    </w:pPr>
    <w:rPr>
      <w:b/>
      <w:iCs/>
      <w:szCs w:val="18"/>
    </w:rPr>
  </w:style>
  <w:style w:type="paragraph" w:styleId="TOC1">
    <w:name w:val="toc 1"/>
    <w:basedOn w:val="Normal"/>
    <w:next w:val="Normal"/>
    <w:autoRedefine/>
    <w:uiPriority w:val="39"/>
    <w:semiHidden/>
    <w:unhideWhenUsed/>
    <w:rsid w:val="00C23890"/>
    <w:pPr>
      <w:tabs>
        <w:tab w:val="right" w:leader="dot" w:pos="9360"/>
      </w:tabs>
      <w:spacing w:after="100"/>
    </w:pPr>
  </w:style>
  <w:style w:type="paragraph" w:styleId="TOC2">
    <w:name w:val="toc 2"/>
    <w:basedOn w:val="Normal"/>
    <w:next w:val="Normal"/>
    <w:autoRedefine/>
    <w:uiPriority w:val="39"/>
    <w:semiHidden/>
    <w:unhideWhenUsed/>
    <w:rsid w:val="00C23890"/>
    <w:pPr>
      <w:tabs>
        <w:tab w:val="right" w:leader="dot" w:pos="9360"/>
      </w:tabs>
      <w:spacing w:after="100"/>
      <w:ind w:left="220"/>
    </w:pPr>
  </w:style>
  <w:style w:type="paragraph" w:styleId="TOC3">
    <w:name w:val="toc 3"/>
    <w:basedOn w:val="Normal"/>
    <w:next w:val="Normal"/>
    <w:autoRedefine/>
    <w:uiPriority w:val="39"/>
    <w:semiHidden/>
    <w:unhideWhenUsed/>
    <w:rsid w:val="00C23890"/>
    <w:pPr>
      <w:tabs>
        <w:tab w:val="right" w:leader="dot" w:pos="9360"/>
      </w:tabs>
      <w:spacing w:after="100"/>
      <w:ind w:left="440"/>
    </w:pPr>
  </w:style>
  <w:style w:type="character" w:customStyle="1" w:styleId="BMSTableNote">
    <w:name w:val="BMS Table Note"/>
    <w:rsid w:val="00196356"/>
    <w:rPr>
      <w:rFonts w:ascii="Times New Roman" w:hAnsi="Times New Roman"/>
      <w:dstrike w:val="0"/>
      <w:color w:val="auto"/>
      <w:sz w:val="28"/>
      <w:vertAlign w:val="superscript"/>
    </w:rPr>
  </w:style>
  <w:style w:type="paragraph" w:styleId="TOC4">
    <w:name w:val="toc 4"/>
    <w:basedOn w:val="Normal"/>
    <w:next w:val="Normal"/>
    <w:autoRedefine/>
    <w:uiPriority w:val="39"/>
    <w:semiHidden/>
    <w:unhideWhenUsed/>
    <w:rsid w:val="005B6900"/>
    <w:pPr>
      <w:tabs>
        <w:tab w:val="right" w:leader="dot" w:pos="9360"/>
      </w:tabs>
      <w:spacing w:after="100"/>
      <w:ind w:left="660"/>
    </w:pPr>
  </w:style>
  <w:style w:type="paragraph" w:customStyle="1" w:styleId="CiteItBibliographyTitle">
    <w:name w:val="CiteIt Bibliography Title"/>
    <w:basedOn w:val="Title"/>
    <w:link w:val="CiteItBibliographyTitleChar"/>
    <w:autoRedefine/>
    <w:qFormat/>
    <w:rsid w:val="00F83585"/>
    <w:rPr>
      <w:rFonts w:eastAsia="SimSun"/>
      <w:color w:val="0070C0"/>
    </w:rPr>
  </w:style>
  <w:style w:type="character" w:customStyle="1" w:styleId="CiteItBibliographyTitleChar">
    <w:name w:val="CiteIt Bibliography Title Char"/>
    <w:basedOn w:val="TitleChar"/>
    <w:link w:val="CiteItBibliographyTitle"/>
    <w:rsid w:val="00F83585"/>
    <w:rPr>
      <w:rFonts w:ascii="Times New Roman" w:eastAsia="SimSun" w:hAnsi="Times New Roman" w:cstheme="majorBidi"/>
      <w:b/>
      <w:caps/>
      <w:color w:val="0070C0"/>
      <w:spacing w:val="-10"/>
      <w:kern w:val="28"/>
      <w:sz w:val="32"/>
      <w:szCs w:val="56"/>
    </w:rPr>
  </w:style>
  <w:style w:type="character" w:customStyle="1" w:styleId="ListParagraphChar">
    <w:name w:val="List Paragraph Char"/>
    <w:aliases w:val="Questions Char,List Paragraph1 Char,Question Char,Paragrafo elenco Char"/>
    <w:link w:val="ListParagraph"/>
    <w:uiPriority w:val="34"/>
    <w:locked/>
    <w:rsid w:val="00833DEA"/>
    <w:rPr>
      <w:rFonts w:ascii="Cambria" w:hAnsi="Cambria"/>
    </w:rPr>
  </w:style>
  <w:style w:type="character" w:customStyle="1" w:styleId="cf01">
    <w:name w:val="cf01"/>
    <w:basedOn w:val="DefaultParagraphFont"/>
    <w:rsid w:val="0099475A"/>
    <w:rPr>
      <w:rFonts w:ascii="Segoe UI" w:hAnsi="Segoe UI" w:cs="Segoe UI" w:hint="default"/>
      <w:sz w:val="18"/>
      <w:szCs w:val="18"/>
    </w:rPr>
  </w:style>
  <w:style w:type="character" w:styleId="UnresolvedMention">
    <w:name w:val="Unresolved Mention"/>
    <w:basedOn w:val="DefaultParagraphFont"/>
    <w:uiPriority w:val="99"/>
    <w:semiHidden/>
    <w:unhideWhenUsed/>
    <w:rsid w:val="00CA31C5"/>
    <w:rPr>
      <w:color w:val="605E5C"/>
      <w:shd w:val="clear" w:color="auto" w:fill="E1DFDD"/>
    </w:rPr>
  </w:style>
  <w:style w:type="paragraph" w:customStyle="1" w:styleId="pf0">
    <w:name w:val="pf0"/>
    <w:basedOn w:val="Normal"/>
    <w:rsid w:val="001D48FE"/>
    <w:pPr>
      <w:spacing w:before="100" w:beforeAutospacing="1" w:after="100" w:afterAutospacing="1"/>
      <w:jc w:val="left"/>
    </w:pPr>
    <w:rPr>
      <w:rFonts w:eastAsia="Times New Roman" w:cs="Times New Roman"/>
      <w:sz w:val="24"/>
      <w:szCs w:val="24"/>
      <w:lang w:val="en-US"/>
    </w:rPr>
  </w:style>
  <w:style w:type="character" w:customStyle="1" w:styleId="cf11">
    <w:name w:val="cf11"/>
    <w:basedOn w:val="DefaultParagraphFont"/>
    <w:rsid w:val="001D48FE"/>
    <w:rPr>
      <w:rFonts w:ascii="Segoe UI" w:hAnsi="Segoe UI" w:cs="Segoe UI" w:hint="default"/>
      <w:i/>
      <w:iCs/>
      <w:sz w:val="18"/>
      <w:szCs w:val="18"/>
    </w:rPr>
  </w:style>
  <w:style w:type="character" w:customStyle="1" w:styleId="cf21">
    <w:name w:val="cf21"/>
    <w:basedOn w:val="DefaultParagraphFont"/>
    <w:rsid w:val="001D48FE"/>
    <w:rPr>
      <w:rFonts w:ascii="Segoe UI" w:hAnsi="Segoe UI" w:cs="Segoe UI" w:hint="default"/>
      <w:i/>
      <w:iCs/>
      <w:color w:val="FF0000"/>
      <w:sz w:val="18"/>
      <w:szCs w:val="18"/>
    </w:rPr>
  </w:style>
  <w:style w:type="paragraph" w:styleId="Revision">
    <w:name w:val="Revision"/>
    <w:hidden/>
    <w:uiPriority w:val="99"/>
    <w:semiHidden/>
    <w:rsid w:val="00C24166"/>
    <w:pPr>
      <w:spacing w:after="0" w:line="240" w:lineRule="auto"/>
    </w:pPr>
    <w:rPr>
      <w:rFonts w:ascii="Times New Roman" w:hAnsi="Times New Roman"/>
    </w:rPr>
  </w:style>
  <w:style w:type="character" w:customStyle="1" w:styleId="BMSInstructiontextUnhidden">
    <w:name w:val="BMS Instruction text Unhidden"/>
    <w:basedOn w:val="DefaultParagraphFont"/>
    <w:uiPriority w:val="1"/>
    <w:qFormat/>
    <w:rsid w:val="005636AD"/>
    <w:rPr>
      <w:rFonts w:ascii="Times New Roman" w:hAnsi="Times New Roman"/>
      <w:i w:val="0"/>
      <w:strike w:val="0"/>
      <w:dstrike w:val="0"/>
      <w:vanish w:val="0"/>
      <w:color w:val="FF0000"/>
      <w:sz w:val="24"/>
      <w:u w:val="none"/>
      <w:vertAlign w:val="baseline"/>
    </w:rPr>
  </w:style>
  <w:style w:type="paragraph" w:customStyle="1" w:styleId="BMSHeadingAnnex">
    <w:name w:val="BMS Heading Annex"/>
    <w:rsid w:val="008E284A"/>
    <w:pPr>
      <w:keepNext/>
      <w:keepLines/>
      <w:numPr>
        <w:numId w:val="43"/>
      </w:numPr>
      <w:tabs>
        <w:tab w:val="left" w:pos="2160"/>
      </w:tabs>
      <w:spacing w:before="120" w:after="120" w:line="240" w:lineRule="auto"/>
      <w:outlineLvl w:val="0"/>
    </w:pPr>
    <w:rPr>
      <w:rFonts w:ascii="Arial" w:eastAsia="MS Mincho" w:hAnsi="Arial" w:cs="Arial"/>
      <w:b/>
      <w:caps/>
      <w:sz w:val="24"/>
      <w:szCs w:val="20"/>
      <w:lang w:val="en-US"/>
    </w:rPr>
  </w:style>
  <w:style w:type="paragraph" w:customStyle="1" w:styleId="BMSHeadingTitle">
    <w:name w:val="BMS Heading Title"/>
    <w:link w:val="BMSHeadingTitleChar"/>
    <w:rsid w:val="005636AD"/>
    <w:pPr>
      <w:spacing w:after="120" w:line="264" w:lineRule="auto"/>
      <w:jc w:val="both"/>
    </w:pPr>
    <w:rPr>
      <w:rFonts w:ascii="Arial" w:eastAsia="MS Mincho" w:hAnsi="Arial" w:cs="Times New Roman"/>
      <w:color w:val="00B050"/>
      <w:sz w:val="20"/>
      <w:szCs w:val="20"/>
      <w:lang w:val="en-US"/>
    </w:rPr>
  </w:style>
  <w:style w:type="character" w:customStyle="1" w:styleId="BMSHeadingTitleChar">
    <w:name w:val="BMS Heading Title Char"/>
    <w:basedOn w:val="DefaultParagraphFont"/>
    <w:link w:val="BMSHeadingTitle"/>
    <w:rsid w:val="005636AD"/>
    <w:rPr>
      <w:rFonts w:ascii="Arial" w:eastAsia="MS Mincho" w:hAnsi="Arial" w:cs="Times New Roman"/>
      <w:color w:val="00B050"/>
      <w:sz w:val="20"/>
      <w:szCs w:val="20"/>
      <w:lang w:val="en-US"/>
    </w:rPr>
  </w:style>
  <w:style w:type="paragraph" w:customStyle="1" w:styleId="BMSHeadingCentered">
    <w:name w:val="BMS Heading Centered"/>
    <w:next w:val="Normal"/>
    <w:link w:val="BMSHeadingCenteredChar"/>
    <w:qFormat/>
    <w:rsid w:val="00471109"/>
    <w:pPr>
      <w:keepNext/>
      <w:spacing w:before="120" w:after="120" w:line="240" w:lineRule="auto"/>
      <w:jc w:val="center"/>
    </w:pPr>
    <w:rPr>
      <w:rFonts w:ascii="Arial" w:eastAsia="MS Mincho" w:hAnsi="Arial" w:cs="Arial"/>
      <w:b/>
      <w:caps/>
      <w:noProof/>
      <w:sz w:val="24"/>
      <w:szCs w:val="20"/>
      <w:lang w:val="en-US" w:eastAsia="ja-JP"/>
    </w:rPr>
  </w:style>
  <w:style w:type="character" w:customStyle="1" w:styleId="BMSHeadingCenteredChar">
    <w:name w:val="BMS Heading Centered Char"/>
    <w:link w:val="BMSHeadingCentered"/>
    <w:rsid w:val="00471109"/>
    <w:rPr>
      <w:rFonts w:ascii="Arial" w:eastAsia="MS Mincho" w:hAnsi="Arial" w:cs="Arial"/>
      <w:b/>
      <w:caps/>
      <w:noProof/>
      <w:sz w:val="24"/>
      <w:szCs w:val="20"/>
      <w:lang w:val="en-US" w:eastAsia="ja-JP"/>
    </w:rPr>
  </w:style>
  <w:style w:type="character" w:styleId="Mention">
    <w:name w:val="Mention"/>
    <w:basedOn w:val="DefaultParagraphFont"/>
    <w:uiPriority w:val="99"/>
    <w:unhideWhenUsed/>
    <w:rsid w:val="00EC1AD9"/>
    <w:rPr>
      <w:color w:val="2B579A"/>
      <w:shd w:val="clear" w:color="auto" w:fill="E1DFDD"/>
    </w:rPr>
  </w:style>
  <w:style w:type="character" w:customStyle="1" w:styleId="BMSSuperscript">
    <w:name w:val="BMS Superscript"/>
    <w:rsid w:val="00824BC7"/>
    <w:rPr>
      <w:sz w:val="28"/>
      <w:vertAlign w:val="superscript"/>
    </w:rPr>
  </w:style>
  <w:style w:type="paragraph" w:customStyle="1" w:styleId="BMSBodyText">
    <w:name w:val="BMS Body Text"/>
    <w:link w:val="BMSBodyTextChar"/>
    <w:qFormat/>
    <w:rsid w:val="009A42B5"/>
    <w:pPr>
      <w:spacing w:after="120" w:line="264" w:lineRule="auto"/>
      <w:jc w:val="both"/>
    </w:pPr>
    <w:rPr>
      <w:rFonts w:ascii="Times New Roman" w:eastAsia="Times New Roman" w:hAnsi="Times New Roman" w:cs="Times New Roman"/>
      <w:color w:val="000000"/>
      <w:sz w:val="24"/>
      <w:szCs w:val="20"/>
      <w:lang w:eastAsia="en-AU"/>
    </w:rPr>
  </w:style>
  <w:style w:type="character" w:customStyle="1" w:styleId="BMSBodyTextChar">
    <w:name w:val="BMS Body Text Char"/>
    <w:link w:val="BMSBodyText"/>
    <w:rsid w:val="009A42B5"/>
    <w:rPr>
      <w:rFonts w:ascii="Times New Roman" w:eastAsia="Times New Roman" w:hAnsi="Times New Roman" w:cs="Times New Roman"/>
      <w:color w:val="000000"/>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14055">
      <w:bodyDiv w:val="1"/>
      <w:marLeft w:val="0"/>
      <w:marRight w:val="0"/>
      <w:marTop w:val="0"/>
      <w:marBottom w:val="0"/>
      <w:divBdr>
        <w:top w:val="none" w:sz="0" w:space="0" w:color="auto"/>
        <w:left w:val="none" w:sz="0" w:space="0" w:color="auto"/>
        <w:bottom w:val="none" w:sz="0" w:space="0" w:color="auto"/>
        <w:right w:val="none" w:sz="0" w:space="0" w:color="auto"/>
      </w:divBdr>
    </w:div>
    <w:div w:id="568467851">
      <w:bodyDiv w:val="1"/>
      <w:marLeft w:val="0"/>
      <w:marRight w:val="0"/>
      <w:marTop w:val="0"/>
      <w:marBottom w:val="0"/>
      <w:divBdr>
        <w:top w:val="none" w:sz="0" w:space="0" w:color="auto"/>
        <w:left w:val="none" w:sz="0" w:space="0" w:color="auto"/>
        <w:bottom w:val="none" w:sz="0" w:space="0" w:color="auto"/>
        <w:right w:val="none" w:sz="0" w:space="0" w:color="auto"/>
      </w:divBdr>
    </w:div>
    <w:div w:id="708646905">
      <w:bodyDiv w:val="1"/>
      <w:marLeft w:val="0"/>
      <w:marRight w:val="0"/>
      <w:marTop w:val="0"/>
      <w:marBottom w:val="0"/>
      <w:divBdr>
        <w:top w:val="none" w:sz="0" w:space="0" w:color="auto"/>
        <w:left w:val="none" w:sz="0" w:space="0" w:color="auto"/>
        <w:bottom w:val="none" w:sz="0" w:space="0" w:color="auto"/>
        <w:right w:val="none" w:sz="0" w:space="0" w:color="auto"/>
      </w:divBdr>
    </w:div>
    <w:div w:id="1524200222">
      <w:bodyDiv w:val="1"/>
      <w:marLeft w:val="0"/>
      <w:marRight w:val="0"/>
      <w:marTop w:val="0"/>
      <w:marBottom w:val="0"/>
      <w:divBdr>
        <w:top w:val="none" w:sz="0" w:space="0" w:color="auto"/>
        <w:left w:val="none" w:sz="0" w:space="0" w:color="auto"/>
        <w:bottom w:val="none" w:sz="0" w:space="0" w:color="auto"/>
        <w:right w:val="none" w:sz="0" w:space="0" w:color="auto"/>
      </w:divBdr>
    </w:div>
    <w:div w:id="213845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reporting-proble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MS\Core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8a46b709-8ecf-42fd-81b0-d282e67de71a" xsi:nil="true"/>
    <MediaServiceFastMetadata xmlns="8a46b709-8ecf-42fd-81b0-d282e67de71a" xsi:nil="true"/>
    <MediaServiceAutoKeyPoints xmlns="8a46b709-8ecf-42fd-81b0-d282e67de71a" xsi:nil="true"/>
    <MediaServiceMetadata xmlns="8a46b709-8ecf-42fd-81b0-d282e67de71a" xsi:nil="true"/>
    <lcf76f155ced4ddcb4097134ff3c332f xmlns="8a46b709-8ecf-42fd-81b0-d282e67de71a">
      <Terms xmlns="http://schemas.microsoft.com/office/infopath/2007/PartnerControls"/>
    </lcf76f155ced4ddcb4097134ff3c332f>
    <TaxCatchAll xmlns="4212292e-fee3-4e58-b645-17c47387aa0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78E1642ACF814DAE5C915C9F90BBB2" ma:contentTypeVersion="17" ma:contentTypeDescription="Create a new document." ma:contentTypeScope="" ma:versionID="d2d9d5e7c85f0037f699b96d2c7400f6">
  <xsd:schema xmlns:xsd="http://www.w3.org/2001/XMLSchema" xmlns:xs="http://www.w3.org/2001/XMLSchema" xmlns:p="http://schemas.microsoft.com/office/2006/metadata/properties" xmlns:ns2="8a46b709-8ecf-42fd-81b0-d282e67de71a" xmlns:ns3="4212292e-fee3-4e58-b645-17c47387aa0e" targetNamespace="http://schemas.microsoft.com/office/2006/metadata/properties" ma:root="true" ma:fieldsID="519cae3187f22150e1be8f6fe2c312fd" ns2:_="" ns3:_="">
    <xsd:import namespace="8a46b709-8ecf-42fd-81b0-d282e67de71a"/>
    <xsd:import namespace="4212292e-fee3-4e58-b645-17c47387a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6b709-8ecf-42fd-81b0-d282e67de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2292e-fee3-4e58-b645-17c47387aa0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3151a9-9420-42c1-97d3-0cfd098718a8}" ma:internalName="TaxCatchAll" ma:showField="CatchAllData" ma:web="4212292e-fee3-4e58-b645-17c47387a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670FF-C8D8-40DF-B8CA-5382F69E1C40}">
  <ds:schemaRefs>
    <ds:schemaRef ds:uri="http://schemas.microsoft.com/sharepoint/v3/contenttype/forms"/>
  </ds:schemaRefs>
</ds:datastoreItem>
</file>

<file path=customXml/itemProps2.xml><?xml version="1.0" encoding="utf-8"?>
<ds:datastoreItem xmlns:ds="http://schemas.openxmlformats.org/officeDocument/2006/customXml" ds:itemID="{E450888C-5377-4602-882E-BFFCC21A9BA0}">
  <ds:schemaRefs>
    <ds:schemaRef ds:uri="http://schemas.openxmlformats.org/officeDocument/2006/bibliography"/>
  </ds:schemaRefs>
</ds:datastoreItem>
</file>

<file path=customXml/itemProps3.xml><?xml version="1.0" encoding="utf-8"?>
<ds:datastoreItem xmlns:ds="http://schemas.openxmlformats.org/officeDocument/2006/customXml" ds:itemID="{9AEA0F35-5A72-472E-A82D-DAA19B3025E9}">
  <ds:schemaRefs>
    <ds:schemaRef ds:uri="http://schemas.microsoft.com/office/2006/metadata/properties"/>
    <ds:schemaRef ds:uri="http://schemas.microsoft.com/office/infopath/2007/PartnerControls"/>
    <ds:schemaRef ds:uri="8a46b709-8ecf-42fd-81b0-d282e67de71a"/>
    <ds:schemaRef ds:uri="4212292e-fee3-4e58-b645-17c47387aa0e"/>
  </ds:schemaRefs>
</ds:datastoreItem>
</file>

<file path=customXml/itemProps4.xml><?xml version="1.0" encoding="utf-8"?>
<ds:datastoreItem xmlns:ds="http://schemas.openxmlformats.org/officeDocument/2006/customXml" ds:itemID="{F8EA74C9-8E9B-416B-BFEA-44E685103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6b709-8ecf-42fd-81b0-d282e67de71a"/>
    <ds:schemaRef ds:uri="4212292e-fee3-4e58-b645-17c47387a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CoreTemplate.dotm</Template>
  <TotalTime>10</TotalTime>
  <Pages>20</Pages>
  <Words>8346</Words>
  <Characters>46573</Characters>
  <Application>Microsoft Office Word</Application>
  <DocSecurity>0</DocSecurity>
  <Lines>1194</Lines>
  <Paragraphs>844</Paragraphs>
  <ScaleCrop>false</ScaleCrop>
  <HeadingPairs>
    <vt:vector size="2" baseType="variant">
      <vt:variant>
        <vt:lpstr>Title</vt:lpstr>
      </vt:variant>
      <vt:variant>
        <vt:i4>1</vt:i4>
      </vt:variant>
    </vt:vector>
  </HeadingPairs>
  <TitlesOfParts>
    <vt:vector size="1" baseType="lpstr">
      <vt:lpstr/>
    </vt:vector>
  </TitlesOfParts>
  <Company>Bristol-Myers Squibb Company</Company>
  <LinksUpToDate>false</LinksUpToDate>
  <CharactersWithSpaces>54075</CharactersWithSpaces>
  <SharedDoc>false</SharedDoc>
  <HLinks>
    <vt:vector size="78" baseType="variant">
      <vt:variant>
        <vt:i4>5570626</vt:i4>
      </vt:variant>
      <vt:variant>
        <vt:i4>0</vt:i4>
      </vt:variant>
      <vt:variant>
        <vt:i4>0</vt:i4>
      </vt:variant>
      <vt:variant>
        <vt:i4>5</vt:i4>
      </vt:variant>
      <vt:variant>
        <vt:lpwstr>https://www.tga.gov.au/reporting-problems</vt:lpwstr>
      </vt:variant>
      <vt:variant>
        <vt:lpwstr/>
      </vt:variant>
      <vt:variant>
        <vt:i4>6422534</vt:i4>
      </vt:variant>
      <vt:variant>
        <vt:i4>33</vt:i4>
      </vt:variant>
      <vt:variant>
        <vt:i4>0</vt:i4>
      </vt:variant>
      <vt:variant>
        <vt:i4>5</vt:i4>
      </vt:variant>
      <vt:variant>
        <vt:lpwstr>mailto:jun.he@bms.com</vt:lpwstr>
      </vt:variant>
      <vt:variant>
        <vt:lpwstr/>
      </vt:variant>
      <vt:variant>
        <vt:i4>6422534</vt:i4>
      </vt:variant>
      <vt:variant>
        <vt:i4>30</vt:i4>
      </vt:variant>
      <vt:variant>
        <vt:i4>0</vt:i4>
      </vt:variant>
      <vt:variant>
        <vt:i4>5</vt:i4>
      </vt:variant>
      <vt:variant>
        <vt:lpwstr>mailto:jun.he@bms.com</vt:lpwstr>
      </vt:variant>
      <vt:variant>
        <vt:lpwstr/>
      </vt:variant>
      <vt:variant>
        <vt:i4>6422534</vt:i4>
      </vt:variant>
      <vt:variant>
        <vt:i4>27</vt:i4>
      </vt:variant>
      <vt:variant>
        <vt:i4>0</vt:i4>
      </vt:variant>
      <vt:variant>
        <vt:i4>5</vt:i4>
      </vt:variant>
      <vt:variant>
        <vt:lpwstr>mailto:jun.he@bms.com</vt:lpwstr>
      </vt:variant>
      <vt:variant>
        <vt:lpwstr/>
      </vt:variant>
      <vt:variant>
        <vt:i4>6488078</vt:i4>
      </vt:variant>
      <vt:variant>
        <vt:i4>24</vt:i4>
      </vt:variant>
      <vt:variant>
        <vt:i4>0</vt:i4>
      </vt:variant>
      <vt:variant>
        <vt:i4>5</vt:i4>
      </vt:variant>
      <vt:variant>
        <vt:lpwstr>mailto:ankushnarayan.more@bms.com</vt:lpwstr>
      </vt:variant>
      <vt:variant>
        <vt:lpwstr/>
      </vt:variant>
      <vt:variant>
        <vt:i4>5242981</vt:i4>
      </vt:variant>
      <vt:variant>
        <vt:i4>21</vt:i4>
      </vt:variant>
      <vt:variant>
        <vt:i4>0</vt:i4>
      </vt:variant>
      <vt:variant>
        <vt:i4>5</vt:i4>
      </vt:variant>
      <vt:variant>
        <vt:lpwstr>https://caraweb.bms.com/cara/index.jsp</vt:lpwstr>
      </vt:variant>
      <vt:variant>
        <vt:lpwstr>PRISM%5BDefault%5D/NODE_MY_DESK/NODE_FAVORITES/0c0f59b183c62989/0b0f59b183e8eab9/0b0f59b183ead5b7/0b0f59b18408573d/0b0f59b18408573e/0b0f59b18408573f/0b0f59b184085d9a</vt:lpwstr>
      </vt:variant>
      <vt:variant>
        <vt:i4>6488078</vt:i4>
      </vt:variant>
      <vt:variant>
        <vt:i4>18</vt:i4>
      </vt:variant>
      <vt:variant>
        <vt:i4>0</vt:i4>
      </vt:variant>
      <vt:variant>
        <vt:i4>5</vt:i4>
      </vt:variant>
      <vt:variant>
        <vt:lpwstr>mailto:ankushnarayan.more@bms.com</vt:lpwstr>
      </vt:variant>
      <vt:variant>
        <vt:lpwstr/>
      </vt:variant>
      <vt:variant>
        <vt:i4>2883658</vt:i4>
      </vt:variant>
      <vt:variant>
        <vt:i4>15</vt:i4>
      </vt:variant>
      <vt:variant>
        <vt:i4>0</vt:i4>
      </vt:variant>
      <vt:variant>
        <vt:i4>5</vt:i4>
      </vt:variant>
      <vt:variant>
        <vt:lpwstr>mailto:waizin.wong@bms.com</vt:lpwstr>
      </vt:variant>
      <vt:variant>
        <vt:lpwstr/>
      </vt:variant>
      <vt:variant>
        <vt:i4>6488078</vt:i4>
      </vt:variant>
      <vt:variant>
        <vt:i4>12</vt:i4>
      </vt:variant>
      <vt:variant>
        <vt:i4>0</vt:i4>
      </vt:variant>
      <vt:variant>
        <vt:i4>5</vt:i4>
      </vt:variant>
      <vt:variant>
        <vt:lpwstr>mailto:ankushnarayan.more@bms.com</vt:lpwstr>
      </vt:variant>
      <vt:variant>
        <vt:lpwstr/>
      </vt:variant>
      <vt:variant>
        <vt:i4>6422534</vt:i4>
      </vt:variant>
      <vt:variant>
        <vt:i4>9</vt:i4>
      </vt:variant>
      <vt:variant>
        <vt:i4>0</vt:i4>
      </vt:variant>
      <vt:variant>
        <vt:i4>5</vt:i4>
      </vt:variant>
      <vt:variant>
        <vt:lpwstr>mailto:jun.he@bms.com</vt:lpwstr>
      </vt:variant>
      <vt:variant>
        <vt:lpwstr/>
      </vt:variant>
      <vt:variant>
        <vt:i4>6488078</vt:i4>
      </vt:variant>
      <vt:variant>
        <vt:i4>6</vt:i4>
      </vt:variant>
      <vt:variant>
        <vt:i4>0</vt:i4>
      </vt:variant>
      <vt:variant>
        <vt:i4>5</vt:i4>
      </vt:variant>
      <vt:variant>
        <vt:lpwstr>mailto:ankushnarayan.more@bms.com</vt:lpwstr>
      </vt:variant>
      <vt:variant>
        <vt:lpwstr/>
      </vt:variant>
      <vt:variant>
        <vt:i4>6422534</vt:i4>
      </vt:variant>
      <vt:variant>
        <vt:i4>3</vt:i4>
      </vt:variant>
      <vt:variant>
        <vt:i4>0</vt:i4>
      </vt:variant>
      <vt:variant>
        <vt:i4>5</vt:i4>
      </vt:variant>
      <vt:variant>
        <vt:lpwstr>mailto:jun.he@bms.com</vt:lpwstr>
      </vt:variant>
      <vt:variant>
        <vt:lpwstr/>
      </vt:variant>
      <vt:variant>
        <vt:i4>2883658</vt:i4>
      </vt:variant>
      <vt:variant>
        <vt:i4>0</vt:i4>
      </vt:variant>
      <vt:variant>
        <vt:i4>0</vt:i4>
      </vt:variant>
      <vt:variant>
        <vt:i4>5</vt:i4>
      </vt:variant>
      <vt:variant>
        <vt:lpwstr>mailto:waizin.wong@bms.com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Inrebic</dc:title>
  <dc:subject>Prescription medicines</dc:subject>
  <dc:creator>Bristol Myer Squibb Australia Pty Ltd</dc:creator>
  <cp:keywords/>
  <dc:description/>
  <cp:lastPrinted>2025-01-30T04:48:00Z</cp:lastPrinted>
  <dcterms:created xsi:type="dcterms:W3CDTF">2025-08-04T05:16:00Z</dcterms:created>
  <dcterms:modified xsi:type="dcterms:W3CDTF">2025-08-04T05:28:00Z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Title">
    <vt:lpwstr/>
  </property>
  <property fmtid="{D5CDD505-2E9C-101B-9397-08002B2CF9AE}" pid="3" name="MediaServiceImageTags">
    <vt:lpwstr/>
  </property>
</Properties>
</file>