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2873C55C" w:rsidR="00F02AEC" w:rsidRPr="00215D48" w:rsidRDefault="00346EC2" w:rsidP="007452E8">
            <w:pPr>
              <w:pStyle w:val="Title"/>
            </w:pPr>
            <w:r w:rsidRPr="00346EC2">
              <w:t xml:space="preserve">Australian Public Assessment Report for </w:t>
            </w:r>
            <w:r w:rsidR="00FE4C7D" w:rsidRPr="00FE4C7D">
              <w:t>F</w:t>
            </w:r>
            <w:r w:rsidR="00FE4C7D">
              <w:t>ruzaqla</w:t>
            </w:r>
          </w:p>
        </w:tc>
      </w:tr>
      <w:tr w:rsidR="00F02AEC" w:rsidRPr="00215D48" w14:paraId="318A40A3" w14:textId="77777777" w:rsidTr="00346EC2">
        <w:trPr>
          <w:trHeight w:val="995"/>
        </w:trPr>
        <w:tc>
          <w:tcPr>
            <w:tcW w:w="8720" w:type="dxa"/>
          </w:tcPr>
          <w:p w14:paraId="1AA7C701" w14:textId="52AB53A7" w:rsidR="00F02AEC" w:rsidRPr="00215D48" w:rsidRDefault="00346EC2" w:rsidP="007452E8">
            <w:pPr>
              <w:pStyle w:val="Subtitle"/>
              <w:ind w:left="0"/>
            </w:pPr>
            <w:r w:rsidRPr="00346EC2">
              <w:t xml:space="preserve">Active ingredient: </w:t>
            </w:r>
            <w:bookmarkStart w:id="0" w:name="_Hlk206574098"/>
            <w:r w:rsidR="00E65C28">
              <w:t>F</w:t>
            </w:r>
            <w:r w:rsidR="00494402" w:rsidRPr="00494402">
              <w:t>ruquintinib</w:t>
            </w:r>
            <w:bookmarkEnd w:id="0"/>
          </w:p>
        </w:tc>
      </w:tr>
      <w:tr w:rsidR="00346EC2" w:rsidRPr="00215D48" w14:paraId="362CCAE4" w14:textId="77777777" w:rsidTr="007452E8">
        <w:trPr>
          <w:trHeight w:val="1916"/>
        </w:trPr>
        <w:tc>
          <w:tcPr>
            <w:tcW w:w="8720" w:type="dxa"/>
          </w:tcPr>
          <w:p w14:paraId="709C45C0" w14:textId="6401EB0D" w:rsidR="00346EC2" w:rsidRPr="00215D48" w:rsidRDefault="00346EC2" w:rsidP="007452E8">
            <w:pPr>
              <w:pStyle w:val="Subtitle"/>
              <w:ind w:left="0"/>
            </w:pPr>
            <w:r w:rsidRPr="00346EC2">
              <w:t xml:space="preserve">Sponsor: </w:t>
            </w:r>
            <w:bookmarkStart w:id="1" w:name="_Hlk206574109"/>
            <w:r w:rsidR="001A7D08" w:rsidRPr="001A7D08">
              <w:t>Takeda Pharmaceuticals Australia Pty Ltd</w:t>
            </w:r>
            <w:bookmarkEnd w:id="1"/>
          </w:p>
        </w:tc>
      </w:tr>
      <w:tr w:rsidR="00F02AEC" w:rsidRPr="00215D48" w14:paraId="37F2AA1F" w14:textId="77777777" w:rsidTr="007452E8">
        <w:tc>
          <w:tcPr>
            <w:tcW w:w="8720" w:type="dxa"/>
          </w:tcPr>
          <w:p w14:paraId="1FDE8DCD" w14:textId="06CDE445" w:rsidR="00F02AEC" w:rsidRPr="00215D48" w:rsidRDefault="004D3928" w:rsidP="007452E8">
            <w:pPr>
              <w:pStyle w:val="Date"/>
            </w:pPr>
            <w:r>
              <w:t>August</w:t>
            </w:r>
            <w:r w:rsidR="00F02AEC" w:rsidRPr="00215D48">
              <w:t xml:space="preserve"> </w:t>
            </w:r>
            <w:r w:rsidR="00FD0A67">
              <w:t>2025</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0F39F256"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A63C07">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ACF79C9"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457F8006" w:rsidR="00175CD8" w:rsidRPr="00346EC2" w:rsidRDefault="00F02AEC" w:rsidP="00346EC2">
      <w:pPr>
        <w:pStyle w:val="LegalCopy"/>
        <w:rPr>
          <w:rFonts w:cs="Arial"/>
        </w:rPr>
      </w:pPr>
      <w:r w:rsidRPr="00215D48">
        <w:rPr>
          <w:rFonts w:cs="Arial"/>
        </w:rPr>
        <w:t>© Commonwealth of Australia 20</w:t>
      </w:r>
      <w:r>
        <w:rPr>
          <w:rFonts w:cs="Arial"/>
        </w:rPr>
        <w:t>2</w:t>
      </w:r>
      <w:r w:rsidR="00FD0A67">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4D0A9469" w14:textId="2D335735" w:rsidR="00E21026"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06082843" w:history="1">
            <w:r w:rsidR="00E21026" w:rsidRPr="00F13F92">
              <w:rPr>
                <w:rStyle w:val="Hyperlink"/>
                <w:noProof/>
              </w:rPr>
              <w:t>List of abbreviations</w:t>
            </w:r>
            <w:r w:rsidR="00E21026">
              <w:rPr>
                <w:noProof/>
                <w:webHidden/>
              </w:rPr>
              <w:tab/>
            </w:r>
            <w:r w:rsidR="00E21026">
              <w:rPr>
                <w:noProof/>
                <w:webHidden/>
              </w:rPr>
              <w:fldChar w:fldCharType="begin"/>
            </w:r>
            <w:r w:rsidR="00E21026">
              <w:rPr>
                <w:noProof/>
                <w:webHidden/>
              </w:rPr>
              <w:instrText xml:space="preserve"> PAGEREF _Toc206082843 \h </w:instrText>
            </w:r>
            <w:r w:rsidR="00E21026">
              <w:rPr>
                <w:noProof/>
                <w:webHidden/>
              </w:rPr>
            </w:r>
            <w:r w:rsidR="00E21026">
              <w:rPr>
                <w:noProof/>
                <w:webHidden/>
              </w:rPr>
              <w:fldChar w:fldCharType="separate"/>
            </w:r>
            <w:r w:rsidR="00E21026">
              <w:rPr>
                <w:noProof/>
                <w:webHidden/>
              </w:rPr>
              <w:t>5</w:t>
            </w:r>
            <w:r w:rsidR="00E21026">
              <w:rPr>
                <w:noProof/>
                <w:webHidden/>
              </w:rPr>
              <w:fldChar w:fldCharType="end"/>
            </w:r>
          </w:hyperlink>
        </w:p>
        <w:p w14:paraId="29EC5D0F" w14:textId="54254595" w:rsidR="00E21026" w:rsidRDefault="00E2102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82844" w:history="1">
            <w:r w:rsidRPr="00F13F92">
              <w:rPr>
                <w:rStyle w:val="Hyperlink"/>
                <w:noProof/>
              </w:rPr>
              <w:t>Product submission</w:t>
            </w:r>
            <w:r>
              <w:rPr>
                <w:noProof/>
                <w:webHidden/>
              </w:rPr>
              <w:tab/>
            </w:r>
            <w:r>
              <w:rPr>
                <w:noProof/>
                <w:webHidden/>
              </w:rPr>
              <w:fldChar w:fldCharType="begin"/>
            </w:r>
            <w:r>
              <w:rPr>
                <w:noProof/>
                <w:webHidden/>
              </w:rPr>
              <w:instrText xml:space="preserve"> PAGEREF _Toc206082844 \h </w:instrText>
            </w:r>
            <w:r>
              <w:rPr>
                <w:noProof/>
                <w:webHidden/>
              </w:rPr>
            </w:r>
            <w:r>
              <w:rPr>
                <w:noProof/>
                <w:webHidden/>
              </w:rPr>
              <w:fldChar w:fldCharType="separate"/>
            </w:r>
            <w:r>
              <w:rPr>
                <w:noProof/>
                <w:webHidden/>
              </w:rPr>
              <w:t>7</w:t>
            </w:r>
            <w:r>
              <w:rPr>
                <w:noProof/>
                <w:webHidden/>
              </w:rPr>
              <w:fldChar w:fldCharType="end"/>
            </w:r>
          </w:hyperlink>
        </w:p>
        <w:p w14:paraId="6BBAC4EA" w14:textId="3F8B0563"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45" w:history="1">
            <w:r w:rsidRPr="00F13F92">
              <w:rPr>
                <w:rStyle w:val="Hyperlink"/>
                <w:noProof/>
                <w:lang w:eastAsia="en-AU"/>
              </w:rPr>
              <w:t>Submission details</w:t>
            </w:r>
            <w:r>
              <w:rPr>
                <w:noProof/>
                <w:webHidden/>
              </w:rPr>
              <w:tab/>
            </w:r>
            <w:r>
              <w:rPr>
                <w:noProof/>
                <w:webHidden/>
              </w:rPr>
              <w:fldChar w:fldCharType="begin"/>
            </w:r>
            <w:r>
              <w:rPr>
                <w:noProof/>
                <w:webHidden/>
              </w:rPr>
              <w:instrText xml:space="preserve"> PAGEREF _Toc206082845 \h </w:instrText>
            </w:r>
            <w:r>
              <w:rPr>
                <w:noProof/>
                <w:webHidden/>
              </w:rPr>
            </w:r>
            <w:r>
              <w:rPr>
                <w:noProof/>
                <w:webHidden/>
              </w:rPr>
              <w:fldChar w:fldCharType="separate"/>
            </w:r>
            <w:r>
              <w:rPr>
                <w:noProof/>
                <w:webHidden/>
              </w:rPr>
              <w:t>7</w:t>
            </w:r>
            <w:r>
              <w:rPr>
                <w:noProof/>
                <w:webHidden/>
              </w:rPr>
              <w:fldChar w:fldCharType="end"/>
            </w:r>
          </w:hyperlink>
        </w:p>
        <w:p w14:paraId="7721353F" w14:textId="520670C4"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46" w:history="1">
            <w:r w:rsidRPr="00F13F92">
              <w:rPr>
                <w:rStyle w:val="Hyperlink"/>
                <w:noProof/>
              </w:rPr>
              <w:t>Product background</w:t>
            </w:r>
            <w:r>
              <w:rPr>
                <w:noProof/>
                <w:webHidden/>
              </w:rPr>
              <w:tab/>
            </w:r>
            <w:r>
              <w:rPr>
                <w:noProof/>
                <w:webHidden/>
              </w:rPr>
              <w:fldChar w:fldCharType="begin"/>
            </w:r>
            <w:r>
              <w:rPr>
                <w:noProof/>
                <w:webHidden/>
              </w:rPr>
              <w:instrText xml:space="preserve"> PAGEREF _Toc206082846 \h </w:instrText>
            </w:r>
            <w:r>
              <w:rPr>
                <w:noProof/>
                <w:webHidden/>
              </w:rPr>
            </w:r>
            <w:r>
              <w:rPr>
                <w:noProof/>
                <w:webHidden/>
              </w:rPr>
              <w:fldChar w:fldCharType="separate"/>
            </w:r>
            <w:r>
              <w:rPr>
                <w:noProof/>
                <w:webHidden/>
              </w:rPr>
              <w:t>8</w:t>
            </w:r>
            <w:r>
              <w:rPr>
                <w:noProof/>
                <w:webHidden/>
              </w:rPr>
              <w:fldChar w:fldCharType="end"/>
            </w:r>
          </w:hyperlink>
        </w:p>
        <w:p w14:paraId="5004B5FC" w14:textId="76C40F37"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47" w:history="1">
            <w:r w:rsidRPr="00F13F92">
              <w:rPr>
                <w:rStyle w:val="Hyperlink"/>
                <w:noProof/>
              </w:rPr>
              <w:t>The disease</w:t>
            </w:r>
            <w:r>
              <w:rPr>
                <w:noProof/>
                <w:webHidden/>
              </w:rPr>
              <w:tab/>
            </w:r>
            <w:r>
              <w:rPr>
                <w:noProof/>
                <w:webHidden/>
              </w:rPr>
              <w:fldChar w:fldCharType="begin"/>
            </w:r>
            <w:r>
              <w:rPr>
                <w:noProof/>
                <w:webHidden/>
              </w:rPr>
              <w:instrText xml:space="preserve"> PAGEREF _Toc206082847 \h </w:instrText>
            </w:r>
            <w:r>
              <w:rPr>
                <w:noProof/>
                <w:webHidden/>
              </w:rPr>
            </w:r>
            <w:r>
              <w:rPr>
                <w:noProof/>
                <w:webHidden/>
              </w:rPr>
              <w:fldChar w:fldCharType="separate"/>
            </w:r>
            <w:r>
              <w:rPr>
                <w:noProof/>
                <w:webHidden/>
              </w:rPr>
              <w:t>8</w:t>
            </w:r>
            <w:r>
              <w:rPr>
                <w:noProof/>
                <w:webHidden/>
              </w:rPr>
              <w:fldChar w:fldCharType="end"/>
            </w:r>
          </w:hyperlink>
        </w:p>
        <w:p w14:paraId="5FC66760" w14:textId="47F3F5FA"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48" w:history="1">
            <w:r w:rsidRPr="00F13F92">
              <w:rPr>
                <w:rStyle w:val="Hyperlink"/>
                <w:noProof/>
              </w:rPr>
              <w:t>Current treatment options</w:t>
            </w:r>
            <w:r>
              <w:rPr>
                <w:noProof/>
                <w:webHidden/>
              </w:rPr>
              <w:tab/>
            </w:r>
            <w:r>
              <w:rPr>
                <w:noProof/>
                <w:webHidden/>
              </w:rPr>
              <w:fldChar w:fldCharType="begin"/>
            </w:r>
            <w:r>
              <w:rPr>
                <w:noProof/>
                <w:webHidden/>
              </w:rPr>
              <w:instrText xml:space="preserve"> PAGEREF _Toc206082848 \h </w:instrText>
            </w:r>
            <w:r>
              <w:rPr>
                <w:noProof/>
                <w:webHidden/>
              </w:rPr>
            </w:r>
            <w:r>
              <w:rPr>
                <w:noProof/>
                <w:webHidden/>
              </w:rPr>
              <w:fldChar w:fldCharType="separate"/>
            </w:r>
            <w:r>
              <w:rPr>
                <w:noProof/>
                <w:webHidden/>
              </w:rPr>
              <w:t>8</w:t>
            </w:r>
            <w:r>
              <w:rPr>
                <w:noProof/>
                <w:webHidden/>
              </w:rPr>
              <w:fldChar w:fldCharType="end"/>
            </w:r>
          </w:hyperlink>
        </w:p>
        <w:p w14:paraId="5978BE1E" w14:textId="5B436059"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49" w:history="1">
            <w:r w:rsidRPr="00F13F92">
              <w:rPr>
                <w:rStyle w:val="Hyperlink"/>
                <w:noProof/>
              </w:rPr>
              <w:t>Clinical rationale</w:t>
            </w:r>
            <w:r>
              <w:rPr>
                <w:noProof/>
                <w:webHidden/>
              </w:rPr>
              <w:tab/>
            </w:r>
            <w:r>
              <w:rPr>
                <w:noProof/>
                <w:webHidden/>
              </w:rPr>
              <w:fldChar w:fldCharType="begin"/>
            </w:r>
            <w:r>
              <w:rPr>
                <w:noProof/>
                <w:webHidden/>
              </w:rPr>
              <w:instrText xml:space="preserve"> PAGEREF _Toc206082849 \h </w:instrText>
            </w:r>
            <w:r>
              <w:rPr>
                <w:noProof/>
                <w:webHidden/>
              </w:rPr>
            </w:r>
            <w:r>
              <w:rPr>
                <w:noProof/>
                <w:webHidden/>
              </w:rPr>
              <w:fldChar w:fldCharType="separate"/>
            </w:r>
            <w:r>
              <w:rPr>
                <w:noProof/>
                <w:webHidden/>
              </w:rPr>
              <w:t>10</w:t>
            </w:r>
            <w:r>
              <w:rPr>
                <w:noProof/>
                <w:webHidden/>
              </w:rPr>
              <w:fldChar w:fldCharType="end"/>
            </w:r>
          </w:hyperlink>
        </w:p>
        <w:p w14:paraId="0822627D" w14:textId="5E0FA78D"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50" w:history="1">
            <w:r w:rsidRPr="00F13F92">
              <w:rPr>
                <w:rStyle w:val="Hyperlink"/>
                <w:noProof/>
              </w:rPr>
              <w:t>Regulatory status</w:t>
            </w:r>
            <w:r>
              <w:rPr>
                <w:noProof/>
                <w:webHidden/>
              </w:rPr>
              <w:tab/>
            </w:r>
            <w:r>
              <w:rPr>
                <w:noProof/>
                <w:webHidden/>
              </w:rPr>
              <w:fldChar w:fldCharType="begin"/>
            </w:r>
            <w:r>
              <w:rPr>
                <w:noProof/>
                <w:webHidden/>
              </w:rPr>
              <w:instrText xml:space="preserve"> PAGEREF _Toc206082850 \h </w:instrText>
            </w:r>
            <w:r>
              <w:rPr>
                <w:noProof/>
                <w:webHidden/>
              </w:rPr>
            </w:r>
            <w:r>
              <w:rPr>
                <w:noProof/>
                <w:webHidden/>
              </w:rPr>
              <w:fldChar w:fldCharType="separate"/>
            </w:r>
            <w:r>
              <w:rPr>
                <w:noProof/>
                <w:webHidden/>
              </w:rPr>
              <w:t>10</w:t>
            </w:r>
            <w:r>
              <w:rPr>
                <w:noProof/>
                <w:webHidden/>
              </w:rPr>
              <w:fldChar w:fldCharType="end"/>
            </w:r>
          </w:hyperlink>
        </w:p>
        <w:p w14:paraId="2A2903DE" w14:textId="02F3C8DA"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51" w:history="1">
            <w:r w:rsidRPr="00F13F92">
              <w:rPr>
                <w:rStyle w:val="Hyperlink"/>
                <w:noProof/>
              </w:rPr>
              <w:t>Australian regulatory status</w:t>
            </w:r>
            <w:r>
              <w:rPr>
                <w:noProof/>
                <w:webHidden/>
              </w:rPr>
              <w:tab/>
            </w:r>
            <w:r>
              <w:rPr>
                <w:noProof/>
                <w:webHidden/>
              </w:rPr>
              <w:fldChar w:fldCharType="begin"/>
            </w:r>
            <w:r>
              <w:rPr>
                <w:noProof/>
                <w:webHidden/>
              </w:rPr>
              <w:instrText xml:space="preserve"> PAGEREF _Toc206082851 \h </w:instrText>
            </w:r>
            <w:r>
              <w:rPr>
                <w:noProof/>
                <w:webHidden/>
              </w:rPr>
            </w:r>
            <w:r>
              <w:rPr>
                <w:noProof/>
                <w:webHidden/>
              </w:rPr>
              <w:fldChar w:fldCharType="separate"/>
            </w:r>
            <w:r>
              <w:rPr>
                <w:noProof/>
                <w:webHidden/>
              </w:rPr>
              <w:t>10</w:t>
            </w:r>
            <w:r>
              <w:rPr>
                <w:noProof/>
                <w:webHidden/>
              </w:rPr>
              <w:fldChar w:fldCharType="end"/>
            </w:r>
          </w:hyperlink>
        </w:p>
        <w:p w14:paraId="028626CE" w14:textId="3963D4A5"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52" w:history="1">
            <w:r w:rsidRPr="00F13F92">
              <w:rPr>
                <w:rStyle w:val="Hyperlink"/>
                <w:noProof/>
              </w:rPr>
              <w:t>International regulatory status</w:t>
            </w:r>
            <w:r>
              <w:rPr>
                <w:noProof/>
                <w:webHidden/>
              </w:rPr>
              <w:tab/>
            </w:r>
            <w:r>
              <w:rPr>
                <w:noProof/>
                <w:webHidden/>
              </w:rPr>
              <w:fldChar w:fldCharType="begin"/>
            </w:r>
            <w:r>
              <w:rPr>
                <w:noProof/>
                <w:webHidden/>
              </w:rPr>
              <w:instrText xml:space="preserve"> PAGEREF _Toc206082852 \h </w:instrText>
            </w:r>
            <w:r>
              <w:rPr>
                <w:noProof/>
                <w:webHidden/>
              </w:rPr>
            </w:r>
            <w:r>
              <w:rPr>
                <w:noProof/>
                <w:webHidden/>
              </w:rPr>
              <w:fldChar w:fldCharType="separate"/>
            </w:r>
            <w:r>
              <w:rPr>
                <w:noProof/>
                <w:webHidden/>
              </w:rPr>
              <w:t>11</w:t>
            </w:r>
            <w:r>
              <w:rPr>
                <w:noProof/>
                <w:webHidden/>
              </w:rPr>
              <w:fldChar w:fldCharType="end"/>
            </w:r>
          </w:hyperlink>
        </w:p>
        <w:p w14:paraId="6F8B676D" w14:textId="78581E8B" w:rsidR="00E21026" w:rsidRDefault="00E2102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82853" w:history="1">
            <w:r w:rsidRPr="00F13F92">
              <w:rPr>
                <w:rStyle w:val="Hyperlink"/>
                <w:noProof/>
              </w:rPr>
              <w:t>Registration timeline</w:t>
            </w:r>
            <w:r>
              <w:rPr>
                <w:noProof/>
                <w:webHidden/>
              </w:rPr>
              <w:tab/>
            </w:r>
            <w:r>
              <w:rPr>
                <w:noProof/>
                <w:webHidden/>
              </w:rPr>
              <w:fldChar w:fldCharType="begin"/>
            </w:r>
            <w:r>
              <w:rPr>
                <w:noProof/>
                <w:webHidden/>
              </w:rPr>
              <w:instrText xml:space="preserve"> PAGEREF _Toc206082853 \h </w:instrText>
            </w:r>
            <w:r>
              <w:rPr>
                <w:noProof/>
                <w:webHidden/>
              </w:rPr>
            </w:r>
            <w:r>
              <w:rPr>
                <w:noProof/>
                <w:webHidden/>
              </w:rPr>
              <w:fldChar w:fldCharType="separate"/>
            </w:r>
            <w:r>
              <w:rPr>
                <w:noProof/>
                <w:webHidden/>
              </w:rPr>
              <w:t>12</w:t>
            </w:r>
            <w:r>
              <w:rPr>
                <w:noProof/>
                <w:webHidden/>
              </w:rPr>
              <w:fldChar w:fldCharType="end"/>
            </w:r>
          </w:hyperlink>
        </w:p>
        <w:p w14:paraId="520BC273" w14:textId="68E05B1D" w:rsidR="00E21026" w:rsidRDefault="00E2102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82854" w:history="1">
            <w:r w:rsidRPr="00F13F92">
              <w:rPr>
                <w:rStyle w:val="Hyperlink"/>
                <w:noProof/>
              </w:rPr>
              <w:t>Submission overview and risk/benefit assessment</w:t>
            </w:r>
            <w:r>
              <w:rPr>
                <w:noProof/>
                <w:webHidden/>
              </w:rPr>
              <w:tab/>
            </w:r>
            <w:r>
              <w:rPr>
                <w:noProof/>
                <w:webHidden/>
              </w:rPr>
              <w:fldChar w:fldCharType="begin"/>
            </w:r>
            <w:r>
              <w:rPr>
                <w:noProof/>
                <w:webHidden/>
              </w:rPr>
              <w:instrText xml:space="preserve"> PAGEREF _Toc206082854 \h </w:instrText>
            </w:r>
            <w:r>
              <w:rPr>
                <w:noProof/>
                <w:webHidden/>
              </w:rPr>
            </w:r>
            <w:r>
              <w:rPr>
                <w:noProof/>
                <w:webHidden/>
              </w:rPr>
              <w:fldChar w:fldCharType="separate"/>
            </w:r>
            <w:r>
              <w:rPr>
                <w:noProof/>
                <w:webHidden/>
              </w:rPr>
              <w:t>13</w:t>
            </w:r>
            <w:r>
              <w:rPr>
                <w:noProof/>
                <w:webHidden/>
              </w:rPr>
              <w:fldChar w:fldCharType="end"/>
            </w:r>
          </w:hyperlink>
        </w:p>
        <w:p w14:paraId="282F9E4E" w14:textId="6344362F"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55" w:history="1">
            <w:r w:rsidRPr="00F13F92">
              <w:rPr>
                <w:rStyle w:val="Hyperlink"/>
                <w:noProof/>
              </w:rPr>
              <w:t>Quality</w:t>
            </w:r>
            <w:r>
              <w:rPr>
                <w:noProof/>
                <w:webHidden/>
              </w:rPr>
              <w:tab/>
            </w:r>
            <w:r>
              <w:rPr>
                <w:noProof/>
                <w:webHidden/>
              </w:rPr>
              <w:fldChar w:fldCharType="begin"/>
            </w:r>
            <w:r>
              <w:rPr>
                <w:noProof/>
                <w:webHidden/>
              </w:rPr>
              <w:instrText xml:space="preserve"> PAGEREF _Toc206082855 \h </w:instrText>
            </w:r>
            <w:r>
              <w:rPr>
                <w:noProof/>
                <w:webHidden/>
              </w:rPr>
            </w:r>
            <w:r>
              <w:rPr>
                <w:noProof/>
                <w:webHidden/>
              </w:rPr>
              <w:fldChar w:fldCharType="separate"/>
            </w:r>
            <w:r>
              <w:rPr>
                <w:noProof/>
                <w:webHidden/>
              </w:rPr>
              <w:t>13</w:t>
            </w:r>
            <w:r>
              <w:rPr>
                <w:noProof/>
                <w:webHidden/>
              </w:rPr>
              <w:fldChar w:fldCharType="end"/>
            </w:r>
          </w:hyperlink>
        </w:p>
        <w:p w14:paraId="45D8D8B9" w14:textId="7F99668B"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56" w:history="1">
            <w:r w:rsidRPr="00F13F92">
              <w:rPr>
                <w:rStyle w:val="Hyperlink"/>
                <w:noProof/>
              </w:rPr>
              <w:t>Drug substance</w:t>
            </w:r>
            <w:r>
              <w:rPr>
                <w:noProof/>
                <w:webHidden/>
              </w:rPr>
              <w:tab/>
            </w:r>
            <w:r>
              <w:rPr>
                <w:noProof/>
                <w:webHidden/>
              </w:rPr>
              <w:fldChar w:fldCharType="begin"/>
            </w:r>
            <w:r>
              <w:rPr>
                <w:noProof/>
                <w:webHidden/>
              </w:rPr>
              <w:instrText xml:space="preserve"> PAGEREF _Toc206082856 \h </w:instrText>
            </w:r>
            <w:r>
              <w:rPr>
                <w:noProof/>
                <w:webHidden/>
              </w:rPr>
            </w:r>
            <w:r>
              <w:rPr>
                <w:noProof/>
                <w:webHidden/>
              </w:rPr>
              <w:fldChar w:fldCharType="separate"/>
            </w:r>
            <w:r>
              <w:rPr>
                <w:noProof/>
                <w:webHidden/>
              </w:rPr>
              <w:t>13</w:t>
            </w:r>
            <w:r>
              <w:rPr>
                <w:noProof/>
                <w:webHidden/>
              </w:rPr>
              <w:fldChar w:fldCharType="end"/>
            </w:r>
          </w:hyperlink>
        </w:p>
        <w:p w14:paraId="2AFF0880" w14:textId="0729ED73"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57" w:history="1">
            <w:r w:rsidRPr="00F13F92">
              <w:rPr>
                <w:rStyle w:val="Hyperlink"/>
                <w:noProof/>
              </w:rPr>
              <w:t>Drug product</w:t>
            </w:r>
            <w:r>
              <w:rPr>
                <w:noProof/>
                <w:webHidden/>
              </w:rPr>
              <w:tab/>
            </w:r>
            <w:r>
              <w:rPr>
                <w:noProof/>
                <w:webHidden/>
              </w:rPr>
              <w:fldChar w:fldCharType="begin"/>
            </w:r>
            <w:r>
              <w:rPr>
                <w:noProof/>
                <w:webHidden/>
              </w:rPr>
              <w:instrText xml:space="preserve"> PAGEREF _Toc206082857 \h </w:instrText>
            </w:r>
            <w:r>
              <w:rPr>
                <w:noProof/>
                <w:webHidden/>
              </w:rPr>
            </w:r>
            <w:r>
              <w:rPr>
                <w:noProof/>
                <w:webHidden/>
              </w:rPr>
              <w:fldChar w:fldCharType="separate"/>
            </w:r>
            <w:r>
              <w:rPr>
                <w:noProof/>
                <w:webHidden/>
              </w:rPr>
              <w:t>14</w:t>
            </w:r>
            <w:r>
              <w:rPr>
                <w:noProof/>
                <w:webHidden/>
              </w:rPr>
              <w:fldChar w:fldCharType="end"/>
            </w:r>
          </w:hyperlink>
        </w:p>
        <w:p w14:paraId="14F5E16E" w14:textId="4C09E628"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58" w:history="1">
            <w:r w:rsidRPr="00F13F92">
              <w:rPr>
                <w:rStyle w:val="Hyperlink"/>
                <w:noProof/>
              </w:rPr>
              <w:t>Biopharmaceutics</w:t>
            </w:r>
            <w:r>
              <w:rPr>
                <w:noProof/>
                <w:webHidden/>
              </w:rPr>
              <w:tab/>
            </w:r>
            <w:r>
              <w:rPr>
                <w:noProof/>
                <w:webHidden/>
              </w:rPr>
              <w:fldChar w:fldCharType="begin"/>
            </w:r>
            <w:r>
              <w:rPr>
                <w:noProof/>
                <w:webHidden/>
              </w:rPr>
              <w:instrText xml:space="preserve"> PAGEREF _Toc206082858 \h </w:instrText>
            </w:r>
            <w:r>
              <w:rPr>
                <w:noProof/>
                <w:webHidden/>
              </w:rPr>
            </w:r>
            <w:r>
              <w:rPr>
                <w:noProof/>
                <w:webHidden/>
              </w:rPr>
              <w:fldChar w:fldCharType="separate"/>
            </w:r>
            <w:r>
              <w:rPr>
                <w:noProof/>
                <w:webHidden/>
              </w:rPr>
              <w:t>14</w:t>
            </w:r>
            <w:r>
              <w:rPr>
                <w:noProof/>
                <w:webHidden/>
              </w:rPr>
              <w:fldChar w:fldCharType="end"/>
            </w:r>
          </w:hyperlink>
        </w:p>
        <w:p w14:paraId="37D60504" w14:textId="5B91056C"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59" w:history="1">
            <w:r w:rsidRPr="00F13F92">
              <w:rPr>
                <w:rStyle w:val="Hyperlink"/>
                <w:noProof/>
              </w:rPr>
              <w:t>Quality conclusion</w:t>
            </w:r>
            <w:r>
              <w:rPr>
                <w:noProof/>
                <w:webHidden/>
              </w:rPr>
              <w:tab/>
            </w:r>
            <w:r>
              <w:rPr>
                <w:noProof/>
                <w:webHidden/>
              </w:rPr>
              <w:fldChar w:fldCharType="begin"/>
            </w:r>
            <w:r>
              <w:rPr>
                <w:noProof/>
                <w:webHidden/>
              </w:rPr>
              <w:instrText xml:space="preserve"> PAGEREF _Toc206082859 \h </w:instrText>
            </w:r>
            <w:r>
              <w:rPr>
                <w:noProof/>
                <w:webHidden/>
              </w:rPr>
            </w:r>
            <w:r>
              <w:rPr>
                <w:noProof/>
                <w:webHidden/>
              </w:rPr>
              <w:fldChar w:fldCharType="separate"/>
            </w:r>
            <w:r>
              <w:rPr>
                <w:noProof/>
                <w:webHidden/>
              </w:rPr>
              <w:t>14</w:t>
            </w:r>
            <w:r>
              <w:rPr>
                <w:noProof/>
                <w:webHidden/>
              </w:rPr>
              <w:fldChar w:fldCharType="end"/>
            </w:r>
          </w:hyperlink>
        </w:p>
        <w:p w14:paraId="288B2BF1" w14:textId="74F89724"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60" w:history="1">
            <w:r w:rsidRPr="00F13F92">
              <w:rPr>
                <w:rStyle w:val="Hyperlink"/>
                <w:noProof/>
              </w:rPr>
              <w:t>Nonclinical</w:t>
            </w:r>
            <w:r>
              <w:rPr>
                <w:noProof/>
                <w:webHidden/>
              </w:rPr>
              <w:tab/>
            </w:r>
            <w:r>
              <w:rPr>
                <w:noProof/>
                <w:webHidden/>
              </w:rPr>
              <w:fldChar w:fldCharType="begin"/>
            </w:r>
            <w:r>
              <w:rPr>
                <w:noProof/>
                <w:webHidden/>
              </w:rPr>
              <w:instrText xml:space="preserve"> PAGEREF _Toc206082860 \h </w:instrText>
            </w:r>
            <w:r>
              <w:rPr>
                <w:noProof/>
                <w:webHidden/>
              </w:rPr>
            </w:r>
            <w:r>
              <w:rPr>
                <w:noProof/>
                <w:webHidden/>
              </w:rPr>
              <w:fldChar w:fldCharType="separate"/>
            </w:r>
            <w:r>
              <w:rPr>
                <w:noProof/>
                <w:webHidden/>
              </w:rPr>
              <w:t>15</w:t>
            </w:r>
            <w:r>
              <w:rPr>
                <w:noProof/>
                <w:webHidden/>
              </w:rPr>
              <w:fldChar w:fldCharType="end"/>
            </w:r>
          </w:hyperlink>
        </w:p>
        <w:p w14:paraId="7E218CF2" w14:textId="306B7E90"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61" w:history="1">
            <w:r w:rsidRPr="00F13F92">
              <w:rPr>
                <w:rStyle w:val="Hyperlink"/>
                <w:noProof/>
              </w:rPr>
              <w:t>Clinical</w:t>
            </w:r>
            <w:r>
              <w:rPr>
                <w:noProof/>
                <w:webHidden/>
              </w:rPr>
              <w:tab/>
            </w:r>
            <w:r>
              <w:rPr>
                <w:noProof/>
                <w:webHidden/>
              </w:rPr>
              <w:fldChar w:fldCharType="begin"/>
            </w:r>
            <w:r>
              <w:rPr>
                <w:noProof/>
                <w:webHidden/>
              </w:rPr>
              <w:instrText xml:space="preserve"> PAGEREF _Toc206082861 \h </w:instrText>
            </w:r>
            <w:r>
              <w:rPr>
                <w:noProof/>
                <w:webHidden/>
              </w:rPr>
            </w:r>
            <w:r>
              <w:rPr>
                <w:noProof/>
                <w:webHidden/>
              </w:rPr>
              <w:fldChar w:fldCharType="separate"/>
            </w:r>
            <w:r>
              <w:rPr>
                <w:noProof/>
                <w:webHidden/>
              </w:rPr>
              <w:t>17</w:t>
            </w:r>
            <w:r>
              <w:rPr>
                <w:noProof/>
                <w:webHidden/>
              </w:rPr>
              <w:fldChar w:fldCharType="end"/>
            </w:r>
          </w:hyperlink>
        </w:p>
        <w:p w14:paraId="68291C4B" w14:textId="751B106C"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62" w:history="1">
            <w:r w:rsidRPr="00F13F92">
              <w:rPr>
                <w:rStyle w:val="Hyperlink"/>
                <w:noProof/>
              </w:rPr>
              <w:t>Summary of clinical studies</w:t>
            </w:r>
            <w:r>
              <w:rPr>
                <w:noProof/>
                <w:webHidden/>
              </w:rPr>
              <w:tab/>
            </w:r>
            <w:r>
              <w:rPr>
                <w:noProof/>
                <w:webHidden/>
              </w:rPr>
              <w:fldChar w:fldCharType="begin"/>
            </w:r>
            <w:r>
              <w:rPr>
                <w:noProof/>
                <w:webHidden/>
              </w:rPr>
              <w:instrText xml:space="preserve"> PAGEREF _Toc206082862 \h </w:instrText>
            </w:r>
            <w:r>
              <w:rPr>
                <w:noProof/>
                <w:webHidden/>
              </w:rPr>
            </w:r>
            <w:r>
              <w:rPr>
                <w:noProof/>
                <w:webHidden/>
              </w:rPr>
              <w:fldChar w:fldCharType="separate"/>
            </w:r>
            <w:r>
              <w:rPr>
                <w:noProof/>
                <w:webHidden/>
              </w:rPr>
              <w:t>17</w:t>
            </w:r>
            <w:r>
              <w:rPr>
                <w:noProof/>
                <w:webHidden/>
              </w:rPr>
              <w:fldChar w:fldCharType="end"/>
            </w:r>
          </w:hyperlink>
        </w:p>
        <w:p w14:paraId="0C2F572B" w14:textId="278A7462"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63" w:history="1">
            <w:r w:rsidRPr="00F13F92">
              <w:rPr>
                <w:rStyle w:val="Hyperlink"/>
                <w:noProof/>
              </w:rPr>
              <w:t>Pharmacology</w:t>
            </w:r>
            <w:r>
              <w:rPr>
                <w:noProof/>
                <w:webHidden/>
              </w:rPr>
              <w:tab/>
            </w:r>
            <w:r>
              <w:rPr>
                <w:noProof/>
                <w:webHidden/>
              </w:rPr>
              <w:fldChar w:fldCharType="begin"/>
            </w:r>
            <w:r>
              <w:rPr>
                <w:noProof/>
                <w:webHidden/>
              </w:rPr>
              <w:instrText xml:space="preserve"> PAGEREF _Toc206082863 \h </w:instrText>
            </w:r>
            <w:r>
              <w:rPr>
                <w:noProof/>
                <w:webHidden/>
              </w:rPr>
            </w:r>
            <w:r>
              <w:rPr>
                <w:noProof/>
                <w:webHidden/>
              </w:rPr>
              <w:fldChar w:fldCharType="separate"/>
            </w:r>
            <w:r>
              <w:rPr>
                <w:noProof/>
                <w:webHidden/>
              </w:rPr>
              <w:t>17</w:t>
            </w:r>
            <w:r>
              <w:rPr>
                <w:noProof/>
                <w:webHidden/>
              </w:rPr>
              <w:fldChar w:fldCharType="end"/>
            </w:r>
          </w:hyperlink>
        </w:p>
        <w:p w14:paraId="0F2FD202" w14:textId="57CB10DF"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64" w:history="1">
            <w:r w:rsidRPr="00F13F92">
              <w:rPr>
                <w:rStyle w:val="Hyperlink"/>
                <w:noProof/>
              </w:rPr>
              <w:t>Pharmacokinetics</w:t>
            </w:r>
            <w:r>
              <w:rPr>
                <w:noProof/>
                <w:webHidden/>
              </w:rPr>
              <w:tab/>
            </w:r>
            <w:r>
              <w:rPr>
                <w:noProof/>
                <w:webHidden/>
              </w:rPr>
              <w:fldChar w:fldCharType="begin"/>
            </w:r>
            <w:r>
              <w:rPr>
                <w:noProof/>
                <w:webHidden/>
              </w:rPr>
              <w:instrText xml:space="preserve"> PAGEREF _Toc206082864 \h </w:instrText>
            </w:r>
            <w:r>
              <w:rPr>
                <w:noProof/>
                <w:webHidden/>
              </w:rPr>
            </w:r>
            <w:r>
              <w:rPr>
                <w:noProof/>
                <w:webHidden/>
              </w:rPr>
              <w:fldChar w:fldCharType="separate"/>
            </w:r>
            <w:r>
              <w:rPr>
                <w:noProof/>
                <w:webHidden/>
              </w:rPr>
              <w:t>18</w:t>
            </w:r>
            <w:r>
              <w:rPr>
                <w:noProof/>
                <w:webHidden/>
              </w:rPr>
              <w:fldChar w:fldCharType="end"/>
            </w:r>
          </w:hyperlink>
        </w:p>
        <w:p w14:paraId="389851D9" w14:textId="2392D284"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65" w:history="1">
            <w:r w:rsidRPr="00F13F92">
              <w:rPr>
                <w:rStyle w:val="Hyperlink"/>
                <w:noProof/>
              </w:rPr>
              <w:t>Pharmacodynamics</w:t>
            </w:r>
            <w:r>
              <w:rPr>
                <w:noProof/>
                <w:webHidden/>
              </w:rPr>
              <w:tab/>
            </w:r>
            <w:r>
              <w:rPr>
                <w:noProof/>
                <w:webHidden/>
              </w:rPr>
              <w:fldChar w:fldCharType="begin"/>
            </w:r>
            <w:r>
              <w:rPr>
                <w:noProof/>
                <w:webHidden/>
              </w:rPr>
              <w:instrText xml:space="preserve"> PAGEREF _Toc206082865 \h </w:instrText>
            </w:r>
            <w:r>
              <w:rPr>
                <w:noProof/>
                <w:webHidden/>
              </w:rPr>
            </w:r>
            <w:r>
              <w:rPr>
                <w:noProof/>
                <w:webHidden/>
              </w:rPr>
              <w:fldChar w:fldCharType="separate"/>
            </w:r>
            <w:r>
              <w:rPr>
                <w:noProof/>
                <w:webHidden/>
              </w:rPr>
              <w:t>20</w:t>
            </w:r>
            <w:r>
              <w:rPr>
                <w:noProof/>
                <w:webHidden/>
              </w:rPr>
              <w:fldChar w:fldCharType="end"/>
            </w:r>
          </w:hyperlink>
        </w:p>
        <w:p w14:paraId="4688B15F" w14:textId="49DBBA5D"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66" w:history="1">
            <w:r w:rsidRPr="00F13F92">
              <w:rPr>
                <w:rStyle w:val="Hyperlink"/>
                <w:noProof/>
              </w:rPr>
              <w:t>Efficacy</w:t>
            </w:r>
            <w:r>
              <w:rPr>
                <w:noProof/>
                <w:webHidden/>
              </w:rPr>
              <w:tab/>
            </w:r>
            <w:r>
              <w:rPr>
                <w:noProof/>
                <w:webHidden/>
              </w:rPr>
              <w:fldChar w:fldCharType="begin"/>
            </w:r>
            <w:r>
              <w:rPr>
                <w:noProof/>
                <w:webHidden/>
              </w:rPr>
              <w:instrText xml:space="preserve"> PAGEREF _Toc206082866 \h </w:instrText>
            </w:r>
            <w:r>
              <w:rPr>
                <w:noProof/>
                <w:webHidden/>
              </w:rPr>
            </w:r>
            <w:r>
              <w:rPr>
                <w:noProof/>
                <w:webHidden/>
              </w:rPr>
              <w:fldChar w:fldCharType="separate"/>
            </w:r>
            <w:r>
              <w:rPr>
                <w:noProof/>
                <w:webHidden/>
              </w:rPr>
              <w:t>20</w:t>
            </w:r>
            <w:r>
              <w:rPr>
                <w:noProof/>
                <w:webHidden/>
              </w:rPr>
              <w:fldChar w:fldCharType="end"/>
            </w:r>
          </w:hyperlink>
        </w:p>
        <w:p w14:paraId="0509648E" w14:textId="6C195D70"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67" w:history="1">
            <w:r w:rsidRPr="00F13F92">
              <w:rPr>
                <w:rStyle w:val="Hyperlink"/>
                <w:noProof/>
              </w:rPr>
              <w:t>Safety</w:t>
            </w:r>
            <w:r>
              <w:rPr>
                <w:noProof/>
                <w:webHidden/>
              </w:rPr>
              <w:tab/>
            </w:r>
            <w:r>
              <w:rPr>
                <w:noProof/>
                <w:webHidden/>
              </w:rPr>
              <w:fldChar w:fldCharType="begin"/>
            </w:r>
            <w:r>
              <w:rPr>
                <w:noProof/>
                <w:webHidden/>
              </w:rPr>
              <w:instrText xml:space="preserve"> PAGEREF _Toc206082867 \h </w:instrText>
            </w:r>
            <w:r>
              <w:rPr>
                <w:noProof/>
                <w:webHidden/>
              </w:rPr>
            </w:r>
            <w:r>
              <w:rPr>
                <w:noProof/>
                <w:webHidden/>
              </w:rPr>
              <w:fldChar w:fldCharType="separate"/>
            </w:r>
            <w:r>
              <w:rPr>
                <w:noProof/>
                <w:webHidden/>
              </w:rPr>
              <w:t>26</w:t>
            </w:r>
            <w:r>
              <w:rPr>
                <w:noProof/>
                <w:webHidden/>
              </w:rPr>
              <w:fldChar w:fldCharType="end"/>
            </w:r>
          </w:hyperlink>
        </w:p>
        <w:p w14:paraId="5463434C" w14:textId="5AFC23C0"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68" w:history="1">
            <w:r w:rsidRPr="00F13F92">
              <w:rPr>
                <w:rStyle w:val="Hyperlink"/>
                <w:noProof/>
                <w:lang w:eastAsia="en-AU"/>
              </w:rPr>
              <w:t>Risk management plan</w:t>
            </w:r>
            <w:r>
              <w:rPr>
                <w:noProof/>
                <w:webHidden/>
              </w:rPr>
              <w:tab/>
            </w:r>
            <w:r>
              <w:rPr>
                <w:noProof/>
                <w:webHidden/>
              </w:rPr>
              <w:fldChar w:fldCharType="begin"/>
            </w:r>
            <w:r>
              <w:rPr>
                <w:noProof/>
                <w:webHidden/>
              </w:rPr>
              <w:instrText xml:space="preserve"> PAGEREF _Toc206082868 \h </w:instrText>
            </w:r>
            <w:r>
              <w:rPr>
                <w:noProof/>
                <w:webHidden/>
              </w:rPr>
            </w:r>
            <w:r>
              <w:rPr>
                <w:noProof/>
                <w:webHidden/>
              </w:rPr>
              <w:fldChar w:fldCharType="separate"/>
            </w:r>
            <w:r>
              <w:rPr>
                <w:noProof/>
                <w:webHidden/>
              </w:rPr>
              <w:t>37</w:t>
            </w:r>
            <w:r>
              <w:rPr>
                <w:noProof/>
                <w:webHidden/>
              </w:rPr>
              <w:fldChar w:fldCharType="end"/>
            </w:r>
          </w:hyperlink>
        </w:p>
        <w:p w14:paraId="7F199EC9" w14:textId="5E3C9BE4"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69" w:history="1">
            <w:r w:rsidRPr="00F13F92">
              <w:rPr>
                <w:rStyle w:val="Hyperlink"/>
                <w:noProof/>
              </w:rPr>
              <w:t>Risk-benefit analysis</w:t>
            </w:r>
            <w:r>
              <w:rPr>
                <w:noProof/>
                <w:webHidden/>
              </w:rPr>
              <w:tab/>
            </w:r>
            <w:r>
              <w:rPr>
                <w:noProof/>
                <w:webHidden/>
              </w:rPr>
              <w:fldChar w:fldCharType="begin"/>
            </w:r>
            <w:r>
              <w:rPr>
                <w:noProof/>
                <w:webHidden/>
              </w:rPr>
              <w:instrText xml:space="preserve"> PAGEREF _Toc206082869 \h </w:instrText>
            </w:r>
            <w:r>
              <w:rPr>
                <w:noProof/>
                <w:webHidden/>
              </w:rPr>
            </w:r>
            <w:r>
              <w:rPr>
                <w:noProof/>
                <w:webHidden/>
              </w:rPr>
              <w:fldChar w:fldCharType="separate"/>
            </w:r>
            <w:r>
              <w:rPr>
                <w:noProof/>
                <w:webHidden/>
              </w:rPr>
              <w:t>38</w:t>
            </w:r>
            <w:r>
              <w:rPr>
                <w:noProof/>
                <w:webHidden/>
              </w:rPr>
              <w:fldChar w:fldCharType="end"/>
            </w:r>
          </w:hyperlink>
        </w:p>
        <w:p w14:paraId="14ED7F9B" w14:textId="58616713"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70" w:history="1">
            <w:r w:rsidRPr="00F13F92">
              <w:rPr>
                <w:rStyle w:val="Hyperlink"/>
                <w:noProof/>
              </w:rPr>
              <w:t>Delegate’s considerations</w:t>
            </w:r>
            <w:r>
              <w:rPr>
                <w:noProof/>
                <w:webHidden/>
              </w:rPr>
              <w:tab/>
            </w:r>
            <w:r>
              <w:rPr>
                <w:noProof/>
                <w:webHidden/>
              </w:rPr>
              <w:fldChar w:fldCharType="begin"/>
            </w:r>
            <w:r>
              <w:rPr>
                <w:noProof/>
                <w:webHidden/>
              </w:rPr>
              <w:instrText xml:space="preserve"> PAGEREF _Toc206082870 \h </w:instrText>
            </w:r>
            <w:r>
              <w:rPr>
                <w:noProof/>
                <w:webHidden/>
              </w:rPr>
            </w:r>
            <w:r>
              <w:rPr>
                <w:noProof/>
                <w:webHidden/>
              </w:rPr>
              <w:fldChar w:fldCharType="separate"/>
            </w:r>
            <w:r>
              <w:rPr>
                <w:noProof/>
                <w:webHidden/>
              </w:rPr>
              <w:t>38</w:t>
            </w:r>
            <w:r>
              <w:rPr>
                <w:noProof/>
                <w:webHidden/>
              </w:rPr>
              <w:fldChar w:fldCharType="end"/>
            </w:r>
          </w:hyperlink>
        </w:p>
        <w:p w14:paraId="76451713" w14:textId="6C5D61B7"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71" w:history="1">
            <w:r w:rsidRPr="00F13F92">
              <w:rPr>
                <w:rStyle w:val="Hyperlink"/>
                <w:noProof/>
              </w:rPr>
              <w:t>Proposed action</w:t>
            </w:r>
            <w:r>
              <w:rPr>
                <w:noProof/>
                <w:webHidden/>
              </w:rPr>
              <w:tab/>
            </w:r>
            <w:r>
              <w:rPr>
                <w:noProof/>
                <w:webHidden/>
              </w:rPr>
              <w:fldChar w:fldCharType="begin"/>
            </w:r>
            <w:r>
              <w:rPr>
                <w:noProof/>
                <w:webHidden/>
              </w:rPr>
              <w:instrText xml:space="preserve"> PAGEREF _Toc206082871 \h </w:instrText>
            </w:r>
            <w:r>
              <w:rPr>
                <w:noProof/>
                <w:webHidden/>
              </w:rPr>
            </w:r>
            <w:r>
              <w:rPr>
                <w:noProof/>
                <w:webHidden/>
              </w:rPr>
              <w:fldChar w:fldCharType="separate"/>
            </w:r>
            <w:r>
              <w:rPr>
                <w:noProof/>
                <w:webHidden/>
              </w:rPr>
              <w:t>44</w:t>
            </w:r>
            <w:r>
              <w:rPr>
                <w:noProof/>
                <w:webHidden/>
              </w:rPr>
              <w:fldChar w:fldCharType="end"/>
            </w:r>
          </w:hyperlink>
        </w:p>
        <w:p w14:paraId="539335D4" w14:textId="5E1FCC7E" w:rsidR="00E21026" w:rsidRDefault="00E21026">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06082872" w:history="1">
            <w:r w:rsidRPr="00F13F92">
              <w:rPr>
                <w:rStyle w:val="Hyperlink"/>
                <w:noProof/>
              </w:rPr>
              <w:t>Advisory Committee considerations</w:t>
            </w:r>
            <w:r>
              <w:rPr>
                <w:noProof/>
                <w:webHidden/>
              </w:rPr>
              <w:tab/>
            </w:r>
            <w:r>
              <w:rPr>
                <w:noProof/>
                <w:webHidden/>
              </w:rPr>
              <w:fldChar w:fldCharType="begin"/>
            </w:r>
            <w:r>
              <w:rPr>
                <w:noProof/>
                <w:webHidden/>
              </w:rPr>
              <w:instrText xml:space="preserve"> PAGEREF _Toc206082872 \h </w:instrText>
            </w:r>
            <w:r>
              <w:rPr>
                <w:noProof/>
                <w:webHidden/>
              </w:rPr>
            </w:r>
            <w:r>
              <w:rPr>
                <w:noProof/>
                <w:webHidden/>
              </w:rPr>
              <w:fldChar w:fldCharType="separate"/>
            </w:r>
            <w:r>
              <w:rPr>
                <w:noProof/>
                <w:webHidden/>
              </w:rPr>
              <w:t>45</w:t>
            </w:r>
            <w:r>
              <w:rPr>
                <w:noProof/>
                <w:webHidden/>
              </w:rPr>
              <w:fldChar w:fldCharType="end"/>
            </w:r>
          </w:hyperlink>
        </w:p>
        <w:p w14:paraId="5184DEA8" w14:textId="450559E6" w:rsidR="00E21026" w:rsidRDefault="00E2102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82873" w:history="1">
            <w:r w:rsidRPr="00F13F92">
              <w:rPr>
                <w:rStyle w:val="Hyperlink"/>
                <w:noProof/>
              </w:rPr>
              <w:t>Outcome</w:t>
            </w:r>
            <w:r>
              <w:rPr>
                <w:noProof/>
                <w:webHidden/>
              </w:rPr>
              <w:tab/>
            </w:r>
            <w:r>
              <w:rPr>
                <w:noProof/>
                <w:webHidden/>
              </w:rPr>
              <w:fldChar w:fldCharType="begin"/>
            </w:r>
            <w:r>
              <w:rPr>
                <w:noProof/>
                <w:webHidden/>
              </w:rPr>
              <w:instrText xml:space="preserve"> PAGEREF _Toc206082873 \h </w:instrText>
            </w:r>
            <w:r>
              <w:rPr>
                <w:noProof/>
                <w:webHidden/>
              </w:rPr>
            </w:r>
            <w:r>
              <w:rPr>
                <w:noProof/>
                <w:webHidden/>
              </w:rPr>
              <w:fldChar w:fldCharType="separate"/>
            </w:r>
            <w:r>
              <w:rPr>
                <w:noProof/>
                <w:webHidden/>
              </w:rPr>
              <w:t>45</w:t>
            </w:r>
            <w:r>
              <w:rPr>
                <w:noProof/>
                <w:webHidden/>
              </w:rPr>
              <w:fldChar w:fldCharType="end"/>
            </w:r>
          </w:hyperlink>
        </w:p>
        <w:p w14:paraId="715EA84C" w14:textId="0C0F244E" w:rsidR="00E21026" w:rsidRDefault="00E2102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06082874" w:history="1">
            <w:r w:rsidRPr="00F13F92">
              <w:rPr>
                <w:rStyle w:val="Hyperlink"/>
                <w:noProof/>
              </w:rPr>
              <w:t>Specific conditions of registration applying to these goods</w:t>
            </w:r>
            <w:r>
              <w:rPr>
                <w:noProof/>
                <w:webHidden/>
              </w:rPr>
              <w:tab/>
            </w:r>
            <w:r>
              <w:rPr>
                <w:noProof/>
                <w:webHidden/>
              </w:rPr>
              <w:fldChar w:fldCharType="begin"/>
            </w:r>
            <w:r>
              <w:rPr>
                <w:noProof/>
                <w:webHidden/>
              </w:rPr>
              <w:instrText xml:space="preserve"> PAGEREF _Toc206082874 \h </w:instrText>
            </w:r>
            <w:r>
              <w:rPr>
                <w:noProof/>
                <w:webHidden/>
              </w:rPr>
            </w:r>
            <w:r>
              <w:rPr>
                <w:noProof/>
                <w:webHidden/>
              </w:rPr>
              <w:fldChar w:fldCharType="separate"/>
            </w:r>
            <w:r>
              <w:rPr>
                <w:noProof/>
                <w:webHidden/>
              </w:rPr>
              <w:t>45</w:t>
            </w:r>
            <w:r>
              <w:rPr>
                <w:noProof/>
                <w:webHidden/>
              </w:rPr>
              <w:fldChar w:fldCharType="end"/>
            </w:r>
          </w:hyperlink>
        </w:p>
        <w:p w14:paraId="576B6092" w14:textId="16A69068" w:rsidR="00E21026" w:rsidRDefault="00E2102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6082875" w:history="1">
            <w:r w:rsidRPr="00F13F92">
              <w:rPr>
                <w:rStyle w:val="Hyperlink"/>
                <w:noProof/>
              </w:rPr>
              <w:t>Attachment 1. Product Information</w:t>
            </w:r>
            <w:r>
              <w:rPr>
                <w:noProof/>
                <w:webHidden/>
              </w:rPr>
              <w:tab/>
            </w:r>
            <w:r>
              <w:rPr>
                <w:noProof/>
                <w:webHidden/>
              </w:rPr>
              <w:fldChar w:fldCharType="begin"/>
            </w:r>
            <w:r>
              <w:rPr>
                <w:noProof/>
                <w:webHidden/>
              </w:rPr>
              <w:instrText xml:space="preserve"> PAGEREF _Toc206082875 \h </w:instrText>
            </w:r>
            <w:r>
              <w:rPr>
                <w:noProof/>
                <w:webHidden/>
              </w:rPr>
            </w:r>
            <w:r>
              <w:rPr>
                <w:noProof/>
                <w:webHidden/>
              </w:rPr>
              <w:fldChar w:fldCharType="separate"/>
            </w:r>
            <w:r>
              <w:rPr>
                <w:noProof/>
                <w:webHidden/>
              </w:rPr>
              <w:t>46</w:t>
            </w:r>
            <w:r>
              <w:rPr>
                <w:noProof/>
                <w:webHidden/>
              </w:rPr>
              <w:fldChar w:fldCharType="end"/>
            </w:r>
          </w:hyperlink>
        </w:p>
        <w:p w14:paraId="77659F2D" w14:textId="4D64AFB5"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2" w:name="_Toc98931917"/>
      <w:bookmarkStart w:id="3" w:name="_Toc103679287"/>
      <w:bookmarkStart w:id="4" w:name="_Toc206082843"/>
      <w:bookmarkStart w:id="5" w:name="_Toc323739589"/>
      <w:bookmarkStart w:id="6" w:name="_Toc356305216"/>
      <w:r>
        <w:lastRenderedPageBreak/>
        <w:t>List of abbreviations</w:t>
      </w:r>
      <w:bookmarkEnd w:id="2"/>
      <w:bookmarkEnd w:id="3"/>
      <w:bookmarkEnd w:id="4"/>
    </w:p>
    <w:tbl>
      <w:tblPr>
        <w:tblStyle w:val="TableTGAblue2023"/>
        <w:tblW w:w="9430" w:type="dxa"/>
        <w:tblLook w:val="04A0" w:firstRow="1" w:lastRow="0" w:firstColumn="1" w:lastColumn="0" w:noHBand="0" w:noVBand="1"/>
      </w:tblPr>
      <w:tblGrid>
        <w:gridCol w:w="2263"/>
        <w:gridCol w:w="7167"/>
      </w:tblGrid>
      <w:tr w:rsidR="009954EE" w:rsidRPr="003D71A1" w14:paraId="60550CCE" w14:textId="77777777" w:rsidTr="0054256E">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263" w:type="dxa"/>
          </w:tcPr>
          <w:p w14:paraId="32C89112" w14:textId="77777777" w:rsidR="009954EE" w:rsidRPr="007C71D5" w:rsidRDefault="009954EE" w:rsidP="0054256E">
            <w:pPr>
              <w:rPr>
                <w:szCs w:val="22"/>
              </w:rPr>
            </w:pPr>
            <w:bookmarkStart w:id="7" w:name="_Hlk133418605"/>
            <w:r w:rsidRPr="007C71D5">
              <w:rPr>
                <w:szCs w:val="22"/>
              </w:rPr>
              <w:t>Abbreviation</w:t>
            </w:r>
          </w:p>
        </w:tc>
        <w:tc>
          <w:tcPr>
            <w:tcW w:w="7167" w:type="dxa"/>
          </w:tcPr>
          <w:p w14:paraId="53723B2D" w14:textId="77777777" w:rsidR="009954EE" w:rsidRPr="007C71D5" w:rsidRDefault="009954EE" w:rsidP="0054256E">
            <w:pPr>
              <w:cnfStyle w:val="100000000000" w:firstRow="1" w:lastRow="0" w:firstColumn="0" w:lastColumn="0" w:oddVBand="0" w:evenVBand="0" w:oddHBand="0" w:evenHBand="0" w:firstRowFirstColumn="0" w:firstRowLastColumn="0" w:lastRowFirstColumn="0" w:lastRowLastColumn="0"/>
              <w:rPr>
                <w:szCs w:val="22"/>
              </w:rPr>
            </w:pPr>
            <w:r w:rsidRPr="007C71D5">
              <w:rPr>
                <w:szCs w:val="22"/>
              </w:rPr>
              <w:t>Meaning</w:t>
            </w:r>
          </w:p>
        </w:tc>
      </w:tr>
      <w:tr w:rsidR="009954EE" w:rsidRPr="002B2C82" w14:paraId="495F5EBF"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9D92469" w14:textId="77777777" w:rsidR="009954EE" w:rsidRPr="0002523C" w:rsidRDefault="009954EE" w:rsidP="0054256E">
            <w:pPr>
              <w:rPr>
                <w:szCs w:val="32"/>
              </w:rPr>
            </w:pPr>
            <w:r w:rsidRPr="0002523C">
              <w:rPr>
                <w:szCs w:val="32"/>
              </w:rPr>
              <w:t>%CV</w:t>
            </w:r>
          </w:p>
        </w:tc>
        <w:tc>
          <w:tcPr>
            <w:tcW w:w="7167" w:type="dxa"/>
          </w:tcPr>
          <w:p w14:paraId="5A56A75C"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32"/>
              </w:rPr>
            </w:pPr>
            <w:r w:rsidRPr="0002523C">
              <w:rPr>
                <w:szCs w:val="32"/>
                <w:lang w:val="en-GB"/>
              </w:rPr>
              <w:t>Percent coefficient of variation</w:t>
            </w:r>
          </w:p>
        </w:tc>
      </w:tr>
      <w:tr w:rsidR="009954EE" w:rsidRPr="002B2C82" w14:paraId="34FC0785"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AC2958F" w14:textId="77777777" w:rsidR="009954EE" w:rsidRPr="0002523C" w:rsidRDefault="009954EE" w:rsidP="0054256E">
            <w:pPr>
              <w:rPr>
                <w:rFonts w:cstheme="minorHAnsi"/>
                <w:szCs w:val="24"/>
              </w:rPr>
            </w:pPr>
            <w:r w:rsidRPr="0002523C">
              <w:rPr>
                <w:rFonts w:cstheme="minorHAnsi"/>
                <w:szCs w:val="24"/>
              </w:rPr>
              <w:t>ACM</w:t>
            </w:r>
          </w:p>
        </w:tc>
        <w:tc>
          <w:tcPr>
            <w:tcW w:w="7167" w:type="dxa"/>
          </w:tcPr>
          <w:p w14:paraId="45F0766D"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02523C">
              <w:rPr>
                <w:szCs w:val="24"/>
              </w:rPr>
              <w:t>Advisory Committee on Medicines</w:t>
            </w:r>
          </w:p>
        </w:tc>
      </w:tr>
      <w:tr w:rsidR="009954EE" w:rsidRPr="002B2C82" w14:paraId="185C3EC6"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3B93D94" w14:textId="77777777" w:rsidR="009954EE" w:rsidRPr="0002523C" w:rsidRDefault="009954EE" w:rsidP="0054256E">
            <w:pPr>
              <w:rPr>
                <w:rFonts w:cstheme="minorHAnsi"/>
                <w:szCs w:val="40"/>
              </w:rPr>
            </w:pPr>
            <w:r w:rsidRPr="0002523C">
              <w:rPr>
                <w:rFonts w:cstheme="minorHAnsi"/>
                <w:szCs w:val="40"/>
              </w:rPr>
              <w:t>AE(s)</w:t>
            </w:r>
          </w:p>
        </w:tc>
        <w:tc>
          <w:tcPr>
            <w:tcW w:w="7167" w:type="dxa"/>
          </w:tcPr>
          <w:p w14:paraId="347C1C73"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40"/>
              </w:rPr>
            </w:pPr>
            <w:r w:rsidRPr="0002523C">
              <w:rPr>
                <w:rFonts w:cstheme="minorHAnsi"/>
                <w:szCs w:val="40"/>
              </w:rPr>
              <w:t>Adverse event(s)</w:t>
            </w:r>
          </w:p>
        </w:tc>
      </w:tr>
      <w:tr w:rsidR="009954EE" w:rsidRPr="002B2C82" w14:paraId="63240BFB"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5E0E0FD" w14:textId="77777777" w:rsidR="009954EE" w:rsidRPr="0002523C" w:rsidRDefault="009954EE" w:rsidP="0054256E">
            <w:pPr>
              <w:rPr>
                <w:rFonts w:cstheme="minorHAnsi"/>
                <w:szCs w:val="48"/>
              </w:rPr>
            </w:pPr>
            <w:r w:rsidRPr="0002523C">
              <w:rPr>
                <w:rFonts w:cstheme="minorHAnsi"/>
                <w:szCs w:val="48"/>
              </w:rPr>
              <w:t>ALT</w:t>
            </w:r>
          </w:p>
        </w:tc>
        <w:tc>
          <w:tcPr>
            <w:tcW w:w="7167" w:type="dxa"/>
          </w:tcPr>
          <w:p w14:paraId="3F240015"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8"/>
              </w:rPr>
            </w:pPr>
            <w:r w:rsidRPr="0002523C">
              <w:rPr>
                <w:szCs w:val="48"/>
              </w:rPr>
              <w:t>Alanine aminotransferase</w:t>
            </w:r>
          </w:p>
        </w:tc>
      </w:tr>
      <w:tr w:rsidR="009954EE" w:rsidRPr="002B2C82" w14:paraId="3C274ACE"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8EC7AAA" w14:textId="77777777" w:rsidR="009954EE" w:rsidRPr="0002523C" w:rsidRDefault="009954EE" w:rsidP="0054256E">
            <w:pPr>
              <w:rPr>
                <w:rFonts w:cstheme="minorHAnsi"/>
                <w:szCs w:val="32"/>
              </w:rPr>
            </w:pPr>
            <w:r w:rsidRPr="0002523C">
              <w:rPr>
                <w:rFonts w:cstheme="minorHAnsi"/>
                <w:szCs w:val="32"/>
              </w:rPr>
              <w:t>ARTG</w:t>
            </w:r>
          </w:p>
        </w:tc>
        <w:tc>
          <w:tcPr>
            <w:tcW w:w="7167" w:type="dxa"/>
          </w:tcPr>
          <w:p w14:paraId="232ACDD6"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32"/>
              </w:rPr>
            </w:pPr>
            <w:r w:rsidRPr="0002523C">
              <w:rPr>
                <w:rFonts w:cstheme="minorHAnsi"/>
                <w:szCs w:val="32"/>
              </w:rPr>
              <w:t>Australian Register of Therapeutic Goods</w:t>
            </w:r>
          </w:p>
        </w:tc>
      </w:tr>
      <w:tr w:rsidR="009954EE" w:rsidRPr="002B2C82" w14:paraId="3DC9D4C2"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A6DA64A" w14:textId="77777777" w:rsidR="009954EE" w:rsidRPr="0002523C" w:rsidRDefault="009954EE" w:rsidP="0054256E">
            <w:pPr>
              <w:rPr>
                <w:szCs w:val="32"/>
              </w:rPr>
            </w:pPr>
            <w:r w:rsidRPr="0002523C">
              <w:rPr>
                <w:szCs w:val="32"/>
              </w:rPr>
              <w:t>ASA</w:t>
            </w:r>
          </w:p>
        </w:tc>
        <w:tc>
          <w:tcPr>
            <w:tcW w:w="7167" w:type="dxa"/>
          </w:tcPr>
          <w:p w14:paraId="6B913C79"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32"/>
              </w:rPr>
            </w:pPr>
            <w:r w:rsidRPr="0002523C">
              <w:rPr>
                <w:szCs w:val="32"/>
              </w:rPr>
              <w:t>Australian-specific annex</w:t>
            </w:r>
          </w:p>
        </w:tc>
      </w:tr>
      <w:tr w:rsidR="009954EE" w:rsidRPr="002B2C82" w14:paraId="26EBB5AB"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2F3F869" w14:textId="77777777" w:rsidR="009954EE" w:rsidRPr="0002523C" w:rsidRDefault="009954EE" w:rsidP="0054256E">
            <w:pPr>
              <w:rPr>
                <w:szCs w:val="40"/>
              </w:rPr>
            </w:pPr>
            <w:r w:rsidRPr="0002523C">
              <w:rPr>
                <w:szCs w:val="40"/>
              </w:rPr>
              <w:t>AST</w:t>
            </w:r>
          </w:p>
        </w:tc>
        <w:tc>
          <w:tcPr>
            <w:tcW w:w="7167" w:type="dxa"/>
          </w:tcPr>
          <w:p w14:paraId="648D9721"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0"/>
              </w:rPr>
            </w:pPr>
            <w:r w:rsidRPr="0002523C">
              <w:rPr>
                <w:szCs w:val="40"/>
              </w:rPr>
              <w:t>Aspartate aminotransferase</w:t>
            </w:r>
          </w:p>
        </w:tc>
      </w:tr>
      <w:tr w:rsidR="009954EE" w:rsidRPr="002B2C82" w14:paraId="6F502252"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BA52216" w14:textId="77777777" w:rsidR="009954EE" w:rsidRPr="0002523C" w:rsidRDefault="009954EE" w:rsidP="0054256E">
            <w:pPr>
              <w:rPr>
                <w:szCs w:val="22"/>
              </w:rPr>
            </w:pPr>
            <w:r w:rsidRPr="0002523C">
              <w:rPr>
                <w:szCs w:val="22"/>
              </w:rPr>
              <w:t>AUC</w:t>
            </w:r>
          </w:p>
        </w:tc>
        <w:tc>
          <w:tcPr>
            <w:tcW w:w="7167" w:type="dxa"/>
          </w:tcPr>
          <w:p w14:paraId="49196BFA"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22"/>
                <w:lang w:val="en-GB"/>
              </w:rPr>
            </w:pPr>
            <w:r w:rsidRPr="0002523C">
              <w:rPr>
                <w:szCs w:val="22"/>
              </w:rPr>
              <w:t>Area under the concentration time curve</w:t>
            </w:r>
          </w:p>
        </w:tc>
      </w:tr>
      <w:tr w:rsidR="009954EE" w:rsidRPr="002B2C82" w14:paraId="11356DE3"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0418F15" w14:textId="77777777" w:rsidR="009954EE" w:rsidRPr="0002523C" w:rsidRDefault="009954EE" w:rsidP="0054256E">
            <w:pPr>
              <w:rPr>
                <w:rFonts w:cstheme="minorHAnsi"/>
                <w:szCs w:val="22"/>
              </w:rPr>
            </w:pPr>
            <w:r w:rsidRPr="0002523C">
              <w:rPr>
                <w:szCs w:val="22"/>
              </w:rPr>
              <w:t>AUC</w:t>
            </w:r>
            <w:r w:rsidRPr="0002523C">
              <w:rPr>
                <w:szCs w:val="22"/>
                <w:vertAlign w:val="subscript"/>
              </w:rPr>
              <w:t>0-24</w:t>
            </w:r>
          </w:p>
        </w:tc>
        <w:tc>
          <w:tcPr>
            <w:tcW w:w="7167" w:type="dxa"/>
          </w:tcPr>
          <w:p w14:paraId="1E1B1D08"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22"/>
              </w:rPr>
            </w:pPr>
            <w:r w:rsidRPr="0002523C">
              <w:rPr>
                <w:szCs w:val="22"/>
                <w:lang w:val="en-GB"/>
              </w:rPr>
              <w:t>Area under the concentration time curve from time 0 to 24 hours</w:t>
            </w:r>
          </w:p>
        </w:tc>
      </w:tr>
      <w:tr w:rsidR="009954EE" w:rsidRPr="002B2C82" w14:paraId="0F0CB476"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9C556DC" w14:textId="77777777" w:rsidR="009954EE" w:rsidRPr="0002523C" w:rsidRDefault="009954EE" w:rsidP="0054256E">
            <w:pPr>
              <w:rPr>
                <w:rFonts w:cstheme="minorHAnsi"/>
                <w:szCs w:val="56"/>
              </w:rPr>
            </w:pPr>
            <w:r w:rsidRPr="0002523C">
              <w:rPr>
                <w:rFonts w:cstheme="minorHAnsi"/>
                <w:szCs w:val="56"/>
              </w:rPr>
              <w:t>BCRP</w:t>
            </w:r>
          </w:p>
        </w:tc>
        <w:tc>
          <w:tcPr>
            <w:tcW w:w="7167" w:type="dxa"/>
          </w:tcPr>
          <w:p w14:paraId="32A21502"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56"/>
              </w:rPr>
            </w:pPr>
            <w:r w:rsidRPr="0002523C">
              <w:rPr>
                <w:szCs w:val="56"/>
              </w:rPr>
              <w:t>Breast cancer resistance protein</w:t>
            </w:r>
          </w:p>
        </w:tc>
      </w:tr>
      <w:tr w:rsidR="009954EE" w:rsidRPr="002B2C82" w14:paraId="1CD585E1"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573D853" w14:textId="77777777" w:rsidR="009954EE" w:rsidRPr="0002523C" w:rsidRDefault="009954EE" w:rsidP="0054256E">
            <w:pPr>
              <w:rPr>
                <w:rFonts w:cstheme="minorHAnsi"/>
                <w:szCs w:val="48"/>
              </w:rPr>
            </w:pPr>
            <w:r w:rsidRPr="0002523C">
              <w:rPr>
                <w:rFonts w:cstheme="minorHAnsi"/>
                <w:szCs w:val="48"/>
              </w:rPr>
              <w:t>BSC</w:t>
            </w:r>
          </w:p>
        </w:tc>
        <w:tc>
          <w:tcPr>
            <w:tcW w:w="7167" w:type="dxa"/>
          </w:tcPr>
          <w:p w14:paraId="783ED099"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8"/>
              </w:rPr>
            </w:pPr>
            <w:r w:rsidRPr="0002523C">
              <w:rPr>
                <w:szCs w:val="48"/>
              </w:rPr>
              <w:t>Best supportive care</w:t>
            </w:r>
          </w:p>
        </w:tc>
      </w:tr>
      <w:tr w:rsidR="009954EE" w:rsidRPr="002B2C82" w14:paraId="1BC0F851"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67DCBCD" w14:textId="77777777" w:rsidR="009954EE" w:rsidRPr="0002523C" w:rsidRDefault="009954EE" w:rsidP="0054256E">
            <w:pPr>
              <w:rPr>
                <w:rFonts w:cstheme="minorHAnsi"/>
                <w:szCs w:val="48"/>
              </w:rPr>
            </w:pPr>
            <w:r w:rsidRPr="0002523C">
              <w:rPr>
                <w:rFonts w:cstheme="minorHAnsi"/>
                <w:szCs w:val="48"/>
              </w:rPr>
              <w:t>CI</w:t>
            </w:r>
          </w:p>
        </w:tc>
        <w:tc>
          <w:tcPr>
            <w:tcW w:w="7167" w:type="dxa"/>
          </w:tcPr>
          <w:p w14:paraId="630040C0"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8"/>
              </w:rPr>
            </w:pPr>
            <w:r w:rsidRPr="0002523C">
              <w:rPr>
                <w:szCs w:val="48"/>
              </w:rPr>
              <w:t>Confidence interval</w:t>
            </w:r>
          </w:p>
        </w:tc>
      </w:tr>
      <w:tr w:rsidR="009954EE" w:rsidRPr="002B2C82" w14:paraId="2D73F477"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5030AD9" w14:textId="77777777" w:rsidR="009954EE" w:rsidRPr="0002523C" w:rsidRDefault="009954EE" w:rsidP="0054256E">
            <w:pPr>
              <w:rPr>
                <w:rFonts w:cstheme="minorHAnsi"/>
                <w:szCs w:val="24"/>
              </w:rPr>
            </w:pPr>
            <w:proofErr w:type="spellStart"/>
            <w:r w:rsidRPr="0002523C">
              <w:rPr>
                <w:szCs w:val="24"/>
              </w:rPr>
              <w:t>C</w:t>
            </w:r>
            <w:r w:rsidRPr="0002523C">
              <w:rPr>
                <w:szCs w:val="24"/>
                <w:vertAlign w:val="subscript"/>
              </w:rPr>
              <w:t>max</w:t>
            </w:r>
            <w:proofErr w:type="spellEnd"/>
          </w:p>
        </w:tc>
        <w:tc>
          <w:tcPr>
            <w:tcW w:w="7167" w:type="dxa"/>
          </w:tcPr>
          <w:p w14:paraId="70C41559"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02523C">
              <w:rPr>
                <w:rFonts w:cstheme="minorHAnsi"/>
                <w:szCs w:val="24"/>
              </w:rPr>
              <w:t>Maximum concentration</w:t>
            </w:r>
          </w:p>
        </w:tc>
      </w:tr>
      <w:tr w:rsidR="009954EE" w:rsidRPr="002B2C82" w14:paraId="1A1314BF"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47639E5" w14:textId="77777777" w:rsidR="009954EE" w:rsidRPr="0002523C" w:rsidRDefault="009954EE" w:rsidP="0054256E">
            <w:pPr>
              <w:rPr>
                <w:rFonts w:cstheme="minorHAnsi"/>
                <w:color w:val="auto"/>
                <w:szCs w:val="22"/>
              </w:rPr>
            </w:pPr>
            <w:r w:rsidRPr="0002523C">
              <w:rPr>
                <w:rFonts w:cstheme="minorHAnsi"/>
                <w:color w:val="auto"/>
                <w:szCs w:val="22"/>
              </w:rPr>
              <w:t>CMI</w:t>
            </w:r>
          </w:p>
        </w:tc>
        <w:tc>
          <w:tcPr>
            <w:tcW w:w="7167" w:type="dxa"/>
          </w:tcPr>
          <w:p w14:paraId="5697D6AA"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2523C">
              <w:rPr>
                <w:rFonts w:cstheme="minorHAnsi"/>
                <w:color w:val="auto"/>
                <w:szCs w:val="22"/>
              </w:rPr>
              <w:t>Consumer Medicines Information</w:t>
            </w:r>
          </w:p>
        </w:tc>
      </w:tr>
      <w:tr w:rsidR="009954EE" w:rsidRPr="00106388" w14:paraId="75EC441A"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90FA6D2" w14:textId="77777777" w:rsidR="009954EE" w:rsidRPr="0002523C" w:rsidRDefault="009954EE" w:rsidP="0054256E">
            <w:pPr>
              <w:rPr>
                <w:rFonts w:cstheme="minorHAnsi"/>
                <w:szCs w:val="40"/>
              </w:rPr>
            </w:pPr>
            <w:r w:rsidRPr="0002523C">
              <w:rPr>
                <w:rFonts w:cstheme="minorHAnsi"/>
                <w:szCs w:val="40"/>
              </w:rPr>
              <w:t>CRC</w:t>
            </w:r>
          </w:p>
        </w:tc>
        <w:tc>
          <w:tcPr>
            <w:tcW w:w="7167" w:type="dxa"/>
          </w:tcPr>
          <w:p w14:paraId="187FB26A"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40"/>
              </w:rPr>
            </w:pPr>
            <w:r w:rsidRPr="0002523C">
              <w:rPr>
                <w:rFonts w:cstheme="minorHAnsi"/>
                <w:szCs w:val="40"/>
              </w:rPr>
              <w:t>Colorectal cancer</w:t>
            </w:r>
          </w:p>
        </w:tc>
      </w:tr>
      <w:tr w:rsidR="009954EE" w:rsidRPr="00106388" w14:paraId="77E3768B"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3FD911C" w14:textId="77777777" w:rsidR="009954EE" w:rsidRPr="0002523C" w:rsidRDefault="009954EE" w:rsidP="0054256E">
            <w:pPr>
              <w:rPr>
                <w:rFonts w:cstheme="minorHAnsi"/>
                <w:szCs w:val="40"/>
              </w:rPr>
            </w:pPr>
            <w:r w:rsidRPr="0002523C">
              <w:rPr>
                <w:rFonts w:cstheme="minorHAnsi"/>
                <w:szCs w:val="40"/>
              </w:rPr>
              <w:t>CYP</w:t>
            </w:r>
          </w:p>
        </w:tc>
        <w:tc>
          <w:tcPr>
            <w:tcW w:w="7167" w:type="dxa"/>
          </w:tcPr>
          <w:p w14:paraId="31B495CC"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40"/>
              </w:rPr>
            </w:pPr>
            <w:r w:rsidRPr="0002523C">
              <w:rPr>
                <w:szCs w:val="40"/>
              </w:rPr>
              <w:t>Cytochrome P450 enzymes</w:t>
            </w:r>
          </w:p>
        </w:tc>
      </w:tr>
      <w:tr w:rsidR="009954EE" w:rsidRPr="00106388" w14:paraId="29E707AB"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C479E9E" w14:textId="77777777" w:rsidR="009954EE" w:rsidRPr="0002523C" w:rsidRDefault="009954EE" w:rsidP="0054256E">
            <w:pPr>
              <w:rPr>
                <w:rFonts w:cstheme="minorHAnsi"/>
                <w:szCs w:val="32"/>
              </w:rPr>
            </w:pPr>
            <w:r w:rsidRPr="0002523C">
              <w:rPr>
                <w:rFonts w:cstheme="minorHAnsi"/>
                <w:szCs w:val="32"/>
              </w:rPr>
              <w:t>DLP</w:t>
            </w:r>
          </w:p>
        </w:tc>
        <w:tc>
          <w:tcPr>
            <w:tcW w:w="7167" w:type="dxa"/>
          </w:tcPr>
          <w:p w14:paraId="129CF170"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32"/>
              </w:rPr>
            </w:pPr>
            <w:r w:rsidRPr="0002523C">
              <w:rPr>
                <w:rFonts w:cstheme="minorHAnsi"/>
                <w:szCs w:val="32"/>
              </w:rPr>
              <w:t>Data lock point</w:t>
            </w:r>
          </w:p>
        </w:tc>
      </w:tr>
      <w:tr w:rsidR="009954EE" w:rsidRPr="002B2C82" w14:paraId="6A80F55D"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F1DE485" w14:textId="77777777" w:rsidR="009954EE" w:rsidRPr="0002523C" w:rsidRDefault="009954EE" w:rsidP="0054256E">
            <w:pPr>
              <w:tabs>
                <w:tab w:val="left" w:pos="1200"/>
              </w:tabs>
              <w:rPr>
                <w:rFonts w:cstheme="minorHAnsi"/>
                <w:szCs w:val="240"/>
              </w:rPr>
            </w:pPr>
            <w:proofErr w:type="spellStart"/>
            <w:r w:rsidRPr="0002523C">
              <w:rPr>
                <w:rFonts w:cstheme="minorHAnsi"/>
                <w:szCs w:val="240"/>
              </w:rPr>
              <w:t>dMMR</w:t>
            </w:r>
            <w:proofErr w:type="spellEnd"/>
          </w:p>
        </w:tc>
        <w:tc>
          <w:tcPr>
            <w:tcW w:w="7167" w:type="dxa"/>
          </w:tcPr>
          <w:p w14:paraId="58D47B09"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240"/>
              </w:rPr>
            </w:pPr>
            <w:r w:rsidRPr="0002523C">
              <w:rPr>
                <w:szCs w:val="240"/>
              </w:rPr>
              <w:t>Deficient mismatch repair</w:t>
            </w:r>
          </w:p>
        </w:tc>
      </w:tr>
      <w:tr w:rsidR="009954EE" w:rsidRPr="002B2C82" w14:paraId="18080A69"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051DC9B" w14:textId="77777777" w:rsidR="009954EE" w:rsidRPr="0002523C" w:rsidRDefault="009954EE" w:rsidP="0054256E">
            <w:pPr>
              <w:tabs>
                <w:tab w:val="left" w:pos="1200"/>
              </w:tabs>
              <w:rPr>
                <w:rFonts w:cstheme="minorHAnsi"/>
                <w:szCs w:val="280"/>
              </w:rPr>
            </w:pPr>
            <w:r w:rsidRPr="0002523C">
              <w:rPr>
                <w:rFonts w:cstheme="minorHAnsi"/>
                <w:szCs w:val="280"/>
              </w:rPr>
              <w:t>DOR</w:t>
            </w:r>
          </w:p>
        </w:tc>
        <w:tc>
          <w:tcPr>
            <w:tcW w:w="7167" w:type="dxa"/>
          </w:tcPr>
          <w:p w14:paraId="0F890EC3"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280"/>
                <w:lang w:val="en-GB"/>
              </w:rPr>
            </w:pPr>
            <w:r w:rsidRPr="0002523C">
              <w:rPr>
                <w:szCs w:val="280"/>
                <w:lang w:val="en-GB"/>
              </w:rPr>
              <w:t>Duration of response</w:t>
            </w:r>
          </w:p>
        </w:tc>
      </w:tr>
      <w:tr w:rsidR="009954EE" w:rsidRPr="002B2C82" w14:paraId="29196515"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7842122" w14:textId="77777777" w:rsidR="009954EE" w:rsidRPr="0002523C" w:rsidRDefault="009954EE" w:rsidP="0054256E">
            <w:pPr>
              <w:tabs>
                <w:tab w:val="left" w:pos="1200"/>
              </w:tabs>
              <w:rPr>
                <w:rFonts w:cstheme="minorHAnsi"/>
                <w:szCs w:val="240"/>
              </w:rPr>
            </w:pPr>
            <w:r w:rsidRPr="0002523C">
              <w:rPr>
                <w:rFonts w:cstheme="minorHAnsi"/>
                <w:szCs w:val="240"/>
              </w:rPr>
              <w:t>ECOG</w:t>
            </w:r>
          </w:p>
        </w:tc>
        <w:tc>
          <w:tcPr>
            <w:tcW w:w="7167" w:type="dxa"/>
          </w:tcPr>
          <w:p w14:paraId="72F7D7A9"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240"/>
              </w:rPr>
            </w:pPr>
            <w:r w:rsidRPr="0002523C">
              <w:rPr>
                <w:szCs w:val="240"/>
                <w:lang w:val="en-GB"/>
              </w:rPr>
              <w:t>Eastern Cooperative Oncology Group</w:t>
            </w:r>
          </w:p>
        </w:tc>
      </w:tr>
      <w:tr w:rsidR="009954EE" w:rsidRPr="002B2C82" w14:paraId="335322D7"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E47A5AD" w14:textId="77777777" w:rsidR="009954EE" w:rsidRPr="0002523C" w:rsidRDefault="009954EE" w:rsidP="0054256E">
            <w:pPr>
              <w:tabs>
                <w:tab w:val="left" w:pos="1200"/>
              </w:tabs>
              <w:rPr>
                <w:rFonts w:cstheme="minorHAnsi"/>
                <w:szCs w:val="200"/>
              </w:rPr>
            </w:pPr>
            <w:r w:rsidRPr="0002523C">
              <w:rPr>
                <w:rFonts w:cstheme="minorHAnsi"/>
                <w:szCs w:val="200"/>
              </w:rPr>
              <w:t>EGFR</w:t>
            </w:r>
          </w:p>
        </w:tc>
        <w:tc>
          <w:tcPr>
            <w:tcW w:w="7167" w:type="dxa"/>
          </w:tcPr>
          <w:p w14:paraId="2DABCFE4"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200"/>
              </w:rPr>
            </w:pPr>
            <w:r w:rsidRPr="0002523C">
              <w:rPr>
                <w:szCs w:val="200"/>
              </w:rPr>
              <w:t>Epidermal growth factor receptor</w:t>
            </w:r>
          </w:p>
        </w:tc>
      </w:tr>
      <w:tr w:rsidR="009954EE" w:rsidRPr="002B2C82" w14:paraId="2B5CD193"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76C50C0" w14:textId="77777777" w:rsidR="009954EE" w:rsidRPr="0002523C" w:rsidRDefault="009954EE" w:rsidP="0054256E">
            <w:pPr>
              <w:rPr>
                <w:rFonts w:cstheme="minorHAnsi"/>
                <w:szCs w:val="200"/>
              </w:rPr>
            </w:pPr>
            <w:r w:rsidRPr="0002523C">
              <w:rPr>
                <w:rFonts w:cstheme="minorHAnsi"/>
                <w:szCs w:val="200"/>
              </w:rPr>
              <w:t>ER</w:t>
            </w:r>
          </w:p>
        </w:tc>
        <w:tc>
          <w:tcPr>
            <w:tcW w:w="7167" w:type="dxa"/>
          </w:tcPr>
          <w:p w14:paraId="31628388" w14:textId="77777777" w:rsidR="009954EE" w:rsidRPr="0002523C" w:rsidRDefault="009954EE" w:rsidP="0054256E">
            <w:pPr>
              <w:tabs>
                <w:tab w:val="left" w:pos="2445"/>
              </w:tabs>
              <w:cnfStyle w:val="000000000000" w:firstRow="0" w:lastRow="0" w:firstColumn="0" w:lastColumn="0" w:oddVBand="0" w:evenVBand="0" w:oddHBand="0" w:evenHBand="0" w:firstRowFirstColumn="0" w:firstRowLastColumn="0" w:lastRowFirstColumn="0" w:lastRowLastColumn="0"/>
              <w:rPr>
                <w:szCs w:val="200"/>
              </w:rPr>
            </w:pPr>
            <w:r w:rsidRPr="0002523C">
              <w:rPr>
                <w:szCs w:val="200"/>
              </w:rPr>
              <w:t>Exposure ratio</w:t>
            </w:r>
          </w:p>
        </w:tc>
      </w:tr>
      <w:tr w:rsidR="009954EE" w:rsidRPr="002B2C82" w14:paraId="537CBD01"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2E0ADB9" w14:textId="77777777" w:rsidR="009954EE" w:rsidRPr="0002523C" w:rsidRDefault="009954EE" w:rsidP="0054256E">
            <w:pPr>
              <w:rPr>
                <w:rFonts w:cstheme="minorHAnsi"/>
                <w:szCs w:val="200"/>
              </w:rPr>
            </w:pPr>
            <w:r w:rsidRPr="0002523C">
              <w:rPr>
                <w:rFonts w:cstheme="minorHAnsi"/>
                <w:szCs w:val="200"/>
              </w:rPr>
              <w:t>ERAUC</w:t>
            </w:r>
          </w:p>
        </w:tc>
        <w:tc>
          <w:tcPr>
            <w:tcW w:w="7167" w:type="dxa"/>
          </w:tcPr>
          <w:p w14:paraId="20756A53" w14:textId="77777777" w:rsidR="009954EE" w:rsidRPr="0002523C" w:rsidRDefault="009954EE" w:rsidP="0054256E">
            <w:pPr>
              <w:tabs>
                <w:tab w:val="left" w:pos="2445"/>
              </w:tabs>
              <w:cnfStyle w:val="000000000000" w:firstRow="0" w:lastRow="0" w:firstColumn="0" w:lastColumn="0" w:oddVBand="0" w:evenVBand="0" w:oddHBand="0" w:evenHBand="0" w:firstRowFirstColumn="0" w:firstRowLastColumn="0" w:lastRowFirstColumn="0" w:lastRowLastColumn="0"/>
              <w:rPr>
                <w:szCs w:val="200"/>
              </w:rPr>
            </w:pPr>
            <w:r w:rsidRPr="0002523C">
              <w:rPr>
                <w:szCs w:val="200"/>
              </w:rPr>
              <w:t>Exposure ratio based on area under the concentration-time curve</w:t>
            </w:r>
          </w:p>
        </w:tc>
      </w:tr>
      <w:tr w:rsidR="009954EE" w:rsidRPr="002B2C82" w14:paraId="6DB6FF15"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36BBACF" w14:textId="77777777" w:rsidR="009954EE" w:rsidRPr="0002523C" w:rsidRDefault="009954EE" w:rsidP="0054256E">
            <w:pPr>
              <w:rPr>
                <w:rFonts w:cstheme="minorHAnsi"/>
                <w:szCs w:val="160"/>
              </w:rPr>
            </w:pPr>
            <w:r w:rsidRPr="0002523C">
              <w:rPr>
                <w:rFonts w:cstheme="minorHAnsi"/>
                <w:szCs w:val="160"/>
              </w:rPr>
              <w:t>EU</w:t>
            </w:r>
          </w:p>
        </w:tc>
        <w:tc>
          <w:tcPr>
            <w:tcW w:w="7167" w:type="dxa"/>
          </w:tcPr>
          <w:p w14:paraId="06EA832D" w14:textId="77777777" w:rsidR="009954EE" w:rsidRPr="0002523C" w:rsidRDefault="009954EE" w:rsidP="0054256E">
            <w:pPr>
              <w:tabs>
                <w:tab w:val="left" w:pos="2445"/>
              </w:tabs>
              <w:cnfStyle w:val="000000000000" w:firstRow="0" w:lastRow="0" w:firstColumn="0" w:lastColumn="0" w:oddVBand="0" w:evenVBand="0" w:oddHBand="0" w:evenHBand="0" w:firstRowFirstColumn="0" w:firstRowLastColumn="0" w:lastRowFirstColumn="0" w:lastRowLastColumn="0"/>
              <w:rPr>
                <w:szCs w:val="160"/>
              </w:rPr>
            </w:pPr>
            <w:r w:rsidRPr="0002523C">
              <w:rPr>
                <w:szCs w:val="160"/>
              </w:rPr>
              <w:t>European Union</w:t>
            </w:r>
          </w:p>
        </w:tc>
      </w:tr>
      <w:tr w:rsidR="009954EE" w:rsidRPr="002B2C82" w14:paraId="76CD855C"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064A924" w14:textId="77777777" w:rsidR="009954EE" w:rsidRPr="0002523C" w:rsidRDefault="009954EE" w:rsidP="0054256E">
            <w:pPr>
              <w:rPr>
                <w:rFonts w:cstheme="minorHAnsi"/>
                <w:szCs w:val="96"/>
              </w:rPr>
            </w:pPr>
            <w:r w:rsidRPr="0002523C">
              <w:rPr>
                <w:rFonts w:cstheme="minorHAnsi"/>
                <w:szCs w:val="96"/>
              </w:rPr>
              <w:t>FDA</w:t>
            </w:r>
          </w:p>
        </w:tc>
        <w:tc>
          <w:tcPr>
            <w:tcW w:w="7167" w:type="dxa"/>
          </w:tcPr>
          <w:p w14:paraId="50B97BC1"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96"/>
              </w:rPr>
            </w:pPr>
            <w:r w:rsidRPr="0002523C">
              <w:rPr>
                <w:szCs w:val="96"/>
              </w:rPr>
              <w:t>United States Food and Drug Administration</w:t>
            </w:r>
          </w:p>
        </w:tc>
      </w:tr>
      <w:tr w:rsidR="009954EE" w:rsidRPr="002B2C82" w14:paraId="52F6A0A4"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58209FD" w14:textId="77777777" w:rsidR="009954EE" w:rsidRPr="0002523C" w:rsidRDefault="009954EE" w:rsidP="0054256E">
            <w:pPr>
              <w:rPr>
                <w:rFonts w:cstheme="minorHAnsi"/>
                <w:szCs w:val="240"/>
              </w:rPr>
            </w:pPr>
            <w:r w:rsidRPr="0002523C">
              <w:rPr>
                <w:rFonts w:cstheme="minorHAnsi"/>
                <w:szCs w:val="240"/>
              </w:rPr>
              <w:t>HER2</w:t>
            </w:r>
          </w:p>
        </w:tc>
        <w:tc>
          <w:tcPr>
            <w:tcW w:w="7167" w:type="dxa"/>
          </w:tcPr>
          <w:p w14:paraId="28C61A95"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240"/>
              </w:rPr>
            </w:pPr>
            <w:r w:rsidRPr="0002523C">
              <w:rPr>
                <w:szCs w:val="240"/>
              </w:rPr>
              <w:t>Human epidermal growth factor receptor 2</w:t>
            </w:r>
          </w:p>
        </w:tc>
      </w:tr>
      <w:tr w:rsidR="009954EE" w:rsidRPr="002B2C82" w14:paraId="390EED45"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A7D9D9A" w14:textId="77777777" w:rsidR="009954EE" w:rsidRPr="0002523C" w:rsidRDefault="009954EE" w:rsidP="0054256E">
            <w:pPr>
              <w:rPr>
                <w:rFonts w:cstheme="minorHAnsi"/>
                <w:szCs w:val="240"/>
              </w:rPr>
            </w:pPr>
            <w:r w:rsidRPr="0002523C">
              <w:rPr>
                <w:rFonts w:cstheme="minorHAnsi"/>
                <w:szCs w:val="240"/>
              </w:rPr>
              <w:t>IC</w:t>
            </w:r>
            <w:r w:rsidRPr="0002523C">
              <w:rPr>
                <w:rFonts w:cstheme="minorHAnsi"/>
                <w:szCs w:val="240"/>
                <w:vertAlign w:val="subscript"/>
              </w:rPr>
              <w:t>50</w:t>
            </w:r>
          </w:p>
        </w:tc>
        <w:tc>
          <w:tcPr>
            <w:tcW w:w="7167" w:type="dxa"/>
          </w:tcPr>
          <w:p w14:paraId="2013F79C"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240"/>
              </w:rPr>
            </w:pPr>
            <w:r w:rsidRPr="0002523C">
              <w:rPr>
                <w:szCs w:val="240"/>
              </w:rPr>
              <w:t>Concentration that achieves 50% inhibition</w:t>
            </w:r>
          </w:p>
        </w:tc>
      </w:tr>
      <w:tr w:rsidR="009954EE" w:rsidRPr="002B2C82" w14:paraId="3774E8DB"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CB1427E" w14:textId="77777777" w:rsidR="009954EE" w:rsidRPr="0002523C" w:rsidRDefault="009954EE" w:rsidP="0054256E">
            <w:pPr>
              <w:rPr>
                <w:iCs/>
                <w:szCs w:val="160"/>
              </w:rPr>
            </w:pPr>
            <w:r w:rsidRPr="0002523C">
              <w:rPr>
                <w:iCs/>
                <w:szCs w:val="160"/>
              </w:rPr>
              <w:t>MATE</w:t>
            </w:r>
          </w:p>
        </w:tc>
        <w:tc>
          <w:tcPr>
            <w:tcW w:w="7167" w:type="dxa"/>
          </w:tcPr>
          <w:p w14:paraId="075087C3"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iCs/>
                <w:szCs w:val="160"/>
              </w:rPr>
            </w:pPr>
            <w:r w:rsidRPr="0002523C">
              <w:rPr>
                <w:iCs/>
                <w:szCs w:val="160"/>
              </w:rPr>
              <w:t>Multidrug and toxin extrusion protein</w:t>
            </w:r>
          </w:p>
        </w:tc>
      </w:tr>
      <w:tr w:rsidR="009954EE" w:rsidRPr="002B2C82" w14:paraId="73E7E10C"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B15E90F" w14:textId="77777777" w:rsidR="009954EE" w:rsidRPr="0002523C" w:rsidRDefault="009954EE" w:rsidP="0054256E">
            <w:pPr>
              <w:rPr>
                <w:iCs/>
                <w:szCs w:val="96"/>
              </w:rPr>
            </w:pPr>
            <w:r w:rsidRPr="0002523C">
              <w:rPr>
                <w:iCs/>
                <w:szCs w:val="96"/>
              </w:rPr>
              <w:t>mCRC</w:t>
            </w:r>
          </w:p>
        </w:tc>
        <w:tc>
          <w:tcPr>
            <w:tcW w:w="7167" w:type="dxa"/>
          </w:tcPr>
          <w:p w14:paraId="329AB393"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iCs/>
                <w:szCs w:val="96"/>
              </w:rPr>
            </w:pPr>
            <w:r w:rsidRPr="0002523C">
              <w:rPr>
                <w:iCs/>
                <w:szCs w:val="96"/>
              </w:rPr>
              <w:t>Metastatic colorectal cancer</w:t>
            </w:r>
          </w:p>
        </w:tc>
      </w:tr>
      <w:tr w:rsidR="009954EE" w:rsidRPr="002B2C82" w14:paraId="5DA6E116"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1B1709D" w14:textId="77777777" w:rsidR="009954EE" w:rsidRPr="0002523C" w:rsidRDefault="009954EE" w:rsidP="0054256E">
            <w:pPr>
              <w:rPr>
                <w:iCs/>
                <w:szCs w:val="96"/>
              </w:rPr>
            </w:pPr>
            <w:r w:rsidRPr="0002523C">
              <w:rPr>
                <w:iCs/>
                <w:szCs w:val="96"/>
              </w:rPr>
              <w:t>MSI-h</w:t>
            </w:r>
          </w:p>
        </w:tc>
        <w:tc>
          <w:tcPr>
            <w:tcW w:w="7167" w:type="dxa"/>
          </w:tcPr>
          <w:p w14:paraId="2F39F633"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iCs/>
                <w:szCs w:val="96"/>
              </w:rPr>
            </w:pPr>
            <w:r w:rsidRPr="0002523C">
              <w:rPr>
                <w:szCs w:val="96"/>
              </w:rPr>
              <w:t>Microsatellite instability-high</w:t>
            </w:r>
          </w:p>
        </w:tc>
      </w:tr>
      <w:tr w:rsidR="009954EE" w:rsidRPr="002B2C82" w14:paraId="5FDAB635"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615EBAC" w14:textId="77777777" w:rsidR="009954EE" w:rsidRPr="0002523C" w:rsidRDefault="009954EE" w:rsidP="0054256E">
            <w:pPr>
              <w:rPr>
                <w:rFonts w:cstheme="minorHAnsi"/>
                <w:szCs w:val="32"/>
              </w:rPr>
            </w:pPr>
            <w:r w:rsidRPr="0002523C">
              <w:rPr>
                <w:rFonts w:cstheme="minorHAnsi"/>
                <w:szCs w:val="32"/>
              </w:rPr>
              <w:t>NCCN</w:t>
            </w:r>
          </w:p>
        </w:tc>
        <w:tc>
          <w:tcPr>
            <w:tcW w:w="7167" w:type="dxa"/>
          </w:tcPr>
          <w:p w14:paraId="71FF07CA"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32"/>
              </w:rPr>
            </w:pPr>
            <w:r w:rsidRPr="0002523C">
              <w:rPr>
                <w:rFonts w:cstheme="minorHAnsi"/>
                <w:szCs w:val="32"/>
              </w:rPr>
              <w:t>National Comprehensive Cancer Network</w:t>
            </w:r>
          </w:p>
        </w:tc>
      </w:tr>
      <w:tr w:rsidR="009954EE" w:rsidRPr="002B2C82" w14:paraId="0162A10D"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48D09C2" w14:textId="77777777" w:rsidR="009954EE" w:rsidRPr="0002523C" w:rsidRDefault="009954EE" w:rsidP="0054256E">
            <w:pPr>
              <w:rPr>
                <w:rFonts w:cstheme="minorHAnsi"/>
                <w:szCs w:val="24"/>
              </w:rPr>
            </w:pPr>
            <w:r w:rsidRPr="0002523C">
              <w:rPr>
                <w:szCs w:val="24"/>
              </w:rPr>
              <w:lastRenderedPageBreak/>
              <w:t>NCI-CTCAE</w:t>
            </w:r>
          </w:p>
        </w:tc>
        <w:tc>
          <w:tcPr>
            <w:tcW w:w="7167" w:type="dxa"/>
          </w:tcPr>
          <w:p w14:paraId="11BC5702"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02523C">
              <w:rPr>
                <w:szCs w:val="24"/>
              </w:rPr>
              <w:t>National Cancer Institute - Common Terminology Criteria for Adverse Events</w:t>
            </w:r>
          </w:p>
        </w:tc>
      </w:tr>
      <w:tr w:rsidR="009954EE" w:rsidRPr="002B2C82" w14:paraId="43775EE5"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FC9217A" w14:textId="77777777" w:rsidR="009954EE" w:rsidRPr="0002523C" w:rsidRDefault="009954EE" w:rsidP="0054256E">
            <w:pPr>
              <w:rPr>
                <w:rFonts w:cstheme="minorHAnsi"/>
                <w:szCs w:val="32"/>
              </w:rPr>
            </w:pPr>
            <w:r w:rsidRPr="0002523C">
              <w:rPr>
                <w:rFonts w:cstheme="minorHAnsi"/>
                <w:szCs w:val="32"/>
              </w:rPr>
              <w:t>OAT</w:t>
            </w:r>
          </w:p>
        </w:tc>
        <w:tc>
          <w:tcPr>
            <w:tcW w:w="7167" w:type="dxa"/>
          </w:tcPr>
          <w:p w14:paraId="2216102D"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32"/>
              </w:rPr>
            </w:pPr>
            <w:r w:rsidRPr="0002523C">
              <w:rPr>
                <w:rFonts w:cstheme="minorHAnsi"/>
                <w:szCs w:val="32"/>
              </w:rPr>
              <w:t>Organic anion transporter</w:t>
            </w:r>
          </w:p>
        </w:tc>
      </w:tr>
      <w:tr w:rsidR="009954EE" w:rsidRPr="002B2C82" w14:paraId="7780EB64"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5805B25" w14:textId="77777777" w:rsidR="009954EE" w:rsidRPr="0002523C" w:rsidRDefault="009954EE" w:rsidP="0054256E">
            <w:pPr>
              <w:rPr>
                <w:rFonts w:cstheme="minorHAnsi"/>
                <w:szCs w:val="32"/>
              </w:rPr>
            </w:pPr>
            <w:r w:rsidRPr="0002523C">
              <w:rPr>
                <w:rFonts w:cstheme="minorHAnsi"/>
                <w:szCs w:val="32"/>
              </w:rPr>
              <w:t>OATP</w:t>
            </w:r>
          </w:p>
        </w:tc>
        <w:tc>
          <w:tcPr>
            <w:tcW w:w="7167" w:type="dxa"/>
          </w:tcPr>
          <w:p w14:paraId="3835801F"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32"/>
              </w:rPr>
            </w:pPr>
            <w:r w:rsidRPr="0002523C">
              <w:rPr>
                <w:rFonts w:cstheme="minorHAnsi"/>
                <w:szCs w:val="32"/>
              </w:rPr>
              <w:t>Organic anion transporting polypeptides</w:t>
            </w:r>
          </w:p>
        </w:tc>
      </w:tr>
      <w:tr w:rsidR="009954EE" w:rsidRPr="002B2C82" w14:paraId="0A0901A8"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7D35C22" w14:textId="77777777" w:rsidR="009954EE" w:rsidRPr="0002523C" w:rsidRDefault="009954EE" w:rsidP="0054256E">
            <w:pPr>
              <w:rPr>
                <w:rFonts w:cstheme="minorHAnsi"/>
                <w:szCs w:val="40"/>
              </w:rPr>
            </w:pPr>
            <w:r w:rsidRPr="0002523C">
              <w:rPr>
                <w:rFonts w:cstheme="minorHAnsi"/>
                <w:szCs w:val="40"/>
              </w:rPr>
              <w:t>ORR</w:t>
            </w:r>
          </w:p>
        </w:tc>
        <w:tc>
          <w:tcPr>
            <w:tcW w:w="7167" w:type="dxa"/>
          </w:tcPr>
          <w:p w14:paraId="7282411E"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40"/>
              </w:rPr>
            </w:pPr>
            <w:r w:rsidRPr="0002523C">
              <w:rPr>
                <w:rFonts w:cstheme="minorHAnsi"/>
                <w:szCs w:val="40"/>
              </w:rPr>
              <w:t>Objective response rate</w:t>
            </w:r>
          </w:p>
        </w:tc>
      </w:tr>
      <w:tr w:rsidR="009954EE" w:rsidRPr="002B2C82" w14:paraId="580F5450"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69130EC" w14:textId="77777777" w:rsidR="009954EE" w:rsidRPr="0002523C" w:rsidRDefault="009954EE" w:rsidP="0054256E">
            <w:pPr>
              <w:rPr>
                <w:rFonts w:cstheme="minorHAnsi"/>
                <w:szCs w:val="32"/>
              </w:rPr>
            </w:pPr>
            <w:r w:rsidRPr="0002523C">
              <w:rPr>
                <w:rFonts w:cstheme="minorHAnsi"/>
                <w:szCs w:val="32"/>
              </w:rPr>
              <w:t>OS</w:t>
            </w:r>
          </w:p>
        </w:tc>
        <w:tc>
          <w:tcPr>
            <w:tcW w:w="7167" w:type="dxa"/>
          </w:tcPr>
          <w:p w14:paraId="5B0E8BA0"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32"/>
              </w:rPr>
            </w:pPr>
            <w:r w:rsidRPr="0002523C">
              <w:rPr>
                <w:rFonts w:cstheme="minorHAnsi"/>
                <w:szCs w:val="32"/>
              </w:rPr>
              <w:t>Overall survival</w:t>
            </w:r>
          </w:p>
        </w:tc>
      </w:tr>
      <w:tr w:rsidR="009954EE" w:rsidRPr="002B2C82" w14:paraId="383D7613"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F225D13" w14:textId="77777777" w:rsidR="009954EE" w:rsidRPr="0002523C" w:rsidRDefault="009954EE" w:rsidP="0054256E">
            <w:pPr>
              <w:rPr>
                <w:rFonts w:cstheme="minorHAnsi"/>
                <w:szCs w:val="32"/>
              </w:rPr>
            </w:pPr>
            <w:r w:rsidRPr="0002523C">
              <w:rPr>
                <w:rFonts w:cstheme="minorHAnsi"/>
                <w:szCs w:val="32"/>
              </w:rPr>
              <w:t>PFS</w:t>
            </w:r>
          </w:p>
        </w:tc>
        <w:tc>
          <w:tcPr>
            <w:tcW w:w="7167" w:type="dxa"/>
          </w:tcPr>
          <w:p w14:paraId="44597DD7"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32"/>
              </w:rPr>
            </w:pPr>
            <w:r w:rsidRPr="0002523C">
              <w:rPr>
                <w:szCs w:val="32"/>
              </w:rPr>
              <w:t>Progression-free survival</w:t>
            </w:r>
          </w:p>
        </w:tc>
      </w:tr>
      <w:tr w:rsidR="009954EE" w:rsidRPr="002B2C82" w14:paraId="4E835525"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8E78FFE" w14:textId="77777777" w:rsidR="009954EE" w:rsidRPr="0002523C" w:rsidRDefault="009954EE" w:rsidP="0054256E">
            <w:pPr>
              <w:rPr>
                <w:rFonts w:cstheme="minorHAnsi"/>
                <w:szCs w:val="24"/>
              </w:rPr>
            </w:pPr>
            <w:r w:rsidRPr="0002523C">
              <w:rPr>
                <w:rFonts w:cstheme="minorHAnsi"/>
                <w:szCs w:val="24"/>
              </w:rPr>
              <w:t>P-</w:t>
            </w:r>
            <w:proofErr w:type="spellStart"/>
            <w:r w:rsidRPr="0002523C">
              <w:rPr>
                <w:rFonts w:cstheme="minorHAnsi"/>
                <w:szCs w:val="24"/>
              </w:rPr>
              <w:t>gp</w:t>
            </w:r>
            <w:proofErr w:type="spellEnd"/>
          </w:p>
        </w:tc>
        <w:tc>
          <w:tcPr>
            <w:tcW w:w="7167" w:type="dxa"/>
          </w:tcPr>
          <w:p w14:paraId="568BDBFD"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02523C">
              <w:rPr>
                <w:szCs w:val="24"/>
              </w:rPr>
              <w:t>P-glycoprotein</w:t>
            </w:r>
          </w:p>
        </w:tc>
      </w:tr>
      <w:tr w:rsidR="009954EE" w:rsidRPr="002B2C82" w14:paraId="152DDFD7"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F665D49" w14:textId="77777777" w:rsidR="009954EE" w:rsidRPr="0002523C" w:rsidRDefault="009954EE" w:rsidP="0054256E">
            <w:pPr>
              <w:rPr>
                <w:rFonts w:cstheme="minorHAnsi"/>
                <w:color w:val="auto"/>
                <w:szCs w:val="22"/>
              </w:rPr>
            </w:pPr>
            <w:r w:rsidRPr="0002523C">
              <w:rPr>
                <w:rFonts w:cstheme="minorHAnsi"/>
                <w:color w:val="auto"/>
                <w:szCs w:val="22"/>
              </w:rPr>
              <w:t>PI</w:t>
            </w:r>
          </w:p>
        </w:tc>
        <w:tc>
          <w:tcPr>
            <w:tcW w:w="7167" w:type="dxa"/>
          </w:tcPr>
          <w:p w14:paraId="35158220"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2523C">
              <w:rPr>
                <w:rFonts w:cstheme="minorHAnsi"/>
                <w:color w:val="auto"/>
                <w:szCs w:val="22"/>
              </w:rPr>
              <w:t>Product Information</w:t>
            </w:r>
          </w:p>
        </w:tc>
      </w:tr>
      <w:tr w:rsidR="009954EE" w:rsidRPr="002B2C82" w14:paraId="6A3A21F0"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BF10942" w14:textId="77777777" w:rsidR="009954EE" w:rsidRPr="0002523C" w:rsidRDefault="009954EE" w:rsidP="0054256E">
            <w:pPr>
              <w:rPr>
                <w:rFonts w:cstheme="minorHAnsi"/>
                <w:szCs w:val="24"/>
              </w:rPr>
            </w:pPr>
            <w:r w:rsidRPr="0002523C">
              <w:rPr>
                <w:rFonts w:cstheme="minorHAnsi"/>
                <w:szCs w:val="24"/>
              </w:rPr>
              <w:t>PK</w:t>
            </w:r>
          </w:p>
        </w:tc>
        <w:tc>
          <w:tcPr>
            <w:tcW w:w="7167" w:type="dxa"/>
          </w:tcPr>
          <w:p w14:paraId="08FCEDC4"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02523C">
              <w:rPr>
                <w:rFonts w:cstheme="minorHAnsi"/>
                <w:szCs w:val="24"/>
              </w:rPr>
              <w:t>Pharmacokinetic(s)</w:t>
            </w:r>
          </w:p>
        </w:tc>
      </w:tr>
      <w:tr w:rsidR="009954EE" w:rsidRPr="002B2C82" w14:paraId="57194BA3"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334D4B2" w14:textId="77777777" w:rsidR="009954EE" w:rsidRPr="0002523C" w:rsidRDefault="009954EE" w:rsidP="0054256E">
            <w:pPr>
              <w:rPr>
                <w:rFonts w:cstheme="minorHAnsi"/>
                <w:szCs w:val="48"/>
              </w:rPr>
            </w:pPr>
            <w:proofErr w:type="spellStart"/>
            <w:r w:rsidRPr="0002523C">
              <w:rPr>
                <w:rFonts w:cstheme="minorHAnsi"/>
                <w:szCs w:val="48"/>
              </w:rPr>
              <w:t>PopPK</w:t>
            </w:r>
            <w:proofErr w:type="spellEnd"/>
          </w:p>
        </w:tc>
        <w:tc>
          <w:tcPr>
            <w:tcW w:w="7167" w:type="dxa"/>
          </w:tcPr>
          <w:p w14:paraId="2CD088B5"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48"/>
              </w:rPr>
            </w:pPr>
            <w:r w:rsidRPr="0002523C">
              <w:rPr>
                <w:rFonts w:cstheme="minorHAnsi"/>
                <w:szCs w:val="48"/>
              </w:rPr>
              <w:t>Population pharmacokinetic(s)</w:t>
            </w:r>
          </w:p>
        </w:tc>
      </w:tr>
      <w:tr w:rsidR="009954EE" w:rsidRPr="002B2C82" w14:paraId="27DB1829"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0779BCA" w14:textId="77777777" w:rsidR="009954EE" w:rsidRPr="0002523C" w:rsidRDefault="009954EE" w:rsidP="0054256E">
            <w:pPr>
              <w:rPr>
                <w:rFonts w:cstheme="minorHAnsi"/>
                <w:szCs w:val="40"/>
              </w:rPr>
            </w:pPr>
            <w:r w:rsidRPr="0002523C">
              <w:rPr>
                <w:rFonts w:cstheme="minorHAnsi"/>
                <w:szCs w:val="40"/>
              </w:rPr>
              <w:t>PRES</w:t>
            </w:r>
          </w:p>
        </w:tc>
        <w:tc>
          <w:tcPr>
            <w:tcW w:w="7167" w:type="dxa"/>
          </w:tcPr>
          <w:p w14:paraId="07A03342" w14:textId="77777777" w:rsidR="009954EE" w:rsidRPr="0002523C" w:rsidRDefault="009954EE" w:rsidP="0054256E">
            <w:pPr>
              <w:tabs>
                <w:tab w:val="center" w:pos="3532"/>
              </w:tabs>
              <w:cnfStyle w:val="000000000000" w:firstRow="0" w:lastRow="0" w:firstColumn="0" w:lastColumn="0" w:oddVBand="0" w:evenVBand="0" w:oddHBand="0" w:evenHBand="0" w:firstRowFirstColumn="0" w:firstRowLastColumn="0" w:lastRowFirstColumn="0" w:lastRowLastColumn="0"/>
              <w:rPr>
                <w:szCs w:val="40"/>
              </w:rPr>
            </w:pPr>
            <w:r w:rsidRPr="0002523C">
              <w:rPr>
                <w:szCs w:val="40"/>
              </w:rPr>
              <w:t>Posterior reversible encephalopathy syndrome</w:t>
            </w:r>
          </w:p>
        </w:tc>
      </w:tr>
      <w:tr w:rsidR="009954EE" w:rsidRPr="002B2C82" w14:paraId="6109A10C"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B3AB02E" w14:textId="77777777" w:rsidR="009954EE" w:rsidRPr="0002523C" w:rsidRDefault="009954EE" w:rsidP="0054256E">
            <w:pPr>
              <w:rPr>
                <w:rFonts w:cstheme="minorHAnsi"/>
                <w:szCs w:val="32"/>
              </w:rPr>
            </w:pPr>
            <w:r w:rsidRPr="0002523C">
              <w:rPr>
                <w:rFonts w:cstheme="minorHAnsi"/>
                <w:szCs w:val="32"/>
              </w:rPr>
              <w:t>PSUR</w:t>
            </w:r>
          </w:p>
        </w:tc>
        <w:tc>
          <w:tcPr>
            <w:tcW w:w="7167" w:type="dxa"/>
          </w:tcPr>
          <w:p w14:paraId="35859749" w14:textId="77777777" w:rsidR="009954EE" w:rsidRPr="0002523C" w:rsidRDefault="009954EE" w:rsidP="0054256E">
            <w:pPr>
              <w:tabs>
                <w:tab w:val="center" w:pos="3532"/>
              </w:tabs>
              <w:cnfStyle w:val="000000000000" w:firstRow="0" w:lastRow="0" w:firstColumn="0" w:lastColumn="0" w:oddVBand="0" w:evenVBand="0" w:oddHBand="0" w:evenHBand="0" w:firstRowFirstColumn="0" w:firstRowLastColumn="0" w:lastRowFirstColumn="0" w:lastRowLastColumn="0"/>
              <w:rPr>
                <w:szCs w:val="32"/>
              </w:rPr>
            </w:pPr>
            <w:r w:rsidRPr="0002523C">
              <w:rPr>
                <w:szCs w:val="32"/>
              </w:rPr>
              <w:t>Periodic safety update report</w:t>
            </w:r>
          </w:p>
        </w:tc>
      </w:tr>
      <w:tr w:rsidR="009954EE" w:rsidRPr="002B2C82" w14:paraId="2A9A1DCB"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974437E" w14:textId="77777777" w:rsidR="009954EE" w:rsidRPr="0002523C" w:rsidRDefault="009954EE" w:rsidP="0054256E">
            <w:pPr>
              <w:rPr>
                <w:rFonts w:cstheme="minorHAnsi"/>
                <w:color w:val="auto"/>
                <w:szCs w:val="22"/>
              </w:rPr>
            </w:pPr>
            <w:r w:rsidRPr="0002523C">
              <w:rPr>
                <w:rFonts w:cstheme="minorHAnsi"/>
                <w:color w:val="auto"/>
                <w:szCs w:val="22"/>
              </w:rPr>
              <w:t>RMP</w:t>
            </w:r>
          </w:p>
        </w:tc>
        <w:tc>
          <w:tcPr>
            <w:tcW w:w="7167" w:type="dxa"/>
          </w:tcPr>
          <w:p w14:paraId="0C4E1577" w14:textId="77777777" w:rsidR="009954EE" w:rsidRPr="0002523C" w:rsidRDefault="009954EE" w:rsidP="0054256E">
            <w:pPr>
              <w:tabs>
                <w:tab w:val="center" w:pos="3532"/>
              </w:tabs>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2523C">
              <w:rPr>
                <w:rFonts w:cstheme="minorHAnsi"/>
                <w:color w:val="auto"/>
                <w:szCs w:val="22"/>
              </w:rPr>
              <w:t>Risk management plan</w:t>
            </w:r>
          </w:p>
        </w:tc>
      </w:tr>
      <w:tr w:rsidR="009954EE" w:rsidRPr="002B2C82" w14:paraId="6B8EA40B"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575CAFC" w14:textId="77777777" w:rsidR="009954EE" w:rsidRPr="0002523C" w:rsidRDefault="009954EE" w:rsidP="0054256E">
            <w:pPr>
              <w:rPr>
                <w:rFonts w:cstheme="minorHAnsi"/>
                <w:szCs w:val="24"/>
              </w:rPr>
            </w:pPr>
            <w:r w:rsidRPr="0002523C">
              <w:rPr>
                <w:szCs w:val="24"/>
              </w:rPr>
              <w:t>TAS-102</w:t>
            </w:r>
          </w:p>
        </w:tc>
        <w:tc>
          <w:tcPr>
            <w:tcW w:w="7167" w:type="dxa"/>
          </w:tcPr>
          <w:p w14:paraId="42F9285F"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02523C">
              <w:rPr>
                <w:szCs w:val="24"/>
              </w:rPr>
              <w:t>Trifluridine/</w:t>
            </w:r>
            <w:proofErr w:type="spellStart"/>
            <w:r w:rsidRPr="0002523C">
              <w:rPr>
                <w:szCs w:val="24"/>
              </w:rPr>
              <w:t>tipiracil</w:t>
            </w:r>
            <w:proofErr w:type="spellEnd"/>
          </w:p>
        </w:tc>
      </w:tr>
      <w:tr w:rsidR="009954EE" w:rsidRPr="002B2C82" w14:paraId="12883283"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A382A8A" w14:textId="77777777" w:rsidR="009954EE" w:rsidRPr="0002523C" w:rsidRDefault="009954EE" w:rsidP="0054256E">
            <w:pPr>
              <w:rPr>
                <w:rFonts w:cstheme="minorHAnsi"/>
                <w:color w:val="auto"/>
                <w:szCs w:val="22"/>
              </w:rPr>
            </w:pPr>
            <w:r w:rsidRPr="0002523C">
              <w:rPr>
                <w:rFonts w:cstheme="minorHAnsi"/>
                <w:color w:val="auto"/>
                <w:szCs w:val="22"/>
              </w:rPr>
              <w:t>TGA</w:t>
            </w:r>
          </w:p>
        </w:tc>
        <w:tc>
          <w:tcPr>
            <w:tcW w:w="7167" w:type="dxa"/>
          </w:tcPr>
          <w:p w14:paraId="37C4C361"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rFonts w:cstheme="minorHAnsi"/>
                <w:color w:val="auto"/>
                <w:szCs w:val="22"/>
              </w:rPr>
            </w:pPr>
            <w:r w:rsidRPr="0002523C">
              <w:rPr>
                <w:rFonts w:cstheme="minorHAnsi"/>
                <w:color w:val="auto"/>
                <w:szCs w:val="22"/>
              </w:rPr>
              <w:t>Therapeutic Goods Administration</w:t>
            </w:r>
          </w:p>
        </w:tc>
      </w:tr>
      <w:tr w:rsidR="009954EE" w:rsidRPr="002B2C82" w14:paraId="21965983"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E069001" w14:textId="77777777" w:rsidR="009954EE" w:rsidRPr="0002523C" w:rsidRDefault="009954EE" w:rsidP="0054256E">
            <w:pPr>
              <w:rPr>
                <w:rFonts w:cstheme="minorHAnsi"/>
                <w:szCs w:val="48"/>
              </w:rPr>
            </w:pPr>
            <w:proofErr w:type="spellStart"/>
            <w:r w:rsidRPr="0002523C">
              <w:rPr>
                <w:rFonts w:cstheme="minorHAnsi"/>
                <w:szCs w:val="48"/>
              </w:rPr>
              <w:t>T</w:t>
            </w:r>
            <w:r w:rsidRPr="0002523C">
              <w:rPr>
                <w:rFonts w:cstheme="minorHAnsi"/>
                <w:szCs w:val="48"/>
                <w:vertAlign w:val="subscript"/>
              </w:rPr>
              <w:t>max</w:t>
            </w:r>
            <w:proofErr w:type="spellEnd"/>
          </w:p>
        </w:tc>
        <w:tc>
          <w:tcPr>
            <w:tcW w:w="7167" w:type="dxa"/>
          </w:tcPr>
          <w:p w14:paraId="2CCF239F"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8"/>
              </w:rPr>
            </w:pPr>
            <w:r w:rsidRPr="0002523C">
              <w:rPr>
                <w:szCs w:val="48"/>
              </w:rPr>
              <w:t>Time to maximum concentration</w:t>
            </w:r>
          </w:p>
        </w:tc>
      </w:tr>
      <w:tr w:rsidR="009954EE" w:rsidRPr="002B2C82" w14:paraId="37852499"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FF4CCC2" w14:textId="77777777" w:rsidR="009954EE" w:rsidRPr="0002523C" w:rsidRDefault="009954EE" w:rsidP="0054256E">
            <w:pPr>
              <w:rPr>
                <w:rFonts w:cstheme="minorHAnsi"/>
                <w:szCs w:val="48"/>
              </w:rPr>
            </w:pPr>
            <w:r w:rsidRPr="0002523C">
              <w:rPr>
                <w:rFonts w:cstheme="minorHAnsi"/>
                <w:szCs w:val="48"/>
              </w:rPr>
              <w:t>ULN</w:t>
            </w:r>
          </w:p>
        </w:tc>
        <w:tc>
          <w:tcPr>
            <w:tcW w:w="7167" w:type="dxa"/>
          </w:tcPr>
          <w:p w14:paraId="0D6003F9"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8"/>
              </w:rPr>
            </w:pPr>
            <w:r w:rsidRPr="0002523C">
              <w:rPr>
                <w:szCs w:val="48"/>
              </w:rPr>
              <w:t>Upper limit of normal</w:t>
            </w:r>
          </w:p>
        </w:tc>
      </w:tr>
      <w:tr w:rsidR="009954EE" w:rsidRPr="002B2C82" w14:paraId="7942E46C"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9D9E3D1" w14:textId="77777777" w:rsidR="009954EE" w:rsidRPr="0002523C" w:rsidRDefault="009954EE" w:rsidP="0054256E">
            <w:pPr>
              <w:rPr>
                <w:rFonts w:cstheme="minorHAnsi"/>
                <w:szCs w:val="40"/>
              </w:rPr>
            </w:pPr>
            <w:r w:rsidRPr="0002523C">
              <w:rPr>
                <w:rFonts w:cstheme="minorHAnsi"/>
                <w:szCs w:val="40"/>
              </w:rPr>
              <w:t>USA</w:t>
            </w:r>
          </w:p>
        </w:tc>
        <w:tc>
          <w:tcPr>
            <w:tcW w:w="7167" w:type="dxa"/>
          </w:tcPr>
          <w:p w14:paraId="0705816D"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0"/>
              </w:rPr>
            </w:pPr>
            <w:r w:rsidRPr="0002523C">
              <w:rPr>
                <w:szCs w:val="40"/>
              </w:rPr>
              <w:t>United States of America</w:t>
            </w:r>
          </w:p>
        </w:tc>
      </w:tr>
      <w:tr w:rsidR="009954EE" w:rsidRPr="002B2C82" w14:paraId="3554AD83"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641FB6C" w14:textId="77777777" w:rsidR="009954EE" w:rsidRPr="0002523C" w:rsidRDefault="009954EE" w:rsidP="0054256E">
            <w:pPr>
              <w:rPr>
                <w:rFonts w:cstheme="minorHAnsi"/>
                <w:szCs w:val="40"/>
              </w:rPr>
            </w:pPr>
            <w:r w:rsidRPr="0002523C">
              <w:rPr>
                <w:rFonts w:cstheme="minorHAnsi"/>
                <w:szCs w:val="40"/>
              </w:rPr>
              <w:t>VEGF</w:t>
            </w:r>
          </w:p>
        </w:tc>
        <w:tc>
          <w:tcPr>
            <w:tcW w:w="7167" w:type="dxa"/>
          </w:tcPr>
          <w:p w14:paraId="7C571F32"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0"/>
              </w:rPr>
            </w:pPr>
            <w:r w:rsidRPr="0002523C">
              <w:rPr>
                <w:szCs w:val="40"/>
              </w:rPr>
              <w:t>Vascular endothelial growth factor</w:t>
            </w:r>
          </w:p>
        </w:tc>
      </w:tr>
      <w:tr w:rsidR="009954EE" w:rsidRPr="002B2C82" w14:paraId="52EE407C" w14:textId="77777777" w:rsidTr="0054256E">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C91473F" w14:textId="77777777" w:rsidR="009954EE" w:rsidRPr="0002523C" w:rsidRDefault="009954EE" w:rsidP="0054256E">
            <w:pPr>
              <w:rPr>
                <w:rFonts w:cstheme="minorHAnsi"/>
                <w:szCs w:val="48"/>
              </w:rPr>
            </w:pPr>
            <w:r w:rsidRPr="0002523C">
              <w:rPr>
                <w:rFonts w:cstheme="minorHAnsi"/>
                <w:szCs w:val="48"/>
              </w:rPr>
              <w:t>VEGFR</w:t>
            </w:r>
          </w:p>
        </w:tc>
        <w:tc>
          <w:tcPr>
            <w:tcW w:w="7167" w:type="dxa"/>
          </w:tcPr>
          <w:p w14:paraId="3C66E865" w14:textId="77777777" w:rsidR="009954EE" w:rsidRPr="0002523C" w:rsidRDefault="009954EE" w:rsidP="0054256E">
            <w:pPr>
              <w:cnfStyle w:val="000000000000" w:firstRow="0" w:lastRow="0" w:firstColumn="0" w:lastColumn="0" w:oddVBand="0" w:evenVBand="0" w:oddHBand="0" w:evenHBand="0" w:firstRowFirstColumn="0" w:firstRowLastColumn="0" w:lastRowFirstColumn="0" w:lastRowLastColumn="0"/>
              <w:rPr>
                <w:szCs w:val="48"/>
              </w:rPr>
            </w:pPr>
            <w:r w:rsidRPr="0002523C">
              <w:rPr>
                <w:szCs w:val="48"/>
              </w:rPr>
              <w:t>Vascular endothelial growth factor receptors</w:t>
            </w:r>
          </w:p>
        </w:tc>
      </w:tr>
      <w:bookmarkEnd w:id="7"/>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8" w:name="_Toc103679288"/>
      <w:bookmarkStart w:id="9" w:name="_Toc206082844"/>
      <w:r>
        <w:lastRenderedPageBreak/>
        <w:t>Product submission</w:t>
      </w:r>
      <w:bookmarkEnd w:id="8"/>
      <w:bookmarkEnd w:id="9"/>
    </w:p>
    <w:p w14:paraId="21D559DF" w14:textId="77777777" w:rsidR="00324B33" w:rsidRDefault="00324B33" w:rsidP="00324B33">
      <w:pPr>
        <w:pStyle w:val="Heading3"/>
        <w:rPr>
          <w:lang w:eastAsia="en-AU"/>
        </w:rPr>
      </w:pPr>
      <w:bookmarkStart w:id="10" w:name="_Toc247691502"/>
      <w:bookmarkStart w:id="11" w:name="_Toc314842483"/>
      <w:bookmarkStart w:id="12" w:name="_Toc103679289"/>
      <w:bookmarkStart w:id="13" w:name="_Toc206082845"/>
      <w:r>
        <w:rPr>
          <w:lang w:eastAsia="en-AU"/>
        </w:rPr>
        <w:t>Submission details</w:t>
      </w:r>
      <w:bookmarkEnd w:id="10"/>
      <w:bookmarkEnd w:id="11"/>
      <w:bookmarkEnd w:id="12"/>
      <w:bookmarkEnd w:id="13"/>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1E24D9BB" w:rsidR="00324B33" w:rsidRPr="00BD5DBD" w:rsidRDefault="00324B33" w:rsidP="007452E8">
            <w:pPr>
              <w:rPr>
                <w:i/>
                <w:szCs w:val="22"/>
              </w:rPr>
            </w:pPr>
            <w:r w:rsidRPr="00BD5DBD">
              <w:rPr>
                <w:i/>
                <w:szCs w:val="22"/>
              </w:rPr>
              <w:t>Type of submission:</w:t>
            </w:r>
          </w:p>
        </w:tc>
        <w:tc>
          <w:tcPr>
            <w:tcW w:w="3423" w:type="pct"/>
          </w:tcPr>
          <w:p w14:paraId="4F07C303" w14:textId="2E6288D9" w:rsidR="00324B33" w:rsidRPr="00BD5DBD" w:rsidRDefault="00324B33" w:rsidP="007452E8">
            <w:pPr>
              <w:rPr>
                <w:szCs w:val="22"/>
              </w:rPr>
            </w:pPr>
            <w:r w:rsidRPr="00BD5DBD">
              <w:rPr>
                <w:szCs w:val="22"/>
              </w:rPr>
              <w:t>New chemical entity</w:t>
            </w:r>
          </w:p>
        </w:tc>
      </w:tr>
      <w:tr w:rsidR="00324B33" w:rsidRPr="00BD5DBD" w14:paraId="13482B61" w14:textId="77777777" w:rsidTr="00F865A7">
        <w:tc>
          <w:tcPr>
            <w:tcW w:w="1577" w:type="pct"/>
          </w:tcPr>
          <w:p w14:paraId="2C427FCF" w14:textId="01EF347B" w:rsidR="00324B33" w:rsidRPr="00BD5DBD" w:rsidRDefault="00324B33" w:rsidP="007452E8">
            <w:pPr>
              <w:rPr>
                <w:i/>
                <w:szCs w:val="22"/>
              </w:rPr>
            </w:pPr>
            <w:r w:rsidRPr="00BD5DBD">
              <w:rPr>
                <w:i/>
                <w:szCs w:val="22"/>
              </w:rPr>
              <w:t>Product name:</w:t>
            </w:r>
          </w:p>
        </w:tc>
        <w:tc>
          <w:tcPr>
            <w:tcW w:w="3423" w:type="pct"/>
          </w:tcPr>
          <w:p w14:paraId="0E2DEF76" w14:textId="4C3CE52F" w:rsidR="00324B33" w:rsidRPr="00BD5DBD" w:rsidRDefault="00A90388" w:rsidP="007452E8">
            <w:pPr>
              <w:rPr>
                <w:szCs w:val="22"/>
              </w:rPr>
            </w:pPr>
            <w:r>
              <w:rPr>
                <w:szCs w:val="22"/>
              </w:rPr>
              <w:t>Fruzaqla</w:t>
            </w:r>
          </w:p>
        </w:tc>
      </w:tr>
      <w:tr w:rsidR="00324B33" w:rsidRPr="00BD5DBD" w14:paraId="01255B5B" w14:textId="77777777" w:rsidTr="00F865A7">
        <w:tc>
          <w:tcPr>
            <w:tcW w:w="1577" w:type="pct"/>
          </w:tcPr>
          <w:p w14:paraId="52B4F3D7" w14:textId="7BB6245C" w:rsidR="00324B33" w:rsidRPr="00BD5DBD" w:rsidRDefault="00324B33" w:rsidP="007452E8">
            <w:pPr>
              <w:rPr>
                <w:i/>
                <w:szCs w:val="22"/>
              </w:rPr>
            </w:pPr>
            <w:r w:rsidRPr="00BD5DBD">
              <w:rPr>
                <w:i/>
                <w:szCs w:val="22"/>
              </w:rPr>
              <w:t>Active ingredien</w:t>
            </w:r>
            <w:r w:rsidR="00A76C0A">
              <w:rPr>
                <w:i/>
                <w:szCs w:val="22"/>
              </w:rPr>
              <w:t>t</w:t>
            </w:r>
            <w:r w:rsidRPr="00BD5DBD">
              <w:rPr>
                <w:i/>
                <w:szCs w:val="22"/>
              </w:rPr>
              <w:t>:</w:t>
            </w:r>
          </w:p>
        </w:tc>
        <w:tc>
          <w:tcPr>
            <w:tcW w:w="3423" w:type="pct"/>
          </w:tcPr>
          <w:p w14:paraId="02FB6383" w14:textId="11883F1C" w:rsidR="00324B33" w:rsidRPr="00BD5DBD" w:rsidRDefault="00AC7A2C" w:rsidP="007452E8">
            <w:pPr>
              <w:rPr>
                <w:szCs w:val="22"/>
              </w:rPr>
            </w:pPr>
            <w:r>
              <w:rPr>
                <w:szCs w:val="22"/>
              </w:rPr>
              <w:t>F</w:t>
            </w:r>
            <w:r w:rsidR="00A76C0A" w:rsidRPr="00A76C0A">
              <w:rPr>
                <w:szCs w:val="22"/>
              </w:rPr>
              <w:t>ruquintinib</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4F0E2C1A"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5C548C95" w:rsidR="00AE1947" w:rsidRPr="00BD5DBD" w:rsidRDefault="00F41F95" w:rsidP="00602658">
            <w:pPr>
              <w:rPr>
                <w:szCs w:val="22"/>
              </w:rPr>
            </w:pPr>
            <w:r>
              <w:rPr>
                <w:szCs w:val="22"/>
              </w:rPr>
              <w:t>1 October 2024</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401A81DD" w:rsidR="00324B33" w:rsidRPr="00BD5DBD" w:rsidRDefault="00C44DFE" w:rsidP="007452E8">
            <w:pPr>
              <w:rPr>
                <w:szCs w:val="22"/>
              </w:rPr>
            </w:pPr>
            <w:r>
              <w:rPr>
                <w:szCs w:val="22"/>
              </w:rPr>
              <w:t>2 October 2024</w:t>
            </w:r>
          </w:p>
        </w:tc>
      </w:tr>
      <w:tr w:rsidR="00324B33" w:rsidRPr="00BD5DBD" w14:paraId="547E08D7" w14:textId="77777777" w:rsidTr="00F865A7">
        <w:tc>
          <w:tcPr>
            <w:tcW w:w="1577" w:type="pct"/>
          </w:tcPr>
          <w:p w14:paraId="5030EF30" w14:textId="071037E2" w:rsidR="00324B33" w:rsidRPr="00BD5DBD" w:rsidRDefault="00324B33" w:rsidP="007452E8">
            <w:pPr>
              <w:rPr>
                <w:i/>
                <w:szCs w:val="22"/>
              </w:rPr>
            </w:pPr>
            <w:r w:rsidRPr="00BD5DBD">
              <w:rPr>
                <w:i/>
                <w:szCs w:val="22"/>
              </w:rPr>
              <w:t>ARTG number</w:t>
            </w:r>
            <w:r w:rsidR="00C44DFE">
              <w:rPr>
                <w:i/>
                <w:szCs w:val="22"/>
              </w:rPr>
              <w:t>s</w:t>
            </w:r>
            <w:r w:rsidRPr="00BD5DBD">
              <w:rPr>
                <w:i/>
                <w:szCs w:val="22"/>
              </w:rPr>
              <w:t>:</w:t>
            </w:r>
          </w:p>
        </w:tc>
        <w:tc>
          <w:tcPr>
            <w:tcW w:w="3423" w:type="pct"/>
          </w:tcPr>
          <w:p w14:paraId="0054E912" w14:textId="5EB7C014" w:rsidR="00324B33" w:rsidRPr="00BD5DBD" w:rsidRDefault="0088736A" w:rsidP="007452E8">
            <w:pPr>
              <w:rPr>
                <w:szCs w:val="22"/>
              </w:rPr>
            </w:pPr>
            <w:r w:rsidRPr="0088736A">
              <w:rPr>
                <w:szCs w:val="22"/>
              </w:rPr>
              <w:t>422038</w:t>
            </w:r>
            <w:r w:rsidR="001C136E" w:rsidRPr="001C136E">
              <w:rPr>
                <w:szCs w:val="22"/>
              </w:rPr>
              <w:t xml:space="preserve"> </w:t>
            </w:r>
            <w:r w:rsidR="001C136E">
              <w:rPr>
                <w:szCs w:val="22"/>
              </w:rPr>
              <w:t>and</w:t>
            </w:r>
            <w:r>
              <w:rPr>
                <w:szCs w:val="22"/>
              </w:rPr>
              <w:t xml:space="preserve"> </w:t>
            </w:r>
            <w:r w:rsidRPr="001C136E">
              <w:rPr>
                <w:szCs w:val="22"/>
              </w:rPr>
              <w:t>422039</w:t>
            </w:r>
            <w:r w:rsidR="001C136E">
              <w:rPr>
                <w:szCs w:val="22"/>
              </w:rPr>
              <w:t xml:space="preserve"> </w:t>
            </w:r>
          </w:p>
        </w:tc>
      </w:tr>
      <w:tr w:rsidR="00324B33" w:rsidRPr="00BD5DBD" w14:paraId="7618393F" w14:textId="77777777" w:rsidTr="00F865A7">
        <w:tc>
          <w:tcPr>
            <w:tcW w:w="1577" w:type="pct"/>
          </w:tcPr>
          <w:p w14:paraId="6C24CEB6" w14:textId="3751B039" w:rsidR="00E47E0C" w:rsidRPr="00BD5DBD" w:rsidRDefault="00324B33" w:rsidP="007452E8">
            <w:pPr>
              <w:rPr>
                <w:rStyle w:val="Hyperlink"/>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6FF3C6A2" w14:textId="2B84C7F3" w:rsidR="00324B33" w:rsidRPr="00BD5DBD" w:rsidRDefault="00785A1D" w:rsidP="007452E8">
            <w:pPr>
              <w:rPr>
                <w:szCs w:val="22"/>
              </w:rPr>
            </w:pPr>
            <w:r>
              <w:rPr>
                <w:szCs w:val="22"/>
              </w:rPr>
              <w:t>Yes</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674E24F6" w14:textId="77777777" w:rsidR="00324B33" w:rsidRDefault="00F25995" w:rsidP="007452E8">
            <w:pPr>
              <w:rPr>
                <w:szCs w:val="22"/>
              </w:rPr>
            </w:pPr>
            <w:r w:rsidRPr="00F25995">
              <w:rPr>
                <w:szCs w:val="22"/>
              </w:rPr>
              <w:t>Takeda Pharmaceuticals Australia Pty Ltd</w:t>
            </w:r>
          </w:p>
          <w:p w14:paraId="23F7693B" w14:textId="6BEE7788" w:rsidR="00EA6035" w:rsidRPr="00EA6035" w:rsidRDefault="00EA6035" w:rsidP="00EA6035">
            <w:pPr>
              <w:rPr>
                <w:szCs w:val="22"/>
              </w:rPr>
            </w:pPr>
            <w:r w:rsidRPr="00EA6035">
              <w:rPr>
                <w:szCs w:val="22"/>
              </w:rPr>
              <w:t>Grosvenor Place Level 39</w:t>
            </w:r>
            <w:r w:rsidR="00785A1D">
              <w:rPr>
                <w:szCs w:val="22"/>
              </w:rPr>
              <w:t>,</w:t>
            </w:r>
            <w:r w:rsidRPr="00EA6035">
              <w:rPr>
                <w:szCs w:val="22"/>
              </w:rPr>
              <w:t xml:space="preserve"> 225 George Street, Sydney, NSW, 2000</w:t>
            </w:r>
          </w:p>
          <w:p w14:paraId="68DD94B0" w14:textId="658CB23B" w:rsidR="00F25995" w:rsidRPr="00BD5DBD" w:rsidRDefault="00EA6035" w:rsidP="00EA6035">
            <w:pPr>
              <w:rPr>
                <w:szCs w:val="22"/>
              </w:rPr>
            </w:pPr>
            <w:r w:rsidRPr="00EA6035">
              <w:rPr>
                <w:szCs w:val="22"/>
              </w:rPr>
              <w:t>Australia</w:t>
            </w:r>
          </w:p>
        </w:tc>
      </w:tr>
      <w:tr w:rsidR="00324B33" w:rsidRPr="00BD5DBD" w14:paraId="5322B989" w14:textId="77777777" w:rsidTr="00F865A7">
        <w:tc>
          <w:tcPr>
            <w:tcW w:w="1577" w:type="pct"/>
          </w:tcPr>
          <w:p w14:paraId="24F217E3" w14:textId="4151CCC5" w:rsidR="00324B33" w:rsidRPr="00BD5DBD" w:rsidRDefault="00324B33" w:rsidP="007452E8">
            <w:pPr>
              <w:rPr>
                <w:i/>
                <w:szCs w:val="22"/>
              </w:rPr>
            </w:pPr>
            <w:r w:rsidRPr="00BD5DBD">
              <w:rPr>
                <w:i/>
                <w:szCs w:val="22"/>
              </w:rPr>
              <w:t>Dose form:</w:t>
            </w:r>
          </w:p>
        </w:tc>
        <w:tc>
          <w:tcPr>
            <w:tcW w:w="3423" w:type="pct"/>
          </w:tcPr>
          <w:p w14:paraId="768B254C" w14:textId="19B3FD98" w:rsidR="00324B33" w:rsidRPr="00BD5DBD" w:rsidRDefault="008458D7" w:rsidP="007452E8">
            <w:pPr>
              <w:rPr>
                <w:szCs w:val="22"/>
              </w:rPr>
            </w:pPr>
            <w:r>
              <w:rPr>
                <w:szCs w:val="22"/>
              </w:rPr>
              <w:t>Capsule</w:t>
            </w:r>
          </w:p>
        </w:tc>
      </w:tr>
      <w:tr w:rsidR="00324B33" w:rsidRPr="00BD5DBD" w14:paraId="115243E6" w14:textId="77777777" w:rsidTr="00F865A7">
        <w:tc>
          <w:tcPr>
            <w:tcW w:w="1577" w:type="pct"/>
          </w:tcPr>
          <w:p w14:paraId="7634B062" w14:textId="3199A7F8" w:rsidR="00324B33" w:rsidRPr="00BD5DBD" w:rsidRDefault="00324B33" w:rsidP="007452E8">
            <w:pPr>
              <w:rPr>
                <w:i/>
                <w:szCs w:val="22"/>
              </w:rPr>
            </w:pPr>
            <w:r w:rsidRPr="00BD5DBD">
              <w:rPr>
                <w:i/>
                <w:szCs w:val="22"/>
              </w:rPr>
              <w:t>Strengths:</w:t>
            </w:r>
          </w:p>
        </w:tc>
        <w:tc>
          <w:tcPr>
            <w:tcW w:w="3423" w:type="pct"/>
          </w:tcPr>
          <w:p w14:paraId="5E5F83DB" w14:textId="525B4003" w:rsidR="00324B33" w:rsidRPr="00BD5DBD" w:rsidRDefault="00EC05F1" w:rsidP="007452E8">
            <w:pPr>
              <w:rPr>
                <w:szCs w:val="22"/>
              </w:rPr>
            </w:pPr>
            <w:r>
              <w:rPr>
                <w:szCs w:val="22"/>
              </w:rPr>
              <w:t>1 mg</w:t>
            </w:r>
            <w:r w:rsidR="00214ACF">
              <w:rPr>
                <w:szCs w:val="22"/>
              </w:rPr>
              <w:t xml:space="preserve"> and 5 mg</w:t>
            </w:r>
          </w:p>
        </w:tc>
      </w:tr>
      <w:tr w:rsidR="00324B33" w:rsidRPr="00BD5DBD" w14:paraId="34B07BA6" w14:textId="77777777" w:rsidTr="00F865A7">
        <w:tc>
          <w:tcPr>
            <w:tcW w:w="1577" w:type="pct"/>
          </w:tcPr>
          <w:p w14:paraId="1C039224" w14:textId="6394B896" w:rsidR="00324B33" w:rsidRPr="00BD5DBD" w:rsidRDefault="00324B33" w:rsidP="007452E8">
            <w:pPr>
              <w:rPr>
                <w:i/>
                <w:szCs w:val="22"/>
              </w:rPr>
            </w:pPr>
            <w:r w:rsidRPr="00BD5DBD">
              <w:rPr>
                <w:i/>
                <w:szCs w:val="22"/>
              </w:rPr>
              <w:t>Container:</w:t>
            </w:r>
          </w:p>
        </w:tc>
        <w:tc>
          <w:tcPr>
            <w:tcW w:w="3423" w:type="pct"/>
          </w:tcPr>
          <w:p w14:paraId="500A42C6" w14:textId="5A29718A" w:rsidR="00324B33" w:rsidRPr="00BD5DBD" w:rsidRDefault="00EC05F1" w:rsidP="007452E8">
            <w:pPr>
              <w:rPr>
                <w:szCs w:val="22"/>
              </w:rPr>
            </w:pPr>
            <w:r>
              <w:rPr>
                <w:szCs w:val="22"/>
              </w:rPr>
              <w:t>Bottle</w:t>
            </w:r>
          </w:p>
        </w:tc>
      </w:tr>
      <w:tr w:rsidR="00324B33" w:rsidRPr="00BD5DBD" w14:paraId="176B6773" w14:textId="77777777" w:rsidTr="00F865A7">
        <w:tc>
          <w:tcPr>
            <w:tcW w:w="1577" w:type="pct"/>
          </w:tcPr>
          <w:p w14:paraId="71846159" w14:textId="7F868093" w:rsidR="00324B33" w:rsidRPr="00BD5DBD" w:rsidRDefault="00324B33" w:rsidP="007452E8">
            <w:pPr>
              <w:rPr>
                <w:i/>
                <w:szCs w:val="22"/>
              </w:rPr>
            </w:pPr>
            <w:r w:rsidRPr="00BD5DBD">
              <w:rPr>
                <w:i/>
                <w:szCs w:val="22"/>
              </w:rPr>
              <w:t>Pack size:</w:t>
            </w:r>
          </w:p>
        </w:tc>
        <w:tc>
          <w:tcPr>
            <w:tcW w:w="3423" w:type="pct"/>
          </w:tcPr>
          <w:p w14:paraId="7E978F8F" w14:textId="3DC3353C" w:rsidR="00324B33" w:rsidRPr="00BD5DBD" w:rsidRDefault="007846A5" w:rsidP="007452E8">
            <w:pPr>
              <w:rPr>
                <w:szCs w:val="22"/>
              </w:rPr>
            </w:pPr>
            <w:r>
              <w:rPr>
                <w:szCs w:val="22"/>
              </w:rPr>
              <w:t>21</w:t>
            </w:r>
            <w:r w:rsidR="001A788C">
              <w:rPr>
                <w:szCs w:val="22"/>
              </w:rPr>
              <w:t xml:space="preserve"> capsules</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161AF7D9" w:rsidR="00324B33" w:rsidRPr="00D57949" w:rsidRDefault="00AC085E" w:rsidP="007452E8">
            <w:pPr>
              <w:rPr>
                <w:i/>
                <w:iCs/>
                <w:szCs w:val="22"/>
              </w:rPr>
            </w:pPr>
            <w:r w:rsidRPr="00D57949">
              <w:rPr>
                <w:i/>
                <w:iCs/>
                <w:szCs w:val="22"/>
              </w:rPr>
              <w:t>Fruza</w:t>
            </w:r>
            <w:r w:rsidR="00D57949" w:rsidRPr="00D57949">
              <w:rPr>
                <w:i/>
                <w:iCs/>
                <w:szCs w:val="22"/>
              </w:rPr>
              <w:t>qla</w:t>
            </w:r>
            <w:r w:rsidRPr="00D57949">
              <w:rPr>
                <w:i/>
                <w:iCs/>
                <w:szCs w:val="22"/>
              </w:rPr>
              <w:t xml:space="preserve"> is indicated for the treatment of adult patients with metastatic colorectal cancer (mCRC) who have been previously treated with fluoropyrimidine-, oxaliplatin-, and irinotecan-based chemotherapy, an anti-VEGF agent, and an anti-EGFR agent if appropriate.</w:t>
            </w:r>
          </w:p>
        </w:tc>
      </w:tr>
      <w:tr w:rsidR="00324B33" w:rsidRPr="00BD5DBD" w14:paraId="5AFDEED3" w14:textId="77777777" w:rsidTr="00F865A7">
        <w:tc>
          <w:tcPr>
            <w:tcW w:w="1577" w:type="pct"/>
          </w:tcPr>
          <w:p w14:paraId="03884BD1" w14:textId="15379ABC" w:rsidR="00324B33" w:rsidRPr="00BD5DBD" w:rsidRDefault="00324B33" w:rsidP="007452E8">
            <w:pPr>
              <w:rPr>
                <w:i/>
                <w:szCs w:val="22"/>
              </w:rPr>
            </w:pPr>
            <w:r w:rsidRPr="00BD5DBD">
              <w:rPr>
                <w:i/>
                <w:szCs w:val="22"/>
              </w:rPr>
              <w:t>Rout</w:t>
            </w:r>
            <w:r w:rsidR="00202961">
              <w:rPr>
                <w:i/>
                <w:szCs w:val="22"/>
              </w:rPr>
              <w:t>e</w:t>
            </w:r>
            <w:r w:rsidRPr="00BD5DBD">
              <w:rPr>
                <w:i/>
                <w:szCs w:val="22"/>
              </w:rPr>
              <w:t xml:space="preserve"> of administration:</w:t>
            </w:r>
          </w:p>
        </w:tc>
        <w:tc>
          <w:tcPr>
            <w:tcW w:w="3423" w:type="pct"/>
          </w:tcPr>
          <w:p w14:paraId="1ED1357E" w14:textId="5521DD7C" w:rsidR="00324B33" w:rsidRPr="00BD5DBD" w:rsidRDefault="003A1C3C" w:rsidP="007452E8">
            <w:pPr>
              <w:rPr>
                <w:szCs w:val="22"/>
              </w:rPr>
            </w:pPr>
            <w:r>
              <w:rPr>
                <w:szCs w:val="22"/>
              </w:rPr>
              <w:t>Oral</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4BD4ECF7" w14:textId="2B9FE646" w:rsidR="00666911" w:rsidRDefault="00B673AD" w:rsidP="007452E8">
            <w:pPr>
              <w:rPr>
                <w:szCs w:val="22"/>
              </w:rPr>
            </w:pPr>
            <w:r w:rsidRPr="00B673AD">
              <w:rPr>
                <w:szCs w:val="22"/>
              </w:rPr>
              <w:t>F</w:t>
            </w:r>
            <w:r>
              <w:rPr>
                <w:szCs w:val="22"/>
              </w:rPr>
              <w:t xml:space="preserve">ruzaqla </w:t>
            </w:r>
            <w:r w:rsidRPr="00B673AD">
              <w:rPr>
                <w:szCs w:val="22"/>
              </w:rPr>
              <w:t>should be initiated by a physician experienced in the administration of anticancer therapy.</w:t>
            </w:r>
          </w:p>
          <w:p w14:paraId="4C2C6F68" w14:textId="5DC4B065" w:rsidR="00B673AD" w:rsidRDefault="0019114C" w:rsidP="007452E8">
            <w:pPr>
              <w:rPr>
                <w:szCs w:val="22"/>
              </w:rPr>
            </w:pPr>
            <w:r w:rsidRPr="0019114C">
              <w:rPr>
                <w:szCs w:val="22"/>
              </w:rPr>
              <w:t>The recommended dose of F</w:t>
            </w:r>
            <w:r>
              <w:rPr>
                <w:szCs w:val="22"/>
              </w:rPr>
              <w:t>ruzaqla</w:t>
            </w:r>
            <w:r w:rsidRPr="0019114C">
              <w:rPr>
                <w:szCs w:val="22"/>
              </w:rPr>
              <w:t xml:space="preserve"> is 5</w:t>
            </w:r>
            <w:r>
              <w:rPr>
                <w:szCs w:val="22"/>
              </w:rPr>
              <w:t> </w:t>
            </w:r>
            <w:r w:rsidRPr="0019114C">
              <w:rPr>
                <w:szCs w:val="22"/>
              </w:rPr>
              <w:t>mg taken orally once daily (at approximately the same time each day) for the first 21</w:t>
            </w:r>
            <w:r>
              <w:rPr>
                <w:szCs w:val="22"/>
              </w:rPr>
              <w:t> </w:t>
            </w:r>
            <w:r w:rsidRPr="0019114C">
              <w:rPr>
                <w:szCs w:val="22"/>
              </w:rPr>
              <w:t>days of each 28-day cycle. F</w:t>
            </w:r>
            <w:r>
              <w:rPr>
                <w:szCs w:val="22"/>
              </w:rPr>
              <w:t>ruzaqla</w:t>
            </w:r>
            <w:r w:rsidRPr="0019114C">
              <w:rPr>
                <w:szCs w:val="22"/>
              </w:rPr>
              <w:t xml:space="preserve"> capsules should be swallowed </w:t>
            </w:r>
            <w:r w:rsidR="005F5E78" w:rsidRPr="0019114C">
              <w:rPr>
                <w:szCs w:val="22"/>
              </w:rPr>
              <w:t>whole and</w:t>
            </w:r>
            <w:r w:rsidRPr="0019114C">
              <w:rPr>
                <w:szCs w:val="22"/>
              </w:rPr>
              <w:t xml:space="preserve"> can be taken with or without food.</w:t>
            </w:r>
          </w:p>
          <w:p w14:paraId="3D0B2D5C" w14:textId="6E29920D" w:rsidR="00324B33" w:rsidRPr="00BD5DBD" w:rsidRDefault="00324B33" w:rsidP="007452E8">
            <w:pPr>
              <w:rPr>
                <w:szCs w:val="22"/>
              </w:rPr>
            </w:pPr>
            <w:r w:rsidRPr="00BD5DBD">
              <w:rPr>
                <w:szCs w:val="22"/>
              </w:rPr>
              <w:t xml:space="preserve">For further information regarding dosage, </w:t>
            </w:r>
            <w:r w:rsidR="006B7126">
              <w:rPr>
                <w:szCs w:val="22"/>
              </w:rPr>
              <w:t xml:space="preserve">such as dosage modifications to manage adverse reactions, </w:t>
            </w:r>
            <w:r w:rsidRPr="00BD5DBD">
              <w:rPr>
                <w:szCs w:val="22"/>
              </w:rPr>
              <w:t>refer to the Product Information.</w:t>
            </w:r>
          </w:p>
        </w:tc>
      </w:tr>
      <w:tr w:rsidR="0017005C" w:rsidRPr="00BD5DBD" w14:paraId="7B7BB6AE" w14:textId="77777777" w:rsidTr="00F865A7">
        <w:tc>
          <w:tcPr>
            <w:tcW w:w="1577" w:type="pct"/>
          </w:tcPr>
          <w:p w14:paraId="3A76AFF7" w14:textId="77777777" w:rsidR="0017005C" w:rsidRPr="00F8083B" w:rsidRDefault="0070330F" w:rsidP="0017005C">
            <w:r w:rsidRPr="00BD5DBD">
              <w:rPr>
                <w:i/>
                <w:szCs w:val="22"/>
              </w:rPr>
              <w:t>Pregnancy category:</w:t>
            </w:r>
          </w:p>
        </w:tc>
        <w:tc>
          <w:tcPr>
            <w:tcW w:w="3423" w:type="pct"/>
          </w:tcPr>
          <w:p w14:paraId="3D5CFAD0" w14:textId="77777777" w:rsidR="00150BEE" w:rsidRDefault="00150BEE" w:rsidP="007967C3">
            <w:r>
              <w:t>D</w:t>
            </w:r>
          </w:p>
          <w:p w14:paraId="131049ED" w14:textId="5088611E" w:rsidR="002061AB" w:rsidRDefault="002061AB" w:rsidP="007967C3">
            <w:r w:rsidRPr="002061AB">
              <w:t xml:space="preserve">Drugs which have caused, are suspected to have caused or may be expected to cause, an increased incidence of human fetal malformations or irreversible damage. These drugs may also </w:t>
            </w:r>
            <w:r w:rsidRPr="002061AB">
              <w:lastRenderedPageBreak/>
              <w:t>have adverse pharmacological effects. Accompanying texts should be consulted for further details.</w:t>
            </w:r>
          </w:p>
          <w:p w14:paraId="76497789" w14:textId="63A1B890"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16"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17"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324B33">
      <w:pPr>
        <w:pStyle w:val="Heading3"/>
      </w:pPr>
      <w:bookmarkStart w:id="14" w:name="_Toc247691503"/>
      <w:bookmarkStart w:id="15" w:name="_Toc314842484"/>
      <w:bookmarkStart w:id="16" w:name="_Toc103679290"/>
      <w:bookmarkStart w:id="17" w:name="_Toc206082846"/>
      <w:r>
        <w:lastRenderedPageBreak/>
        <w:t>Product background</w:t>
      </w:r>
      <w:bookmarkEnd w:id="14"/>
      <w:bookmarkEnd w:id="15"/>
      <w:bookmarkEnd w:id="16"/>
      <w:bookmarkEnd w:id="17"/>
    </w:p>
    <w:p w14:paraId="59BF31D1" w14:textId="42F03FE6" w:rsidR="001500A8" w:rsidRPr="00065839" w:rsidRDefault="00324B33" w:rsidP="00065839">
      <w:r w:rsidRPr="00065839">
        <w:t xml:space="preserve">This AusPAR describes the submission by </w:t>
      </w:r>
      <w:r w:rsidR="00906BA6" w:rsidRPr="00906BA6">
        <w:t xml:space="preserve">Takeda Pharmaceuticals Australia Pty Ltd </w:t>
      </w:r>
      <w:r w:rsidRPr="00065839">
        <w:t xml:space="preserve">(the sponsor) to register </w:t>
      </w:r>
      <w:r w:rsidR="00F81EFD">
        <w:t>Fruzaqla</w:t>
      </w:r>
      <w:r w:rsidRPr="00065839">
        <w:t xml:space="preserve"> (</w:t>
      </w:r>
      <w:proofErr w:type="spellStart"/>
      <w:r w:rsidR="00906BA6">
        <w:t>f</w:t>
      </w:r>
      <w:r w:rsidR="00906BA6" w:rsidRPr="00906BA6">
        <w:t>ruquintinib</w:t>
      </w:r>
      <w:proofErr w:type="spellEnd"/>
      <w:r w:rsidRPr="00065839">
        <w:t xml:space="preserve">) </w:t>
      </w:r>
      <w:r w:rsidR="00457251">
        <w:t>1 mg and 5 mg</w:t>
      </w:r>
      <w:r w:rsidRPr="00065839">
        <w:t xml:space="preserve">, </w:t>
      </w:r>
      <w:r w:rsidR="00457251">
        <w:t>hard capsule</w:t>
      </w:r>
      <w:r w:rsidR="00D62877" w:rsidRPr="00065839">
        <w:t xml:space="preserve">, </w:t>
      </w:r>
      <w:r w:rsidR="00457251">
        <w:t>bottle</w:t>
      </w:r>
      <w:r w:rsidR="00785A1D">
        <w:t>s</w:t>
      </w:r>
      <w:r w:rsidR="00457251">
        <w:t xml:space="preserve"> </w:t>
      </w:r>
      <w:r w:rsidRPr="00065839">
        <w:t>for the following proposed indicatio</w:t>
      </w:r>
      <w:r w:rsidR="007C2B66">
        <w:t>n:</w:t>
      </w:r>
      <w:r w:rsidR="00D63760" w:rsidRPr="00065839">
        <w:rPr>
          <w:vertAlign w:val="superscript"/>
        </w:rPr>
        <w:footnoteReference w:id="1"/>
      </w:r>
    </w:p>
    <w:p w14:paraId="7DE98EB9" w14:textId="3085C541" w:rsidR="005009DC" w:rsidRPr="005009DC" w:rsidRDefault="005009DC" w:rsidP="005009DC">
      <w:pPr>
        <w:ind w:left="720"/>
        <w:rPr>
          <w:i/>
          <w:iCs/>
        </w:rPr>
      </w:pPr>
      <w:r w:rsidRPr="005009DC">
        <w:rPr>
          <w:i/>
          <w:iCs/>
        </w:rPr>
        <w:t xml:space="preserve">Treatment of adult patients with metastatic colorectal cancer (mCRC) who have been previously treated with or are not considered candidates for available therapies, including fluoropyrimidine-, oxaliplatin-, and </w:t>
      </w:r>
      <w:proofErr w:type="gramStart"/>
      <w:r w:rsidRPr="005009DC">
        <w:rPr>
          <w:i/>
          <w:iCs/>
        </w:rPr>
        <w:t>irinotecan based</w:t>
      </w:r>
      <w:proofErr w:type="gramEnd"/>
      <w:r w:rsidRPr="005009DC">
        <w:rPr>
          <w:i/>
          <w:iCs/>
        </w:rPr>
        <w:t xml:space="preserve"> chemotherapy, an anti-VEGF therapy, and an anti-EGFR therapy.</w:t>
      </w:r>
    </w:p>
    <w:p w14:paraId="1E63A2AE" w14:textId="666065AD" w:rsidR="00CB6813" w:rsidRDefault="004444B0" w:rsidP="00CB6813">
      <w:pPr>
        <w:pStyle w:val="Heading4"/>
      </w:pPr>
      <w:bookmarkStart w:id="18" w:name="_Toc206082847"/>
      <w:bookmarkStart w:id="19" w:name="_Toc314842485"/>
      <w:bookmarkStart w:id="20" w:name="_Toc247691504"/>
      <w:r>
        <w:t>The d</w:t>
      </w:r>
      <w:r w:rsidR="00CB6813" w:rsidRPr="00C12D65">
        <w:t>isease</w:t>
      </w:r>
      <w:bookmarkEnd w:id="18"/>
    </w:p>
    <w:p w14:paraId="2483ABAD" w14:textId="5EFB2ACE" w:rsidR="00250E18" w:rsidRPr="00250E18" w:rsidRDefault="00250E18" w:rsidP="00250E18">
      <w:r w:rsidRPr="00250E18">
        <w:t>Based on the most recent observed (2019/2021) and predicted (2023) data from the Australian Institute of Health and Welfare, colorectal c</w:t>
      </w:r>
      <w:r w:rsidRPr="00F027CC">
        <w:t>ancer (CRC) is</w:t>
      </w:r>
      <w:r w:rsidRPr="00250E18">
        <w:t xml:space="preserve"> the </w:t>
      </w:r>
      <w:r>
        <w:t>fourth</w:t>
      </w:r>
      <w:r w:rsidRPr="00250E18">
        <w:t xml:space="preserve"> most commonly diagnosed cancer (9% of cancers) and </w:t>
      </w:r>
      <w:r>
        <w:t>second</w:t>
      </w:r>
      <w:r w:rsidRPr="00250E18">
        <w:t xml:space="preserve"> most commonly fatal cancer (10% of cancer deaths) in Australia.</w:t>
      </w:r>
      <w:bookmarkStart w:id="21" w:name="_Ref168321580"/>
      <w:r w:rsidR="00D84C7F">
        <w:rPr>
          <w:rStyle w:val="FootnoteReference"/>
        </w:rPr>
        <w:footnoteReference w:id="2"/>
      </w:r>
      <w:bookmarkEnd w:id="21"/>
      <w:r w:rsidRPr="00250E18">
        <w:t xml:space="preserve"> Five-year survival rates have increased from 55% in the late 20</w:t>
      </w:r>
      <w:r w:rsidRPr="00250E18">
        <w:rPr>
          <w:vertAlign w:val="superscript"/>
        </w:rPr>
        <w:t>th</w:t>
      </w:r>
      <w:r w:rsidRPr="00250E18">
        <w:t xml:space="preserve"> century (1990</w:t>
      </w:r>
      <w:r w:rsidR="00260AF0">
        <w:t xml:space="preserve"> to </w:t>
      </w:r>
      <w:r w:rsidRPr="00250E18">
        <w:t>1994) to 71% in recent years (2015</w:t>
      </w:r>
      <w:r w:rsidR="00260AF0">
        <w:t xml:space="preserve"> to </w:t>
      </w:r>
      <w:r w:rsidRPr="00250E18">
        <w:t>2019).</w:t>
      </w:r>
      <w:r w:rsidR="00DD0390">
        <w:fldChar w:fldCharType="begin"/>
      </w:r>
      <w:r w:rsidR="00DD0390">
        <w:instrText xml:space="preserve"> NOTEREF _Ref168321580 \f \h </w:instrText>
      </w:r>
      <w:r w:rsidR="00DD0390">
        <w:fldChar w:fldCharType="separate"/>
      </w:r>
      <w:r w:rsidR="00A407E4" w:rsidRPr="00A407E4">
        <w:rPr>
          <w:rStyle w:val="FootnoteReference"/>
        </w:rPr>
        <w:t>2</w:t>
      </w:r>
      <w:r w:rsidR="00DD0390">
        <w:fldChar w:fldCharType="end"/>
      </w:r>
      <w:r w:rsidRPr="00250E18">
        <w:t xml:space="preserve"> </w:t>
      </w:r>
      <w:r w:rsidR="00DD0390">
        <w:t>Colorectal cancer</w:t>
      </w:r>
      <w:r w:rsidRPr="00250E18">
        <w:t xml:space="preserve"> is more common in males than females,</w:t>
      </w:r>
      <w:r w:rsidR="00682E2D">
        <w:fldChar w:fldCharType="begin"/>
      </w:r>
      <w:r w:rsidR="00682E2D">
        <w:instrText xml:space="preserve"> NOTEREF _Ref168321580 \f \h </w:instrText>
      </w:r>
      <w:r w:rsidR="00682E2D">
        <w:fldChar w:fldCharType="separate"/>
      </w:r>
      <w:r w:rsidR="00A407E4" w:rsidRPr="00A407E4">
        <w:rPr>
          <w:rStyle w:val="FootnoteReference"/>
        </w:rPr>
        <w:t>2</w:t>
      </w:r>
      <w:r w:rsidR="00682E2D">
        <w:fldChar w:fldCharType="end"/>
      </w:r>
      <w:r w:rsidRPr="00250E18">
        <w:t xml:space="preserve"> and incidence appears to have been increasing in cohorts born in the late 1970s onward: the incidence of colon cancer in people born between 1988</w:t>
      </w:r>
      <w:r w:rsidR="00682E2D">
        <w:t xml:space="preserve"> </w:t>
      </w:r>
      <w:r w:rsidR="00A72111">
        <w:t>and</w:t>
      </w:r>
      <w:r w:rsidR="00682E2D">
        <w:t xml:space="preserve"> </w:t>
      </w:r>
      <w:r w:rsidRPr="00250E18">
        <w:t>1992 is triple that of those born between 1943</w:t>
      </w:r>
      <w:r w:rsidR="00682E2D">
        <w:t xml:space="preserve"> </w:t>
      </w:r>
      <w:r w:rsidR="00A72111">
        <w:t>and</w:t>
      </w:r>
      <w:r w:rsidR="00682E2D">
        <w:t xml:space="preserve"> </w:t>
      </w:r>
      <w:r w:rsidRPr="00250E18">
        <w:t>1947.</w:t>
      </w:r>
      <w:r w:rsidR="00A72111">
        <w:rPr>
          <w:rStyle w:val="FootnoteReference"/>
        </w:rPr>
        <w:footnoteReference w:id="3"/>
      </w:r>
      <w:r w:rsidRPr="00250E18">
        <w:t xml:space="preserve"> These trends are strongly suggestive of changing exposures in successive generations, and a similar trend has been described in the </w:t>
      </w:r>
      <w:r w:rsidR="00E01FF4">
        <w:t>United States of Ame</w:t>
      </w:r>
      <w:r w:rsidR="00E01FF4" w:rsidRPr="00E01FF4">
        <w:t>rica (</w:t>
      </w:r>
      <w:r w:rsidRPr="00E01FF4">
        <w:t>USA</w:t>
      </w:r>
      <w:r w:rsidR="00E01FF4" w:rsidRPr="00E01FF4">
        <w:t>)</w:t>
      </w:r>
      <w:r w:rsidRPr="00E01FF4">
        <w:t>.</w:t>
      </w:r>
      <w:r w:rsidR="0028701A" w:rsidRPr="00E01FF4">
        <w:rPr>
          <w:rStyle w:val="FootnoteReference"/>
        </w:rPr>
        <w:footnoteReference w:id="4"/>
      </w:r>
    </w:p>
    <w:p w14:paraId="255E083A" w14:textId="77777777" w:rsidR="00CB6813" w:rsidRDefault="00CB6813" w:rsidP="00CB6813">
      <w:pPr>
        <w:pStyle w:val="Heading4"/>
      </w:pPr>
      <w:bookmarkStart w:id="22" w:name="_Ref202183942"/>
      <w:bookmarkStart w:id="23" w:name="_Ref202183946"/>
      <w:bookmarkStart w:id="24" w:name="_Toc206082848"/>
      <w:r>
        <w:t>Current treatment options</w:t>
      </w:r>
      <w:bookmarkEnd w:id="22"/>
      <w:bookmarkEnd w:id="23"/>
      <w:bookmarkEnd w:id="24"/>
    </w:p>
    <w:p w14:paraId="18E5E667" w14:textId="23DC9799" w:rsidR="00D83740" w:rsidRPr="00D83740" w:rsidRDefault="00D83740" w:rsidP="007844DC">
      <w:r w:rsidRPr="00D83740">
        <w:t xml:space="preserve">Unlike other solid tumours, resection of single organ (lung or liver) metastases may be curative in around half of patients with metastatic CRC </w:t>
      </w:r>
      <w:r w:rsidR="009E4F2F">
        <w:t xml:space="preserve">(mCRC) </w:t>
      </w:r>
      <w:r w:rsidRPr="00D83740">
        <w:t>treated in this manner.</w:t>
      </w:r>
      <w:bookmarkStart w:id="25" w:name="_Ref199510703"/>
      <w:r w:rsidR="00FB6809">
        <w:rPr>
          <w:rStyle w:val="FootnoteReference"/>
        </w:rPr>
        <w:footnoteReference w:id="5"/>
      </w:r>
      <w:bookmarkEnd w:id="25"/>
      <w:r w:rsidRPr="00D83740">
        <w:t xml:space="preserve"> Resection of multi-organ oligometastatic disease may also be considered by careful multidisciplinary selection, and neoadjuvant systemic therapy may be integrated to downstage disease.</w:t>
      </w:r>
      <w:r w:rsidR="00D427BC">
        <w:fldChar w:fldCharType="begin"/>
      </w:r>
      <w:r w:rsidR="00D427BC">
        <w:instrText xml:space="preserve"> NOTEREF _Ref199510703 \f \h </w:instrText>
      </w:r>
      <w:r w:rsidR="00D427BC">
        <w:fldChar w:fldCharType="separate"/>
      </w:r>
      <w:r w:rsidR="00A407E4" w:rsidRPr="00A407E4">
        <w:rPr>
          <w:rStyle w:val="FootnoteReference"/>
        </w:rPr>
        <w:t>5</w:t>
      </w:r>
      <w:r w:rsidR="00D427BC">
        <w:fldChar w:fldCharType="end"/>
      </w:r>
      <w:r w:rsidRPr="00D83740">
        <w:t xml:space="preserve"> In recent </w:t>
      </w:r>
      <w:r w:rsidRPr="00D83740">
        <w:lastRenderedPageBreak/>
        <w:t>decades, median overall survival for patients with mCRC in clinical trials has increased from 23</w:t>
      </w:r>
      <w:r w:rsidRPr="007844DC">
        <w:t> </w:t>
      </w:r>
      <w:r w:rsidRPr="00D83740">
        <w:t xml:space="preserve">months for patients diagnosed </w:t>
      </w:r>
      <w:r w:rsidR="00A94E26">
        <w:t xml:space="preserve">between </w:t>
      </w:r>
      <w:r w:rsidRPr="00D83740">
        <w:t>2004</w:t>
      </w:r>
      <w:r w:rsidR="00A94E26">
        <w:t xml:space="preserve"> and </w:t>
      </w:r>
      <w:r w:rsidRPr="00D83740">
        <w:t>2012 to 32 months for patients diagnosed between 2013 and 2015.</w:t>
      </w:r>
      <w:r w:rsidR="00A94E26">
        <w:rPr>
          <w:rStyle w:val="FootnoteReference"/>
        </w:rPr>
        <w:footnoteReference w:id="6"/>
      </w:r>
      <w:r w:rsidR="00A94E26">
        <w:t xml:space="preserve"> </w:t>
      </w:r>
      <w:r w:rsidRPr="00D83740">
        <w:t>Nevertheless, mCRC remains a life-threatening and seriously debilitating disease, with a 5-year survival rate of 16%.</w:t>
      </w:r>
      <w:r w:rsidR="000F2BC5">
        <w:rPr>
          <w:rStyle w:val="FootnoteReference"/>
        </w:rPr>
        <w:footnoteReference w:id="7"/>
      </w:r>
      <w:r w:rsidRPr="00D83740">
        <w:t xml:space="preserve"> For most patients with mCRC, a cure is not able to be achieved and palliative systemic therapy is considered.</w:t>
      </w:r>
      <w:r w:rsidR="00DB19EB">
        <w:fldChar w:fldCharType="begin"/>
      </w:r>
      <w:r w:rsidR="00DB19EB">
        <w:instrText xml:space="preserve"> NOTEREF _Ref199510703 \f \h </w:instrText>
      </w:r>
      <w:r w:rsidR="00DB19EB">
        <w:fldChar w:fldCharType="separate"/>
      </w:r>
      <w:r w:rsidR="00A407E4" w:rsidRPr="00A407E4">
        <w:rPr>
          <w:rStyle w:val="FootnoteReference"/>
        </w:rPr>
        <w:t>5</w:t>
      </w:r>
      <w:r w:rsidR="00DB19EB">
        <w:fldChar w:fldCharType="end"/>
      </w:r>
    </w:p>
    <w:p w14:paraId="46C4B457" w14:textId="72038A09" w:rsidR="00D83740" w:rsidRPr="00D83740" w:rsidRDefault="00D83740" w:rsidP="007844DC">
      <w:r w:rsidRPr="00D83740">
        <w:t xml:space="preserve">In Australia, standard systemic treatment approaches for mCRC are in keeping with major international guidelines such as those published by the National Comprehensive Cancer Network </w:t>
      </w:r>
      <w:r w:rsidR="00A30624">
        <w:t>(</w:t>
      </w:r>
      <w:r w:rsidR="00A30624" w:rsidRPr="001652C4">
        <w:t>NCCN)</w:t>
      </w:r>
      <w:r w:rsidR="00A30624">
        <w:t xml:space="preserve"> </w:t>
      </w:r>
      <w:r w:rsidRPr="00D83740">
        <w:t>in the USA.</w:t>
      </w:r>
      <w:bookmarkStart w:id="26" w:name="_Ref169535293"/>
      <w:r w:rsidR="00116BB3">
        <w:fldChar w:fldCharType="begin"/>
      </w:r>
      <w:r w:rsidR="00116BB3">
        <w:instrText xml:space="preserve"> NOTEREF _Ref199510703 \f \h </w:instrText>
      </w:r>
      <w:r w:rsidR="00116BB3">
        <w:fldChar w:fldCharType="separate"/>
      </w:r>
      <w:r w:rsidR="00A407E4" w:rsidRPr="00A407E4">
        <w:rPr>
          <w:rStyle w:val="FootnoteReference"/>
        </w:rPr>
        <w:t>5</w:t>
      </w:r>
      <w:r w:rsidR="00116BB3">
        <w:fldChar w:fldCharType="end"/>
      </w:r>
      <w:r w:rsidR="00116BB3" w:rsidRPr="00116BB3">
        <w:rPr>
          <w:vertAlign w:val="superscript"/>
        </w:rPr>
        <w:t>,</w:t>
      </w:r>
      <w:r w:rsidR="00116BB3">
        <w:rPr>
          <w:vertAlign w:val="superscript"/>
        </w:rPr>
        <w:t xml:space="preserve"> </w:t>
      </w:r>
      <w:bookmarkStart w:id="27" w:name="_Ref199511106"/>
      <w:r w:rsidR="00116BB3">
        <w:rPr>
          <w:rStyle w:val="FootnoteReference"/>
        </w:rPr>
        <w:footnoteReference w:id="8"/>
      </w:r>
      <w:bookmarkEnd w:id="27"/>
      <w:r w:rsidRPr="00D83740">
        <w:t xml:space="preserve"> </w:t>
      </w:r>
      <w:bookmarkEnd w:id="26"/>
      <w:r w:rsidRPr="00D83740">
        <w:t>Treatment is continued until disease progression or unacceptable toxicity.</w:t>
      </w:r>
      <w:r w:rsidR="00B73A20">
        <w:rPr>
          <w:rStyle w:val="FootnoteReference"/>
        </w:rPr>
        <w:footnoteReference w:id="9"/>
      </w:r>
    </w:p>
    <w:p w14:paraId="0347586B" w14:textId="52D50EEF" w:rsidR="00D83740" w:rsidRPr="00D83740" w:rsidRDefault="00D83740" w:rsidP="007844DC">
      <w:r w:rsidRPr="00D83740">
        <w:t xml:space="preserve">For patients with tumours that test positive for </w:t>
      </w:r>
      <w:r w:rsidR="00E42401">
        <w:t>d</w:t>
      </w:r>
      <w:r w:rsidR="00E42401" w:rsidRPr="00E42401">
        <w:t>eficient mismatch re</w:t>
      </w:r>
      <w:r w:rsidR="00E42401" w:rsidRPr="0014502F">
        <w:t xml:space="preserve">pair </w:t>
      </w:r>
      <w:r w:rsidRPr="0014502F">
        <w:t>(</w:t>
      </w:r>
      <w:proofErr w:type="spellStart"/>
      <w:r w:rsidRPr="0014502F">
        <w:t>dMMR</w:t>
      </w:r>
      <w:proofErr w:type="spellEnd"/>
      <w:r w:rsidRPr="0014502F">
        <w:t>)/</w:t>
      </w:r>
      <w:r w:rsidR="00E42401" w:rsidRPr="00E42401">
        <w:t xml:space="preserve"> </w:t>
      </w:r>
      <w:r w:rsidR="00E42401">
        <w:t>m</w:t>
      </w:r>
      <w:r w:rsidR="00E42401" w:rsidRPr="00E42401">
        <w:t>icrosatellite inst</w:t>
      </w:r>
      <w:r w:rsidR="00E42401" w:rsidRPr="00007FE8">
        <w:t xml:space="preserve">ability-high </w:t>
      </w:r>
      <w:r w:rsidRPr="00007FE8">
        <w:t>(MSI-h),</w:t>
      </w:r>
      <w:r w:rsidRPr="00D83740">
        <w:t xml:space="preserve"> first-line systemic treatment is immunotherapy with a checkpoint inhibitor.</w:t>
      </w:r>
      <w:r w:rsidR="003F0166">
        <w:fldChar w:fldCharType="begin"/>
      </w:r>
      <w:r w:rsidR="003F0166">
        <w:instrText xml:space="preserve"> NOTEREF _Ref199511106 \f \h </w:instrText>
      </w:r>
      <w:r w:rsidR="003F0166">
        <w:fldChar w:fldCharType="separate"/>
      </w:r>
      <w:r w:rsidR="00A407E4" w:rsidRPr="00A407E4">
        <w:rPr>
          <w:rStyle w:val="FootnoteReference"/>
        </w:rPr>
        <w:t>8</w:t>
      </w:r>
      <w:r w:rsidR="003F0166">
        <w:fldChar w:fldCharType="end"/>
      </w:r>
      <w:r w:rsidRPr="00D83740">
        <w:t xml:space="preserve"> Pembrolizumab is approved in Australia for this indication.</w:t>
      </w:r>
      <w:r w:rsidR="00B35F73">
        <w:rPr>
          <w:rStyle w:val="FootnoteReference"/>
        </w:rPr>
        <w:footnoteReference w:id="10"/>
      </w:r>
      <w:r w:rsidR="00B35F73" w:rsidRPr="00D83740">
        <w:t xml:space="preserve"> </w:t>
      </w:r>
      <w:r w:rsidRPr="00D83740">
        <w:t xml:space="preserve">Based on retrospective analyses of molecular data, tumours harbouring a pathogenic </w:t>
      </w:r>
      <w:r w:rsidR="00700C79" w:rsidRPr="00700C79">
        <w:t>polymerase epsilon</w:t>
      </w:r>
      <w:r w:rsidRPr="00D83740">
        <w:t xml:space="preserve"> mutation are expected to respond similarly,</w:t>
      </w:r>
      <w:r w:rsidR="00B35F73">
        <w:rPr>
          <w:rStyle w:val="FootnoteReference"/>
        </w:rPr>
        <w:footnoteReference w:id="11"/>
      </w:r>
      <w:r w:rsidRPr="00D83740">
        <w:t xml:space="preserve"> and such tumours are included alongside </w:t>
      </w:r>
      <w:proofErr w:type="spellStart"/>
      <w:r w:rsidRPr="00D83740">
        <w:t>dMMR</w:t>
      </w:r>
      <w:proofErr w:type="spellEnd"/>
      <w:r w:rsidRPr="00D83740">
        <w:t>/MSI-h tumours in the NCCN guideline.</w:t>
      </w:r>
      <w:r w:rsidR="003F0166">
        <w:fldChar w:fldCharType="begin"/>
      </w:r>
      <w:r w:rsidR="003F0166">
        <w:instrText xml:space="preserve"> NOTEREF _Ref199511106 \f \h </w:instrText>
      </w:r>
      <w:r w:rsidR="003F0166">
        <w:fldChar w:fldCharType="separate"/>
      </w:r>
      <w:r w:rsidR="00A407E4" w:rsidRPr="00A407E4">
        <w:rPr>
          <w:rStyle w:val="FootnoteReference"/>
        </w:rPr>
        <w:t>8</w:t>
      </w:r>
      <w:r w:rsidR="003F0166">
        <w:fldChar w:fldCharType="end"/>
      </w:r>
    </w:p>
    <w:p w14:paraId="6317C4C1" w14:textId="6D4AFA9E" w:rsidR="00D83740" w:rsidRPr="00D83740" w:rsidRDefault="00D83740" w:rsidP="007844DC">
      <w:r w:rsidRPr="00D83740">
        <w:t xml:space="preserve">For microsatellite stable/mismatch repair proficient tumours, first-line systemic treatment usually consists of a fluoropyrimidine-based chemotherapy regimen (often fluorouracil and leucovorin, sometimes capecitabine) plus either oxaliplatin </w:t>
      </w:r>
      <w:r w:rsidR="00A30624">
        <w:t xml:space="preserve">(for example </w:t>
      </w:r>
      <w:proofErr w:type="spellStart"/>
      <w:r w:rsidRPr="00D83740">
        <w:t>F</w:t>
      </w:r>
      <w:r w:rsidR="00A30624">
        <w:t>olfox</w:t>
      </w:r>
      <w:proofErr w:type="spellEnd"/>
      <w:r w:rsidR="00B5026A">
        <w:t>)</w:t>
      </w:r>
      <w:r w:rsidRPr="00D83740">
        <w:t xml:space="preserve"> or irinotecan </w:t>
      </w:r>
      <w:r w:rsidR="00B5026A">
        <w:t>(for example</w:t>
      </w:r>
      <w:r w:rsidRPr="00D83740">
        <w:t xml:space="preserve"> </w:t>
      </w:r>
      <w:proofErr w:type="spellStart"/>
      <w:r w:rsidRPr="00D83740">
        <w:t>F</w:t>
      </w:r>
      <w:r w:rsidR="00BF09C8">
        <w:t>olfiri</w:t>
      </w:r>
      <w:proofErr w:type="spellEnd"/>
      <w:r w:rsidR="00BF09C8">
        <w:t>)</w:t>
      </w:r>
      <w:r w:rsidRPr="00D83740">
        <w:t xml:space="preserve"> or both </w:t>
      </w:r>
      <w:r w:rsidR="00BF09C8">
        <w:t xml:space="preserve">(for example </w:t>
      </w:r>
      <w:proofErr w:type="spellStart"/>
      <w:r w:rsidR="00BF09C8">
        <w:t>Fol</w:t>
      </w:r>
      <w:r w:rsidR="004B45A8">
        <w:t>firinox</w:t>
      </w:r>
      <w:proofErr w:type="spellEnd"/>
      <w:r w:rsidRPr="00D83740">
        <w:t>) with an anti-</w:t>
      </w:r>
      <w:r w:rsidR="00032E4E">
        <w:t>v</w:t>
      </w:r>
      <w:r w:rsidR="00032E4E" w:rsidRPr="00032E4E">
        <w:t xml:space="preserve">ascular endothelial growth </w:t>
      </w:r>
      <w:r w:rsidR="00032E4E" w:rsidRPr="007C71B4">
        <w:t>factor (</w:t>
      </w:r>
      <w:r w:rsidRPr="007C71B4">
        <w:t>VEGF</w:t>
      </w:r>
      <w:r w:rsidR="00032E4E" w:rsidRPr="007C71B4">
        <w:t>)</w:t>
      </w:r>
      <w:r w:rsidRPr="00D83740">
        <w:t xml:space="preserve"> monoclonal antibody (bevacizumab).</w:t>
      </w:r>
      <w:r w:rsidR="009C20E8">
        <w:fldChar w:fldCharType="begin"/>
      </w:r>
      <w:r w:rsidR="009C20E8">
        <w:instrText xml:space="preserve"> NOTEREF _Ref199511106 \f \h </w:instrText>
      </w:r>
      <w:r w:rsidR="009C20E8">
        <w:fldChar w:fldCharType="separate"/>
      </w:r>
      <w:r w:rsidR="00A407E4" w:rsidRPr="00A407E4">
        <w:rPr>
          <w:rStyle w:val="FootnoteReference"/>
        </w:rPr>
        <w:t>8</w:t>
      </w:r>
      <w:r w:rsidR="009C20E8">
        <w:fldChar w:fldCharType="end"/>
      </w:r>
      <w:r w:rsidRPr="00D83740">
        <w:t xml:space="preserve"> For left-sided an</w:t>
      </w:r>
      <w:r w:rsidRPr="00CF2539">
        <w:t>d KRAS</w:t>
      </w:r>
      <w:r w:rsidR="00E94599" w:rsidRPr="00CF2539">
        <w:t>/</w:t>
      </w:r>
      <w:r w:rsidRPr="00CF2539">
        <w:t>NRAS</w:t>
      </w:r>
      <w:r w:rsidR="00CF2539" w:rsidRPr="00CF2539">
        <w:t>/</w:t>
      </w:r>
      <w:r w:rsidRPr="00CF2539">
        <w:t>BRAF</w:t>
      </w:r>
      <w:r w:rsidR="00CF2539">
        <w:t xml:space="preserve"> </w:t>
      </w:r>
      <w:r w:rsidRPr="00D83740">
        <w:t>wild</w:t>
      </w:r>
      <w:r w:rsidR="00CF2539">
        <w:noBreakHyphen/>
      </w:r>
      <w:r w:rsidRPr="00D83740">
        <w:t>type tumours, an anti-</w:t>
      </w:r>
      <w:r w:rsidR="00AA7A86">
        <w:t>e</w:t>
      </w:r>
      <w:r w:rsidR="00AA7A86" w:rsidRPr="00AA7A86">
        <w:t xml:space="preserve">pidermal growth </w:t>
      </w:r>
      <w:r w:rsidR="00AA7A86" w:rsidRPr="00AE062B">
        <w:t>factor receptor (</w:t>
      </w:r>
      <w:r w:rsidRPr="00AE062B">
        <w:t>EGFR</w:t>
      </w:r>
      <w:r w:rsidR="00AA7A86" w:rsidRPr="00AE062B">
        <w:t>)</w:t>
      </w:r>
      <w:r w:rsidRPr="00AE062B">
        <w:t xml:space="preserve"> antibody</w:t>
      </w:r>
      <w:r w:rsidRPr="00D83740">
        <w:t xml:space="preserve"> can be used in place of the anti-VEGF agent.</w:t>
      </w:r>
      <w:r w:rsidR="00AA7A86">
        <w:fldChar w:fldCharType="begin"/>
      </w:r>
      <w:r w:rsidR="00AA7A86">
        <w:instrText xml:space="preserve"> NOTEREF _Ref199511106 \f \h </w:instrText>
      </w:r>
      <w:r w:rsidR="00AA7A86">
        <w:fldChar w:fldCharType="separate"/>
      </w:r>
      <w:r w:rsidR="00A407E4" w:rsidRPr="00A407E4">
        <w:rPr>
          <w:rStyle w:val="FootnoteReference"/>
        </w:rPr>
        <w:t>8</w:t>
      </w:r>
      <w:r w:rsidR="00AA7A86">
        <w:fldChar w:fldCharType="end"/>
      </w:r>
      <w:r w:rsidRPr="00D83740">
        <w:t xml:space="preserve"> Modifications such as intensified, triple</w:t>
      </w:r>
      <w:r w:rsidR="00002E78">
        <w:noBreakHyphen/>
      </w:r>
      <w:r w:rsidRPr="00D83740">
        <w:t>agent chemotherapy with both oxaliplatin and irinotecan (</w:t>
      </w:r>
      <w:proofErr w:type="spellStart"/>
      <w:r w:rsidRPr="00D83740">
        <w:t>F</w:t>
      </w:r>
      <w:r w:rsidR="00002E78">
        <w:t>olfirinox</w:t>
      </w:r>
      <w:proofErr w:type="spellEnd"/>
      <w:r w:rsidRPr="00D83740">
        <w:t>), treatment holidays or deintensification may be used.</w:t>
      </w:r>
      <w:r w:rsidR="00450DF1">
        <w:fldChar w:fldCharType="begin"/>
      </w:r>
      <w:r w:rsidR="00450DF1">
        <w:instrText xml:space="preserve"> NOTEREF _Ref199511106 \f \h </w:instrText>
      </w:r>
      <w:r w:rsidR="00450DF1">
        <w:fldChar w:fldCharType="separate"/>
      </w:r>
      <w:r w:rsidR="00A407E4" w:rsidRPr="00A407E4">
        <w:rPr>
          <w:rStyle w:val="FootnoteReference"/>
        </w:rPr>
        <w:t>8</w:t>
      </w:r>
      <w:r w:rsidR="00450DF1">
        <w:fldChar w:fldCharType="end"/>
      </w:r>
    </w:p>
    <w:p w14:paraId="21E40FB0" w14:textId="46C93670" w:rsidR="00D83740" w:rsidRPr="00D83740" w:rsidRDefault="00D83740" w:rsidP="007844DC">
      <w:r w:rsidRPr="00D83740">
        <w:t>Second-line and subsequent treatment options include the same regimens (excluding oxaliplatin and/or irinotecan re-treatment), plus a number of targeted therapies that may be used where the tumour demonstrates carriage of the appropriate biomarker.</w:t>
      </w:r>
      <w:r w:rsidR="00FD15CE">
        <w:fldChar w:fldCharType="begin"/>
      </w:r>
      <w:r w:rsidR="00FD15CE">
        <w:instrText xml:space="preserve"> NOTEREF _Ref199511106 \f \h </w:instrText>
      </w:r>
      <w:r w:rsidR="00FD15CE">
        <w:fldChar w:fldCharType="separate"/>
      </w:r>
      <w:r w:rsidR="00A407E4" w:rsidRPr="00A407E4">
        <w:rPr>
          <w:rStyle w:val="FootnoteReference"/>
        </w:rPr>
        <w:t>8</w:t>
      </w:r>
      <w:r w:rsidR="00FD15CE">
        <w:fldChar w:fldCharType="end"/>
      </w:r>
      <w:r w:rsidRPr="00D83740">
        <w:t xml:space="preserve"> These are: </w:t>
      </w:r>
      <w:proofErr w:type="spellStart"/>
      <w:r w:rsidRPr="00D83740">
        <w:t>encorafenib</w:t>
      </w:r>
      <w:proofErr w:type="spellEnd"/>
      <w:r w:rsidRPr="00D83740">
        <w:t xml:space="preserve"> plus cetuximab (for BRAF V600E mutation-positive CRC),</w:t>
      </w:r>
      <w:r w:rsidR="00D86946">
        <w:rPr>
          <w:rStyle w:val="FootnoteReference"/>
        </w:rPr>
        <w:footnoteReference w:id="12"/>
      </w:r>
      <w:r w:rsidRPr="00D83740">
        <w:t xml:space="preserve"> and </w:t>
      </w:r>
      <w:proofErr w:type="spellStart"/>
      <w:r w:rsidRPr="00D83740">
        <w:t>entrectinib</w:t>
      </w:r>
      <w:proofErr w:type="spellEnd"/>
      <w:r w:rsidRPr="00D83740">
        <w:t xml:space="preserve"> or </w:t>
      </w:r>
      <w:proofErr w:type="spellStart"/>
      <w:r w:rsidRPr="00D83740">
        <w:t>larotrectinib</w:t>
      </w:r>
      <w:proofErr w:type="spellEnd"/>
      <w:r w:rsidRPr="00D83740">
        <w:t xml:space="preserve"> for </w:t>
      </w:r>
      <w:r w:rsidR="00FD2F78">
        <w:t>n</w:t>
      </w:r>
      <w:r w:rsidR="00FD2F78" w:rsidRPr="00FD2F78">
        <w:t>eurotrophic tyrosine receptor kinase</w:t>
      </w:r>
      <w:r w:rsidRPr="00D83740">
        <w:t xml:space="preserve"> gene fusion-positive tumours.</w:t>
      </w:r>
      <w:r w:rsidR="005527B3">
        <w:rPr>
          <w:rStyle w:val="FootnoteReference"/>
        </w:rPr>
        <w:footnoteReference w:id="13"/>
      </w:r>
      <w:r w:rsidR="005527B3" w:rsidRPr="005527B3">
        <w:rPr>
          <w:vertAlign w:val="superscript"/>
        </w:rPr>
        <w:t xml:space="preserve">, </w:t>
      </w:r>
      <w:r w:rsidR="005527B3">
        <w:rPr>
          <w:rStyle w:val="FootnoteReference"/>
        </w:rPr>
        <w:footnoteReference w:id="14"/>
      </w:r>
      <w:r w:rsidR="005527B3">
        <w:rPr>
          <w:vertAlign w:val="superscript"/>
        </w:rPr>
        <w:t xml:space="preserve"> </w:t>
      </w:r>
      <w:r w:rsidRPr="00D83740">
        <w:t xml:space="preserve">Tucatinib in combination with trastuzumab for </w:t>
      </w:r>
      <w:r w:rsidR="004339FB">
        <w:t>h</w:t>
      </w:r>
      <w:r w:rsidR="004339FB" w:rsidRPr="004339FB">
        <w:t>uman epidermal growth fa</w:t>
      </w:r>
      <w:r w:rsidR="004339FB" w:rsidRPr="003E5D23">
        <w:t xml:space="preserve">ctor receptor 2 </w:t>
      </w:r>
      <w:r w:rsidR="00FB2E3C" w:rsidRPr="003E5D23">
        <w:t>(HER2)</w:t>
      </w:r>
      <w:r w:rsidR="00FB2E3C" w:rsidRPr="003E5D23">
        <w:noBreakHyphen/>
      </w:r>
      <w:r w:rsidRPr="003E5D23">
        <w:t>positive</w:t>
      </w:r>
      <w:r w:rsidRPr="00D83740">
        <w:t xml:space="preserve"> </w:t>
      </w:r>
      <w:r w:rsidRPr="00D83740">
        <w:lastRenderedPageBreak/>
        <w:t xml:space="preserve">CRC received </w:t>
      </w:r>
      <w:r w:rsidRPr="006F5318">
        <w:t>provisional TGA approval</w:t>
      </w:r>
      <w:r w:rsidRPr="00D83740">
        <w:t xml:space="preserve"> in November 2023,</w:t>
      </w:r>
      <w:r w:rsidR="005D25F3">
        <w:rPr>
          <w:rStyle w:val="FootnoteReference"/>
        </w:rPr>
        <w:footnoteReference w:id="15"/>
      </w:r>
      <w:r w:rsidRPr="00D83740">
        <w:t xml:space="preserve"> but a product information document is not available for tucatinib on the </w:t>
      </w:r>
      <w:r w:rsidR="004339FB">
        <w:t xml:space="preserve">Australian Register of Therapeutic </w:t>
      </w:r>
      <w:r w:rsidR="004339FB" w:rsidRPr="00144D8D">
        <w:t>Goods (</w:t>
      </w:r>
      <w:r w:rsidRPr="00144D8D">
        <w:t>ARTG</w:t>
      </w:r>
      <w:r w:rsidR="004339FB" w:rsidRPr="00144D8D">
        <w:t>)</w:t>
      </w:r>
      <w:r w:rsidRPr="00D83740">
        <w:t xml:space="preserve"> search page,</w:t>
      </w:r>
      <w:r w:rsidR="005D25F3">
        <w:rPr>
          <w:rStyle w:val="FootnoteReference"/>
        </w:rPr>
        <w:footnoteReference w:id="16"/>
      </w:r>
      <w:r w:rsidR="005D25F3" w:rsidRPr="00D83740">
        <w:t xml:space="preserve"> </w:t>
      </w:r>
      <w:r w:rsidRPr="00D83740">
        <w:t xml:space="preserve">suggesting tucatinib might not be being supplied in Australia. Additional targeted options are in NCCN guidelines but do not have regulatory approval for such indications in Australia: trastuzumab </w:t>
      </w:r>
      <w:proofErr w:type="spellStart"/>
      <w:r w:rsidRPr="00D83740">
        <w:t>deruxtecan</w:t>
      </w:r>
      <w:proofErr w:type="spellEnd"/>
      <w:r w:rsidRPr="00D83740">
        <w:t xml:space="preserve"> for HER2</w:t>
      </w:r>
      <w:r w:rsidR="00686DA3">
        <w:noBreakHyphen/>
      </w:r>
      <w:r w:rsidRPr="00D83740">
        <w:t xml:space="preserve">amplified (IHC 3+) CRC, </w:t>
      </w:r>
      <w:proofErr w:type="spellStart"/>
      <w:r w:rsidRPr="00D83740">
        <w:t>sotorasib</w:t>
      </w:r>
      <w:proofErr w:type="spellEnd"/>
      <w:r w:rsidRPr="00D83740">
        <w:t xml:space="preserve"> or </w:t>
      </w:r>
      <w:proofErr w:type="spellStart"/>
      <w:r w:rsidRPr="00D83740">
        <w:t>adagrasib</w:t>
      </w:r>
      <w:proofErr w:type="spellEnd"/>
      <w:r w:rsidRPr="00D83740">
        <w:t xml:space="preserve"> plus an EGFR inhibitor for KRAS G12C mutated CRC, and </w:t>
      </w:r>
      <w:proofErr w:type="spellStart"/>
      <w:r w:rsidRPr="00D83740">
        <w:t>selpercatinib</w:t>
      </w:r>
      <w:proofErr w:type="spellEnd"/>
      <w:r w:rsidRPr="00D83740">
        <w:t xml:space="preserve"> for RET gene fusion-positive CRC.</w:t>
      </w:r>
      <w:r w:rsidR="00686DA3">
        <w:fldChar w:fldCharType="begin"/>
      </w:r>
      <w:r w:rsidR="00686DA3">
        <w:instrText xml:space="preserve"> NOTEREF _Ref199511106 \f \h </w:instrText>
      </w:r>
      <w:r w:rsidR="00686DA3">
        <w:fldChar w:fldCharType="separate"/>
      </w:r>
      <w:r w:rsidR="00A407E4" w:rsidRPr="00A407E4">
        <w:rPr>
          <w:rStyle w:val="FootnoteReference"/>
        </w:rPr>
        <w:t>8</w:t>
      </w:r>
      <w:r w:rsidR="00686DA3">
        <w:fldChar w:fldCharType="end"/>
      </w:r>
    </w:p>
    <w:p w14:paraId="453A88D0" w14:textId="5E8EA06A" w:rsidR="00D83740" w:rsidRPr="00D83740" w:rsidRDefault="00D83740" w:rsidP="007844DC">
      <w:r w:rsidRPr="00D83740">
        <w:t>For disease that has progressed through all available regimens, the NCCN guideline includes as options regorafenib, trifluridine/</w:t>
      </w:r>
      <w:proofErr w:type="spellStart"/>
      <w:r w:rsidRPr="00D83740">
        <w:t>tipiracil</w:t>
      </w:r>
      <w:proofErr w:type="spellEnd"/>
      <w:r w:rsidRPr="00D83740">
        <w:t xml:space="preserve"> (also known as TAS-102) with or without bevacizumab (with bevacizumab is preferred) and </w:t>
      </w:r>
      <w:proofErr w:type="spellStart"/>
      <w:r w:rsidRPr="00D83740">
        <w:t>fruquintinib</w:t>
      </w:r>
      <w:proofErr w:type="spellEnd"/>
      <w:r w:rsidRPr="00D83740">
        <w:t>. Regorafenib and TAS-102 are both registered for this indication in Australia.</w:t>
      </w:r>
      <w:r w:rsidR="009B754E">
        <w:rPr>
          <w:rStyle w:val="FootnoteReference"/>
        </w:rPr>
        <w:footnoteReference w:id="17"/>
      </w:r>
      <w:r w:rsidR="000F578F" w:rsidRPr="000F578F">
        <w:rPr>
          <w:vertAlign w:val="superscript"/>
        </w:rPr>
        <w:t>,</w:t>
      </w:r>
      <w:r w:rsidR="000F578F">
        <w:t xml:space="preserve"> </w:t>
      </w:r>
      <w:r w:rsidR="000F578F">
        <w:rPr>
          <w:rStyle w:val="FootnoteReference"/>
        </w:rPr>
        <w:footnoteReference w:id="18"/>
      </w:r>
      <w:r w:rsidR="000F578F">
        <w:t xml:space="preserve"> </w:t>
      </w:r>
      <w:r w:rsidRPr="00D83740">
        <w:t xml:space="preserve">The indication for regorafenib does not specifically exclude use in combination with bevacizumab but does not specify it either, and the approved indications for bevacizumab in Australia only include treatment of </w:t>
      </w:r>
      <w:r w:rsidR="00330849">
        <w:t>mC</w:t>
      </w:r>
      <w:r w:rsidRPr="00330849">
        <w:t>RC</w:t>
      </w:r>
      <w:r w:rsidRPr="00D83740">
        <w:t xml:space="preserve"> in combination with fluoropyrimidine-based chemotherapy (</w:t>
      </w:r>
      <w:r w:rsidR="00720A16">
        <w:t xml:space="preserve">that is, </w:t>
      </w:r>
      <w:r w:rsidRPr="00D83740">
        <w:t>first or second line).</w:t>
      </w:r>
      <w:r w:rsidR="00720A16">
        <w:rPr>
          <w:rStyle w:val="FootnoteReference"/>
        </w:rPr>
        <w:footnoteReference w:id="19"/>
      </w:r>
    </w:p>
    <w:p w14:paraId="719F5E0A" w14:textId="453A932E" w:rsidR="00D83740" w:rsidRPr="00D83740" w:rsidRDefault="00D83740" w:rsidP="007844DC">
      <w:r w:rsidRPr="00D83740">
        <w:t xml:space="preserve">Best </w:t>
      </w:r>
      <w:r w:rsidRPr="005570C2">
        <w:t>supportive care (BSC) is</w:t>
      </w:r>
      <w:r w:rsidRPr="00D83740">
        <w:t xml:space="preserve"> an option at any line.</w:t>
      </w:r>
      <w:r w:rsidR="00720A16">
        <w:fldChar w:fldCharType="begin"/>
      </w:r>
      <w:r w:rsidR="00720A16">
        <w:instrText xml:space="preserve"> NOTEREF _Ref199511106 \f \h </w:instrText>
      </w:r>
      <w:r w:rsidR="00720A16">
        <w:fldChar w:fldCharType="separate"/>
      </w:r>
      <w:r w:rsidR="00A407E4" w:rsidRPr="00A407E4">
        <w:rPr>
          <w:rStyle w:val="FootnoteReference"/>
        </w:rPr>
        <w:t>8</w:t>
      </w:r>
      <w:r w:rsidR="00720A16">
        <w:fldChar w:fldCharType="end"/>
      </w:r>
      <w:r w:rsidRPr="00D83740">
        <w:t xml:space="preserve"> Recent </w:t>
      </w:r>
      <w:bookmarkStart w:id="28" w:name="rwd1"/>
      <w:r w:rsidRPr="00D83740">
        <w:t>real-world dat</w:t>
      </w:r>
      <w:bookmarkEnd w:id="28"/>
      <w:r w:rsidRPr="00D83740">
        <w:t>a suggest that around 30% of patients in the USA receive BSC in the second line, and of the remainder, 15% receive regorafenib and 12% receive trifluridine/</w:t>
      </w:r>
      <w:proofErr w:type="spellStart"/>
      <w:r w:rsidRPr="00D83740">
        <w:t>tipiracil</w:t>
      </w:r>
      <w:proofErr w:type="spellEnd"/>
      <w:r w:rsidRPr="00D83740">
        <w:t>.</w:t>
      </w:r>
      <w:r w:rsidR="00643558">
        <w:rPr>
          <w:rStyle w:val="FootnoteReference"/>
        </w:rPr>
        <w:footnoteReference w:id="20"/>
      </w:r>
    </w:p>
    <w:p w14:paraId="37C47E09" w14:textId="14D3762D" w:rsidR="00CB6813" w:rsidRDefault="00CB6813" w:rsidP="00CB6813">
      <w:pPr>
        <w:pStyle w:val="Heading4"/>
      </w:pPr>
      <w:bookmarkStart w:id="29" w:name="_Toc206082849"/>
      <w:r>
        <w:t>C</w:t>
      </w:r>
      <w:r w:rsidRPr="00DE1344">
        <w:t>linical rational</w:t>
      </w:r>
      <w:r w:rsidR="0025785B">
        <w:t>e</w:t>
      </w:r>
      <w:bookmarkEnd w:id="29"/>
    </w:p>
    <w:p w14:paraId="664CFA54" w14:textId="77777777" w:rsidR="00BB42F7" w:rsidRDefault="00BB42F7" w:rsidP="00BB42F7">
      <w:r>
        <w:t xml:space="preserve">Fruquintinib is a small molecule tyrosine kinase inhibitor of vascular endothelial growth factor </w:t>
      </w:r>
      <w:r w:rsidRPr="00D47F2C">
        <w:t>receptors (VEGFR) -1,</w:t>
      </w:r>
      <w:r>
        <w:t xml:space="preserve"> -2, and -3 (with IC50 values of 33, 35, and 0.5 </w:t>
      </w:r>
      <w:proofErr w:type="spellStart"/>
      <w:r>
        <w:t>nM</w:t>
      </w:r>
      <w:proofErr w:type="spellEnd"/>
      <w:r>
        <w:t>, respectively), with antitumor effects resulting from suppression of tumour angiogenesis.</w:t>
      </w:r>
    </w:p>
    <w:p w14:paraId="322C4AF9" w14:textId="571DDFD4" w:rsidR="00BB42F7" w:rsidRDefault="00EC7E57" w:rsidP="00BB42F7">
      <w:r>
        <w:t>V</w:t>
      </w:r>
      <w:r w:rsidRPr="00EC7E57">
        <w:t xml:space="preserve">ascular endothelial growth factor </w:t>
      </w:r>
      <w:r w:rsidR="00BB42F7">
        <w:t xml:space="preserve">mediated endothelial cell proliferation, and tubular formation were inhibited by </w:t>
      </w:r>
      <w:proofErr w:type="spellStart"/>
      <w:r w:rsidR="00BB42F7">
        <w:t>fruquintinib</w:t>
      </w:r>
      <w:proofErr w:type="spellEnd"/>
      <w:r w:rsidR="00BB42F7">
        <w:t xml:space="preserve"> </w:t>
      </w:r>
      <w:r w:rsidR="00BB42F7" w:rsidRPr="00EC7E57">
        <w:rPr>
          <w:i/>
          <w:iCs/>
        </w:rPr>
        <w:t>in vitro</w:t>
      </w:r>
      <w:r w:rsidR="00BB42F7">
        <w:t xml:space="preserve">. </w:t>
      </w:r>
      <w:r w:rsidR="00BB42F7" w:rsidRPr="00EC7E57">
        <w:rPr>
          <w:i/>
          <w:iCs/>
        </w:rPr>
        <w:t>In vitro</w:t>
      </w:r>
      <w:r w:rsidR="00BB42F7">
        <w:t xml:space="preserve"> and </w:t>
      </w:r>
      <w:r w:rsidR="00BB42F7" w:rsidRPr="00EC7E57">
        <w:rPr>
          <w:i/>
          <w:iCs/>
        </w:rPr>
        <w:t>in vivo</w:t>
      </w:r>
      <w:r w:rsidR="00BB42F7">
        <w:t xml:space="preserve"> studies showed </w:t>
      </w:r>
      <w:proofErr w:type="spellStart"/>
      <w:r w:rsidR="00BB42F7">
        <w:t>fruquintinib</w:t>
      </w:r>
      <w:proofErr w:type="spellEnd"/>
      <w:r w:rsidR="00BB42F7">
        <w:t xml:space="preserve"> inhibited VEGF-induced VEGFR-2 phosphorylation. Fruquintinib was shown to inhibit tumour growth in tumour xenograft mouse models.</w:t>
      </w:r>
    </w:p>
    <w:p w14:paraId="0D615854" w14:textId="77777777" w:rsidR="00324B33" w:rsidRPr="003F31A2" w:rsidRDefault="00324B33" w:rsidP="00324B33">
      <w:pPr>
        <w:pStyle w:val="Heading3"/>
      </w:pPr>
      <w:bookmarkStart w:id="30" w:name="_Toc103679291"/>
      <w:bookmarkStart w:id="31" w:name="_Toc206082850"/>
      <w:r>
        <w:t>Regulatory status</w:t>
      </w:r>
      <w:bookmarkEnd w:id="19"/>
      <w:bookmarkEnd w:id="20"/>
      <w:bookmarkEnd w:id="30"/>
      <w:bookmarkEnd w:id="31"/>
    </w:p>
    <w:p w14:paraId="72C889D6" w14:textId="7E200950" w:rsidR="0017005C" w:rsidRPr="00BD5DBD" w:rsidRDefault="0017005C" w:rsidP="00741AB9">
      <w:pPr>
        <w:pStyle w:val="Heading4"/>
      </w:pPr>
      <w:bookmarkStart w:id="32" w:name="_Toc206082851"/>
      <w:r w:rsidRPr="00BD5DBD">
        <w:t>Australian regulatory</w:t>
      </w:r>
      <w:r>
        <w:t xml:space="preserve"> sta</w:t>
      </w:r>
      <w:r w:rsidR="0025785B">
        <w:t>t</w:t>
      </w:r>
      <w:r>
        <w:t>us</w:t>
      </w:r>
      <w:bookmarkEnd w:id="32"/>
    </w:p>
    <w:p w14:paraId="6A8633FA" w14:textId="6293068E" w:rsidR="00324B33" w:rsidRDefault="00324B33" w:rsidP="00324B33">
      <w:pPr>
        <w:rPr>
          <w:szCs w:val="22"/>
        </w:rPr>
      </w:pPr>
      <w:r w:rsidRPr="00BD5DBD">
        <w:rPr>
          <w:szCs w:val="22"/>
        </w:rPr>
        <w:t>This product is considered a new chemical</w:t>
      </w:r>
      <w:r w:rsidR="008C754C" w:rsidRPr="00BD5DBD">
        <w:rPr>
          <w:szCs w:val="22"/>
        </w:rPr>
        <w:t xml:space="preserve"> entity</w:t>
      </w:r>
      <w:r w:rsidRPr="00BD5DBD">
        <w:rPr>
          <w:szCs w:val="22"/>
        </w:rPr>
        <w:t xml:space="preserve"> for Australian regulatory purposes.</w:t>
      </w:r>
    </w:p>
    <w:p w14:paraId="546C1031" w14:textId="09104F0C" w:rsidR="0017005C" w:rsidRDefault="00E21026" w:rsidP="0017005C">
      <w:pPr>
        <w:pStyle w:val="Heading4"/>
      </w:pPr>
      <w:bookmarkStart w:id="33" w:name="_Toc206082852"/>
      <w:r>
        <w:lastRenderedPageBreak/>
        <w:t>International</w:t>
      </w:r>
      <w:r w:rsidR="0017005C" w:rsidRPr="00BD5DBD">
        <w:t xml:space="preserve"> regulatory</w:t>
      </w:r>
      <w:r w:rsidR="0017005C">
        <w:t xml:space="preserve"> status</w:t>
      </w:r>
      <w:bookmarkEnd w:id="33"/>
    </w:p>
    <w:p w14:paraId="3C09389F" w14:textId="28174C1A" w:rsidR="00C133AB" w:rsidRDefault="00C133AB" w:rsidP="00C133AB">
      <w:r w:rsidRPr="00BD5DBD">
        <w:rPr>
          <w:szCs w:val="22"/>
        </w:rPr>
        <w:t xml:space="preserve">This submission was evaluated as part of the </w:t>
      </w:r>
      <w:hyperlink r:id="rId18" w:history="1">
        <w:r w:rsidRPr="00BD5DBD">
          <w:rPr>
            <w:rStyle w:val="Hyperlink"/>
            <w:szCs w:val="22"/>
          </w:rPr>
          <w:t>Australia-Canada-Singapore-Switzerland-United Kingdom (ACCESS) Consortium</w:t>
        </w:r>
      </w:hyperlink>
      <w:r w:rsidRPr="00BD5DBD">
        <w:rPr>
          <w:szCs w:val="22"/>
        </w:rPr>
        <w:t xml:space="preserve"> with work-sharing between the TGA, </w:t>
      </w:r>
      <w:r w:rsidRPr="00774789">
        <w:t xml:space="preserve">Health Canada, Health Sciences Authority Singapore, </w:t>
      </w:r>
      <w:proofErr w:type="spellStart"/>
      <w:r w:rsidRPr="00774789">
        <w:t>Swissmedic</w:t>
      </w:r>
      <w:proofErr w:type="spellEnd"/>
      <w:r w:rsidRPr="00774789">
        <w:t xml:space="preserve"> and the Medicines and Healthcare Products Regulatory Agency</w:t>
      </w:r>
      <w:r w:rsidRPr="00BD5DBD">
        <w:rPr>
          <w:iCs/>
          <w:szCs w:val="22"/>
        </w:rPr>
        <w:t>.</w:t>
      </w:r>
      <w:r w:rsidRPr="00BD5DBD">
        <w:rPr>
          <w:szCs w:val="22"/>
        </w:rPr>
        <w:t xml:space="preserve"> Each regulator made independent decisions regarding </w:t>
      </w:r>
      <w:r w:rsidRPr="0017005C">
        <w:t xml:space="preserve">approval </w:t>
      </w:r>
      <w:r w:rsidRPr="00774789">
        <w:t>(market authorisation) of the new medicine</w:t>
      </w:r>
      <w:r w:rsidR="006C069C">
        <w:t>.</w:t>
      </w:r>
    </w:p>
    <w:p w14:paraId="72411CC0" w14:textId="497B8467" w:rsidR="00E831CD" w:rsidRDefault="008340E5" w:rsidP="00C133AB">
      <w:pPr>
        <w:rPr>
          <w:i/>
          <w:color w:val="007099"/>
        </w:rPr>
      </w:pPr>
      <w:r w:rsidRPr="00BD5DBD">
        <w:rPr>
          <w:szCs w:val="22"/>
        </w:rPr>
        <w:t xml:space="preserve">This evaluation was </w:t>
      </w:r>
      <w:r>
        <w:rPr>
          <w:szCs w:val="22"/>
        </w:rPr>
        <w:t xml:space="preserve">also </w:t>
      </w:r>
      <w:r w:rsidRPr="00BD5DBD">
        <w:rPr>
          <w:szCs w:val="22"/>
        </w:rPr>
        <w:t xml:space="preserve">facilitated through </w:t>
      </w:r>
      <w:hyperlink r:id="rId19" w:history="1">
        <w:r w:rsidRPr="00BD5DBD">
          <w:rPr>
            <w:rStyle w:val="Hyperlink"/>
            <w:szCs w:val="22"/>
          </w:rPr>
          <w:t>Project Orbis</w:t>
        </w:r>
      </w:hyperlink>
      <w:r w:rsidRPr="00BD5DBD">
        <w:rPr>
          <w:szCs w:val="22"/>
        </w:rPr>
        <w:t xml:space="preserve">, an initiative of the United States Food and Drug </w:t>
      </w:r>
      <w:r w:rsidRPr="007B75BF">
        <w:rPr>
          <w:szCs w:val="22"/>
        </w:rPr>
        <w:t>Administration (FDA)</w:t>
      </w:r>
      <w:r w:rsidRPr="00BD5DBD">
        <w:rPr>
          <w:szCs w:val="22"/>
        </w:rPr>
        <w:t xml:space="preserve"> Oncology </w:t>
      </w:r>
      <w:proofErr w:type="spellStart"/>
      <w:r w:rsidRPr="00BD5DBD">
        <w:rPr>
          <w:szCs w:val="22"/>
        </w:rPr>
        <w:t>Center</w:t>
      </w:r>
      <w:proofErr w:type="spellEnd"/>
      <w:r w:rsidRPr="00BD5DBD">
        <w:rPr>
          <w:szCs w:val="22"/>
        </w:rPr>
        <w:t xml:space="preserve"> of Excellence. Under this project, the </w:t>
      </w:r>
      <w:r w:rsidRPr="00774789">
        <w:t xml:space="preserve">FDA, Health Canada, </w:t>
      </w:r>
      <w:r w:rsidR="0021455D" w:rsidRPr="0021455D">
        <w:t>Health Sciences Authority (Singapore)</w:t>
      </w:r>
      <w:r w:rsidR="0021455D">
        <w:t xml:space="preserve">, </w:t>
      </w:r>
      <w:proofErr w:type="spellStart"/>
      <w:r w:rsidRPr="00774789">
        <w:t>Swissmedic</w:t>
      </w:r>
      <w:proofErr w:type="spellEnd"/>
      <w:r w:rsidRPr="00774789">
        <w:t xml:space="preserve"> (Switzerland), Medicines and Healthcare products Regulatory Agency (United Kingdom)</w:t>
      </w:r>
      <w:r w:rsidRPr="00BD5DBD">
        <w:rPr>
          <w:color w:val="657C9C" w:themeColor="text2" w:themeTint="BF"/>
          <w:szCs w:val="22"/>
        </w:rPr>
        <w:t xml:space="preserve"> </w:t>
      </w:r>
      <w:r w:rsidRPr="00BD5DBD">
        <w:rPr>
          <w:szCs w:val="22"/>
        </w:rPr>
        <w:t>and the TGA collaboratively reviewed the submission. This evaluation process provided a framework for process alignment and management of evaluation issues in real-time across jurisdictions. Each regulator made independent decisions regarding approval (market authorisation) of the new medicine.</w:t>
      </w:r>
    </w:p>
    <w:p w14:paraId="7FDF4A0B" w14:textId="24C30A26" w:rsidR="008F4A62" w:rsidRPr="0017005C" w:rsidRDefault="008F4A62" w:rsidP="008F4A62">
      <w:r w:rsidRPr="00BD5DBD">
        <w:rPr>
          <w:szCs w:val="22"/>
        </w:rPr>
        <w:t xml:space="preserve">At the time the TGA considered this submission, a similar submission had been </w:t>
      </w:r>
      <w:r>
        <w:rPr>
          <w:szCs w:val="22"/>
        </w:rPr>
        <w:t xml:space="preserve">considered by other regulatory agencies. </w:t>
      </w:r>
      <w:r w:rsidRPr="00BD5DBD">
        <w:rPr>
          <w:szCs w:val="22"/>
        </w:rPr>
        <w:t>The following table summarises these submissions and provides the indications where approved.</w:t>
      </w:r>
    </w:p>
    <w:p w14:paraId="19B9E0AC" w14:textId="1ACB94A4" w:rsidR="00324B33" w:rsidRDefault="00324B33" w:rsidP="00324B33">
      <w:pPr>
        <w:pStyle w:val="TableTitle"/>
      </w:pPr>
      <w:bookmarkStart w:id="34" w:name="_Ref99705479"/>
      <w:r>
        <w:t xml:space="preserve">Table </w:t>
      </w:r>
      <w:r w:rsidR="007F1E37">
        <w:fldChar w:fldCharType="begin"/>
      </w:r>
      <w:r w:rsidR="007F1E37">
        <w:instrText xml:space="preserve"> SEQ Table \* ARABIC </w:instrText>
      </w:r>
      <w:r w:rsidR="007F1E37">
        <w:fldChar w:fldCharType="separate"/>
      </w:r>
      <w:r w:rsidR="00A407E4">
        <w:rPr>
          <w:noProof/>
        </w:rPr>
        <w:t>1</w:t>
      </w:r>
      <w:r w:rsidR="007F1E37">
        <w:rPr>
          <w:noProof/>
        </w:rPr>
        <w:fldChar w:fldCharType="end"/>
      </w:r>
      <w:bookmarkEnd w:id="34"/>
      <w:r>
        <w:t>: International regulatory status</w:t>
      </w:r>
    </w:p>
    <w:tbl>
      <w:tblPr>
        <w:tblStyle w:val="TableTGAblue2023"/>
        <w:tblW w:w="5000" w:type="pct"/>
        <w:tblLook w:val="04A0" w:firstRow="1" w:lastRow="0" w:firstColumn="1" w:lastColumn="0" w:noHBand="0" w:noVBand="1"/>
      </w:tblPr>
      <w:tblGrid>
        <w:gridCol w:w="1725"/>
        <w:gridCol w:w="2180"/>
        <w:gridCol w:w="2058"/>
        <w:gridCol w:w="3097"/>
      </w:tblGrid>
      <w:tr w:rsidR="00324B33" w:rsidRPr="00D01DDB" w14:paraId="405E5D78" w14:textId="16839333" w:rsidTr="00090E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pct"/>
          </w:tcPr>
          <w:p w14:paraId="185B099B" w14:textId="7A4C0E6C" w:rsidR="00324B33" w:rsidRPr="00D01DDB" w:rsidRDefault="00324B33" w:rsidP="00324B33">
            <w:pPr>
              <w:rPr>
                <w:szCs w:val="22"/>
              </w:rPr>
            </w:pPr>
            <w:r w:rsidRPr="00D01DDB">
              <w:rPr>
                <w:szCs w:val="22"/>
              </w:rPr>
              <w:t>Region</w:t>
            </w:r>
          </w:p>
        </w:tc>
        <w:tc>
          <w:tcPr>
            <w:tcW w:w="1203" w:type="pct"/>
          </w:tcPr>
          <w:p w14:paraId="778C35C7" w14:textId="52D23C8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1136" w:type="pct"/>
          </w:tcPr>
          <w:p w14:paraId="58F81584" w14:textId="66689ABF"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Status</w:t>
            </w:r>
          </w:p>
        </w:tc>
        <w:tc>
          <w:tcPr>
            <w:tcW w:w="1709" w:type="pct"/>
          </w:tcPr>
          <w:p w14:paraId="50B2D435" w14:textId="560588D2"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Approved indications</w:t>
            </w:r>
          </w:p>
        </w:tc>
      </w:tr>
      <w:tr w:rsidR="00497CF0" w:rsidRPr="00D01DDB" w14:paraId="445BCF2B" w14:textId="77777777" w:rsidTr="00090EED">
        <w:tc>
          <w:tcPr>
            <w:cnfStyle w:val="001000000000" w:firstRow="0" w:lastRow="0" w:firstColumn="1" w:lastColumn="0" w:oddVBand="0" w:evenVBand="0" w:oddHBand="0" w:evenHBand="0" w:firstRowFirstColumn="0" w:firstRowLastColumn="0" w:lastRowFirstColumn="0" w:lastRowLastColumn="0"/>
            <w:tcW w:w="952" w:type="pct"/>
          </w:tcPr>
          <w:p w14:paraId="3175980D" w14:textId="2AF629BF" w:rsidR="00497CF0" w:rsidRDefault="00497CF0" w:rsidP="00324B33">
            <w:pPr>
              <w:rPr>
                <w:szCs w:val="22"/>
              </w:rPr>
            </w:pPr>
            <w:r>
              <w:rPr>
                <w:szCs w:val="22"/>
              </w:rPr>
              <w:t>China</w:t>
            </w:r>
          </w:p>
        </w:tc>
        <w:tc>
          <w:tcPr>
            <w:tcW w:w="1203" w:type="pct"/>
          </w:tcPr>
          <w:p w14:paraId="0757035E" w14:textId="00DE27BC" w:rsidR="00497CF0" w:rsidRDefault="00DB5D0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12 May 2017</w:t>
            </w:r>
          </w:p>
        </w:tc>
        <w:tc>
          <w:tcPr>
            <w:tcW w:w="1136" w:type="pct"/>
          </w:tcPr>
          <w:p w14:paraId="3028DC0E" w14:textId="376E0A06" w:rsidR="00497CF0" w:rsidRPr="00D01DDB" w:rsidRDefault="00443B8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 xml:space="preserve">Approved on </w:t>
            </w:r>
            <w:r w:rsidR="00DB5D06">
              <w:rPr>
                <w:szCs w:val="22"/>
              </w:rPr>
              <w:t>4 September 2018</w:t>
            </w:r>
          </w:p>
        </w:tc>
        <w:tc>
          <w:tcPr>
            <w:tcW w:w="1709" w:type="pct"/>
          </w:tcPr>
          <w:p w14:paraId="2A8ED3B0" w14:textId="4D5A1465" w:rsidR="00497CF0" w:rsidRPr="00B666E6" w:rsidRDefault="00DB5D06" w:rsidP="00DB5D06">
            <w:pPr>
              <w:cnfStyle w:val="000000000000" w:firstRow="0" w:lastRow="0" w:firstColumn="0" w:lastColumn="0" w:oddVBand="0" w:evenVBand="0" w:oddHBand="0" w:evenHBand="0" w:firstRowFirstColumn="0" w:firstRowLastColumn="0" w:lastRowFirstColumn="0" w:lastRowLastColumn="0"/>
              <w:rPr>
                <w:i/>
                <w:iCs/>
                <w:szCs w:val="22"/>
              </w:rPr>
            </w:pPr>
            <w:r w:rsidRPr="00DB5D06">
              <w:rPr>
                <w:i/>
                <w:iCs/>
                <w:szCs w:val="22"/>
              </w:rPr>
              <w:t>This product is indicated for patients with metastatic colorectal cancer</w:t>
            </w:r>
            <w:r>
              <w:rPr>
                <w:i/>
                <w:iCs/>
                <w:szCs w:val="22"/>
              </w:rPr>
              <w:t xml:space="preserve"> </w:t>
            </w:r>
            <w:r w:rsidRPr="00DB5D06">
              <w:rPr>
                <w:i/>
                <w:iCs/>
                <w:szCs w:val="22"/>
              </w:rPr>
              <w:t>(mCRC) who have received fluorouracil, oxaliplatin and irinotecan-based</w:t>
            </w:r>
            <w:r>
              <w:rPr>
                <w:i/>
                <w:iCs/>
                <w:szCs w:val="22"/>
              </w:rPr>
              <w:t xml:space="preserve"> </w:t>
            </w:r>
            <w:r w:rsidRPr="00DB5D06">
              <w:rPr>
                <w:i/>
                <w:iCs/>
                <w:szCs w:val="22"/>
              </w:rPr>
              <w:t>chemotherapy, and received or are unsuitable to receive anti-vascular</w:t>
            </w:r>
            <w:r>
              <w:rPr>
                <w:i/>
                <w:iCs/>
                <w:szCs w:val="22"/>
              </w:rPr>
              <w:t xml:space="preserve"> </w:t>
            </w:r>
            <w:r w:rsidRPr="00DB5D06">
              <w:rPr>
                <w:i/>
                <w:iCs/>
                <w:szCs w:val="22"/>
              </w:rPr>
              <w:t>endothelial growth factor (VEGF) therapy, and if RAS wild type, an</w:t>
            </w:r>
            <w:r>
              <w:rPr>
                <w:i/>
                <w:iCs/>
                <w:szCs w:val="22"/>
              </w:rPr>
              <w:t xml:space="preserve"> </w:t>
            </w:r>
            <w:r w:rsidRPr="00DB5D06">
              <w:rPr>
                <w:i/>
                <w:iCs/>
                <w:szCs w:val="22"/>
              </w:rPr>
              <w:t>anti-epidermal growth factor receptor (EGFR) therapy.</w:t>
            </w:r>
          </w:p>
        </w:tc>
      </w:tr>
      <w:tr w:rsidR="00090EED" w:rsidRPr="00D01DDB" w14:paraId="38D24E86" w14:textId="77777777" w:rsidTr="00090EED">
        <w:tc>
          <w:tcPr>
            <w:cnfStyle w:val="001000000000" w:firstRow="0" w:lastRow="0" w:firstColumn="1" w:lastColumn="0" w:oddVBand="0" w:evenVBand="0" w:oddHBand="0" w:evenHBand="0" w:firstRowFirstColumn="0" w:firstRowLastColumn="0" w:lastRowFirstColumn="0" w:lastRowLastColumn="0"/>
            <w:tcW w:w="952" w:type="pct"/>
          </w:tcPr>
          <w:p w14:paraId="4C540DE5" w14:textId="1F666EA0" w:rsidR="00090EED" w:rsidRPr="00497CF0" w:rsidRDefault="00090EED" w:rsidP="00090EED">
            <w:pPr>
              <w:ind w:left="0"/>
              <w:rPr>
                <w:szCs w:val="22"/>
              </w:rPr>
            </w:pPr>
            <w:r>
              <w:rPr>
                <w:szCs w:val="22"/>
              </w:rPr>
              <w:t>United States of America</w:t>
            </w:r>
          </w:p>
        </w:tc>
        <w:tc>
          <w:tcPr>
            <w:tcW w:w="1203" w:type="pct"/>
          </w:tcPr>
          <w:p w14:paraId="4FA5DDA9" w14:textId="37AEAE17"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Pr>
                <w:szCs w:val="22"/>
              </w:rPr>
              <w:t>30 March 2023</w:t>
            </w:r>
          </w:p>
        </w:tc>
        <w:tc>
          <w:tcPr>
            <w:tcW w:w="1136" w:type="pct"/>
          </w:tcPr>
          <w:p w14:paraId="29358393" w14:textId="43598A83"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Pr>
                <w:szCs w:val="22"/>
              </w:rPr>
              <w:t>Approved on 8 November 2023</w:t>
            </w:r>
          </w:p>
        </w:tc>
        <w:tc>
          <w:tcPr>
            <w:tcW w:w="1709" w:type="pct"/>
          </w:tcPr>
          <w:p w14:paraId="05055674" w14:textId="5D239B7B" w:rsidR="00090EED" w:rsidRPr="00B666E6" w:rsidRDefault="00090EED" w:rsidP="00090EED">
            <w:pPr>
              <w:cnfStyle w:val="000000000000" w:firstRow="0" w:lastRow="0" w:firstColumn="0" w:lastColumn="0" w:oddVBand="0" w:evenVBand="0" w:oddHBand="0" w:evenHBand="0" w:firstRowFirstColumn="0" w:firstRowLastColumn="0" w:lastRowFirstColumn="0" w:lastRowLastColumn="0"/>
              <w:rPr>
                <w:i/>
                <w:iCs/>
                <w:szCs w:val="22"/>
              </w:rPr>
            </w:pPr>
            <w:r w:rsidRPr="001C38BD">
              <w:rPr>
                <w:i/>
                <w:iCs/>
                <w:szCs w:val="22"/>
              </w:rPr>
              <w:t xml:space="preserve">Fruzaqla is indicated for the treatment of adult patients with metastatic colorectal cancer (mCRC) who have been previously treated with fluoropyrimidine, oxaliplatin, and </w:t>
            </w:r>
            <w:proofErr w:type="gramStart"/>
            <w:r w:rsidRPr="001C38BD">
              <w:rPr>
                <w:i/>
                <w:iCs/>
                <w:szCs w:val="22"/>
              </w:rPr>
              <w:t>irinotecan based</w:t>
            </w:r>
            <w:proofErr w:type="gramEnd"/>
            <w:r w:rsidRPr="001C38BD">
              <w:rPr>
                <w:i/>
                <w:iCs/>
                <w:szCs w:val="22"/>
              </w:rPr>
              <w:t xml:space="preserve"> chemotherapy, an anti VEGF therapy, and, if RAS wild type and medically appropriate, an anti-EGFR therapy.</w:t>
            </w:r>
          </w:p>
        </w:tc>
      </w:tr>
      <w:tr w:rsidR="00090EED" w:rsidRPr="00D01DDB" w14:paraId="2555ACED" w14:textId="77777777" w:rsidTr="00090EED">
        <w:tc>
          <w:tcPr>
            <w:cnfStyle w:val="001000000000" w:firstRow="0" w:lastRow="0" w:firstColumn="1" w:lastColumn="0" w:oddVBand="0" w:evenVBand="0" w:oddHBand="0" w:evenHBand="0" w:firstRowFirstColumn="0" w:firstRowLastColumn="0" w:lastRowFirstColumn="0" w:lastRowLastColumn="0"/>
            <w:tcW w:w="952" w:type="pct"/>
          </w:tcPr>
          <w:p w14:paraId="3E359955" w14:textId="54567624" w:rsidR="00090EED" w:rsidRDefault="00090EED" w:rsidP="00A5421A">
            <w:pPr>
              <w:rPr>
                <w:szCs w:val="22"/>
              </w:rPr>
            </w:pPr>
            <w:r>
              <w:rPr>
                <w:szCs w:val="22"/>
              </w:rPr>
              <w:lastRenderedPageBreak/>
              <w:t>European Union</w:t>
            </w:r>
          </w:p>
        </w:tc>
        <w:tc>
          <w:tcPr>
            <w:tcW w:w="1203" w:type="pct"/>
          </w:tcPr>
          <w:p w14:paraId="29483A08" w14:textId="4D00C46C" w:rsidR="00090EED"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Pr>
                <w:szCs w:val="22"/>
              </w:rPr>
              <w:t>25 May 2023</w:t>
            </w:r>
          </w:p>
        </w:tc>
        <w:tc>
          <w:tcPr>
            <w:tcW w:w="1136" w:type="pct"/>
          </w:tcPr>
          <w:p w14:paraId="52E70AD0" w14:textId="317C3E0C"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 xml:space="preserve">Approved on </w:t>
            </w:r>
            <w:r>
              <w:rPr>
                <w:szCs w:val="22"/>
              </w:rPr>
              <w:t>20 June 2024</w:t>
            </w:r>
          </w:p>
        </w:tc>
        <w:tc>
          <w:tcPr>
            <w:tcW w:w="1709" w:type="pct"/>
          </w:tcPr>
          <w:p w14:paraId="0496B977" w14:textId="066531E6" w:rsidR="00090EED" w:rsidRPr="00B666E6" w:rsidRDefault="00090EED" w:rsidP="00090EED">
            <w:pPr>
              <w:cnfStyle w:val="000000000000" w:firstRow="0" w:lastRow="0" w:firstColumn="0" w:lastColumn="0" w:oddVBand="0" w:evenVBand="0" w:oddHBand="0" w:evenHBand="0" w:firstRowFirstColumn="0" w:firstRowLastColumn="0" w:lastRowFirstColumn="0" w:lastRowLastColumn="0"/>
              <w:rPr>
                <w:i/>
                <w:iCs/>
                <w:szCs w:val="22"/>
              </w:rPr>
            </w:pPr>
            <w:r w:rsidRPr="00B666E6">
              <w:rPr>
                <w:i/>
                <w:iCs/>
                <w:szCs w:val="22"/>
              </w:rPr>
              <w:t xml:space="preserve">Fruzaqla as monotherapy is indicated for the treatment of adult patients with metastatic colorectal cancer (mCRC) who have been previously treated with available standard therapies, including fluoropyrimidine-, oxaliplatin, and </w:t>
            </w:r>
            <w:proofErr w:type="gramStart"/>
            <w:r w:rsidRPr="00B666E6">
              <w:rPr>
                <w:i/>
                <w:iCs/>
                <w:szCs w:val="22"/>
              </w:rPr>
              <w:t>irinotecan based</w:t>
            </w:r>
            <w:proofErr w:type="gramEnd"/>
            <w:r w:rsidRPr="00B666E6">
              <w:rPr>
                <w:i/>
                <w:iCs/>
                <w:szCs w:val="22"/>
              </w:rPr>
              <w:t xml:space="preserve"> chemotherapies, anti VEGF agents, and anti EGFR agents, and who have progressed on or are intolerant to treatment with either trifluridine </w:t>
            </w:r>
            <w:proofErr w:type="spellStart"/>
            <w:r w:rsidRPr="00B666E6">
              <w:rPr>
                <w:i/>
                <w:iCs/>
                <w:szCs w:val="22"/>
              </w:rPr>
              <w:t>tipiracil</w:t>
            </w:r>
            <w:proofErr w:type="spellEnd"/>
            <w:r w:rsidRPr="00B666E6">
              <w:rPr>
                <w:i/>
                <w:iCs/>
                <w:szCs w:val="22"/>
              </w:rPr>
              <w:t xml:space="preserve"> or regorafenib.</w:t>
            </w:r>
          </w:p>
        </w:tc>
      </w:tr>
      <w:tr w:rsidR="00090EED" w:rsidRPr="00D01DDB" w14:paraId="1376DFA8" w14:textId="77777777" w:rsidTr="00090EED">
        <w:tc>
          <w:tcPr>
            <w:cnfStyle w:val="001000000000" w:firstRow="0" w:lastRow="0" w:firstColumn="1" w:lastColumn="0" w:oddVBand="0" w:evenVBand="0" w:oddHBand="0" w:evenHBand="0" w:firstRowFirstColumn="0" w:firstRowLastColumn="0" w:lastRowFirstColumn="0" w:lastRowLastColumn="0"/>
            <w:tcW w:w="952" w:type="pct"/>
          </w:tcPr>
          <w:p w14:paraId="567D70C1" w14:textId="4BDB4500" w:rsidR="00090EED" w:rsidRDefault="00090EED" w:rsidP="00090EED">
            <w:pPr>
              <w:rPr>
                <w:szCs w:val="22"/>
              </w:rPr>
            </w:pPr>
            <w:r>
              <w:rPr>
                <w:szCs w:val="22"/>
              </w:rPr>
              <w:t>Canada</w:t>
            </w:r>
          </w:p>
        </w:tc>
        <w:tc>
          <w:tcPr>
            <w:tcW w:w="1203" w:type="pct"/>
          </w:tcPr>
          <w:p w14:paraId="255B7847" w14:textId="76FD7191"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Pr>
                <w:szCs w:val="22"/>
              </w:rPr>
              <w:t>14 September 2023</w:t>
            </w:r>
          </w:p>
        </w:tc>
        <w:tc>
          <w:tcPr>
            <w:tcW w:w="1136" w:type="pct"/>
          </w:tcPr>
          <w:p w14:paraId="4121FF4E" w14:textId="7F0EB1E9"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Under consideration</w:t>
            </w:r>
          </w:p>
        </w:tc>
        <w:tc>
          <w:tcPr>
            <w:tcW w:w="1709" w:type="pct"/>
          </w:tcPr>
          <w:p w14:paraId="504C2010" w14:textId="6874D9DD"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Under consideration</w:t>
            </w:r>
          </w:p>
        </w:tc>
      </w:tr>
      <w:tr w:rsidR="00090EED" w:rsidRPr="00D01DDB" w14:paraId="1929BD9E" w14:textId="77777777" w:rsidTr="00090EED">
        <w:tc>
          <w:tcPr>
            <w:cnfStyle w:val="001000000000" w:firstRow="0" w:lastRow="0" w:firstColumn="1" w:lastColumn="0" w:oddVBand="0" w:evenVBand="0" w:oddHBand="0" w:evenHBand="0" w:firstRowFirstColumn="0" w:firstRowLastColumn="0" w:lastRowFirstColumn="0" w:lastRowLastColumn="0"/>
            <w:tcW w:w="952" w:type="pct"/>
          </w:tcPr>
          <w:p w14:paraId="526EDB57" w14:textId="5DB3A3F8" w:rsidR="00090EED" w:rsidRDefault="00090EED" w:rsidP="00090EED">
            <w:pPr>
              <w:rPr>
                <w:szCs w:val="22"/>
              </w:rPr>
            </w:pPr>
            <w:r>
              <w:rPr>
                <w:szCs w:val="22"/>
              </w:rPr>
              <w:t>Singapore</w:t>
            </w:r>
          </w:p>
        </w:tc>
        <w:tc>
          <w:tcPr>
            <w:tcW w:w="1203" w:type="pct"/>
          </w:tcPr>
          <w:p w14:paraId="01E17200" w14:textId="0C3572F4"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Pr>
                <w:szCs w:val="22"/>
              </w:rPr>
              <w:t>28 September 2023</w:t>
            </w:r>
          </w:p>
        </w:tc>
        <w:tc>
          <w:tcPr>
            <w:tcW w:w="1136" w:type="pct"/>
          </w:tcPr>
          <w:p w14:paraId="40DF11DD" w14:textId="440B6032"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Under consideration</w:t>
            </w:r>
          </w:p>
        </w:tc>
        <w:tc>
          <w:tcPr>
            <w:tcW w:w="1709" w:type="pct"/>
          </w:tcPr>
          <w:p w14:paraId="48BD170A" w14:textId="65D6D2F7"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Under consideration</w:t>
            </w:r>
          </w:p>
        </w:tc>
      </w:tr>
      <w:tr w:rsidR="00090EED" w:rsidRPr="00D01DDB" w14:paraId="371C1D7E" w14:textId="77777777" w:rsidTr="00090EED">
        <w:tc>
          <w:tcPr>
            <w:cnfStyle w:val="001000000000" w:firstRow="0" w:lastRow="0" w:firstColumn="1" w:lastColumn="0" w:oddVBand="0" w:evenVBand="0" w:oddHBand="0" w:evenHBand="0" w:firstRowFirstColumn="0" w:firstRowLastColumn="0" w:lastRowFirstColumn="0" w:lastRowLastColumn="0"/>
            <w:tcW w:w="952" w:type="pct"/>
          </w:tcPr>
          <w:p w14:paraId="3D22E314" w14:textId="1F6A5566" w:rsidR="00090EED" w:rsidRDefault="00090EED" w:rsidP="00090EED">
            <w:pPr>
              <w:rPr>
                <w:szCs w:val="22"/>
              </w:rPr>
            </w:pPr>
            <w:r>
              <w:rPr>
                <w:szCs w:val="22"/>
              </w:rPr>
              <w:t>Switzerland</w:t>
            </w:r>
          </w:p>
        </w:tc>
        <w:tc>
          <w:tcPr>
            <w:tcW w:w="1203" w:type="pct"/>
          </w:tcPr>
          <w:p w14:paraId="7E6E5619" w14:textId="3F5B0972"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Pr>
                <w:szCs w:val="22"/>
              </w:rPr>
              <w:t>28 September 2023</w:t>
            </w:r>
          </w:p>
        </w:tc>
        <w:tc>
          <w:tcPr>
            <w:tcW w:w="1136" w:type="pct"/>
          </w:tcPr>
          <w:p w14:paraId="69E9EE99" w14:textId="03763250"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Under consideration</w:t>
            </w:r>
          </w:p>
        </w:tc>
        <w:tc>
          <w:tcPr>
            <w:tcW w:w="1709" w:type="pct"/>
          </w:tcPr>
          <w:p w14:paraId="4E73449D" w14:textId="7D684C35" w:rsidR="00090EED" w:rsidRPr="00D01DDB" w:rsidRDefault="00090EED" w:rsidP="00090EED">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Under consideration</w:t>
            </w:r>
          </w:p>
        </w:tc>
      </w:tr>
    </w:tbl>
    <w:p w14:paraId="2773FFCC" w14:textId="77777777" w:rsidR="009954EE" w:rsidRDefault="008C2EB1" w:rsidP="008C2EB1">
      <w:pPr>
        <w:spacing w:before="120"/>
      </w:pPr>
      <w:bookmarkStart w:id="35" w:name="_Toc504480011"/>
      <w:bookmarkStart w:id="36" w:name="_Toc103679293"/>
      <w:r w:rsidRPr="008C2EB1">
        <w:t xml:space="preserve">Fruquintinib was first approved in China, with the brand name </w:t>
      </w:r>
      <w:proofErr w:type="spellStart"/>
      <w:r w:rsidRPr="008C2EB1">
        <w:t>E</w:t>
      </w:r>
      <w:r>
        <w:t>lunate</w:t>
      </w:r>
      <w:proofErr w:type="spellEnd"/>
      <w:r w:rsidRPr="008C2EB1">
        <w:t>, in September 2018. In early 2023 H</w:t>
      </w:r>
      <w:r w:rsidR="00137AB4">
        <w:t>UTCHMED</w:t>
      </w:r>
      <w:r w:rsidRPr="008C2EB1">
        <w:t xml:space="preserve"> (China) Ltd entered into a licensing agreement with Takeda for further commercialisation of </w:t>
      </w:r>
      <w:proofErr w:type="spellStart"/>
      <w:r w:rsidRPr="008C2EB1">
        <w:t>fruquintinib</w:t>
      </w:r>
      <w:proofErr w:type="spellEnd"/>
      <w:r w:rsidRPr="008C2EB1">
        <w:t xml:space="preserve"> outside of China, Hong Kong and Macau</w:t>
      </w:r>
      <w:r w:rsidR="009954EE">
        <w:t>.</w:t>
      </w:r>
    </w:p>
    <w:p w14:paraId="6D92589C" w14:textId="13FF314D" w:rsidR="00324B33" w:rsidRDefault="00324B33" w:rsidP="003B0B1A">
      <w:pPr>
        <w:pStyle w:val="Heading2"/>
        <w:tabs>
          <w:tab w:val="left" w:pos="5355"/>
        </w:tabs>
      </w:pPr>
      <w:bookmarkStart w:id="37" w:name="_Toc206082853"/>
      <w:r>
        <w:t>Registration timeline</w:t>
      </w:r>
      <w:bookmarkEnd w:id="35"/>
      <w:bookmarkEnd w:id="36"/>
      <w:bookmarkEnd w:id="37"/>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41647396" w:rsidR="00477C4E" w:rsidRPr="00BD5DBD" w:rsidRDefault="00477C4E" w:rsidP="00324B33">
      <w:pPr>
        <w:rPr>
          <w:szCs w:val="22"/>
        </w:rPr>
      </w:pPr>
      <w:r w:rsidRPr="00BD5DBD">
        <w:rPr>
          <w:szCs w:val="22"/>
        </w:rPr>
        <w:t xml:space="preserve">This submission was evaluated under the </w:t>
      </w:r>
      <w:hyperlink r:id="rId20" w:history="1">
        <w:r w:rsidRPr="00BD5DBD">
          <w:rPr>
            <w:rStyle w:val="Hyperlink"/>
            <w:szCs w:val="22"/>
          </w:rPr>
          <w:t>standard prescription medicines registration process</w:t>
        </w:r>
      </w:hyperlink>
      <w:r w:rsidRPr="00BD5DBD">
        <w:rPr>
          <w:szCs w:val="22"/>
        </w:rPr>
        <w:t>.</w:t>
      </w:r>
    </w:p>
    <w:p w14:paraId="5263E729" w14:textId="24569C14" w:rsidR="005B02A2" w:rsidRPr="00F7261A" w:rsidRDefault="00324B33" w:rsidP="00F7261A">
      <w:pPr>
        <w:pStyle w:val="TableTitle"/>
      </w:pPr>
      <w:r w:rsidRPr="002C1232">
        <w:t xml:space="preserve">Table </w:t>
      </w:r>
      <w:r w:rsidR="007F1E37">
        <w:fldChar w:fldCharType="begin"/>
      </w:r>
      <w:r w:rsidR="007F1E37">
        <w:instrText xml:space="preserve"> SEQ Table \* ARABIC </w:instrText>
      </w:r>
      <w:r w:rsidR="007F1E37">
        <w:fldChar w:fldCharType="separate"/>
      </w:r>
      <w:r w:rsidR="00A407E4">
        <w:rPr>
          <w:noProof/>
        </w:rPr>
        <w:t>2</w:t>
      </w:r>
      <w:r w:rsidR="007F1E37">
        <w:fldChar w:fldCharType="end"/>
      </w:r>
      <w:r w:rsidRPr="002C1232">
        <w:t xml:space="preserve">: Timeline for Submission </w:t>
      </w:r>
      <w:r w:rsidR="00EA4A68" w:rsidRPr="00311FC1">
        <w:t>PM-2023-04088-1-4</w:t>
      </w:r>
    </w:p>
    <w:tbl>
      <w:tblPr>
        <w:tblStyle w:val="TableTGAblue2023"/>
        <w:tblW w:w="8642" w:type="dxa"/>
        <w:tblLook w:val="04A0" w:firstRow="1" w:lastRow="0" w:firstColumn="1" w:lastColumn="0" w:noHBand="0" w:noVBand="1"/>
      </w:tblPr>
      <w:tblGrid>
        <w:gridCol w:w="6232"/>
        <w:gridCol w:w="2410"/>
      </w:tblGrid>
      <w:tr w:rsidR="00324B33" w:rsidRPr="00D01DDB" w14:paraId="6C59BE9C" w14:textId="77777777" w:rsidTr="00A542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6D80E78" w14:textId="3EC0CCAF" w:rsidR="00324B33" w:rsidRPr="00D01DDB" w:rsidRDefault="00324B33" w:rsidP="00324B33">
            <w:pPr>
              <w:rPr>
                <w:szCs w:val="22"/>
              </w:rPr>
            </w:pPr>
            <w:r w:rsidRPr="00D01DDB">
              <w:rPr>
                <w:szCs w:val="22"/>
              </w:rPr>
              <w:t>Description</w:t>
            </w:r>
          </w:p>
        </w:tc>
        <w:tc>
          <w:tcPr>
            <w:tcW w:w="2410"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759D2A12" w14:textId="0D705F83" w:rsidR="00324B33" w:rsidRPr="00E679D1" w:rsidRDefault="00324B33" w:rsidP="00E679D1">
            <w:r w:rsidRPr="00E679D1">
              <w:t>Submission dossier accepted and first round evaluation commenced</w:t>
            </w:r>
          </w:p>
        </w:tc>
        <w:tc>
          <w:tcPr>
            <w:tcW w:w="2410" w:type="dxa"/>
          </w:tcPr>
          <w:p w14:paraId="2963D9D8" w14:textId="242DFA5C" w:rsidR="00324B33" w:rsidRPr="00D01DDB" w:rsidRDefault="00D52EAD"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w:t>
            </w:r>
            <w:r w:rsidR="00F051AE">
              <w:rPr>
                <w:szCs w:val="22"/>
              </w:rPr>
              <w:t>October 2023</w:t>
            </w:r>
          </w:p>
        </w:tc>
      </w:tr>
      <w:tr w:rsidR="00324B33" w:rsidRPr="00D01DDB" w14:paraId="53437815"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4C037D4E" w14:textId="2B0CE255" w:rsidR="00324B33" w:rsidRPr="00E679D1" w:rsidRDefault="00324B33" w:rsidP="00E679D1">
            <w:r w:rsidRPr="00E679D1">
              <w:t>First round evaluation completed</w:t>
            </w:r>
          </w:p>
        </w:tc>
        <w:tc>
          <w:tcPr>
            <w:tcW w:w="2410" w:type="dxa"/>
          </w:tcPr>
          <w:p w14:paraId="3CEAFAAB" w14:textId="32A5FC1D" w:rsidR="00324B33" w:rsidRPr="00D01DDB" w:rsidRDefault="00A40EAD"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26 </w:t>
            </w:r>
            <w:r w:rsidR="00EE45C4">
              <w:rPr>
                <w:szCs w:val="22"/>
              </w:rPr>
              <w:t>February 2024</w:t>
            </w:r>
          </w:p>
        </w:tc>
      </w:tr>
      <w:tr w:rsidR="00324B33" w:rsidRPr="00D01DDB" w14:paraId="60DA57CC"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02EA1147" w14:textId="2853A422" w:rsidR="00324B33" w:rsidRPr="00E679D1" w:rsidRDefault="00324B33" w:rsidP="00E679D1">
            <w:r w:rsidRPr="00E679D1">
              <w:t>Sponsor provides responses on questions raised in first round evaluation</w:t>
            </w:r>
          </w:p>
        </w:tc>
        <w:tc>
          <w:tcPr>
            <w:tcW w:w="2410" w:type="dxa"/>
          </w:tcPr>
          <w:p w14:paraId="68A577C1" w14:textId="07288337" w:rsidR="00324B33" w:rsidRPr="00D01DDB" w:rsidRDefault="00E00E3A"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23 April 2024</w:t>
            </w:r>
          </w:p>
        </w:tc>
      </w:tr>
      <w:tr w:rsidR="00324B33" w:rsidRPr="00D01DDB" w14:paraId="767E33A4"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4AFC5B50" w14:textId="2BCC6A3E" w:rsidR="00324B33" w:rsidRPr="00E679D1" w:rsidRDefault="00324B33" w:rsidP="00E679D1">
            <w:r w:rsidRPr="00E679D1">
              <w:t>Second round evaluation completed</w:t>
            </w:r>
          </w:p>
        </w:tc>
        <w:tc>
          <w:tcPr>
            <w:tcW w:w="2410" w:type="dxa"/>
          </w:tcPr>
          <w:p w14:paraId="4E47DF62" w14:textId="0898DF58" w:rsidR="00324B33" w:rsidRPr="00D01DDB" w:rsidRDefault="00176C9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11 June 2024</w:t>
            </w:r>
          </w:p>
        </w:tc>
      </w:tr>
      <w:tr w:rsidR="00324B33" w:rsidRPr="00D01DDB" w14:paraId="302FCB45"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716E9DC1" w14:textId="45621A8B" w:rsidR="00324B33" w:rsidRPr="00D01DDB" w:rsidRDefault="00324B33" w:rsidP="00324B33">
            <w:pPr>
              <w:rPr>
                <w:szCs w:val="22"/>
              </w:rPr>
            </w:pPr>
            <w:r w:rsidRPr="00D01DDB">
              <w:rPr>
                <w:szCs w:val="22"/>
              </w:rPr>
              <w:t>Delegate’s</w:t>
            </w:r>
            <w:r w:rsidR="00500D68">
              <w:rPr>
                <w:rStyle w:val="FootnoteReference"/>
                <w:szCs w:val="22"/>
              </w:rPr>
              <w:footnoteReference w:id="21"/>
            </w:r>
            <w:r w:rsidRPr="00D01DDB">
              <w:rPr>
                <w:szCs w:val="22"/>
              </w:rPr>
              <w:t xml:space="preserve"> Overall benefit-risk assessmen</w:t>
            </w:r>
            <w:r w:rsidRPr="00835BFA">
              <w:rPr>
                <w:color w:val="auto"/>
                <w:szCs w:val="22"/>
              </w:rPr>
              <w:t>t and request for Advisory Committee advice</w:t>
            </w:r>
            <w:r w:rsidR="00AF07F2">
              <w:rPr>
                <w:color w:val="auto"/>
                <w:szCs w:val="22"/>
              </w:rPr>
              <w:t xml:space="preserve"> </w:t>
            </w:r>
            <w:r w:rsidR="00785A1D">
              <w:rPr>
                <w:color w:val="auto"/>
                <w:szCs w:val="22"/>
              </w:rPr>
              <w:t>–</w:t>
            </w:r>
            <w:r w:rsidR="0004337D">
              <w:rPr>
                <w:color w:val="auto"/>
                <w:szCs w:val="22"/>
              </w:rPr>
              <w:t xml:space="preserve"> Interim</w:t>
            </w:r>
          </w:p>
        </w:tc>
        <w:tc>
          <w:tcPr>
            <w:tcW w:w="2410" w:type="dxa"/>
          </w:tcPr>
          <w:p w14:paraId="3BA6EF79" w14:textId="34812563" w:rsidR="00324B33" w:rsidRPr="00162296" w:rsidRDefault="00162296" w:rsidP="00324B33">
            <w:pPr>
              <w:cnfStyle w:val="000000000000" w:firstRow="0" w:lastRow="0" w:firstColumn="0" w:lastColumn="0" w:oddVBand="0" w:evenVBand="0" w:oddHBand="0" w:evenHBand="0" w:firstRowFirstColumn="0" w:firstRowLastColumn="0" w:lastRowFirstColumn="0" w:lastRowLastColumn="0"/>
            </w:pPr>
            <w:r>
              <w:rPr>
                <w:szCs w:val="22"/>
              </w:rPr>
              <w:t>8</w:t>
            </w:r>
            <w:r w:rsidR="00B772FF">
              <w:t> July 2024</w:t>
            </w:r>
          </w:p>
        </w:tc>
      </w:tr>
      <w:tr w:rsidR="00324B33" w:rsidRPr="00D01DDB" w14:paraId="5832EBC8"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720592DE" w14:textId="1F72CD22" w:rsidR="00324B33" w:rsidRPr="00E679D1" w:rsidRDefault="00324B33" w:rsidP="00E679D1">
            <w:r w:rsidRPr="00E679D1">
              <w:lastRenderedPageBreak/>
              <w:t>Sponsor’s pre-Advisory Committee response</w:t>
            </w:r>
          </w:p>
        </w:tc>
        <w:tc>
          <w:tcPr>
            <w:tcW w:w="2410" w:type="dxa"/>
          </w:tcPr>
          <w:p w14:paraId="5AE04841" w14:textId="404F8530" w:rsidR="00324B33" w:rsidRPr="00D01DDB" w:rsidRDefault="001D7971"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19 July 2024</w:t>
            </w:r>
          </w:p>
        </w:tc>
      </w:tr>
      <w:tr w:rsidR="00324B33" w:rsidRPr="00D01DDB" w14:paraId="5754F7AC"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789DE187" w14:textId="123446EE" w:rsidR="00324B33" w:rsidRPr="00E679D1" w:rsidRDefault="00324B33" w:rsidP="00E679D1">
            <w:r w:rsidRPr="00E679D1">
              <w:t>Advisory Committee meeting</w:t>
            </w:r>
          </w:p>
        </w:tc>
        <w:tc>
          <w:tcPr>
            <w:tcW w:w="2410" w:type="dxa"/>
          </w:tcPr>
          <w:p w14:paraId="5BE1EDE7" w14:textId="42B7A9EF" w:rsidR="00324B33" w:rsidRPr="00D01DDB" w:rsidRDefault="000C69E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 and 2 August 2024</w:t>
            </w:r>
          </w:p>
        </w:tc>
      </w:tr>
      <w:tr w:rsidR="0004337D" w:rsidRPr="00D01DDB" w14:paraId="2591706A"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440F9F36" w14:textId="26D9519F" w:rsidR="0004337D" w:rsidRPr="00E679D1" w:rsidRDefault="00A21109" w:rsidP="00E679D1">
            <w:r w:rsidRPr="00D01DDB">
              <w:rPr>
                <w:szCs w:val="22"/>
              </w:rPr>
              <w:t>Delegate’s Overall benefit-risk assessmen</w:t>
            </w:r>
            <w:r w:rsidRPr="00835BFA">
              <w:rPr>
                <w:color w:val="auto"/>
                <w:szCs w:val="22"/>
              </w:rPr>
              <w:t>t</w:t>
            </w:r>
            <w:r>
              <w:rPr>
                <w:color w:val="auto"/>
                <w:szCs w:val="22"/>
              </w:rPr>
              <w:t xml:space="preserve"> – Final</w:t>
            </w:r>
          </w:p>
        </w:tc>
        <w:tc>
          <w:tcPr>
            <w:tcW w:w="2410" w:type="dxa"/>
          </w:tcPr>
          <w:p w14:paraId="265BA9E5" w14:textId="7BB487AE" w:rsidR="0004337D" w:rsidRDefault="005B3AF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19 August 2024</w:t>
            </w:r>
          </w:p>
        </w:tc>
      </w:tr>
      <w:tr w:rsidR="00324B33" w:rsidRPr="00D01DDB" w14:paraId="6E5D32FE"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4E95C44C" w14:textId="7A91C710" w:rsidR="00324B33" w:rsidRPr="00E679D1" w:rsidRDefault="00324B33" w:rsidP="00E679D1">
            <w:r w:rsidRPr="00E679D1">
              <w:t>Registration decision (Outcome)</w:t>
            </w:r>
          </w:p>
        </w:tc>
        <w:tc>
          <w:tcPr>
            <w:tcW w:w="2410" w:type="dxa"/>
          </w:tcPr>
          <w:p w14:paraId="62987ABD" w14:textId="28A17BD7" w:rsidR="00324B33" w:rsidRPr="00D01DDB" w:rsidRDefault="00B772F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 October 2024</w:t>
            </w:r>
          </w:p>
        </w:tc>
      </w:tr>
      <w:tr w:rsidR="00324B33" w:rsidRPr="00D01DDB" w14:paraId="6DDCDDA4"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192FD19D" w14:textId="3612A2E7" w:rsidR="00324B33" w:rsidRPr="00E679D1" w:rsidRDefault="0013132F" w:rsidP="00E679D1">
            <w:r w:rsidRPr="00E679D1">
              <w:t xml:space="preserve">Administrative activities and registration </w:t>
            </w:r>
            <w:r w:rsidR="005C4B46" w:rsidRPr="00E679D1">
              <w:t xml:space="preserve">in </w:t>
            </w:r>
            <w:r w:rsidRPr="00E679D1">
              <w:t>the ARTG completed</w:t>
            </w:r>
          </w:p>
        </w:tc>
        <w:tc>
          <w:tcPr>
            <w:tcW w:w="2410" w:type="dxa"/>
          </w:tcPr>
          <w:p w14:paraId="5A8923FD" w14:textId="13BF5083" w:rsidR="00324B33" w:rsidRPr="00D01DDB" w:rsidRDefault="00B772F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October 2024</w:t>
            </w:r>
          </w:p>
        </w:tc>
      </w:tr>
      <w:tr w:rsidR="00324B33" w:rsidRPr="00D01DDB" w14:paraId="56D922E2" w14:textId="77777777" w:rsidTr="00A5421A">
        <w:tc>
          <w:tcPr>
            <w:cnfStyle w:val="001000000000" w:firstRow="0" w:lastRow="0" w:firstColumn="1" w:lastColumn="0" w:oddVBand="0" w:evenVBand="0" w:oddHBand="0" w:evenHBand="0" w:firstRowFirstColumn="0" w:firstRowLastColumn="0" w:lastRowFirstColumn="0" w:lastRowLastColumn="0"/>
            <w:tcW w:w="6232" w:type="dxa"/>
          </w:tcPr>
          <w:p w14:paraId="787FD8DD" w14:textId="0E0CF97F" w:rsidR="00324B33" w:rsidRPr="00E679D1" w:rsidRDefault="00324B33" w:rsidP="00E679D1">
            <w:r w:rsidRPr="00E679D1">
              <w:t>Number of working days from submission dossier acceptance to registration decision*</w:t>
            </w:r>
          </w:p>
        </w:tc>
        <w:tc>
          <w:tcPr>
            <w:tcW w:w="2410" w:type="dxa"/>
          </w:tcPr>
          <w:p w14:paraId="5BAF9FA1" w14:textId="43D1FB9B" w:rsidR="00324B33" w:rsidRPr="00D01DDB" w:rsidRDefault="003A6F4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165</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7777777" w:rsidR="00C22214" w:rsidRPr="00792A32" w:rsidRDefault="00C22214" w:rsidP="00C22214">
      <w:pPr>
        <w:pStyle w:val="Heading2"/>
      </w:pPr>
      <w:bookmarkStart w:id="38" w:name="_Toc196046504"/>
      <w:bookmarkStart w:id="39" w:name="_Toc247691527"/>
      <w:bookmarkStart w:id="40" w:name="_Toc314842510"/>
      <w:bookmarkStart w:id="41" w:name="_Toc103679294"/>
      <w:bookmarkStart w:id="42" w:name="_Toc206082854"/>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38"/>
      <w:bookmarkEnd w:id="39"/>
      <w:bookmarkEnd w:id="40"/>
      <w:bookmarkEnd w:id="41"/>
      <w:bookmarkEnd w:id="42"/>
    </w:p>
    <w:p w14:paraId="51B31CAB" w14:textId="0550DF6B" w:rsidR="00C22214" w:rsidRPr="00447D3D" w:rsidRDefault="00C22214" w:rsidP="00447D3D">
      <w:pPr>
        <w:rPr>
          <w:szCs w:val="22"/>
        </w:rPr>
      </w:pPr>
      <w:bookmarkStart w:id="43" w:name="_Toc247691528"/>
      <w:bookmarkStart w:id="44" w:name="_Toc314842511"/>
      <w:r w:rsidRPr="00BD5DBD">
        <w:rPr>
          <w:szCs w:val="22"/>
        </w:rPr>
        <w:t>A summary of the TGA’s assessment for this submission is provided below.</w:t>
      </w:r>
    </w:p>
    <w:p w14:paraId="5F5FAA14" w14:textId="77777777" w:rsidR="00C22214" w:rsidRDefault="00C22214" w:rsidP="00C22214">
      <w:pPr>
        <w:rPr>
          <w:szCs w:val="22"/>
        </w:rPr>
      </w:pPr>
      <w:r w:rsidRPr="00BD5DBD">
        <w:rPr>
          <w:szCs w:val="22"/>
        </w:rPr>
        <w:t>This section is a TGA summary of wording used in TGA’s evaluation report, which discussed numerous aspects of overseas evaluation reports and included some information that was commercial-in-confidence.</w:t>
      </w:r>
    </w:p>
    <w:p w14:paraId="07FA5E6E" w14:textId="5F97C75C" w:rsidR="00BE58F5" w:rsidRDefault="00BE58F5" w:rsidP="00BE58F5">
      <w:pPr>
        <w:rPr>
          <w:szCs w:val="22"/>
        </w:rPr>
      </w:pPr>
      <w:r w:rsidRPr="00BD5DBD">
        <w:rPr>
          <w:szCs w:val="22"/>
        </w:rPr>
        <w:t>Relevant guidelines or guidance documents referred to by the Delegate are listed below:</w:t>
      </w:r>
    </w:p>
    <w:p w14:paraId="5F847DA8" w14:textId="7C1A4E17" w:rsidR="00392D59" w:rsidRDefault="00392D59" w:rsidP="0061047D">
      <w:pPr>
        <w:pStyle w:val="ListBullet"/>
        <w:numPr>
          <w:ilvl w:val="0"/>
          <w:numId w:val="0"/>
        </w:numPr>
        <w:ind w:left="360"/>
      </w:pPr>
      <w:r>
        <w:t xml:space="preserve">EMA: ICH Topic Q3A (R2) </w:t>
      </w:r>
      <w:hyperlink r:id="rId21" w:history="1">
        <w:r w:rsidRPr="006978D9">
          <w:rPr>
            <w:rStyle w:val="Hyperlink"/>
          </w:rPr>
          <w:t>Note for Guidance on Impurities Testing: Impurities in New Drug Substances</w:t>
        </w:r>
      </w:hyperlink>
      <w:r>
        <w:t xml:space="preserve"> (</w:t>
      </w:r>
      <w:r w:rsidRPr="004A3819">
        <w:t>CPMP/ICH/2737/99</w:t>
      </w:r>
      <w:r>
        <w:t>)TGA-adopted, effective date: October 2006</w:t>
      </w:r>
    </w:p>
    <w:p w14:paraId="78D58F69" w14:textId="03EFF6CA" w:rsidR="00392D59" w:rsidRDefault="00392D59" w:rsidP="00392D59">
      <w:pPr>
        <w:pStyle w:val="ListBullet"/>
      </w:pPr>
      <w:r>
        <w:t xml:space="preserve">EMA: ICH Topic Q3B (R2) </w:t>
      </w:r>
      <w:hyperlink r:id="rId22" w:history="1">
        <w:r w:rsidRPr="000E57E4">
          <w:rPr>
            <w:rStyle w:val="Hyperlink"/>
          </w:rPr>
          <w:t>Note for Guidance on Impurities in New Drug Products</w:t>
        </w:r>
      </w:hyperlink>
      <w:r>
        <w:t xml:space="preserve"> (</w:t>
      </w:r>
      <w:r w:rsidRPr="000E57E4">
        <w:t>CPMP/ICH/2738/99</w:t>
      </w:r>
      <w:r>
        <w:t>)</w:t>
      </w:r>
    </w:p>
    <w:p w14:paraId="33EBB93D" w14:textId="77777777" w:rsidR="00392D59" w:rsidRDefault="00392D59" w:rsidP="00392D59">
      <w:pPr>
        <w:pStyle w:val="ListBullet"/>
        <w:numPr>
          <w:ilvl w:val="0"/>
          <w:numId w:val="0"/>
        </w:numPr>
        <w:ind w:left="360"/>
      </w:pPr>
      <w:r>
        <w:t>TGA-adopted, effective date June 2006</w:t>
      </w:r>
    </w:p>
    <w:p w14:paraId="752E2A01" w14:textId="25F8F814" w:rsidR="00392D59" w:rsidRDefault="00392D59" w:rsidP="00392D59">
      <w:pPr>
        <w:pStyle w:val="ListBullet"/>
      </w:pPr>
      <w:r>
        <w:t xml:space="preserve">EMA: ICH Topic S9 </w:t>
      </w:r>
      <w:hyperlink r:id="rId23" w:history="1">
        <w:r w:rsidRPr="0086430F">
          <w:rPr>
            <w:rStyle w:val="Hyperlink"/>
          </w:rPr>
          <w:t>Guideline on Non-clinical Evaluation for Anticancer Pharmaceuticals</w:t>
        </w:r>
      </w:hyperlink>
      <w:r>
        <w:t xml:space="preserve"> (</w:t>
      </w:r>
      <w:r w:rsidRPr="0086430F">
        <w:t>EMA/CHMP/ICH/646107/2008</w:t>
      </w:r>
      <w:r>
        <w:t>)</w:t>
      </w:r>
    </w:p>
    <w:p w14:paraId="070E6832" w14:textId="77777777" w:rsidR="00392D59" w:rsidRDefault="00392D59" w:rsidP="00392D59">
      <w:pPr>
        <w:pStyle w:val="ListBullet"/>
        <w:numPr>
          <w:ilvl w:val="0"/>
          <w:numId w:val="0"/>
        </w:numPr>
        <w:ind w:left="360"/>
      </w:pPr>
      <w:r>
        <w:t>TGA-adopted, effective date: May 2010</w:t>
      </w:r>
    </w:p>
    <w:p w14:paraId="4EBFF525" w14:textId="6C6B663A" w:rsidR="00392D59" w:rsidRDefault="00392D59" w:rsidP="00392D59">
      <w:pPr>
        <w:pStyle w:val="ListBullet"/>
      </w:pPr>
      <w:r>
        <w:t xml:space="preserve">EMA: ICH Topic S10 </w:t>
      </w:r>
      <w:hyperlink r:id="rId24" w:history="1">
        <w:r w:rsidRPr="000C5460">
          <w:rPr>
            <w:rStyle w:val="Hyperlink"/>
          </w:rPr>
          <w:t xml:space="preserve">Guideline on </w:t>
        </w:r>
        <w:proofErr w:type="spellStart"/>
        <w:r w:rsidRPr="000C5460">
          <w:rPr>
            <w:rStyle w:val="Hyperlink"/>
          </w:rPr>
          <w:t>Photosafety</w:t>
        </w:r>
        <w:proofErr w:type="spellEnd"/>
        <w:r w:rsidRPr="000C5460">
          <w:rPr>
            <w:rStyle w:val="Hyperlink"/>
          </w:rPr>
          <w:t xml:space="preserve"> Evaluation of Pharmaceuticals</w:t>
        </w:r>
      </w:hyperlink>
      <w:r>
        <w:t xml:space="preserve"> (EMA/CHMP/ICH/752211/2012)</w:t>
      </w:r>
    </w:p>
    <w:p w14:paraId="1A8CB7D3" w14:textId="1733B16E" w:rsidR="00BE58F5" w:rsidRPr="00BD5DBD" w:rsidRDefault="00392D59" w:rsidP="00392D59">
      <w:pPr>
        <w:pStyle w:val="ListBullet"/>
        <w:numPr>
          <w:ilvl w:val="0"/>
          <w:numId w:val="0"/>
        </w:numPr>
        <w:ind w:left="360"/>
        <w:rPr>
          <w:szCs w:val="22"/>
        </w:rPr>
      </w:pPr>
      <w:r>
        <w:t>TGA-adopted, effective date: June 2014</w:t>
      </w:r>
    </w:p>
    <w:p w14:paraId="37F5A1C0" w14:textId="77777777" w:rsidR="00C22214" w:rsidRDefault="00C22214" w:rsidP="00C22214">
      <w:pPr>
        <w:pStyle w:val="Heading3"/>
      </w:pPr>
      <w:bookmarkStart w:id="45" w:name="_Toc103679295"/>
      <w:bookmarkStart w:id="46" w:name="_Toc206082855"/>
      <w:r>
        <w:t>Quality</w:t>
      </w:r>
      <w:bookmarkEnd w:id="43"/>
      <w:bookmarkEnd w:id="44"/>
      <w:bookmarkEnd w:id="45"/>
      <w:bookmarkEnd w:id="46"/>
    </w:p>
    <w:p w14:paraId="499CB35A" w14:textId="77777777" w:rsidR="001F08AC" w:rsidRPr="001F08AC" w:rsidRDefault="001F08AC" w:rsidP="0060528D">
      <w:pPr>
        <w:pStyle w:val="Heading4"/>
      </w:pPr>
      <w:bookmarkStart w:id="47" w:name="_Toc206082856"/>
      <w:r w:rsidRPr="001F08AC">
        <w:t>Drug substance</w:t>
      </w:r>
      <w:bookmarkEnd w:id="47"/>
    </w:p>
    <w:p w14:paraId="1B994FC0" w14:textId="70A9FB3B" w:rsidR="001F08AC" w:rsidRDefault="001F08AC" w:rsidP="001F08AC">
      <w:r w:rsidRPr="001F08AC">
        <w:t>Fruquintinib is a small molecule antitumor quinazoline class, highly selective, potent, oral tyrosine kinase inhibitor.</w:t>
      </w:r>
    </w:p>
    <w:p w14:paraId="6428E1FC" w14:textId="165E89FD" w:rsidR="007F7849" w:rsidRDefault="00042E63" w:rsidP="00042E63">
      <w:pPr>
        <w:pStyle w:val="FigureTitle"/>
      </w:pPr>
      <w:r>
        <w:lastRenderedPageBreak/>
        <w:t xml:space="preserve">Figure </w:t>
      </w:r>
      <w:r>
        <w:fldChar w:fldCharType="begin"/>
      </w:r>
      <w:r>
        <w:instrText xml:space="preserve"> SEQ Figure \* ARABIC </w:instrText>
      </w:r>
      <w:r>
        <w:fldChar w:fldCharType="separate"/>
      </w:r>
      <w:r w:rsidR="00A407E4">
        <w:rPr>
          <w:noProof/>
        </w:rPr>
        <w:t>1</w:t>
      </w:r>
      <w:r>
        <w:fldChar w:fldCharType="end"/>
      </w:r>
      <w:r>
        <w:t xml:space="preserve">: Structure of </w:t>
      </w:r>
      <w:proofErr w:type="spellStart"/>
      <w:r>
        <w:t>f</w:t>
      </w:r>
      <w:r w:rsidRPr="001F08AC">
        <w:t>ruquintinib</w:t>
      </w:r>
      <w:proofErr w:type="spellEnd"/>
    </w:p>
    <w:p w14:paraId="63953A3C" w14:textId="11506F90" w:rsidR="001F08AC" w:rsidRPr="001F08AC" w:rsidRDefault="001F08AC" w:rsidP="001F08AC">
      <w:r w:rsidRPr="001F08AC">
        <w:rPr>
          <w:noProof/>
        </w:rPr>
        <w:drawing>
          <wp:inline distT="0" distB="0" distL="0" distR="0" wp14:anchorId="1FCC13CF" wp14:editId="2AA9F702">
            <wp:extent cx="2066925" cy="1438275"/>
            <wp:effectExtent l="0" t="0" r="9525" b="9525"/>
            <wp:docPr id="1674371379" name="Picture 2" descr="Structure of fruquin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71379" name="Picture 2" descr="Structure of fruquintini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66925" cy="1438275"/>
                    </a:xfrm>
                    <a:prstGeom prst="rect">
                      <a:avLst/>
                    </a:prstGeom>
                    <a:noFill/>
                    <a:ln>
                      <a:noFill/>
                    </a:ln>
                  </pic:spPr>
                </pic:pic>
              </a:graphicData>
            </a:graphic>
          </wp:inline>
        </w:drawing>
      </w:r>
    </w:p>
    <w:p w14:paraId="6EE8068E" w14:textId="5131D5F6" w:rsidR="001F08AC" w:rsidRPr="001F08AC" w:rsidRDefault="001F08AC" w:rsidP="00FF45BF">
      <w:r w:rsidRPr="001F08AC">
        <w:t>Fruquintinib is chemically synthesised and is jet-milled. It exhibits polymorphism as crystalline Form I. Fruquintinib has low solubility across the physiological pH range</w:t>
      </w:r>
      <w:r w:rsidR="003B516F">
        <w:t>. B</w:t>
      </w:r>
      <w:r w:rsidRPr="001F08AC">
        <w:t>ased on a maximum 5</w:t>
      </w:r>
      <w:r w:rsidR="002E1D44" w:rsidRPr="00FF45BF">
        <w:t> </w:t>
      </w:r>
      <w:r w:rsidRPr="001F08AC">
        <w:t xml:space="preserve">mg dose, </w:t>
      </w:r>
      <w:r w:rsidR="003B516F">
        <w:t xml:space="preserve">it </w:t>
      </w:r>
      <w:r w:rsidRPr="001F08AC">
        <w:t xml:space="preserve">meets the definition of a </w:t>
      </w:r>
      <w:r w:rsidR="00FF45BF" w:rsidRPr="00FF45BF">
        <w:t>biopharmaceutical classification system</w:t>
      </w:r>
      <w:r w:rsidRPr="001F08AC">
        <w:t xml:space="preserve"> low soluble drug substance.</w:t>
      </w:r>
    </w:p>
    <w:p w14:paraId="565071F7" w14:textId="31532BE9" w:rsidR="001F08AC" w:rsidRPr="001F08AC" w:rsidRDefault="001F08AC" w:rsidP="00FF45BF">
      <w:r w:rsidRPr="001F08AC">
        <w:t xml:space="preserve">The drug substance specification provided by the sponsor adequately controls the quality of the drug substance. Of note, single specified impurities are adequately controlled </w:t>
      </w:r>
      <w:r w:rsidR="00F01DD2">
        <w:t>in accordance with</w:t>
      </w:r>
      <w:r w:rsidR="00650559">
        <w:t xml:space="preserve"> </w:t>
      </w:r>
      <w:r w:rsidR="00570EB2">
        <w:t xml:space="preserve">the </w:t>
      </w:r>
      <w:r w:rsidR="00650559">
        <w:t>i</w:t>
      </w:r>
      <w:r w:rsidR="00650559" w:rsidRPr="00650559">
        <w:t xml:space="preserve">mpurities in new drug substances </w:t>
      </w:r>
      <w:r w:rsidR="00570EB2">
        <w:t>s</w:t>
      </w:r>
      <w:r w:rsidR="00650559" w:rsidRPr="00650559">
        <w:t xml:space="preserve">cientific </w:t>
      </w:r>
      <w:r w:rsidR="00650559" w:rsidRPr="00B71026">
        <w:t>guideli</w:t>
      </w:r>
      <w:r w:rsidR="00570EB2" w:rsidRPr="00B71026">
        <w:t>ne (</w:t>
      </w:r>
      <w:r w:rsidRPr="00B71026">
        <w:t>ICH Q3A (R2)</w:t>
      </w:r>
      <w:r w:rsidR="00570EB2" w:rsidRPr="00B71026">
        <w:t>)</w:t>
      </w:r>
      <w:r w:rsidR="0013531A" w:rsidRPr="00B71026">
        <w:t>.</w:t>
      </w:r>
      <w:r w:rsidRPr="00B71026">
        <w:t xml:space="preserve"> </w:t>
      </w:r>
      <w:r w:rsidR="0013531A" w:rsidRPr="00B71026">
        <w:t>P</w:t>
      </w:r>
      <w:r w:rsidRPr="00B71026">
        <w:t>article size</w:t>
      </w:r>
      <w:r w:rsidRPr="001F08AC">
        <w:t xml:space="preserve"> limits are based on the drug substance batches used in the clinical studies and polymorphic form is controlled by X</w:t>
      </w:r>
      <w:r w:rsidR="009215D2">
        <w:t>-ray powder diffraction</w:t>
      </w:r>
      <w:r w:rsidRPr="001F08AC">
        <w:t>.</w:t>
      </w:r>
    </w:p>
    <w:p w14:paraId="6730FEA6" w14:textId="77777777" w:rsidR="001F08AC" w:rsidRPr="001F08AC" w:rsidRDefault="001F08AC" w:rsidP="00EE61A7">
      <w:pPr>
        <w:pStyle w:val="Heading4"/>
      </w:pPr>
      <w:bookmarkStart w:id="48" w:name="_Toc206082857"/>
      <w:r w:rsidRPr="001F08AC">
        <w:t>Drug product</w:t>
      </w:r>
      <w:bookmarkEnd w:id="48"/>
      <w:r w:rsidRPr="001F08AC">
        <w:t xml:space="preserve"> </w:t>
      </w:r>
    </w:p>
    <w:p w14:paraId="5DA6120D" w14:textId="3D257F8E" w:rsidR="001F08AC" w:rsidRPr="001F08AC" w:rsidRDefault="001F08AC" w:rsidP="00135E0E">
      <w:r w:rsidRPr="001F08AC">
        <w:t xml:space="preserve">The drug product is formulated as a dry blend encapsulated in a hard </w:t>
      </w:r>
      <w:proofErr w:type="spellStart"/>
      <w:r w:rsidR="009F0CDE" w:rsidRPr="00135E0E">
        <w:t>gelatin</w:t>
      </w:r>
      <w:proofErr w:type="spellEnd"/>
      <w:r w:rsidR="009F0CDE" w:rsidRPr="00135E0E">
        <w:t xml:space="preserve"> </w:t>
      </w:r>
      <w:r w:rsidRPr="001F08AC">
        <w:t>capsule. The 1</w:t>
      </w:r>
      <w:r w:rsidR="007E450F" w:rsidRPr="00135E0E">
        <w:t> </w:t>
      </w:r>
      <w:r w:rsidRPr="001F08AC">
        <w:t>mg and 5</w:t>
      </w:r>
      <w:r w:rsidR="007E450F" w:rsidRPr="00135E0E">
        <w:t> </w:t>
      </w:r>
      <w:r w:rsidRPr="001F08AC">
        <w:t>mg strengths are direct scales.</w:t>
      </w:r>
      <w:r w:rsidR="00B879B7" w:rsidRPr="00135E0E">
        <w:t xml:space="preserve"> </w:t>
      </w:r>
      <w:r w:rsidRPr="001F08AC">
        <w:t>They are differentiated by colour and imprinting</w:t>
      </w:r>
      <w:r w:rsidR="00912D9D" w:rsidRPr="00135E0E">
        <w:t xml:space="preserve">. The 1 mg </w:t>
      </w:r>
      <w:r w:rsidR="007A7267" w:rsidRPr="00135E0E">
        <w:t xml:space="preserve">capsule </w:t>
      </w:r>
      <w:r w:rsidR="00182560" w:rsidRPr="00135E0E">
        <w:t>is</w:t>
      </w:r>
      <w:r w:rsidR="00216B46" w:rsidRPr="00135E0E">
        <w:t xml:space="preserve"> w</w:t>
      </w:r>
      <w:r w:rsidR="00216B46" w:rsidRPr="001F08AC">
        <w:t>hite to off-white powder filled into a</w:t>
      </w:r>
      <w:r w:rsidR="004D1DB1" w:rsidRPr="00135E0E">
        <w:t xml:space="preserve"> </w:t>
      </w:r>
      <w:r w:rsidR="00216B46" w:rsidRPr="001F08AC">
        <w:t xml:space="preserve">hard </w:t>
      </w:r>
      <w:proofErr w:type="spellStart"/>
      <w:r w:rsidR="00216B46" w:rsidRPr="001F08AC">
        <w:t>gelatin</w:t>
      </w:r>
      <w:proofErr w:type="spellEnd"/>
      <w:r w:rsidR="00216B46" w:rsidRPr="001F08AC">
        <w:t xml:space="preserve"> capsule with standard yellow opaque cap and white opaque body, imprinted with </w:t>
      </w:r>
      <w:r w:rsidR="004D1DB1" w:rsidRPr="00135E0E">
        <w:t>‘</w:t>
      </w:r>
      <w:r w:rsidR="00216B46" w:rsidRPr="001F08AC">
        <w:t>HM013</w:t>
      </w:r>
      <w:r w:rsidR="004D1DB1" w:rsidRPr="00135E0E">
        <w:t>’</w:t>
      </w:r>
      <w:r w:rsidR="00216B46" w:rsidRPr="001F08AC">
        <w:t xml:space="preserve"> over </w:t>
      </w:r>
      <w:r w:rsidR="004D1DB1" w:rsidRPr="00135E0E">
        <w:t>‘</w:t>
      </w:r>
      <w:r w:rsidR="00216B46" w:rsidRPr="001F08AC">
        <w:t>1mg</w:t>
      </w:r>
      <w:r w:rsidR="004D1DB1" w:rsidRPr="00135E0E">
        <w:t>’</w:t>
      </w:r>
      <w:r w:rsidR="00216B46" w:rsidRPr="001F08AC">
        <w:t xml:space="preserve"> on the body in black ink</w:t>
      </w:r>
      <w:r w:rsidR="004D1DB1" w:rsidRPr="00135E0E">
        <w:t>. The 5 mg ca</w:t>
      </w:r>
      <w:r w:rsidR="00182560" w:rsidRPr="00135E0E">
        <w:t xml:space="preserve">psule is white to off-white powder filled into a hard </w:t>
      </w:r>
      <w:proofErr w:type="spellStart"/>
      <w:r w:rsidR="00182560" w:rsidRPr="00135E0E">
        <w:t>gelatin</w:t>
      </w:r>
      <w:proofErr w:type="spellEnd"/>
      <w:r w:rsidR="00182560" w:rsidRPr="00135E0E">
        <w:t xml:space="preserve"> capsule with red opaque cap and white opaque body, imprinted with ‘HM013’ over ‘5mg’ on the body in black ink.</w:t>
      </w:r>
    </w:p>
    <w:p w14:paraId="031DEC9B" w14:textId="6C22BD5E" w:rsidR="001F08AC" w:rsidRPr="001F08AC" w:rsidRDefault="001F08AC" w:rsidP="00135E0E">
      <w:r w:rsidRPr="001F08AC">
        <w:t>The manufacturing process was adequately validated.</w:t>
      </w:r>
      <w:r w:rsidR="00182560" w:rsidRPr="00135E0E">
        <w:t xml:space="preserve"> </w:t>
      </w:r>
      <w:r w:rsidRPr="001F08AC">
        <w:t xml:space="preserve">The specification adequately controls the quality of the capsules. The single impurities are controlled </w:t>
      </w:r>
      <w:r w:rsidR="00462F93" w:rsidRPr="00135E0E">
        <w:t xml:space="preserve">in accordance with </w:t>
      </w:r>
      <w:r w:rsidR="003B0ABD" w:rsidRPr="00135E0E">
        <w:t xml:space="preserve">the impurities in new drug products </w:t>
      </w:r>
      <w:r w:rsidR="003B0ABD" w:rsidRPr="00B71026">
        <w:t xml:space="preserve">scientific guideline </w:t>
      </w:r>
      <w:r w:rsidR="00462F93" w:rsidRPr="00B71026">
        <w:t>(</w:t>
      </w:r>
      <w:r w:rsidRPr="00B71026">
        <w:t>ICH Q3B(R2)</w:t>
      </w:r>
      <w:r w:rsidR="00462F93" w:rsidRPr="00B71026">
        <w:t>)</w:t>
      </w:r>
      <w:r w:rsidRPr="00B71026">
        <w:t>. The</w:t>
      </w:r>
      <w:r w:rsidRPr="001F08AC">
        <w:t xml:space="preserve"> dissolution method was demonstrated to be discriminatory. The dissolution limits were based on the clinical trial batches.</w:t>
      </w:r>
    </w:p>
    <w:p w14:paraId="2BEC9369" w14:textId="6643F67A" w:rsidR="00135E0E" w:rsidRDefault="001F08AC" w:rsidP="00135E0E">
      <w:r w:rsidRPr="001F08AC">
        <w:t>The nitrosamine risk assessment was acceptable and did not raise any nitroso-impurities of concern.</w:t>
      </w:r>
      <w:r w:rsidR="009954EE">
        <w:t xml:space="preserve"> </w:t>
      </w:r>
      <w:r w:rsidRPr="001F08AC">
        <w:t>The proposed child-resistant closure met TGA requirements. The stability data supported the proposed shelf-life of 24 months when stored below 30</w:t>
      </w:r>
      <w:r w:rsidR="00135E0E" w:rsidRPr="00135E0E">
        <w:t> </w:t>
      </w:r>
      <w:r w:rsidRPr="001F08AC">
        <w:t>°C.</w:t>
      </w:r>
    </w:p>
    <w:p w14:paraId="6CC38577" w14:textId="2DDFF904" w:rsidR="001F08AC" w:rsidRPr="00135E0E" w:rsidRDefault="001F08AC" w:rsidP="00135E0E">
      <w:pPr>
        <w:pStyle w:val="Heading4"/>
      </w:pPr>
      <w:bookmarkStart w:id="49" w:name="_Toc206082858"/>
      <w:r w:rsidRPr="00135E0E">
        <w:t>Biopharmaceutics</w:t>
      </w:r>
      <w:bookmarkEnd w:id="49"/>
    </w:p>
    <w:p w14:paraId="23E41B7F" w14:textId="5B25D1D5" w:rsidR="001F08AC" w:rsidRPr="001F08AC" w:rsidRDefault="001F08AC" w:rsidP="00D62597">
      <w:r w:rsidRPr="001F08AC">
        <w:t>There have been no changes to the product or to the manufacturing process during or after the clinical program. As such, no bioequivalence bridging studies have been evaluated.</w:t>
      </w:r>
    </w:p>
    <w:p w14:paraId="00FF94F5" w14:textId="179C08BB" w:rsidR="001F08AC" w:rsidRPr="001F08AC" w:rsidRDefault="001F08AC" w:rsidP="00D62597">
      <w:r w:rsidRPr="001F08AC">
        <w:t>An additional new site of manufacture is proposed for manufacture of the commercial product.</w:t>
      </w:r>
      <w:r w:rsidR="009954EE">
        <w:t xml:space="preserve"> </w:t>
      </w:r>
      <w:r w:rsidRPr="001F08AC">
        <w:t xml:space="preserve">Satisfactory </w:t>
      </w:r>
      <w:r w:rsidRPr="001F08AC">
        <w:rPr>
          <w:i/>
          <w:iCs/>
        </w:rPr>
        <w:t>in vitro</w:t>
      </w:r>
      <w:r w:rsidRPr="001F08AC">
        <w:t xml:space="preserve"> data was provided to bridge the product used in the Phase </w:t>
      </w:r>
      <w:r w:rsidR="00D62597" w:rsidRPr="00D62597">
        <w:t>III</w:t>
      </w:r>
      <w:r w:rsidRPr="001F08AC">
        <w:t xml:space="preserve"> study and the proposed site.</w:t>
      </w:r>
    </w:p>
    <w:p w14:paraId="680228DC" w14:textId="4698AE54" w:rsidR="001F08AC" w:rsidRPr="001F08AC" w:rsidRDefault="00BF3AEB" w:rsidP="00D62597">
      <w:pPr>
        <w:pStyle w:val="Heading4"/>
      </w:pPr>
      <w:bookmarkStart w:id="50" w:name="_Toc206082859"/>
      <w:r>
        <w:t>Quality conclusion</w:t>
      </w:r>
      <w:bookmarkEnd w:id="50"/>
    </w:p>
    <w:p w14:paraId="35E6600F" w14:textId="6870FC4B" w:rsidR="001F08AC" w:rsidRPr="001F08AC" w:rsidRDefault="001F08AC" w:rsidP="001F08AC">
      <w:r w:rsidRPr="001F08AC">
        <w:t>The Product Informat</w:t>
      </w:r>
      <w:r w:rsidRPr="000F6F85">
        <w:t xml:space="preserve">ion </w:t>
      </w:r>
      <w:r w:rsidR="001374E1" w:rsidRPr="000F6F85">
        <w:t>(PI) and</w:t>
      </w:r>
      <w:r w:rsidR="001374E1">
        <w:t xml:space="preserve"> labelling are </w:t>
      </w:r>
      <w:r w:rsidRPr="001F08AC">
        <w:t>considered acceptable from a pharmaceutical quality perspective.</w:t>
      </w:r>
    </w:p>
    <w:p w14:paraId="29A3BB75" w14:textId="7BA0C63B" w:rsidR="00A01C56" w:rsidRPr="001F08AC" w:rsidRDefault="00BF3AEB" w:rsidP="001F08AC">
      <w:r w:rsidRPr="001F08AC">
        <w:lastRenderedPageBreak/>
        <w:t xml:space="preserve">The </w:t>
      </w:r>
      <w:r w:rsidRPr="00BF3AEB">
        <w:t>quality</w:t>
      </w:r>
      <w:r w:rsidRPr="001F08AC">
        <w:t xml:space="preserve"> evaluation concluded with a recommendation of approval from a pharmaceutical chemistry perspectiv</w:t>
      </w:r>
      <w:r w:rsidRPr="00BF3AEB">
        <w:t>e</w:t>
      </w:r>
      <w:r w:rsidRPr="001F08AC">
        <w:t>.</w:t>
      </w:r>
    </w:p>
    <w:p w14:paraId="2BE90AAE" w14:textId="77777777" w:rsidR="00C22214" w:rsidRDefault="00C22214" w:rsidP="00C22214">
      <w:pPr>
        <w:pStyle w:val="Heading3"/>
      </w:pPr>
      <w:bookmarkStart w:id="51" w:name="_Toc314842512"/>
      <w:bookmarkStart w:id="52" w:name="_Toc103679296"/>
      <w:bookmarkStart w:id="53" w:name="_Toc206082860"/>
      <w:r>
        <w:t>Nonclinical</w:t>
      </w:r>
      <w:bookmarkEnd w:id="51"/>
      <w:bookmarkEnd w:id="52"/>
      <w:bookmarkEnd w:id="53"/>
    </w:p>
    <w:p w14:paraId="25A5FA97" w14:textId="2014093E" w:rsidR="000857D0" w:rsidRPr="000857D0" w:rsidRDefault="000857D0" w:rsidP="005F05F1">
      <w:r w:rsidRPr="000857D0">
        <w:t xml:space="preserve">Fruquintinib is a small molecule kinase inhibitor of vascular endothelial growth factor receptors </w:t>
      </w:r>
      <w:r w:rsidRPr="00B55B08">
        <w:t>(VEGFR)-1</w:t>
      </w:r>
      <w:r w:rsidRPr="000857D0">
        <w:t xml:space="preserve">, -2, and -3, which inhibits VEGF-mediated endothelial cell proliferation and tubular formation </w:t>
      </w:r>
      <w:r w:rsidRPr="000857D0">
        <w:rPr>
          <w:i/>
          <w:iCs/>
        </w:rPr>
        <w:t>in vitro</w:t>
      </w:r>
      <w:r w:rsidRPr="000857D0">
        <w:t xml:space="preserve"> and inhibits VEGF-induced VEGFR-2 phosphorylation </w:t>
      </w:r>
      <w:r w:rsidRPr="000857D0">
        <w:rPr>
          <w:i/>
          <w:iCs/>
        </w:rPr>
        <w:t>in vitro</w:t>
      </w:r>
      <w:r w:rsidRPr="000857D0">
        <w:t xml:space="preserve"> and </w:t>
      </w:r>
      <w:r w:rsidRPr="000857D0">
        <w:rPr>
          <w:i/>
          <w:iCs/>
        </w:rPr>
        <w:t>in vivo</w:t>
      </w:r>
      <w:r w:rsidRPr="000857D0">
        <w:t>. Fruquintinib inhibited tumour growth in a xenograft murine model of colon cancer.</w:t>
      </w:r>
    </w:p>
    <w:p w14:paraId="6B8B40DA" w14:textId="4597FB15" w:rsidR="000857D0" w:rsidRPr="000857D0" w:rsidRDefault="000857D0" w:rsidP="001B70E9">
      <w:r w:rsidRPr="000857D0">
        <w:t xml:space="preserve">There is one major circulating metabolite of </w:t>
      </w:r>
      <w:proofErr w:type="spellStart"/>
      <w:r w:rsidRPr="000857D0">
        <w:t>fruquintinib</w:t>
      </w:r>
      <w:proofErr w:type="spellEnd"/>
      <w:r w:rsidRPr="000857D0">
        <w:t>, M11, which is active but more than 10</w:t>
      </w:r>
      <w:r w:rsidR="005F05F1" w:rsidRPr="001B70E9">
        <w:t> times</w:t>
      </w:r>
      <w:r w:rsidRPr="000857D0">
        <w:t xml:space="preserve"> less potent than the parent drug (</w:t>
      </w:r>
      <w:r w:rsidRPr="000857D0">
        <w:rPr>
          <w:lang w:val="en-GB"/>
        </w:rPr>
        <w:t>IC</w:t>
      </w:r>
      <w:r w:rsidRPr="000857D0">
        <w:rPr>
          <w:vertAlign w:val="subscript"/>
          <w:lang w:val="en-GB"/>
        </w:rPr>
        <w:t>50</w:t>
      </w:r>
      <w:r w:rsidRPr="000857D0">
        <w:rPr>
          <w:lang w:val="en-GB"/>
        </w:rPr>
        <w:t xml:space="preserve"> of 0.033</w:t>
      </w:r>
      <w:r w:rsidR="009F28D7">
        <w:rPr>
          <w:lang w:val="en-GB"/>
        </w:rPr>
        <w:t> </w:t>
      </w:r>
      <w:proofErr w:type="spellStart"/>
      <w:r w:rsidRPr="000857D0">
        <w:rPr>
          <w:lang w:val="en-GB"/>
        </w:rPr>
        <w:t>μM</w:t>
      </w:r>
      <w:proofErr w:type="spellEnd"/>
      <w:r w:rsidRPr="000857D0">
        <w:rPr>
          <w:lang w:val="en-GB"/>
        </w:rPr>
        <w:t xml:space="preserve"> versus </w:t>
      </w:r>
      <w:proofErr w:type="spellStart"/>
      <w:r w:rsidRPr="000857D0">
        <w:rPr>
          <w:lang w:val="en-GB"/>
        </w:rPr>
        <w:t>fruquintinib</w:t>
      </w:r>
      <w:proofErr w:type="spellEnd"/>
      <w:r w:rsidRPr="000857D0">
        <w:rPr>
          <w:lang w:val="en-GB"/>
        </w:rPr>
        <w:t xml:space="preserve"> IC</w:t>
      </w:r>
      <w:r w:rsidRPr="000857D0">
        <w:rPr>
          <w:vertAlign w:val="subscript"/>
          <w:lang w:val="en-GB"/>
        </w:rPr>
        <w:t>50</w:t>
      </w:r>
      <w:r w:rsidRPr="000857D0">
        <w:rPr>
          <w:lang w:val="en-GB"/>
        </w:rPr>
        <w:t xml:space="preserve"> of 0.002</w:t>
      </w:r>
      <w:r w:rsidR="009F28D7">
        <w:rPr>
          <w:lang w:val="en-GB"/>
        </w:rPr>
        <w:t> </w:t>
      </w:r>
      <w:proofErr w:type="spellStart"/>
      <w:r w:rsidRPr="000857D0">
        <w:rPr>
          <w:lang w:val="en-GB"/>
        </w:rPr>
        <w:t>μM</w:t>
      </w:r>
      <w:proofErr w:type="spellEnd"/>
      <w:r w:rsidRPr="000857D0">
        <w:rPr>
          <w:lang w:val="en-GB"/>
        </w:rPr>
        <w:t>)</w:t>
      </w:r>
      <w:r w:rsidR="00691F63">
        <w:rPr>
          <w:rStyle w:val="FootnoteReference"/>
          <w:lang w:val="en-GB"/>
        </w:rPr>
        <w:footnoteReference w:id="22"/>
      </w:r>
      <w:r w:rsidR="005F05F1" w:rsidRPr="001B70E9">
        <w:t>.</w:t>
      </w:r>
    </w:p>
    <w:p w14:paraId="6D3F8249" w14:textId="6B965958" w:rsidR="00A2369A" w:rsidRDefault="000857D0" w:rsidP="004C7BC4">
      <w:r w:rsidRPr="000857D0">
        <w:t>There is low likelihood of QT interval prolongation in humans,</w:t>
      </w:r>
      <w:bookmarkStart w:id="54" w:name="_Ref203111960"/>
      <w:r w:rsidR="00D948BE">
        <w:rPr>
          <w:rStyle w:val="FootnoteReference"/>
        </w:rPr>
        <w:footnoteReference w:id="23"/>
      </w:r>
      <w:bookmarkEnd w:id="54"/>
      <w:r w:rsidRPr="000857D0">
        <w:t xml:space="preserve"> based on </w:t>
      </w:r>
      <w:r w:rsidRPr="000857D0">
        <w:rPr>
          <w:i/>
          <w:iCs/>
        </w:rPr>
        <w:t>in vitro</w:t>
      </w:r>
      <w:r w:rsidRPr="000857D0">
        <w:t xml:space="preserve"> </w:t>
      </w:r>
      <w:r w:rsidR="00412B6D">
        <w:t>h</w:t>
      </w:r>
      <w:r w:rsidR="00412B6D" w:rsidRPr="00412B6D">
        <w:t>uman ether</w:t>
      </w:r>
      <w:r w:rsidR="00412B6D">
        <w:noBreakHyphen/>
      </w:r>
      <w:r w:rsidR="00412B6D" w:rsidRPr="00412B6D">
        <w:t>a</w:t>
      </w:r>
      <w:r w:rsidR="00412B6D">
        <w:noBreakHyphen/>
      </w:r>
      <w:r w:rsidR="00412B6D" w:rsidRPr="00412B6D">
        <w:t>go</w:t>
      </w:r>
      <w:r w:rsidR="00412B6D">
        <w:noBreakHyphen/>
      </w:r>
      <w:r w:rsidR="00412B6D" w:rsidRPr="00412B6D">
        <w:t xml:space="preserve">go related gene </w:t>
      </w:r>
      <w:r w:rsidRPr="000857D0">
        <w:t xml:space="preserve">assays in which </w:t>
      </w:r>
      <w:proofErr w:type="spellStart"/>
      <w:r w:rsidRPr="000857D0">
        <w:t>fruquintinib</w:t>
      </w:r>
      <w:proofErr w:type="spellEnd"/>
      <w:r w:rsidRPr="000857D0">
        <w:t xml:space="preserve"> (</w:t>
      </w:r>
      <w:bookmarkStart w:id="55" w:name="_Hlk171329974"/>
      <w:r w:rsidRPr="000857D0">
        <w:t>IC</w:t>
      </w:r>
      <w:r w:rsidRPr="000857D0">
        <w:rPr>
          <w:vertAlign w:val="subscript"/>
        </w:rPr>
        <w:t>50</w:t>
      </w:r>
      <w:r w:rsidRPr="000857D0">
        <w:t xml:space="preserve"> </w:t>
      </w:r>
      <w:bookmarkEnd w:id="55"/>
      <w:r w:rsidRPr="000857D0">
        <w:t>&gt;</w:t>
      </w:r>
      <w:r w:rsidR="00350435">
        <w:t> </w:t>
      </w:r>
      <w:r w:rsidRPr="000857D0">
        <w:t>13.08</w:t>
      </w:r>
      <w:r w:rsidR="009F28D7">
        <w:t> </w:t>
      </w:r>
      <w:proofErr w:type="spellStart"/>
      <w:r w:rsidRPr="000857D0">
        <w:t>μM</w:t>
      </w:r>
      <w:proofErr w:type="spellEnd"/>
      <w:r w:rsidRPr="000857D0">
        <w:t xml:space="preserve">, </w:t>
      </w:r>
      <w:proofErr w:type="spellStart"/>
      <w:r w:rsidRPr="000857D0">
        <w:t>ER</w:t>
      </w:r>
      <w:r w:rsidRPr="000857D0">
        <w:rPr>
          <w:vertAlign w:val="subscript"/>
        </w:rPr>
        <w:t>Cmax</w:t>
      </w:r>
      <w:proofErr w:type="spellEnd"/>
      <w:r w:rsidRPr="000857D0">
        <w:rPr>
          <w:vertAlign w:val="subscript"/>
        </w:rPr>
        <w:t xml:space="preserve"> (unbound) </w:t>
      </w:r>
      <w:r w:rsidRPr="000857D0">
        <w:t>~360)</w:t>
      </w:r>
      <w:r w:rsidR="00691F63">
        <w:rPr>
          <w:rStyle w:val="FootnoteReference"/>
        </w:rPr>
        <w:footnoteReference w:id="24"/>
      </w:r>
      <w:r w:rsidRPr="000857D0">
        <w:t xml:space="preserve"> and metabolite M11 (IC</w:t>
      </w:r>
      <w:r w:rsidRPr="000857D0">
        <w:rPr>
          <w:vertAlign w:val="subscript"/>
        </w:rPr>
        <w:t>50</w:t>
      </w:r>
      <w:r w:rsidRPr="000857D0">
        <w:t xml:space="preserve"> &gt;</w:t>
      </w:r>
      <w:r w:rsidR="00350435">
        <w:t> </w:t>
      </w:r>
      <w:r w:rsidRPr="000857D0">
        <w:t>6.05</w:t>
      </w:r>
      <w:r w:rsidR="009F28D7">
        <w:t> </w:t>
      </w:r>
      <w:proofErr w:type="spellStart"/>
      <w:r w:rsidRPr="000857D0">
        <w:t>μM</w:t>
      </w:r>
      <w:proofErr w:type="spellEnd"/>
      <w:r w:rsidRPr="000857D0">
        <w:t xml:space="preserve">, </w:t>
      </w:r>
      <w:proofErr w:type="spellStart"/>
      <w:r w:rsidRPr="000857D0">
        <w:t>ER</w:t>
      </w:r>
      <w:r w:rsidRPr="000857D0">
        <w:rPr>
          <w:vertAlign w:val="subscript"/>
        </w:rPr>
        <w:t>Cmax</w:t>
      </w:r>
      <w:proofErr w:type="spellEnd"/>
      <w:r w:rsidRPr="000857D0">
        <w:rPr>
          <w:vertAlign w:val="subscript"/>
        </w:rPr>
        <w:t xml:space="preserve"> (unbound</w:t>
      </w:r>
      <w:r w:rsidRPr="000857D0">
        <w:t>) &gt;</w:t>
      </w:r>
      <w:r w:rsidR="00350435">
        <w:t> </w:t>
      </w:r>
      <w:r w:rsidRPr="000857D0">
        <w:t xml:space="preserve">1300) did not inhibit </w:t>
      </w:r>
      <w:r w:rsidR="007B7580" w:rsidRPr="007B7580">
        <w:t xml:space="preserve">human ether a </w:t>
      </w:r>
      <w:proofErr w:type="gramStart"/>
      <w:r w:rsidR="007B7580" w:rsidRPr="007B7580">
        <w:t xml:space="preserve">go </w:t>
      </w:r>
      <w:proofErr w:type="spellStart"/>
      <w:r w:rsidR="007B7580" w:rsidRPr="007B7580">
        <w:t>go</w:t>
      </w:r>
      <w:proofErr w:type="spellEnd"/>
      <w:proofErr w:type="gramEnd"/>
      <w:r w:rsidR="007B7580" w:rsidRPr="007B7580">
        <w:t xml:space="preserve"> related gene </w:t>
      </w:r>
      <w:r w:rsidRPr="000857D0">
        <w:t>channels.</w:t>
      </w:r>
    </w:p>
    <w:p w14:paraId="412BD3E8" w14:textId="48A140CB" w:rsidR="000857D0" w:rsidRPr="000857D0" w:rsidRDefault="000857D0" w:rsidP="004C7BC4">
      <w:r w:rsidRPr="000857D0">
        <w:t>Potential for interactions as a victim:</w:t>
      </w:r>
    </w:p>
    <w:p w14:paraId="496D4B0A" w14:textId="21BFAD4E" w:rsidR="000857D0" w:rsidRPr="000857D0" w:rsidRDefault="000857D0" w:rsidP="00A2369A">
      <w:pPr>
        <w:pStyle w:val="ListBullet"/>
      </w:pPr>
      <w:r w:rsidRPr="000857D0">
        <w:t>Fruquintinib metabolism is mainly CYP3A4</w:t>
      </w:r>
      <w:r w:rsidR="00722F33">
        <w:t xml:space="preserve"> </w:t>
      </w:r>
      <w:r w:rsidR="00170B2C">
        <w:t>m</w:t>
      </w:r>
      <w:r w:rsidRPr="000857D0">
        <w:t>ediated, with minor contributions from CYP2C8, CYP2C9 and CYP2C19.</w:t>
      </w:r>
      <w:r w:rsidR="00BD4FF1">
        <w:rPr>
          <w:rStyle w:val="FootnoteReference"/>
        </w:rPr>
        <w:footnoteReference w:id="25"/>
      </w:r>
      <w:r w:rsidRPr="000857D0">
        <w:t xml:space="preserve"> Therefore, drugs that affect CYP3A4 may significantly alter exposure to </w:t>
      </w:r>
      <w:proofErr w:type="spellStart"/>
      <w:r w:rsidRPr="000857D0">
        <w:t>fruquintinib</w:t>
      </w:r>
      <w:proofErr w:type="spellEnd"/>
      <w:r w:rsidRPr="000857D0">
        <w:t>.</w:t>
      </w:r>
    </w:p>
    <w:p w14:paraId="00E49DB9" w14:textId="020639DC" w:rsidR="000857D0" w:rsidRPr="000857D0" w:rsidRDefault="000857D0" w:rsidP="00A2369A">
      <w:pPr>
        <w:pStyle w:val="ListBullet"/>
      </w:pPr>
      <w:r w:rsidRPr="000857D0">
        <w:t xml:space="preserve">Fruquintinib was not a substrate of </w:t>
      </w:r>
      <w:r w:rsidR="006B4EB0" w:rsidRPr="006B4EB0">
        <w:t>P</w:t>
      </w:r>
      <w:r w:rsidR="006B4EB0" w:rsidRPr="002A02EA">
        <w:t>-glycoprotein (</w:t>
      </w:r>
      <w:r w:rsidRPr="002A02EA">
        <w:t>P-</w:t>
      </w:r>
      <w:proofErr w:type="spellStart"/>
      <w:r w:rsidRPr="002A02EA">
        <w:t>gp</w:t>
      </w:r>
      <w:proofErr w:type="spellEnd"/>
      <w:r w:rsidR="006B4EB0" w:rsidRPr="002A02EA">
        <w:t>)</w:t>
      </w:r>
      <w:r w:rsidRPr="002A02EA">
        <w:t>, OATP1B1</w:t>
      </w:r>
      <w:r w:rsidRPr="000857D0">
        <w:t xml:space="preserve"> or OATP1B3 </w:t>
      </w:r>
      <w:r w:rsidRPr="000857D0">
        <w:rPr>
          <w:i/>
          <w:iCs/>
        </w:rPr>
        <w:t>in vitro</w:t>
      </w:r>
      <w:r w:rsidRPr="000857D0">
        <w:t xml:space="preserve">. No data on </w:t>
      </w:r>
      <w:proofErr w:type="spellStart"/>
      <w:r w:rsidRPr="000857D0">
        <w:t>fruquintinib</w:t>
      </w:r>
      <w:proofErr w:type="spellEnd"/>
      <w:r w:rsidRPr="000857D0">
        <w:t xml:space="preserve"> as a substrate of other transporters was provided, which was considered acceptable given its high permeability in the Caco-2 cell assay and its metabolic elimination.</w:t>
      </w:r>
    </w:p>
    <w:p w14:paraId="5D836293" w14:textId="77777777" w:rsidR="000857D0" w:rsidRPr="000857D0" w:rsidRDefault="000857D0" w:rsidP="004C7BC4">
      <w:r w:rsidRPr="000857D0">
        <w:t>Potential for interactions as a perpetrator:</w:t>
      </w:r>
    </w:p>
    <w:p w14:paraId="14698D3A" w14:textId="3B8244BB" w:rsidR="000857D0" w:rsidRPr="000857D0" w:rsidRDefault="000857D0" w:rsidP="005C419A">
      <w:pPr>
        <w:pStyle w:val="ListBullet"/>
      </w:pPr>
      <w:r w:rsidRPr="000857D0">
        <w:t>Fruquintinib (10</w:t>
      </w:r>
      <w:r w:rsidR="005C419A">
        <w:t> </w:t>
      </w:r>
      <w:proofErr w:type="spellStart"/>
      <w:r w:rsidRPr="000857D0">
        <w:t>μM</w:t>
      </w:r>
      <w:proofErr w:type="spellEnd"/>
      <w:r w:rsidRPr="000857D0">
        <w:t xml:space="preserve">) did not induce CYP1A2, CYP2B6, or CYP3A4 </w:t>
      </w:r>
      <w:r w:rsidRPr="005C419A">
        <w:rPr>
          <w:i/>
          <w:iCs/>
        </w:rPr>
        <w:t>in vitro</w:t>
      </w:r>
      <w:r w:rsidRPr="000857D0">
        <w:t>.</w:t>
      </w:r>
    </w:p>
    <w:p w14:paraId="305BB79F" w14:textId="5E56534E" w:rsidR="000857D0" w:rsidRPr="000857D0" w:rsidRDefault="000857D0" w:rsidP="005C419A">
      <w:pPr>
        <w:pStyle w:val="ListBullet"/>
      </w:pPr>
      <w:r w:rsidRPr="000857D0">
        <w:t xml:space="preserve">Fruquintinib did not inhibit CYP1A2, CYP2B6, CYP2C8, CYP2C9, CYP2C19, CYP2D6, and CYP3A4/5 </w:t>
      </w:r>
      <w:r w:rsidRPr="005C419A">
        <w:rPr>
          <w:i/>
          <w:iCs/>
        </w:rPr>
        <w:t>in vitro</w:t>
      </w:r>
      <w:r w:rsidRPr="000857D0">
        <w:t>. There was no notable inhibition of OATP1B1, OATP1B3,</w:t>
      </w:r>
      <w:r w:rsidR="0032661F">
        <w:rPr>
          <w:rStyle w:val="FootnoteReference"/>
        </w:rPr>
        <w:footnoteReference w:id="26"/>
      </w:r>
      <w:r w:rsidRPr="000857D0">
        <w:t xml:space="preserve"> OAT1, OAT3, OCT2,</w:t>
      </w:r>
      <w:r w:rsidR="001C1036">
        <w:rPr>
          <w:rStyle w:val="FootnoteReference"/>
        </w:rPr>
        <w:footnoteReference w:id="27"/>
      </w:r>
      <w:r w:rsidRPr="000857D0">
        <w:t xml:space="preserve"> MATE1, and MATE2-K</w:t>
      </w:r>
      <w:r w:rsidR="001C1036">
        <w:rPr>
          <w:rStyle w:val="FootnoteReference"/>
        </w:rPr>
        <w:footnoteReference w:id="28"/>
      </w:r>
      <w:r w:rsidRPr="000857D0">
        <w:t xml:space="preserve"> at clinically relevant concentrations.</w:t>
      </w:r>
    </w:p>
    <w:p w14:paraId="513AF505" w14:textId="77777777" w:rsidR="009954EE" w:rsidRDefault="000857D0" w:rsidP="005C419A">
      <w:pPr>
        <w:pStyle w:val="ListBullet"/>
      </w:pPr>
      <w:r w:rsidRPr="000857D0">
        <w:t>Fruquintinib inhibited P-</w:t>
      </w:r>
      <w:proofErr w:type="spellStart"/>
      <w:r w:rsidRPr="000857D0">
        <w:t>gp</w:t>
      </w:r>
      <w:proofErr w:type="spellEnd"/>
      <w:r w:rsidRPr="000857D0">
        <w:t xml:space="preserve"> (IC</w:t>
      </w:r>
      <w:r w:rsidRPr="005C419A">
        <w:rPr>
          <w:vertAlign w:val="subscript"/>
        </w:rPr>
        <w:t>50</w:t>
      </w:r>
      <w:r w:rsidRPr="000857D0">
        <w:t xml:space="preserve"> 4.60</w:t>
      </w:r>
      <w:r w:rsidR="005C419A">
        <w:t> </w:t>
      </w:r>
      <w:proofErr w:type="spellStart"/>
      <w:r w:rsidRPr="000857D0">
        <w:t>μM</w:t>
      </w:r>
      <w:proofErr w:type="spellEnd"/>
      <w:r w:rsidRPr="000857D0">
        <w:t xml:space="preserve">) and </w:t>
      </w:r>
      <w:r w:rsidR="007C1240">
        <w:t>b</w:t>
      </w:r>
      <w:r w:rsidR="007C1240" w:rsidRPr="007C1240">
        <w:t>reast can</w:t>
      </w:r>
      <w:r w:rsidR="007C1240" w:rsidRPr="00766864">
        <w:t>cer resistance protein (</w:t>
      </w:r>
      <w:r w:rsidRPr="00766864">
        <w:t>BCRP</w:t>
      </w:r>
      <w:r w:rsidR="007C1240" w:rsidRPr="00766864">
        <w:t>)</w:t>
      </w:r>
      <w:r w:rsidRPr="000857D0">
        <w:t xml:space="preserve"> (IC</w:t>
      </w:r>
      <w:r w:rsidRPr="005C419A">
        <w:rPr>
          <w:vertAlign w:val="subscript"/>
        </w:rPr>
        <w:t>50</w:t>
      </w:r>
      <w:r w:rsidR="00EC20EF">
        <w:t> </w:t>
      </w:r>
      <w:r w:rsidRPr="000857D0">
        <w:t>1.29</w:t>
      </w:r>
      <w:r w:rsidR="005C419A">
        <w:t> </w:t>
      </w:r>
      <w:proofErr w:type="spellStart"/>
      <w:r w:rsidRPr="000857D0">
        <w:t>μM</w:t>
      </w:r>
      <w:proofErr w:type="spellEnd"/>
      <w:r w:rsidRPr="000857D0">
        <w:t>) in a dose</w:t>
      </w:r>
      <w:r w:rsidR="005C419A">
        <w:t xml:space="preserve"> </w:t>
      </w:r>
      <w:r w:rsidRPr="000857D0">
        <w:t xml:space="preserve">dependent manner. Clinical studies were </w:t>
      </w:r>
      <w:proofErr w:type="gramStart"/>
      <w:r w:rsidRPr="000857D0">
        <w:t>performed, and</w:t>
      </w:r>
      <w:proofErr w:type="gramEnd"/>
      <w:r w:rsidRPr="000857D0">
        <w:t xml:space="preserve"> did not substantiate this as a clinically relevant concern</w:t>
      </w:r>
      <w:r w:rsidR="009954EE">
        <w:t>.</w:t>
      </w:r>
    </w:p>
    <w:p w14:paraId="203F8DC0" w14:textId="43C0A9B2" w:rsidR="000857D0" w:rsidRPr="000857D0" w:rsidRDefault="000857D0" w:rsidP="004C7BC4">
      <w:r w:rsidRPr="000857D0">
        <w:t>Metabolite potential for interactions:</w:t>
      </w:r>
    </w:p>
    <w:p w14:paraId="412DB5E6" w14:textId="797D7DF7" w:rsidR="000857D0" w:rsidRPr="000857D0" w:rsidRDefault="000857D0" w:rsidP="007C1240">
      <w:pPr>
        <w:pStyle w:val="ListBullet"/>
      </w:pPr>
      <w:r w:rsidRPr="000857D0">
        <w:t>Metabolite M11 did not show significant reversible inhibition of CYP1A2, CYP2B6, CYP2C8, CYP2C9, CYP2C19, CYP2D6, and CYP2E1 (IC</w:t>
      </w:r>
      <w:r w:rsidRPr="00350435">
        <w:rPr>
          <w:vertAlign w:val="subscript"/>
        </w:rPr>
        <w:t>50</w:t>
      </w:r>
      <w:r w:rsidRPr="000857D0">
        <w:t xml:space="preserve"> &gt;</w:t>
      </w:r>
      <w:r w:rsidR="00350435">
        <w:t> </w:t>
      </w:r>
      <w:r w:rsidRPr="000857D0">
        <w:t>50</w:t>
      </w:r>
      <w:r w:rsidR="00350435">
        <w:t> </w:t>
      </w:r>
      <w:proofErr w:type="spellStart"/>
      <w:r w:rsidRPr="000857D0">
        <w:t>μM</w:t>
      </w:r>
      <w:proofErr w:type="spellEnd"/>
      <w:r w:rsidRPr="000857D0">
        <w:t xml:space="preserve">). </w:t>
      </w:r>
      <w:r w:rsidR="00350435">
        <w:t xml:space="preserve">Metabolite </w:t>
      </w:r>
      <w:r w:rsidRPr="000857D0">
        <w:t>M11 demonstrated a weak reversible inhibitory effect on CYP3A4/5 (IC</w:t>
      </w:r>
      <w:r w:rsidRPr="00350435">
        <w:rPr>
          <w:vertAlign w:val="subscript"/>
        </w:rPr>
        <w:t>50</w:t>
      </w:r>
      <w:r w:rsidRPr="000857D0">
        <w:t xml:space="preserve"> 38</w:t>
      </w:r>
      <w:r w:rsidR="00350435">
        <w:t> </w:t>
      </w:r>
      <w:proofErr w:type="spellStart"/>
      <w:r w:rsidRPr="000857D0">
        <w:t>μM</w:t>
      </w:r>
      <w:proofErr w:type="spellEnd"/>
      <w:r w:rsidRPr="000857D0">
        <w:t>). Metabolites M9 and M11 did not have time</w:t>
      </w:r>
      <w:r w:rsidR="00350435">
        <w:t xml:space="preserve"> </w:t>
      </w:r>
      <w:r w:rsidRPr="000857D0">
        <w:t xml:space="preserve">dependent inhibitory effects on CYP1A2, CYP2C9, CYP2D6, and CYP3A4/5. </w:t>
      </w:r>
      <w:r w:rsidR="00350435">
        <w:lastRenderedPageBreak/>
        <w:t xml:space="preserve">Metabolite </w:t>
      </w:r>
      <w:r w:rsidRPr="000857D0">
        <w:t>M11(10</w:t>
      </w:r>
      <w:r w:rsidR="00350435">
        <w:t> </w:t>
      </w:r>
      <w:proofErr w:type="spellStart"/>
      <w:r w:rsidRPr="000857D0">
        <w:t>μM</w:t>
      </w:r>
      <w:proofErr w:type="spellEnd"/>
      <w:r w:rsidRPr="000857D0">
        <w:t>) demonstrated low potential to inhibit OATP1B1, OATP1B3,</w:t>
      </w:r>
      <w:r w:rsidR="00BB27BD">
        <w:rPr>
          <w:vertAlign w:val="superscript"/>
        </w:rPr>
        <w:t xml:space="preserve"> </w:t>
      </w:r>
      <w:r w:rsidRPr="000857D0">
        <w:t>MATE1, MATE2-K, OAT1, OAT3, and OCT2 (IC</w:t>
      </w:r>
      <w:r w:rsidRPr="00350435">
        <w:rPr>
          <w:vertAlign w:val="subscript"/>
        </w:rPr>
        <w:t>50</w:t>
      </w:r>
      <w:r w:rsidRPr="000857D0">
        <w:t xml:space="preserve"> &gt;</w:t>
      </w:r>
      <w:r w:rsidR="00350435">
        <w:t> </w:t>
      </w:r>
      <w:r w:rsidRPr="000857D0">
        <w:t>10</w:t>
      </w:r>
      <w:r w:rsidR="00350435">
        <w:t> </w:t>
      </w:r>
      <w:proofErr w:type="spellStart"/>
      <w:r w:rsidRPr="000857D0">
        <w:t>μM</w:t>
      </w:r>
      <w:proofErr w:type="spellEnd"/>
      <w:r w:rsidRPr="000857D0">
        <w:t>).</w:t>
      </w:r>
    </w:p>
    <w:p w14:paraId="11A80669" w14:textId="4B96BA85" w:rsidR="000857D0" w:rsidRPr="000857D0" w:rsidRDefault="000857D0" w:rsidP="00BC20C6">
      <w:pPr>
        <w:pStyle w:val="ListBullet"/>
      </w:pPr>
      <w:r w:rsidRPr="000857D0">
        <w:t>Metabolite M11 inhibited BCRP (IC</w:t>
      </w:r>
      <w:r w:rsidRPr="00BC20C6">
        <w:rPr>
          <w:vertAlign w:val="subscript"/>
        </w:rPr>
        <w:t>50</w:t>
      </w:r>
      <w:r w:rsidRPr="000857D0">
        <w:t xml:space="preserve"> 1.03</w:t>
      </w:r>
      <w:r w:rsidR="00BC20C6">
        <w:t> </w:t>
      </w:r>
      <w:proofErr w:type="spellStart"/>
      <w:r w:rsidRPr="000857D0">
        <w:t>μM</w:t>
      </w:r>
      <w:proofErr w:type="spellEnd"/>
      <w:r w:rsidRPr="000857D0">
        <w:t xml:space="preserve">, </w:t>
      </w:r>
      <w:r w:rsidR="0036301A">
        <w:t>compared with</w:t>
      </w:r>
      <w:r w:rsidRPr="000857D0">
        <w:t xml:space="preserve"> clinical free </w:t>
      </w:r>
      <w:r w:rsidR="0036301A">
        <w:t xml:space="preserve">maximum </w:t>
      </w:r>
      <w:r w:rsidR="0036301A" w:rsidRPr="00766864">
        <w:t>concentration (</w:t>
      </w:r>
      <w:proofErr w:type="spellStart"/>
      <w:r w:rsidRPr="00766864">
        <w:t>C</w:t>
      </w:r>
      <w:r w:rsidRPr="00766864">
        <w:rPr>
          <w:vertAlign w:val="subscript"/>
        </w:rPr>
        <w:t>max</w:t>
      </w:r>
      <w:proofErr w:type="spellEnd"/>
      <w:r w:rsidR="0036301A" w:rsidRPr="00766864">
        <w:t>)</w:t>
      </w:r>
      <w:r w:rsidRPr="00766864">
        <w:t xml:space="preserve"> 4.6</w:t>
      </w:r>
      <w:r w:rsidR="0036301A" w:rsidRPr="00766864">
        <w:t> </w:t>
      </w:r>
      <w:proofErr w:type="spellStart"/>
      <w:r w:rsidRPr="00766864">
        <w:t>nM</w:t>
      </w:r>
      <w:proofErr w:type="spellEnd"/>
      <w:r w:rsidRPr="00766864">
        <w:t>) and</w:t>
      </w:r>
      <w:r w:rsidRPr="000857D0">
        <w:t xml:space="preserve"> showed a weak potential to inhibit P-</w:t>
      </w:r>
      <w:proofErr w:type="spellStart"/>
      <w:r w:rsidRPr="000857D0">
        <w:t>gp</w:t>
      </w:r>
      <w:proofErr w:type="spellEnd"/>
      <w:r w:rsidRPr="000857D0">
        <w:t xml:space="preserve"> (maximum inhibition of 42.6% at 20</w:t>
      </w:r>
      <w:r w:rsidR="000472E3">
        <w:t> </w:t>
      </w:r>
      <w:proofErr w:type="spellStart"/>
      <w:r w:rsidRPr="000857D0">
        <w:t>μM</w:t>
      </w:r>
      <w:proofErr w:type="spellEnd"/>
      <w:r w:rsidRPr="000857D0">
        <w:t xml:space="preserve">) </w:t>
      </w:r>
      <w:r w:rsidRPr="000472E3">
        <w:rPr>
          <w:i/>
          <w:iCs/>
        </w:rPr>
        <w:t>in vitro</w:t>
      </w:r>
      <w:r w:rsidRPr="000857D0">
        <w:t>. Metabolite M9 inhibited BCRP (IC</w:t>
      </w:r>
      <w:r w:rsidRPr="000472E3">
        <w:rPr>
          <w:vertAlign w:val="subscript"/>
        </w:rPr>
        <w:t>50</w:t>
      </w:r>
      <w:r w:rsidRPr="000857D0">
        <w:t xml:space="preserve"> 7.60</w:t>
      </w:r>
      <w:r w:rsidR="000472E3">
        <w:t> </w:t>
      </w:r>
      <w:proofErr w:type="spellStart"/>
      <w:r w:rsidRPr="000857D0">
        <w:t>μM</w:t>
      </w:r>
      <w:proofErr w:type="spellEnd"/>
      <w:r w:rsidRPr="000857D0">
        <w:t>) and did not inhibit P-</w:t>
      </w:r>
      <w:proofErr w:type="spellStart"/>
      <w:r w:rsidRPr="000857D0">
        <w:t>gp</w:t>
      </w:r>
      <w:proofErr w:type="spellEnd"/>
      <w:r w:rsidRPr="000857D0">
        <w:t xml:space="preserve"> significantly. </w:t>
      </w:r>
      <w:r w:rsidRPr="000472E3">
        <w:rPr>
          <w:i/>
          <w:iCs/>
        </w:rPr>
        <w:t>In vitro</w:t>
      </w:r>
      <w:r w:rsidRPr="000857D0">
        <w:t xml:space="preserve"> transporter inhibition data indicated no interactions perpetrated by metabolite M11 through inhibition of intestinal BCRP</w:t>
      </w:r>
      <w:r w:rsidR="00C77500">
        <w:t>.</w:t>
      </w:r>
    </w:p>
    <w:p w14:paraId="760A930D" w14:textId="77777777" w:rsidR="000857D0" w:rsidRPr="000857D0" w:rsidRDefault="000857D0" w:rsidP="004C7BC4">
      <w:r w:rsidRPr="000857D0">
        <w:t xml:space="preserve">Notable target organs/systems for toxicity in non-clinical studies were: </w:t>
      </w:r>
    </w:p>
    <w:p w14:paraId="0EB860AC" w14:textId="35DB6A94" w:rsidR="000857D0" w:rsidRPr="000857D0" w:rsidRDefault="000857D0" w:rsidP="00C77500">
      <w:pPr>
        <w:pStyle w:val="ListBullet"/>
      </w:pPr>
      <w:r w:rsidRPr="000857D0">
        <w:t>Gastrointestinal toxicity (diarrhea and gastrointestinal bleeding, degeneration, necrosis, and inflammation in the Brunner’s gland)</w:t>
      </w:r>
    </w:p>
    <w:p w14:paraId="52615F34" w14:textId="66E19A3C" w:rsidR="000857D0" w:rsidRPr="000857D0" w:rsidRDefault="000857D0" w:rsidP="00C77500">
      <w:pPr>
        <w:pStyle w:val="ListBullet"/>
      </w:pPr>
      <w:r w:rsidRPr="000857D0">
        <w:t>Hepatobiliary toxicity (</w:t>
      </w:r>
      <w:r w:rsidRPr="0029587C">
        <w:t xml:space="preserve">elevated </w:t>
      </w:r>
      <w:r w:rsidR="00A04505" w:rsidRPr="0029587C">
        <w:t>alkaline phosphatase</w:t>
      </w:r>
      <w:r w:rsidRPr="0029587C">
        <w:t xml:space="preserve">, </w:t>
      </w:r>
      <w:r w:rsidR="00F77629" w:rsidRPr="0029587C">
        <w:t>a</w:t>
      </w:r>
      <w:r w:rsidR="009D2280" w:rsidRPr="0029587C">
        <w:t>lanine aminotransferase (</w:t>
      </w:r>
      <w:r w:rsidRPr="0029587C">
        <w:t>ALT</w:t>
      </w:r>
      <w:r w:rsidR="009D2280" w:rsidRPr="0029587C">
        <w:t>)</w:t>
      </w:r>
      <w:r w:rsidRPr="0029587C">
        <w:t xml:space="preserve">, </w:t>
      </w:r>
      <w:r w:rsidR="00011798" w:rsidRPr="0029587C">
        <w:t>a</w:t>
      </w:r>
      <w:r w:rsidR="009D2280" w:rsidRPr="0029587C">
        <w:t>spartate aminotransferase (</w:t>
      </w:r>
      <w:r w:rsidRPr="0029587C">
        <w:t>AST</w:t>
      </w:r>
      <w:r w:rsidR="009D2280" w:rsidRPr="0029587C">
        <w:t>)</w:t>
      </w:r>
      <w:r w:rsidRPr="0029587C">
        <w:t>, cholesterol, and triglycerides, along with hepatocyte necrosis/degeneration, hepatocyte swelling, vacuolation, granulomatous inflammation and bile duct hyperplasia)</w:t>
      </w:r>
    </w:p>
    <w:p w14:paraId="7C8E3AFC" w14:textId="77777777" w:rsidR="000857D0" w:rsidRPr="000857D0" w:rsidRDefault="000857D0" w:rsidP="00C77500">
      <w:pPr>
        <w:pStyle w:val="ListBullet"/>
      </w:pPr>
      <w:bookmarkStart w:id="56" w:name="pancnonclin"/>
      <w:bookmarkStart w:id="57" w:name="_Hlk171332672"/>
      <w:bookmarkEnd w:id="56"/>
      <w:r w:rsidRPr="000857D0">
        <w:t>Pancreatic toxicity:</w:t>
      </w:r>
    </w:p>
    <w:p w14:paraId="389A51E1" w14:textId="77777777" w:rsidR="009954EE" w:rsidRDefault="000857D0" w:rsidP="00C77500">
      <w:pPr>
        <w:pStyle w:val="ListBullet2"/>
      </w:pPr>
      <w:r w:rsidRPr="000857D0">
        <w:t>Increased amylase and lipase levels were observed in the 4-week rat study, indicating potential pancreatic toxicity at &gt;</w:t>
      </w:r>
      <w:r w:rsidR="005348CA">
        <w:t> </w:t>
      </w:r>
      <w:r w:rsidRPr="000857D0">
        <w:t>20</w:t>
      </w:r>
      <w:r w:rsidR="005348CA">
        <w:t> </w:t>
      </w:r>
      <w:r w:rsidRPr="000857D0">
        <w:t>mg/kg/day (</w:t>
      </w:r>
      <w:r w:rsidR="005348CA">
        <w:t>e</w:t>
      </w:r>
      <w:r w:rsidR="005348CA" w:rsidRPr="005348CA">
        <w:t>xposure ratio based on area under the concentrati</w:t>
      </w:r>
      <w:r w:rsidR="005348CA" w:rsidRPr="007975CF">
        <w:t>on-time curve (</w:t>
      </w:r>
      <w:r w:rsidRPr="007975CF">
        <w:t>ERAUC</w:t>
      </w:r>
      <w:r w:rsidR="005348CA" w:rsidRPr="007975CF">
        <w:t>)</w:t>
      </w:r>
      <w:r w:rsidRPr="007975CF">
        <w:t xml:space="preserve"> &gt;</w:t>
      </w:r>
      <w:r w:rsidR="005348CA">
        <w:t> </w:t>
      </w:r>
      <w:r w:rsidRPr="000857D0">
        <w:t>7.8). There were no correlating histological findings, and the finding was only seen in females in one study. The nonclinical evaluat</w:t>
      </w:r>
      <w:r w:rsidR="00D061CB">
        <w:t>ion</w:t>
      </w:r>
      <w:r w:rsidRPr="000857D0">
        <w:t xml:space="preserve"> considered this an adverse finding, and that the above treatment-related finding observed in animal studies should be included in the </w:t>
      </w:r>
      <w:r w:rsidR="00D061CB">
        <w:t xml:space="preserve">risk management plan </w:t>
      </w:r>
      <w:r w:rsidR="00D061CB" w:rsidRPr="00554A60">
        <w:t>(</w:t>
      </w:r>
      <w:r w:rsidRPr="00554A60">
        <w:t>RMP</w:t>
      </w:r>
      <w:r w:rsidR="00D061CB" w:rsidRPr="00554A60">
        <w:t>)</w:t>
      </w:r>
      <w:bookmarkEnd w:id="57"/>
      <w:r w:rsidR="009954EE">
        <w:t>.</w:t>
      </w:r>
    </w:p>
    <w:p w14:paraId="14FC1BAD" w14:textId="3E7F66DF" w:rsidR="000857D0" w:rsidRPr="000857D0" w:rsidRDefault="000857D0" w:rsidP="00C77500">
      <w:pPr>
        <w:pStyle w:val="ListBullet"/>
      </w:pPr>
      <w:r w:rsidRPr="000857D0">
        <w:t>Nephrotoxicity (elevated</w:t>
      </w:r>
      <w:r w:rsidR="00EF75EA">
        <w:t xml:space="preserve"> blood urea nitrogen</w:t>
      </w:r>
      <w:r w:rsidRPr="000857D0">
        <w:t>, degeneration of renal glomerulus, and hyaline casts, vacuolation of tubular epithelial cells, urine protein)</w:t>
      </w:r>
    </w:p>
    <w:p w14:paraId="26BE7E50" w14:textId="16758082" w:rsidR="000857D0" w:rsidRPr="000857D0" w:rsidRDefault="000857D0" w:rsidP="00C77500">
      <w:pPr>
        <w:pStyle w:val="ListBullet"/>
      </w:pPr>
      <w:r w:rsidRPr="000857D0">
        <w:t>Adrenal gland (congestion, vacuolation and haemorrhage)</w:t>
      </w:r>
    </w:p>
    <w:p w14:paraId="75007AF5" w14:textId="1F6DD58E" w:rsidR="000857D0" w:rsidRPr="000857D0" w:rsidRDefault="000857D0" w:rsidP="00C77500">
      <w:pPr>
        <w:pStyle w:val="ListBullet"/>
      </w:pPr>
      <w:r w:rsidRPr="000857D0">
        <w:t>Haematopoietic toxicity (decreased haematopoietic cells in the bone marrow)</w:t>
      </w:r>
    </w:p>
    <w:p w14:paraId="2E79F62D" w14:textId="53A66C78" w:rsidR="000857D0" w:rsidRPr="000857D0" w:rsidRDefault="000857D0" w:rsidP="00C77500">
      <w:pPr>
        <w:pStyle w:val="ListBullet"/>
      </w:pPr>
      <w:r w:rsidRPr="000857D0">
        <w:t>Immunotoxicity (decreased lymphocytes and atrophy of thymus, atrophy of spleen, mast cell infiltration in the mesenteric lymph nodes).</w:t>
      </w:r>
    </w:p>
    <w:p w14:paraId="17E5E8DA" w14:textId="7F92EDC9" w:rsidR="000857D0" w:rsidRPr="000857D0" w:rsidRDefault="000857D0" w:rsidP="00874DDA">
      <w:r w:rsidRPr="000857D0">
        <w:t>Fruquintinib was not mutagenic or clastogenic in standard genotoxicity testing</w:t>
      </w:r>
      <w:r w:rsidR="00F77670">
        <w:t>;</w:t>
      </w:r>
      <w:r w:rsidRPr="000857D0">
        <w:t xml:space="preserve"> </w:t>
      </w:r>
      <w:proofErr w:type="gramStart"/>
      <w:r w:rsidRPr="000857D0">
        <w:t>Ames</w:t>
      </w:r>
      <w:proofErr w:type="gramEnd"/>
      <w:r w:rsidRPr="000857D0">
        <w:t xml:space="preserve"> test, </w:t>
      </w:r>
      <w:r w:rsidRPr="000857D0">
        <w:rPr>
          <w:i/>
          <w:iCs/>
        </w:rPr>
        <w:t xml:space="preserve">in vitro </w:t>
      </w:r>
      <w:r w:rsidRPr="000857D0">
        <w:t xml:space="preserve">chromosomal aberration assay (in </w:t>
      </w:r>
      <w:r w:rsidR="00874DDA">
        <w:t xml:space="preserve">Chinese </w:t>
      </w:r>
      <w:r w:rsidR="00F77670">
        <w:t>h</w:t>
      </w:r>
      <w:r w:rsidR="00874DDA">
        <w:t xml:space="preserve">amster </w:t>
      </w:r>
      <w:r w:rsidR="00554A60">
        <w:t>o</w:t>
      </w:r>
      <w:r w:rsidR="00554A60" w:rsidRPr="00554A60">
        <w:t>vary</w:t>
      </w:r>
      <w:r w:rsidRPr="00554A60">
        <w:t xml:space="preserve"> cells</w:t>
      </w:r>
      <w:r w:rsidRPr="000857D0">
        <w:t xml:space="preserve">) and </w:t>
      </w:r>
      <w:r w:rsidRPr="000857D0">
        <w:rPr>
          <w:i/>
          <w:iCs/>
        </w:rPr>
        <w:t>in vivo</w:t>
      </w:r>
      <w:r w:rsidRPr="000857D0">
        <w:t xml:space="preserve"> bone marrow micronucleus test (in rats) with inclusion of an alkaline comet assay.</w:t>
      </w:r>
    </w:p>
    <w:p w14:paraId="6A22B821" w14:textId="50B30AD1" w:rsidR="000857D0" w:rsidRPr="00657FC3" w:rsidRDefault="000857D0" w:rsidP="00657FC3">
      <w:r w:rsidRPr="00657FC3">
        <w:t xml:space="preserve">Except for bile duct hyperplasia, no pre-neoplastic lesions were noted in repeat-dose, nonclinical toxicity studies. Dedicated carcinogenicity studies were not submitted. In accordance with </w:t>
      </w:r>
      <w:r w:rsidR="001101E1">
        <w:t>the n</w:t>
      </w:r>
      <w:r w:rsidR="001101E1" w:rsidRPr="001101E1">
        <w:t xml:space="preserve">onclinical evaluation for anticancer pharmaceuticals </w:t>
      </w:r>
      <w:r w:rsidR="001101E1">
        <w:t>s</w:t>
      </w:r>
      <w:r w:rsidR="001101E1" w:rsidRPr="001101E1">
        <w:t>cientifi</w:t>
      </w:r>
      <w:r w:rsidR="001101E1" w:rsidRPr="00B71026">
        <w:t>c guideline (</w:t>
      </w:r>
      <w:r w:rsidRPr="00B71026">
        <w:t>ICH S9</w:t>
      </w:r>
      <w:r w:rsidR="001101E1" w:rsidRPr="00B71026">
        <w:t>)</w:t>
      </w:r>
      <w:r w:rsidRPr="00B71026">
        <w:t>,</w:t>
      </w:r>
      <w:r w:rsidRPr="00657FC3">
        <w:t xml:space="preserve"> this is acceptable, in context of the proposed indication for use. If it was proposed that </w:t>
      </w:r>
      <w:proofErr w:type="spellStart"/>
      <w:r w:rsidRPr="00657FC3">
        <w:t>fruquintinib</w:t>
      </w:r>
      <w:proofErr w:type="spellEnd"/>
      <w:r w:rsidRPr="00657FC3">
        <w:t xml:space="preserve"> should be extended to usage in patients at earlier stages of disease</w:t>
      </w:r>
      <w:r w:rsidR="0032140D">
        <w:t>,</w:t>
      </w:r>
      <w:r w:rsidRPr="00657FC3">
        <w:t xml:space="preserve"> including patients with potentially </w:t>
      </w:r>
      <w:proofErr w:type="spellStart"/>
      <w:r w:rsidRPr="00657FC3">
        <w:t>resectable</w:t>
      </w:r>
      <w:proofErr w:type="spellEnd"/>
      <w:r w:rsidRPr="00657FC3">
        <w:t xml:space="preserve"> metastases, this would need to be re-visited.</w:t>
      </w:r>
    </w:p>
    <w:p w14:paraId="50FEA806" w14:textId="2A81DDDE" w:rsidR="000857D0" w:rsidRPr="000857D0" w:rsidRDefault="000857D0" w:rsidP="0032140D">
      <w:r w:rsidRPr="000857D0">
        <w:t>Fruquintinib shows association with melanin-containing tissues, and significant absorption of photons with wavelengths within the region of 290</w:t>
      </w:r>
      <w:r w:rsidR="00BD6C50">
        <w:t xml:space="preserve"> to </w:t>
      </w:r>
      <w:r w:rsidRPr="000857D0">
        <w:t>700</w:t>
      </w:r>
      <w:r w:rsidR="00BD6C50">
        <w:t> </w:t>
      </w:r>
      <w:r w:rsidRPr="000857D0">
        <w:t>nm. Peak absorbance within this range was at 238 and 320</w:t>
      </w:r>
      <w:r w:rsidR="00BD6C50">
        <w:t> </w:t>
      </w:r>
      <w:r w:rsidRPr="000857D0">
        <w:t>nm, associated with a molar extinction coefficient of 69367 and 11143</w:t>
      </w:r>
      <w:r w:rsidR="00BD6C50">
        <w:t> </w:t>
      </w:r>
      <w:r w:rsidRPr="000857D0">
        <w:t>L∙mol-1∙cm-1, respectively. In accordance with</w:t>
      </w:r>
      <w:r w:rsidR="00BD6C50">
        <w:t xml:space="preserve"> the</w:t>
      </w:r>
      <w:r w:rsidR="00BD6C50" w:rsidRPr="00BD6C50">
        <w:t xml:space="preserve"> </w:t>
      </w:r>
      <w:proofErr w:type="spellStart"/>
      <w:r w:rsidR="00BD6C50">
        <w:t>p</w:t>
      </w:r>
      <w:r w:rsidR="00BD6C50" w:rsidRPr="00BD6C50">
        <w:t>hotosafety</w:t>
      </w:r>
      <w:proofErr w:type="spellEnd"/>
      <w:r w:rsidR="00BD6C50" w:rsidRPr="00BD6C50">
        <w:t xml:space="preserve"> </w:t>
      </w:r>
      <w:r w:rsidR="00BD6C50">
        <w:t>e</w:t>
      </w:r>
      <w:r w:rsidR="00BD6C50" w:rsidRPr="00BD6C50">
        <w:t xml:space="preserve">valuation of </w:t>
      </w:r>
      <w:r w:rsidR="00BD6C50">
        <w:t>p</w:t>
      </w:r>
      <w:r w:rsidR="00BD6C50" w:rsidRPr="00BD6C50">
        <w:t>harmaceuticals</w:t>
      </w:r>
      <w:r w:rsidR="00BD6C50">
        <w:t xml:space="preserve"> scientific </w:t>
      </w:r>
      <w:r w:rsidR="00BD6C50" w:rsidRPr="00B71026">
        <w:t>gui</w:t>
      </w:r>
      <w:r w:rsidR="00B6696B" w:rsidRPr="00B71026">
        <w:t>deline (</w:t>
      </w:r>
      <w:r w:rsidRPr="00B71026">
        <w:t>ICH S10</w:t>
      </w:r>
      <w:r w:rsidR="00B6696B" w:rsidRPr="00B71026">
        <w:t>)</w:t>
      </w:r>
      <w:r w:rsidRPr="00B71026">
        <w:t xml:space="preserve"> potential</w:t>
      </w:r>
      <w:r w:rsidRPr="000857D0">
        <w:t xml:space="preserve"> phototoxic effects of </w:t>
      </w:r>
      <w:proofErr w:type="spellStart"/>
      <w:r w:rsidRPr="000857D0">
        <w:t>fruquintinib</w:t>
      </w:r>
      <w:proofErr w:type="spellEnd"/>
      <w:r w:rsidRPr="000857D0">
        <w:t xml:space="preserve"> on skin was studied in guinea pigs following single </w:t>
      </w:r>
      <w:r w:rsidR="00A12F4A">
        <w:t xml:space="preserve">oral </w:t>
      </w:r>
      <w:r w:rsidRPr="000857D0">
        <w:t xml:space="preserve">dosing with </w:t>
      </w:r>
      <w:proofErr w:type="spellStart"/>
      <w:r w:rsidRPr="000857D0">
        <w:t>fruquintinib</w:t>
      </w:r>
      <w:proofErr w:type="spellEnd"/>
      <w:r w:rsidRPr="000857D0">
        <w:t xml:space="preserve"> (0, 5, 25 and 100</w:t>
      </w:r>
      <w:r w:rsidR="002169EA">
        <w:t> </w:t>
      </w:r>
      <w:r w:rsidRPr="000857D0">
        <w:t xml:space="preserve">mg/kg) and exposure to light at </w:t>
      </w:r>
      <w:r w:rsidR="00F10535">
        <w:t xml:space="preserve">ultraviolet A </w:t>
      </w:r>
      <w:r w:rsidRPr="000857D0">
        <w:t xml:space="preserve">wavelength. No signs of dermal phototoxicity </w:t>
      </w:r>
      <w:r w:rsidRPr="000857D0">
        <w:lastRenderedPageBreak/>
        <w:t>were observed up to 100 mg/kg, ERAUC 16 (</w:t>
      </w:r>
      <w:proofErr w:type="spellStart"/>
      <w:r w:rsidRPr="000857D0">
        <w:t>ER</w:t>
      </w:r>
      <w:r w:rsidR="00273163">
        <w:rPr>
          <w:vertAlign w:val="subscript"/>
        </w:rPr>
        <w:t>Cmax</w:t>
      </w:r>
      <w:proofErr w:type="spellEnd"/>
      <w:r w:rsidRPr="000857D0">
        <w:t xml:space="preserve"> 22). Ocular phototoxicity was not examined in the nonclinical studies.</w:t>
      </w:r>
    </w:p>
    <w:p w14:paraId="5480C672" w14:textId="36E20715" w:rsidR="000857D0" w:rsidRPr="000857D0" w:rsidRDefault="000857D0" w:rsidP="00273163">
      <w:r w:rsidRPr="000857D0">
        <w:t xml:space="preserve">In rats, </w:t>
      </w:r>
      <w:proofErr w:type="spellStart"/>
      <w:r w:rsidRPr="000857D0">
        <w:t>fruquintinib</w:t>
      </w:r>
      <w:proofErr w:type="spellEnd"/>
      <w:r w:rsidRPr="000857D0">
        <w:t xml:space="preserve"> treatment was associated with post-implantation loss and reduced fetal survival at 0.25</w:t>
      </w:r>
      <w:r w:rsidR="00273163">
        <w:t> </w:t>
      </w:r>
      <w:r w:rsidRPr="000857D0">
        <w:t xml:space="preserve">mg/kg/day (ERAUC 0.2). Fetal anomalies were also observed, including external (head and tail malformations and oedema), visceral (increase in malformations of </w:t>
      </w:r>
      <w:proofErr w:type="spellStart"/>
      <w:r w:rsidRPr="000857D0">
        <w:t>malpositioned</w:t>
      </w:r>
      <w:proofErr w:type="spellEnd"/>
      <w:r w:rsidRPr="000857D0">
        <w:t xml:space="preserve"> or absent blood vasculature) and skeletal (vertebral anomalies, unossified forelimb metacarpals and/or phalanxes) anomalies. The no observed adverse effect limit for maternal effects was 0.1</w:t>
      </w:r>
      <w:r w:rsidR="00296BCD">
        <w:t> </w:t>
      </w:r>
      <w:r w:rsidRPr="000857D0">
        <w:t>mg/kg/day (ERAUC 0.05) and for fetal development was 0.025</w:t>
      </w:r>
      <w:r w:rsidR="00296BCD">
        <w:t> </w:t>
      </w:r>
      <w:r w:rsidRPr="000857D0">
        <w:t>mg/kg/day (ERAUC</w:t>
      </w:r>
      <w:r w:rsidR="00296BCD">
        <w:t> </w:t>
      </w:r>
      <w:r w:rsidRPr="000857D0">
        <w:t xml:space="preserve">0.02). Since these effects were observed at exposures that were substantially lower than those achieved clinically, </w:t>
      </w:r>
      <w:proofErr w:type="spellStart"/>
      <w:r w:rsidRPr="000857D0">
        <w:t>fruquintinib</w:t>
      </w:r>
      <w:proofErr w:type="spellEnd"/>
      <w:r w:rsidRPr="000857D0">
        <w:t xml:space="preserve"> is highly likely to cause serious harm to the developing </w:t>
      </w:r>
      <w:proofErr w:type="spellStart"/>
      <w:r w:rsidRPr="000857D0">
        <w:t>fetus</w:t>
      </w:r>
      <w:proofErr w:type="spellEnd"/>
      <w:r w:rsidRPr="000857D0">
        <w:t xml:space="preserve"> at clinical exposures during pregnancy. Based on the nonclinical studies and pharmacological data, embryofetal toxicity is expected if </w:t>
      </w:r>
      <w:proofErr w:type="spellStart"/>
      <w:r w:rsidRPr="000857D0">
        <w:t>fruquintinib</w:t>
      </w:r>
      <w:proofErr w:type="spellEnd"/>
      <w:r w:rsidRPr="000857D0">
        <w:t xml:space="preserve"> is administered to pregnant patients at the proposed clinical dose. Pregnancy category D is recommended.</w:t>
      </w:r>
    </w:p>
    <w:p w14:paraId="38E24698" w14:textId="111AD291" w:rsidR="0031735E" w:rsidRPr="000857D0" w:rsidRDefault="0031735E" w:rsidP="0031735E">
      <w:r w:rsidRPr="000857D0">
        <w:t xml:space="preserve">Evaluation of the nonclinical data package found it adequate for a drug for the treatment of patients with advanced cancer. All pivotal safety-related studies were </w:t>
      </w:r>
      <w:r w:rsidR="007137FB" w:rsidRPr="007137FB">
        <w:t>Good Laboratory Practice</w:t>
      </w:r>
      <w:r w:rsidR="007137FB">
        <w:t> (</w:t>
      </w:r>
      <w:r w:rsidRPr="000857D0">
        <w:t>GLP</w:t>
      </w:r>
      <w:r w:rsidR="007137FB">
        <w:t xml:space="preserve">) </w:t>
      </w:r>
      <w:r w:rsidRPr="000857D0">
        <w:t>compliant.</w:t>
      </w:r>
    </w:p>
    <w:p w14:paraId="7E4EA6F4" w14:textId="3AE1A184" w:rsidR="000857D0" w:rsidRPr="0031735E" w:rsidRDefault="000857D0" w:rsidP="0031735E">
      <w:r w:rsidRPr="000857D0">
        <w:t>The nonclinical evaluatio</w:t>
      </w:r>
      <w:r w:rsidR="002F28F1" w:rsidRPr="0031735E">
        <w:t>n</w:t>
      </w:r>
      <w:r w:rsidRPr="000857D0">
        <w:t xml:space="preserve"> concluded that there were no nonclinical objections to the registration of </w:t>
      </w:r>
      <w:r w:rsidR="002F28F1" w:rsidRPr="0031735E">
        <w:t>Fruzaqla</w:t>
      </w:r>
      <w:r w:rsidRPr="000857D0">
        <w:t xml:space="preserve"> for the proposed indication provided adverse effects in patients are manageable.</w:t>
      </w:r>
    </w:p>
    <w:p w14:paraId="35B580A5" w14:textId="69B9BE44" w:rsidR="00C22214" w:rsidRDefault="00C22214" w:rsidP="008804CF">
      <w:pPr>
        <w:pStyle w:val="Heading3"/>
      </w:pPr>
      <w:bookmarkStart w:id="58" w:name="_Toc247691530"/>
      <w:bookmarkStart w:id="59" w:name="_Toc314842513"/>
      <w:bookmarkStart w:id="60" w:name="_Toc103679297"/>
      <w:bookmarkStart w:id="61" w:name="_Toc206082861"/>
      <w:r>
        <w:t>Clinical</w:t>
      </w:r>
      <w:bookmarkEnd w:id="58"/>
      <w:bookmarkEnd w:id="59"/>
      <w:bookmarkEnd w:id="60"/>
      <w:bookmarkEnd w:id="61"/>
    </w:p>
    <w:p w14:paraId="32B0DEDA" w14:textId="77777777" w:rsidR="00C22214" w:rsidRPr="00433318" w:rsidRDefault="00C22214" w:rsidP="00433318">
      <w:pPr>
        <w:pStyle w:val="Heading4"/>
      </w:pPr>
      <w:bookmarkStart w:id="62" w:name="_Toc98931928"/>
      <w:bookmarkStart w:id="63" w:name="_Toc206082862"/>
      <w:r>
        <w:t>Summary of clinical studies</w:t>
      </w:r>
      <w:bookmarkEnd w:id="62"/>
      <w:bookmarkEnd w:id="63"/>
    </w:p>
    <w:p w14:paraId="46622364" w14:textId="2C728F95" w:rsidR="00C22214" w:rsidRPr="00BD5DBD" w:rsidRDefault="00C22214" w:rsidP="00C22214">
      <w:pPr>
        <w:rPr>
          <w:szCs w:val="22"/>
        </w:rPr>
      </w:pPr>
      <w:r w:rsidRPr="00BD5DBD">
        <w:rPr>
          <w:szCs w:val="22"/>
        </w:rPr>
        <w:t>The clinical dossier consisted of</w:t>
      </w:r>
      <w:r w:rsidR="007357B9" w:rsidRPr="00BD5DBD">
        <w:rPr>
          <w:szCs w:val="22"/>
        </w:rPr>
        <w:t>:</w:t>
      </w:r>
      <w:r w:rsidRPr="00BD5DBD">
        <w:rPr>
          <w:szCs w:val="22"/>
        </w:rPr>
        <w:t xml:space="preserve"> </w:t>
      </w:r>
    </w:p>
    <w:p w14:paraId="3DF49722" w14:textId="2439450E" w:rsidR="00C22214" w:rsidRPr="00BD5DBD" w:rsidRDefault="00AD10AD" w:rsidP="00C22214">
      <w:pPr>
        <w:pStyle w:val="ListBullet"/>
        <w:rPr>
          <w:szCs w:val="22"/>
        </w:rPr>
      </w:pPr>
      <w:r>
        <w:rPr>
          <w:szCs w:val="22"/>
        </w:rPr>
        <w:t>12</w:t>
      </w:r>
      <w:r w:rsidR="00C22214" w:rsidRPr="00BD5DBD">
        <w:rPr>
          <w:szCs w:val="22"/>
        </w:rPr>
        <w:t xml:space="preserve"> Phase I studies</w:t>
      </w:r>
    </w:p>
    <w:p w14:paraId="6B56CB17" w14:textId="04B09ED8" w:rsidR="00C22214" w:rsidRDefault="00AD10AD" w:rsidP="00C22214">
      <w:pPr>
        <w:pStyle w:val="ListBullet"/>
        <w:rPr>
          <w:szCs w:val="22"/>
        </w:rPr>
      </w:pPr>
      <w:r>
        <w:rPr>
          <w:szCs w:val="22"/>
        </w:rPr>
        <w:t>6</w:t>
      </w:r>
      <w:r w:rsidR="00C22214" w:rsidRPr="00BD5DBD">
        <w:rPr>
          <w:szCs w:val="22"/>
        </w:rPr>
        <w:t xml:space="preserve"> Phase II studies</w:t>
      </w:r>
    </w:p>
    <w:p w14:paraId="22BB55D1" w14:textId="62175B18" w:rsidR="00AD10AD" w:rsidRDefault="00224076" w:rsidP="00C22214">
      <w:pPr>
        <w:pStyle w:val="ListBullet"/>
        <w:rPr>
          <w:szCs w:val="22"/>
        </w:rPr>
      </w:pPr>
      <w:r>
        <w:rPr>
          <w:szCs w:val="22"/>
        </w:rPr>
        <w:t>5 Phase III studies</w:t>
      </w:r>
    </w:p>
    <w:p w14:paraId="0A33A99D" w14:textId="303FFDC3" w:rsidR="00224076" w:rsidRPr="00BD5DBD" w:rsidRDefault="00224076" w:rsidP="00C22214">
      <w:pPr>
        <w:pStyle w:val="ListBullet"/>
        <w:rPr>
          <w:szCs w:val="22"/>
        </w:rPr>
      </w:pPr>
      <w:r>
        <w:rPr>
          <w:szCs w:val="22"/>
        </w:rPr>
        <w:t>One Phase IV study</w:t>
      </w:r>
    </w:p>
    <w:p w14:paraId="34B6FEA6" w14:textId="77777777" w:rsidR="00E0683A" w:rsidRPr="00E0683A" w:rsidRDefault="00E0683A" w:rsidP="00380F02">
      <w:pPr>
        <w:pStyle w:val="Heading4"/>
        <w:rPr>
          <w:i/>
        </w:rPr>
      </w:pPr>
      <w:bookmarkStart w:id="64" w:name="_Toc206082863"/>
      <w:r w:rsidRPr="00E0683A">
        <w:t>Pharmacology</w:t>
      </w:r>
      <w:bookmarkEnd w:id="64"/>
      <w:r w:rsidRPr="00E0683A">
        <w:rPr>
          <w:i/>
        </w:rPr>
        <w:t xml:space="preserve"> </w:t>
      </w:r>
    </w:p>
    <w:p w14:paraId="0D9F7F42" w14:textId="23C551F1" w:rsidR="00E0683A" w:rsidRPr="00E0683A" w:rsidRDefault="00E0683A" w:rsidP="00224076">
      <w:r w:rsidRPr="00E0683A">
        <w:t>The proposed dose is 5</w:t>
      </w:r>
      <w:r w:rsidR="007D5A9E">
        <w:t> </w:t>
      </w:r>
      <w:r w:rsidRPr="00E0683A">
        <w:t xml:space="preserve">mg of </w:t>
      </w:r>
      <w:proofErr w:type="spellStart"/>
      <w:r w:rsidRPr="00E0683A">
        <w:t>fruquintinib</w:t>
      </w:r>
      <w:proofErr w:type="spellEnd"/>
      <w:r w:rsidRPr="00E0683A">
        <w:t xml:space="preserve"> orally daily (agnostic of recency of feed intake) for the first 21 days of each 28-day cycle. This dosing schedule is referred as 3/1 (3 weeks on/1 week off)</w:t>
      </w:r>
      <w:r w:rsidR="00B9476F">
        <w:t xml:space="preserve"> in this AusPAR.</w:t>
      </w:r>
    </w:p>
    <w:p w14:paraId="3AE1C7F1" w14:textId="3B1D5822" w:rsidR="00E0683A" w:rsidRPr="00E0683A" w:rsidRDefault="00E0683A" w:rsidP="00224076">
      <w:r w:rsidRPr="00E0683A">
        <w:t xml:space="preserve">This dose was selected based on </w:t>
      </w:r>
      <w:r w:rsidR="00B9476F" w:rsidRPr="00B31FDA">
        <w:t>pharmacokinetics (</w:t>
      </w:r>
      <w:r w:rsidRPr="00B31FDA">
        <w:t>PK</w:t>
      </w:r>
      <w:r w:rsidR="00B9476F" w:rsidRPr="00B31FDA">
        <w:t>)</w:t>
      </w:r>
      <w:r w:rsidRPr="00E0683A">
        <w:t xml:space="preserve"> and safety information obtained from a dose escalation trial and a randomised dose</w:t>
      </w:r>
      <w:r w:rsidR="00B9476F">
        <w:t xml:space="preserve"> </w:t>
      </w:r>
      <w:r w:rsidRPr="00E0683A">
        <w:t>ranging trial. In the dose escalation trial, the maximum tolerated dose was determined to be 4</w:t>
      </w:r>
      <w:r w:rsidR="00DC11F4">
        <w:t> </w:t>
      </w:r>
      <w:r w:rsidRPr="00E0683A">
        <w:t>mg for daily continuous dosing, or 6</w:t>
      </w:r>
      <w:r w:rsidR="00DC11F4">
        <w:t> </w:t>
      </w:r>
      <w:r w:rsidRPr="00E0683A">
        <w:t>mg for daily dosing on a 3/1 schedule. The 4</w:t>
      </w:r>
      <w:r w:rsidR="00DC11F4">
        <w:t> </w:t>
      </w:r>
      <w:r w:rsidRPr="00E0683A">
        <w:t>mg daily continuous and 5</w:t>
      </w:r>
      <w:r w:rsidR="00DC11F4">
        <w:t> </w:t>
      </w:r>
      <w:r w:rsidRPr="00E0683A">
        <w:t>mg daily 3/1 dosing regimens were evaluated in a trial in patients with mCRC. The 5</w:t>
      </w:r>
      <w:r w:rsidR="00DC11F4">
        <w:t> </w:t>
      </w:r>
      <w:r w:rsidRPr="00E0683A">
        <w:t xml:space="preserve">mg daily 3/1 regimen showed better safety, was selected as the recommended </w:t>
      </w:r>
      <w:r w:rsidR="00DC11F4">
        <w:t>P</w:t>
      </w:r>
      <w:r w:rsidRPr="00E0683A">
        <w:t xml:space="preserve">hase </w:t>
      </w:r>
      <w:r w:rsidR="00DC11F4">
        <w:t>II</w:t>
      </w:r>
      <w:r w:rsidRPr="00E0683A">
        <w:t xml:space="preserve"> dose, and was used in the randomised </w:t>
      </w:r>
      <w:r w:rsidR="00DC11F4">
        <w:t>P</w:t>
      </w:r>
      <w:r w:rsidRPr="00E0683A">
        <w:t>hase</w:t>
      </w:r>
      <w:r w:rsidR="00285912">
        <w:t> </w:t>
      </w:r>
      <w:r w:rsidR="00DC11F4">
        <w:t>III</w:t>
      </w:r>
      <w:r w:rsidRPr="00E0683A">
        <w:t xml:space="preserve"> studies FRESCO and FRESCO-2.</w:t>
      </w:r>
    </w:p>
    <w:p w14:paraId="02C02E8A" w14:textId="6B21B8AD" w:rsidR="00E0683A" w:rsidRPr="00E0683A" w:rsidRDefault="00E0683A" w:rsidP="00224076">
      <w:r w:rsidRPr="00E0683A">
        <w:t>The formulation proposed for marketing in Australia is the same as the formulation used in FRESCO-2.</w:t>
      </w:r>
    </w:p>
    <w:p w14:paraId="21C60A46" w14:textId="08E10E35" w:rsidR="00E0683A" w:rsidRPr="00E0683A" w:rsidRDefault="00E0683A" w:rsidP="00DC11F4">
      <w:pPr>
        <w:pStyle w:val="Heading4"/>
      </w:pPr>
      <w:bookmarkStart w:id="65" w:name="_Toc206082864"/>
      <w:r w:rsidRPr="00E0683A">
        <w:lastRenderedPageBreak/>
        <w:t>Pharmacokinetics</w:t>
      </w:r>
      <w:bookmarkEnd w:id="65"/>
    </w:p>
    <w:p w14:paraId="4584E45E" w14:textId="6FCAD762" w:rsidR="00E0683A" w:rsidRPr="00E0683A" w:rsidRDefault="00E0683A" w:rsidP="00DC11F4">
      <w:r w:rsidRPr="00E0683A">
        <w:rPr>
          <w:lang w:val="en-GB"/>
        </w:rPr>
        <w:t>Fruquintinib demonstrates linear PK over the dose range of 1</w:t>
      </w:r>
      <w:r w:rsidR="00DC11F4">
        <w:rPr>
          <w:lang w:val="en-GB"/>
        </w:rPr>
        <w:t> </w:t>
      </w:r>
      <w:r w:rsidRPr="00E0683A">
        <w:rPr>
          <w:lang w:val="en-GB"/>
        </w:rPr>
        <w:t>mg to 6</w:t>
      </w:r>
      <w:r w:rsidR="00DC11F4">
        <w:rPr>
          <w:lang w:val="en-GB"/>
        </w:rPr>
        <w:t> </w:t>
      </w:r>
      <w:r w:rsidRPr="00E0683A">
        <w:rPr>
          <w:lang w:val="en-GB"/>
        </w:rPr>
        <w:t>mg daily, which was well</w:t>
      </w:r>
      <w:r w:rsidR="00DC11F4">
        <w:rPr>
          <w:lang w:val="en-GB"/>
        </w:rPr>
        <w:t xml:space="preserve"> </w:t>
      </w:r>
      <w:r w:rsidRPr="00E0683A">
        <w:rPr>
          <w:lang w:val="en-GB"/>
        </w:rPr>
        <w:t>described by a one</w:t>
      </w:r>
      <w:r w:rsidR="00DC11F4">
        <w:rPr>
          <w:lang w:val="en-GB"/>
        </w:rPr>
        <w:t xml:space="preserve"> </w:t>
      </w:r>
      <w:r w:rsidRPr="00E0683A">
        <w:rPr>
          <w:lang w:val="en-GB"/>
        </w:rPr>
        <w:t>compartment model with first order absorption and linear elimination.</w:t>
      </w:r>
    </w:p>
    <w:p w14:paraId="1639B8D3" w14:textId="77777777" w:rsidR="00E0683A" w:rsidRPr="00E0683A" w:rsidRDefault="00E0683A" w:rsidP="00DC11F4">
      <w:pPr>
        <w:pStyle w:val="Heading5"/>
        <w:rPr>
          <w:lang w:val="en-GB"/>
        </w:rPr>
      </w:pPr>
      <w:r w:rsidRPr="00E0683A">
        <w:rPr>
          <w:lang w:val="en-GB"/>
        </w:rPr>
        <w:t>Absorption</w:t>
      </w:r>
    </w:p>
    <w:p w14:paraId="3F7445DA" w14:textId="7A2B6F86" w:rsidR="00E0683A" w:rsidRPr="00E0683A" w:rsidRDefault="00E0683A" w:rsidP="00DC11F4">
      <w:pPr>
        <w:rPr>
          <w:lang w:val="en-GB"/>
        </w:rPr>
      </w:pPr>
      <w:r w:rsidRPr="00E0683A">
        <w:rPr>
          <w:lang w:val="en-GB"/>
        </w:rPr>
        <w:t xml:space="preserve">Median </w:t>
      </w:r>
      <w:r w:rsidR="00DC11F4">
        <w:rPr>
          <w:lang w:val="en-GB"/>
        </w:rPr>
        <w:t xml:space="preserve">time to </w:t>
      </w:r>
      <w:r w:rsidR="00DC11F4" w:rsidRPr="004D5AB2">
        <w:rPr>
          <w:lang w:val="en-GB"/>
        </w:rPr>
        <w:t>maximum concentration (</w:t>
      </w:r>
      <w:proofErr w:type="spellStart"/>
      <w:r w:rsidRPr="004D5AB2">
        <w:rPr>
          <w:lang w:val="en-GB"/>
        </w:rPr>
        <w:t>T</w:t>
      </w:r>
      <w:r w:rsidRPr="004D5AB2">
        <w:rPr>
          <w:vertAlign w:val="subscript"/>
          <w:lang w:val="en-GB"/>
        </w:rPr>
        <w:t>max</w:t>
      </w:r>
      <w:proofErr w:type="spellEnd"/>
      <w:r w:rsidR="00DC11F4" w:rsidRPr="004D5AB2">
        <w:rPr>
          <w:lang w:val="en-GB"/>
        </w:rPr>
        <w:t>)</w:t>
      </w:r>
      <w:r w:rsidRPr="004D5AB2">
        <w:rPr>
          <w:lang w:val="en-GB"/>
        </w:rPr>
        <w:t xml:space="preserve"> for a 5</w:t>
      </w:r>
      <w:r w:rsidR="00B64E02">
        <w:rPr>
          <w:lang w:val="en-GB"/>
        </w:rPr>
        <w:t> </w:t>
      </w:r>
      <w:r w:rsidRPr="00E0683A">
        <w:rPr>
          <w:lang w:val="en-GB"/>
        </w:rPr>
        <w:t xml:space="preserve">mg single dose of </w:t>
      </w:r>
      <w:proofErr w:type="spellStart"/>
      <w:r w:rsidRPr="00E0683A">
        <w:rPr>
          <w:lang w:val="en-GB"/>
        </w:rPr>
        <w:t>fruquintinib</w:t>
      </w:r>
      <w:proofErr w:type="spellEnd"/>
      <w:r w:rsidRPr="00E0683A">
        <w:rPr>
          <w:lang w:val="en-GB"/>
        </w:rPr>
        <w:t xml:space="preserve"> under fasted conditions in healthy subjects was </w:t>
      </w:r>
      <w:r w:rsidR="00B64E02">
        <w:rPr>
          <w:lang w:val="en-GB"/>
        </w:rPr>
        <w:t xml:space="preserve">approximately </w:t>
      </w:r>
      <w:r w:rsidRPr="00E0683A">
        <w:rPr>
          <w:lang w:val="en-GB"/>
        </w:rPr>
        <w:t>3 hours (range: 1.5 to 8). Absolute bioavailability has not been determined.</w:t>
      </w:r>
    </w:p>
    <w:p w14:paraId="6AA895CF" w14:textId="77777777" w:rsidR="00E0683A" w:rsidRPr="00E0683A" w:rsidRDefault="00E0683A" w:rsidP="00DC11F4">
      <w:pPr>
        <w:pStyle w:val="Heading5"/>
        <w:rPr>
          <w:lang w:val="en-GB"/>
        </w:rPr>
      </w:pPr>
      <w:r w:rsidRPr="00E0683A">
        <w:rPr>
          <w:lang w:val="en-GB"/>
        </w:rPr>
        <w:t xml:space="preserve">Food effect </w:t>
      </w:r>
    </w:p>
    <w:p w14:paraId="60880954" w14:textId="3CFA4F32" w:rsidR="00E0683A" w:rsidRPr="00E0683A" w:rsidRDefault="00E0683A" w:rsidP="00B64E02">
      <w:pPr>
        <w:rPr>
          <w:lang w:val="en-GB"/>
        </w:rPr>
      </w:pPr>
      <w:r w:rsidRPr="00E0683A">
        <w:rPr>
          <w:lang w:val="en-GB"/>
        </w:rPr>
        <w:t>Administration (5</w:t>
      </w:r>
      <w:r w:rsidR="00B64E02">
        <w:rPr>
          <w:lang w:val="en-GB"/>
        </w:rPr>
        <w:t> </w:t>
      </w:r>
      <w:r w:rsidRPr="00E0683A">
        <w:rPr>
          <w:lang w:val="en-GB"/>
        </w:rPr>
        <w:t xml:space="preserve">mg) fasted is bioequivalent to administration with a high-fat, high-calorie meal. In the pivotal </w:t>
      </w:r>
      <w:r w:rsidR="00D90A5C">
        <w:rPr>
          <w:lang w:val="en-GB"/>
        </w:rPr>
        <w:t>P</w:t>
      </w:r>
      <w:r w:rsidRPr="00E0683A">
        <w:rPr>
          <w:lang w:val="en-GB"/>
        </w:rPr>
        <w:t xml:space="preserve">hase </w:t>
      </w:r>
      <w:r w:rsidR="00D90A5C">
        <w:rPr>
          <w:lang w:val="en-GB"/>
        </w:rPr>
        <w:t>III</w:t>
      </w:r>
      <w:r w:rsidRPr="00E0683A">
        <w:rPr>
          <w:lang w:val="en-GB"/>
        </w:rPr>
        <w:t xml:space="preserve"> study (FRESCO-2), </w:t>
      </w:r>
      <w:proofErr w:type="spellStart"/>
      <w:r w:rsidRPr="00E0683A">
        <w:rPr>
          <w:lang w:val="en-GB"/>
        </w:rPr>
        <w:t>fruquintinib</w:t>
      </w:r>
      <w:proofErr w:type="spellEnd"/>
      <w:r w:rsidRPr="00E0683A">
        <w:rPr>
          <w:lang w:val="en-GB"/>
        </w:rPr>
        <w:t xml:space="preserve"> was administered irrespective of food intake. Co-administration of gastric pH-modifying agents (rabeprazole) did not affect </w:t>
      </w:r>
      <w:proofErr w:type="spellStart"/>
      <w:r w:rsidRPr="00E0683A">
        <w:rPr>
          <w:lang w:val="en-GB"/>
        </w:rPr>
        <w:t>fruquintinib</w:t>
      </w:r>
      <w:proofErr w:type="spellEnd"/>
      <w:r w:rsidRPr="00E0683A">
        <w:rPr>
          <w:lang w:val="en-GB"/>
        </w:rPr>
        <w:t xml:space="preserve"> PK.</w:t>
      </w:r>
    </w:p>
    <w:p w14:paraId="5DDAC144" w14:textId="77777777" w:rsidR="00E0683A" w:rsidRPr="00E0683A" w:rsidRDefault="00E0683A" w:rsidP="00D90A5C">
      <w:pPr>
        <w:pStyle w:val="Heading5"/>
      </w:pPr>
      <w:r w:rsidRPr="00E0683A">
        <w:t>Distribution</w:t>
      </w:r>
    </w:p>
    <w:p w14:paraId="2C35412B" w14:textId="26AC05D7" w:rsidR="00E0683A" w:rsidRPr="00E0683A" w:rsidRDefault="00E0683A" w:rsidP="006E5A9A">
      <w:pPr>
        <w:rPr>
          <w:lang w:val="en-GB"/>
        </w:rPr>
      </w:pPr>
      <w:r w:rsidRPr="00E0683A">
        <w:rPr>
          <w:lang w:val="en-GB"/>
        </w:rPr>
        <w:t>Daily oral administration of 5</w:t>
      </w:r>
      <w:r w:rsidR="00BB12D6">
        <w:rPr>
          <w:lang w:val="en-GB"/>
        </w:rPr>
        <w:t> </w:t>
      </w:r>
      <w:r w:rsidRPr="00E0683A">
        <w:rPr>
          <w:lang w:val="en-GB"/>
        </w:rPr>
        <w:t xml:space="preserve">mg </w:t>
      </w:r>
      <w:proofErr w:type="spellStart"/>
      <w:r w:rsidRPr="00E0683A">
        <w:rPr>
          <w:lang w:val="en-GB"/>
        </w:rPr>
        <w:t>fruquintinib</w:t>
      </w:r>
      <w:proofErr w:type="spellEnd"/>
      <w:r w:rsidRPr="00E0683A">
        <w:rPr>
          <w:lang w:val="en-GB"/>
        </w:rPr>
        <w:t xml:space="preserve"> reaches steady state exposure after 14 days, with an accumulation ratio of around 4 (based on </w:t>
      </w:r>
      <w:r w:rsidR="00D07E36">
        <w:rPr>
          <w:lang w:val="en-GB"/>
        </w:rPr>
        <w:t>a</w:t>
      </w:r>
      <w:r w:rsidR="00D07E36" w:rsidRPr="00D07E36">
        <w:rPr>
          <w:lang w:val="en-GB"/>
        </w:rPr>
        <w:t xml:space="preserve">rea under the concentration time curve from time 0 to </w:t>
      </w:r>
      <w:r w:rsidR="00D07E36" w:rsidRPr="001C5C2B">
        <w:rPr>
          <w:lang w:val="en-GB"/>
        </w:rPr>
        <w:t>24 hours (</w:t>
      </w:r>
      <w:r w:rsidRPr="001C5C2B">
        <w:rPr>
          <w:lang w:val="en-GB"/>
        </w:rPr>
        <w:t>AUC</w:t>
      </w:r>
      <w:r w:rsidRPr="001C5C2B">
        <w:rPr>
          <w:vertAlign w:val="subscript"/>
          <w:lang w:val="en-GB"/>
        </w:rPr>
        <w:t>0-24</w:t>
      </w:r>
      <w:r w:rsidR="00D07E36" w:rsidRPr="001C5C2B">
        <w:rPr>
          <w:lang w:val="en-GB"/>
        </w:rPr>
        <w:t>)</w:t>
      </w:r>
      <w:r w:rsidRPr="001C5C2B">
        <w:rPr>
          <w:lang w:val="en-GB"/>
        </w:rPr>
        <w:t>). The</w:t>
      </w:r>
      <w:r w:rsidRPr="00E0683A">
        <w:rPr>
          <w:lang w:val="en-GB"/>
        </w:rPr>
        <w:t xml:space="preserve"> geometric mean (</w:t>
      </w:r>
      <w:r w:rsidR="00FE271B">
        <w:rPr>
          <w:lang w:val="en-GB"/>
        </w:rPr>
        <w:t xml:space="preserve">percent coefficient of </w:t>
      </w:r>
      <w:r w:rsidR="003246A1">
        <w:rPr>
          <w:lang w:val="en-GB"/>
        </w:rPr>
        <w:t>variati</w:t>
      </w:r>
      <w:r w:rsidR="003246A1" w:rsidRPr="00936296">
        <w:rPr>
          <w:lang w:val="en-GB"/>
        </w:rPr>
        <w:t>on (</w:t>
      </w:r>
      <w:r w:rsidRPr="00936296">
        <w:rPr>
          <w:lang w:val="en-GB"/>
        </w:rPr>
        <w:t>%CV</w:t>
      </w:r>
      <w:r w:rsidR="003246A1" w:rsidRPr="00936296">
        <w:rPr>
          <w:lang w:val="en-GB"/>
        </w:rPr>
        <w:t>)</w:t>
      </w:r>
      <w:r w:rsidRPr="00936296">
        <w:rPr>
          <w:lang w:val="en-GB"/>
        </w:rPr>
        <w:t>)</w:t>
      </w:r>
      <w:r w:rsidR="00EC14BB" w:rsidRPr="00936296">
        <w:rPr>
          <w:lang w:val="en-GB"/>
        </w:rPr>
        <w:t>,</w:t>
      </w:r>
      <w:r w:rsidR="00EC14BB">
        <w:rPr>
          <w:lang w:val="en-GB"/>
        </w:rPr>
        <w:t xml:space="preserve"> </w:t>
      </w:r>
      <w:proofErr w:type="spellStart"/>
      <w:r w:rsidRPr="00EC14BB">
        <w:rPr>
          <w:lang w:val="en-GB"/>
        </w:rPr>
        <w:t>C</w:t>
      </w:r>
      <w:r w:rsidRPr="00EC14BB">
        <w:rPr>
          <w:vertAlign w:val="subscript"/>
          <w:lang w:val="en-GB"/>
        </w:rPr>
        <w:t>max</w:t>
      </w:r>
      <w:proofErr w:type="spellEnd"/>
      <w:r w:rsidRPr="00E0683A">
        <w:rPr>
          <w:lang w:val="en-GB"/>
        </w:rPr>
        <w:t xml:space="preserve"> and AUC</w:t>
      </w:r>
      <w:r w:rsidRPr="00E0683A">
        <w:rPr>
          <w:vertAlign w:val="subscript"/>
          <w:lang w:val="en-GB"/>
        </w:rPr>
        <w:t xml:space="preserve">0-24 </w:t>
      </w:r>
      <w:r w:rsidRPr="00E0683A">
        <w:rPr>
          <w:lang w:val="en-GB"/>
        </w:rPr>
        <w:t>were 300</w:t>
      </w:r>
      <w:r w:rsidR="00323B95">
        <w:rPr>
          <w:lang w:val="en-GB"/>
        </w:rPr>
        <w:t> </w:t>
      </w:r>
      <w:r w:rsidRPr="00E0683A">
        <w:rPr>
          <w:lang w:val="en-GB"/>
        </w:rPr>
        <w:t>ng/mL (28%) and 5880</w:t>
      </w:r>
      <w:r w:rsidR="008A5928">
        <w:rPr>
          <w:lang w:val="en-GB"/>
        </w:rPr>
        <w:t> </w:t>
      </w:r>
      <w:proofErr w:type="spellStart"/>
      <w:r w:rsidRPr="00E0683A">
        <w:rPr>
          <w:lang w:val="en-GB"/>
        </w:rPr>
        <w:t>ng∙h</w:t>
      </w:r>
      <w:proofErr w:type="spellEnd"/>
      <w:r w:rsidRPr="00E0683A">
        <w:rPr>
          <w:lang w:val="en-GB"/>
        </w:rPr>
        <w:t>/mL (29%), respectively, at the recommended dose in patients with advanced solid tumours.</w:t>
      </w:r>
    </w:p>
    <w:p w14:paraId="1211E4F1" w14:textId="359CCBB9" w:rsidR="00E0683A" w:rsidRPr="00E0683A" w:rsidRDefault="00187291" w:rsidP="00187291">
      <w:pPr>
        <w:rPr>
          <w:lang w:val="en-GB"/>
        </w:rPr>
      </w:pPr>
      <w:r w:rsidRPr="00E0683A">
        <w:rPr>
          <w:lang w:val="en-GB"/>
        </w:rPr>
        <w:t>Fruquintinib</w:t>
      </w:r>
      <w:r w:rsidR="00E0683A" w:rsidRPr="00E0683A">
        <w:rPr>
          <w:lang w:val="en-GB"/>
        </w:rPr>
        <w:t xml:space="preserve"> does not distribute into blood cells (the range of individual blood</w:t>
      </w:r>
      <w:r w:rsidR="00B546F7">
        <w:rPr>
          <w:lang w:val="en-GB"/>
        </w:rPr>
        <w:t xml:space="preserve"> </w:t>
      </w:r>
      <w:r w:rsidR="00E0683A" w:rsidRPr="00E0683A">
        <w:rPr>
          <w:lang w:val="en-GB"/>
        </w:rPr>
        <w:t>to</w:t>
      </w:r>
      <w:r w:rsidR="00B546F7">
        <w:rPr>
          <w:lang w:val="en-GB"/>
        </w:rPr>
        <w:t xml:space="preserve"> </w:t>
      </w:r>
      <w:r w:rsidR="00E0683A" w:rsidRPr="00E0683A">
        <w:rPr>
          <w:lang w:val="en-GB"/>
        </w:rPr>
        <w:t>plasma ratios from 0 to 120 h</w:t>
      </w:r>
      <w:r w:rsidR="00B546F7">
        <w:rPr>
          <w:lang w:val="en-GB"/>
        </w:rPr>
        <w:t>ours</w:t>
      </w:r>
      <w:r w:rsidR="00E0683A" w:rsidRPr="00E0683A">
        <w:rPr>
          <w:lang w:val="en-GB"/>
        </w:rPr>
        <w:t xml:space="preserve"> post dose was 0.41</w:t>
      </w:r>
      <w:r w:rsidR="00B546F7">
        <w:rPr>
          <w:lang w:val="en-GB"/>
        </w:rPr>
        <w:t xml:space="preserve"> to </w:t>
      </w:r>
      <w:r w:rsidR="00E0683A" w:rsidRPr="00E0683A">
        <w:rPr>
          <w:lang w:val="en-GB"/>
        </w:rPr>
        <w:t xml:space="preserve">0.81). </w:t>
      </w:r>
      <w:r w:rsidR="00E0683A" w:rsidRPr="00E0683A">
        <w:t xml:space="preserve">Plasma protein binding is </w:t>
      </w:r>
      <w:r w:rsidR="00B546F7">
        <w:t xml:space="preserve">approximately </w:t>
      </w:r>
      <w:r w:rsidR="00E0683A" w:rsidRPr="00E0683A">
        <w:t xml:space="preserve">95%. </w:t>
      </w:r>
      <w:r w:rsidR="00E0683A" w:rsidRPr="00E0683A">
        <w:rPr>
          <w:lang w:val="en-GB"/>
        </w:rPr>
        <w:t>Apparent volume of distribution was 44</w:t>
      </w:r>
      <w:r w:rsidR="00B546F7">
        <w:rPr>
          <w:lang w:val="en-GB"/>
        </w:rPr>
        <w:t> </w:t>
      </w:r>
      <w:r w:rsidR="00E0683A" w:rsidRPr="00E0683A">
        <w:rPr>
          <w:lang w:val="en-GB"/>
        </w:rPr>
        <w:t xml:space="preserve">L in healthy subjects, and </w:t>
      </w:r>
      <w:r w:rsidR="00414828">
        <w:rPr>
          <w:lang w:val="en-GB"/>
        </w:rPr>
        <w:t>apparent volume of distribution</w:t>
      </w:r>
      <w:r w:rsidR="00E0683A" w:rsidRPr="00E0683A">
        <w:rPr>
          <w:lang w:val="en-GB"/>
        </w:rPr>
        <w:t xml:space="preserve"> was 48.5</w:t>
      </w:r>
      <w:r w:rsidR="005C482A">
        <w:rPr>
          <w:lang w:val="en-GB"/>
        </w:rPr>
        <w:t> </w:t>
      </w:r>
      <w:r w:rsidR="00E0683A" w:rsidRPr="00E0683A">
        <w:rPr>
          <w:lang w:val="en-GB"/>
        </w:rPr>
        <w:t>L for a 70</w:t>
      </w:r>
      <w:r w:rsidR="005C482A">
        <w:rPr>
          <w:lang w:val="en-GB"/>
        </w:rPr>
        <w:t> </w:t>
      </w:r>
      <w:r w:rsidR="00E0683A" w:rsidRPr="00E0683A">
        <w:rPr>
          <w:lang w:val="en-GB"/>
        </w:rPr>
        <w:t xml:space="preserve">kg patient with cancer at steady state estimated by </w:t>
      </w:r>
      <w:r w:rsidR="005C482A">
        <w:rPr>
          <w:lang w:val="en-GB"/>
        </w:rPr>
        <w:t xml:space="preserve">population pharmacokinetic </w:t>
      </w:r>
      <w:r w:rsidR="005C482A" w:rsidRPr="008315EC">
        <w:rPr>
          <w:lang w:val="en-GB"/>
        </w:rPr>
        <w:t>(</w:t>
      </w:r>
      <w:proofErr w:type="spellStart"/>
      <w:r w:rsidR="005C482A" w:rsidRPr="008315EC">
        <w:rPr>
          <w:lang w:val="en-GB"/>
        </w:rPr>
        <w:t>P</w:t>
      </w:r>
      <w:r w:rsidR="00E0683A" w:rsidRPr="008315EC">
        <w:rPr>
          <w:lang w:val="en-GB"/>
        </w:rPr>
        <w:t>opPK</w:t>
      </w:r>
      <w:proofErr w:type="spellEnd"/>
      <w:r w:rsidR="005C482A">
        <w:rPr>
          <w:lang w:val="en-GB"/>
        </w:rPr>
        <w:t>)</w:t>
      </w:r>
      <w:r w:rsidR="00E0683A" w:rsidRPr="00E0683A">
        <w:rPr>
          <w:lang w:val="en-GB"/>
        </w:rPr>
        <w:t xml:space="preserve"> analysis.</w:t>
      </w:r>
    </w:p>
    <w:p w14:paraId="5388AE9E" w14:textId="17B6010B" w:rsidR="00E0683A" w:rsidRPr="00E0683A" w:rsidRDefault="00E0683A" w:rsidP="00187291">
      <w:pPr>
        <w:rPr>
          <w:lang w:val="en-GB"/>
        </w:rPr>
      </w:pPr>
      <w:r w:rsidRPr="00E0683A">
        <w:rPr>
          <w:lang w:val="en-GB"/>
        </w:rPr>
        <w:t xml:space="preserve">Based on </w:t>
      </w:r>
      <w:r w:rsidRPr="00E0683A">
        <w:rPr>
          <w:i/>
          <w:iCs/>
          <w:lang w:val="en-GB"/>
        </w:rPr>
        <w:t>in vitro</w:t>
      </w:r>
      <w:r w:rsidRPr="00E0683A">
        <w:rPr>
          <w:lang w:val="en-GB"/>
        </w:rPr>
        <w:t xml:space="preserve"> assays, </w:t>
      </w:r>
      <w:proofErr w:type="spellStart"/>
      <w:r w:rsidRPr="00E0683A">
        <w:rPr>
          <w:lang w:val="en-GB"/>
        </w:rPr>
        <w:t>fruquintinib</w:t>
      </w:r>
      <w:proofErr w:type="spellEnd"/>
      <w:r w:rsidRPr="00E0683A">
        <w:rPr>
          <w:lang w:val="en-GB"/>
        </w:rPr>
        <w:t xml:space="preserve"> is not a substrate for P-</w:t>
      </w:r>
      <w:proofErr w:type="spellStart"/>
      <w:r w:rsidRPr="00E0683A">
        <w:rPr>
          <w:lang w:val="en-GB"/>
        </w:rPr>
        <w:t>gp</w:t>
      </w:r>
      <w:proofErr w:type="spellEnd"/>
      <w:r w:rsidRPr="00E0683A">
        <w:rPr>
          <w:lang w:val="en-GB"/>
        </w:rPr>
        <w:t>, OATP1B1, or OATP1B3.</w:t>
      </w:r>
    </w:p>
    <w:p w14:paraId="3D9FBEA9" w14:textId="1E557BB7" w:rsidR="00E0683A" w:rsidRPr="00E0683A" w:rsidRDefault="00E0683A" w:rsidP="003C2EDA">
      <w:pPr>
        <w:pStyle w:val="Heading5"/>
        <w:rPr>
          <w:lang w:val="en-GB"/>
        </w:rPr>
      </w:pPr>
      <w:r w:rsidRPr="00E0683A">
        <w:rPr>
          <w:lang w:val="en-GB"/>
        </w:rPr>
        <w:t>Metabolism and elimination</w:t>
      </w:r>
    </w:p>
    <w:p w14:paraId="34623C60" w14:textId="69D70DC6" w:rsidR="00E0683A" w:rsidRPr="00E0683A" w:rsidRDefault="00E0683A" w:rsidP="003C2EDA">
      <w:pPr>
        <w:rPr>
          <w:lang w:val="en-GB"/>
        </w:rPr>
      </w:pPr>
      <w:r w:rsidRPr="00E0683A">
        <w:rPr>
          <w:lang w:val="en-GB"/>
        </w:rPr>
        <w:t>Fruquintinib undergoes extensive metabolism including through mono- and di-oxidation, N- or O-demethylation, splitting</w:t>
      </w:r>
      <w:r w:rsidR="00446F1B">
        <w:rPr>
          <w:lang w:val="en-GB"/>
        </w:rPr>
        <w:t xml:space="preserve"> </w:t>
      </w:r>
      <w:proofErr w:type="gramStart"/>
      <w:r w:rsidRPr="00E0683A">
        <w:rPr>
          <w:lang w:val="en-GB"/>
        </w:rPr>
        <w:t>off of</w:t>
      </w:r>
      <w:proofErr w:type="gramEnd"/>
      <w:r w:rsidRPr="00E0683A">
        <w:rPr>
          <w:lang w:val="en-GB"/>
        </w:rPr>
        <w:t xml:space="preserve"> the quinazoline moiety, amide bond hydrolysis, glucuronidation, and sulfation. Twenty-two unique metabolites were identified in the mass balance study, including the major plasma metabolite (17%)</w:t>
      </w:r>
      <w:r w:rsidR="00561D14">
        <w:rPr>
          <w:lang w:val="en-GB"/>
        </w:rPr>
        <w:t xml:space="preserve"> </w:t>
      </w:r>
      <w:r w:rsidRPr="00E0683A">
        <w:rPr>
          <w:lang w:val="en-GB"/>
        </w:rPr>
        <w:t>N-demethylation product ‘M11</w:t>
      </w:r>
      <w:r w:rsidR="00446F1B">
        <w:rPr>
          <w:lang w:val="en-GB"/>
        </w:rPr>
        <w:t>’</w:t>
      </w:r>
      <w:r w:rsidRPr="00E0683A">
        <w:rPr>
          <w:lang w:val="en-GB"/>
        </w:rPr>
        <w:t>.</w:t>
      </w:r>
      <w:r w:rsidR="00446F1B">
        <w:rPr>
          <w:lang w:val="en-GB"/>
        </w:rPr>
        <w:t xml:space="preserve"> </w:t>
      </w:r>
      <w:r w:rsidRPr="00E0683A">
        <w:rPr>
          <w:lang w:val="en-GB"/>
        </w:rPr>
        <w:t>Parent drug made up 72% of circulating radiolabelled material.</w:t>
      </w:r>
    </w:p>
    <w:p w14:paraId="37B306B1" w14:textId="3DCA0AA5" w:rsidR="00E0683A" w:rsidRPr="00E0683A" w:rsidRDefault="00E0683A" w:rsidP="003C2EDA">
      <w:pPr>
        <w:rPr>
          <w:lang w:val="en-GB"/>
        </w:rPr>
      </w:pPr>
      <w:r w:rsidRPr="00E0683A">
        <w:rPr>
          <w:lang w:val="en-GB"/>
        </w:rPr>
        <w:t>The M11</w:t>
      </w:r>
      <w:r w:rsidR="00446F1B">
        <w:rPr>
          <w:lang w:val="en-GB"/>
        </w:rPr>
        <w:t xml:space="preserve"> </w:t>
      </w:r>
      <w:r w:rsidRPr="00E0683A">
        <w:rPr>
          <w:lang w:val="en-GB"/>
        </w:rPr>
        <w:t>to</w:t>
      </w:r>
      <w:r w:rsidR="00446F1B">
        <w:rPr>
          <w:lang w:val="en-GB"/>
        </w:rPr>
        <w:t xml:space="preserve"> </w:t>
      </w:r>
      <w:r w:rsidRPr="00E0683A">
        <w:rPr>
          <w:lang w:val="en-GB"/>
        </w:rPr>
        <w:t>parent ratio was 0.32 (based on AUC</w:t>
      </w:r>
      <w:r w:rsidRPr="00E0683A">
        <w:rPr>
          <w:vertAlign w:val="subscript"/>
          <w:lang w:val="en-GB"/>
        </w:rPr>
        <w:t>0-24</w:t>
      </w:r>
      <w:r w:rsidRPr="00E0683A">
        <w:rPr>
          <w:lang w:val="en-GB"/>
        </w:rPr>
        <w:t>), but M11 is less than 10% as potent, so the potency-adjusted exposure of M11 is estimated at &lt;</w:t>
      </w:r>
      <w:r w:rsidR="008337F5">
        <w:rPr>
          <w:lang w:val="en-GB"/>
        </w:rPr>
        <w:t> </w:t>
      </w:r>
      <w:r w:rsidRPr="00E0683A">
        <w:rPr>
          <w:lang w:val="en-GB"/>
        </w:rPr>
        <w:t xml:space="preserve">5% of total pharmacological activity of </w:t>
      </w:r>
      <w:proofErr w:type="spellStart"/>
      <w:r w:rsidRPr="00E0683A">
        <w:rPr>
          <w:lang w:val="en-GB"/>
        </w:rPr>
        <w:t>fruquintinib</w:t>
      </w:r>
      <w:proofErr w:type="spellEnd"/>
      <w:r w:rsidRPr="00E0683A">
        <w:rPr>
          <w:lang w:val="en-GB"/>
        </w:rPr>
        <w:t>.</w:t>
      </w:r>
    </w:p>
    <w:p w14:paraId="6A1489A4" w14:textId="27D866E5" w:rsidR="00E0683A" w:rsidRPr="00E0683A" w:rsidRDefault="00E0683A" w:rsidP="003C2EDA">
      <w:pPr>
        <w:rPr>
          <w:lang w:val="en-GB"/>
        </w:rPr>
      </w:pPr>
      <w:r w:rsidRPr="00E0683A">
        <w:rPr>
          <w:lang w:val="en-GB"/>
        </w:rPr>
        <w:t>Elimination is predominantly metabolic</w:t>
      </w:r>
      <w:r w:rsidR="00561D14">
        <w:rPr>
          <w:lang w:val="en-GB"/>
        </w:rPr>
        <w:t>. O</w:t>
      </w:r>
      <w:r w:rsidRPr="00E0683A">
        <w:rPr>
          <w:lang w:val="en-GB"/>
        </w:rPr>
        <w:t>nly 6% of the dose was accounted for by excreted parent compound (5% faecal and &lt;</w:t>
      </w:r>
      <w:r w:rsidR="006C348C">
        <w:rPr>
          <w:lang w:val="en-GB"/>
        </w:rPr>
        <w:t> </w:t>
      </w:r>
      <w:r w:rsidRPr="00E0683A">
        <w:rPr>
          <w:lang w:val="en-GB"/>
        </w:rPr>
        <w:t>1% urinary), and there was no significant excretion of M11. There are two main metabolic pathways</w:t>
      </w:r>
      <w:r w:rsidR="00307F02">
        <w:rPr>
          <w:lang w:val="en-GB"/>
        </w:rPr>
        <w:t>.</w:t>
      </w:r>
      <w:r w:rsidRPr="00E0683A">
        <w:rPr>
          <w:lang w:val="en-GB"/>
        </w:rPr>
        <w:t xml:space="preserve"> </w:t>
      </w:r>
      <w:r w:rsidR="00307F02">
        <w:rPr>
          <w:lang w:val="en-GB"/>
        </w:rPr>
        <w:t>O</w:t>
      </w:r>
      <w:r w:rsidRPr="00E0683A">
        <w:rPr>
          <w:lang w:val="en-GB"/>
        </w:rPr>
        <w:t xml:space="preserve">ne via </w:t>
      </w:r>
      <w:r w:rsidR="001A68BE" w:rsidRPr="00E0683A">
        <w:rPr>
          <w:lang w:val="en-GB"/>
        </w:rPr>
        <w:t>CYP3A4/5</w:t>
      </w:r>
      <w:r w:rsidRPr="00E0683A">
        <w:rPr>
          <w:lang w:val="en-GB"/>
        </w:rPr>
        <w:t xml:space="preserve"> and the other one via unidentified non-CYP enzymes (the </w:t>
      </w:r>
      <w:r w:rsidR="00307F02">
        <w:rPr>
          <w:lang w:val="en-GB"/>
        </w:rPr>
        <w:t>‘</w:t>
      </w:r>
      <w:r w:rsidRPr="00E0683A">
        <w:rPr>
          <w:lang w:val="en-GB"/>
        </w:rPr>
        <w:t>M205 pathway</w:t>
      </w:r>
      <w:r w:rsidR="00307F02">
        <w:rPr>
          <w:lang w:val="en-GB"/>
        </w:rPr>
        <w:t>’</w:t>
      </w:r>
      <w:r w:rsidRPr="00E0683A">
        <w:rPr>
          <w:lang w:val="en-GB"/>
        </w:rPr>
        <w:t xml:space="preserve">). </w:t>
      </w:r>
      <w:r w:rsidR="00075A47">
        <w:rPr>
          <w:rFonts w:eastAsia="Times New Roman" w:cs="Calibri"/>
          <w:color w:val="000000"/>
          <w:szCs w:val="22"/>
          <w:lang w:eastAsia="en-AU"/>
        </w:rPr>
        <w:t>C</w:t>
      </w:r>
      <w:r w:rsidR="00075A47" w:rsidRPr="007E712D">
        <w:rPr>
          <w:rFonts w:eastAsia="Times New Roman" w:cs="Calibri"/>
          <w:color w:val="000000"/>
          <w:szCs w:val="22"/>
          <w:lang w:eastAsia="en-AU"/>
        </w:rPr>
        <w:t>ytochrome P450</w:t>
      </w:r>
      <w:r w:rsidR="00075A47">
        <w:rPr>
          <w:rFonts w:eastAsia="Times New Roman" w:cs="Calibri"/>
          <w:color w:val="000000"/>
          <w:szCs w:val="22"/>
          <w:lang w:eastAsia="en-AU"/>
        </w:rPr>
        <w:t xml:space="preserve"> isoenzyme </w:t>
      </w:r>
      <w:r w:rsidRPr="00E0683A">
        <w:rPr>
          <w:lang w:val="en-GB"/>
        </w:rPr>
        <w:t xml:space="preserve">3A4 </w:t>
      </w:r>
      <w:r w:rsidR="00075A47">
        <w:rPr>
          <w:lang w:val="en-GB"/>
        </w:rPr>
        <w:t>(</w:t>
      </w:r>
      <w:r w:rsidR="00075A47" w:rsidRPr="00E0683A">
        <w:rPr>
          <w:lang w:val="en-GB"/>
        </w:rPr>
        <w:t>CYP3A4</w:t>
      </w:r>
      <w:r w:rsidR="00075A47">
        <w:rPr>
          <w:lang w:val="en-GB"/>
        </w:rPr>
        <w:t xml:space="preserve">) </w:t>
      </w:r>
      <w:r w:rsidRPr="00E0683A">
        <w:rPr>
          <w:lang w:val="en-GB"/>
        </w:rPr>
        <w:t>is the main CYP contributing to M11 formation with minor contributions from CYP2C8, CYP2C9, and CYP2C19.</w:t>
      </w:r>
    </w:p>
    <w:p w14:paraId="30F15483" w14:textId="6793337F" w:rsidR="00E0683A" w:rsidRPr="00E0683A" w:rsidRDefault="00E0683A" w:rsidP="003C2EDA">
      <w:pPr>
        <w:rPr>
          <w:lang w:val="en-GB"/>
        </w:rPr>
      </w:pPr>
      <w:r w:rsidRPr="00E0683A">
        <w:rPr>
          <w:lang w:val="en-GB"/>
        </w:rPr>
        <w:t xml:space="preserve">Fruquintinib </w:t>
      </w:r>
      <w:r w:rsidR="00A31B24">
        <w:rPr>
          <w:lang w:val="en-GB"/>
        </w:rPr>
        <w:t xml:space="preserve">apparent clearance </w:t>
      </w:r>
      <w:r w:rsidRPr="00E0683A">
        <w:rPr>
          <w:lang w:val="en-GB"/>
        </w:rPr>
        <w:t xml:space="preserve">was </w:t>
      </w:r>
      <w:proofErr w:type="spellStart"/>
      <w:r w:rsidRPr="00E0683A">
        <w:rPr>
          <w:lang w:val="en-GB"/>
        </w:rPr>
        <w:t>esimated</w:t>
      </w:r>
      <w:proofErr w:type="spellEnd"/>
      <w:r w:rsidRPr="00E0683A">
        <w:rPr>
          <w:lang w:val="en-GB"/>
        </w:rPr>
        <w:t xml:space="preserve"> at 13.2</w:t>
      </w:r>
      <w:r w:rsidR="00083B2F">
        <w:rPr>
          <w:lang w:val="en-GB"/>
        </w:rPr>
        <w:t> </w:t>
      </w:r>
      <w:r w:rsidRPr="00E0683A">
        <w:rPr>
          <w:lang w:val="en-GB"/>
        </w:rPr>
        <w:t>mL/min for a 70</w:t>
      </w:r>
      <w:r w:rsidR="00083B2F">
        <w:rPr>
          <w:lang w:val="en-GB"/>
        </w:rPr>
        <w:t> </w:t>
      </w:r>
      <w:r w:rsidRPr="00E0683A">
        <w:rPr>
          <w:lang w:val="en-GB"/>
        </w:rPr>
        <w:t xml:space="preserve">kg cancer patient in </w:t>
      </w:r>
      <w:proofErr w:type="spellStart"/>
      <w:r w:rsidRPr="00E0683A">
        <w:rPr>
          <w:lang w:val="en-GB"/>
        </w:rPr>
        <w:t>popPK</w:t>
      </w:r>
      <w:proofErr w:type="spellEnd"/>
      <w:r w:rsidRPr="00E0683A">
        <w:rPr>
          <w:lang w:val="en-GB"/>
        </w:rPr>
        <w:t xml:space="preserve"> analyses, consistent with </w:t>
      </w:r>
      <w:r w:rsidR="00083B2F">
        <w:rPr>
          <w:lang w:val="en-GB"/>
        </w:rPr>
        <w:t>P</w:t>
      </w:r>
      <w:r w:rsidRPr="00E0683A">
        <w:rPr>
          <w:lang w:val="en-GB"/>
        </w:rPr>
        <w:t xml:space="preserve">hase </w:t>
      </w:r>
      <w:r w:rsidR="00083B2F">
        <w:rPr>
          <w:lang w:val="en-GB"/>
        </w:rPr>
        <w:t>I</w:t>
      </w:r>
      <w:r w:rsidRPr="00E0683A">
        <w:rPr>
          <w:lang w:val="en-GB"/>
        </w:rPr>
        <w:t xml:space="preserve"> observations. The mean (</w:t>
      </w:r>
      <w:r w:rsidR="00083B2F">
        <w:rPr>
          <w:lang w:val="en-GB"/>
        </w:rPr>
        <w:t>standard deviation</w:t>
      </w:r>
      <w:r w:rsidRPr="00E0683A">
        <w:rPr>
          <w:lang w:val="en-GB"/>
        </w:rPr>
        <w:t xml:space="preserve">) half-life of </w:t>
      </w:r>
      <w:proofErr w:type="spellStart"/>
      <w:r w:rsidRPr="00E0683A">
        <w:rPr>
          <w:lang w:val="en-GB"/>
        </w:rPr>
        <w:t>fruquintinib</w:t>
      </w:r>
      <w:proofErr w:type="spellEnd"/>
      <w:r w:rsidRPr="00E0683A">
        <w:rPr>
          <w:lang w:val="en-GB"/>
        </w:rPr>
        <w:t xml:space="preserve"> was 34 hours, in support of the studied daily dosing strategy.</w:t>
      </w:r>
    </w:p>
    <w:p w14:paraId="3543E9B3" w14:textId="77777777" w:rsidR="00E0683A" w:rsidRPr="00E0683A" w:rsidRDefault="00E0683A" w:rsidP="00083B2F">
      <w:pPr>
        <w:pStyle w:val="Heading5"/>
        <w:rPr>
          <w:lang w:val="en-GB"/>
        </w:rPr>
      </w:pPr>
      <w:r w:rsidRPr="00E0683A">
        <w:rPr>
          <w:lang w:val="en-GB"/>
        </w:rPr>
        <w:lastRenderedPageBreak/>
        <w:t>Dose individualisation</w:t>
      </w:r>
    </w:p>
    <w:p w14:paraId="09695624" w14:textId="20CA96A1" w:rsidR="00E0683A" w:rsidRPr="00E0683A" w:rsidRDefault="00E0683A" w:rsidP="00083B2F">
      <w:r w:rsidRPr="00E0683A">
        <w:rPr>
          <w:lang w:val="en-GB"/>
        </w:rPr>
        <w:t>Po</w:t>
      </w:r>
      <w:r w:rsidR="0084099D">
        <w:rPr>
          <w:lang w:val="en-GB"/>
        </w:rPr>
        <w:t>p</w:t>
      </w:r>
      <w:proofErr w:type="spellStart"/>
      <w:r w:rsidR="0084099D">
        <w:t>u</w:t>
      </w:r>
      <w:r w:rsidR="00083B2F" w:rsidRPr="00083B2F">
        <w:t>lation</w:t>
      </w:r>
      <w:proofErr w:type="spellEnd"/>
      <w:r w:rsidR="00083B2F" w:rsidRPr="00083B2F">
        <w:t xml:space="preserve"> </w:t>
      </w:r>
      <w:r w:rsidRPr="00E0683A">
        <w:rPr>
          <w:lang w:val="en-GB"/>
        </w:rPr>
        <w:t xml:space="preserve">PK analysis showed no clinically relevant effects of sex, body weight (range 36 </w:t>
      </w:r>
      <w:r w:rsidR="00DC2744">
        <w:rPr>
          <w:lang w:val="en-GB"/>
        </w:rPr>
        <w:t>to</w:t>
      </w:r>
      <w:r w:rsidRPr="00E0683A">
        <w:rPr>
          <w:lang w:val="en-GB"/>
        </w:rPr>
        <w:t xml:space="preserve"> 158</w:t>
      </w:r>
      <w:r w:rsidR="00DC2744">
        <w:rPr>
          <w:lang w:val="en-GB"/>
        </w:rPr>
        <w:t> </w:t>
      </w:r>
      <w:r w:rsidRPr="00E0683A">
        <w:rPr>
          <w:lang w:val="en-GB"/>
        </w:rPr>
        <w:t xml:space="preserve">kg; 5th and </w:t>
      </w:r>
      <w:r w:rsidRPr="00D43675">
        <w:rPr>
          <w:lang w:val="en-GB"/>
        </w:rPr>
        <w:t>95th percentiles 48</w:t>
      </w:r>
      <w:r w:rsidR="00714332" w:rsidRPr="00D43675">
        <w:rPr>
          <w:lang w:val="en-GB"/>
        </w:rPr>
        <w:t> </w:t>
      </w:r>
      <w:r w:rsidRPr="00D43675">
        <w:rPr>
          <w:lang w:val="en-GB"/>
        </w:rPr>
        <w:t>kg and 108</w:t>
      </w:r>
      <w:r w:rsidR="00714332" w:rsidRPr="00D43675">
        <w:rPr>
          <w:lang w:val="en-GB"/>
        </w:rPr>
        <w:t> </w:t>
      </w:r>
      <w:r w:rsidRPr="00D43675">
        <w:rPr>
          <w:lang w:val="en-GB"/>
        </w:rPr>
        <w:t>kg, respectively), age (18 to 82 years),</w:t>
      </w:r>
      <w:r w:rsidR="00494991" w:rsidRPr="00D43675">
        <w:t xml:space="preserve"> </w:t>
      </w:r>
      <w:r w:rsidR="00494991" w:rsidRPr="00D43675">
        <w:rPr>
          <w:lang w:val="en-GB"/>
        </w:rPr>
        <w:t>Eastern Cooperative Oncology Group (</w:t>
      </w:r>
      <w:r w:rsidRPr="00D43675">
        <w:rPr>
          <w:lang w:val="en-GB"/>
        </w:rPr>
        <w:t>ECOG</w:t>
      </w:r>
      <w:r w:rsidR="00494991" w:rsidRPr="00D43675">
        <w:rPr>
          <w:lang w:val="en-GB"/>
        </w:rPr>
        <w:t>)</w:t>
      </w:r>
      <w:r w:rsidRPr="00D43675">
        <w:rPr>
          <w:lang w:val="en-GB"/>
        </w:rPr>
        <w:t>,</w:t>
      </w:r>
      <w:r w:rsidRPr="00E0683A">
        <w:rPr>
          <w:lang w:val="en-GB"/>
        </w:rPr>
        <w:t xml:space="preserve"> race (140 </w:t>
      </w:r>
      <w:r w:rsidRPr="00E0683A">
        <w:t>Asian patients, 29 Black patients, and 359 White patients)</w:t>
      </w:r>
      <w:r w:rsidRPr="00E0683A">
        <w:rPr>
          <w:lang w:val="en-GB"/>
        </w:rPr>
        <w:t xml:space="preserve">, country (80 patients in China, 45 patients in Japan or 432 patients in the rest of the world) or health status (cancer patients or healthy subjects) on the PK of </w:t>
      </w:r>
      <w:proofErr w:type="spellStart"/>
      <w:r w:rsidRPr="00E0683A">
        <w:rPr>
          <w:lang w:val="en-GB"/>
        </w:rPr>
        <w:t>fruquintinib</w:t>
      </w:r>
      <w:proofErr w:type="spellEnd"/>
      <w:r w:rsidRPr="00E0683A">
        <w:rPr>
          <w:lang w:val="en-GB"/>
        </w:rPr>
        <w:t xml:space="preserve"> and M11. Body weight and health status were statistically significant covariates, but the magnitude of effect on exposure (&lt;</w:t>
      </w:r>
      <w:r w:rsidR="00C854B7">
        <w:rPr>
          <w:lang w:val="en-GB"/>
        </w:rPr>
        <w:t> </w:t>
      </w:r>
      <w:r w:rsidRPr="00E0683A">
        <w:rPr>
          <w:lang w:val="en-GB"/>
        </w:rPr>
        <w:t>20% and &lt;</w:t>
      </w:r>
      <w:r w:rsidR="00C854B7">
        <w:rPr>
          <w:lang w:val="en-GB"/>
        </w:rPr>
        <w:t> </w:t>
      </w:r>
      <w:r w:rsidRPr="00E0683A">
        <w:rPr>
          <w:lang w:val="en-GB"/>
        </w:rPr>
        <w:t>5%, respectively) was not clinically relevant</w:t>
      </w:r>
      <w:r w:rsidRPr="00E0683A">
        <w:t>.</w:t>
      </w:r>
    </w:p>
    <w:p w14:paraId="291A5BF3" w14:textId="44F9D7DD" w:rsidR="00E0683A" w:rsidRPr="00E0683A" w:rsidRDefault="00E0683A" w:rsidP="00083B2F">
      <w:r w:rsidRPr="00E0683A">
        <w:t>No dose adjustme</w:t>
      </w:r>
      <w:r w:rsidRPr="000666A3">
        <w:t>nt is needed in patients with mild hepatic impairment (total bilirubin ≤ the upper limit of normal (ULN)</w:t>
      </w:r>
      <w:r w:rsidRPr="00E0683A">
        <w:t xml:space="preserve"> with any AST elevation, or total bilirubin 1</w:t>
      </w:r>
      <w:r w:rsidR="00C844C8">
        <w:t xml:space="preserve"> to </w:t>
      </w:r>
      <w:r w:rsidRPr="00E0683A">
        <w:t xml:space="preserve">1.5 </w:t>
      </w:r>
      <w:r w:rsidR="00C844C8">
        <w:t xml:space="preserve">times the </w:t>
      </w:r>
      <w:r w:rsidRPr="00E0683A">
        <w:t>ULN regardless of AST) as there was no clinically significant difference in PK was between such patients (n</w:t>
      </w:r>
      <w:r w:rsidR="007B4BF2">
        <w:t> </w:t>
      </w:r>
      <w:r w:rsidRPr="00E0683A">
        <w:t>=</w:t>
      </w:r>
      <w:r w:rsidR="007B4BF2">
        <w:t> </w:t>
      </w:r>
      <w:r w:rsidRPr="00E0683A">
        <w:t>133) and patients with normal hepatic function.</w:t>
      </w:r>
    </w:p>
    <w:p w14:paraId="73464DF2" w14:textId="536EB8DC" w:rsidR="00E0683A" w:rsidRPr="00E0683A" w:rsidRDefault="00E0683A" w:rsidP="00083B2F">
      <w:r w:rsidRPr="00E0683A">
        <w:t xml:space="preserve">Only </w:t>
      </w:r>
      <w:r w:rsidR="007B4BF2">
        <w:t>two</w:t>
      </w:r>
      <w:r w:rsidRPr="00E0683A">
        <w:t xml:space="preserve"> patients with moderate hepatic impairment were included in the </w:t>
      </w:r>
      <w:proofErr w:type="spellStart"/>
      <w:r w:rsidRPr="00E0683A">
        <w:t>popPK</w:t>
      </w:r>
      <w:proofErr w:type="spellEnd"/>
      <w:r w:rsidRPr="00E0683A">
        <w:t xml:space="preserve"> dataset. Patients with total bilirubin &gt;</w:t>
      </w:r>
      <w:r w:rsidR="00171810">
        <w:t> </w:t>
      </w:r>
      <w:r w:rsidRPr="00E0683A">
        <w:t xml:space="preserve">1.5 times the ULN, ALT or AST &gt; 2.5 </w:t>
      </w:r>
      <w:r w:rsidR="007B4BF2">
        <w:t xml:space="preserve">times </w:t>
      </w:r>
      <w:r w:rsidRPr="00E0683A">
        <w:t xml:space="preserve">ULN in patients without hepatic metastases and ALT or AST &gt; 5 </w:t>
      </w:r>
      <w:r w:rsidR="007B4BF2">
        <w:t>times</w:t>
      </w:r>
      <w:r w:rsidRPr="00E0683A">
        <w:t xml:space="preserve"> ULN in patients with hepatic metastases were excluded from both the pivotal study FRESCO-2 and supportive study FRESCO. The effect of moderate to severe hepatic impairment (total bilirubin &gt;</w:t>
      </w:r>
      <w:r w:rsidR="00171810">
        <w:t> </w:t>
      </w:r>
      <w:r w:rsidRPr="00E0683A">
        <w:t xml:space="preserve">1.5 </w:t>
      </w:r>
      <w:r w:rsidR="0054263D">
        <w:t>times</w:t>
      </w:r>
      <w:r w:rsidRPr="00E0683A">
        <w:t xml:space="preserve"> ULN, regardless of AST) on </w:t>
      </w:r>
      <w:proofErr w:type="spellStart"/>
      <w:r w:rsidRPr="00E0683A">
        <w:t>fruquintinib</w:t>
      </w:r>
      <w:proofErr w:type="spellEnd"/>
      <w:r w:rsidRPr="00E0683A">
        <w:t xml:space="preserve"> pharmacokinetics is therefore unknown, and safety and efficacy have not been studied adequately in these populations. Additionally, as </w:t>
      </w:r>
      <w:proofErr w:type="spellStart"/>
      <w:r w:rsidRPr="00E0683A">
        <w:t>fruquintinib</w:t>
      </w:r>
      <w:proofErr w:type="spellEnd"/>
      <w:r w:rsidRPr="00E0683A">
        <w:t xml:space="preserve"> causes hepatotoxicity, it is not recommended for use in patients with severe hepatic impairment.</w:t>
      </w:r>
    </w:p>
    <w:p w14:paraId="6B29207E" w14:textId="77777777" w:rsidR="00E0683A" w:rsidRPr="00E0683A" w:rsidRDefault="00E0683A" w:rsidP="00083B2F">
      <w:r w:rsidRPr="00E0683A">
        <w:t xml:space="preserve">No </w:t>
      </w:r>
      <w:proofErr w:type="spellStart"/>
      <w:r w:rsidRPr="00E0683A">
        <w:t>fruquintinib</w:t>
      </w:r>
      <w:proofErr w:type="spellEnd"/>
      <w:r w:rsidRPr="00E0683A">
        <w:t xml:space="preserve"> dose adjustment is needed in patients with renal impairment due to its minimal renal excretion.</w:t>
      </w:r>
    </w:p>
    <w:p w14:paraId="23D06B0D" w14:textId="77777777" w:rsidR="00E0683A" w:rsidRPr="00E0683A" w:rsidRDefault="00E0683A" w:rsidP="005F609C">
      <w:pPr>
        <w:pStyle w:val="Heading5"/>
        <w:rPr>
          <w:lang w:val="en-GB"/>
        </w:rPr>
      </w:pPr>
      <w:bookmarkStart w:id="66" w:name="_Ref171089695"/>
      <w:r w:rsidRPr="00E0683A">
        <w:rPr>
          <w:lang w:val="en-GB"/>
        </w:rPr>
        <w:t>Interactions</w:t>
      </w:r>
      <w:bookmarkEnd w:id="66"/>
    </w:p>
    <w:p w14:paraId="0DA78D25" w14:textId="53BEBA04" w:rsidR="00E0683A" w:rsidRPr="00E0683A" w:rsidRDefault="00E0683A" w:rsidP="005F609C">
      <w:r w:rsidRPr="00E0683A">
        <w:rPr>
          <w:lang w:val="en-GB"/>
        </w:rPr>
        <w:t>Clinical drug-drug interaction studies were conducted to support instructions for concomitant use. F</w:t>
      </w:r>
      <w:proofErr w:type="spellStart"/>
      <w:r w:rsidRPr="00E0683A">
        <w:t>ruquintinib</w:t>
      </w:r>
      <w:proofErr w:type="spellEnd"/>
      <w:r w:rsidRPr="00E0683A">
        <w:t xml:space="preserve"> exposure </w:t>
      </w:r>
      <w:r w:rsidR="005F609C">
        <w:t xml:space="preserve">(area under the concentration time curve </w:t>
      </w:r>
      <w:r w:rsidR="005F609C" w:rsidRPr="0010662B">
        <w:t>(</w:t>
      </w:r>
      <w:r w:rsidRPr="0010662B">
        <w:t>AUC</w:t>
      </w:r>
      <w:r w:rsidR="005F609C" w:rsidRPr="0010662B">
        <w:t>)</w:t>
      </w:r>
      <w:r w:rsidRPr="0010662B">
        <w:t xml:space="preserve"> and </w:t>
      </w:r>
      <w:proofErr w:type="spellStart"/>
      <w:r w:rsidRPr="0010662B">
        <w:t>C</w:t>
      </w:r>
      <w:r w:rsidRPr="0010662B">
        <w:rPr>
          <w:vertAlign w:val="subscript"/>
        </w:rPr>
        <w:t>max</w:t>
      </w:r>
      <w:proofErr w:type="spellEnd"/>
      <w:r w:rsidRPr="0010662B">
        <w:t>)</w:t>
      </w:r>
      <w:r w:rsidRPr="00E0683A">
        <w:t xml:space="preserve"> is decreased by concomitant administration of strong or moderate CYP3A4 inducers, so these should be avoided during </w:t>
      </w:r>
      <w:proofErr w:type="spellStart"/>
      <w:r w:rsidRPr="00E0683A">
        <w:t>fruquintinib</w:t>
      </w:r>
      <w:proofErr w:type="spellEnd"/>
      <w:r w:rsidRPr="00E0683A">
        <w:t xml:space="preserve"> therapy. N</w:t>
      </w:r>
      <w:r w:rsidRPr="00E0683A">
        <w:rPr>
          <w:lang w:val="en-GB"/>
        </w:rPr>
        <w:t xml:space="preserve">o dose adjustment is required for mild inducers. </w:t>
      </w:r>
      <w:r w:rsidRPr="00E0683A">
        <w:t>Fruquintinib exposure was not meaningfully changed when a strong CYP3A inhibitor was co-administered.</w:t>
      </w:r>
    </w:p>
    <w:p w14:paraId="6FDE797D" w14:textId="4DA3BC6C" w:rsidR="00E0683A" w:rsidRPr="00E0683A" w:rsidRDefault="00E0683A" w:rsidP="005F609C">
      <w:r w:rsidRPr="00E0683A">
        <w:rPr>
          <w:i/>
          <w:iCs/>
          <w:lang w:val="en-GB"/>
        </w:rPr>
        <w:t>In vitro</w:t>
      </w:r>
      <w:r w:rsidRPr="00E0683A">
        <w:rPr>
          <w:lang w:val="en-GB"/>
        </w:rPr>
        <w:t xml:space="preserve"> data suggested </w:t>
      </w:r>
      <w:proofErr w:type="spellStart"/>
      <w:r w:rsidRPr="00E0683A">
        <w:rPr>
          <w:lang w:val="en-GB"/>
        </w:rPr>
        <w:t>fruquintinib</w:t>
      </w:r>
      <w:proofErr w:type="spellEnd"/>
      <w:r w:rsidRPr="00E0683A">
        <w:rPr>
          <w:lang w:val="en-GB"/>
        </w:rPr>
        <w:t xml:space="preserve"> might inhibit intestinal P-</w:t>
      </w:r>
      <w:proofErr w:type="spellStart"/>
      <w:r w:rsidRPr="00E0683A">
        <w:rPr>
          <w:lang w:val="en-GB"/>
        </w:rPr>
        <w:t>gp</w:t>
      </w:r>
      <w:proofErr w:type="spellEnd"/>
      <w:r w:rsidRPr="00E0683A">
        <w:rPr>
          <w:lang w:val="en-GB"/>
        </w:rPr>
        <w:t xml:space="preserve">, and intestinal as well as systemic BCRP, at the intended therapeutic dose. </w:t>
      </w:r>
      <w:r w:rsidRPr="00E0683A">
        <w:t xml:space="preserve">In a clinical </w:t>
      </w:r>
      <w:r w:rsidR="0010662B" w:rsidRPr="00E0683A">
        <w:rPr>
          <w:lang w:val="en-GB"/>
        </w:rPr>
        <w:t xml:space="preserve">drug-drug interaction </w:t>
      </w:r>
      <w:r w:rsidRPr="00E0683A">
        <w:t>study, co</w:t>
      </w:r>
      <w:r w:rsidR="004D744B">
        <w:noBreakHyphen/>
      </w:r>
      <w:r w:rsidRPr="00E0683A">
        <w:t>administration of single oral doses of 5</w:t>
      </w:r>
      <w:r w:rsidR="00E571F4">
        <w:t> </w:t>
      </w:r>
      <w:r w:rsidRPr="00E0683A">
        <w:t xml:space="preserve">mg </w:t>
      </w:r>
      <w:proofErr w:type="spellStart"/>
      <w:r w:rsidRPr="00E0683A">
        <w:t>fruquintinib</w:t>
      </w:r>
      <w:proofErr w:type="spellEnd"/>
      <w:r w:rsidRPr="00E0683A">
        <w:t xml:space="preserve"> and 150</w:t>
      </w:r>
      <w:r w:rsidR="00E571F4">
        <w:t> </w:t>
      </w:r>
      <w:r w:rsidRPr="00E0683A">
        <w:t>mg dabigatran (P-</w:t>
      </w:r>
      <w:proofErr w:type="spellStart"/>
      <w:r w:rsidRPr="00E0683A">
        <w:t>gp</w:t>
      </w:r>
      <w:proofErr w:type="spellEnd"/>
      <w:r w:rsidRPr="00E0683A">
        <w:t xml:space="preserve"> substrate) showed an </w:t>
      </w:r>
      <w:r w:rsidR="00E571F4">
        <w:t xml:space="preserve">approximately </w:t>
      </w:r>
      <w:r w:rsidRPr="00E0683A">
        <w:t>10% decrease in dabigatran exposure across metrics. Co</w:t>
      </w:r>
      <w:r w:rsidR="00F17C6A">
        <w:noBreakHyphen/>
      </w:r>
      <w:r w:rsidRPr="00E0683A">
        <w:t>administration of single oral doses of 5</w:t>
      </w:r>
      <w:r w:rsidR="00E571F4">
        <w:t> </w:t>
      </w:r>
      <w:r w:rsidRPr="00E0683A">
        <w:t xml:space="preserve">mg </w:t>
      </w:r>
      <w:proofErr w:type="spellStart"/>
      <w:r w:rsidRPr="00E0683A">
        <w:t>fruquintinib</w:t>
      </w:r>
      <w:proofErr w:type="spellEnd"/>
      <w:r w:rsidRPr="00E0683A">
        <w:t xml:space="preserve"> and 10</w:t>
      </w:r>
      <w:r w:rsidR="00E571F4">
        <w:t> </w:t>
      </w:r>
      <w:r w:rsidRPr="00E0683A">
        <w:t>mg rosuvastatin (BCRP substrate) showed minor impacts on rosuvastatin exposure (14</w:t>
      </w:r>
      <w:r w:rsidR="00E571F4">
        <w:t xml:space="preserve"> to </w:t>
      </w:r>
      <w:r w:rsidRPr="00E0683A">
        <w:t>19% across metrics).</w:t>
      </w:r>
    </w:p>
    <w:p w14:paraId="44E7A154" w14:textId="7F648E82" w:rsidR="00E0683A" w:rsidRPr="00E0683A" w:rsidRDefault="00E0683A" w:rsidP="005F609C">
      <w:pPr>
        <w:rPr>
          <w:lang w:val="en-GB"/>
        </w:rPr>
      </w:pPr>
      <w:r w:rsidRPr="00E0683A">
        <w:rPr>
          <w:lang w:val="en-GB"/>
        </w:rPr>
        <w:t xml:space="preserve">Due to the accumulation ratio of </w:t>
      </w:r>
      <w:r w:rsidR="00E571F4">
        <w:rPr>
          <w:lang w:val="en-GB"/>
        </w:rPr>
        <w:t xml:space="preserve">approximately </w:t>
      </w:r>
      <w:r w:rsidRPr="00E0683A">
        <w:rPr>
          <w:lang w:val="en-GB"/>
        </w:rPr>
        <w:t xml:space="preserve">4 for </w:t>
      </w:r>
      <w:proofErr w:type="spellStart"/>
      <w:r w:rsidRPr="00E0683A">
        <w:rPr>
          <w:lang w:val="en-GB"/>
        </w:rPr>
        <w:t>fruquintinib</w:t>
      </w:r>
      <w:proofErr w:type="spellEnd"/>
      <w:r w:rsidRPr="00E0683A">
        <w:rPr>
          <w:lang w:val="en-GB"/>
        </w:rPr>
        <w:t xml:space="preserve"> at steady state, a single dose study does not exclude the risk of systemic BCRP inhibition. The </w:t>
      </w:r>
      <w:r w:rsidR="00320E6B">
        <w:rPr>
          <w:lang w:val="en-GB"/>
        </w:rPr>
        <w:t>sponsor</w:t>
      </w:r>
      <w:r w:rsidRPr="00E0683A">
        <w:rPr>
          <w:lang w:val="en-GB"/>
        </w:rPr>
        <w:t xml:space="preserve"> presented</w:t>
      </w:r>
      <w:r w:rsidR="00D038B4">
        <w:rPr>
          <w:lang w:val="en-GB"/>
        </w:rPr>
        <w:t xml:space="preserve"> physiologically based pharmacokinetic</w:t>
      </w:r>
      <w:r w:rsidRPr="00E0683A">
        <w:rPr>
          <w:lang w:val="en-GB"/>
        </w:rPr>
        <w:t xml:space="preserve"> </w:t>
      </w:r>
      <w:r w:rsidR="00B84696" w:rsidRPr="00E0683A">
        <w:rPr>
          <w:lang w:val="en-GB"/>
        </w:rPr>
        <w:t>model-based</w:t>
      </w:r>
      <w:r w:rsidRPr="00E0683A">
        <w:rPr>
          <w:lang w:val="en-GB"/>
        </w:rPr>
        <w:t xml:space="preserve"> simulations to address this data gap. </w:t>
      </w:r>
      <w:r w:rsidR="007B59E4">
        <w:rPr>
          <w:lang w:val="en-GB"/>
        </w:rPr>
        <w:t xml:space="preserve">The </w:t>
      </w:r>
      <w:r w:rsidR="00B84696">
        <w:rPr>
          <w:lang w:val="en-GB"/>
        </w:rPr>
        <w:t xml:space="preserve">overseas regulator </w:t>
      </w:r>
      <w:r w:rsidRPr="00E0683A">
        <w:rPr>
          <w:lang w:val="en-GB"/>
        </w:rPr>
        <w:t xml:space="preserve">conducted additional sensitivity analyses, that indicated that even in a </w:t>
      </w:r>
      <w:r w:rsidR="00F13DDB" w:rsidRPr="00E0683A">
        <w:rPr>
          <w:lang w:val="en-GB"/>
        </w:rPr>
        <w:t>worst</w:t>
      </w:r>
      <w:r w:rsidR="00F13DDB">
        <w:rPr>
          <w:lang w:val="en-GB"/>
        </w:rPr>
        <w:noBreakHyphen/>
        <w:t>case</w:t>
      </w:r>
      <w:r w:rsidRPr="00E0683A">
        <w:rPr>
          <w:lang w:val="en-GB"/>
        </w:rPr>
        <w:t xml:space="preserve"> scenario (maximum dose of </w:t>
      </w:r>
      <w:proofErr w:type="spellStart"/>
      <w:r w:rsidRPr="00E0683A">
        <w:rPr>
          <w:lang w:val="en-GB"/>
        </w:rPr>
        <w:t>fruquintinib</w:t>
      </w:r>
      <w:proofErr w:type="spellEnd"/>
      <w:r w:rsidRPr="00E0683A">
        <w:rPr>
          <w:lang w:val="en-GB"/>
        </w:rPr>
        <w:t xml:space="preserve">, 7-fold reduced </w:t>
      </w:r>
      <w:r w:rsidR="00C501D1">
        <w:rPr>
          <w:lang w:val="en-GB"/>
        </w:rPr>
        <w:t>inhibition constant (</w:t>
      </w:r>
      <w:r w:rsidRPr="00D24091">
        <w:rPr>
          <w:lang w:val="en-GB"/>
        </w:rPr>
        <w:t>Ki</w:t>
      </w:r>
      <w:r w:rsidR="00C501D1">
        <w:rPr>
          <w:lang w:val="en-GB"/>
        </w:rPr>
        <w:t>)</w:t>
      </w:r>
      <w:r w:rsidRPr="00E0683A">
        <w:rPr>
          <w:lang w:val="en-GB"/>
        </w:rPr>
        <w:t xml:space="preserve"> values and 10</w:t>
      </w:r>
      <w:r w:rsidR="00D24091">
        <w:rPr>
          <w:lang w:val="en-GB"/>
        </w:rPr>
        <w:noBreakHyphen/>
      </w:r>
      <w:r w:rsidRPr="00E0683A">
        <w:rPr>
          <w:lang w:val="en-GB"/>
        </w:rPr>
        <w:t xml:space="preserve">fold increased transporter abundance) the </w:t>
      </w:r>
      <w:proofErr w:type="spellStart"/>
      <w:r w:rsidRPr="00E0683A">
        <w:rPr>
          <w:lang w:val="en-GB"/>
        </w:rPr>
        <w:t>fruquintinib</w:t>
      </w:r>
      <w:proofErr w:type="spellEnd"/>
      <w:r w:rsidRPr="00E0683A">
        <w:rPr>
          <w:lang w:val="en-GB"/>
        </w:rPr>
        <w:t>-rosuvastatin</w:t>
      </w:r>
      <w:r w:rsidR="0010662B">
        <w:rPr>
          <w:lang w:val="en-GB"/>
        </w:rPr>
        <w:t xml:space="preserve"> </w:t>
      </w:r>
      <w:r w:rsidR="0010662B" w:rsidRPr="00E0683A">
        <w:rPr>
          <w:lang w:val="en-GB"/>
        </w:rPr>
        <w:t>drug-drug interaction</w:t>
      </w:r>
      <w:r w:rsidRPr="00E0683A">
        <w:rPr>
          <w:lang w:val="en-GB"/>
        </w:rPr>
        <w:t xml:space="preserve"> potential is expected in the range of a mild interaction (49% increase on AUC).</w:t>
      </w:r>
    </w:p>
    <w:p w14:paraId="0524E32B" w14:textId="77777777" w:rsidR="00E0683A" w:rsidRPr="00E0683A" w:rsidRDefault="00E0683A" w:rsidP="005F609C">
      <w:pPr>
        <w:rPr>
          <w:lang w:val="en-GB"/>
        </w:rPr>
      </w:pPr>
      <w:r w:rsidRPr="00E0683A">
        <w:rPr>
          <w:lang w:val="en-GB"/>
        </w:rPr>
        <w:t xml:space="preserve">As a result of the above, no dose adjustment is considered necessary for co-administration of </w:t>
      </w:r>
      <w:proofErr w:type="spellStart"/>
      <w:r w:rsidRPr="00E0683A">
        <w:rPr>
          <w:lang w:val="en-GB"/>
        </w:rPr>
        <w:t>fruquintinib</w:t>
      </w:r>
      <w:proofErr w:type="spellEnd"/>
      <w:r w:rsidRPr="00E0683A">
        <w:rPr>
          <w:lang w:val="en-GB"/>
        </w:rPr>
        <w:t xml:space="preserve"> with P-</w:t>
      </w:r>
      <w:proofErr w:type="spellStart"/>
      <w:r w:rsidRPr="00E0683A">
        <w:rPr>
          <w:lang w:val="en-GB"/>
        </w:rPr>
        <w:t>gp</w:t>
      </w:r>
      <w:proofErr w:type="spellEnd"/>
      <w:r w:rsidRPr="00E0683A">
        <w:rPr>
          <w:lang w:val="en-GB"/>
        </w:rPr>
        <w:t xml:space="preserve"> or BCRP substrates.</w:t>
      </w:r>
    </w:p>
    <w:p w14:paraId="732B9F51" w14:textId="071367AC" w:rsidR="00E0683A" w:rsidRPr="00E0683A" w:rsidRDefault="00E0683A" w:rsidP="005F609C">
      <w:pPr>
        <w:rPr>
          <w:lang w:val="en-GB"/>
        </w:rPr>
      </w:pPr>
      <w:r w:rsidRPr="00E0683A">
        <w:rPr>
          <w:lang w:val="en-GB"/>
        </w:rPr>
        <w:t xml:space="preserve">Co-administration of proton pump inhibitors or H2 antagonists had no clinically meaningful impact on </w:t>
      </w:r>
      <w:proofErr w:type="spellStart"/>
      <w:r w:rsidRPr="00E0683A">
        <w:rPr>
          <w:lang w:val="en-GB"/>
        </w:rPr>
        <w:t>fruquintinib</w:t>
      </w:r>
      <w:proofErr w:type="spellEnd"/>
      <w:r w:rsidRPr="00E0683A">
        <w:rPr>
          <w:lang w:val="en-GB"/>
        </w:rPr>
        <w:t xml:space="preserve"> PK.</w:t>
      </w:r>
    </w:p>
    <w:p w14:paraId="6ECB5AE0" w14:textId="69CE1C9F" w:rsidR="00E0683A" w:rsidRPr="00E0683A" w:rsidRDefault="00E0683A" w:rsidP="00D36D88">
      <w:pPr>
        <w:pStyle w:val="Heading4"/>
      </w:pPr>
      <w:bookmarkStart w:id="67" w:name="_Toc206082865"/>
      <w:r w:rsidRPr="00E0683A">
        <w:lastRenderedPageBreak/>
        <w:t>Pharmacodynamics</w:t>
      </w:r>
      <w:bookmarkEnd w:id="67"/>
    </w:p>
    <w:p w14:paraId="0A6A28C2" w14:textId="1E7BBA24" w:rsidR="00E0683A" w:rsidRPr="002F5B9B" w:rsidRDefault="00E0683A" w:rsidP="002F5B9B">
      <w:r w:rsidRPr="002F5B9B">
        <w:t>A concentration</w:t>
      </w:r>
      <w:r w:rsidR="00624F13" w:rsidRPr="002F5B9B">
        <w:t xml:space="preserve"> </w:t>
      </w:r>
      <w:r w:rsidRPr="002F5B9B">
        <w:t>QT analysis (n</w:t>
      </w:r>
      <w:r w:rsidR="00624F13" w:rsidRPr="002F5B9B">
        <w:t> </w:t>
      </w:r>
      <w:r w:rsidRPr="002F5B9B">
        <w:t>=</w:t>
      </w:r>
      <w:r w:rsidR="00624F13" w:rsidRPr="002F5B9B">
        <w:t> </w:t>
      </w:r>
      <w:r w:rsidRPr="002F5B9B">
        <w:t xml:space="preserve">205 total; 137 in the </w:t>
      </w:r>
      <w:proofErr w:type="spellStart"/>
      <w:r w:rsidRPr="002F5B9B">
        <w:t>fruquintinib</w:t>
      </w:r>
      <w:proofErr w:type="spellEnd"/>
      <w:r w:rsidRPr="002F5B9B">
        <w:t xml:space="preserve"> arm and 68 in the placebo arm) suggested that </w:t>
      </w:r>
      <w:proofErr w:type="spellStart"/>
      <w:r w:rsidRPr="002F5B9B">
        <w:t>fruquintinib</w:t>
      </w:r>
      <w:proofErr w:type="spellEnd"/>
      <w:r w:rsidRPr="002F5B9B">
        <w:t xml:space="preserve"> does not cause &gt; 20 milliseconds increase in mean QTc interval when given at the proposed dosage.</w:t>
      </w:r>
      <w:r w:rsidR="00290658" w:rsidRPr="00C06596">
        <w:rPr>
          <w:vertAlign w:val="superscript"/>
        </w:rPr>
        <w:footnoteReference w:id="29"/>
      </w:r>
      <w:r w:rsidR="00290658">
        <w:t xml:space="preserve"> </w:t>
      </w:r>
      <w:r w:rsidRPr="002F5B9B">
        <w:t>QT prolongation at supratherapeutic doses has not been studied.</w:t>
      </w:r>
    </w:p>
    <w:p w14:paraId="25AA44D0" w14:textId="77777777" w:rsidR="00E0683A" w:rsidRPr="002F5B9B" w:rsidRDefault="00E0683A" w:rsidP="002F5B9B">
      <w:r w:rsidRPr="002F5B9B">
        <w:t>Safety exposure-response analysis indicated:</w:t>
      </w:r>
    </w:p>
    <w:p w14:paraId="101EAB18" w14:textId="4B1564D9" w:rsidR="00E0683A" w:rsidRPr="002F5B9B" w:rsidRDefault="00E0683A" w:rsidP="002F5B9B">
      <w:pPr>
        <w:pStyle w:val="ListBullet"/>
      </w:pPr>
      <w:r w:rsidRPr="003B14E3">
        <w:t xml:space="preserve">Higher exposure (model-predicted </w:t>
      </w:r>
      <w:proofErr w:type="spellStart"/>
      <w:r w:rsidRPr="003B14E3">
        <w:t>fruquintinib</w:t>
      </w:r>
      <w:proofErr w:type="spellEnd"/>
      <w:r w:rsidRPr="003B14E3">
        <w:t xml:space="preserve"> maximum plasma concentration at steady</w:t>
      </w:r>
      <w:r w:rsidR="00DE2CC4">
        <w:t xml:space="preserve"> </w:t>
      </w:r>
      <w:r w:rsidRPr="003B14E3">
        <w:t>state) was</w:t>
      </w:r>
      <w:r w:rsidRPr="002F5B9B">
        <w:t xml:space="preserve"> associated with a higher probability of Grade </w:t>
      </w:r>
      <w:r w:rsidR="00CA4FE0">
        <w:t xml:space="preserve">3 to </w:t>
      </w:r>
      <w:r w:rsidRPr="002F5B9B">
        <w:t>4 dermatological toxicity.</w:t>
      </w:r>
    </w:p>
    <w:p w14:paraId="03966ECC" w14:textId="52E968C1" w:rsidR="00E0683A" w:rsidRPr="002F5B9B" w:rsidRDefault="00E0683A" w:rsidP="002F5B9B">
      <w:pPr>
        <w:pStyle w:val="ListBullet"/>
      </w:pPr>
      <w:r w:rsidRPr="002F5B9B">
        <w:t xml:space="preserve">Compared to the daily 3/1 regimen, the daily continuous regimen was associated with higher probabilities of </w:t>
      </w:r>
      <w:r w:rsidR="00762B2F">
        <w:t xml:space="preserve">≥ </w:t>
      </w:r>
      <w:r w:rsidRPr="002F5B9B">
        <w:t>Gr</w:t>
      </w:r>
      <w:r w:rsidR="00762B2F">
        <w:t xml:space="preserve">ade </w:t>
      </w:r>
      <w:r w:rsidR="00955C1F">
        <w:t>3</w:t>
      </w:r>
      <w:r w:rsidRPr="002F5B9B">
        <w:t xml:space="preserve"> dermatological toxicity, any grade haemorrhage, and Grade</w:t>
      </w:r>
      <w:r w:rsidR="00955C1F">
        <w:t> </w:t>
      </w:r>
      <w:r w:rsidRPr="002F5B9B">
        <w:t>3</w:t>
      </w:r>
      <w:r w:rsidR="00955C1F">
        <w:t xml:space="preserve"> to </w:t>
      </w:r>
      <w:r w:rsidRPr="002F5B9B">
        <w:t>4 proteinuria.</w:t>
      </w:r>
    </w:p>
    <w:p w14:paraId="3D2528A1" w14:textId="40E16E11" w:rsidR="00E0683A" w:rsidRPr="002F5B9B" w:rsidRDefault="00E0683A" w:rsidP="002F5B9B">
      <w:pPr>
        <w:pStyle w:val="ListBullet"/>
      </w:pPr>
      <w:r w:rsidRPr="002F5B9B">
        <w:t xml:space="preserve">There was no trend of positive </w:t>
      </w:r>
      <w:r w:rsidR="006A2595">
        <w:t>exposure-response</w:t>
      </w:r>
      <w:r w:rsidRPr="002F5B9B">
        <w:t xml:space="preserve"> relationships with </w:t>
      </w:r>
      <w:proofErr w:type="spellStart"/>
      <w:r w:rsidRPr="002F5B9B">
        <w:t>fruquintinib</w:t>
      </w:r>
      <w:proofErr w:type="spellEnd"/>
      <w:r w:rsidRPr="002F5B9B">
        <w:t xml:space="preserve"> or M11 exposure identified for any grade dermatological toxicity, any grade proteinuria, any grade or Grade 3</w:t>
      </w:r>
      <w:r w:rsidR="00743918">
        <w:t xml:space="preserve"> to </w:t>
      </w:r>
      <w:r w:rsidRPr="002F5B9B">
        <w:t>4 hypertension, Grade 3</w:t>
      </w:r>
      <w:r w:rsidR="00743918">
        <w:t xml:space="preserve"> to </w:t>
      </w:r>
      <w:r w:rsidRPr="002F5B9B">
        <w:t>4 hepatic function abnormal, and Grade 3</w:t>
      </w:r>
      <w:r w:rsidR="00743918">
        <w:t xml:space="preserve"> to </w:t>
      </w:r>
      <w:r w:rsidRPr="002F5B9B">
        <w:t>4 haemorrhage.</w:t>
      </w:r>
    </w:p>
    <w:p w14:paraId="55947BE2" w14:textId="024D7704" w:rsidR="00E0683A" w:rsidRPr="00DD55B6" w:rsidRDefault="00E0683A" w:rsidP="00DD55B6">
      <w:r w:rsidRPr="00DD55B6">
        <w:t>All patients included in exposure-efficacy analyses received the same dose regimen (5</w:t>
      </w:r>
      <w:r w:rsidR="00DD55B6" w:rsidRPr="00DD55B6">
        <w:t> </w:t>
      </w:r>
      <w:r w:rsidRPr="00DD55B6">
        <w:t>mg daily 3/1), limiting the breadth of the analysis, which found:</w:t>
      </w:r>
    </w:p>
    <w:p w14:paraId="3C616D4F" w14:textId="370C935C" w:rsidR="00E0683A" w:rsidRPr="00DD55B6" w:rsidRDefault="00E0683A" w:rsidP="00DD55B6">
      <w:pPr>
        <w:pStyle w:val="ListBullet"/>
      </w:pPr>
      <w:r w:rsidRPr="00DD55B6">
        <w:t xml:space="preserve">No trend of a positive relationship </w:t>
      </w:r>
      <w:r w:rsidRPr="0064225A">
        <w:t xml:space="preserve">between </w:t>
      </w:r>
      <w:r w:rsidR="00F82AF4" w:rsidRPr="0064225A">
        <w:t>overall survival (</w:t>
      </w:r>
      <w:r w:rsidRPr="0064225A">
        <w:t>OS</w:t>
      </w:r>
      <w:r w:rsidR="00F82AF4" w:rsidRPr="0064225A">
        <w:t>)</w:t>
      </w:r>
      <w:r w:rsidRPr="0064225A">
        <w:t xml:space="preserve"> and </w:t>
      </w:r>
      <w:proofErr w:type="spellStart"/>
      <w:r w:rsidRPr="0064225A">
        <w:t>fruquintinib</w:t>
      </w:r>
      <w:proofErr w:type="spellEnd"/>
      <w:r w:rsidRPr="0064225A">
        <w:t xml:space="preserve"> minimum plasma concentration at </w:t>
      </w:r>
      <w:r w:rsidR="00DE2CC4" w:rsidRPr="0064225A">
        <w:t>steady state</w:t>
      </w:r>
      <w:r w:rsidR="00F82AF4" w:rsidRPr="0064225A">
        <w:t>,</w:t>
      </w:r>
      <w:r w:rsidRPr="0064225A">
        <w:t xml:space="preserve"> whether</w:t>
      </w:r>
      <w:r w:rsidRPr="00DD55B6">
        <w:t xml:space="preserve"> analysed using the starting dose or adjusted for relative dose intensity</w:t>
      </w:r>
      <w:r w:rsidR="00F82AF4">
        <w:t>,</w:t>
      </w:r>
      <w:r w:rsidRPr="00DD55B6">
        <w:t xml:space="preserve"> following receipt of the 5</w:t>
      </w:r>
      <w:r w:rsidR="005B7A73">
        <w:t> </w:t>
      </w:r>
      <w:r w:rsidRPr="00DD55B6">
        <w:t xml:space="preserve">mg </w:t>
      </w:r>
      <w:r w:rsidR="00326A23">
        <w:t>once daily</w:t>
      </w:r>
      <w:r w:rsidRPr="00DD55B6">
        <w:t xml:space="preserve"> 3/1</w:t>
      </w:r>
      <w:r w:rsidR="00326A23">
        <w:t> </w:t>
      </w:r>
      <w:r w:rsidRPr="00DD55B6">
        <w:t>regimen.</w:t>
      </w:r>
    </w:p>
    <w:p w14:paraId="00AB523C" w14:textId="105ACBFD" w:rsidR="00E0683A" w:rsidRPr="00DD55B6" w:rsidRDefault="00E0683A" w:rsidP="00DD55B6">
      <w:pPr>
        <w:pStyle w:val="ListBullet"/>
      </w:pPr>
      <w:r w:rsidRPr="00DD55B6">
        <w:t xml:space="preserve">A (nominally) statistically significant trend of </w:t>
      </w:r>
      <w:r w:rsidR="005B7A73">
        <w:t>exposure-response r</w:t>
      </w:r>
      <w:r w:rsidRPr="00DD55B6">
        <w:t xml:space="preserve">elationship between exposure </w:t>
      </w:r>
      <w:r w:rsidR="00DE2CC4" w:rsidRPr="0064225A">
        <w:t>minimum plasma concentration at steady</w:t>
      </w:r>
      <w:r w:rsidR="00DE2CC4">
        <w:t xml:space="preserve"> </w:t>
      </w:r>
      <w:r w:rsidR="00DE2CC4" w:rsidRPr="0064225A">
        <w:t>state</w:t>
      </w:r>
      <w:r w:rsidRPr="00DD55B6">
        <w:t xml:space="preserve"> and progression-free survival </w:t>
      </w:r>
      <w:r w:rsidRPr="005116D1">
        <w:t>(PFS) in Study</w:t>
      </w:r>
      <w:r w:rsidRPr="00DD55B6">
        <w:t xml:space="preserve"> 2019-013-GLOB1. But given the context of a lack of an </w:t>
      </w:r>
      <w:r w:rsidR="00335D9E">
        <w:t xml:space="preserve">exposure-response </w:t>
      </w:r>
      <w:r w:rsidRPr="00DD55B6">
        <w:t>relationship for OS, this observation may not be clinically meaningful.</w:t>
      </w:r>
    </w:p>
    <w:p w14:paraId="477E75CD" w14:textId="77777777" w:rsidR="00E0683A" w:rsidRPr="00E0683A" w:rsidRDefault="00E0683A" w:rsidP="00335D9E">
      <w:pPr>
        <w:pStyle w:val="Heading4"/>
      </w:pPr>
      <w:bookmarkStart w:id="68" w:name="_Toc206082866"/>
      <w:r w:rsidRPr="00E0683A">
        <w:t>Efficacy</w:t>
      </w:r>
      <w:bookmarkEnd w:id="68"/>
    </w:p>
    <w:p w14:paraId="597A278B" w14:textId="77777777" w:rsidR="00E0683A" w:rsidRPr="00335D9E" w:rsidRDefault="00E0683A" w:rsidP="00335D9E">
      <w:pPr>
        <w:pStyle w:val="Heading5"/>
      </w:pPr>
      <w:r w:rsidRPr="00335D9E">
        <w:t>Summary of studies contributing to the analysis of efficacy</w:t>
      </w:r>
    </w:p>
    <w:p w14:paraId="3E4BDE48" w14:textId="61D338D6" w:rsidR="00E0683A" w:rsidRPr="00335D9E" w:rsidRDefault="00E0683A" w:rsidP="00335D9E">
      <w:r w:rsidRPr="00335D9E">
        <w:t xml:space="preserve">The efficacy of </w:t>
      </w:r>
      <w:proofErr w:type="spellStart"/>
      <w:r w:rsidRPr="00335D9E">
        <w:t>fruquintinib</w:t>
      </w:r>
      <w:proofErr w:type="spellEnd"/>
      <w:r w:rsidRPr="00335D9E">
        <w:t xml:space="preserve"> for the proposed usage was established based on two </w:t>
      </w:r>
      <w:r w:rsidR="00335D9E">
        <w:t>P</w:t>
      </w:r>
      <w:r w:rsidRPr="00335D9E">
        <w:t>hase</w:t>
      </w:r>
      <w:r w:rsidR="0065620F">
        <w:t> III</w:t>
      </w:r>
      <w:r w:rsidRPr="00335D9E">
        <w:t xml:space="preserve"> studies (described side-by-side in </w:t>
      </w:r>
      <w:r w:rsidRPr="00335D9E">
        <w:fldChar w:fldCharType="begin"/>
      </w:r>
      <w:r w:rsidRPr="00335D9E">
        <w:instrText xml:space="preserve"> REF _Ref170388384 \h </w:instrText>
      </w:r>
      <w:r w:rsidR="00335D9E">
        <w:instrText xml:space="preserve"> \* MERGEFORMAT </w:instrText>
      </w:r>
      <w:r w:rsidRPr="00335D9E">
        <w:fldChar w:fldCharType="separate"/>
      </w:r>
      <w:r w:rsidR="00A407E4" w:rsidRPr="00335D9E">
        <w:t xml:space="preserve">Table </w:t>
      </w:r>
      <w:r w:rsidR="00A407E4">
        <w:t>3</w:t>
      </w:r>
      <w:r w:rsidRPr="00335D9E">
        <w:fldChar w:fldCharType="end"/>
      </w:r>
      <w:r w:rsidRPr="00335D9E">
        <w:t>). FRESCO-2 is the pivotal efficacy study, whilst FRESCO is considered supporting in context of FRESCO-2.</w:t>
      </w:r>
    </w:p>
    <w:p w14:paraId="7F9B4160" w14:textId="2C821648" w:rsidR="00E0683A" w:rsidRPr="00335D9E" w:rsidRDefault="00E0683A" w:rsidP="00CB2272">
      <w:pPr>
        <w:pStyle w:val="TableTitle"/>
      </w:pPr>
      <w:bookmarkStart w:id="69" w:name="_Ref170388384"/>
      <w:r w:rsidRPr="00335D9E">
        <w:t xml:space="preserve">Table </w:t>
      </w:r>
      <w:r w:rsidRPr="00335D9E">
        <w:fldChar w:fldCharType="begin"/>
      </w:r>
      <w:r w:rsidRPr="00335D9E">
        <w:instrText xml:space="preserve"> SEQ Table \* ARABIC </w:instrText>
      </w:r>
      <w:r w:rsidRPr="00335D9E">
        <w:fldChar w:fldCharType="separate"/>
      </w:r>
      <w:r w:rsidR="00A407E4">
        <w:rPr>
          <w:noProof/>
        </w:rPr>
        <w:t>3</w:t>
      </w:r>
      <w:r w:rsidRPr="00335D9E">
        <w:fldChar w:fldCharType="end"/>
      </w:r>
      <w:bookmarkEnd w:id="69"/>
      <w:r w:rsidRPr="00335D9E">
        <w:t xml:space="preserve">. Summary of </w:t>
      </w:r>
      <w:r w:rsidR="0065620F">
        <w:t>P</w:t>
      </w:r>
      <w:r w:rsidRPr="00335D9E">
        <w:t xml:space="preserve">hase </w:t>
      </w:r>
      <w:r w:rsidR="0065620F">
        <w:t>III</w:t>
      </w:r>
      <w:r w:rsidRPr="00335D9E">
        <w:t xml:space="preserve"> clinical efficacy studies</w:t>
      </w:r>
    </w:p>
    <w:tbl>
      <w:tblPr>
        <w:tblStyle w:val="TableTGAblue2023"/>
        <w:tblW w:w="8790" w:type="dxa"/>
        <w:tblLayout w:type="fixed"/>
        <w:tblLook w:val="01E0" w:firstRow="1" w:lastRow="1" w:firstColumn="1" w:lastColumn="1" w:noHBand="0" w:noVBand="0"/>
      </w:tblPr>
      <w:tblGrid>
        <w:gridCol w:w="1271"/>
        <w:gridCol w:w="1559"/>
        <w:gridCol w:w="1568"/>
        <w:gridCol w:w="1417"/>
        <w:gridCol w:w="1410"/>
        <w:gridCol w:w="1565"/>
      </w:tblGrid>
      <w:tr w:rsidR="00150273" w:rsidRPr="00E0683A" w14:paraId="18E2B353" w14:textId="77777777" w:rsidTr="00150273">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271" w:type="dxa"/>
            <w:hideMark/>
          </w:tcPr>
          <w:p w14:paraId="0227FC2F" w14:textId="77777777" w:rsidR="00E0683A" w:rsidRPr="0065620F" w:rsidRDefault="00E0683A" w:rsidP="00773A7F">
            <w:pPr>
              <w:ind w:left="0"/>
              <w:rPr>
                <w:b w:val="0"/>
                <w:sz w:val="20"/>
                <w:szCs w:val="20"/>
                <w:lang w:val="en-US"/>
              </w:rPr>
            </w:pPr>
            <w:r w:rsidRPr="0065620F">
              <w:rPr>
                <w:sz w:val="20"/>
                <w:szCs w:val="20"/>
                <w:lang w:val="en-US"/>
              </w:rPr>
              <w:t>Trial ID</w:t>
            </w:r>
          </w:p>
        </w:tc>
        <w:tc>
          <w:tcPr>
            <w:tcW w:w="1559" w:type="dxa"/>
            <w:hideMark/>
          </w:tcPr>
          <w:p w14:paraId="530257BD" w14:textId="77777777" w:rsidR="00E0683A" w:rsidRPr="0065620F" w:rsidRDefault="00E0683A"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65620F">
              <w:rPr>
                <w:sz w:val="20"/>
                <w:szCs w:val="20"/>
                <w:lang w:val="en-US"/>
              </w:rPr>
              <w:t>Design</w:t>
            </w:r>
          </w:p>
        </w:tc>
        <w:tc>
          <w:tcPr>
            <w:tcW w:w="1568" w:type="dxa"/>
            <w:hideMark/>
          </w:tcPr>
          <w:p w14:paraId="1BECBE23" w14:textId="77777777" w:rsidR="00E0683A" w:rsidRPr="0065620F" w:rsidRDefault="00E0683A"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65620F">
              <w:rPr>
                <w:sz w:val="20"/>
                <w:szCs w:val="20"/>
                <w:lang w:val="en-US"/>
              </w:rPr>
              <w:t>Intervention</w:t>
            </w:r>
          </w:p>
        </w:tc>
        <w:tc>
          <w:tcPr>
            <w:tcW w:w="1417" w:type="dxa"/>
            <w:hideMark/>
          </w:tcPr>
          <w:p w14:paraId="64471257" w14:textId="77777777" w:rsidR="00E0683A" w:rsidRPr="0065620F" w:rsidRDefault="00E0683A"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65620F">
              <w:rPr>
                <w:sz w:val="20"/>
                <w:szCs w:val="20"/>
                <w:lang w:val="en-US"/>
              </w:rPr>
              <w:t>Endpoints</w:t>
            </w:r>
          </w:p>
        </w:tc>
        <w:tc>
          <w:tcPr>
            <w:tcW w:w="1410" w:type="dxa"/>
            <w:hideMark/>
          </w:tcPr>
          <w:p w14:paraId="15977457" w14:textId="77777777" w:rsidR="00E0683A" w:rsidRPr="0065620F" w:rsidRDefault="00E0683A"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65620F">
              <w:rPr>
                <w:sz w:val="20"/>
                <w:szCs w:val="20"/>
                <w:lang w:val="en-US"/>
              </w:rPr>
              <w:t># enrolled</w:t>
            </w:r>
          </w:p>
        </w:tc>
        <w:tc>
          <w:tcPr>
            <w:tcW w:w="1565" w:type="dxa"/>
            <w:hideMark/>
          </w:tcPr>
          <w:p w14:paraId="6E56F42F" w14:textId="77777777" w:rsidR="00E0683A" w:rsidRPr="0065620F" w:rsidRDefault="00E0683A"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65620F">
              <w:rPr>
                <w:sz w:val="20"/>
                <w:szCs w:val="20"/>
                <w:lang w:val="en-US"/>
              </w:rPr>
              <w:t>Population</w:t>
            </w:r>
          </w:p>
        </w:tc>
      </w:tr>
      <w:tr w:rsidR="00E0683A" w:rsidRPr="00E0683A" w14:paraId="4FD60E15" w14:textId="77777777" w:rsidTr="00150273">
        <w:trPr>
          <w:trHeight w:val="916"/>
        </w:trPr>
        <w:tc>
          <w:tcPr>
            <w:cnfStyle w:val="001000000000" w:firstRow="0" w:lastRow="0" w:firstColumn="1" w:lastColumn="0" w:oddVBand="0" w:evenVBand="0" w:oddHBand="0" w:evenHBand="0" w:firstRowFirstColumn="0" w:firstRowLastColumn="0" w:lastRowFirstColumn="0" w:lastRowLastColumn="0"/>
            <w:tcW w:w="1271" w:type="dxa"/>
            <w:hideMark/>
          </w:tcPr>
          <w:p w14:paraId="4C06418E" w14:textId="77777777" w:rsidR="00E0683A" w:rsidRPr="00150273" w:rsidRDefault="00E0683A" w:rsidP="00773A7F">
            <w:pPr>
              <w:ind w:left="0"/>
              <w:rPr>
                <w:sz w:val="18"/>
                <w:szCs w:val="18"/>
                <w:lang w:val="en-US"/>
              </w:rPr>
            </w:pPr>
            <w:r w:rsidRPr="00150273">
              <w:rPr>
                <w:sz w:val="18"/>
                <w:szCs w:val="18"/>
                <w:lang w:val="en-US"/>
              </w:rPr>
              <w:t>2019-013- GLOB1 (FRESCO-2)</w:t>
            </w:r>
          </w:p>
        </w:tc>
        <w:tc>
          <w:tcPr>
            <w:tcW w:w="1559" w:type="dxa"/>
            <w:hideMark/>
          </w:tcPr>
          <w:p w14:paraId="270DCC97" w14:textId="485F95FA"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proofErr w:type="spellStart"/>
            <w:r w:rsidRPr="00150273">
              <w:rPr>
                <w:sz w:val="18"/>
                <w:szCs w:val="18"/>
                <w:lang w:val="en-US"/>
              </w:rPr>
              <w:t>Randomi</w:t>
            </w:r>
            <w:r w:rsidR="001A2A3A" w:rsidRPr="00150273">
              <w:rPr>
                <w:sz w:val="18"/>
                <w:szCs w:val="18"/>
                <w:lang w:val="en-US"/>
              </w:rPr>
              <w:t>s</w:t>
            </w:r>
            <w:r w:rsidRPr="00150273">
              <w:rPr>
                <w:sz w:val="18"/>
                <w:szCs w:val="18"/>
                <w:lang w:val="en-US"/>
              </w:rPr>
              <w:t>ed</w:t>
            </w:r>
            <w:proofErr w:type="spellEnd"/>
            <w:r w:rsidRPr="00150273">
              <w:rPr>
                <w:sz w:val="18"/>
                <w:szCs w:val="18"/>
                <w:lang w:val="en-US"/>
              </w:rPr>
              <w:t>, double</w:t>
            </w:r>
            <w:r w:rsidR="00076518">
              <w:rPr>
                <w:sz w:val="18"/>
                <w:szCs w:val="18"/>
                <w:lang w:val="en-US"/>
              </w:rPr>
              <w:t xml:space="preserve"> </w:t>
            </w:r>
            <w:r w:rsidRPr="00150273">
              <w:rPr>
                <w:sz w:val="18"/>
                <w:szCs w:val="18"/>
                <w:lang w:val="en-US"/>
              </w:rPr>
              <w:t>blind, placebo-controlled, multicenter study conducted globally</w:t>
            </w:r>
          </w:p>
        </w:tc>
        <w:tc>
          <w:tcPr>
            <w:tcW w:w="1568" w:type="dxa"/>
            <w:hideMark/>
          </w:tcPr>
          <w:p w14:paraId="576E74D3" w14:textId="509CF453"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(oral) Fruquintinib or matching placebo: 5</w:t>
            </w:r>
            <w:r w:rsidR="00CB7A44" w:rsidRPr="00150273">
              <w:rPr>
                <w:sz w:val="18"/>
                <w:szCs w:val="18"/>
                <w:lang w:val="en-US"/>
              </w:rPr>
              <w:t> </w:t>
            </w:r>
            <w:r w:rsidRPr="00150273">
              <w:rPr>
                <w:sz w:val="18"/>
                <w:szCs w:val="18"/>
                <w:lang w:val="en-US"/>
              </w:rPr>
              <w:t>mg daily 3/1</w:t>
            </w:r>
          </w:p>
        </w:tc>
        <w:tc>
          <w:tcPr>
            <w:tcW w:w="1417" w:type="dxa"/>
            <w:hideMark/>
          </w:tcPr>
          <w:p w14:paraId="4384B6CB" w14:textId="29E38E0A"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Primary: OS Secondary: PFS (key), ORR, DCR, and D</w:t>
            </w:r>
            <w:r w:rsidR="00550F2C">
              <w:rPr>
                <w:sz w:val="18"/>
                <w:szCs w:val="18"/>
                <w:lang w:val="en-US"/>
              </w:rPr>
              <w:t>O</w:t>
            </w:r>
            <w:r w:rsidRPr="00150273">
              <w:rPr>
                <w:sz w:val="18"/>
                <w:szCs w:val="18"/>
                <w:lang w:val="en-US"/>
              </w:rPr>
              <w:t>R</w:t>
            </w:r>
          </w:p>
        </w:tc>
        <w:tc>
          <w:tcPr>
            <w:tcW w:w="1410" w:type="dxa"/>
            <w:hideMark/>
          </w:tcPr>
          <w:p w14:paraId="5565520D" w14:textId="77777777"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Fruquintinib: 461</w:t>
            </w:r>
          </w:p>
          <w:p w14:paraId="2B09A16E" w14:textId="77777777"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Placebo: 230</w:t>
            </w:r>
          </w:p>
        </w:tc>
        <w:tc>
          <w:tcPr>
            <w:tcW w:w="1565" w:type="dxa"/>
            <w:hideMark/>
          </w:tcPr>
          <w:p w14:paraId="2B82B13C" w14:textId="15C461AE"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 xml:space="preserve">Refractory </w:t>
            </w:r>
            <w:r w:rsidR="00DC5C54" w:rsidRPr="00150273">
              <w:rPr>
                <w:sz w:val="18"/>
                <w:szCs w:val="18"/>
                <w:lang w:val="en-US"/>
              </w:rPr>
              <w:t>m</w:t>
            </w:r>
            <w:r w:rsidRPr="00150273">
              <w:rPr>
                <w:sz w:val="18"/>
                <w:szCs w:val="18"/>
                <w:lang w:val="en-US"/>
              </w:rPr>
              <w:t>CRC</w:t>
            </w:r>
          </w:p>
        </w:tc>
      </w:tr>
      <w:tr w:rsidR="00E0683A" w:rsidRPr="00E0683A" w14:paraId="11BDD856" w14:textId="77777777" w:rsidTr="00150273">
        <w:trPr>
          <w:trHeight w:val="1146"/>
        </w:trPr>
        <w:tc>
          <w:tcPr>
            <w:cnfStyle w:val="001000000000" w:firstRow="0" w:lastRow="0" w:firstColumn="1" w:lastColumn="0" w:oddVBand="0" w:evenVBand="0" w:oddHBand="0" w:evenHBand="0" w:firstRowFirstColumn="0" w:firstRowLastColumn="0" w:lastRowFirstColumn="0" w:lastRowLastColumn="0"/>
            <w:tcW w:w="1271" w:type="dxa"/>
            <w:hideMark/>
          </w:tcPr>
          <w:p w14:paraId="79D626C3" w14:textId="5ABCF68C" w:rsidR="00E0683A" w:rsidRPr="00150273" w:rsidRDefault="00E0683A" w:rsidP="00773A7F">
            <w:pPr>
              <w:ind w:left="0"/>
              <w:rPr>
                <w:sz w:val="18"/>
                <w:szCs w:val="18"/>
                <w:lang w:val="en-US"/>
              </w:rPr>
            </w:pPr>
            <w:r w:rsidRPr="00150273">
              <w:rPr>
                <w:sz w:val="18"/>
                <w:szCs w:val="18"/>
                <w:lang w:val="en-US"/>
              </w:rPr>
              <w:lastRenderedPageBreak/>
              <w:t>2013-013-00CH1 (FRESCO)</w:t>
            </w:r>
          </w:p>
        </w:tc>
        <w:tc>
          <w:tcPr>
            <w:tcW w:w="1559" w:type="dxa"/>
            <w:hideMark/>
          </w:tcPr>
          <w:p w14:paraId="2799FDC1" w14:textId="05B5D6E9"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proofErr w:type="spellStart"/>
            <w:r w:rsidRPr="00150273">
              <w:rPr>
                <w:sz w:val="18"/>
                <w:szCs w:val="18"/>
                <w:lang w:val="en-US"/>
              </w:rPr>
              <w:t>Randomi</w:t>
            </w:r>
            <w:r w:rsidR="001A2A3A" w:rsidRPr="00150273">
              <w:rPr>
                <w:sz w:val="18"/>
                <w:szCs w:val="18"/>
                <w:lang w:val="en-US"/>
              </w:rPr>
              <w:t>s</w:t>
            </w:r>
            <w:r w:rsidRPr="00150273">
              <w:rPr>
                <w:sz w:val="18"/>
                <w:szCs w:val="18"/>
                <w:lang w:val="en-US"/>
              </w:rPr>
              <w:t>ed</w:t>
            </w:r>
            <w:proofErr w:type="spellEnd"/>
            <w:r w:rsidRPr="00150273">
              <w:rPr>
                <w:sz w:val="18"/>
                <w:szCs w:val="18"/>
                <w:lang w:val="en-US"/>
              </w:rPr>
              <w:t>, double</w:t>
            </w:r>
            <w:r w:rsidR="00076518">
              <w:rPr>
                <w:sz w:val="18"/>
                <w:szCs w:val="18"/>
                <w:lang w:val="en-US"/>
              </w:rPr>
              <w:t xml:space="preserve"> </w:t>
            </w:r>
            <w:r w:rsidRPr="00150273">
              <w:rPr>
                <w:sz w:val="18"/>
                <w:szCs w:val="18"/>
                <w:lang w:val="en-US"/>
              </w:rPr>
              <w:t>blind, placebo-controlled, multicenter study conducted in China</w:t>
            </w:r>
          </w:p>
        </w:tc>
        <w:tc>
          <w:tcPr>
            <w:tcW w:w="1568" w:type="dxa"/>
            <w:hideMark/>
          </w:tcPr>
          <w:p w14:paraId="59A892C7" w14:textId="6B335F78"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(oral) Fruquintinib or matching placebo: 5</w:t>
            </w:r>
            <w:r w:rsidR="00CB7A44" w:rsidRPr="00150273">
              <w:rPr>
                <w:sz w:val="18"/>
                <w:szCs w:val="18"/>
                <w:lang w:val="en-US"/>
              </w:rPr>
              <w:t> </w:t>
            </w:r>
            <w:r w:rsidRPr="00150273">
              <w:rPr>
                <w:sz w:val="18"/>
                <w:szCs w:val="18"/>
                <w:lang w:val="en-US"/>
              </w:rPr>
              <w:t>mg daily 3/1</w:t>
            </w:r>
          </w:p>
        </w:tc>
        <w:tc>
          <w:tcPr>
            <w:tcW w:w="1417" w:type="dxa"/>
            <w:hideMark/>
          </w:tcPr>
          <w:p w14:paraId="2A2D7A21" w14:textId="659BABAC"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Primary: OS Secondary:</w:t>
            </w:r>
            <w:r w:rsidR="00DC5C54" w:rsidRPr="00150273">
              <w:rPr>
                <w:sz w:val="18"/>
                <w:szCs w:val="18"/>
                <w:lang w:val="en-US"/>
              </w:rPr>
              <w:t xml:space="preserve"> </w:t>
            </w:r>
            <w:r w:rsidRPr="00150273">
              <w:rPr>
                <w:sz w:val="18"/>
                <w:szCs w:val="18"/>
                <w:lang w:val="en-US"/>
              </w:rPr>
              <w:t>PFS, ORR,</w:t>
            </w:r>
            <w:r w:rsidR="00DC5C54" w:rsidRPr="00150273">
              <w:rPr>
                <w:sz w:val="18"/>
                <w:szCs w:val="18"/>
                <w:lang w:val="en-US"/>
              </w:rPr>
              <w:t xml:space="preserve"> </w:t>
            </w:r>
            <w:r w:rsidRPr="00150273">
              <w:rPr>
                <w:sz w:val="18"/>
                <w:szCs w:val="18"/>
                <w:lang w:val="en-US"/>
              </w:rPr>
              <w:t>DCR, D</w:t>
            </w:r>
            <w:r w:rsidR="00550F2C">
              <w:rPr>
                <w:sz w:val="18"/>
                <w:szCs w:val="18"/>
                <w:lang w:val="en-US"/>
              </w:rPr>
              <w:t>O</w:t>
            </w:r>
            <w:r w:rsidRPr="00150273">
              <w:rPr>
                <w:sz w:val="18"/>
                <w:szCs w:val="18"/>
                <w:lang w:val="en-US"/>
              </w:rPr>
              <w:t xml:space="preserve">R, and </w:t>
            </w:r>
            <w:r w:rsidR="00DC5C54" w:rsidRPr="00150273">
              <w:rPr>
                <w:sz w:val="18"/>
                <w:szCs w:val="18"/>
                <w:lang w:val="en-US"/>
              </w:rPr>
              <w:t>d</w:t>
            </w:r>
            <w:r w:rsidRPr="00150273">
              <w:rPr>
                <w:sz w:val="18"/>
                <w:szCs w:val="18"/>
                <w:lang w:val="en-US"/>
              </w:rPr>
              <w:t>uration of SD</w:t>
            </w:r>
          </w:p>
        </w:tc>
        <w:tc>
          <w:tcPr>
            <w:tcW w:w="1410" w:type="dxa"/>
            <w:hideMark/>
          </w:tcPr>
          <w:p w14:paraId="2DB2FD29" w14:textId="77777777"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Fruquintinib: 278</w:t>
            </w:r>
          </w:p>
          <w:p w14:paraId="46A6D813" w14:textId="77777777"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Placebo: 138</w:t>
            </w:r>
          </w:p>
        </w:tc>
        <w:tc>
          <w:tcPr>
            <w:tcW w:w="1565" w:type="dxa"/>
            <w:hideMark/>
          </w:tcPr>
          <w:p w14:paraId="09BC2400" w14:textId="4ED8C28B" w:rsidR="00E0683A" w:rsidRPr="00150273" w:rsidRDefault="00E0683A" w:rsidP="00773A7F">
            <w:pPr>
              <w:ind w:left="0"/>
              <w:cnfStyle w:val="000000000000" w:firstRow="0" w:lastRow="0" w:firstColumn="0" w:lastColumn="0" w:oddVBand="0" w:evenVBand="0" w:oddHBand="0" w:evenHBand="0" w:firstRowFirstColumn="0" w:firstRowLastColumn="0" w:lastRowFirstColumn="0" w:lastRowLastColumn="0"/>
              <w:rPr>
                <w:sz w:val="18"/>
                <w:szCs w:val="18"/>
                <w:lang w:val="en-US"/>
              </w:rPr>
            </w:pPr>
            <w:r w:rsidRPr="00150273">
              <w:rPr>
                <w:sz w:val="18"/>
                <w:szCs w:val="18"/>
                <w:lang w:val="en-US"/>
              </w:rPr>
              <w:t xml:space="preserve">Patients with </w:t>
            </w:r>
            <w:r w:rsidR="00DC5C54" w:rsidRPr="00150273">
              <w:rPr>
                <w:sz w:val="18"/>
                <w:szCs w:val="18"/>
                <w:lang w:val="en-US"/>
              </w:rPr>
              <w:t>m</w:t>
            </w:r>
            <w:r w:rsidRPr="00150273">
              <w:rPr>
                <w:sz w:val="18"/>
                <w:szCs w:val="18"/>
                <w:lang w:val="en-US"/>
              </w:rPr>
              <w:t>CRC who have received at least 2 prior lines of chemotherapy</w:t>
            </w:r>
          </w:p>
        </w:tc>
      </w:tr>
    </w:tbl>
    <w:p w14:paraId="3B2127E5" w14:textId="7E5F390D" w:rsidR="00E0683A" w:rsidRPr="00E0683A" w:rsidRDefault="00CB2272" w:rsidP="007E2E67">
      <w:pPr>
        <w:pStyle w:val="TableDescription"/>
      </w:pPr>
      <w:r>
        <w:t xml:space="preserve">Abbreviations: </w:t>
      </w:r>
      <w:r w:rsidR="005B3764">
        <w:t xml:space="preserve"># = number, </w:t>
      </w:r>
      <w:r w:rsidR="00EF37AF">
        <w:t>CRC = colorectal cancer, DCR = disease control rate, D</w:t>
      </w:r>
      <w:r w:rsidR="00550F2C">
        <w:t>O</w:t>
      </w:r>
      <w:r w:rsidR="00EF37AF">
        <w:t xml:space="preserve">R = duration of response, </w:t>
      </w:r>
      <w:r w:rsidR="007E2E67">
        <w:t xml:space="preserve">ORR = objective response rate, </w:t>
      </w:r>
      <w:r w:rsidR="005B3764">
        <w:t xml:space="preserve">OS = overall survival, PFS = </w:t>
      </w:r>
      <w:r w:rsidR="005B3764" w:rsidRPr="005B3764">
        <w:t>progression-free survival</w:t>
      </w:r>
      <w:r w:rsidR="005B3764">
        <w:t xml:space="preserve">, </w:t>
      </w:r>
      <w:r w:rsidR="00DE030C">
        <w:t>SD = standard deviation</w:t>
      </w:r>
      <w:r w:rsidR="007E2E67">
        <w:t>.</w:t>
      </w:r>
    </w:p>
    <w:p w14:paraId="02044F11" w14:textId="77777777" w:rsidR="00E0683A" w:rsidRPr="00E0683A" w:rsidRDefault="00E0683A" w:rsidP="00692D2F">
      <w:pPr>
        <w:pStyle w:val="Heading6"/>
      </w:pPr>
      <w:r w:rsidRPr="00E0683A">
        <w:t>FRESCO-2 (2019-013-GLOB1)</w:t>
      </w:r>
    </w:p>
    <w:p w14:paraId="7A59EE9A" w14:textId="77777777" w:rsidR="00E0683A" w:rsidRPr="00EF21CB" w:rsidRDefault="00E0683A" w:rsidP="00EF21CB">
      <w:r w:rsidRPr="00EF21CB">
        <w:t xml:space="preserve">This was an international, randomised, double blind, placebo-controlled study of </w:t>
      </w:r>
      <w:proofErr w:type="spellStart"/>
      <w:r w:rsidRPr="00EF21CB">
        <w:t>fruquintinib</w:t>
      </w:r>
      <w:proofErr w:type="spellEnd"/>
      <w:r w:rsidRPr="00EF21CB">
        <w:t xml:space="preserve"> plus best supportive care (</w:t>
      </w:r>
      <w:r w:rsidRPr="000C4DE3">
        <w:t>BSC</w:t>
      </w:r>
      <w:r w:rsidRPr="00EF21CB">
        <w:t>) versus placebo plus BSC in patients with mCRC who had disease progression on (or were intolerant to) prior treatment with:</w:t>
      </w:r>
    </w:p>
    <w:p w14:paraId="67238953" w14:textId="16095494" w:rsidR="00E0683A" w:rsidRPr="00EF21CB" w:rsidRDefault="00E0683A" w:rsidP="00EF21CB">
      <w:pPr>
        <w:pStyle w:val="ListBullet"/>
      </w:pPr>
      <w:r w:rsidRPr="00EF21CB">
        <w:t xml:space="preserve">fluoropyrimidine, oxaliplatin, and </w:t>
      </w:r>
      <w:r w:rsidR="00EF21CB" w:rsidRPr="00EF21CB">
        <w:t>irinotecan</w:t>
      </w:r>
      <w:r w:rsidR="00EF21CB">
        <w:t>-based</w:t>
      </w:r>
      <w:r w:rsidRPr="00EF21CB">
        <w:t xml:space="preserve"> chemotherapy</w:t>
      </w:r>
    </w:p>
    <w:p w14:paraId="59581DFA" w14:textId="77777777" w:rsidR="00E0683A" w:rsidRPr="00EF21CB" w:rsidRDefault="00E0683A" w:rsidP="00EF21CB">
      <w:pPr>
        <w:pStyle w:val="ListBullet"/>
      </w:pPr>
      <w:r w:rsidRPr="00EF21CB">
        <w:t>an anti-VEGFR biological therapy</w:t>
      </w:r>
    </w:p>
    <w:p w14:paraId="2482DE15" w14:textId="4C820EE7" w:rsidR="00E0683A" w:rsidRPr="00EF21CB" w:rsidRDefault="00E0683A" w:rsidP="00EF21CB">
      <w:pPr>
        <w:pStyle w:val="ListBullet"/>
      </w:pPr>
      <w:r w:rsidRPr="00EF21CB">
        <w:t>trifluridine/</w:t>
      </w:r>
      <w:proofErr w:type="spellStart"/>
      <w:r w:rsidRPr="00EF21CB">
        <w:t>tipiracil</w:t>
      </w:r>
      <w:proofErr w:type="spellEnd"/>
      <w:r w:rsidRPr="00EF21CB">
        <w:t xml:space="preserve"> (TAS-102) or regorafenib (or both)</w:t>
      </w:r>
    </w:p>
    <w:p w14:paraId="37949F1D" w14:textId="77777777" w:rsidR="00E0683A" w:rsidRPr="00415652" w:rsidRDefault="00E0683A" w:rsidP="00415652">
      <w:r w:rsidRPr="00415652">
        <w:t>Additionally, patients with:</w:t>
      </w:r>
    </w:p>
    <w:p w14:paraId="5BA8FFDD" w14:textId="77777777" w:rsidR="00E0683A" w:rsidRPr="00415652" w:rsidRDefault="00E0683A" w:rsidP="00415652">
      <w:pPr>
        <w:pStyle w:val="ListBullet"/>
      </w:pPr>
      <w:r w:rsidRPr="00415652">
        <w:t xml:space="preserve">RAS-wild-type tumours must have received an anti-EGFR therapy </w:t>
      </w:r>
    </w:p>
    <w:p w14:paraId="7D6CA370" w14:textId="77777777" w:rsidR="00E0683A" w:rsidRPr="00415652" w:rsidRDefault="00E0683A" w:rsidP="00415652">
      <w:pPr>
        <w:pStyle w:val="ListBullet"/>
      </w:pPr>
      <w:r w:rsidRPr="00415652">
        <w:t>Tumours that were MSI-h/</w:t>
      </w:r>
      <w:proofErr w:type="spellStart"/>
      <w:r w:rsidRPr="00415652">
        <w:t>dMMR</w:t>
      </w:r>
      <w:proofErr w:type="spellEnd"/>
      <w:r w:rsidRPr="00415652">
        <w:t xml:space="preserve"> must have received an immune checkpoint inhibitor</w:t>
      </w:r>
    </w:p>
    <w:p w14:paraId="4BC6FDF1" w14:textId="77777777" w:rsidR="00E0683A" w:rsidRPr="00415652" w:rsidRDefault="00E0683A" w:rsidP="00415652">
      <w:pPr>
        <w:pStyle w:val="ListBullet"/>
      </w:pPr>
      <w:r w:rsidRPr="00415652">
        <w:t>Tumours that harbour BRAF V600 mutations must have received treatment with a BRAF inhibitor</w:t>
      </w:r>
    </w:p>
    <w:p w14:paraId="2C08E2F0" w14:textId="7DF27507" w:rsidR="00E0683A" w:rsidRPr="00E0683A" w:rsidRDefault="00E0683A" w:rsidP="00E0683A">
      <w:r w:rsidRPr="00E0683A">
        <w:t>As such, the patients enrolled in FRESCO-2 must have received prior therapy in line with what is broadly considered standard-of-care in Australia (see</w:t>
      </w:r>
      <w:r w:rsidR="00F85971">
        <w:t xml:space="preserve"> </w:t>
      </w:r>
      <w:r w:rsidR="00F85971">
        <w:fldChar w:fldCharType="begin"/>
      </w:r>
      <w:r w:rsidR="00F85971">
        <w:instrText xml:space="preserve"> REF _Ref202183946 \h </w:instrText>
      </w:r>
      <w:r w:rsidR="00F85971">
        <w:fldChar w:fldCharType="separate"/>
      </w:r>
      <w:r w:rsidR="00A407E4">
        <w:t>Current treatment options</w:t>
      </w:r>
      <w:r w:rsidR="00F85971">
        <w:fldChar w:fldCharType="end"/>
      </w:r>
      <w:r w:rsidRPr="00E0683A">
        <w:t>).</w:t>
      </w:r>
    </w:p>
    <w:p w14:paraId="6BF6E99A" w14:textId="35FBFA31" w:rsidR="00E0683A" w:rsidRPr="00B74711" w:rsidRDefault="00E0683A" w:rsidP="00B74711">
      <w:r w:rsidRPr="00B74711">
        <w:t>Patients must also have been consenting adults (18 years, except 20 years in Japan) weighing at least 40</w:t>
      </w:r>
      <w:r w:rsidR="004520BB" w:rsidRPr="00B74711">
        <w:t> </w:t>
      </w:r>
      <w:r w:rsidRPr="00B74711">
        <w:t xml:space="preserve">kg, with ECOG 0-1, measurable disease, </w:t>
      </w:r>
      <w:r w:rsidR="00F253DE" w:rsidRPr="00B74711">
        <w:t>left ventricular ejection fraction</w:t>
      </w:r>
      <w:r w:rsidRPr="00B74711">
        <w:t xml:space="preserve"> &gt;</w:t>
      </w:r>
      <w:r w:rsidR="00A408DC">
        <w:t> </w:t>
      </w:r>
      <w:r w:rsidRPr="00B74711">
        <w:t xml:space="preserve">50% on echocardiogram, and adequate organ function by a range of other metrics. Amongst the exclusion criteria were some related to uncontrolled hypertension, risk factors for </w:t>
      </w:r>
      <w:r w:rsidR="00A408DC">
        <w:t>gastrointestinal</w:t>
      </w:r>
      <w:r w:rsidRPr="00B74711">
        <w:t xml:space="preserve"> ulceration/haemorrhage, particular risk of thromboembolism, baseline </w:t>
      </w:r>
      <w:proofErr w:type="spellStart"/>
      <w:r w:rsidRPr="00B74711">
        <w:t>QTcF</w:t>
      </w:r>
      <w:proofErr w:type="spellEnd"/>
      <w:r w:rsidR="00A408DC">
        <w:t> </w:t>
      </w:r>
      <w:r w:rsidRPr="00B74711">
        <w:t>&gt;</w:t>
      </w:r>
      <w:r w:rsidR="00A408DC">
        <w:t> </w:t>
      </w:r>
      <w:r w:rsidRPr="00B74711">
        <w:t xml:space="preserve">480 </w:t>
      </w:r>
      <w:r w:rsidR="0055269A" w:rsidRPr="00B74711">
        <w:t>m</w:t>
      </w:r>
      <w:r w:rsidR="0055269A">
        <w:t>illiseconds</w:t>
      </w:r>
      <w:r w:rsidRPr="00B74711">
        <w:t xml:space="preserve">, recent or unhealed surgery, untreated brain metastases, or known </w:t>
      </w:r>
      <w:r w:rsidR="00EF2461">
        <w:t>human immunodeficiency virus (</w:t>
      </w:r>
      <w:r w:rsidRPr="008F3AC0">
        <w:t>HIV</w:t>
      </w:r>
      <w:r w:rsidR="00EF2461">
        <w:t>)</w:t>
      </w:r>
      <w:r w:rsidRPr="00B74711">
        <w:t xml:space="preserve"> infection. Additional detail is provided in the publicly available </w:t>
      </w:r>
      <w:r w:rsidR="0071142E">
        <w:t>m</w:t>
      </w:r>
      <w:r w:rsidRPr="00B74711">
        <w:t>ulti-</w:t>
      </w:r>
      <w:r w:rsidR="0071142E">
        <w:t>d</w:t>
      </w:r>
      <w:r w:rsidRPr="00B74711">
        <w:t xml:space="preserve">iscipline </w:t>
      </w:r>
      <w:r w:rsidR="0071142E">
        <w:t>r</w:t>
      </w:r>
      <w:r w:rsidRPr="00B74711">
        <w:t>eview.</w:t>
      </w:r>
      <w:bookmarkStart w:id="70" w:name="_Ref202185650"/>
      <w:r w:rsidR="006D0F53">
        <w:rPr>
          <w:rStyle w:val="FootnoteReference"/>
        </w:rPr>
        <w:footnoteReference w:id="30"/>
      </w:r>
      <w:bookmarkEnd w:id="70"/>
    </w:p>
    <w:p w14:paraId="7A6C9FAB" w14:textId="37251375" w:rsidR="00E0683A" w:rsidRPr="00017B00" w:rsidRDefault="00E0683A" w:rsidP="00017B00">
      <w:r w:rsidRPr="00017B00">
        <w:t xml:space="preserve">A total of 691 patients were randomised 2:1 to receive either </w:t>
      </w:r>
      <w:proofErr w:type="spellStart"/>
      <w:r w:rsidRPr="00017B00">
        <w:t>fruquintinib</w:t>
      </w:r>
      <w:proofErr w:type="spellEnd"/>
      <w:r w:rsidRPr="00017B00">
        <w:t xml:space="preserve"> 5</w:t>
      </w:r>
      <w:r w:rsidR="00017B00">
        <w:t> </w:t>
      </w:r>
      <w:r w:rsidRPr="00017B00">
        <w:t>mg (n</w:t>
      </w:r>
      <w:r w:rsidR="00017B00">
        <w:t> </w:t>
      </w:r>
      <w:r w:rsidRPr="00017B00">
        <w:t>=</w:t>
      </w:r>
      <w:r w:rsidR="00017B00">
        <w:t> </w:t>
      </w:r>
      <w:r w:rsidRPr="00017B00">
        <w:t>461), or a matching placebo (n</w:t>
      </w:r>
      <w:r w:rsidR="00017B00">
        <w:t> </w:t>
      </w:r>
      <w:r w:rsidRPr="00017B00">
        <w:t>=</w:t>
      </w:r>
      <w:r w:rsidR="00017B00">
        <w:t> </w:t>
      </w:r>
      <w:r w:rsidRPr="00017B00">
        <w:t xml:space="preserve">230). All patients also received </w:t>
      </w:r>
      <w:r w:rsidR="004548C7">
        <w:t>BSC</w:t>
      </w:r>
      <w:r w:rsidRPr="00017B00">
        <w:t>. Randomisation was stratified by:</w:t>
      </w:r>
    </w:p>
    <w:p w14:paraId="34366486" w14:textId="56A7BE0B" w:rsidR="00E0683A" w:rsidRPr="00017B00" w:rsidRDefault="00E0683A" w:rsidP="00017B00">
      <w:pPr>
        <w:pStyle w:val="ListBullet"/>
      </w:pPr>
      <w:r w:rsidRPr="00017B00">
        <w:t>Prior therapy with TAS-102 and/or regorafenib (TAS-102 only/regorafenib only/both)</w:t>
      </w:r>
    </w:p>
    <w:p w14:paraId="25BB36D5" w14:textId="191DFF65" w:rsidR="00E0683A" w:rsidRPr="00017B00" w:rsidRDefault="00E0683A" w:rsidP="00017B00">
      <w:pPr>
        <w:pStyle w:val="ListBullet"/>
      </w:pPr>
      <w:r w:rsidRPr="00017B00">
        <w:t>RAS status (</w:t>
      </w:r>
      <w:r w:rsidR="00017B00" w:rsidRPr="00017B00">
        <w:t>wild type</w:t>
      </w:r>
      <w:r w:rsidRPr="00017B00">
        <w:t>/mutant)</w:t>
      </w:r>
    </w:p>
    <w:p w14:paraId="1A334E2A" w14:textId="74CC014B" w:rsidR="00E0683A" w:rsidRPr="00017B00" w:rsidRDefault="00E0683A" w:rsidP="00017B00">
      <w:pPr>
        <w:pStyle w:val="ListBullet"/>
      </w:pPr>
      <w:r w:rsidRPr="00017B00">
        <w:t>Duration of metastatic disease (≤</w:t>
      </w:r>
      <w:r w:rsidR="00017B00">
        <w:t> </w:t>
      </w:r>
      <w:r w:rsidRPr="00017B00">
        <w:t>18 months /&gt;</w:t>
      </w:r>
      <w:r w:rsidR="00017B00">
        <w:t> </w:t>
      </w:r>
      <w:r w:rsidRPr="00017B00">
        <w:t>18 months)</w:t>
      </w:r>
    </w:p>
    <w:p w14:paraId="3D4A715B" w14:textId="319404A3" w:rsidR="00E0683A" w:rsidRPr="00017B00" w:rsidRDefault="00E0683A" w:rsidP="00017B00">
      <w:r w:rsidRPr="00017B00">
        <w:t>Investigational treatment was given orally, agnostic of recency of food intake, at approximately the same time daily, for the first 21 days of a 28</w:t>
      </w:r>
      <w:r w:rsidR="004B4424">
        <w:t>-</w:t>
      </w:r>
      <w:r w:rsidRPr="00017B00">
        <w:t xml:space="preserve">day cycle (3 weeks on/1 week off or </w:t>
      </w:r>
      <w:r w:rsidR="004B4424">
        <w:t>‘</w:t>
      </w:r>
      <w:r w:rsidRPr="00017B00">
        <w:t>3/1</w:t>
      </w:r>
      <w:r w:rsidR="004B4424">
        <w:t>’</w:t>
      </w:r>
      <w:r w:rsidRPr="00017B00">
        <w:t xml:space="preserve">). </w:t>
      </w:r>
      <w:r w:rsidRPr="00017B00">
        <w:lastRenderedPageBreak/>
        <w:t>Treatment continued until disease progression or unacceptable toxicity. The protocol included guidelines for dose modification for specific toxicities including palmar-plantar erythrodysesthesia, proteinuria, hypertension, decreased platelet count, haemorrhage, and abnormal liver function.</w:t>
      </w:r>
    </w:p>
    <w:p w14:paraId="6BEB9090" w14:textId="77777777" w:rsidR="00E0683A" w:rsidRPr="00017B00" w:rsidRDefault="00E0683A" w:rsidP="00017B00">
      <w:r w:rsidRPr="00017B00">
        <w:t>Tumour evaluations were conducted every 8 weeks until progression of disease, death, new anti-cancer treatment or study completion.</w:t>
      </w:r>
    </w:p>
    <w:p w14:paraId="4715E2B7" w14:textId="449A97DC" w:rsidR="00E0683A" w:rsidRPr="00017B00" w:rsidRDefault="00E0683A" w:rsidP="00017B00">
      <w:r w:rsidRPr="00017B00">
        <w:t>The primary efficacy outcome was OS, and the key secondary endpoint was PFS by investigator assessment using RECIST v1.1.</w:t>
      </w:r>
      <w:r w:rsidR="007A5A52">
        <w:rPr>
          <w:rStyle w:val="FootnoteReference"/>
        </w:rPr>
        <w:footnoteReference w:id="31"/>
      </w:r>
      <w:r w:rsidR="0018535A" w:rsidRPr="00017B00">
        <w:t xml:space="preserve"> </w:t>
      </w:r>
      <w:r w:rsidRPr="00017B00">
        <w:t xml:space="preserve">Other endpoints were not alpha-controlled and included objective response rate </w:t>
      </w:r>
      <w:r w:rsidRPr="006031C4">
        <w:t>(ORR),</w:t>
      </w:r>
      <w:r w:rsidRPr="00017B00">
        <w:t xml:space="preserve"> duration of response (</w:t>
      </w:r>
      <w:r w:rsidRPr="005C4811">
        <w:t>D</w:t>
      </w:r>
      <w:r w:rsidR="00550F2C">
        <w:t>O</w:t>
      </w:r>
      <w:r w:rsidRPr="005C4811">
        <w:t>R) and</w:t>
      </w:r>
      <w:r w:rsidRPr="00017B00">
        <w:t xml:space="preserve"> patient-reported outcomes for health-related quality of life based on completion of questionnaires.</w:t>
      </w:r>
    </w:p>
    <w:p w14:paraId="2DA770CE" w14:textId="3385AD3D" w:rsidR="00E0683A" w:rsidRPr="00017B00" w:rsidRDefault="00E0683A" w:rsidP="00017B00">
      <w:r w:rsidRPr="00017B00">
        <w:t xml:space="preserve">Assessment of the statistical analysis plan (including censoring rules), protocol amendments, integrity aspects, patient disposition and protocol violations </w:t>
      </w:r>
      <w:r w:rsidR="003B2F0C" w:rsidRPr="00017B00">
        <w:t>are</w:t>
      </w:r>
      <w:r w:rsidRPr="00017B00">
        <w:t xml:space="preserve"> described in the publicly available </w:t>
      </w:r>
      <w:r w:rsidR="00E37D49">
        <w:t>m</w:t>
      </w:r>
      <w:r w:rsidRPr="00017B00">
        <w:t>ulti-</w:t>
      </w:r>
      <w:r w:rsidR="00E37D49">
        <w:t>d</w:t>
      </w:r>
      <w:r w:rsidRPr="00017B00">
        <w:t xml:space="preserve">iscipline </w:t>
      </w:r>
      <w:r w:rsidR="00E37D49">
        <w:t>r</w:t>
      </w:r>
      <w:r w:rsidRPr="00017B00">
        <w:t>evie</w:t>
      </w:r>
      <w:r w:rsidR="003B2F0C">
        <w:t>w</w:t>
      </w:r>
      <w:r w:rsidRPr="00017B00">
        <w:t>.</w:t>
      </w:r>
      <w:r w:rsidR="009D0442">
        <w:fldChar w:fldCharType="begin"/>
      </w:r>
      <w:r w:rsidR="009D0442">
        <w:instrText xml:space="preserve"> NOTEREF _Ref202185650 \f \h </w:instrText>
      </w:r>
      <w:r w:rsidR="009D0442">
        <w:fldChar w:fldCharType="separate"/>
      </w:r>
      <w:r w:rsidR="00A407E4" w:rsidRPr="00A407E4">
        <w:rPr>
          <w:rStyle w:val="FootnoteReference"/>
        </w:rPr>
        <w:t>30</w:t>
      </w:r>
      <w:r w:rsidR="009D0442">
        <w:fldChar w:fldCharType="end"/>
      </w:r>
    </w:p>
    <w:p w14:paraId="0B9F5F03" w14:textId="77777777" w:rsidR="00E0683A" w:rsidRPr="00E0683A" w:rsidRDefault="00E0683A" w:rsidP="00692D2F">
      <w:pPr>
        <w:pStyle w:val="Heading6"/>
      </w:pPr>
      <w:r w:rsidRPr="00E0683A">
        <w:t>FRESCO (2013-013-00CH1)</w:t>
      </w:r>
    </w:p>
    <w:p w14:paraId="7C0CB733" w14:textId="77777777" w:rsidR="00E0683A" w:rsidRPr="005A7BD0" w:rsidRDefault="00E0683A" w:rsidP="005A7BD0">
      <w:r w:rsidRPr="005A7BD0">
        <w:t>This study was of a similar design to FRESCO-2 with a few notable differences:</w:t>
      </w:r>
    </w:p>
    <w:p w14:paraId="0EDD19D0" w14:textId="77777777" w:rsidR="00E0683A" w:rsidRPr="005A7BD0" w:rsidRDefault="00E0683A" w:rsidP="005A7BD0">
      <w:pPr>
        <w:pStyle w:val="ListBullet"/>
      </w:pPr>
      <w:r w:rsidRPr="005A7BD0">
        <w:t>FRESCO was conducted in a single country (China) rather than across multiple countries.</w:t>
      </w:r>
    </w:p>
    <w:p w14:paraId="533404D2" w14:textId="77777777" w:rsidR="00E0683A" w:rsidRPr="005A7BD0" w:rsidRDefault="00E0683A" w:rsidP="005A7BD0">
      <w:pPr>
        <w:pStyle w:val="ListBullet"/>
      </w:pPr>
      <w:r w:rsidRPr="005A7BD0">
        <w:t>FRESCO was earlier than FRESCO-2: starting in December 2014 and ending in January 2017.</w:t>
      </w:r>
    </w:p>
    <w:p w14:paraId="0DA9D857" w14:textId="2B653CC0" w:rsidR="00E0683A" w:rsidRPr="005A7BD0" w:rsidRDefault="00E0683A" w:rsidP="005A7BD0">
      <w:pPr>
        <w:pStyle w:val="ListBullet"/>
      </w:pPr>
      <w:r w:rsidRPr="005A7BD0">
        <w:t>FRESCO enrolled a different population in terms of prior treatments. To participate in FRESCO, patients must have received at least two prior lines of systemic therapy including fluoropyrimidine, oxaliplatin, and irinotecan-based chemotherapy. Patients had not received prior regorafenib or trifluridine/</w:t>
      </w:r>
      <w:proofErr w:type="spellStart"/>
      <w:r w:rsidRPr="005A7BD0">
        <w:t>tipiracil</w:t>
      </w:r>
      <w:proofErr w:type="spellEnd"/>
      <w:r w:rsidRPr="005A7BD0">
        <w:t>. Patients may have received other agents like anti</w:t>
      </w:r>
      <w:r w:rsidR="00A1566E">
        <w:noBreakHyphen/>
      </w:r>
      <w:r w:rsidRPr="005A7BD0">
        <w:t>VEGF or anti-EGFR monoclonal antibodies, but prior receipt of these drugs was not an inclusion requirement.</w:t>
      </w:r>
    </w:p>
    <w:p w14:paraId="47DD323C" w14:textId="74F0B96C" w:rsidR="00E0683A" w:rsidRPr="005A7BD0" w:rsidRDefault="00E0683A" w:rsidP="005A7BD0">
      <w:pPr>
        <w:pStyle w:val="ListBullet"/>
      </w:pPr>
      <w:r w:rsidRPr="005A7BD0">
        <w:t>Randomisation in FRESCO was stratified by prior use of VEGF inhibitors (</w:t>
      </w:r>
      <w:r w:rsidR="002C4034">
        <w:t>y</w:t>
      </w:r>
      <w:r w:rsidRPr="005A7BD0">
        <w:t>es v</w:t>
      </w:r>
      <w:r w:rsidR="008A054C">
        <w:t>ers</w:t>
      </w:r>
      <w:r w:rsidR="00316158">
        <w:t>u</w:t>
      </w:r>
      <w:r w:rsidR="008A054C">
        <w:t>s</w:t>
      </w:r>
      <w:r w:rsidRPr="005A7BD0">
        <w:t xml:space="preserve"> </w:t>
      </w:r>
      <w:r w:rsidR="002C4034">
        <w:t>n</w:t>
      </w:r>
      <w:r w:rsidRPr="005A7BD0">
        <w:t>o) and KRAS gene status (</w:t>
      </w:r>
      <w:r w:rsidR="008A054C">
        <w:t>w</w:t>
      </w:r>
      <w:r w:rsidRPr="005A7BD0">
        <w:t>ild</w:t>
      </w:r>
      <w:r w:rsidR="008A054C">
        <w:t xml:space="preserve"> </w:t>
      </w:r>
      <w:r w:rsidRPr="005A7BD0">
        <w:t>type v</w:t>
      </w:r>
      <w:r w:rsidR="008A054C">
        <w:t>ers</w:t>
      </w:r>
      <w:r w:rsidR="00316158">
        <w:t>u</w:t>
      </w:r>
      <w:r w:rsidR="000B71EC">
        <w:t>s m</w:t>
      </w:r>
      <w:r w:rsidRPr="005A7BD0">
        <w:t>utant)</w:t>
      </w:r>
      <w:r w:rsidR="002C4034">
        <w:t>.</w:t>
      </w:r>
    </w:p>
    <w:p w14:paraId="0BDCFD38" w14:textId="01B65364" w:rsidR="00E0683A" w:rsidRPr="005A7BD0" w:rsidRDefault="00E0683A" w:rsidP="005A7BD0">
      <w:pPr>
        <w:pStyle w:val="ListBullet"/>
      </w:pPr>
      <w:r w:rsidRPr="005A7BD0">
        <w:t>Methodology for multiplicity adjustment in testing of secondary endpoints was not clearly specified in the FRESCO study protocol</w:t>
      </w:r>
      <w:r w:rsidR="00BE78E0">
        <w:t>.</w:t>
      </w:r>
    </w:p>
    <w:p w14:paraId="37EB0385" w14:textId="77777777" w:rsidR="00E0683A" w:rsidRPr="00E0683A" w:rsidRDefault="00E0683A" w:rsidP="00DD2C73">
      <w:pPr>
        <w:pStyle w:val="Heading5"/>
      </w:pPr>
      <w:r w:rsidRPr="00E0683A">
        <w:t>Population characteristics for both FRESCO-2 and FRESCO</w:t>
      </w:r>
    </w:p>
    <w:p w14:paraId="4DF2C54E" w14:textId="0F40968E" w:rsidR="00E0683A" w:rsidRPr="00BE78E0" w:rsidRDefault="00E0683A" w:rsidP="00BE78E0">
      <w:r w:rsidRPr="00BE78E0">
        <w:t xml:space="preserve">Baseline demographics, disease characteristics and prior therapies data are presented in </w:t>
      </w:r>
      <w:r w:rsidRPr="00BE78E0">
        <w:fldChar w:fldCharType="begin"/>
      </w:r>
      <w:r w:rsidRPr="00BE78E0">
        <w:instrText xml:space="preserve"> REF _Ref170979864 \h </w:instrText>
      </w:r>
      <w:r w:rsidR="00BE78E0" w:rsidRPr="00BE78E0">
        <w:instrText xml:space="preserve"> \* MERGEFORMAT </w:instrText>
      </w:r>
      <w:r w:rsidRPr="00BE78E0">
        <w:fldChar w:fldCharType="separate"/>
      </w:r>
      <w:r w:rsidR="00A407E4">
        <w:t>T</w:t>
      </w:r>
      <w:r w:rsidR="00A407E4" w:rsidRPr="00E0683A">
        <w:t xml:space="preserve">able </w:t>
      </w:r>
      <w:r w:rsidR="00A407E4">
        <w:t>4</w:t>
      </w:r>
      <w:r w:rsidRPr="00BE78E0">
        <w:fldChar w:fldCharType="end"/>
      </w:r>
      <w:r w:rsidRPr="00BE78E0">
        <w:t xml:space="preserve"> for both randomised studies. At the time of FRESCO study conduct, regorafenib and trifluridine/</w:t>
      </w:r>
      <w:proofErr w:type="spellStart"/>
      <w:r w:rsidRPr="00BE78E0">
        <w:t>tipiracil</w:t>
      </w:r>
      <w:proofErr w:type="spellEnd"/>
      <w:r w:rsidRPr="00BE78E0">
        <w:t xml:space="preserve"> were not approved in China and it also preceded the use of immune checkpoint inhibitors in patients with MSI-</w:t>
      </w:r>
      <w:r w:rsidR="00C20CB9">
        <w:t>h</w:t>
      </w:r>
      <w:r w:rsidRPr="00BE78E0">
        <w:t xml:space="preserve"> tumours.</w:t>
      </w:r>
    </w:p>
    <w:p w14:paraId="75881FD1" w14:textId="35540472" w:rsidR="00E0683A" w:rsidRPr="00E0683A" w:rsidRDefault="002170BA" w:rsidP="00A5421A">
      <w:pPr>
        <w:pStyle w:val="TableTitle"/>
        <w:pageBreakBefore/>
      </w:pPr>
      <w:bookmarkStart w:id="71" w:name="_Ref170979864"/>
      <w:r>
        <w:lastRenderedPageBreak/>
        <w:t>T</w:t>
      </w:r>
      <w:r w:rsidR="00E0683A" w:rsidRPr="00E0683A">
        <w:t xml:space="preserve">able </w:t>
      </w:r>
      <w:r w:rsidR="00E0683A" w:rsidRPr="00E0683A">
        <w:fldChar w:fldCharType="begin"/>
      </w:r>
      <w:r w:rsidR="00E0683A" w:rsidRPr="00E0683A">
        <w:instrText xml:space="preserve"> SEQ Table \* ARABIC </w:instrText>
      </w:r>
      <w:r w:rsidR="00E0683A" w:rsidRPr="00E0683A">
        <w:fldChar w:fldCharType="separate"/>
      </w:r>
      <w:r w:rsidR="00A407E4">
        <w:rPr>
          <w:noProof/>
        </w:rPr>
        <w:t>4</w:t>
      </w:r>
      <w:r w:rsidR="00E0683A" w:rsidRPr="00E0683A">
        <w:fldChar w:fldCharType="end"/>
      </w:r>
      <w:bookmarkEnd w:id="71"/>
      <w:r>
        <w:t>:</w:t>
      </w:r>
      <w:r w:rsidR="00E0683A" w:rsidRPr="00E0683A">
        <w:t xml:space="preserve"> Selected baseline demographics, disease characteristics and prior therapies for the intent-to-treat populations in the FRESCO-2 (pivotal) and FRESCO (supporting) studies</w:t>
      </w:r>
    </w:p>
    <w:tbl>
      <w:tblPr>
        <w:tblStyle w:val="TableTGAblue2023"/>
        <w:tblW w:w="8700" w:type="dxa"/>
        <w:tblLayout w:type="fixed"/>
        <w:tblLook w:val="01E0" w:firstRow="1" w:lastRow="1" w:firstColumn="1" w:lastColumn="1" w:noHBand="0" w:noVBand="0"/>
      </w:tblPr>
      <w:tblGrid>
        <w:gridCol w:w="2689"/>
        <w:gridCol w:w="567"/>
        <w:gridCol w:w="1417"/>
        <w:gridCol w:w="1276"/>
        <w:gridCol w:w="1497"/>
        <w:gridCol w:w="1254"/>
      </w:tblGrid>
      <w:tr w:rsidR="00B267E1" w:rsidRPr="00E0683A" w14:paraId="1221B609" w14:textId="77777777" w:rsidTr="000D400D">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3256" w:type="dxa"/>
            <w:gridSpan w:val="2"/>
            <w:vMerge w:val="restart"/>
          </w:tcPr>
          <w:p w14:paraId="7662C16D" w14:textId="77777777" w:rsidR="00B267E1" w:rsidRPr="0005493F" w:rsidRDefault="00B267E1" w:rsidP="00B267E1">
            <w:pPr>
              <w:spacing w:line="240" w:lineRule="auto"/>
              <w:ind w:left="0"/>
              <w:rPr>
                <w:b w:val="0"/>
                <w:sz w:val="20"/>
                <w:szCs w:val="20"/>
                <w:lang w:val="en-US"/>
              </w:rPr>
            </w:pPr>
          </w:p>
        </w:tc>
        <w:tc>
          <w:tcPr>
            <w:tcW w:w="2693" w:type="dxa"/>
            <w:gridSpan w:val="2"/>
            <w:hideMark/>
          </w:tcPr>
          <w:p w14:paraId="45A3580E" w14:textId="77777777" w:rsidR="00B267E1" w:rsidRPr="0005493F" w:rsidRDefault="00B267E1" w:rsidP="00B267E1">
            <w:pPr>
              <w:spacing w:line="240" w:lineRule="auto"/>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05493F">
              <w:rPr>
                <w:sz w:val="20"/>
                <w:szCs w:val="20"/>
                <w:lang w:val="en-US"/>
              </w:rPr>
              <w:t>FRESCO-2 (pivotal)</w:t>
            </w:r>
          </w:p>
        </w:tc>
        <w:tc>
          <w:tcPr>
            <w:tcW w:w="2751" w:type="dxa"/>
            <w:gridSpan w:val="2"/>
            <w:hideMark/>
          </w:tcPr>
          <w:p w14:paraId="2675D965" w14:textId="77777777" w:rsidR="00B267E1" w:rsidRPr="0005493F" w:rsidRDefault="00B267E1" w:rsidP="00B267E1">
            <w:pPr>
              <w:spacing w:line="240" w:lineRule="auto"/>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05493F">
              <w:rPr>
                <w:sz w:val="20"/>
                <w:szCs w:val="20"/>
                <w:lang w:val="en-US"/>
              </w:rPr>
              <w:t>FRESCO (supporting)</w:t>
            </w:r>
          </w:p>
        </w:tc>
      </w:tr>
      <w:tr w:rsidR="00B267E1" w:rsidRPr="00E0683A" w14:paraId="08E3CDA7" w14:textId="77777777" w:rsidTr="000D400D">
        <w:trPr>
          <w:trHeight w:val="797"/>
        </w:trPr>
        <w:tc>
          <w:tcPr>
            <w:cnfStyle w:val="001000000000" w:firstRow="0" w:lastRow="0" w:firstColumn="1" w:lastColumn="0" w:oddVBand="0" w:evenVBand="0" w:oddHBand="0" w:evenHBand="0" w:firstRowFirstColumn="0" w:firstRowLastColumn="0" w:lastRowFirstColumn="0" w:lastRowLastColumn="0"/>
            <w:tcW w:w="3256" w:type="dxa"/>
            <w:gridSpan w:val="2"/>
            <w:vMerge/>
            <w:shd w:val="clear" w:color="auto" w:fill="DEEAF6" w:themeFill="accent5" w:themeFillTint="33"/>
          </w:tcPr>
          <w:p w14:paraId="6F99AAC7" w14:textId="77777777" w:rsidR="00B267E1" w:rsidRPr="0005493F" w:rsidRDefault="00B267E1" w:rsidP="00B267E1">
            <w:pPr>
              <w:spacing w:line="240" w:lineRule="auto"/>
              <w:ind w:left="0"/>
              <w:rPr>
                <w:b/>
                <w:sz w:val="20"/>
                <w:szCs w:val="20"/>
                <w:lang w:val="en-US"/>
              </w:rPr>
            </w:pPr>
          </w:p>
        </w:tc>
        <w:tc>
          <w:tcPr>
            <w:tcW w:w="1417" w:type="dxa"/>
            <w:shd w:val="clear" w:color="auto" w:fill="DEEAF6" w:themeFill="accent5" w:themeFillTint="33"/>
            <w:hideMark/>
          </w:tcPr>
          <w:p w14:paraId="753998D7" w14:textId="77777777" w:rsidR="00B267E1" w:rsidRPr="00B267E1" w:rsidRDefault="00B267E1" w:rsidP="00B267E1">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B267E1">
              <w:rPr>
                <w:b/>
                <w:color w:val="263287"/>
                <w:sz w:val="20"/>
                <w:szCs w:val="20"/>
                <w:lang w:val="en-US"/>
              </w:rPr>
              <w:t>Fruquintinib + BSC</w:t>
            </w:r>
          </w:p>
          <w:p w14:paraId="3DA95662" w14:textId="4A223150" w:rsidR="00B267E1" w:rsidRPr="00B267E1" w:rsidRDefault="00B267E1" w:rsidP="00B267E1">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B267E1">
              <w:rPr>
                <w:b/>
                <w:color w:val="263287"/>
                <w:sz w:val="20"/>
                <w:szCs w:val="20"/>
                <w:lang w:val="en-US"/>
              </w:rPr>
              <w:t>N</w:t>
            </w:r>
            <w:r w:rsidR="002D4D16">
              <w:t> </w:t>
            </w:r>
            <w:r w:rsidRPr="00B267E1">
              <w:rPr>
                <w:b/>
                <w:color w:val="263287"/>
                <w:sz w:val="20"/>
                <w:szCs w:val="20"/>
                <w:lang w:val="en-US"/>
              </w:rPr>
              <w:t>=</w:t>
            </w:r>
            <w:r w:rsidR="002D4D16">
              <w:rPr>
                <w:b/>
                <w:color w:val="263287"/>
                <w:sz w:val="20"/>
                <w:szCs w:val="20"/>
                <w:lang w:val="en-US"/>
              </w:rPr>
              <w:t> </w:t>
            </w:r>
            <w:r w:rsidRPr="00B267E1">
              <w:rPr>
                <w:b/>
                <w:color w:val="263287"/>
                <w:sz w:val="20"/>
                <w:szCs w:val="20"/>
                <w:lang w:val="en-US"/>
              </w:rPr>
              <w:t>461</w:t>
            </w:r>
          </w:p>
        </w:tc>
        <w:tc>
          <w:tcPr>
            <w:tcW w:w="1276" w:type="dxa"/>
            <w:shd w:val="clear" w:color="auto" w:fill="DEEAF6" w:themeFill="accent5" w:themeFillTint="33"/>
            <w:hideMark/>
          </w:tcPr>
          <w:p w14:paraId="2463C532" w14:textId="77777777" w:rsidR="00B267E1" w:rsidRPr="00B267E1" w:rsidRDefault="00B267E1" w:rsidP="00B267E1">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B267E1">
              <w:rPr>
                <w:b/>
                <w:color w:val="263287"/>
                <w:sz w:val="20"/>
                <w:szCs w:val="20"/>
                <w:lang w:val="en-US"/>
              </w:rPr>
              <w:t xml:space="preserve">Placebo + BSC </w:t>
            </w:r>
          </w:p>
          <w:p w14:paraId="2290CF9B" w14:textId="2623D967" w:rsidR="00B267E1" w:rsidRPr="00B267E1" w:rsidRDefault="00B267E1" w:rsidP="00B267E1">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B267E1">
              <w:rPr>
                <w:b/>
                <w:color w:val="263287"/>
                <w:sz w:val="20"/>
                <w:szCs w:val="20"/>
                <w:lang w:val="en-US"/>
              </w:rPr>
              <w:t>N</w:t>
            </w:r>
            <w:r w:rsidR="002D4D16">
              <w:rPr>
                <w:b/>
                <w:color w:val="263287"/>
                <w:sz w:val="20"/>
                <w:szCs w:val="20"/>
                <w:lang w:val="en-US"/>
              </w:rPr>
              <w:t> </w:t>
            </w:r>
            <w:r w:rsidRPr="00B267E1">
              <w:rPr>
                <w:b/>
                <w:color w:val="263287"/>
                <w:sz w:val="20"/>
                <w:szCs w:val="20"/>
                <w:lang w:val="en-US"/>
              </w:rPr>
              <w:t>=</w:t>
            </w:r>
            <w:r w:rsidR="002D4D16">
              <w:rPr>
                <w:b/>
                <w:color w:val="263287"/>
                <w:sz w:val="20"/>
                <w:szCs w:val="20"/>
                <w:lang w:val="en-US"/>
              </w:rPr>
              <w:t> </w:t>
            </w:r>
            <w:r w:rsidRPr="00B267E1">
              <w:rPr>
                <w:b/>
                <w:color w:val="263287"/>
                <w:sz w:val="20"/>
                <w:szCs w:val="20"/>
                <w:lang w:val="en-US"/>
              </w:rPr>
              <w:t>230</w:t>
            </w:r>
          </w:p>
        </w:tc>
        <w:tc>
          <w:tcPr>
            <w:tcW w:w="1497" w:type="dxa"/>
            <w:shd w:val="clear" w:color="auto" w:fill="DEEAF6" w:themeFill="accent5" w:themeFillTint="33"/>
            <w:hideMark/>
          </w:tcPr>
          <w:p w14:paraId="287928E1" w14:textId="77777777" w:rsidR="00B267E1" w:rsidRPr="00B267E1" w:rsidRDefault="00B267E1" w:rsidP="00B267E1">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B267E1">
              <w:rPr>
                <w:b/>
                <w:color w:val="263287"/>
                <w:sz w:val="20"/>
                <w:szCs w:val="20"/>
                <w:lang w:val="en-US"/>
              </w:rPr>
              <w:t>Fruquintinib + BSC</w:t>
            </w:r>
          </w:p>
          <w:p w14:paraId="4B2202B9" w14:textId="179B2953" w:rsidR="00B267E1" w:rsidRPr="00B267E1" w:rsidRDefault="00B267E1" w:rsidP="00B267E1">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B267E1">
              <w:rPr>
                <w:b/>
                <w:color w:val="263287"/>
                <w:sz w:val="20"/>
                <w:szCs w:val="20"/>
                <w:lang w:val="en-US"/>
              </w:rPr>
              <w:t>N</w:t>
            </w:r>
            <w:r w:rsidR="00FE6CB8">
              <w:rPr>
                <w:b/>
                <w:color w:val="263287"/>
                <w:sz w:val="20"/>
                <w:szCs w:val="20"/>
                <w:lang w:val="en-US"/>
              </w:rPr>
              <w:t> = </w:t>
            </w:r>
            <w:r w:rsidRPr="00B267E1">
              <w:rPr>
                <w:b/>
                <w:color w:val="263287"/>
                <w:sz w:val="20"/>
                <w:szCs w:val="20"/>
                <w:lang w:val="en-US"/>
              </w:rPr>
              <w:t>278</w:t>
            </w:r>
          </w:p>
        </w:tc>
        <w:tc>
          <w:tcPr>
            <w:tcW w:w="1254" w:type="dxa"/>
            <w:shd w:val="clear" w:color="auto" w:fill="DEEAF6" w:themeFill="accent5" w:themeFillTint="33"/>
            <w:hideMark/>
          </w:tcPr>
          <w:p w14:paraId="72CF5BE1" w14:textId="77777777" w:rsidR="00B267E1" w:rsidRPr="00B267E1" w:rsidRDefault="00B267E1" w:rsidP="00B267E1">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B267E1">
              <w:rPr>
                <w:b/>
                <w:color w:val="263287"/>
                <w:sz w:val="20"/>
                <w:szCs w:val="20"/>
                <w:lang w:val="en-US"/>
              </w:rPr>
              <w:t xml:space="preserve">Placebo + BSC </w:t>
            </w:r>
          </w:p>
          <w:p w14:paraId="1804BD6D" w14:textId="5ACA8315" w:rsidR="00B267E1" w:rsidRPr="00B267E1" w:rsidRDefault="00B267E1" w:rsidP="00B267E1">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B267E1">
              <w:rPr>
                <w:b/>
                <w:color w:val="263287"/>
                <w:sz w:val="20"/>
                <w:szCs w:val="20"/>
                <w:lang w:val="en-US"/>
              </w:rPr>
              <w:t>N</w:t>
            </w:r>
            <w:r w:rsidR="00FE6CB8">
              <w:rPr>
                <w:b/>
                <w:color w:val="263287"/>
                <w:sz w:val="20"/>
                <w:szCs w:val="20"/>
                <w:lang w:val="en-US"/>
              </w:rPr>
              <w:t> </w:t>
            </w:r>
            <w:r w:rsidRPr="00B267E1">
              <w:rPr>
                <w:b/>
                <w:color w:val="263287"/>
                <w:sz w:val="20"/>
                <w:szCs w:val="20"/>
                <w:lang w:val="en-US"/>
              </w:rPr>
              <w:t>=</w:t>
            </w:r>
            <w:r w:rsidR="00FE6CB8">
              <w:rPr>
                <w:b/>
                <w:color w:val="263287"/>
                <w:sz w:val="20"/>
                <w:szCs w:val="20"/>
                <w:lang w:val="en-US"/>
              </w:rPr>
              <w:t> </w:t>
            </w:r>
            <w:r w:rsidRPr="00B267E1">
              <w:rPr>
                <w:b/>
                <w:color w:val="263287"/>
                <w:sz w:val="20"/>
                <w:szCs w:val="20"/>
                <w:lang w:val="en-US"/>
              </w:rPr>
              <w:t>138</w:t>
            </w:r>
          </w:p>
        </w:tc>
      </w:tr>
      <w:tr w:rsidR="00E0683A" w:rsidRPr="00E0683A" w14:paraId="2B789C8F" w14:textId="77777777" w:rsidTr="00B267E1">
        <w:trPr>
          <w:trHeight w:val="288"/>
        </w:trPr>
        <w:tc>
          <w:tcPr>
            <w:cnfStyle w:val="001000000000" w:firstRow="0" w:lastRow="0" w:firstColumn="1" w:lastColumn="0" w:oddVBand="0" w:evenVBand="0" w:oddHBand="0" w:evenHBand="0" w:firstRowFirstColumn="0" w:firstRowLastColumn="0" w:lastRowFirstColumn="0" w:lastRowLastColumn="0"/>
            <w:tcW w:w="8700" w:type="dxa"/>
            <w:gridSpan w:val="6"/>
            <w:hideMark/>
          </w:tcPr>
          <w:p w14:paraId="265524FC" w14:textId="77777777" w:rsidR="00E0683A" w:rsidRPr="0005493F" w:rsidRDefault="00E0683A" w:rsidP="00B267E1">
            <w:pPr>
              <w:spacing w:line="240" w:lineRule="auto"/>
              <w:ind w:left="0"/>
              <w:rPr>
                <w:sz w:val="20"/>
                <w:szCs w:val="20"/>
                <w:lang w:val="en-US"/>
              </w:rPr>
            </w:pPr>
            <w:r w:rsidRPr="0005493F">
              <w:rPr>
                <w:b/>
                <w:bCs/>
                <w:sz w:val="20"/>
                <w:szCs w:val="20"/>
                <w:lang w:val="en-US"/>
              </w:rPr>
              <w:t>Demographics</w:t>
            </w:r>
          </w:p>
        </w:tc>
      </w:tr>
      <w:tr w:rsidR="00E0683A" w:rsidRPr="00E0683A" w14:paraId="330E7EE8" w14:textId="77777777" w:rsidTr="00B267E1">
        <w:trPr>
          <w:trHeight w:val="288"/>
        </w:trPr>
        <w:tc>
          <w:tcPr>
            <w:cnfStyle w:val="001000000000" w:firstRow="0" w:lastRow="0" w:firstColumn="1" w:lastColumn="0" w:oddVBand="0" w:evenVBand="0" w:oddHBand="0" w:evenHBand="0" w:firstRowFirstColumn="0" w:firstRowLastColumn="0" w:lastRowFirstColumn="0" w:lastRowLastColumn="0"/>
            <w:tcW w:w="2689" w:type="dxa"/>
            <w:hideMark/>
          </w:tcPr>
          <w:p w14:paraId="4D1AD897" w14:textId="77777777" w:rsidR="00E0683A" w:rsidRPr="0005493F" w:rsidRDefault="00E0683A" w:rsidP="00B267E1">
            <w:pPr>
              <w:spacing w:line="240" w:lineRule="auto"/>
              <w:ind w:left="0"/>
              <w:rPr>
                <w:sz w:val="20"/>
                <w:szCs w:val="20"/>
                <w:lang w:val="en-US"/>
              </w:rPr>
            </w:pPr>
            <w:r w:rsidRPr="0005493F">
              <w:rPr>
                <w:sz w:val="20"/>
                <w:szCs w:val="20"/>
                <w:lang w:val="en-US"/>
              </w:rPr>
              <w:t>Female sex</w:t>
            </w:r>
          </w:p>
        </w:tc>
        <w:tc>
          <w:tcPr>
            <w:tcW w:w="567" w:type="dxa"/>
            <w:hideMark/>
          </w:tcPr>
          <w:p w14:paraId="19F3ED01"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3DD7F22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47</w:t>
            </w:r>
          </w:p>
        </w:tc>
        <w:tc>
          <w:tcPr>
            <w:tcW w:w="1276" w:type="dxa"/>
            <w:hideMark/>
          </w:tcPr>
          <w:p w14:paraId="207214F2"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39</w:t>
            </w:r>
          </w:p>
        </w:tc>
        <w:tc>
          <w:tcPr>
            <w:tcW w:w="1497" w:type="dxa"/>
            <w:hideMark/>
          </w:tcPr>
          <w:p w14:paraId="539A39A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43</w:t>
            </w:r>
          </w:p>
        </w:tc>
        <w:tc>
          <w:tcPr>
            <w:tcW w:w="1254" w:type="dxa"/>
            <w:hideMark/>
          </w:tcPr>
          <w:p w14:paraId="5EA31FF9"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30</w:t>
            </w:r>
          </w:p>
        </w:tc>
      </w:tr>
      <w:tr w:rsidR="00E0683A" w:rsidRPr="00E0683A" w14:paraId="373D5592" w14:textId="77777777" w:rsidTr="00B267E1">
        <w:trPr>
          <w:trHeight w:val="288"/>
        </w:trPr>
        <w:tc>
          <w:tcPr>
            <w:cnfStyle w:val="001000000000" w:firstRow="0" w:lastRow="0" w:firstColumn="1" w:lastColumn="0" w:oddVBand="0" w:evenVBand="0" w:oddHBand="0" w:evenHBand="0" w:firstRowFirstColumn="0" w:firstRowLastColumn="0" w:lastRowFirstColumn="0" w:lastRowLastColumn="0"/>
            <w:tcW w:w="2689" w:type="dxa"/>
            <w:hideMark/>
          </w:tcPr>
          <w:p w14:paraId="4E274FE4" w14:textId="77777777" w:rsidR="00E0683A" w:rsidRPr="0005493F" w:rsidRDefault="00E0683A" w:rsidP="00B267E1">
            <w:pPr>
              <w:spacing w:line="240" w:lineRule="auto"/>
              <w:ind w:left="0"/>
              <w:rPr>
                <w:sz w:val="20"/>
                <w:szCs w:val="20"/>
                <w:lang w:val="en-US"/>
              </w:rPr>
            </w:pPr>
            <w:r w:rsidRPr="0005493F">
              <w:rPr>
                <w:sz w:val="20"/>
                <w:szCs w:val="20"/>
                <w:lang w:val="en-US"/>
              </w:rPr>
              <w:t>Median (range) age</w:t>
            </w:r>
          </w:p>
        </w:tc>
        <w:tc>
          <w:tcPr>
            <w:tcW w:w="567" w:type="dxa"/>
            <w:hideMark/>
          </w:tcPr>
          <w:p w14:paraId="5530ADD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yrs</w:t>
            </w:r>
          </w:p>
        </w:tc>
        <w:tc>
          <w:tcPr>
            <w:tcW w:w="1417" w:type="dxa"/>
            <w:hideMark/>
          </w:tcPr>
          <w:p w14:paraId="478A5DBC"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64 (25, 82)</w:t>
            </w:r>
          </w:p>
        </w:tc>
        <w:tc>
          <w:tcPr>
            <w:tcW w:w="1276" w:type="dxa"/>
            <w:hideMark/>
          </w:tcPr>
          <w:p w14:paraId="223AD17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64 (30, 86)</w:t>
            </w:r>
          </w:p>
        </w:tc>
        <w:tc>
          <w:tcPr>
            <w:tcW w:w="1497" w:type="dxa"/>
            <w:hideMark/>
          </w:tcPr>
          <w:p w14:paraId="45825F61"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55 (23, 75)</w:t>
            </w:r>
          </w:p>
        </w:tc>
        <w:tc>
          <w:tcPr>
            <w:tcW w:w="1254" w:type="dxa"/>
            <w:hideMark/>
          </w:tcPr>
          <w:p w14:paraId="3591D8F7"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57 (24, 74)</w:t>
            </w:r>
          </w:p>
        </w:tc>
      </w:tr>
      <w:tr w:rsidR="00E0683A" w:rsidRPr="00E0683A" w14:paraId="7A604061" w14:textId="77777777" w:rsidTr="00B267E1">
        <w:trPr>
          <w:trHeight w:val="288"/>
        </w:trPr>
        <w:tc>
          <w:tcPr>
            <w:cnfStyle w:val="001000000000" w:firstRow="0" w:lastRow="0" w:firstColumn="1" w:lastColumn="0" w:oddVBand="0" w:evenVBand="0" w:oddHBand="0" w:evenHBand="0" w:firstRowFirstColumn="0" w:firstRowLastColumn="0" w:lastRowFirstColumn="0" w:lastRowLastColumn="0"/>
            <w:tcW w:w="2689" w:type="dxa"/>
            <w:hideMark/>
          </w:tcPr>
          <w:p w14:paraId="470893B6" w14:textId="77777777" w:rsidR="00E0683A" w:rsidRPr="0005493F" w:rsidRDefault="00E0683A" w:rsidP="00B267E1">
            <w:pPr>
              <w:spacing w:line="240" w:lineRule="auto"/>
              <w:ind w:left="0"/>
              <w:rPr>
                <w:sz w:val="20"/>
                <w:szCs w:val="20"/>
                <w:lang w:val="en-US"/>
              </w:rPr>
            </w:pPr>
            <w:r w:rsidRPr="0005493F">
              <w:rPr>
                <w:sz w:val="20"/>
                <w:szCs w:val="20"/>
                <w:lang w:val="en-US"/>
              </w:rPr>
              <w:t>Age older than 65y</w:t>
            </w:r>
          </w:p>
        </w:tc>
        <w:tc>
          <w:tcPr>
            <w:tcW w:w="567" w:type="dxa"/>
            <w:hideMark/>
          </w:tcPr>
          <w:p w14:paraId="2F178682"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348FF774"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46</w:t>
            </w:r>
          </w:p>
        </w:tc>
        <w:tc>
          <w:tcPr>
            <w:tcW w:w="1276" w:type="dxa"/>
            <w:hideMark/>
          </w:tcPr>
          <w:p w14:paraId="1214E8E5"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48</w:t>
            </w:r>
          </w:p>
        </w:tc>
        <w:tc>
          <w:tcPr>
            <w:tcW w:w="1497" w:type="dxa"/>
            <w:hideMark/>
          </w:tcPr>
          <w:p w14:paraId="4737652B"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18</w:t>
            </w:r>
          </w:p>
        </w:tc>
        <w:tc>
          <w:tcPr>
            <w:tcW w:w="1254" w:type="dxa"/>
            <w:hideMark/>
          </w:tcPr>
          <w:p w14:paraId="33310381"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20</w:t>
            </w:r>
          </w:p>
        </w:tc>
      </w:tr>
      <w:tr w:rsidR="00E0683A" w:rsidRPr="00E0683A" w14:paraId="44FE5EF1" w14:textId="77777777" w:rsidTr="00B267E1">
        <w:trPr>
          <w:trHeight w:val="288"/>
        </w:trPr>
        <w:tc>
          <w:tcPr>
            <w:cnfStyle w:val="001000000000" w:firstRow="0" w:lastRow="0" w:firstColumn="1" w:lastColumn="0" w:oddVBand="0" w:evenVBand="0" w:oddHBand="0" w:evenHBand="0" w:firstRowFirstColumn="0" w:firstRowLastColumn="0" w:lastRowFirstColumn="0" w:lastRowLastColumn="0"/>
            <w:tcW w:w="2689" w:type="dxa"/>
            <w:hideMark/>
          </w:tcPr>
          <w:p w14:paraId="5992C53E" w14:textId="77777777" w:rsidR="00E0683A" w:rsidRPr="0005493F" w:rsidRDefault="00E0683A" w:rsidP="00B267E1">
            <w:pPr>
              <w:spacing w:line="240" w:lineRule="auto"/>
              <w:ind w:left="0"/>
              <w:rPr>
                <w:sz w:val="20"/>
                <w:szCs w:val="20"/>
                <w:lang w:val="en-US"/>
              </w:rPr>
            </w:pPr>
            <w:r w:rsidRPr="0005493F">
              <w:rPr>
                <w:sz w:val="20"/>
                <w:szCs w:val="20"/>
                <w:lang w:val="en-US"/>
              </w:rPr>
              <w:t>ECOG 0</w:t>
            </w:r>
          </w:p>
        </w:tc>
        <w:tc>
          <w:tcPr>
            <w:tcW w:w="567" w:type="dxa"/>
            <w:hideMark/>
          </w:tcPr>
          <w:p w14:paraId="6EA5CD0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69B7D99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43</w:t>
            </w:r>
          </w:p>
        </w:tc>
        <w:tc>
          <w:tcPr>
            <w:tcW w:w="1276" w:type="dxa"/>
            <w:hideMark/>
          </w:tcPr>
          <w:p w14:paraId="4D23517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44</w:t>
            </w:r>
          </w:p>
        </w:tc>
        <w:tc>
          <w:tcPr>
            <w:tcW w:w="1497" w:type="dxa"/>
            <w:hideMark/>
          </w:tcPr>
          <w:p w14:paraId="5EFA2E3B"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28</w:t>
            </w:r>
          </w:p>
        </w:tc>
        <w:tc>
          <w:tcPr>
            <w:tcW w:w="1254" w:type="dxa"/>
            <w:hideMark/>
          </w:tcPr>
          <w:p w14:paraId="3ECC7702"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27</w:t>
            </w:r>
          </w:p>
        </w:tc>
      </w:tr>
      <w:tr w:rsidR="00E0683A" w:rsidRPr="00E0683A" w14:paraId="4E89D79A" w14:textId="77777777" w:rsidTr="00B267E1">
        <w:trPr>
          <w:trHeight w:val="288"/>
        </w:trPr>
        <w:tc>
          <w:tcPr>
            <w:cnfStyle w:val="001000000000" w:firstRow="0" w:lastRow="0" w:firstColumn="1" w:lastColumn="0" w:oddVBand="0" w:evenVBand="0" w:oddHBand="0" w:evenHBand="0" w:firstRowFirstColumn="0" w:firstRowLastColumn="0" w:lastRowFirstColumn="0" w:lastRowLastColumn="0"/>
            <w:tcW w:w="2689" w:type="dxa"/>
            <w:hideMark/>
          </w:tcPr>
          <w:p w14:paraId="6D8D2DDF" w14:textId="77777777" w:rsidR="00E0683A" w:rsidRPr="0005493F" w:rsidRDefault="00E0683A" w:rsidP="00B267E1">
            <w:pPr>
              <w:spacing w:line="240" w:lineRule="auto"/>
              <w:ind w:left="0"/>
              <w:rPr>
                <w:sz w:val="20"/>
                <w:szCs w:val="20"/>
                <w:lang w:val="en-US"/>
              </w:rPr>
            </w:pPr>
            <w:r w:rsidRPr="0005493F">
              <w:rPr>
                <w:sz w:val="20"/>
                <w:szCs w:val="20"/>
                <w:lang w:val="en-US"/>
              </w:rPr>
              <w:t>Region: North America</w:t>
            </w:r>
          </w:p>
        </w:tc>
        <w:tc>
          <w:tcPr>
            <w:tcW w:w="567" w:type="dxa"/>
            <w:hideMark/>
          </w:tcPr>
          <w:p w14:paraId="5C25BA8C"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2E72747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11</w:t>
            </w:r>
          </w:p>
        </w:tc>
        <w:tc>
          <w:tcPr>
            <w:tcW w:w="1276" w:type="dxa"/>
            <w:hideMark/>
          </w:tcPr>
          <w:p w14:paraId="77EB9AE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10</w:t>
            </w:r>
          </w:p>
        </w:tc>
        <w:tc>
          <w:tcPr>
            <w:tcW w:w="1497" w:type="dxa"/>
            <w:hideMark/>
          </w:tcPr>
          <w:p w14:paraId="24A2724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c>
          <w:tcPr>
            <w:tcW w:w="1254" w:type="dxa"/>
            <w:hideMark/>
          </w:tcPr>
          <w:p w14:paraId="0707BA7C"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r>
      <w:tr w:rsidR="00E0683A" w:rsidRPr="00E0683A" w14:paraId="1F4B1C66" w14:textId="77777777" w:rsidTr="00B267E1">
        <w:trPr>
          <w:trHeight w:val="288"/>
        </w:trPr>
        <w:tc>
          <w:tcPr>
            <w:cnfStyle w:val="001000000000" w:firstRow="0" w:lastRow="0" w:firstColumn="1" w:lastColumn="0" w:oddVBand="0" w:evenVBand="0" w:oddHBand="0" w:evenHBand="0" w:firstRowFirstColumn="0" w:firstRowLastColumn="0" w:lastRowFirstColumn="0" w:lastRowLastColumn="0"/>
            <w:tcW w:w="2689" w:type="dxa"/>
            <w:hideMark/>
          </w:tcPr>
          <w:p w14:paraId="1920FD66" w14:textId="77777777" w:rsidR="00E0683A" w:rsidRPr="0005493F" w:rsidRDefault="00E0683A" w:rsidP="00B267E1">
            <w:pPr>
              <w:spacing w:line="240" w:lineRule="auto"/>
              <w:ind w:left="0"/>
              <w:rPr>
                <w:sz w:val="20"/>
                <w:szCs w:val="20"/>
                <w:lang w:val="en-US"/>
              </w:rPr>
            </w:pPr>
            <w:r w:rsidRPr="0005493F">
              <w:rPr>
                <w:sz w:val="20"/>
                <w:szCs w:val="20"/>
                <w:lang w:val="en-US"/>
              </w:rPr>
              <w:t>Region: Europe</w:t>
            </w:r>
          </w:p>
        </w:tc>
        <w:tc>
          <w:tcPr>
            <w:tcW w:w="567" w:type="dxa"/>
            <w:hideMark/>
          </w:tcPr>
          <w:p w14:paraId="21A5EC5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7568F84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71</w:t>
            </w:r>
          </w:p>
        </w:tc>
        <w:tc>
          <w:tcPr>
            <w:tcW w:w="1276" w:type="dxa"/>
            <w:hideMark/>
          </w:tcPr>
          <w:p w14:paraId="570AD0B4"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72</w:t>
            </w:r>
          </w:p>
        </w:tc>
        <w:tc>
          <w:tcPr>
            <w:tcW w:w="1497" w:type="dxa"/>
            <w:hideMark/>
          </w:tcPr>
          <w:p w14:paraId="54F579B5"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c>
          <w:tcPr>
            <w:tcW w:w="1254" w:type="dxa"/>
            <w:hideMark/>
          </w:tcPr>
          <w:p w14:paraId="684AF94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r>
      <w:tr w:rsidR="00E0683A" w:rsidRPr="00E0683A" w14:paraId="237DD900" w14:textId="77777777" w:rsidTr="00B267E1">
        <w:trPr>
          <w:trHeight w:val="288"/>
        </w:trPr>
        <w:tc>
          <w:tcPr>
            <w:cnfStyle w:val="001000000000" w:firstRow="0" w:lastRow="0" w:firstColumn="1" w:lastColumn="0" w:oddVBand="0" w:evenVBand="0" w:oddHBand="0" w:evenHBand="0" w:firstRowFirstColumn="0" w:firstRowLastColumn="0" w:lastRowFirstColumn="0" w:lastRowLastColumn="0"/>
            <w:tcW w:w="2689" w:type="dxa"/>
            <w:hideMark/>
          </w:tcPr>
          <w:p w14:paraId="1F8D4096" w14:textId="77777777" w:rsidR="00E0683A" w:rsidRPr="0005493F" w:rsidRDefault="00E0683A" w:rsidP="00B267E1">
            <w:pPr>
              <w:spacing w:line="240" w:lineRule="auto"/>
              <w:ind w:left="0"/>
              <w:rPr>
                <w:sz w:val="20"/>
                <w:szCs w:val="20"/>
                <w:lang w:val="en-US"/>
              </w:rPr>
            </w:pPr>
            <w:r w:rsidRPr="0005493F">
              <w:rPr>
                <w:sz w:val="20"/>
                <w:szCs w:val="20"/>
                <w:lang w:val="en-US"/>
              </w:rPr>
              <w:t>Region: Asia Pacific</w:t>
            </w:r>
          </w:p>
        </w:tc>
        <w:tc>
          <w:tcPr>
            <w:tcW w:w="567" w:type="dxa"/>
            <w:hideMark/>
          </w:tcPr>
          <w:p w14:paraId="08F37191"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7E588E8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18</w:t>
            </w:r>
          </w:p>
        </w:tc>
        <w:tc>
          <w:tcPr>
            <w:tcW w:w="1276" w:type="dxa"/>
            <w:hideMark/>
          </w:tcPr>
          <w:p w14:paraId="2661D759"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18</w:t>
            </w:r>
          </w:p>
        </w:tc>
        <w:tc>
          <w:tcPr>
            <w:tcW w:w="1497" w:type="dxa"/>
            <w:hideMark/>
          </w:tcPr>
          <w:p w14:paraId="128F2B41"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100</w:t>
            </w:r>
          </w:p>
        </w:tc>
        <w:tc>
          <w:tcPr>
            <w:tcW w:w="1254" w:type="dxa"/>
            <w:hideMark/>
          </w:tcPr>
          <w:p w14:paraId="197B1FC0"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100</w:t>
            </w:r>
          </w:p>
        </w:tc>
      </w:tr>
      <w:tr w:rsidR="00E0683A" w:rsidRPr="00E0683A" w14:paraId="0268FE6E"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8700" w:type="dxa"/>
            <w:gridSpan w:val="6"/>
            <w:hideMark/>
          </w:tcPr>
          <w:p w14:paraId="2DFA9D15" w14:textId="77777777" w:rsidR="00E0683A" w:rsidRPr="0005493F" w:rsidRDefault="00E0683A" w:rsidP="00B267E1">
            <w:pPr>
              <w:spacing w:line="240" w:lineRule="auto"/>
              <w:ind w:left="0"/>
              <w:rPr>
                <w:sz w:val="20"/>
                <w:szCs w:val="20"/>
                <w:lang w:val="en-US"/>
              </w:rPr>
            </w:pPr>
            <w:r w:rsidRPr="0005493F">
              <w:rPr>
                <w:b/>
                <w:bCs/>
                <w:sz w:val="20"/>
                <w:szCs w:val="20"/>
                <w:lang w:val="en-US"/>
              </w:rPr>
              <w:t>Baseline disease characteristics</w:t>
            </w:r>
          </w:p>
        </w:tc>
      </w:tr>
      <w:tr w:rsidR="00E0683A" w:rsidRPr="00E0683A" w14:paraId="12DB89B6"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10F58699" w14:textId="77777777" w:rsidR="00E0683A" w:rsidRPr="0005493F" w:rsidRDefault="00E0683A" w:rsidP="00B267E1">
            <w:pPr>
              <w:spacing w:line="240" w:lineRule="auto"/>
              <w:ind w:left="0"/>
              <w:rPr>
                <w:sz w:val="20"/>
                <w:szCs w:val="20"/>
                <w:lang w:val="en-US"/>
              </w:rPr>
            </w:pPr>
            <w:r w:rsidRPr="0005493F">
              <w:rPr>
                <w:sz w:val="20"/>
                <w:szCs w:val="20"/>
                <w:lang w:val="en-US"/>
              </w:rPr>
              <w:t>Left colon primary</w:t>
            </w:r>
          </w:p>
        </w:tc>
        <w:tc>
          <w:tcPr>
            <w:tcW w:w="567" w:type="dxa"/>
            <w:hideMark/>
          </w:tcPr>
          <w:p w14:paraId="36395DBF"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51CE41C7"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42</w:t>
            </w:r>
          </w:p>
        </w:tc>
        <w:tc>
          <w:tcPr>
            <w:tcW w:w="1276" w:type="dxa"/>
            <w:hideMark/>
          </w:tcPr>
          <w:p w14:paraId="70BE3D84"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40</w:t>
            </w:r>
          </w:p>
        </w:tc>
        <w:tc>
          <w:tcPr>
            <w:tcW w:w="1497" w:type="dxa"/>
            <w:hideMark/>
          </w:tcPr>
          <w:p w14:paraId="4D4AE312"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77</w:t>
            </w:r>
          </w:p>
        </w:tc>
        <w:tc>
          <w:tcPr>
            <w:tcW w:w="1254" w:type="dxa"/>
            <w:hideMark/>
          </w:tcPr>
          <w:p w14:paraId="4CF5F597"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83</w:t>
            </w:r>
          </w:p>
        </w:tc>
      </w:tr>
      <w:tr w:rsidR="00E0683A" w:rsidRPr="00E0683A" w14:paraId="53DCE1D4"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0B3EB528" w14:textId="77777777" w:rsidR="00E0683A" w:rsidRPr="0005493F" w:rsidRDefault="00E0683A" w:rsidP="00B267E1">
            <w:pPr>
              <w:spacing w:line="240" w:lineRule="auto"/>
              <w:ind w:left="0"/>
              <w:rPr>
                <w:sz w:val="20"/>
                <w:szCs w:val="20"/>
                <w:lang w:val="en-US"/>
              </w:rPr>
            </w:pPr>
            <w:r w:rsidRPr="0005493F">
              <w:rPr>
                <w:sz w:val="20"/>
                <w:szCs w:val="20"/>
                <w:lang w:val="en-US"/>
              </w:rPr>
              <w:t>Right colon primary</w:t>
            </w:r>
          </w:p>
        </w:tc>
        <w:tc>
          <w:tcPr>
            <w:tcW w:w="567" w:type="dxa"/>
            <w:hideMark/>
          </w:tcPr>
          <w:p w14:paraId="7FB86F2F"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618E4BF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21</w:t>
            </w:r>
          </w:p>
        </w:tc>
        <w:tc>
          <w:tcPr>
            <w:tcW w:w="1276" w:type="dxa"/>
            <w:hideMark/>
          </w:tcPr>
          <w:p w14:paraId="2B063B19"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23</w:t>
            </w:r>
          </w:p>
        </w:tc>
        <w:tc>
          <w:tcPr>
            <w:tcW w:w="1497" w:type="dxa"/>
            <w:hideMark/>
          </w:tcPr>
          <w:p w14:paraId="2915F02C"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20</w:t>
            </w:r>
          </w:p>
        </w:tc>
        <w:tc>
          <w:tcPr>
            <w:tcW w:w="1254" w:type="dxa"/>
            <w:hideMark/>
          </w:tcPr>
          <w:p w14:paraId="49AB8367"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15</w:t>
            </w:r>
          </w:p>
        </w:tc>
      </w:tr>
      <w:tr w:rsidR="00E0683A" w:rsidRPr="00E0683A" w14:paraId="3F8C2035"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5BD072EE" w14:textId="77777777" w:rsidR="00E0683A" w:rsidRPr="0005493F" w:rsidRDefault="00E0683A" w:rsidP="00B267E1">
            <w:pPr>
              <w:spacing w:line="240" w:lineRule="auto"/>
              <w:ind w:left="0"/>
              <w:rPr>
                <w:sz w:val="20"/>
                <w:szCs w:val="20"/>
                <w:lang w:val="en-US"/>
              </w:rPr>
            </w:pPr>
            <w:r w:rsidRPr="0005493F">
              <w:rPr>
                <w:sz w:val="20"/>
                <w:szCs w:val="20"/>
                <w:lang w:val="en-US"/>
              </w:rPr>
              <w:t>Bilateral or unknown colon primary</w:t>
            </w:r>
          </w:p>
        </w:tc>
        <w:tc>
          <w:tcPr>
            <w:tcW w:w="567" w:type="dxa"/>
            <w:hideMark/>
          </w:tcPr>
          <w:p w14:paraId="66D60A65"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3C59C12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6</w:t>
            </w:r>
          </w:p>
        </w:tc>
        <w:tc>
          <w:tcPr>
            <w:tcW w:w="1276" w:type="dxa"/>
            <w:hideMark/>
          </w:tcPr>
          <w:p w14:paraId="5A539D54"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7</w:t>
            </w:r>
          </w:p>
        </w:tc>
        <w:tc>
          <w:tcPr>
            <w:tcW w:w="1497" w:type="dxa"/>
            <w:hideMark/>
          </w:tcPr>
          <w:p w14:paraId="54C78724"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w:t>
            </w:r>
          </w:p>
        </w:tc>
        <w:tc>
          <w:tcPr>
            <w:tcW w:w="1254" w:type="dxa"/>
            <w:hideMark/>
          </w:tcPr>
          <w:p w14:paraId="059851F0"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w:t>
            </w:r>
          </w:p>
        </w:tc>
      </w:tr>
      <w:tr w:rsidR="00E0683A" w:rsidRPr="00E0683A" w14:paraId="2AE440E3"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7DBC57AF" w14:textId="77777777" w:rsidR="00E0683A" w:rsidRPr="0005493F" w:rsidRDefault="00E0683A" w:rsidP="00B267E1">
            <w:pPr>
              <w:spacing w:line="240" w:lineRule="auto"/>
              <w:ind w:left="0"/>
              <w:rPr>
                <w:sz w:val="20"/>
                <w:szCs w:val="20"/>
                <w:lang w:val="en-US"/>
              </w:rPr>
            </w:pPr>
            <w:r w:rsidRPr="0005493F">
              <w:rPr>
                <w:sz w:val="20"/>
                <w:szCs w:val="20"/>
                <w:lang w:val="en-US"/>
              </w:rPr>
              <w:t>Rectal primary</w:t>
            </w:r>
          </w:p>
        </w:tc>
        <w:tc>
          <w:tcPr>
            <w:tcW w:w="567" w:type="dxa"/>
            <w:hideMark/>
          </w:tcPr>
          <w:p w14:paraId="3D7CCAE3"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7780391C"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31</w:t>
            </w:r>
          </w:p>
        </w:tc>
        <w:tc>
          <w:tcPr>
            <w:tcW w:w="1276" w:type="dxa"/>
            <w:hideMark/>
          </w:tcPr>
          <w:p w14:paraId="0D1BCE6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30</w:t>
            </w:r>
          </w:p>
        </w:tc>
        <w:tc>
          <w:tcPr>
            <w:tcW w:w="1497" w:type="dxa"/>
            <w:hideMark/>
          </w:tcPr>
          <w:p w14:paraId="7ECAEAC2"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c>
          <w:tcPr>
            <w:tcW w:w="1254" w:type="dxa"/>
            <w:hideMark/>
          </w:tcPr>
          <w:p w14:paraId="499D196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r>
      <w:tr w:rsidR="00E0683A" w:rsidRPr="00E0683A" w14:paraId="1AC73CB5"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119A0E59" w14:textId="77777777" w:rsidR="00E0683A" w:rsidRPr="0005493F" w:rsidRDefault="00E0683A" w:rsidP="00B267E1">
            <w:pPr>
              <w:spacing w:line="240" w:lineRule="auto"/>
              <w:ind w:left="0"/>
              <w:rPr>
                <w:sz w:val="20"/>
                <w:szCs w:val="20"/>
                <w:lang w:val="en-US"/>
              </w:rPr>
            </w:pPr>
            <w:r w:rsidRPr="0005493F">
              <w:rPr>
                <w:sz w:val="20"/>
                <w:szCs w:val="20"/>
                <w:lang w:val="en-US"/>
              </w:rPr>
              <w:t>Liver metastases present</w:t>
            </w:r>
          </w:p>
        </w:tc>
        <w:tc>
          <w:tcPr>
            <w:tcW w:w="567" w:type="dxa"/>
            <w:hideMark/>
          </w:tcPr>
          <w:p w14:paraId="5E25238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51D1D367"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74</w:t>
            </w:r>
          </w:p>
        </w:tc>
        <w:tc>
          <w:tcPr>
            <w:tcW w:w="1276" w:type="dxa"/>
            <w:hideMark/>
          </w:tcPr>
          <w:p w14:paraId="79A807E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68</w:t>
            </w:r>
          </w:p>
        </w:tc>
        <w:tc>
          <w:tcPr>
            <w:tcW w:w="1497" w:type="dxa"/>
            <w:hideMark/>
          </w:tcPr>
          <w:p w14:paraId="3E453CC8"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67</w:t>
            </w:r>
          </w:p>
        </w:tc>
        <w:tc>
          <w:tcPr>
            <w:tcW w:w="1254" w:type="dxa"/>
            <w:hideMark/>
          </w:tcPr>
          <w:p w14:paraId="0139A04C"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74</w:t>
            </w:r>
          </w:p>
        </w:tc>
      </w:tr>
      <w:tr w:rsidR="00E0683A" w:rsidRPr="00E0683A" w14:paraId="7ADFD7E5"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6870AEF7" w14:textId="77777777" w:rsidR="00E0683A" w:rsidRPr="0005493F" w:rsidRDefault="00E0683A" w:rsidP="00B267E1">
            <w:pPr>
              <w:spacing w:line="240" w:lineRule="auto"/>
              <w:ind w:left="0"/>
              <w:rPr>
                <w:sz w:val="20"/>
                <w:szCs w:val="20"/>
                <w:lang w:val="en-US"/>
              </w:rPr>
            </w:pPr>
            <w:r w:rsidRPr="0005493F">
              <w:rPr>
                <w:sz w:val="20"/>
                <w:szCs w:val="20"/>
                <w:lang w:val="en-US"/>
              </w:rPr>
              <w:t xml:space="preserve">RAS mutant </w:t>
            </w:r>
            <w:proofErr w:type="spellStart"/>
            <w:r w:rsidRPr="0005493F">
              <w:rPr>
                <w:sz w:val="20"/>
                <w:szCs w:val="20"/>
                <w:lang w:val="en-US"/>
              </w:rPr>
              <w:t>tumour</w:t>
            </w:r>
            <w:proofErr w:type="spellEnd"/>
          </w:p>
        </w:tc>
        <w:tc>
          <w:tcPr>
            <w:tcW w:w="567" w:type="dxa"/>
            <w:hideMark/>
          </w:tcPr>
          <w:p w14:paraId="45F51C73"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67513A59"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63</w:t>
            </w:r>
          </w:p>
        </w:tc>
        <w:tc>
          <w:tcPr>
            <w:tcW w:w="1276" w:type="dxa"/>
            <w:hideMark/>
          </w:tcPr>
          <w:p w14:paraId="3238489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63</w:t>
            </w:r>
          </w:p>
        </w:tc>
        <w:tc>
          <w:tcPr>
            <w:tcW w:w="1497" w:type="dxa"/>
            <w:hideMark/>
          </w:tcPr>
          <w:p w14:paraId="34469889"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44</w:t>
            </w:r>
          </w:p>
        </w:tc>
        <w:tc>
          <w:tcPr>
            <w:tcW w:w="1254" w:type="dxa"/>
            <w:hideMark/>
          </w:tcPr>
          <w:p w14:paraId="13569005"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46</w:t>
            </w:r>
          </w:p>
        </w:tc>
      </w:tr>
      <w:tr w:rsidR="00E0683A" w:rsidRPr="00E0683A" w14:paraId="14ED33D7"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786A625A" w14:textId="77777777" w:rsidR="00E0683A" w:rsidRPr="0005493F" w:rsidRDefault="00E0683A" w:rsidP="00B267E1">
            <w:pPr>
              <w:spacing w:line="240" w:lineRule="auto"/>
              <w:ind w:left="0"/>
              <w:rPr>
                <w:sz w:val="20"/>
                <w:szCs w:val="20"/>
                <w:lang w:val="en-US"/>
              </w:rPr>
            </w:pPr>
            <w:r w:rsidRPr="0005493F">
              <w:rPr>
                <w:sz w:val="20"/>
                <w:szCs w:val="20"/>
                <w:lang w:val="en-US"/>
              </w:rPr>
              <w:t>BRAF mutation present</w:t>
            </w:r>
          </w:p>
        </w:tc>
        <w:tc>
          <w:tcPr>
            <w:tcW w:w="567" w:type="dxa"/>
            <w:hideMark/>
          </w:tcPr>
          <w:p w14:paraId="244C01C5"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12ECABC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13</w:t>
            </w:r>
          </w:p>
        </w:tc>
        <w:tc>
          <w:tcPr>
            <w:tcW w:w="1276" w:type="dxa"/>
            <w:hideMark/>
          </w:tcPr>
          <w:p w14:paraId="1C86902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14</w:t>
            </w:r>
          </w:p>
        </w:tc>
        <w:tc>
          <w:tcPr>
            <w:tcW w:w="1497" w:type="dxa"/>
            <w:hideMark/>
          </w:tcPr>
          <w:p w14:paraId="71556EC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c>
          <w:tcPr>
            <w:tcW w:w="1254" w:type="dxa"/>
            <w:hideMark/>
          </w:tcPr>
          <w:p w14:paraId="75889C9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r>
      <w:tr w:rsidR="00E0683A" w:rsidRPr="00E0683A" w14:paraId="08890AB1"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6AEA7BDF" w14:textId="13DDEF55" w:rsidR="00E0683A" w:rsidRPr="0005493F" w:rsidRDefault="00E0683A" w:rsidP="00B267E1">
            <w:pPr>
              <w:spacing w:line="240" w:lineRule="auto"/>
              <w:ind w:left="0"/>
              <w:rPr>
                <w:sz w:val="20"/>
                <w:szCs w:val="20"/>
                <w:lang w:val="en-US"/>
              </w:rPr>
            </w:pPr>
            <w:r w:rsidRPr="0005493F">
              <w:rPr>
                <w:sz w:val="20"/>
                <w:szCs w:val="20"/>
                <w:lang w:val="en-US"/>
              </w:rPr>
              <w:t>MSI-h/dMMR</w:t>
            </w:r>
            <w:r w:rsidRPr="0005493F">
              <w:rPr>
                <w:sz w:val="20"/>
                <w:vertAlign w:val="superscript"/>
                <w:lang w:val="en-US"/>
              </w:rPr>
              <w:fldChar w:fldCharType="begin"/>
            </w:r>
            <w:r w:rsidRPr="0005493F">
              <w:rPr>
                <w:sz w:val="20"/>
                <w:szCs w:val="20"/>
                <w:vertAlign w:val="superscript"/>
                <w:lang w:val="en-US"/>
              </w:rPr>
              <w:instrText xml:space="preserve"> REF _Ref170982828 \r \h  \* MERGEFORMAT </w:instrText>
            </w:r>
            <w:r w:rsidRPr="0005493F">
              <w:rPr>
                <w:sz w:val="20"/>
                <w:vertAlign w:val="superscript"/>
                <w:lang w:val="en-US"/>
              </w:rPr>
            </w:r>
            <w:r w:rsidRPr="0005493F">
              <w:rPr>
                <w:sz w:val="20"/>
                <w:vertAlign w:val="superscript"/>
                <w:lang w:val="en-US"/>
              </w:rPr>
              <w:fldChar w:fldCharType="separate"/>
            </w:r>
            <w:r w:rsidR="00A407E4">
              <w:rPr>
                <w:sz w:val="20"/>
                <w:szCs w:val="20"/>
                <w:vertAlign w:val="superscript"/>
                <w:lang w:val="en-US"/>
              </w:rPr>
              <w:t>0</w:t>
            </w:r>
            <w:r w:rsidRPr="0005493F">
              <w:rPr>
                <w:sz w:val="20"/>
              </w:rPr>
              <w:fldChar w:fldCharType="end"/>
            </w:r>
            <w:r w:rsidRPr="0005493F">
              <w:rPr>
                <w:sz w:val="20"/>
                <w:szCs w:val="20"/>
                <w:lang w:val="en-US"/>
              </w:rPr>
              <w:t xml:space="preserve"> </w:t>
            </w:r>
          </w:p>
        </w:tc>
        <w:tc>
          <w:tcPr>
            <w:tcW w:w="567" w:type="dxa"/>
            <w:hideMark/>
          </w:tcPr>
          <w:p w14:paraId="409EFFC4"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2EC6CF75"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1.1</w:t>
            </w:r>
          </w:p>
        </w:tc>
        <w:tc>
          <w:tcPr>
            <w:tcW w:w="1276" w:type="dxa"/>
            <w:hideMark/>
          </w:tcPr>
          <w:p w14:paraId="1C11796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1.7</w:t>
            </w:r>
          </w:p>
        </w:tc>
        <w:tc>
          <w:tcPr>
            <w:tcW w:w="1497" w:type="dxa"/>
            <w:hideMark/>
          </w:tcPr>
          <w:p w14:paraId="656AF2E1"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c>
          <w:tcPr>
            <w:tcW w:w="1254" w:type="dxa"/>
            <w:hideMark/>
          </w:tcPr>
          <w:p w14:paraId="52F47DC0"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r>
      <w:tr w:rsidR="00E0683A" w:rsidRPr="00E0683A" w14:paraId="07112476"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0C6BD6E9" w14:textId="77777777" w:rsidR="00E0683A" w:rsidRPr="0005493F" w:rsidRDefault="00E0683A" w:rsidP="00B267E1">
            <w:pPr>
              <w:spacing w:line="240" w:lineRule="auto"/>
              <w:ind w:left="0"/>
              <w:rPr>
                <w:sz w:val="20"/>
                <w:szCs w:val="20"/>
                <w:lang w:val="en-US"/>
              </w:rPr>
            </w:pPr>
            <w:r w:rsidRPr="0005493F">
              <w:rPr>
                <w:sz w:val="20"/>
                <w:szCs w:val="20"/>
                <w:lang w:val="en-US"/>
              </w:rPr>
              <w:t>MSI-h/</w:t>
            </w:r>
            <w:proofErr w:type="spellStart"/>
            <w:r w:rsidRPr="0005493F">
              <w:rPr>
                <w:sz w:val="20"/>
                <w:szCs w:val="20"/>
                <w:lang w:val="en-US"/>
              </w:rPr>
              <w:t>dMMR</w:t>
            </w:r>
            <w:proofErr w:type="spellEnd"/>
            <w:r w:rsidRPr="0005493F">
              <w:rPr>
                <w:sz w:val="20"/>
                <w:szCs w:val="20"/>
                <w:lang w:val="en-US"/>
              </w:rPr>
              <w:t xml:space="preserve"> unknown </w:t>
            </w:r>
          </w:p>
        </w:tc>
        <w:tc>
          <w:tcPr>
            <w:tcW w:w="567" w:type="dxa"/>
            <w:hideMark/>
          </w:tcPr>
          <w:p w14:paraId="20205B60"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145E243B"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6.3</w:t>
            </w:r>
          </w:p>
        </w:tc>
        <w:tc>
          <w:tcPr>
            <w:tcW w:w="1276" w:type="dxa"/>
            <w:hideMark/>
          </w:tcPr>
          <w:p w14:paraId="7AA0A14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4.8</w:t>
            </w:r>
          </w:p>
        </w:tc>
        <w:tc>
          <w:tcPr>
            <w:tcW w:w="1497" w:type="dxa"/>
            <w:hideMark/>
          </w:tcPr>
          <w:p w14:paraId="7F591E2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c>
          <w:tcPr>
            <w:tcW w:w="1254" w:type="dxa"/>
            <w:hideMark/>
          </w:tcPr>
          <w:p w14:paraId="18E79378"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r>
      <w:tr w:rsidR="00E0683A" w:rsidRPr="00E0683A" w14:paraId="05C79605"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8700" w:type="dxa"/>
            <w:gridSpan w:val="6"/>
            <w:hideMark/>
          </w:tcPr>
          <w:p w14:paraId="37B06962" w14:textId="77777777" w:rsidR="00E0683A" w:rsidRPr="0005493F" w:rsidRDefault="00E0683A" w:rsidP="00B267E1">
            <w:pPr>
              <w:spacing w:line="240" w:lineRule="auto"/>
              <w:ind w:left="0"/>
              <w:rPr>
                <w:sz w:val="20"/>
                <w:szCs w:val="20"/>
                <w:lang w:val="en-US"/>
              </w:rPr>
            </w:pPr>
            <w:r w:rsidRPr="0005493F">
              <w:rPr>
                <w:b/>
                <w:bCs/>
                <w:sz w:val="20"/>
                <w:szCs w:val="20"/>
                <w:lang w:val="en-US"/>
              </w:rPr>
              <w:t>Prior therapies</w:t>
            </w:r>
          </w:p>
        </w:tc>
      </w:tr>
      <w:tr w:rsidR="00E0683A" w:rsidRPr="00E0683A" w14:paraId="2DB026D2"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54D2E0E2" w14:textId="77777777" w:rsidR="00E0683A" w:rsidRPr="0005493F" w:rsidRDefault="00E0683A" w:rsidP="00B267E1">
            <w:pPr>
              <w:spacing w:line="240" w:lineRule="auto"/>
              <w:ind w:left="0"/>
              <w:rPr>
                <w:sz w:val="20"/>
                <w:szCs w:val="20"/>
                <w:lang w:val="en-US"/>
              </w:rPr>
            </w:pPr>
            <w:r w:rsidRPr="0005493F">
              <w:rPr>
                <w:sz w:val="20"/>
                <w:szCs w:val="20"/>
                <w:lang w:val="en-US"/>
              </w:rPr>
              <w:t>No prior fluoropyrimidine</w:t>
            </w:r>
          </w:p>
        </w:tc>
        <w:tc>
          <w:tcPr>
            <w:tcW w:w="567" w:type="dxa"/>
            <w:hideMark/>
          </w:tcPr>
          <w:p w14:paraId="390A183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w:t>
            </w:r>
          </w:p>
        </w:tc>
        <w:tc>
          <w:tcPr>
            <w:tcW w:w="1417" w:type="dxa"/>
            <w:hideMark/>
          </w:tcPr>
          <w:p w14:paraId="5350C9B4"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w:t>
            </w:r>
          </w:p>
        </w:tc>
        <w:tc>
          <w:tcPr>
            <w:tcW w:w="1276" w:type="dxa"/>
            <w:hideMark/>
          </w:tcPr>
          <w:p w14:paraId="5D56EDA8"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c>
          <w:tcPr>
            <w:tcW w:w="1497" w:type="dxa"/>
            <w:hideMark/>
          </w:tcPr>
          <w:p w14:paraId="6AE83C1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c>
          <w:tcPr>
            <w:tcW w:w="1254" w:type="dxa"/>
            <w:hideMark/>
          </w:tcPr>
          <w:p w14:paraId="6A572EE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r>
      <w:tr w:rsidR="00E0683A" w:rsidRPr="00E0683A" w14:paraId="3AF718B7"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59CE0F45" w14:textId="77777777" w:rsidR="00E0683A" w:rsidRPr="0005493F" w:rsidRDefault="00E0683A" w:rsidP="00B267E1">
            <w:pPr>
              <w:spacing w:line="240" w:lineRule="auto"/>
              <w:ind w:left="0"/>
              <w:rPr>
                <w:sz w:val="20"/>
                <w:szCs w:val="20"/>
                <w:lang w:val="en-US"/>
              </w:rPr>
            </w:pPr>
            <w:r w:rsidRPr="0005493F">
              <w:rPr>
                <w:sz w:val="20"/>
                <w:szCs w:val="20"/>
                <w:lang w:val="en-US"/>
              </w:rPr>
              <w:t xml:space="preserve">No prior oxaliplatin </w:t>
            </w:r>
          </w:p>
        </w:tc>
        <w:tc>
          <w:tcPr>
            <w:tcW w:w="567" w:type="dxa"/>
            <w:hideMark/>
          </w:tcPr>
          <w:p w14:paraId="512CA0C2"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w:t>
            </w:r>
          </w:p>
        </w:tc>
        <w:tc>
          <w:tcPr>
            <w:tcW w:w="1417" w:type="dxa"/>
            <w:hideMark/>
          </w:tcPr>
          <w:p w14:paraId="38201263"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w:t>
            </w:r>
          </w:p>
        </w:tc>
        <w:tc>
          <w:tcPr>
            <w:tcW w:w="1276" w:type="dxa"/>
            <w:hideMark/>
          </w:tcPr>
          <w:p w14:paraId="416E269F"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w:t>
            </w:r>
          </w:p>
        </w:tc>
        <w:tc>
          <w:tcPr>
            <w:tcW w:w="1497" w:type="dxa"/>
            <w:hideMark/>
          </w:tcPr>
          <w:p w14:paraId="39CC869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c>
          <w:tcPr>
            <w:tcW w:w="1254" w:type="dxa"/>
            <w:hideMark/>
          </w:tcPr>
          <w:p w14:paraId="7655219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r>
      <w:tr w:rsidR="00E0683A" w:rsidRPr="00E0683A" w14:paraId="34AE88C2"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347C036A" w14:textId="77777777" w:rsidR="00E0683A" w:rsidRPr="0005493F" w:rsidRDefault="00E0683A" w:rsidP="00B267E1">
            <w:pPr>
              <w:spacing w:line="240" w:lineRule="auto"/>
              <w:ind w:left="0"/>
              <w:rPr>
                <w:sz w:val="20"/>
                <w:szCs w:val="20"/>
                <w:lang w:val="en-US"/>
              </w:rPr>
            </w:pPr>
            <w:r w:rsidRPr="0005493F">
              <w:rPr>
                <w:sz w:val="20"/>
                <w:szCs w:val="20"/>
                <w:lang w:val="en-US"/>
              </w:rPr>
              <w:t>No prior irinotecan</w:t>
            </w:r>
          </w:p>
        </w:tc>
        <w:tc>
          <w:tcPr>
            <w:tcW w:w="567" w:type="dxa"/>
            <w:hideMark/>
          </w:tcPr>
          <w:p w14:paraId="149BD8AB"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w:t>
            </w:r>
          </w:p>
        </w:tc>
        <w:tc>
          <w:tcPr>
            <w:tcW w:w="1417" w:type="dxa"/>
            <w:hideMark/>
          </w:tcPr>
          <w:p w14:paraId="39D3E5D3"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w:t>
            </w:r>
          </w:p>
        </w:tc>
        <w:tc>
          <w:tcPr>
            <w:tcW w:w="1276" w:type="dxa"/>
            <w:hideMark/>
          </w:tcPr>
          <w:p w14:paraId="112490F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w:t>
            </w:r>
          </w:p>
        </w:tc>
        <w:tc>
          <w:tcPr>
            <w:tcW w:w="1497" w:type="dxa"/>
            <w:hideMark/>
          </w:tcPr>
          <w:p w14:paraId="42DB22BC"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c>
          <w:tcPr>
            <w:tcW w:w="1254" w:type="dxa"/>
            <w:hideMark/>
          </w:tcPr>
          <w:p w14:paraId="6BD0648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r>
      <w:tr w:rsidR="00E0683A" w:rsidRPr="00E0683A" w14:paraId="4EDD78A9"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26C146FB" w14:textId="77777777" w:rsidR="00E0683A" w:rsidRPr="0005493F" w:rsidRDefault="00E0683A" w:rsidP="00B267E1">
            <w:pPr>
              <w:spacing w:line="240" w:lineRule="auto"/>
              <w:ind w:left="0"/>
              <w:rPr>
                <w:sz w:val="20"/>
                <w:szCs w:val="20"/>
                <w:lang w:val="en-US"/>
              </w:rPr>
            </w:pPr>
            <w:r w:rsidRPr="0005493F">
              <w:rPr>
                <w:sz w:val="20"/>
                <w:szCs w:val="20"/>
                <w:lang w:val="en-US"/>
              </w:rPr>
              <w:t>No prior VEGFR inhibitor</w:t>
            </w:r>
          </w:p>
        </w:tc>
        <w:tc>
          <w:tcPr>
            <w:tcW w:w="567" w:type="dxa"/>
            <w:hideMark/>
          </w:tcPr>
          <w:p w14:paraId="5FCCD01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4F58ECEF"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3.5</w:t>
            </w:r>
          </w:p>
        </w:tc>
        <w:tc>
          <w:tcPr>
            <w:tcW w:w="1276" w:type="dxa"/>
            <w:hideMark/>
          </w:tcPr>
          <w:p w14:paraId="21866518"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3.9</w:t>
            </w:r>
          </w:p>
        </w:tc>
        <w:tc>
          <w:tcPr>
            <w:tcW w:w="1497" w:type="dxa"/>
            <w:hideMark/>
          </w:tcPr>
          <w:p w14:paraId="3BE0FC25"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30</w:t>
            </w:r>
          </w:p>
        </w:tc>
        <w:tc>
          <w:tcPr>
            <w:tcW w:w="1254" w:type="dxa"/>
            <w:hideMark/>
          </w:tcPr>
          <w:p w14:paraId="4135FAA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30</w:t>
            </w:r>
          </w:p>
        </w:tc>
      </w:tr>
      <w:tr w:rsidR="00E0683A" w:rsidRPr="00E0683A" w14:paraId="73F6372C"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216ADABD" w14:textId="2FFF555C" w:rsidR="00E0683A" w:rsidRPr="0005493F" w:rsidRDefault="00E0683A" w:rsidP="00B267E1">
            <w:pPr>
              <w:spacing w:line="240" w:lineRule="auto"/>
              <w:ind w:left="0"/>
              <w:rPr>
                <w:sz w:val="20"/>
                <w:szCs w:val="20"/>
                <w:lang w:val="en-US"/>
              </w:rPr>
            </w:pPr>
            <w:r w:rsidRPr="0005493F">
              <w:rPr>
                <w:sz w:val="20"/>
                <w:szCs w:val="20"/>
                <w:lang w:val="en-US"/>
              </w:rPr>
              <w:t>RAS &amp; no prior EGFR inhibitor</w:t>
            </w:r>
          </w:p>
        </w:tc>
        <w:tc>
          <w:tcPr>
            <w:tcW w:w="567" w:type="dxa"/>
            <w:hideMark/>
          </w:tcPr>
          <w:p w14:paraId="1B565B5B"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5AFB6B9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1.8</w:t>
            </w:r>
          </w:p>
        </w:tc>
        <w:tc>
          <w:tcPr>
            <w:tcW w:w="1276" w:type="dxa"/>
            <w:hideMark/>
          </w:tcPr>
          <w:p w14:paraId="7A5BDFF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2.4</w:t>
            </w:r>
          </w:p>
        </w:tc>
        <w:tc>
          <w:tcPr>
            <w:tcW w:w="1497" w:type="dxa"/>
            <w:hideMark/>
          </w:tcPr>
          <w:p w14:paraId="31ABEB9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75</w:t>
            </w:r>
          </w:p>
        </w:tc>
        <w:tc>
          <w:tcPr>
            <w:tcW w:w="1254" w:type="dxa"/>
            <w:hideMark/>
          </w:tcPr>
          <w:p w14:paraId="2B799FD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77</w:t>
            </w:r>
          </w:p>
        </w:tc>
      </w:tr>
      <w:tr w:rsidR="00E0683A" w:rsidRPr="00E0683A" w14:paraId="227E245B"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47AF900A" w14:textId="77777777" w:rsidR="00E0683A" w:rsidRPr="0005493F" w:rsidRDefault="00E0683A" w:rsidP="00B267E1">
            <w:pPr>
              <w:spacing w:line="240" w:lineRule="auto"/>
              <w:ind w:left="0"/>
              <w:rPr>
                <w:sz w:val="20"/>
                <w:szCs w:val="20"/>
                <w:lang w:val="en-US"/>
              </w:rPr>
            </w:pPr>
            <w:r w:rsidRPr="0005493F">
              <w:rPr>
                <w:sz w:val="20"/>
                <w:szCs w:val="20"/>
                <w:lang w:val="en-US"/>
              </w:rPr>
              <w:t>Prior regorafenib only</w:t>
            </w:r>
          </w:p>
        </w:tc>
        <w:tc>
          <w:tcPr>
            <w:tcW w:w="567" w:type="dxa"/>
            <w:hideMark/>
          </w:tcPr>
          <w:p w14:paraId="3535AF9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679F0E0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9</w:t>
            </w:r>
          </w:p>
        </w:tc>
        <w:tc>
          <w:tcPr>
            <w:tcW w:w="1276" w:type="dxa"/>
            <w:hideMark/>
          </w:tcPr>
          <w:p w14:paraId="5BE9DCE9"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8</w:t>
            </w:r>
          </w:p>
        </w:tc>
        <w:tc>
          <w:tcPr>
            <w:tcW w:w="1497" w:type="dxa"/>
            <w:hideMark/>
          </w:tcPr>
          <w:p w14:paraId="35CCC397"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c>
          <w:tcPr>
            <w:tcW w:w="1254" w:type="dxa"/>
            <w:hideMark/>
          </w:tcPr>
          <w:p w14:paraId="0B7855BF"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r>
      <w:tr w:rsidR="00E0683A" w:rsidRPr="00E0683A" w14:paraId="456B1EA8"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5C4571BA" w14:textId="77777777" w:rsidR="00E0683A" w:rsidRPr="0005493F" w:rsidRDefault="00E0683A" w:rsidP="00B267E1">
            <w:pPr>
              <w:spacing w:line="240" w:lineRule="auto"/>
              <w:ind w:left="0"/>
              <w:rPr>
                <w:sz w:val="20"/>
                <w:szCs w:val="20"/>
                <w:lang w:val="en-US"/>
              </w:rPr>
            </w:pPr>
            <w:r w:rsidRPr="0005493F">
              <w:rPr>
                <w:sz w:val="20"/>
                <w:szCs w:val="20"/>
                <w:lang w:val="en-US"/>
              </w:rPr>
              <w:t>Prior TAS-102 only</w:t>
            </w:r>
          </w:p>
        </w:tc>
        <w:tc>
          <w:tcPr>
            <w:tcW w:w="567" w:type="dxa"/>
            <w:hideMark/>
          </w:tcPr>
          <w:p w14:paraId="6F28CF0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0B9B0CF3"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52</w:t>
            </w:r>
          </w:p>
        </w:tc>
        <w:tc>
          <w:tcPr>
            <w:tcW w:w="1276" w:type="dxa"/>
            <w:hideMark/>
          </w:tcPr>
          <w:p w14:paraId="564C6BD1"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53</w:t>
            </w:r>
          </w:p>
        </w:tc>
        <w:tc>
          <w:tcPr>
            <w:tcW w:w="1497" w:type="dxa"/>
            <w:hideMark/>
          </w:tcPr>
          <w:p w14:paraId="4CD10AD7"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c>
          <w:tcPr>
            <w:tcW w:w="1254" w:type="dxa"/>
            <w:hideMark/>
          </w:tcPr>
          <w:p w14:paraId="0A99B2C0"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r>
      <w:tr w:rsidR="00E0683A" w:rsidRPr="00E0683A" w14:paraId="1FDCC2DB"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3983E1A2" w14:textId="77777777" w:rsidR="00E0683A" w:rsidRPr="0005493F" w:rsidRDefault="00E0683A" w:rsidP="00B267E1">
            <w:pPr>
              <w:spacing w:line="240" w:lineRule="auto"/>
              <w:ind w:left="0"/>
              <w:rPr>
                <w:sz w:val="20"/>
                <w:szCs w:val="20"/>
                <w:lang w:val="en-US"/>
              </w:rPr>
            </w:pPr>
            <w:r w:rsidRPr="0005493F">
              <w:rPr>
                <w:sz w:val="20"/>
                <w:szCs w:val="20"/>
                <w:lang w:val="en-US"/>
              </w:rPr>
              <w:t>Both regorafenib and TAS-102</w:t>
            </w:r>
          </w:p>
        </w:tc>
        <w:tc>
          <w:tcPr>
            <w:tcW w:w="567" w:type="dxa"/>
            <w:hideMark/>
          </w:tcPr>
          <w:p w14:paraId="1373CC16"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5C691F5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39</w:t>
            </w:r>
          </w:p>
        </w:tc>
        <w:tc>
          <w:tcPr>
            <w:tcW w:w="1276" w:type="dxa"/>
            <w:hideMark/>
          </w:tcPr>
          <w:p w14:paraId="47E5158A"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40</w:t>
            </w:r>
          </w:p>
        </w:tc>
        <w:tc>
          <w:tcPr>
            <w:tcW w:w="1497" w:type="dxa"/>
            <w:hideMark/>
          </w:tcPr>
          <w:p w14:paraId="3A783868"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c>
          <w:tcPr>
            <w:tcW w:w="1254" w:type="dxa"/>
            <w:hideMark/>
          </w:tcPr>
          <w:p w14:paraId="3118CF7D"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NA</w:t>
            </w:r>
          </w:p>
        </w:tc>
      </w:tr>
      <w:tr w:rsidR="00E0683A" w:rsidRPr="00E0683A" w14:paraId="665CDFD6" w14:textId="77777777" w:rsidTr="00B267E1">
        <w:trPr>
          <w:trHeight w:val="277"/>
        </w:trPr>
        <w:tc>
          <w:tcPr>
            <w:cnfStyle w:val="001000000000" w:firstRow="0" w:lastRow="0" w:firstColumn="1" w:lastColumn="0" w:oddVBand="0" w:evenVBand="0" w:oddHBand="0" w:evenHBand="0" w:firstRowFirstColumn="0" w:firstRowLastColumn="0" w:lastRowFirstColumn="0" w:lastRowLastColumn="0"/>
            <w:tcW w:w="2689" w:type="dxa"/>
            <w:hideMark/>
          </w:tcPr>
          <w:p w14:paraId="732C1A3B" w14:textId="77777777" w:rsidR="00E0683A" w:rsidRPr="0005493F" w:rsidRDefault="00E0683A" w:rsidP="00B267E1">
            <w:pPr>
              <w:spacing w:line="240" w:lineRule="auto"/>
              <w:ind w:left="0"/>
              <w:rPr>
                <w:sz w:val="20"/>
                <w:szCs w:val="20"/>
                <w:lang w:val="en-US"/>
              </w:rPr>
            </w:pPr>
            <w:r w:rsidRPr="0005493F">
              <w:rPr>
                <w:sz w:val="20"/>
                <w:szCs w:val="20"/>
                <w:lang w:val="en-US"/>
              </w:rPr>
              <w:t>No prior regorafenib or TAS-102</w:t>
            </w:r>
          </w:p>
        </w:tc>
        <w:tc>
          <w:tcPr>
            <w:tcW w:w="567" w:type="dxa"/>
            <w:hideMark/>
          </w:tcPr>
          <w:p w14:paraId="7DF73EFE"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w:t>
            </w:r>
          </w:p>
        </w:tc>
        <w:tc>
          <w:tcPr>
            <w:tcW w:w="1417" w:type="dxa"/>
            <w:hideMark/>
          </w:tcPr>
          <w:p w14:paraId="11389654"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c>
          <w:tcPr>
            <w:tcW w:w="1276" w:type="dxa"/>
            <w:hideMark/>
          </w:tcPr>
          <w:p w14:paraId="42EBD853"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0</w:t>
            </w:r>
          </w:p>
        </w:tc>
        <w:tc>
          <w:tcPr>
            <w:tcW w:w="1497" w:type="dxa"/>
            <w:hideMark/>
          </w:tcPr>
          <w:p w14:paraId="6CD6D0C0"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100</w:t>
            </w:r>
          </w:p>
        </w:tc>
        <w:tc>
          <w:tcPr>
            <w:tcW w:w="1254" w:type="dxa"/>
            <w:hideMark/>
          </w:tcPr>
          <w:p w14:paraId="08134579" w14:textId="77777777" w:rsidR="00E0683A" w:rsidRPr="0005493F" w:rsidRDefault="00E0683A" w:rsidP="00B267E1">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5493F">
              <w:rPr>
                <w:sz w:val="20"/>
                <w:szCs w:val="20"/>
                <w:lang w:val="en-US"/>
              </w:rPr>
              <w:t>100</w:t>
            </w:r>
          </w:p>
        </w:tc>
      </w:tr>
    </w:tbl>
    <w:p w14:paraId="5F596442" w14:textId="24622E05" w:rsidR="001977FE" w:rsidRPr="00E0683A" w:rsidRDefault="00673E86" w:rsidP="00113E7C">
      <w:pPr>
        <w:pStyle w:val="TableDescription"/>
      </w:pPr>
      <w:r>
        <w:t xml:space="preserve">Abbreviations: </w:t>
      </w:r>
      <w:r w:rsidR="00B870F0">
        <w:t>BRAF</w:t>
      </w:r>
      <w:r w:rsidR="001977FE">
        <w:t xml:space="preserve"> = </w:t>
      </w:r>
      <w:r w:rsidR="00D30080" w:rsidRPr="00D30080">
        <w:t>B-Raf proto-oncogene</w:t>
      </w:r>
      <w:r w:rsidR="00245245">
        <w:t xml:space="preserve">, </w:t>
      </w:r>
      <w:r w:rsidR="00B870F0">
        <w:t>BSC</w:t>
      </w:r>
      <w:r w:rsidR="001977FE">
        <w:t xml:space="preserve"> = </w:t>
      </w:r>
      <w:r w:rsidR="00D30080">
        <w:t>b</w:t>
      </w:r>
      <w:r w:rsidR="00D30080" w:rsidRPr="00D30080">
        <w:t>est supportive care</w:t>
      </w:r>
      <w:r w:rsidR="00245245">
        <w:t xml:space="preserve">, </w:t>
      </w:r>
      <w:proofErr w:type="spellStart"/>
      <w:r w:rsidR="00B870F0">
        <w:t>dMMR</w:t>
      </w:r>
      <w:proofErr w:type="spellEnd"/>
      <w:r w:rsidR="001977FE">
        <w:t xml:space="preserve"> = </w:t>
      </w:r>
      <w:r w:rsidR="00D30080">
        <w:t>d</w:t>
      </w:r>
      <w:r w:rsidR="00D30080" w:rsidRPr="00D30080">
        <w:t>eficient mismatch repair</w:t>
      </w:r>
      <w:r w:rsidR="00245245">
        <w:t xml:space="preserve">, </w:t>
      </w:r>
      <w:r w:rsidR="00B870F0">
        <w:t>ECOG</w:t>
      </w:r>
      <w:r w:rsidR="00245245">
        <w:t> </w:t>
      </w:r>
      <w:r w:rsidR="00D30080">
        <w:t>=</w:t>
      </w:r>
      <w:r w:rsidR="00245245">
        <w:t> </w:t>
      </w:r>
      <w:r w:rsidR="0044115C" w:rsidRPr="0044115C">
        <w:t>Eastern Cooperative Oncology Group</w:t>
      </w:r>
      <w:r w:rsidR="00245245">
        <w:t xml:space="preserve">, </w:t>
      </w:r>
      <w:r w:rsidR="007B0D11">
        <w:t>EGFR</w:t>
      </w:r>
      <w:r w:rsidR="00D30080">
        <w:t xml:space="preserve"> = </w:t>
      </w:r>
      <w:r w:rsidR="0044115C">
        <w:t>e</w:t>
      </w:r>
      <w:r w:rsidR="0044115C" w:rsidRPr="0044115C">
        <w:t>pidermal growth factor receptor</w:t>
      </w:r>
      <w:r w:rsidR="00245245">
        <w:t xml:space="preserve">, </w:t>
      </w:r>
      <w:r w:rsidR="007B0D11">
        <w:t>MSI-h</w:t>
      </w:r>
      <w:r w:rsidR="0044115C">
        <w:t xml:space="preserve"> = </w:t>
      </w:r>
      <w:r w:rsidR="005666E0">
        <w:t>m</w:t>
      </w:r>
      <w:r w:rsidR="005666E0" w:rsidRPr="005666E0">
        <w:t xml:space="preserve">icrosatellite </w:t>
      </w:r>
      <w:r w:rsidR="005666E0" w:rsidRPr="005666E0">
        <w:lastRenderedPageBreak/>
        <w:t>instability-high</w:t>
      </w:r>
      <w:r w:rsidR="00245245">
        <w:t xml:space="preserve">, </w:t>
      </w:r>
      <w:r w:rsidR="007B0D11">
        <w:t>N</w:t>
      </w:r>
      <w:r w:rsidR="0044115C">
        <w:t xml:space="preserve"> = number</w:t>
      </w:r>
      <w:r w:rsidR="00245245">
        <w:t xml:space="preserve">, </w:t>
      </w:r>
      <w:r w:rsidR="007B0D11">
        <w:t>NA</w:t>
      </w:r>
      <w:r w:rsidR="0044115C">
        <w:t xml:space="preserve"> = </w:t>
      </w:r>
      <w:r w:rsidR="0044115C" w:rsidRPr="00E0683A">
        <w:t>not assessed/used in this study</w:t>
      </w:r>
      <w:r w:rsidR="00245245">
        <w:t xml:space="preserve">, </w:t>
      </w:r>
      <w:r w:rsidR="001977FE">
        <w:t>RAS</w:t>
      </w:r>
      <w:r w:rsidR="005666E0">
        <w:t xml:space="preserve"> = r</w:t>
      </w:r>
      <w:r w:rsidR="005666E0" w:rsidRPr="005666E0">
        <w:t>at sarcoma</w:t>
      </w:r>
      <w:r w:rsidR="00245245">
        <w:t>,</w:t>
      </w:r>
      <w:r w:rsidR="00BD0633">
        <w:t xml:space="preserve"> </w:t>
      </w:r>
      <w:r w:rsidR="001977FE">
        <w:t>TAS-102</w:t>
      </w:r>
      <w:r w:rsidR="005666E0">
        <w:t xml:space="preserve"> = </w:t>
      </w:r>
      <w:r w:rsidR="00614ED4">
        <w:t>t</w:t>
      </w:r>
      <w:r w:rsidR="00614ED4" w:rsidRPr="00614ED4">
        <w:t>rifluridine/</w:t>
      </w:r>
      <w:proofErr w:type="spellStart"/>
      <w:r w:rsidR="00614ED4" w:rsidRPr="00614ED4">
        <w:t>tipiracil</w:t>
      </w:r>
      <w:proofErr w:type="spellEnd"/>
      <w:r w:rsidR="00BD0633">
        <w:t xml:space="preserve">, </w:t>
      </w:r>
      <w:r w:rsidR="001977FE">
        <w:t>VEGFR</w:t>
      </w:r>
      <w:r w:rsidR="00614ED4">
        <w:t xml:space="preserve"> = v</w:t>
      </w:r>
      <w:r w:rsidR="00614ED4" w:rsidRPr="00614ED4">
        <w:t>ascular endothelial growth factor receptor</w:t>
      </w:r>
      <w:r w:rsidR="00BD0633">
        <w:t xml:space="preserve">, </w:t>
      </w:r>
      <w:r w:rsidR="001977FE">
        <w:t>y/yrs</w:t>
      </w:r>
      <w:r w:rsidR="00614ED4">
        <w:t xml:space="preserve"> = years</w:t>
      </w:r>
    </w:p>
    <w:p w14:paraId="6945E1EC" w14:textId="658C4E61" w:rsidR="00E0683A" w:rsidRPr="00E0683A" w:rsidRDefault="002F04E6" w:rsidP="00113E7C">
      <w:pPr>
        <w:pStyle w:val="TableDescription"/>
      </w:pPr>
      <w:bookmarkStart w:id="72" w:name="_Ref170982828"/>
      <w:bookmarkStart w:id="73" w:name="_Ref170982886"/>
      <w:bookmarkStart w:id="74" w:name="_Ref170982720"/>
      <w:r w:rsidRPr="002F04E6">
        <w:rPr>
          <w:vertAlign w:val="superscript"/>
          <w:lang w:val="en-US"/>
        </w:rPr>
        <w:t>1</w:t>
      </w:r>
      <w:r w:rsidR="00E0683A" w:rsidRPr="00E0683A">
        <w:rPr>
          <w:lang w:val="en-US"/>
        </w:rPr>
        <w:t>Patients in FRESCO-2 with MSI-H/</w:t>
      </w:r>
      <w:proofErr w:type="spellStart"/>
      <w:r w:rsidR="00E0683A" w:rsidRPr="00E0683A">
        <w:rPr>
          <w:lang w:val="en-US"/>
        </w:rPr>
        <w:t>dMMR</w:t>
      </w:r>
      <w:proofErr w:type="spellEnd"/>
      <w:r w:rsidR="00E0683A" w:rsidRPr="00E0683A">
        <w:rPr>
          <w:lang w:val="en-US"/>
        </w:rPr>
        <w:t xml:space="preserve"> </w:t>
      </w:r>
      <w:proofErr w:type="spellStart"/>
      <w:r w:rsidR="00E0683A" w:rsidRPr="00E0683A">
        <w:rPr>
          <w:lang w:val="en-US"/>
        </w:rPr>
        <w:t>tumours</w:t>
      </w:r>
      <w:proofErr w:type="spellEnd"/>
      <w:r w:rsidR="00E0683A" w:rsidRPr="00E0683A">
        <w:rPr>
          <w:lang w:val="en-US"/>
        </w:rPr>
        <w:t xml:space="preserve"> had all received an immune checkpoint inhibitor previously</w:t>
      </w:r>
      <w:bookmarkEnd w:id="72"/>
      <w:bookmarkEnd w:id="73"/>
      <w:bookmarkEnd w:id="74"/>
      <w:r w:rsidR="00BD0633">
        <w:rPr>
          <w:lang w:val="en-US"/>
        </w:rPr>
        <w:t>.</w:t>
      </w:r>
    </w:p>
    <w:p w14:paraId="38F90FD9" w14:textId="77777777" w:rsidR="00E0683A" w:rsidRPr="00E0683A" w:rsidRDefault="00E0683A" w:rsidP="00113E7C">
      <w:pPr>
        <w:pStyle w:val="Heading5"/>
      </w:pPr>
      <w:r w:rsidRPr="00E0683A">
        <w:t>Results for both FRESCO-2 and FRESCO</w:t>
      </w:r>
    </w:p>
    <w:p w14:paraId="45E1CE00" w14:textId="5924E6CE" w:rsidR="00E0683A" w:rsidRPr="00C903B2" w:rsidRDefault="00E0683A" w:rsidP="00C903B2">
      <w:r w:rsidRPr="00C903B2">
        <w:t>In the FRESCO-2 study, the addition of F</w:t>
      </w:r>
      <w:r w:rsidR="00113E7C" w:rsidRPr="00C903B2">
        <w:t>ruzaqla</w:t>
      </w:r>
      <w:r w:rsidRPr="00C903B2">
        <w:t xml:space="preserve"> to BSC resulted in a statistically significant improvement in OS and PFS compared to placebo plus BSC. The main results of the FRESCO-2 and FRESCO studies are summarised in </w:t>
      </w:r>
      <w:r w:rsidRPr="00C903B2">
        <w:fldChar w:fldCharType="begin"/>
      </w:r>
      <w:r w:rsidRPr="00C903B2">
        <w:instrText xml:space="preserve"> REF _Ref170399442 \h </w:instrText>
      </w:r>
      <w:r w:rsidR="00113E7C" w:rsidRPr="00C903B2">
        <w:instrText xml:space="preserve"> \* MERGEFORMAT </w:instrText>
      </w:r>
      <w:r w:rsidRPr="00C903B2">
        <w:fldChar w:fldCharType="separate"/>
      </w:r>
      <w:r w:rsidR="00A407E4" w:rsidRPr="00E0683A">
        <w:t xml:space="preserve">Table </w:t>
      </w:r>
      <w:r w:rsidR="00A407E4">
        <w:t>5</w:t>
      </w:r>
      <w:r w:rsidRPr="00C903B2">
        <w:fldChar w:fldCharType="end"/>
      </w:r>
      <w:r w:rsidRPr="00C903B2">
        <w:t xml:space="preserve">, </w:t>
      </w:r>
      <w:r w:rsidRPr="00C903B2">
        <w:fldChar w:fldCharType="begin"/>
      </w:r>
      <w:r w:rsidRPr="00C903B2">
        <w:instrText xml:space="preserve"> REF _Ref170399464 \h </w:instrText>
      </w:r>
      <w:r w:rsidR="00113E7C" w:rsidRPr="00C903B2">
        <w:instrText xml:space="preserve"> \* MERGEFORMAT </w:instrText>
      </w:r>
      <w:r w:rsidRPr="00C903B2">
        <w:fldChar w:fldCharType="separate"/>
      </w:r>
      <w:r w:rsidR="00A407E4" w:rsidRPr="00E0683A">
        <w:t xml:space="preserve">Figure </w:t>
      </w:r>
      <w:r w:rsidR="00A407E4">
        <w:t>2</w:t>
      </w:r>
      <w:r w:rsidRPr="00C903B2">
        <w:fldChar w:fldCharType="end"/>
      </w:r>
      <w:r w:rsidRPr="00C903B2">
        <w:t xml:space="preserve"> and </w:t>
      </w:r>
      <w:r w:rsidRPr="00C903B2">
        <w:fldChar w:fldCharType="begin"/>
      </w:r>
      <w:r w:rsidRPr="00C903B2">
        <w:instrText xml:space="preserve"> REF _Ref170979749 \h </w:instrText>
      </w:r>
      <w:r w:rsidR="00113E7C" w:rsidRPr="00C903B2">
        <w:instrText xml:space="preserve"> \* MERGEFORMAT </w:instrText>
      </w:r>
      <w:r w:rsidRPr="00C903B2">
        <w:fldChar w:fldCharType="separate"/>
      </w:r>
      <w:r w:rsidR="00A407E4" w:rsidRPr="00E0683A">
        <w:t xml:space="preserve">Figure </w:t>
      </w:r>
      <w:r w:rsidR="00A407E4">
        <w:t>3</w:t>
      </w:r>
      <w:r w:rsidRPr="00C903B2">
        <w:fldChar w:fldCharType="end"/>
      </w:r>
      <w:r w:rsidRPr="00C903B2">
        <w:t>.</w:t>
      </w:r>
    </w:p>
    <w:p w14:paraId="02A8AB7F" w14:textId="517608F3" w:rsidR="00E0683A" w:rsidRPr="00E0683A" w:rsidRDefault="00E0683A" w:rsidP="00C903B2">
      <w:pPr>
        <w:pStyle w:val="TableTitle"/>
      </w:pPr>
      <w:bookmarkStart w:id="75" w:name="_Ref170399442"/>
      <w:r w:rsidRPr="00E0683A">
        <w:t xml:space="preserve">Table </w:t>
      </w:r>
      <w:r w:rsidRPr="00E0683A">
        <w:fldChar w:fldCharType="begin"/>
      </w:r>
      <w:r w:rsidRPr="00E0683A">
        <w:instrText xml:space="preserve"> SEQ Table \* ARABIC </w:instrText>
      </w:r>
      <w:r w:rsidRPr="00E0683A">
        <w:fldChar w:fldCharType="separate"/>
      </w:r>
      <w:r w:rsidR="00A407E4">
        <w:rPr>
          <w:noProof/>
        </w:rPr>
        <w:t>5</w:t>
      </w:r>
      <w:r w:rsidRPr="00E0683A">
        <w:fldChar w:fldCharType="end"/>
      </w:r>
      <w:bookmarkEnd w:id="75"/>
      <w:r w:rsidR="00C903B2">
        <w:t>:</w:t>
      </w:r>
      <w:r w:rsidRPr="00E0683A">
        <w:t xml:space="preserve"> Main efficacy findings of the FRESCO-2 (pivotal) and FRESCO (supporting) studies</w:t>
      </w:r>
    </w:p>
    <w:tbl>
      <w:tblPr>
        <w:tblStyle w:val="TableTGAblue2023"/>
        <w:tblW w:w="8790" w:type="dxa"/>
        <w:tblLayout w:type="fixed"/>
        <w:tblLook w:val="01E0" w:firstRow="1" w:lastRow="1" w:firstColumn="1" w:lastColumn="1" w:noHBand="0" w:noVBand="0"/>
      </w:tblPr>
      <w:tblGrid>
        <w:gridCol w:w="3539"/>
        <w:gridCol w:w="1418"/>
        <w:gridCol w:w="1134"/>
        <w:gridCol w:w="1445"/>
        <w:gridCol w:w="1254"/>
      </w:tblGrid>
      <w:tr w:rsidR="00C903B2" w:rsidRPr="00E0683A" w14:paraId="3C2D0B1F" w14:textId="77777777" w:rsidTr="00C903B2">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1BC7E448" w14:textId="77777777" w:rsidR="00C903B2" w:rsidRPr="00C903B2" w:rsidRDefault="00C903B2" w:rsidP="00773A7F">
            <w:pPr>
              <w:ind w:left="0"/>
              <w:rPr>
                <w:sz w:val="20"/>
                <w:szCs w:val="20"/>
                <w:lang w:val="en-US"/>
              </w:rPr>
            </w:pPr>
          </w:p>
        </w:tc>
        <w:tc>
          <w:tcPr>
            <w:tcW w:w="2552" w:type="dxa"/>
            <w:gridSpan w:val="2"/>
            <w:hideMark/>
          </w:tcPr>
          <w:p w14:paraId="5E8D5A06" w14:textId="77777777" w:rsidR="00C903B2" w:rsidRPr="00C903B2" w:rsidRDefault="00C903B2"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C903B2">
              <w:rPr>
                <w:sz w:val="20"/>
                <w:szCs w:val="20"/>
                <w:lang w:val="en-US"/>
              </w:rPr>
              <w:t>FRESCO-2 (pivotal)</w:t>
            </w:r>
          </w:p>
        </w:tc>
        <w:tc>
          <w:tcPr>
            <w:tcW w:w="2699" w:type="dxa"/>
            <w:gridSpan w:val="2"/>
            <w:hideMark/>
          </w:tcPr>
          <w:p w14:paraId="6FC38E0A" w14:textId="77777777" w:rsidR="00C903B2" w:rsidRPr="00C903B2" w:rsidRDefault="00C903B2"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C903B2">
              <w:rPr>
                <w:sz w:val="20"/>
                <w:szCs w:val="20"/>
                <w:lang w:val="en-US"/>
              </w:rPr>
              <w:t>FRESCO (supporting)</w:t>
            </w:r>
          </w:p>
        </w:tc>
      </w:tr>
      <w:tr w:rsidR="00C903B2" w:rsidRPr="00E0683A" w14:paraId="68DB09E0" w14:textId="77777777" w:rsidTr="00C903B2">
        <w:trPr>
          <w:trHeight w:val="797"/>
        </w:trPr>
        <w:tc>
          <w:tcPr>
            <w:cnfStyle w:val="001000000000" w:firstRow="0" w:lastRow="0" w:firstColumn="1" w:lastColumn="0" w:oddVBand="0" w:evenVBand="0" w:oddHBand="0" w:evenHBand="0" w:firstRowFirstColumn="0" w:firstRowLastColumn="0" w:lastRowFirstColumn="0" w:lastRowLastColumn="0"/>
            <w:tcW w:w="3539" w:type="dxa"/>
            <w:vMerge/>
            <w:shd w:val="clear" w:color="auto" w:fill="DEEAF6" w:themeFill="accent5" w:themeFillTint="33"/>
          </w:tcPr>
          <w:p w14:paraId="271076E9" w14:textId="77777777" w:rsidR="00C903B2" w:rsidRPr="00C903B2" w:rsidRDefault="00C903B2" w:rsidP="00773A7F">
            <w:pPr>
              <w:ind w:left="0"/>
              <w:rPr>
                <w:sz w:val="20"/>
                <w:szCs w:val="20"/>
                <w:lang w:val="en-US"/>
              </w:rPr>
            </w:pPr>
          </w:p>
        </w:tc>
        <w:tc>
          <w:tcPr>
            <w:tcW w:w="1418" w:type="dxa"/>
            <w:shd w:val="clear" w:color="auto" w:fill="DEEAF6" w:themeFill="accent5" w:themeFillTint="33"/>
            <w:hideMark/>
          </w:tcPr>
          <w:p w14:paraId="3DAE8988" w14:textId="77777777" w:rsidR="00C903B2" w:rsidRPr="00FE6CB8" w:rsidRDefault="00C903B2"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FE6CB8">
              <w:rPr>
                <w:b/>
                <w:color w:val="263287"/>
                <w:sz w:val="20"/>
                <w:szCs w:val="20"/>
                <w:lang w:val="en-US"/>
              </w:rPr>
              <w:t>Fruquintinib + BSC</w:t>
            </w:r>
          </w:p>
          <w:p w14:paraId="6BDF0BC8" w14:textId="5ACD90C1" w:rsidR="00C903B2" w:rsidRPr="00FE6CB8" w:rsidRDefault="00C903B2"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FE6CB8">
              <w:rPr>
                <w:b/>
                <w:color w:val="263287"/>
                <w:sz w:val="20"/>
                <w:szCs w:val="20"/>
                <w:lang w:val="en-US"/>
              </w:rPr>
              <w:t>N</w:t>
            </w:r>
            <w:r w:rsidR="00FE6CB8" w:rsidRPr="00FE6CB8">
              <w:rPr>
                <w:b/>
                <w:color w:val="263287"/>
                <w:sz w:val="20"/>
                <w:szCs w:val="20"/>
                <w:lang w:val="en-US"/>
              </w:rPr>
              <w:t> </w:t>
            </w:r>
            <w:r w:rsidRPr="00FE6CB8">
              <w:rPr>
                <w:b/>
                <w:color w:val="263287"/>
                <w:sz w:val="20"/>
                <w:szCs w:val="20"/>
                <w:lang w:val="en-US"/>
              </w:rPr>
              <w:t>=</w:t>
            </w:r>
            <w:r w:rsidR="00FE6CB8" w:rsidRPr="00FE6CB8">
              <w:rPr>
                <w:b/>
                <w:color w:val="263287"/>
                <w:sz w:val="20"/>
                <w:szCs w:val="20"/>
                <w:lang w:val="en-US"/>
              </w:rPr>
              <w:t> </w:t>
            </w:r>
            <w:r w:rsidRPr="00FE6CB8">
              <w:rPr>
                <w:b/>
                <w:color w:val="263287"/>
                <w:sz w:val="20"/>
                <w:szCs w:val="20"/>
                <w:lang w:val="en-US"/>
              </w:rPr>
              <w:t>461</w:t>
            </w:r>
          </w:p>
        </w:tc>
        <w:tc>
          <w:tcPr>
            <w:tcW w:w="1134" w:type="dxa"/>
            <w:shd w:val="clear" w:color="auto" w:fill="DEEAF6" w:themeFill="accent5" w:themeFillTint="33"/>
            <w:hideMark/>
          </w:tcPr>
          <w:p w14:paraId="66D3EEA4" w14:textId="77777777" w:rsidR="00C903B2" w:rsidRPr="00FE6CB8" w:rsidRDefault="00C903B2"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FE6CB8">
              <w:rPr>
                <w:b/>
                <w:color w:val="263287"/>
                <w:sz w:val="20"/>
                <w:szCs w:val="20"/>
                <w:lang w:val="en-US"/>
              </w:rPr>
              <w:t xml:space="preserve">Placebo + BSC </w:t>
            </w:r>
          </w:p>
          <w:p w14:paraId="6B76F480" w14:textId="2B212583" w:rsidR="00C903B2" w:rsidRPr="00FE6CB8" w:rsidRDefault="00C903B2"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FE6CB8">
              <w:rPr>
                <w:b/>
                <w:color w:val="263287"/>
                <w:sz w:val="20"/>
                <w:szCs w:val="20"/>
                <w:lang w:val="en-US"/>
              </w:rPr>
              <w:t>N</w:t>
            </w:r>
            <w:r w:rsidR="00FE6CB8" w:rsidRPr="00FE6CB8">
              <w:rPr>
                <w:b/>
                <w:color w:val="263287"/>
                <w:sz w:val="20"/>
                <w:szCs w:val="20"/>
                <w:lang w:val="en-US"/>
              </w:rPr>
              <w:t> </w:t>
            </w:r>
            <w:r w:rsidRPr="00FE6CB8">
              <w:rPr>
                <w:b/>
                <w:color w:val="263287"/>
                <w:sz w:val="20"/>
                <w:szCs w:val="20"/>
                <w:lang w:val="en-US"/>
              </w:rPr>
              <w:t>=</w:t>
            </w:r>
            <w:r w:rsidR="00FE6CB8" w:rsidRPr="00FE6CB8">
              <w:rPr>
                <w:b/>
                <w:color w:val="263287"/>
                <w:sz w:val="20"/>
                <w:szCs w:val="20"/>
                <w:lang w:val="en-US"/>
              </w:rPr>
              <w:t> </w:t>
            </w:r>
            <w:r w:rsidRPr="00FE6CB8">
              <w:rPr>
                <w:b/>
                <w:color w:val="263287"/>
                <w:sz w:val="20"/>
                <w:szCs w:val="20"/>
                <w:lang w:val="en-US"/>
              </w:rPr>
              <w:t>230</w:t>
            </w:r>
          </w:p>
        </w:tc>
        <w:tc>
          <w:tcPr>
            <w:tcW w:w="1445" w:type="dxa"/>
            <w:shd w:val="clear" w:color="auto" w:fill="DEEAF6" w:themeFill="accent5" w:themeFillTint="33"/>
            <w:hideMark/>
          </w:tcPr>
          <w:p w14:paraId="4D8EB40E" w14:textId="77777777" w:rsidR="00C903B2" w:rsidRPr="00FE6CB8" w:rsidRDefault="00C903B2"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FE6CB8">
              <w:rPr>
                <w:b/>
                <w:color w:val="263287"/>
                <w:sz w:val="20"/>
                <w:szCs w:val="20"/>
                <w:lang w:val="en-US"/>
              </w:rPr>
              <w:t>Fruquintinib + BSC</w:t>
            </w:r>
          </w:p>
          <w:p w14:paraId="769E6A1B" w14:textId="3771F5EB" w:rsidR="00C903B2" w:rsidRPr="00FE6CB8" w:rsidRDefault="00C903B2"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FE6CB8">
              <w:rPr>
                <w:b/>
                <w:color w:val="263287"/>
                <w:sz w:val="20"/>
                <w:szCs w:val="20"/>
                <w:lang w:val="en-US"/>
              </w:rPr>
              <w:t>N</w:t>
            </w:r>
            <w:r w:rsidR="00FE6CB8" w:rsidRPr="00FE6CB8">
              <w:rPr>
                <w:b/>
                <w:color w:val="263287"/>
                <w:sz w:val="20"/>
                <w:szCs w:val="20"/>
                <w:lang w:val="en-US"/>
              </w:rPr>
              <w:t> </w:t>
            </w:r>
            <w:r w:rsidRPr="00FE6CB8">
              <w:rPr>
                <w:b/>
                <w:color w:val="263287"/>
                <w:sz w:val="20"/>
                <w:szCs w:val="20"/>
                <w:lang w:val="en-US"/>
              </w:rPr>
              <w:t>=</w:t>
            </w:r>
            <w:r w:rsidR="00FE6CB8" w:rsidRPr="00FE6CB8">
              <w:rPr>
                <w:b/>
                <w:color w:val="263287"/>
                <w:sz w:val="20"/>
                <w:szCs w:val="20"/>
                <w:lang w:val="en-US"/>
              </w:rPr>
              <w:t> </w:t>
            </w:r>
            <w:r w:rsidRPr="00FE6CB8">
              <w:rPr>
                <w:b/>
                <w:color w:val="263287"/>
                <w:sz w:val="20"/>
                <w:szCs w:val="20"/>
                <w:lang w:val="en-US"/>
              </w:rPr>
              <w:t>278</w:t>
            </w:r>
          </w:p>
        </w:tc>
        <w:tc>
          <w:tcPr>
            <w:tcW w:w="1254" w:type="dxa"/>
            <w:shd w:val="clear" w:color="auto" w:fill="DEEAF6" w:themeFill="accent5" w:themeFillTint="33"/>
            <w:hideMark/>
          </w:tcPr>
          <w:p w14:paraId="365972AA" w14:textId="77777777" w:rsidR="00C903B2" w:rsidRPr="00FE6CB8" w:rsidRDefault="00C903B2"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FE6CB8">
              <w:rPr>
                <w:b/>
                <w:color w:val="263287"/>
                <w:sz w:val="20"/>
                <w:szCs w:val="20"/>
                <w:lang w:val="en-US"/>
              </w:rPr>
              <w:t xml:space="preserve">Placebo + BSC </w:t>
            </w:r>
          </w:p>
          <w:p w14:paraId="2090AA1E" w14:textId="1488067D" w:rsidR="00C903B2" w:rsidRPr="00FE6CB8" w:rsidRDefault="00C903B2"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FE6CB8">
              <w:rPr>
                <w:b/>
                <w:color w:val="263287"/>
                <w:sz w:val="20"/>
                <w:szCs w:val="20"/>
                <w:lang w:val="en-US"/>
              </w:rPr>
              <w:t>N</w:t>
            </w:r>
            <w:r w:rsidR="00FE6CB8" w:rsidRPr="00FE6CB8">
              <w:rPr>
                <w:b/>
                <w:color w:val="263287"/>
                <w:sz w:val="20"/>
                <w:szCs w:val="20"/>
                <w:lang w:val="en-US"/>
              </w:rPr>
              <w:t> </w:t>
            </w:r>
            <w:r w:rsidRPr="00FE6CB8">
              <w:rPr>
                <w:b/>
                <w:color w:val="263287"/>
                <w:sz w:val="20"/>
                <w:szCs w:val="20"/>
                <w:lang w:val="en-US"/>
              </w:rPr>
              <w:t>=</w:t>
            </w:r>
            <w:r w:rsidR="00FE6CB8" w:rsidRPr="00FE6CB8">
              <w:rPr>
                <w:b/>
                <w:color w:val="263287"/>
                <w:sz w:val="20"/>
                <w:szCs w:val="20"/>
                <w:lang w:val="en-US"/>
              </w:rPr>
              <w:t> </w:t>
            </w:r>
            <w:r w:rsidRPr="00FE6CB8">
              <w:rPr>
                <w:b/>
                <w:color w:val="263287"/>
                <w:sz w:val="20"/>
                <w:szCs w:val="20"/>
                <w:lang w:val="en-US"/>
              </w:rPr>
              <w:t>138</w:t>
            </w:r>
          </w:p>
        </w:tc>
      </w:tr>
      <w:tr w:rsidR="00E0683A" w:rsidRPr="00E0683A" w14:paraId="41E65206" w14:textId="77777777" w:rsidTr="00C903B2">
        <w:trPr>
          <w:trHeight w:val="288"/>
        </w:trPr>
        <w:tc>
          <w:tcPr>
            <w:cnfStyle w:val="001000000000" w:firstRow="0" w:lastRow="0" w:firstColumn="1" w:lastColumn="0" w:oddVBand="0" w:evenVBand="0" w:oddHBand="0" w:evenHBand="0" w:firstRowFirstColumn="0" w:firstRowLastColumn="0" w:lastRowFirstColumn="0" w:lastRowLastColumn="0"/>
            <w:tcW w:w="3539" w:type="dxa"/>
            <w:hideMark/>
          </w:tcPr>
          <w:p w14:paraId="3616D36E" w14:textId="77777777" w:rsidR="00E0683A" w:rsidRPr="00C903B2" w:rsidRDefault="00E0683A" w:rsidP="00773A7F">
            <w:pPr>
              <w:ind w:left="0"/>
              <w:rPr>
                <w:b/>
                <w:bCs/>
                <w:sz w:val="20"/>
                <w:szCs w:val="20"/>
                <w:lang w:val="en-US"/>
              </w:rPr>
            </w:pPr>
            <w:r w:rsidRPr="00C903B2">
              <w:rPr>
                <w:b/>
                <w:bCs/>
                <w:sz w:val="20"/>
                <w:szCs w:val="20"/>
                <w:lang w:val="en-US"/>
              </w:rPr>
              <w:t>OS</w:t>
            </w:r>
          </w:p>
        </w:tc>
        <w:tc>
          <w:tcPr>
            <w:tcW w:w="1418" w:type="dxa"/>
          </w:tcPr>
          <w:p w14:paraId="24BA02DF"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134" w:type="dxa"/>
          </w:tcPr>
          <w:p w14:paraId="0F0CEBAC"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445" w:type="dxa"/>
          </w:tcPr>
          <w:p w14:paraId="7DB9E3F9"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254" w:type="dxa"/>
          </w:tcPr>
          <w:p w14:paraId="5F6BB407"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5B7B4F5A" w14:textId="77777777" w:rsidTr="00C903B2">
        <w:trPr>
          <w:trHeight w:val="288"/>
        </w:trPr>
        <w:tc>
          <w:tcPr>
            <w:cnfStyle w:val="001000000000" w:firstRow="0" w:lastRow="0" w:firstColumn="1" w:lastColumn="0" w:oddVBand="0" w:evenVBand="0" w:oddHBand="0" w:evenHBand="0" w:firstRowFirstColumn="0" w:firstRowLastColumn="0" w:lastRowFirstColumn="0" w:lastRowLastColumn="0"/>
            <w:tcW w:w="3539" w:type="dxa"/>
            <w:hideMark/>
          </w:tcPr>
          <w:p w14:paraId="3BE59615" w14:textId="77777777" w:rsidR="00E0683A" w:rsidRPr="00C903B2" w:rsidRDefault="00E0683A" w:rsidP="00773A7F">
            <w:pPr>
              <w:ind w:left="0"/>
              <w:rPr>
                <w:sz w:val="20"/>
                <w:szCs w:val="20"/>
                <w:lang w:val="en-US"/>
              </w:rPr>
            </w:pPr>
            <w:bookmarkStart w:id="76" w:name="_Hlk170394935"/>
            <w:r w:rsidRPr="00C903B2">
              <w:rPr>
                <w:sz w:val="20"/>
                <w:szCs w:val="20"/>
                <w:lang w:val="en-US"/>
              </w:rPr>
              <w:t>Number (%) of patients with an OS event</w:t>
            </w:r>
          </w:p>
        </w:tc>
        <w:tc>
          <w:tcPr>
            <w:tcW w:w="1418" w:type="dxa"/>
            <w:hideMark/>
          </w:tcPr>
          <w:p w14:paraId="71BB7EAA"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317 (69%)</w:t>
            </w:r>
          </w:p>
        </w:tc>
        <w:tc>
          <w:tcPr>
            <w:tcW w:w="1134" w:type="dxa"/>
            <w:hideMark/>
          </w:tcPr>
          <w:p w14:paraId="40F73432"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173 (75%)</w:t>
            </w:r>
          </w:p>
        </w:tc>
        <w:tc>
          <w:tcPr>
            <w:tcW w:w="1445" w:type="dxa"/>
            <w:hideMark/>
          </w:tcPr>
          <w:p w14:paraId="669A467E"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188 (68%</w:t>
            </w:r>
          </w:p>
        </w:tc>
        <w:tc>
          <w:tcPr>
            <w:tcW w:w="1254" w:type="dxa"/>
            <w:hideMark/>
          </w:tcPr>
          <w:p w14:paraId="478F31EE"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109 (79%)</w:t>
            </w:r>
          </w:p>
        </w:tc>
      </w:tr>
      <w:tr w:rsidR="00E0683A" w:rsidRPr="00E0683A" w14:paraId="45E4B042" w14:textId="77777777" w:rsidTr="00C903B2">
        <w:trPr>
          <w:trHeight w:val="277"/>
        </w:trPr>
        <w:tc>
          <w:tcPr>
            <w:cnfStyle w:val="001000000000" w:firstRow="0" w:lastRow="0" w:firstColumn="1" w:lastColumn="0" w:oddVBand="0" w:evenVBand="0" w:oddHBand="0" w:evenHBand="0" w:firstRowFirstColumn="0" w:firstRowLastColumn="0" w:lastRowFirstColumn="0" w:lastRowLastColumn="0"/>
            <w:tcW w:w="3539" w:type="dxa"/>
            <w:hideMark/>
          </w:tcPr>
          <w:p w14:paraId="24A00C02" w14:textId="77777777" w:rsidR="00E0683A" w:rsidRPr="00C903B2" w:rsidRDefault="00E0683A" w:rsidP="00773A7F">
            <w:pPr>
              <w:ind w:left="0"/>
              <w:rPr>
                <w:sz w:val="20"/>
                <w:szCs w:val="20"/>
                <w:lang w:val="en-US"/>
              </w:rPr>
            </w:pPr>
            <w:r w:rsidRPr="00C903B2">
              <w:rPr>
                <w:sz w:val="20"/>
                <w:szCs w:val="20"/>
                <w:lang w:val="en-US"/>
              </w:rPr>
              <w:t>Median OS in months (95% CI)</w:t>
            </w:r>
          </w:p>
        </w:tc>
        <w:tc>
          <w:tcPr>
            <w:tcW w:w="1418" w:type="dxa"/>
            <w:hideMark/>
          </w:tcPr>
          <w:p w14:paraId="2AF97A2D"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 xml:space="preserve">7.4 </w:t>
            </w:r>
          </w:p>
          <w:p w14:paraId="3FD0D4D5"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(6.7, 8.2)</w:t>
            </w:r>
          </w:p>
        </w:tc>
        <w:tc>
          <w:tcPr>
            <w:tcW w:w="1134" w:type="dxa"/>
            <w:hideMark/>
          </w:tcPr>
          <w:p w14:paraId="4981C9F8"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 xml:space="preserve">4.8 </w:t>
            </w:r>
          </w:p>
          <w:p w14:paraId="132DF9BA"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(4.0, 5.8)</w:t>
            </w:r>
          </w:p>
        </w:tc>
        <w:tc>
          <w:tcPr>
            <w:tcW w:w="1445" w:type="dxa"/>
            <w:hideMark/>
          </w:tcPr>
          <w:p w14:paraId="65D204BF"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 xml:space="preserve">9.3 </w:t>
            </w:r>
          </w:p>
          <w:p w14:paraId="450D0BB9"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(8.2, 10.5)</w:t>
            </w:r>
          </w:p>
        </w:tc>
        <w:tc>
          <w:tcPr>
            <w:tcW w:w="1254" w:type="dxa"/>
            <w:hideMark/>
          </w:tcPr>
          <w:p w14:paraId="2087871C"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 xml:space="preserve">6.6 </w:t>
            </w:r>
          </w:p>
          <w:p w14:paraId="0A56FAEB"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(5.9, 8.1)</w:t>
            </w:r>
          </w:p>
        </w:tc>
      </w:tr>
      <w:tr w:rsidR="00E0683A" w:rsidRPr="00E0683A" w14:paraId="3E2354BD" w14:textId="77777777" w:rsidTr="00C903B2">
        <w:trPr>
          <w:trHeight w:val="268"/>
        </w:trPr>
        <w:tc>
          <w:tcPr>
            <w:cnfStyle w:val="001000000000" w:firstRow="0" w:lastRow="0" w:firstColumn="1" w:lastColumn="0" w:oddVBand="0" w:evenVBand="0" w:oddHBand="0" w:evenHBand="0" w:firstRowFirstColumn="0" w:firstRowLastColumn="0" w:lastRowFirstColumn="0" w:lastRowLastColumn="0"/>
            <w:tcW w:w="3539" w:type="dxa"/>
            <w:hideMark/>
          </w:tcPr>
          <w:p w14:paraId="714AB83A" w14:textId="77777777" w:rsidR="00E0683A" w:rsidRPr="00C903B2" w:rsidRDefault="00E0683A" w:rsidP="00773A7F">
            <w:pPr>
              <w:ind w:left="0"/>
              <w:rPr>
                <w:sz w:val="20"/>
                <w:szCs w:val="20"/>
                <w:lang w:val="en-US"/>
              </w:rPr>
            </w:pPr>
            <w:r w:rsidRPr="00C903B2">
              <w:rPr>
                <w:sz w:val="20"/>
                <w:szCs w:val="20"/>
                <w:lang w:val="en-US"/>
              </w:rPr>
              <w:t xml:space="preserve">Adjusted Hazard </w:t>
            </w:r>
            <w:proofErr w:type="spellStart"/>
            <w:r w:rsidRPr="00C903B2">
              <w:rPr>
                <w:sz w:val="20"/>
                <w:szCs w:val="20"/>
                <w:lang w:val="en-US"/>
              </w:rPr>
              <w:t>Ratio</w:t>
            </w:r>
            <w:r w:rsidRPr="00C903B2">
              <w:rPr>
                <w:sz w:val="20"/>
                <w:szCs w:val="20"/>
                <w:vertAlign w:val="superscript"/>
                <w:lang w:val="en-US"/>
              </w:rPr>
              <w:t>a</w:t>
            </w:r>
            <w:proofErr w:type="spellEnd"/>
            <w:r w:rsidRPr="00C903B2">
              <w:rPr>
                <w:sz w:val="20"/>
                <w:szCs w:val="20"/>
                <w:lang w:val="en-US"/>
              </w:rPr>
              <w:t xml:space="preserve"> (95% CI)</w:t>
            </w:r>
          </w:p>
        </w:tc>
        <w:tc>
          <w:tcPr>
            <w:tcW w:w="2552" w:type="dxa"/>
            <w:gridSpan w:val="2"/>
            <w:hideMark/>
          </w:tcPr>
          <w:p w14:paraId="5A8A8A9F"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0.66 (0.55, 0.80)</w:t>
            </w:r>
          </w:p>
        </w:tc>
        <w:tc>
          <w:tcPr>
            <w:tcW w:w="2699" w:type="dxa"/>
            <w:gridSpan w:val="2"/>
            <w:hideMark/>
          </w:tcPr>
          <w:p w14:paraId="0FF4D1DA"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rPr>
              <w:t>0.65 (0.51, 0.83)</w:t>
            </w:r>
          </w:p>
        </w:tc>
      </w:tr>
      <w:tr w:rsidR="00E0683A" w:rsidRPr="00E0683A" w14:paraId="1C22D583" w14:textId="77777777" w:rsidTr="00C903B2">
        <w:trPr>
          <w:trHeight w:val="333"/>
        </w:trPr>
        <w:tc>
          <w:tcPr>
            <w:cnfStyle w:val="001000000000" w:firstRow="0" w:lastRow="0" w:firstColumn="1" w:lastColumn="0" w:oddVBand="0" w:evenVBand="0" w:oddHBand="0" w:evenHBand="0" w:firstRowFirstColumn="0" w:firstRowLastColumn="0" w:lastRowFirstColumn="0" w:lastRowLastColumn="0"/>
            <w:tcW w:w="3539" w:type="dxa"/>
            <w:hideMark/>
          </w:tcPr>
          <w:p w14:paraId="6C76A781" w14:textId="77777777" w:rsidR="00E0683A" w:rsidRPr="00C903B2" w:rsidRDefault="00E0683A" w:rsidP="00773A7F">
            <w:pPr>
              <w:ind w:left="0"/>
              <w:rPr>
                <w:sz w:val="20"/>
                <w:szCs w:val="20"/>
                <w:lang w:val="en-US"/>
              </w:rPr>
            </w:pPr>
            <w:r w:rsidRPr="00C903B2">
              <w:rPr>
                <w:iCs/>
                <w:sz w:val="20"/>
                <w:szCs w:val="20"/>
                <w:lang w:val="en-US"/>
              </w:rPr>
              <w:t>p</w:t>
            </w:r>
            <w:r w:rsidRPr="00C903B2">
              <w:rPr>
                <w:sz w:val="20"/>
                <w:szCs w:val="20"/>
                <w:lang w:val="en-US"/>
              </w:rPr>
              <w:t>-</w:t>
            </w:r>
            <w:proofErr w:type="spellStart"/>
            <w:r w:rsidRPr="00C903B2">
              <w:rPr>
                <w:sz w:val="20"/>
                <w:szCs w:val="20"/>
                <w:lang w:val="en-US"/>
              </w:rPr>
              <w:t>Value</w:t>
            </w:r>
            <w:r w:rsidRPr="00C903B2">
              <w:rPr>
                <w:sz w:val="20"/>
                <w:szCs w:val="20"/>
                <w:vertAlign w:val="superscript"/>
                <w:lang w:val="en-US"/>
              </w:rPr>
              <w:t>b</w:t>
            </w:r>
            <w:proofErr w:type="spellEnd"/>
          </w:p>
        </w:tc>
        <w:tc>
          <w:tcPr>
            <w:tcW w:w="2552" w:type="dxa"/>
            <w:gridSpan w:val="2"/>
            <w:hideMark/>
          </w:tcPr>
          <w:p w14:paraId="1F04FFB1"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&lt;0.001</w:t>
            </w:r>
          </w:p>
        </w:tc>
        <w:tc>
          <w:tcPr>
            <w:tcW w:w="2699" w:type="dxa"/>
            <w:gridSpan w:val="2"/>
            <w:hideMark/>
          </w:tcPr>
          <w:p w14:paraId="1DD1FEA6"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&lt;0.001</w:t>
            </w:r>
          </w:p>
        </w:tc>
        <w:bookmarkEnd w:id="76"/>
      </w:tr>
      <w:tr w:rsidR="00E0683A" w:rsidRPr="00E0683A" w14:paraId="01979F06" w14:textId="77777777" w:rsidTr="00C903B2">
        <w:trPr>
          <w:trHeight w:val="333"/>
        </w:trPr>
        <w:tc>
          <w:tcPr>
            <w:cnfStyle w:val="001000000000" w:firstRow="0" w:lastRow="0" w:firstColumn="1" w:lastColumn="0" w:oddVBand="0" w:evenVBand="0" w:oddHBand="0" w:evenHBand="0" w:firstRowFirstColumn="0" w:firstRowLastColumn="0" w:lastRowFirstColumn="0" w:lastRowLastColumn="0"/>
            <w:tcW w:w="3539" w:type="dxa"/>
            <w:hideMark/>
          </w:tcPr>
          <w:p w14:paraId="7F65C6B2" w14:textId="77777777" w:rsidR="00E0683A" w:rsidRPr="00C903B2" w:rsidRDefault="00E0683A" w:rsidP="00773A7F">
            <w:pPr>
              <w:ind w:left="0"/>
              <w:rPr>
                <w:b/>
                <w:bCs/>
                <w:iCs/>
                <w:sz w:val="20"/>
                <w:szCs w:val="20"/>
                <w:lang w:val="en-US"/>
              </w:rPr>
            </w:pPr>
            <w:r w:rsidRPr="00C903B2">
              <w:rPr>
                <w:b/>
                <w:bCs/>
                <w:iCs/>
                <w:sz w:val="20"/>
                <w:szCs w:val="20"/>
                <w:lang w:val="en-US"/>
              </w:rPr>
              <w:t>PFS</w:t>
            </w:r>
          </w:p>
        </w:tc>
        <w:tc>
          <w:tcPr>
            <w:tcW w:w="2552" w:type="dxa"/>
            <w:gridSpan w:val="2"/>
          </w:tcPr>
          <w:p w14:paraId="7E849F22"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2699" w:type="dxa"/>
            <w:gridSpan w:val="2"/>
          </w:tcPr>
          <w:p w14:paraId="40D9E0F3"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062C46DB" w14:textId="77777777" w:rsidTr="00C903B2">
        <w:trPr>
          <w:trHeight w:val="288"/>
        </w:trPr>
        <w:tc>
          <w:tcPr>
            <w:cnfStyle w:val="001000000000" w:firstRow="0" w:lastRow="0" w:firstColumn="1" w:lastColumn="0" w:oddVBand="0" w:evenVBand="0" w:oddHBand="0" w:evenHBand="0" w:firstRowFirstColumn="0" w:firstRowLastColumn="0" w:lastRowFirstColumn="0" w:lastRowLastColumn="0"/>
            <w:tcW w:w="3539" w:type="dxa"/>
            <w:hideMark/>
          </w:tcPr>
          <w:p w14:paraId="30BC6D5E" w14:textId="77777777" w:rsidR="00E0683A" w:rsidRPr="00C903B2" w:rsidRDefault="00E0683A" w:rsidP="00773A7F">
            <w:pPr>
              <w:ind w:left="0"/>
              <w:rPr>
                <w:sz w:val="20"/>
                <w:szCs w:val="20"/>
                <w:lang w:val="en-US"/>
              </w:rPr>
            </w:pPr>
            <w:r w:rsidRPr="00C903B2">
              <w:rPr>
                <w:sz w:val="20"/>
                <w:szCs w:val="20"/>
                <w:lang w:val="en-US"/>
              </w:rPr>
              <w:t>Number (%) of patients with a PFS event</w:t>
            </w:r>
          </w:p>
        </w:tc>
        <w:tc>
          <w:tcPr>
            <w:tcW w:w="1418" w:type="dxa"/>
            <w:hideMark/>
          </w:tcPr>
          <w:p w14:paraId="47BC6DDD"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392 (85%)</w:t>
            </w:r>
          </w:p>
        </w:tc>
        <w:tc>
          <w:tcPr>
            <w:tcW w:w="1134" w:type="dxa"/>
            <w:hideMark/>
          </w:tcPr>
          <w:p w14:paraId="22CF9DE7"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213 (93%)</w:t>
            </w:r>
          </w:p>
        </w:tc>
        <w:tc>
          <w:tcPr>
            <w:tcW w:w="1445" w:type="dxa"/>
            <w:hideMark/>
          </w:tcPr>
          <w:p w14:paraId="11E96436"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235 (85%)</w:t>
            </w:r>
          </w:p>
        </w:tc>
        <w:tc>
          <w:tcPr>
            <w:tcW w:w="1254" w:type="dxa"/>
            <w:hideMark/>
          </w:tcPr>
          <w:p w14:paraId="41B6356C"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125 (91%)</w:t>
            </w:r>
          </w:p>
        </w:tc>
      </w:tr>
      <w:tr w:rsidR="00E0683A" w:rsidRPr="00E0683A" w14:paraId="2A9A57B4" w14:textId="77777777" w:rsidTr="00C903B2">
        <w:trPr>
          <w:trHeight w:val="288"/>
        </w:trPr>
        <w:tc>
          <w:tcPr>
            <w:cnfStyle w:val="001000000000" w:firstRow="0" w:lastRow="0" w:firstColumn="1" w:lastColumn="0" w:oddVBand="0" w:evenVBand="0" w:oddHBand="0" w:evenHBand="0" w:firstRowFirstColumn="0" w:firstRowLastColumn="0" w:lastRowFirstColumn="0" w:lastRowLastColumn="0"/>
            <w:tcW w:w="3539" w:type="dxa"/>
            <w:hideMark/>
          </w:tcPr>
          <w:p w14:paraId="6BA6F222" w14:textId="77777777" w:rsidR="00E0683A" w:rsidRPr="00C903B2" w:rsidRDefault="00E0683A" w:rsidP="00773A7F">
            <w:pPr>
              <w:ind w:left="0"/>
              <w:rPr>
                <w:sz w:val="20"/>
                <w:szCs w:val="20"/>
                <w:lang w:val="en-US"/>
              </w:rPr>
            </w:pPr>
            <w:r w:rsidRPr="00C903B2">
              <w:rPr>
                <w:sz w:val="20"/>
                <w:szCs w:val="20"/>
                <w:lang w:val="en-US"/>
              </w:rPr>
              <w:t>Progressions, n (%)</w:t>
            </w:r>
          </w:p>
        </w:tc>
        <w:tc>
          <w:tcPr>
            <w:tcW w:w="1418" w:type="dxa"/>
            <w:hideMark/>
          </w:tcPr>
          <w:p w14:paraId="7EA3F37D"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301 (65%)</w:t>
            </w:r>
          </w:p>
        </w:tc>
        <w:tc>
          <w:tcPr>
            <w:tcW w:w="1134" w:type="dxa"/>
            <w:hideMark/>
          </w:tcPr>
          <w:p w14:paraId="72C10D66"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167 (73%)</w:t>
            </w:r>
          </w:p>
        </w:tc>
        <w:tc>
          <w:tcPr>
            <w:tcW w:w="1445" w:type="dxa"/>
          </w:tcPr>
          <w:p w14:paraId="732C0028"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254" w:type="dxa"/>
          </w:tcPr>
          <w:p w14:paraId="7A0EF357"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308C0DFC" w14:textId="77777777" w:rsidTr="00C903B2">
        <w:trPr>
          <w:trHeight w:val="288"/>
        </w:trPr>
        <w:tc>
          <w:tcPr>
            <w:cnfStyle w:val="001000000000" w:firstRow="0" w:lastRow="0" w:firstColumn="1" w:lastColumn="0" w:oddVBand="0" w:evenVBand="0" w:oddHBand="0" w:evenHBand="0" w:firstRowFirstColumn="0" w:firstRowLastColumn="0" w:lastRowFirstColumn="0" w:lastRowLastColumn="0"/>
            <w:tcW w:w="3539" w:type="dxa"/>
            <w:hideMark/>
          </w:tcPr>
          <w:p w14:paraId="7E235B0B" w14:textId="77777777" w:rsidR="00E0683A" w:rsidRPr="00C903B2" w:rsidRDefault="00E0683A" w:rsidP="00773A7F">
            <w:pPr>
              <w:ind w:left="0"/>
              <w:rPr>
                <w:sz w:val="20"/>
                <w:szCs w:val="20"/>
                <w:lang w:val="en-US"/>
              </w:rPr>
            </w:pPr>
            <w:r w:rsidRPr="00C903B2">
              <w:rPr>
                <w:sz w:val="20"/>
                <w:szCs w:val="20"/>
                <w:lang w:val="en-US"/>
              </w:rPr>
              <w:t>Deaths, n (%)</w:t>
            </w:r>
          </w:p>
        </w:tc>
        <w:tc>
          <w:tcPr>
            <w:tcW w:w="1418" w:type="dxa"/>
            <w:hideMark/>
          </w:tcPr>
          <w:p w14:paraId="2D68C037"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91 (20%)</w:t>
            </w:r>
          </w:p>
        </w:tc>
        <w:tc>
          <w:tcPr>
            <w:tcW w:w="1134" w:type="dxa"/>
            <w:hideMark/>
          </w:tcPr>
          <w:p w14:paraId="26A2C457"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46 (20%)</w:t>
            </w:r>
          </w:p>
        </w:tc>
        <w:tc>
          <w:tcPr>
            <w:tcW w:w="1445" w:type="dxa"/>
          </w:tcPr>
          <w:p w14:paraId="4D530696"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254" w:type="dxa"/>
          </w:tcPr>
          <w:p w14:paraId="05307F30"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3610BA9C" w14:textId="77777777" w:rsidTr="00C903B2">
        <w:trPr>
          <w:trHeight w:val="277"/>
        </w:trPr>
        <w:tc>
          <w:tcPr>
            <w:cnfStyle w:val="001000000000" w:firstRow="0" w:lastRow="0" w:firstColumn="1" w:lastColumn="0" w:oddVBand="0" w:evenVBand="0" w:oddHBand="0" w:evenHBand="0" w:firstRowFirstColumn="0" w:firstRowLastColumn="0" w:lastRowFirstColumn="0" w:lastRowLastColumn="0"/>
            <w:tcW w:w="3539" w:type="dxa"/>
            <w:hideMark/>
          </w:tcPr>
          <w:p w14:paraId="08014335" w14:textId="77777777" w:rsidR="00E0683A" w:rsidRPr="00C903B2" w:rsidRDefault="00E0683A" w:rsidP="00773A7F">
            <w:pPr>
              <w:ind w:left="0"/>
              <w:rPr>
                <w:sz w:val="20"/>
                <w:szCs w:val="20"/>
                <w:lang w:val="en-US"/>
              </w:rPr>
            </w:pPr>
            <w:r w:rsidRPr="00C903B2">
              <w:rPr>
                <w:sz w:val="20"/>
                <w:szCs w:val="20"/>
                <w:lang w:val="en-US"/>
              </w:rPr>
              <w:t>Median PFS in months (95% CI)</w:t>
            </w:r>
          </w:p>
        </w:tc>
        <w:tc>
          <w:tcPr>
            <w:tcW w:w="1418" w:type="dxa"/>
            <w:hideMark/>
          </w:tcPr>
          <w:p w14:paraId="337C06BF"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3.7 (3.5, 3.8)</w:t>
            </w:r>
          </w:p>
        </w:tc>
        <w:tc>
          <w:tcPr>
            <w:tcW w:w="1134" w:type="dxa"/>
            <w:hideMark/>
          </w:tcPr>
          <w:p w14:paraId="381B9398"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1.8 (1.8, 1.9)</w:t>
            </w:r>
          </w:p>
        </w:tc>
        <w:tc>
          <w:tcPr>
            <w:tcW w:w="1445" w:type="dxa"/>
            <w:hideMark/>
          </w:tcPr>
          <w:p w14:paraId="14FA0FA1"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3.7 (3.7, 4.6)</w:t>
            </w:r>
          </w:p>
        </w:tc>
        <w:tc>
          <w:tcPr>
            <w:tcW w:w="1254" w:type="dxa"/>
            <w:hideMark/>
          </w:tcPr>
          <w:p w14:paraId="58364C0F"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1.8 (1.8, 1.8)</w:t>
            </w:r>
          </w:p>
        </w:tc>
      </w:tr>
      <w:tr w:rsidR="00E0683A" w:rsidRPr="00E0683A" w14:paraId="11C4D150" w14:textId="77777777" w:rsidTr="00C903B2">
        <w:trPr>
          <w:trHeight w:val="268"/>
        </w:trPr>
        <w:tc>
          <w:tcPr>
            <w:cnfStyle w:val="001000000000" w:firstRow="0" w:lastRow="0" w:firstColumn="1" w:lastColumn="0" w:oddVBand="0" w:evenVBand="0" w:oddHBand="0" w:evenHBand="0" w:firstRowFirstColumn="0" w:firstRowLastColumn="0" w:lastRowFirstColumn="0" w:lastRowLastColumn="0"/>
            <w:tcW w:w="3539" w:type="dxa"/>
            <w:hideMark/>
          </w:tcPr>
          <w:p w14:paraId="3AD3C060" w14:textId="77777777" w:rsidR="00E0683A" w:rsidRPr="00C903B2" w:rsidRDefault="00E0683A" w:rsidP="00773A7F">
            <w:pPr>
              <w:ind w:left="0"/>
              <w:rPr>
                <w:sz w:val="20"/>
                <w:szCs w:val="20"/>
                <w:lang w:val="en-US"/>
              </w:rPr>
            </w:pPr>
            <w:r w:rsidRPr="00C903B2">
              <w:rPr>
                <w:sz w:val="20"/>
                <w:szCs w:val="20"/>
                <w:lang w:val="en-US"/>
              </w:rPr>
              <w:t xml:space="preserve">Adjusted Hazard </w:t>
            </w:r>
            <w:proofErr w:type="spellStart"/>
            <w:r w:rsidRPr="00C903B2">
              <w:rPr>
                <w:sz w:val="20"/>
                <w:szCs w:val="20"/>
                <w:lang w:val="en-US"/>
              </w:rPr>
              <w:t>Ratio</w:t>
            </w:r>
            <w:r w:rsidRPr="00C903B2">
              <w:rPr>
                <w:sz w:val="20"/>
                <w:szCs w:val="20"/>
                <w:vertAlign w:val="superscript"/>
                <w:lang w:val="en-US"/>
              </w:rPr>
              <w:t>a</w:t>
            </w:r>
            <w:proofErr w:type="spellEnd"/>
            <w:r w:rsidRPr="00C903B2">
              <w:rPr>
                <w:sz w:val="20"/>
                <w:szCs w:val="20"/>
                <w:lang w:val="en-US"/>
              </w:rPr>
              <w:t xml:space="preserve"> (95% CI)</w:t>
            </w:r>
          </w:p>
        </w:tc>
        <w:tc>
          <w:tcPr>
            <w:tcW w:w="2552" w:type="dxa"/>
            <w:gridSpan w:val="2"/>
            <w:hideMark/>
          </w:tcPr>
          <w:p w14:paraId="6887E436"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rPr>
              <w:t>0.32 (0.27, 0.39)</w:t>
            </w:r>
          </w:p>
        </w:tc>
        <w:tc>
          <w:tcPr>
            <w:tcW w:w="2699" w:type="dxa"/>
            <w:gridSpan w:val="2"/>
            <w:hideMark/>
          </w:tcPr>
          <w:p w14:paraId="404AD471"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rPr>
              <w:t>0.26 (0.21, 0.34)</w:t>
            </w:r>
          </w:p>
        </w:tc>
      </w:tr>
      <w:tr w:rsidR="00E0683A" w:rsidRPr="00E0683A" w14:paraId="4600F39C" w14:textId="77777777" w:rsidTr="00C903B2">
        <w:trPr>
          <w:trHeight w:val="333"/>
        </w:trPr>
        <w:tc>
          <w:tcPr>
            <w:cnfStyle w:val="001000000000" w:firstRow="0" w:lastRow="0" w:firstColumn="1" w:lastColumn="0" w:oddVBand="0" w:evenVBand="0" w:oddHBand="0" w:evenHBand="0" w:firstRowFirstColumn="0" w:firstRowLastColumn="0" w:lastRowFirstColumn="0" w:lastRowLastColumn="0"/>
            <w:tcW w:w="3539" w:type="dxa"/>
            <w:hideMark/>
          </w:tcPr>
          <w:p w14:paraId="469EB0DF" w14:textId="77777777" w:rsidR="00E0683A" w:rsidRPr="00C903B2" w:rsidRDefault="00E0683A" w:rsidP="00773A7F">
            <w:pPr>
              <w:ind w:left="0"/>
              <w:rPr>
                <w:sz w:val="20"/>
                <w:szCs w:val="20"/>
                <w:lang w:val="en-US"/>
              </w:rPr>
            </w:pPr>
            <w:r w:rsidRPr="00C903B2">
              <w:rPr>
                <w:iCs/>
                <w:sz w:val="20"/>
                <w:szCs w:val="20"/>
                <w:lang w:val="en-US"/>
              </w:rPr>
              <w:t>p</w:t>
            </w:r>
            <w:r w:rsidRPr="00C903B2">
              <w:rPr>
                <w:sz w:val="20"/>
                <w:szCs w:val="20"/>
                <w:lang w:val="en-US"/>
              </w:rPr>
              <w:t>-</w:t>
            </w:r>
            <w:proofErr w:type="spellStart"/>
            <w:r w:rsidRPr="00C903B2">
              <w:rPr>
                <w:sz w:val="20"/>
                <w:szCs w:val="20"/>
                <w:lang w:val="en-US"/>
              </w:rPr>
              <w:t>Value</w:t>
            </w:r>
            <w:r w:rsidRPr="00C903B2">
              <w:rPr>
                <w:sz w:val="20"/>
                <w:szCs w:val="20"/>
                <w:vertAlign w:val="superscript"/>
                <w:lang w:val="en-US"/>
              </w:rPr>
              <w:t>b</w:t>
            </w:r>
            <w:proofErr w:type="spellEnd"/>
          </w:p>
        </w:tc>
        <w:tc>
          <w:tcPr>
            <w:tcW w:w="2552" w:type="dxa"/>
            <w:gridSpan w:val="2"/>
            <w:hideMark/>
          </w:tcPr>
          <w:p w14:paraId="50F42770"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rPr>
              <w:t>&lt;0.001</w:t>
            </w:r>
          </w:p>
        </w:tc>
        <w:tc>
          <w:tcPr>
            <w:tcW w:w="2699" w:type="dxa"/>
            <w:gridSpan w:val="2"/>
            <w:hideMark/>
          </w:tcPr>
          <w:p w14:paraId="4199D804" w14:textId="77777777" w:rsidR="00E0683A" w:rsidRPr="00C903B2"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C903B2">
              <w:rPr>
                <w:sz w:val="20"/>
                <w:szCs w:val="20"/>
                <w:lang w:val="en-US"/>
              </w:rPr>
              <w:t>(&lt;0.001; no multiplicity adjustment)</w:t>
            </w:r>
          </w:p>
        </w:tc>
      </w:tr>
    </w:tbl>
    <w:p w14:paraId="58E68478" w14:textId="060B9E2D" w:rsidR="005D2AAB" w:rsidRDefault="005D2AAB" w:rsidP="00F517BA">
      <w:pPr>
        <w:pStyle w:val="TableDescription"/>
        <w:rPr>
          <w:vertAlign w:val="superscript"/>
          <w:lang w:val="en-US"/>
        </w:rPr>
      </w:pPr>
      <w:r w:rsidRPr="00F517BA">
        <w:rPr>
          <w:lang w:val="en-US"/>
        </w:rPr>
        <w:t>Abbreviations:</w:t>
      </w:r>
      <w:r>
        <w:rPr>
          <w:vertAlign w:val="superscript"/>
          <w:lang w:val="en-US"/>
        </w:rPr>
        <w:t xml:space="preserve"> </w:t>
      </w:r>
      <w:r w:rsidR="00DC0055">
        <w:t>BSC = b</w:t>
      </w:r>
      <w:r w:rsidR="00DC0055" w:rsidRPr="00D30080">
        <w:t>est supportive care</w:t>
      </w:r>
      <w:r w:rsidR="00BE1CAE">
        <w:t>, CI = confidence interval, N/n = number, OS = overall survival, PFS</w:t>
      </w:r>
      <w:r w:rsidR="00E07F76">
        <w:t> </w:t>
      </w:r>
      <w:r w:rsidR="00BE1CAE">
        <w:t>=</w:t>
      </w:r>
      <w:r w:rsidR="00E07F76">
        <w:t> </w:t>
      </w:r>
      <w:r w:rsidR="00BE1CAE">
        <w:t>progression</w:t>
      </w:r>
      <w:r w:rsidR="00F517BA">
        <w:t>-</w:t>
      </w:r>
      <w:r w:rsidR="00BE1CAE">
        <w:t>free survival</w:t>
      </w:r>
      <w:r w:rsidR="00F517BA">
        <w:t>.</w:t>
      </w:r>
    </w:p>
    <w:p w14:paraId="2D8E7F90" w14:textId="14068344" w:rsidR="00E0683A" w:rsidRPr="00E0683A" w:rsidRDefault="00E0683A" w:rsidP="00F517BA">
      <w:pPr>
        <w:pStyle w:val="TableDescription"/>
        <w:rPr>
          <w:lang w:val="en-US"/>
        </w:rPr>
      </w:pPr>
      <w:proofErr w:type="gramStart"/>
      <w:r w:rsidRPr="00E0683A">
        <w:rPr>
          <w:vertAlign w:val="superscript"/>
          <w:lang w:val="en-US"/>
        </w:rPr>
        <w:t>a</w:t>
      </w:r>
      <w:proofErr w:type="gramEnd"/>
      <w:r w:rsidR="005D2AAB">
        <w:rPr>
          <w:lang w:val="en-US"/>
        </w:rPr>
        <w:t xml:space="preserve"> </w:t>
      </w:r>
      <w:r w:rsidRPr="00E0683A">
        <w:rPr>
          <w:lang w:val="en-US"/>
        </w:rPr>
        <w:t>Adjusted for stratification factors.</w:t>
      </w:r>
    </w:p>
    <w:p w14:paraId="4CEC3292" w14:textId="3B49A9DE" w:rsidR="00E0683A" w:rsidRPr="009C3128" w:rsidRDefault="00E0683A" w:rsidP="00F517BA">
      <w:pPr>
        <w:pStyle w:val="TableDescription"/>
        <w:rPr>
          <w:lang w:val="en-US"/>
        </w:rPr>
      </w:pPr>
      <w:r w:rsidRPr="00E0683A">
        <w:rPr>
          <w:vertAlign w:val="superscript"/>
          <w:lang w:val="en-US"/>
        </w:rPr>
        <w:t>b</w:t>
      </w:r>
      <w:r w:rsidR="005D2AAB">
        <w:rPr>
          <w:lang w:val="en-US"/>
        </w:rPr>
        <w:t xml:space="preserve"> </w:t>
      </w:r>
      <w:r w:rsidRPr="00E0683A">
        <w:rPr>
          <w:lang w:val="en-US"/>
        </w:rPr>
        <w:t>2-sided p-value computed from stratified log-rank test.</w:t>
      </w:r>
    </w:p>
    <w:p w14:paraId="3551E00E" w14:textId="7CA4026F" w:rsidR="00E0683A" w:rsidRPr="00E0683A" w:rsidRDefault="00E0683A" w:rsidP="00F517BA">
      <w:pPr>
        <w:pStyle w:val="FigureTitle"/>
      </w:pPr>
      <w:bookmarkStart w:id="77" w:name="_Ref170399464"/>
      <w:r w:rsidRPr="00E0683A">
        <w:lastRenderedPageBreak/>
        <w:t xml:space="preserve">Figure </w:t>
      </w:r>
      <w:r w:rsidRPr="00E0683A">
        <w:fldChar w:fldCharType="begin"/>
      </w:r>
      <w:r w:rsidRPr="00E0683A">
        <w:instrText xml:space="preserve"> SEQ Figure \* ARABIC </w:instrText>
      </w:r>
      <w:r w:rsidRPr="00E0683A">
        <w:fldChar w:fldCharType="separate"/>
      </w:r>
      <w:r w:rsidR="00A407E4">
        <w:rPr>
          <w:noProof/>
        </w:rPr>
        <w:t>2</w:t>
      </w:r>
      <w:r w:rsidRPr="00E0683A">
        <w:fldChar w:fldCharType="end"/>
      </w:r>
      <w:bookmarkEnd w:id="77"/>
      <w:r w:rsidR="00F517BA">
        <w:t>:</w:t>
      </w:r>
      <w:r w:rsidRPr="00E0683A">
        <w:t xml:space="preserve"> Kaplan-Meier curve for the primary endpoint (</w:t>
      </w:r>
      <w:r w:rsidR="006433B1">
        <w:t>o</w:t>
      </w:r>
      <w:r w:rsidR="00F517BA">
        <w:t xml:space="preserve">verall </w:t>
      </w:r>
      <w:r w:rsidR="006433B1">
        <w:t>survival</w:t>
      </w:r>
      <w:r w:rsidRPr="00E0683A">
        <w:t>) in FRESCO-2</w:t>
      </w:r>
    </w:p>
    <w:p w14:paraId="210D43B7" w14:textId="3A373CA4" w:rsidR="00E0683A" w:rsidRDefault="00E0683A" w:rsidP="00E0683A">
      <w:pPr>
        <w:rPr>
          <w:b/>
          <w:lang w:val="en-US"/>
        </w:rPr>
      </w:pPr>
      <w:r w:rsidRPr="00E0683A">
        <w:rPr>
          <w:b/>
          <w:noProof/>
          <w:lang w:val="en-US"/>
        </w:rPr>
        <w:drawing>
          <wp:inline distT="0" distB="0" distL="0" distR="0" wp14:anchorId="741594D8" wp14:editId="6EFEA61B">
            <wp:extent cx="5626100" cy="3676650"/>
            <wp:effectExtent l="0" t="0" r="0" b="0"/>
            <wp:docPr id="1138477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26100" cy="3676650"/>
                    </a:xfrm>
                    <a:prstGeom prst="rect">
                      <a:avLst/>
                    </a:prstGeom>
                    <a:noFill/>
                    <a:ln>
                      <a:noFill/>
                    </a:ln>
                  </pic:spPr>
                </pic:pic>
              </a:graphicData>
            </a:graphic>
          </wp:inline>
        </w:drawing>
      </w:r>
    </w:p>
    <w:p w14:paraId="0ECE2338" w14:textId="37162C2F" w:rsidR="006433B1" w:rsidRPr="00E0683A" w:rsidRDefault="006433B1" w:rsidP="008B7A58">
      <w:pPr>
        <w:pStyle w:val="FigureDescription"/>
        <w:rPr>
          <w:lang w:val="en-US"/>
        </w:rPr>
      </w:pPr>
      <w:r>
        <w:rPr>
          <w:lang w:val="en-US"/>
        </w:rPr>
        <w:t xml:space="preserve">Abbreviations: BSC = best supportive care, OS = </w:t>
      </w:r>
      <w:r w:rsidR="008B7A58">
        <w:rPr>
          <w:lang w:val="en-US"/>
        </w:rPr>
        <w:t>overall survival.</w:t>
      </w:r>
    </w:p>
    <w:p w14:paraId="2D80AA27" w14:textId="3A6B2B33" w:rsidR="00E0683A" w:rsidRPr="00E0683A" w:rsidRDefault="00E0683A" w:rsidP="00165004">
      <w:pPr>
        <w:pStyle w:val="FigureTitle"/>
      </w:pPr>
      <w:bookmarkStart w:id="78" w:name="_Ref170979749"/>
      <w:r w:rsidRPr="00E0683A">
        <w:t xml:space="preserve">Figure </w:t>
      </w:r>
      <w:r w:rsidRPr="00E0683A">
        <w:fldChar w:fldCharType="begin"/>
      </w:r>
      <w:r w:rsidRPr="00E0683A">
        <w:instrText xml:space="preserve"> SEQ Figure \* ARABIC </w:instrText>
      </w:r>
      <w:r w:rsidRPr="00E0683A">
        <w:fldChar w:fldCharType="separate"/>
      </w:r>
      <w:r w:rsidR="00A407E4">
        <w:rPr>
          <w:noProof/>
        </w:rPr>
        <w:t>3</w:t>
      </w:r>
      <w:r w:rsidRPr="00E0683A">
        <w:fldChar w:fldCharType="end"/>
      </w:r>
      <w:bookmarkEnd w:id="78"/>
      <w:r w:rsidRPr="00E0683A">
        <w:t>. Kaplan-Meier curve for the key secondary endpoint (</w:t>
      </w:r>
      <w:r w:rsidR="008B7A58">
        <w:t>progression-free survival</w:t>
      </w:r>
      <w:r w:rsidRPr="00E0683A">
        <w:t>) in FRESCO</w:t>
      </w:r>
    </w:p>
    <w:p w14:paraId="3C0C6911" w14:textId="27951CC6" w:rsidR="00E0683A" w:rsidRDefault="00E0683A" w:rsidP="00E0683A">
      <w:pPr>
        <w:rPr>
          <w:b/>
          <w:lang w:val="en-US"/>
        </w:rPr>
      </w:pPr>
      <w:r w:rsidRPr="00E0683A">
        <w:rPr>
          <w:b/>
          <w:noProof/>
          <w:lang w:val="en-US"/>
        </w:rPr>
        <w:drawing>
          <wp:inline distT="0" distB="0" distL="0" distR="0" wp14:anchorId="7AFC1B7A" wp14:editId="1A32BD4E">
            <wp:extent cx="5143500" cy="2959100"/>
            <wp:effectExtent l="0" t="0" r="0" b="0"/>
            <wp:docPr id="5358030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43500" cy="2959100"/>
                    </a:xfrm>
                    <a:prstGeom prst="rect">
                      <a:avLst/>
                    </a:prstGeom>
                    <a:noFill/>
                    <a:ln>
                      <a:noFill/>
                    </a:ln>
                  </pic:spPr>
                </pic:pic>
              </a:graphicData>
            </a:graphic>
          </wp:inline>
        </w:drawing>
      </w:r>
    </w:p>
    <w:p w14:paraId="558CE681" w14:textId="0357450E" w:rsidR="007B7A78" w:rsidRDefault="007B7A78" w:rsidP="007B7A78">
      <w:pPr>
        <w:pStyle w:val="FigureDescription"/>
        <w:rPr>
          <w:lang w:val="en-US"/>
        </w:rPr>
      </w:pPr>
      <w:r>
        <w:rPr>
          <w:lang w:val="en-US"/>
        </w:rPr>
        <w:t>Abbreviations: BSC = best supportive care.</w:t>
      </w:r>
    </w:p>
    <w:p w14:paraId="6096B868" w14:textId="225D2CD0" w:rsidR="00E0683A" w:rsidRPr="007B7A78" w:rsidRDefault="00E0683A" w:rsidP="007B7A78">
      <w:r w:rsidRPr="007B7A78">
        <w:t xml:space="preserve">Exploratory subgroup analyses based on a set of pre-specific baseline characteristics did not generate hypotheses of differential efficacy between groups in either study. In subgroups with adequate sample size, the OS results were consistent with the overall results. Amongst 17 patients with a tumour harbouring a BRAF V600E mutation, 7 received </w:t>
      </w:r>
      <w:proofErr w:type="spellStart"/>
      <w:r w:rsidRPr="007B7A78">
        <w:t>fruquintinib</w:t>
      </w:r>
      <w:proofErr w:type="spellEnd"/>
      <w:r w:rsidRPr="007B7A78">
        <w:t xml:space="preserve">, and the </w:t>
      </w:r>
      <w:r w:rsidR="00FB3E7D">
        <w:t xml:space="preserve">hazard ratio </w:t>
      </w:r>
      <w:r w:rsidRPr="007B7A78">
        <w:t xml:space="preserve">for OS was 0.375 (95% </w:t>
      </w:r>
      <w:r w:rsidR="008B7170">
        <w:t>confidence interval (</w:t>
      </w:r>
      <w:r w:rsidRPr="007B7A78">
        <w:t>CI</w:t>
      </w:r>
      <w:r w:rsidR="008B7170">
        <w:t>)</w:t>
      </w:r>
      <w:r w:rsidRPr="007B7A78">
        <w:t xml:space="preserve">: 0.089, 1.574). Amongst 9 patients </w:t>
      </w:r>
      <w:r w:rsidRPr="007B7A78">
        <w:lastRenderedPageBreak/>
        <w:t>with known MSI-</w:t>
      </w:r>
      <w:r w:rsidR="00C605DB">
        <w:t>h</w:t>
      </w:r>
      <w:r w:rsidRPr="007B7A78">
        <w:t>/</w:t>
      </w:r>
      <w:proofErr w:type="spellStart"/>
      <w:r w:rsidRPr="007B7A78">
        <w:t>dMMR</w:t>
      </w:r>
      <w:proofErr w:type="spellEnd"/>
      <w:r w:rsidRPr="007B7A78">
        <w:t xml:space="preserve"> tumours, 5 received </w:t>
      </w:r>
      <w:proofErr w:type="spellStart"/>
      <w:r w:rsidRPr="007B7A78">
        <w:t>fruquintinib</w:t>
      </w:r>
      <w:proofErr w:type="spellEnd"/>
      <w:r w:rsidRPr="007B7A78">
        <w:t>, and the</w:t>
      </w:r>
      <w:r w:rsidR="008B7170">
        <w:t xml:space="preserve"> hazard ratio</w:t>
      </w:r>
      <w:r w:rsidRPr="007B7A78">
        <w:t xml:space="preserve"> for OS was 0.0.301 (95% CI: 0.016, 5.595).</w:t>
      </w:r>
    </w:p>
    <w:p w14:paraId="112D520A" w14:textId="71276062" w:rsidR="00E0683A" w:rsidRPr="007B7A78" w:rsidRDefault="00E0683A" w:rsidP="007B7A78">
      <w:r w:rsidRPr="007B7A78">
        <w:t xml:space="preserve">Crossover from placebo to </w:t>
      </w:r>
      <w:proofErr w:type="spellStart"/>
      <w:r w:rsidRPr="007B7A78">
        <w:t>fruquintinib</w:t>
      </w:r>
      <w:proofErr w:type="spellEnd"/>
      <w:r w:rsidRPr="007B7A78">
        <w:t xml:space="preserve"> was not permitted in either trial</w:t>
      </w:r>
      <w:r w:rsidR="008B7170">
        <w:t xml:space="preserve"> </w:t>
      </w:r>
      <w:proofErr w:type="gramStart"/>
      <w:r w:rsidRPr="007B7A78">
        <w:t>and</w:t>
      </w:r>
      <w:proofErr w:type="gramEnd"/>
      <w:r w:rsidRPr="007B7A78">
        <w:t xml:space="preserve"> review of subsequent therapies did not indicate meaningful imbalances that would be expected to notably influence the primary endpoint of either study.</w:t>
      </w:r>
    </w:p>
    <w:p w14:paraId="12B0FE76" w14:textId="67A8C626" w:rsidR="00E0683A" w:rsidRPr="007B7A78" w:rsidRDefault="00E0683A" w:rsidP="007B7A78">
      <w:r w:rsidRPr="007B7A78">
        <w:t>Among the 691 patients in FRESCO-2, investigator-assessed confirmed ORR was 1.5% (n</w:t>
      </w:r>
      <w:r w:rsidR="00CD4AD1">
        <w:t> </w:t>
      </w:r>
      <w:r w:rsidRPr="007B7A78">
        <w:t>=</w:t>
      </w:r>
      <w:r w:rsidR="00CD4AD1">
        <w:t> </w:t>
      </w:r>
      <w:r w:rsidRPr="007B7A78">
        <w:t xml:space="preserve">7) in the </w:t>
      </w:r>
      <w:proofErr w:type="spellStart"/>
      <w:r w:rsidRPr="007B7A78">
        <w:t>fruquintinib</w:t>
      </w:r>
      <w:proofErr w:type="spellEnd"/>
      <w:r w:rsidRPr="007B7A78">
        <w:t xml:space="preserve"> </w:t>
      </w:r>
      <w:r w:rsidR="00CD4AD1">
        <w:t>and</w:t>
      </w:r>
      <w:r w:rsidRPr="007B7A78">
        <w:t xml:space="preserve"> BSC arm and 0% in the placebo </w:t>
      </w:r>
      <w:r w:rsidR="00CD4AD1">
        <w:t>and</w:t>
      </w:r>
      <w:r w:rsidRPr="007B7A78">
        <w:t xml:space="preserve"> BSC arm. All responses were partial. Of the 7 patients who had a response, </w:t>
      </w:r>
      <w:r w:rsidR="00CD4AD1">
        <w:t>one</w:t>
      </w:r>
      <w:r w:rsidRPr="007B7A78">
        <w:t xml:space="preserve"> died, </w:t>
      </w:r>
      <w:r w:rsidR="00CD4AD1">
        <w:t>one</w:t>
      </w:r>
      <w:r w:rsidRPr="007B7A78">
        <w:t xml:space="preserve"> had </w:t>
      </w:r>
      <w:r w:rsidR="007D794C">
        <w:t>p</w:t>
      </w:r>
      <w:r w:rsidR="007D794C" w:rsidRPr="007D794C">
        <w:t>rogressive disease</w:t>
      </w:r>
      <w:r w:rsidRPr="007B7A78">
        <w:t xml:space="preserve">, and 5 had not progressed nor died as of the data cut-off date. Among the 416 patients in FRESCO, 13 responses (4.7%) were reported in the </w:t>
      </w:r>
      <w:proofErr w:type="spellStart"/>
      <w:r w:rsidRPr="007B7A78">
        <w:t>fruquintinib</w:t>
      </w:r>
      <w:proofErr w:type="spellEnd"/>
      <w:r w:rsidRPr="007B7A78">
        <w:t xml:space="preserve"> arm, and there were zero responses in the placebo arm.</w:t>
      </w:r>
    </w:p>
    <w:p w14:paraId="2B1EAA84" w14:textId="280ABCA1" w:rsidR="00E0683A" w:rsidRPr="007B7A78" w:rsidRDefault="00E0683A" w:rsidP="007B7A78">
      <w:r w:rsidRPr="007B7A78">
        <w:t xml:space="preserve">Durability of response to </w:t>
      </w:r>
      <w:proofErr w:type="spellStart"/>
      <w:r w:rsidRPr="007B7A78">
        <w:t>fruquintinib</w:t>
      </w:r>
      <w:proofErr w:type="spellEnd"/>
      <w:r w:rsidRPr="007B7A78">
        <w:t xml:space="preserve"> is essentially uninterpretable in either trial due to the very small ORRs, which is in keeping with a cytostatic (rather than cytotoxic) effect. In FRESCO, </w:t>
      </w:r>
      <w:r w:rsidR="006B05D5">
        <w:t>m</w:t>
      </w:r>
      <w:r w:rsidRPr="007B7A78">
        <w:t>edian D</w:t>
      </w:r>
      <w:r w:rsidR="003C30BB">
        <w:t>O</w:t>
      </w:r>
      <w:r w:rsidRPr="007B7A78">
        <w:t xml:space="preserve">R was 10.7 months (95% CI: 3.9, not estimable) in the </w:t>
      </w:r>
      <w:proofErr w:type="spellStart"/>
      <w:r w:rsidRPr="007B7A78">
        <w:t>fruquintinib</w:t>
      </w:r>
      <w:proofErr w:type="spellEnd"/>
      <w:r w:rsidRPr="007B7A78">
        <w:t xml:space="preserve"> </w:t>
      </w:r>
      <w:r w:rsidR="006B05D5">
        <w:t xml:space="preserve">and </w:t>
      </w:r>
      <w:r w:rsidRPr="007B7A78">
        <w:t>BSC arm and not estimable for the placebo arm.</w:t>
      </w:r>
    </w:p>
    <w:p w14:paraId="22D1B0CD" w14:textId="6467A89A" w:rsidR="00E0683A" w:rsidRPr="00E0683A" w:rsidRDefault="000740CA" w:rsidP="00E0683A">
      <w:r>
        <w:t>P</w:t>
      </w:r>
      <w:r w:rsidR="003429E4" w:rsidRPr="003429E4">
        <w:t>atient-reported outcome</w:t>
      </w:r>
      <w:r w:rsidR="00E0683A" w:rsidRPr="007B7A78">
        <w:t xml:space="preserve"> completion rates were maintained at around 80% throughout the FRESCO-2 study. Differences were not detected between the placebo arm and the </w:t>
      </w:r>
      <w:proofErr w:type="spellStart"/>
      <w:r w:rsidR="007B603C" w:rsidRPr="007B7A78">
        <w:t>fruquintinib</w:t>
      </w:r>
      <w:proofErr w:type="spellEnd"/>
      <w:r w:rsidR="00E0683A" w:rsidRPr="007B7A78">
        <w:t xml:space="preserve"> arm in change from </w:t>
      </w:r>
      <w:r w:rsidR="007B603C">
        <w:t>B</w:t>
      </w:r>
      <w:r w:rsidR="00E0683A" w:rsidRPr="007B7A78">
        <w:t xml:space="preserve">aseline in </w:t>
      </w:r>
      <w:r w:rsidR="001D5FBE" w:rsidRPr="001D5FBE">
        <w:t>Quality of Life Core Questionnaire</w:t>
      </w:r>
      <w:r w:rsidR="00E0683A" w:rsidRPr="007B7A78">
        <w:t xml:space="preserve"> global health status and </w:t>
      </w:r>
      <w:proofErr w:type="spellStart"/>
      <w:r w:rsidR="00D8027F" w:rsidRPr="00D8027F">
        <w:t>EuroQol</w:t>
      </w:r>
      <w:proofErr w:type="spellEnd"/>
      <w:r w:rsidR="00D8027F" w:rsidRPr="00D8027F">
        <w:t xml:space="preserve"> Group 5-dimension 5-level</w:t>
      </w:r>
      <w:r w:rsidR="00E0683A" w:rsidRPr="007B7A78">
        <w:t xml:space="preserve"> visual analogue scale, however, with significant patient attrition after cycle 3, group sizes became very small (particularly the placebo arm due to the 2:1 randomisation) and confidence intervals were wide and overlapped. The limitations of the data prevent meaningful conclusions. As for ORR and DOR, no alpha control was in place for the </w:t>
      </w:r>
      <w:r w:rsidR="005630B4" w:rsidRPr="00017B00">
        <w:t>patient-reported outcomes</w:t>
      </w:r>
      <w:r w:rsidR="00E0683A" w:rsidRPr="007B7A78">
        <w:t xml:space="preserve"> analyses in FRESCO-2. </w:t>
      </w:r>
      <w:r>
        <w:t>P</w:t>
      </w:r>
      <w:r w:rsidRPr="003429E4">
        <w:t>atient-reported outcome</w:t>
      </w:r>
      <w:r w:rsidR="00E0683A" w:rsidRPr="007B7A78">
        <w:t>s were not measured in FRESCO.</w:t>
      </w:r>
    </w:p>
    <w:p w14:paraId="61785B33" w14:textId="77777777" w:rsidR="00E0683A" w:rsidRPr="00E0683A" w:rsidRDefault="00E0683A" w:rsidP="00F17C38">
      <w:pPr>
        <w:pStyle w:val="Heading4"/>
      </w:pPr>
      <w:bookmarkStart w:id="79" w:name="_Toc206082867"/>
      <w:r w:rsidRPr="00E0683A">
        <w:t>Safety</w:t>
      </w:r>
      <w:bookmarkEnd w:id="79"/>
    </w:p>
    <w:p w14:paraId="614F8C3E" w14:textId="77777777" w:rsidR="00E0683A" w:rsidRPr="00E0683A" w:rsidRDefault="00E0683A" w:rsidP="00F17C38">
      <w:pPr>
        <w:pStyle w:val="Heading5"/>
        <w:rPr>
          <w:lang w:val="en-GB"/>
        </w:rPr>
      </w:pPr>
      <w:r w:rsidRPr="00E0683A">
        <w:rPr>
          <w:lang w:val="en-GB"/>
        </w:rPr>
        <w:t>Summary of studies contributing to the analysis of safety</w:t>
      </w:r>
    </w:p>
    <w:p w14:paraId="43C402C3" w14:textId="3D3D636D" w:rsidR="00E0683A" w:rsidRPr="005C2AAA" w:rsidRDefault="00E0683A" w:rsidP="005C2AAA">
      <w:r w:rsidRPr="005C2AAA">
        <w:t>In addition to FRESCO-2 and FRESCO</w:t>
      </w:r>
      <w:r w:rsidR="00952B60">
        <w:t xml:space="preserve">. </w:t>
      </w:r>
      <w:r w:rsidRPr="005C2AAA">
        <w:t xml:space="preserve">the </w:t>
      </w:r>
      <w:r w:rsidR="005C2AAA" w:rsidRPr="005C2AAA">
        <w:t>s</w:t>
      </w:r>
      <w:r w:rsidRPr="005C2AAA">
        <w:t>ponsor submitted safety data from:</w:t>
      </w:r>
    </w:p>
    <w:p w14:paraId="51AABD51" w14:textId="5C0048AE" w:rsidR="00E0683A" w:rsidRPr="005C2AAA" w:rsidRDefault="00E0683A" w:rsidP="005C2AAA">
      <w:pPr>
        <w:pStyle w:val="ListBullet"/>
      </w:pPr>
      <w:r w:rsidRPr="005C2AAA">
        <w:t>a third, smaller randomised study in mCRC (</w:t>
      </w:r>
      <w:r w:rsidR="005C2AAA">
        <w:t>S</w:t>
      </w:r>
      <w:r w:rsidRPr="005C2AAA">
        <w:t>tudy 2012</w:t>
      </w:r>
      <w:r w:rsidRPr="005C2AAA">
        <w:noBreakHyphen/>
        <w:t>013-00CH1)</w:t>
      </w:r>
      <w:r w:rsidR="008D0695">
        <w:t>,</w:t>
      </w:r>
      <w:r w:rsidRPr="005C2AAA">
        <w:t xml:space="preserve"> n</w:t>
      </w:r>
      <w:r w:rsidR="00204C8C">
        <w:t> </w:t>
      </w:r>
      <w:r w:rsidRPr="005C2AAA">
        <w:t>=</w:t>
      </w:r>
      <w:r w:rsidR="00204C8C">
        <w:t> </w:t>
      </w:r>
      <w:r w:rsidRPr="005C2AAA">
        <w:t xml:space="preserve">71; randomised 2:1 </w:t>
      </w:r>
      <w:r w:rsidR="008D0695">
        <w:t>(</w:t>
      </w:r>
      <w:proofErr w:type="spellStart"/>
      <w:proofErr w:type="gramStart"/>
      <w:r w:rsidRPr="005C2AAA">
        <w:t>fruquintinib:placebo</w:t>
      </w:r>
      <w:proofErr w:type="spellEnd"/>
      <w:proofErr w:type="gramEnd"/>
      <w:r w:rsidR="008D0695">
        <w:t>)</w:t>
      </w:r>
    </w:p>
    <w:p w14:paraId="1E2DBB66" w14:textId="6371345F" w:rsidR="00E0683A" w:rsidRPr="005C2AAA" w:rsidRDefault="00E0683A" w:rsidP="005C2AAA">
      <w:pPr>
        <w:pStyle w:val="ListBullet"/>
      </w:pPr>
      <w:r w:rsidRPr="005C2AAA">
        <w:t>patients with mCRC who received the recommended dose (5</w:t>
      </w:r>
      <w:r w:rsidR="00204C8C">
        <w:t> </w:t>
      </w:r>
      <w:r w:rsidRPr="005C2AAA">
        <w:t>mg daily 3/1) in single arm studies</w:t>
      </w:r>
    </w:p>
    <w:p w14:paraId="5B7AEBE7" w14:textId="338E465F" w:rsidR="00E0683A" w:rsidRPr="005C2AAA" w:rsidRDefault="00E0683A" w:rsidP="005C2AAA">
      <w:pPr>
        <w:pStyle w:val="ListBullet"/>
      </w:pPr>
      <w:r w:rsidRPr="005C2AAA">
        <w:t>patients with other solid tumours who received the recommended dose (5</w:t>
      </w:r>
      <w:r w:rsidR="00204C8C">
        <w:t> </w:t>
      </w:r>
      <w:r w:rsidRPr="005C2AAA">
        <w:t xml:space="preserve">mg daily 3/1), including patients with </w:t>
      </w:r>
      <w:r w:rsidR="00DE2A43" w:rsidRPr="00DE2A43">
        <w:t>non</w:t>
      </w:r>
      <w:r w:rsidR="00DE2A43">
        <w:t>-</w:t>
      </w:r>
      <w:r w:rsidR="00DE2A43" w:rsidRPr="00DE2A43">
        <w:t>small</w:t>
      </w:r>
      <w:r w:rsidR="00DE2A43">
        <w:t xml:space="preserve"> </w:t>
      </w:r>
      <w:r w:rsidR="00DE2A43" w:rsidRPr="00DE2A43">
        <w:t>cell lung cance</w:t>
      </w:r>
      <w:r w:rsidR="00DE2A43">
        <w:t>r</w:t>
      </w:r>
      <w:r w:rsidRPr="005C2AAA">
        <w:t xml:space="preserve"> in randomised </w:t>
      </w:r>
      <w:r w:rsidR="008D0695">
        <w:t>S</w:t>
      </w:r>
      <w:r w:rsidRPr="005C2AAA">
        <w:t>tudies 2014-013-00CH1 and 2015</w:t>
      </w:r>
      <w:r w:rsidR="008D0695">
        <w:noBreakHyphen/>
      </w:r>
      <w:r w:rsidRPr="005C2AAA">
        <w:t>013</w:t>
      </w:r>
      <w:r w:rsidR="008D0695">
        <w:noBreakHyphen/>
      </w:r>
      <w:r w:rsidRPr="005C2AAA">
        <w:t>00CH1 (FALUCA)</w:t>
      </w:r>
    </w:p>
    <w:p w14:paraId="15B8F16F" w14:textId="7AC8CBA3" w:rsidR="00E0683A" w:rsidRPr="005C2AAA" w:rsidRDefault="00E0683A" w:rsidP="005C2AAA">
      <w:pPr>
        <w:pStyle w:val="ListBullet"/>
      </w:pPr>
      <w:r w:rsidRPr="005C2AAA">
        <w:t>post-market safety data</w:t>
      </w:r>
    </w:p>
    <w:p w14:paraId="7312F41B" w14:textId="77777777" w:rsidR="00E0683A" w:rsidRPr="005C2AAA" w:rsidRDefault="00E0683A" w:rsidP="005C2AAA">
      <w:pPr>
        <w:pStyle w:val="ListBullet"/>
      </w:pPr>
      <w:r w:rsidRPr="005C2AAA">
        <w:t xml:space="preserve">combination studies of </w:t>
      </w:r>
      <w:proofErr w:type="spellStart"/>
      <w:r w:rsidRPr="005C2AAA">
        <w:t>fruquintinib</w:t>
      </w:r>
      <w:proofErr w:type="spellEnd"/>
    </w:p>
    <w:p w14:paraId="392BA645" w14:textId="509A446E" w:rsidR="00E0683A" w:rsidRPr="008D0695" w:rsidRDefault="00E0683A" w:rsidP="008D0695">
      <w:r w:rsidRPr="008D0695">
        <w:t xml:space="preserve">The </w:t>
      </w:r>
      <w:r w:rsidR="0001676C">
        <w:t>overseas regulator</w:t>
      </w:r>
      <w:r w:rsidRPr="008D0695">
        <w:t xml:space="preserve"> conducted an in-depth safety review</w:t>
      </w:r>
      <w:r w:rsidR="007613D5">
        <w:t>.</w:t>
      </w:r>
      <w:r w:rsidR="007613D5">
        <w:fldChar w:fldCharType="begin"/>
      </w:r>
      <w:r w:rsidR="007613D5">
        <w:instrText xml:space="preserve"> NOTEREF _Ref202185650 \f \h </w:instrText>
      </w:r>
      <w:r w:rsidR="007613D5">
        <w:fldChar w:fldCharType="separate"/>
      </w:r>
      <w:r w:rsidR="00A407E4" w:rsidRPr="00A407E4">
        <w:rPr>
          <w:rStyle w:val="FootnoteReference"/>
        </w:rPr>
        <w:t>30</w:t>
      </w:r>
      <w:r w:rsidR="007613D5">
        <w:fldChar w:fldCharType="end"/>
      </w:r>
      <w:r w:rsidRPr="008D0695">
        <w:t xml:space="preserve"> In addition to the above,</w:t>
      </w:r>
      <w:r w:rsidR="0001676C">
        <w:t xml:space="preserve"> the overseas regulator</w:t>
      </w:r>
      <w:r w:rsidRPr="008D0695">
        <w:t xml:space="preserve"> received updated safety results (a </w:t>
      </w:r>
      <w:r w:rsidR="007613D5">
        <w:t>‘</w:t>
      </w:r>
      <w:r w:rsidRPr="008D0695">
        <w:t>120 day</w:t>
      </w:r>
      <w:r w:rsidR="007613D5">
        <w:t>’</w:t>
      </w:r>
      <w:r w:rsidRPr="008D0695">
        <w:t xml:space="preserve"> update). Their review of the update found no substantial change in the safety profile.</w:t>
      </w:r>
    </w:p>
    <w:p w14:paraId="5A9685A6" w14:textId="1304269F" w:rsidR="00E0683A" w:rsidRPr="008D0695" w:rsidRDefault="00E0683A" w:rsidP="008D0695">
      <w:r w:rsidRPr="008D0695">
        <w:t xml:space="preserve">This </w:t>
      </w:r>
      <w:r w:rsidR="00F57D36">
        <w:t>AusPAR</w:t>
      </w:r>
      <w:r w:rsidRPr="008D0695">
        <w:t xml:space="preserve"> focusses on the safety data from FRESCO-2 and FRESCO as they are adequate for characterisation of the safety profile, which was not meaningfully changed by the additional safety data.</w:t>
      </w:r>
    </w:p>
    <w:p w14:paraId="5B921050" w14:textId="2D0F79BE" w:rsidR="00E0683A" w:rsidRPr="00AE3B90" w:rsidRDefault="00E0683A" w:rsidP="00F57D36">
      <w:r w:rsidRPr="00F57D36">
        <w:lastRenderedPageBreak/>
        <w:t xml:space="preserve">Adverse events for the FRESCO study were graded according to </w:t>
      </w:r>
      <w:r w:rsidR="009C14B4">
        <w:t xml:space="preserve">the National Cancer Institute - </w:t>
      </w:r>
      <w:r w:rsidR="00454BCE">
        <w:t>Common Terminology Criteria for Adverse Events (</w:t>
      </w:r>
      <w:r w:rsidRPr="00F57D36">
        <w:t>NCI-CTCAE</w:t>
      </w:r>
      <w:r w:rsidR="00454BCE">
        <w:t>)</w:t>
      </w:r>
      <w:r w:rsidRPr="00F57D36">
        <w:t xml:space="preserve"> version 4.03 with adverse events classified and coded using MedDRA version 19.1. Adverse events for the FRESCO</w:t>
      </w:r>
      <w:r w:rsidR="00F57D36">
        <w:noBreakHyphen/>
      </w:r>
      <w:r w:rsidRPr="00F57D36">
        <w:t>2 study were graded according to NCI-CTCAE version 5.0 with adverse events classified and coded using MedDRA ver</w:t>
      </w:r>
      <w:r w:rsidRPr="00AE3B90">
        <w:t>sion 25.0.</w:t>
      </w:r>
    </w:p>
    <w:p w14:paraId="504F2861" w14:textId="7764C720" w:rsidR="00E0683A" w:rsidRPr="00E0683A" w:rsidRDefault="00E0683A" w:rsidP="00E0683A">
      <w:pPr>
        <w:rPr>
          <w:lang w:val="en-GB"/>
        </w:rPr>
      </w:pPr>
      <w:r w:rsidRPr="00AE3B90">
        <w:t>Data presentations for adverse events (AEs),</w:t>
      </w:r>
      <w:r w:rsidRPr="00F57D36">
        <w:t xml:space="preserve"> serious adverse events, AEs leading to discontinuation, and laboratory abnormalities are based on all treated patients using a safety window of 30 days after last dose. Any AEs that began within 30 days post treatment discontinuation but became fatal after this time frame were included in the analysis of fatal events.</w:t>
      </w:r>
    </w:p>
    <w:p w14:paraId="07CCF951" w14:textId="77777777" w:rsidR="00E0683A" w:rsidRPr="00E0683A" w:rsidRDefault="00E0683A" w:rsidP="00D3569D">
      <w:pPr>
        <w:pStyle w:val="Heading5"/>
        <w:rPr>
          <w:lang w:val="en-GB"/>
        </w:rPr>
      </w:pPr>
      <w:bookmarkStart w:id="80" w:name="_Ref171324588"/>
      <w:r w:rsidRPr="00E0683A">
        <w:rPr>
          <w:lang w:val="en-GB"/>
        </w:rPr>
        <w:t>Exposure and overall summary of adverse events</w:t>
      </w:r>
      <w:bookmarkEnd w:id="80"/>
    </w:p>
    <w:p w14:paraId="5D85575D" w14:textId="77777777" w:rsidR="00E0683A" w:rsidRPr="003D3EAA" w:rsidRDefault="00E0683A" w:rsidP="003D3EAA">
      <w:r w:rsidRPr="003D3EAA">
        <w:t>The median (range) duration of treatment in weeks was:</w:t>
      </w:r>
    </w:p>
    <w:p w14:paraId="5F757ACD" w14:textId="6A42632B" w:rsidR="00E0683A" w:rsidRPr="002D4D16" w:rsidRDefault="00E0683A" w:rsidP="002D4D16">
      <w:pPr>
        <w:pStyle w:val="ListBullet"/>
      </w:pPr>
      <w:r w:rsidRPr="002D4D16">
        <w:t>12 week</w:t>
      </w:r>
      <w:r w:rsidR="002D4D16" w:rsidRPr="002D4D16">
        <w:t>s (0</w:t>
      </w:r>
      <w:r w:rsidR="001177EB">
        <w:t xml:space="preserve"> to </w:t>
      </w:r>
      <w:r w:rsidR="002D4D16" w:rsidRPr="002D4D16">
        <w:t>82)</w:t>
      </w:r>
      <w:r w:rsidRPr="002D4D16">
        <w:t xml:space="preserve"> in the </w:t>
      </w:r>
      <w:proofErr w:type="spellStart"/>
      <w:r w:rsidRPr="002D4D16">
        <w:t>fruquintinib</w:t>
      </w:r>
      <w:proofErr w:type="spellEnd"/>
      <w:r w:rsidRPr="002D4D16">
        <w:t xml:space="preserve"> arm and 7</w:t>
      </w:r>
      <w:r w:rsidR="002D4D16" w:rsidRPr="002D4D16">
        <w:t xml:space="preserve"> weeks</w:t>
      </w:r>
      <w:r w:rsidRPr="002D4D16">
        <w:t xml:space="preserve"> (0 to 51) in the placebo arm in FRESCO-2</w:t>
      </w:r>
    </w:p>
    <w:p w14:paraId="38F4F984" w14:textId="3EC2EC50" w:rsidR="00E0683A" w:rsidRPr="002D4D16" w:rsidRDefault="00E0683A" w:rsidP="002D4D16">
      <w:pPr>
        <w:pStyle w:val="ListBullet"/>
      </w:pPr>
      <w:r w:rsidRPr="002D4D16">
        <w:t xml:space="preserve">15 </w:t>
      </w:r>
      <w:r w:rsidR="002D4D16" w:rsidRPr="002D4D16">
        <w:t xml:space="preserve">weeks </w:t>
      </w:r>
      <w:r w:rsidRPr="002D4D16">
        <w:t>(0</w:t>
      </w:r>
      <w:r w:rsidR="001177EB">
        <w:t xml:space="preserve"> to </w:t>
      </w:r>
      <w:r w:rsidRPr="002D4D16">
        <w:t xml:space="preserve">95) in the </w:t>
      </w:r>
      <w:proofErr w:type="spellStart"/>
      <w:r w:rsidRPr="002D4D16">
        <w:t>fruquintinib</w:t>
      </w:r>
      <w:proofErr w:type="spellEnd"/>
      <w:r w:rsidRPr="002D4D16">
        <w:t xml:space="preserve"> arm and 7</w:t>
      </w:r>
      <w:r w:rsidR="002D4D16" w:rsidRPr="002D4D16">
        <w:t xml:space="preserve"> weeks</w:t>
      </w:r>
      <w:r w:rsidRPr="002D4D16">
        <w:t xml:space="preserve"> (0</w:t>
      </w:r>
      <w:r w:rsidR="001177EB">
        <w:t xml:space="preserve"> to </w:t>
      </w:r>
      <w:r w:rsidRPr="002D4D16">
        <w:t>48) in the placebo arm in FRESCO</w:t>
      </w:r>
    </w:p>
    <w:p w14:paraId="29151E23" w14:textId="0004E115" w:rsidR="00E0683A" w:rsidRPr="00E0683A" w:rsidRDefault="00E0683A" w:rsidP="00E0683A">
      <w:pPr>
        <w:rPr>
          <w:lang w:val="en-GB"/>
        </w:rPr>
      </w:pPr>
      <w:r w:rsidRPr="00E0683A">
        <w:rPr>
          <w:lang w:val="en-GB"/>
        </w:rPr>
        <w:t xml:space="preserve">Summaries of the adverse events seen in each study are presented in </w:t>
      </w:r>
      <w:r w:rsidRPr="00E0683A">
        <w:rPr>
          <w:lang w:val="en-GB"/>
        </w:rPr>
        <w:fldChar w:fldCharType="begin"/>
      </w:r>
      <w:r w:rsidRPr="00E0683A">
        <w:rPr>
          <w:lang w:val="en-GB"/>
        </w:rPr>
        <w:instrText xml:space="preserve"> REF _Ref170903796 \h </w:instrText>
      </w:r>
      <w:r w:rsidRPr="00E0683A">
        <w:rPr>
          <w:lang w:val="en-GB"/>
        </w:rPr>
      </w:r>
      <w:r w:rsidRPr="00E0683A">
        <w:rPr>
          <w:lang w:val="en-GB"/>
        </w:rPr>
        <w:fldChar w:fldCharType="separate"/>
      </w:r>
      <w:r w:rsidR="00A407E4" w:rsidRPr="002D4D16">
        <w:t xml:space="preserve">Table </w:t>
      </w:r>
      <w:r w:rsidR="00A407E4">
        <w:rPr>
          <w:noProof/>
        </w:rPr>
        <w:t>6</w:t>
      </w:r>
      <w:r w:rsidRPr="00E0683A">
        <w:fldChar w:fldCharType="end"/>
      </w:r>
      <w:r w:rsidRPr="00E0683A">
        <w:rPr>
          <w:lang w:val="en-GB"/>
        </w:rPr>
        <w:t>.</w:t>
      </w:r>
    </w:p>
    <w:p w14:paraId="2A31EEBF" w14:textId="6C5A7429" w:rsidR="00E0683A" w:rsidRPr="002D4D16" w:rsidRDefault="00E0683A" w:rsidP="002D4D16">
      <w:pPr>
        <w:pStyle w:val="TableTitle"/>
      </w:pPr>
      <w:bookmarkStart w:id="81" w:name="_Ref170903796"/>
      <w:r w:rsidRPr="002D4D16">
        <w:t xml:space="preserve">Table </w:t>
      </w:r>
      <w:r w:rsidRPr="002D4D16">
        <w:fldChar w:fldCharType="begin"/>
      </w:r>
      <w:r w:rsidRPr="002D4D16">
        <w:instrText xml:space="preserve"> SEQ Table \* ARABIC </w:instrText>
      </w:r>
      <w:r w:rsidRPr="002D4D16">
        <w:fldChar w:fldCharType="separate"/>
      </w:r>
      <w:r w:rsidR="00A407E4">
        <w:rPr>
          <w:noProof/>
        </w:rPr>
        <w:t>6</w:t>
      </w:r>
      <w:r w:rsidRPr="002D4D16">
        <w:fldChar w:fldCharType="end"/>
      </w:r>
      <w:bookmarkEnd w:id="81"/>
      <w:r w:rsidR="002D4D16" w:rsidRPr="002D4D16">
        <w:t>:</w:t>
      </w:r>
      <w:r w:rsidRPr="002D4D16">
        <w:t xml:space="preserve"> Summary of adverse events across FRESCO-2 and FRESCO</w:t>
      </w:r>
    </w:p>
    <w:tbl>
      <w:tblPr>
        <w:tblStyle w:val="TableTGAblue2023"/>
        <w:tblW w:w="9555" w:type="dxa"/>
        <w:tblLayout w:type="fixed"/>
        <w:tblLook w:val="01E0" w:firstRow="1" w:lastRow="1" w:firstColumn="1" w:lastColumn="1" w:noHBand="0" w:noVBand="0"/>
      </w:tblPr>
      <w:tblGrid>
        <w:gridCol w:w="2695"/>
        <w:gridCol w:w="1715"/>
        <w:gridCol w:w="1715"/>
        <w:gridCol w:w="1715"/>
        <w:gridCol w:w="1715"/>
      </w:tblGrid>
      <w:tr w:rsidR="002D4D16" w:rsidRPr="00E0683A" w14:paraId="22BEBFC6" w14:textId="77777777" w:rsidTr="002D4D1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5" w:type="dxa"/>
            <w:vMerge w:val="restart"/>
          </w:tcPr>
          <w:p w14:paraId="58A0DA8B" w14:textId="77777777" w:rsidR="002D4D16" w:rsidRPr="002D4D16" w:rsidRDefault="002D4D16" w:rsidP="00773A7F">
            <w:pPr>
              <w:ind w:left="0"/>
              <w:rPr>
                <w:sz w:val="20"/>
                <w:szCs w:val="20"/>
                <w:lang w:val="en-US"/>
              </w:rPr>
            </w:pPr>
          </w:p>
        </w:tc>
        <w:tc>
          <w:tcPr>
            <w:tcW w:w="3430" w:type="dxa"/>
            <w:gridSpan w:val="2"/>
            <w:hideMark/>
          </w:tcPr>
          <w:p w14:paraId="2DECF970" w14:textId="77777777" w:rsidR="002D4D16" w:rsidRPr="002D4D16" w:rsidRDefault="002D4D16"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2D4D16">
              <w:rPr>
                <w:sz w:val="20"/>
                <w:szCs w:val="20"/>
                <w:lang w:val="en-US"/>
              </w:rPr>
              <w:t>FRESCO-2</w:t>
            </w:r>
          </w:p>
        </w:tc>
        <w:tc>
          <w:tcPr>
            <w:tcW w:w="3430" w:type="dxa"/>
            <w:gridSpan w:val="2"/>
            <w:hideMark/>
          </w:tcPr>
          <w:p w14:paraId="772A0996" w14:textId="77777777" w:rsidR="002D4D16" w:rsidRPr="002D4D16" w:rsidRDefault="002D4D16" w:rsidP="00773A7F">
            <w:pPr>
              <w:ind w:left="0"/>
              <w:cnfStyle w:val="100000000000" w:firstRow="1" w:lastRow="0" w:firstColumn="0" w:lastColumn="0" w:oddVBand="0" w:evenVBand="0" w:oddHBand="0" w:evenHBand="0" w:firstRowFirstColumn="0" w:firstRowLastColumn="0" w:lastRowFirstColumn="0" w:lastRowLastColumn="0"/>
              <w:rPr>
                <w:b w:val="0"/>
                <w:bCs/>
                <w:sz w:val="20"/>
                <w:szCs w:val="20"/>
              </w:rPr>
            </w:pPr>
            <w:r w:rsidRPr="002D4D16">
              <w:rPr>
                <w:bCs/>
                <w:sz w:val="20"/>
                <w:szCs w:val="20"/>
              </w:rPr>
              <w:t>FRESCO</w:t>
            </w:r>
          </w:p>
        </w:tc>
      </w:tr>
      <w:tr w:rsidR="002D4D16" w:rsidRPr="00E0683A" w14:paraId="51FFA3BE" w14:textId="77777777" w:rsidTr="002D4D16">
        <w:trPr>
          <w:trHeight w:val="20"/>
        </w:trPr>
        <w:tc>
          <w:tcPr>
            <w:cnfStyle w:val="001000000000" w:firstRow="0" w:lastRow="0" w:firstColumn="1" w:lastColumn="0" w:oddVBand="0" w:evenVBand="0" w:oddHBand="0" w:evenHBand="0" w:firstRowFirstColumn="0" w:firstRowLastColumn="0" w:lastRowFirstColumn="0" w:lastRowLastColumn="0"/>
            <w:tcW w:w="2695" w:type="dxa"/>
            <w:vMerge/>
            <w:shd w:val="clear" w:color="auto" w:fill="DEEAF6" w:themeFill="accent5" w:themeFillTint="33"/>
          </w:tcPr>
          <w:p w14:paraId="0ACFC136" w14:textId="77777777" w:rsidR="002D4D16" w:rsidRPr="002D4D16" w:rsidRDefault="002D4D16" w:rsidP="00773A7F">
            <w:pPr>
              <w:ind w:left="0"/>
              <w:rPr>
                <w:sz w:val="20"/>
                <w:szCs w:val="20"/>
                <w:lang w:val="en-US"/>
              </w:rPr>
            </w:pPr>
          </w:p>
        </w:tc>
        <w:tc>
          <w:tcPr>
            <w:tcW w:w="1715" w:type="dxa"/>
            <w:shd w:val="clear" w:color="auto" w:fill="DEEAF6" w:themeFill="accent5" w:themeFillTint="33"/>
            <w:hideMark/>
          </w:tcPr>
          <w:p w14:paraId="5F33E385" w14:textId="33376F2D" w:rsidR="002D4D16" w:rsidRPr="007D2301" w:rsidRDefault="002D4D16"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7D2301">
              <w:rPr>
                <w:b/>
                <w:color w:val="263287"/>
                <w:sz w:val="20"/>
                <w:szCs w:val="20"/>
                <w:lang w:val="en-US"/>
              </w:rPr>
              <w:t>Fruquintinib + BSC N = 456</w:t>
            </w:r>
          </w:p>
          <w:p w14:paraId="64AC5A47" w14:textId="77777777" w:rsidR="002D4D16" w:rsidRPr="007D2301" w:rsidRDefault="002D4D16"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7D2301">
              <w:rPr>
                <w:b/>
                <w:color w:val="263287"/>
                <w:sz w:val="20"/>
                <w:szCs w:val="20"/>
                <w:lang w:val="en-US"/>
              </w:rPr>
              <w:t>n (%)</w:t>
            </w:r>
          </w:p>
        </w:tc>
        <w:tc>
          <w:tcPr>
            <w:tcW w:w="1715" w:type="dxa"/>
            <w:shd w:val="clear" w:color="auto" w:fill="DEEAF6" w:themeFill="accent5" w:themeFillTint="33"/>
            <w:hideMark/>
          </w:tcPr>
          <w:p w14:paraId="43104463" w14:textId="038ACE5B" w:rsidR="002D4D16" w:rsidRPr="007D2301" w:rsidRDefault="002D4D16"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7D2301">
              <w:rPr>
                <w:b/>
                <w:color w:val="263287"/>
                <w:sz w:val="20"/>
                <w:szCs w:val="20"/>
                <w:lang w:val="en-US"/>
              </w:rPr>
              <w:t>Placebo + BSC N</w:t>
            </w:r>
            <w:r w:rsidR="007D2301">
              <w:rPr>
                <w:b/>
                <w:color w:val="263287"/>
                <w:sz w:val="20"/>
                <w:szCs w:val="20"/>
                <w:lang w:val="en-US"/>
              </w:rPr>
              <w:t> </w:t>
            </w:r>
            <w:r w:rsidRPr="007D2301">
              <w:rPr>
                <w:b/>
                <w:color w:val="263287"/>
                <w:sz w:val="20"/>
                <w:szCs w:val="20"/>
                <w:lang w:val="en-US"/>
              </w:rPr>
              <w:t>=</w:t>
            </w:r>
            <w:r w:rsidR="007D2301">
              <w:rPr>
                <w:b/>
                <w:color w:val="263287"/>
                <w:sz w:val="20"/>
                <w:szCs w:val="20"/>
                <w:lang w:val="en-US"/>
              </w:rPr>
              <w:t> </w:t>
            </w:r>
            <w:r w:rsidRPr="007D2301">
              <w:rPr>
                <w:b/>
                <w:color w:val="263287"/>
                <w:sz w:val="20"/>
                <w:szCs w:val="20"/>
                <w:lang w:val="en-US"/>
              </w:rPr>
              <w:t>230</w:t>
            </w:r>
          </w:p>
          <w:p w14:paraId="621C67B3" w14:textId="77777777" w:rsidR="002D4D16" w:rsidRPr="007D2301" w:rsidRDefault="002D4D16"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7D2301">
              <w:rPr>
                <w:b/>
                <w:color w:val="263287"/>
                <w:sz w:val="20"/>
                <w:szCs w:val="20"/>
                <w:lang w:val="en-US"/>
              </w:rPr>
              <w:t>n (%)</w:t>
            </w:r>
          </w:p>
        </w:tc>
        <w:tc>
          <w:tcPr>
            <w:tcW w:w="1715" w:type="dxa"/>
            <w:shd w:val="clear" w:color="auto" w:fill="DEEAF6" w:themeFill="accent5" w:themeFillTint="33"/>
            <w:hideMark/>
          </w:tcPr>
          <w:p w14:paraId="76C320C8" w14:textId="4F6EA21D" w:rsidR="002D4D16" w:rsidRPr="007D2301" w:rsidRDefault="002D4D16"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7D2301">
              <w:rPr>
                <w:b/>
                <w:color w:val="263287"/>
                <w:sz w:val="20"/>
                <w:szCs w:val="20"/>
                <w:lang w:val="en-US"/>
              </w:rPr>
              <w:t>Fruquintinib + BSC N</w:t>
            </w:r>
            <w:r w:rsidR="007D2301">
              <w:rPr>
                <w:b/>
                <w:color w:val="263287"/>
                <w:sz w:val="20"/>
                <w:szCs w:val="20"/>
                <w:lang w:val="en-US"/>
              </w:rPr>
              <w:t> </w:t>
            </w:r>
            <w:r w:rsidRPr="007D2301">
              <w:rPr>
                <w:b/>
                <w:color w:val="263287"/>
                <w:sz w:val="20"/>
                <w:szCs w:val="20"/>
                <w:lang w:val="en-US"/>
              </w:rPr>
              <w:t>=</w:t>
            </w:r>
            <w:r w:rsidR="007D2301">
              <w:rPr>
                <w:b/>
                <w:color w:val="263287"/>
                <w:sz w:val="20"/>
                <w:szCs w:val="20"/>
                <w:lang w:val="en-US"/>
              </w:rPr>
              <w:t> </w:t>
            </w:r>
            <w:r w:rsidRPr="007D2301">
              <w:rPr>
                <w:b/>
                <w:color w:val="263287"/>
                <w:sz w:val="20"/>
                <w:szCs w:val="20"/>
                <w:lang w:val="en-US"/>
              </w:rPr>
              <w:t>278</w:t>
            </w:r>
          </w:p>
          <w:p w14:paraId="36CD81EE" w14:textId="77777777" w:rsidR="002D4D16" w:rsidRPr="007D2301" w:rsidRDefault="002D4D16"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7D2301">
              <w:rPr>
                <w:b/>
                <w:color w:val="263287"/>
                <w:sz w:val="20"/>
                <w:szCs w:val="20"/>
                <w:lang w:val="en-US"/>
              </w:rPr>
              <w:t>n (%)</w:t>
            </w:r>
          </w:p>
        </w:tc>
        <w:tc>
          <w:tcPr>
            <w:tcW w:w="1715" w:type="dxa"/>
            <w:shd w:val="clear" w:color="auto" w:fill="DEEAF6" w:themeFill="accent5" w:themeFillTint="33"/>
            <w:hideMark/>
          </w:tcPr>
          <w:p w14:paraId="04FE693F" w14:textId="6A346E67" w:rsidR="002D4D16" w:rsidRPr="007D2301" w:rsidRDefault="002D4D16"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7D2301">
              <w:rPr>
                <w:b/>
                <w:color w:val="263287"/>
                <w:sz w:val="20"/>
                <w:szCs w:val="20"/>
                <w:lang w:val="en-US"/>
              </w:rPr>
              <w:t>Placebo + BSC N</w:t>
            </w:r>
            <w:r w:rsidR="007D2301">
              <w:rPr>
                <w:b/>
                <w:color w:val="263287"/>
                <w:sz w:val="20"/>
                <w:szCs w:val="20"/>
                <w:lang w:val="en-US"/>
              </w:rPr>
              <w:t> </w:t>
            </w:r>
            <w:r w:rsidRPr="007D2301">
              <w:rPr>
                <w:b/>
                <w:color w:val="263287"/>
                <w:sz w:val="20"/>
                <w:szCs w:val="20"/>
                <w:lang w:val="en-US"/>
              </w:rPr>
              <w:t>=</w:t>
            </w:r>
            <w:r w:rsidR="007D2301">
              <w:rPr>
                <w:b/>
                <w:color w:val="263287"/>
                <w:sz w:val="20"/>
                <w:szCs w:val="20"/>
                <w:lang w:val="en-US"/>
              </w:rPr>
              <w:t> </w:t>
            </w:r>
            <w:r w:rsidRPr="007D2301">
              <w:rPr>
                <w:b/>
                <w:color w:val="263287"/>
                <w:sz w:val="20"/>
                <w:szCs w:val="20"/>
                <w:lang w:val="en-US"/>
              </w:rPr>
              <w:t>137</w:t>
            </w:r>
          </w:p>
          <w:p w14:paraId="2F184AF0" w14:textId="77777777" w:rsidR="002D4D16" w:rsidRPr="007D2301" w:rsidRDefault="002D4D16" w:rsidP="00773A7F">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7D2301">
              <w:rPr>
                <w:b/>
                <w:color w:val="263287"/>
                <w:sz w:val="20"/>
                <w:szCs w:val="20"/>
                <w:lang w:val="en-US"/>
              </w:rPr>
              <w:t>n (%)</w:t>
            </w:r>
          </w:p>
        </w:tc>
      </w:tr>
      <w:tr w:rsidR="00E0683A" w:rsidRPr="00E0683A" w14:paraId="715DF44A" w14:textId="77777777" w:rsidTr="002D4D16">
        <w:trPr>
          <w:trHeight w:val="20"/>
        </w:trPr>
        <w:tc>
          <w:tcPr>
            <w:cnfStyle w:val="001000000000" w:firstRow="0" w:lastRow="0" w:firstColumn="1" w:lastColumn="0" w:oddVBand="0" w:evenVBand="0" w:oddHBand="0" w:evenHBand="0" w:firstRowFirstColumn="0" w:firstRowLastColumn="0" w:lastRowFirstColumn="0" w:lastRowLastColumn="0"/>
            <w:tcW w:w="2695" w:type="dxa"/>
            <w:hideMark/>
          </w:tcPr>
          <w:p w14:paraId="57397F99" w14:textId="77777777" w:rsidR="00E0683A" w:rsidRPr="002D4D16" w:rsidRDefault="00E0683A" w:rsidP="00773A7F">
            <w:pPr>
              <w:ind w:left="0"/>
              <w:rPr>
                <w:sz w:val="20"/>
                <w:szCs w:val="20"/>
                <w:lang w:val="en-US"/>
              </w:rPr>
            </w:pPr>
            <w:r w:rsidRPr="002D4D16">
              <w:rPr>
                <w:sz w:val="20"/>
                <w:szCs w:val="20"/>
                <w:lang w:val="en-US"/>
              </w:rPr>
              <w:t>All-Grade TEAEs</w:t>
            </w:r>
          </w:p>
        </w:tc>
        <w:tc>
          <w:tcPr>
            <w:tcW w:w="1715" w:type="dxa"/>
            <w:hideMark/>
          </w:tcPr>
          <w:p w14:paraId="53E0E6AC"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451 (99)</w:t>
            </w:r>
          </w:p>
        </w:tc>
        <w:tc>
          <w:tcPr>
            <w:tcW w:w="1715" w:type="dxa"/>
            <w:hideMark/>
          </w:tcPr>
          <w:p w14:paraId="75FE495F"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213 (93)</w:t>
            </w:r>
          </w:p>
        </w:tc>
        <w:tc>
          <w:tcPr>
            <w:tcW w:w="1715" w:type="dxa"/>
            <w:hideMark/>
          </w:tcPr>
          <w:p w14:paraId="3751A923"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274 (99)</w:t>
            </w:r>
          </w:p>
        </w:tc>
        <w:tc>
          <w:tcPr>
            <w:tcW w:w="1715" w:type="dxa"/>
            <w:hideMark/>
          </w:tcPr>
          <w:p w14:paraId="52D285A5"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121 (88)</w:t>
            </w:r>
          </w:p>
        </w:tc>
      </w:tr>
      <w:tr w:rsidR="00E0683A" w:rsidRPr="00E0683A" w14:paraId="50312E32" w14:textId="77777777" w:rsidTr="002D4D16">
        <w:trPr>
          <w:trHeight w:val="20"/>
        </w:trPr>
        <w:tc>
          <w:tcPr>
            <w:cnfStyle w:val="001000000000" w:firstRow="0" w:lastRow="0" w:firstColumn="1" w:lastColumn="0" w:oddVBand="0" w:evenVBand="0" w:oddHBand="0" w:evenHBand="0" w:firstRowFirstColumn="0" w:firstRowLastColumn="0" w:lastRowFirstColumn="0" w:lastRowLastColumn="0"/>
            <w:tcW w:w="2695" w:type="dxa"/>
            <w:hideMark/>
          </w:tcPr>
          <w:p w14:paraId="3C71A38F" w14:textId="7488AB84" w:rsidR="00E0683A" w:rsidRPr="002D4D16" w:rsidRDefault="00E0683A" w:rsidP="00773A7F">
            <w:pPr>
              <w:ind w:left="0"/>
              <w:rPr>
                <w:sz w:val="20"/>
                <w:szCs w:val="20"/>
                <w:lang w:val="en-US"/>
              </w:rPr>
            </w:pPr>
            <w:r w:rsidRPr="002D4D16">
              <w:rPr>
                <w:sz w:val="20"/>
                <w:szCs w:val="20"/>
                <w:lang w:val="en-US"/>
              </w:rPr>
              <w:t>Grade 3</w:t>
            </w:r>
            <w:r w:rsidR="00FE1CC2">
              <w:rPr>
                <w:sz w:val="20"/>
                <w:szCs w:val="20"/>
                <w:lang w:val="en-US"/>
              </w:rPr>
              <w:t>-</w:t>
            </w:r>
            <w:r w:rsidRPr="002D4D16">
              <w:rPr>
                <w:sz w:val="20"/>
                <w:szCs w:val="20"/>
                <w:lang w:val="en-US"/>
              </w:rPr>
              <w:t>4 TEAEs</w:t>
            </w:r>
          </w:p>
        </w:tc>
        <w:tc>
          <w:tcPr>
            <w:tcW w:w="1715" w:type="dxa"/>
            <w:hideMark/>
          </w:tcPr>
          <w:p w14:paraId="6E9C7558"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277 (61)</w:t>
            </w:r>
          </w:p>
        </w:tc>
        <w:tc>
          <w:tcPr>
            <w:tcW w:w="1715" w:type="dxa"/>
            <w:hideMark/>
          </w:tcPr>
          <w:p w14:paraId="034EAD5B"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104 (45)</w:t>
            </w:r>
          </w:p>
        </w:tc>
        <w:tc>
          <w:tcPr>
            <w:tcW w:w="1715" w:type="dxa"/>
            <w:hideMark/>
          </w:tcPr>
          <w:p w14:paraId="7C5D1D40"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161 (58)</w:t>
            </w:r>
          </w:p>
        </w:tc>
        <w:tc>
          <w:tcPr>
            <w:tcW w:w="1715" w:type="dxa"/>
            <w:hideMark/>
          </w:tcPr>
          <w:p w14:paraId="1B380C00"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25 (18)</w:t>
            </w:r>
          </w:p>
        </w:tc>
      </w:tr>
      <w:tr w:rsidR="00E0683A" w:rsidRPr="00E0683A" w14:paraId="3ED14A5C" w14:textId="77777777" w:rsidTr="002D4D16">
        <w:trPr>
          <w:trHeight w:val="20"/>
        </w:trPr>
        <w:tc>
          <w:tcPr>
            <w:cnfStyle w:val="001000000000" w:firstRow="0" w:lastRow="0" w:firstColumn="1" w:lastColumn="0" w:oddVBand="0" w:evenVBand="0" w:oddHBand="0" w:evenHBand="0" w:firstRowFirstColumn="0" w:firstRowLastColumn="0" w:lastRowFirstColumn="0" w:lastRowLastColumn="0"/>
            <w:tcW w:w="2695" w:type="dxa"/>
            <w:hideMark/>
          </w:tcPr>
          <w:p w14:paraId="09C617F9" w14:textId="77777777" w:rsidR="00E0683A" w:rsidRPr="002D4D16" w:rsidRDefault="00E0683A" w:rsidP="00773A7F">
            <w:pPr>
              <w:ind w:left="0"/>
              <w:rPr>
                <w:sz w:val="20"/>
                <w:szCs w:val="20"/>
                <w:lang w:val="en-US"/>
              </w:rPr>
            </w:pPr>
            <w:r w:rsidRPr="002D4D16">
              <w:rPr>
                <w:sz w:val="20"/>
                <w:szCs w:val="20"/>
                <w:lang w:val="en-US"/>
              </w:rPr>
              <w:t>Grade 5</w:t>
            </w:r>
          </w:p>
        </w:tc>
        <w:tc>
          <w:tcPr>
            <w:tcW w:w="1715" w:type="dxa"/>
            <w:hideMark/>
          </w:tcPr>
          <w:p w14:paraId="0F925CD7"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14 (3)</w:t>
            </w:r>
          </w:p>
        </w:tc>
        <w:tc>
          <w:tcPr>
            <w:tcW w:w="1715" w:type="dxa"/>
            <w:hideMark/>
          </w:tcPr>
          <w:p w14:paraId="7D004C1D"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10 (4.3)</w:t>
            </w:r>
          </w:p>
        </w:tc>
        <w:tc>
          <w:tcPr>
            <w:tcW w:w="1715" w:type="dxa"/>
            <w:hideMark/>
          </w:tcPr>
          <w:p w14:paraId="0F74F497"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7 (3)</w:t>
            </w:r>
          </w:p>
        </w:tc>
        <w:tc>
          <w:tcPr>
            <w:tcW w:w="1715" w:type="dxa"/>
            <w:hideMark/>
          </w:tcPr>
          <w:p w14:paraId="14D808AB"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2 (1)</w:t>
            </w:r>
          </w:p>
        </w:tc>
      </w:tr>
      <w:tr w:rsidR="00E0683A" w:rsidRPr="00E0683A" w14:paraId="5D0212E9" w14:textId="77777777" w:rsidTr="002D4D16">
        <w:trPr>
          <w:trHeight w:val="20"/>
        </w:trPr>
        <w:tc>
          <w:tcPr>
            <w:cnfStyle w:val="001000000000" w:firstRow="0" w:lastRow="0" w:firstColumn="1" w:lastColumn="0" w:oddVBand="0" w:evenVBand="0" w:oddHBand="0" w:evenHBand="0" w:firstRowFirstColumn="0" w:firstRowLastColumn="0" w:lastRowFirstColumn="0" w:lastRowLastColumn="0"/>
            <w:tcW w:w="2695" w:type="dxa"/>
            <w:hideMark/>
          </w:tcPr>
          <w:p w14:paraId="7E1E74C6" w14:textId="77777777" w:rsidR="00E0683A" w:rsidRPr="002D4D16" w:rsidRDefault="00E0683A" w:rsidP="00773A7F">
            <w:pPr>
              <w:ind w:left="0"/>
              <w:rPr>
                <w:sz w:val="20"/>
                <w:szCs w:val="20"/>
                <w:lang w:val="en-US"/>
              </w:rPr>
            </w:pPr>
            <w:r w:rsidRPr="002D4D16">
              <w:rPr>
                <w:sz w:val="20"/>
                <w:szCs w:val="20"/>
                <w:lang w:val="en-US"/>
              </w:rPr>
              <w:t>SAEs</w:t>
            </w:r>
          </w:p>
        </w:tc>
        <w:tc>
          <w:tcPr>
            <w:tcW w:w="1715" w:type="dxa"/>
            <w:hideMark/>
          </w:tcPr>
          <w:p w14:paraId="7172C976"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169 (37)</w:t>
            </w:r>
          </w:p>
        </w:tc>
        <w:tc>
          <w:tcPr>
            <w:tcW w:w="1715" w:type="dxa"/>
            <w:hideMark/>
          </w:tcPr>
          <w:p w14:paraId="5BA7A5AF"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89 (39)</w:t>
            </w:r>
          </w:p>
        </w:tc>
        <w:tc>
          <w:tcPr>
            <w:tcW w:w="1715" w:type="dxa"/>
            <w:hideMark/>
          </w:tcPr>
          <w:p w14:paraId="498C011E"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43 (15)</w:t>
            </w:r>
          </w:p>
        </w:tc>
        <w:tc>
          <w:tcPr>
            <w:tcW w:w="1715" w:type="dxa"/>
            <w:hideMark/>
          </w:tcPr>
          <w:p w14:paraId="1B13ADDF"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8 (6)</w:t>
            </w:r>
          </w:p>
        </w:tc>
      </w:tr>
      <w:tr w:rsidR="00E0683A" w:rsidRPr="00E0683A" w14:paraId="01B57BFD" w14:textId="77777777" w:rsidTr="002D4D16">
        <w:trPr>
          <w:trHeight w:val="20"/>
        </w:trPr>
        <w:tc>
          <w:tcPr>
            <w:cnfStyle w:val="001000000000" w:firstRow="0" w:lastRow="0" w:firstColumn="1" w:lastColumn="0" w:oddVBand="0" w:evenVBand="0" w:oddHBand="0" w:evenHBand="0" w:firstRowFirstColumn="0" w:firstRowLastColumn="0" w:lastRowFirstColumn="0" w:lastRowLastColumn="0"/>
            <w:tcW w:w="2695" w:type="dxa"/>
            <w:hideMark/>
          </w:tcPr>
          <w:p w14:paraId="339C58C0" w14:textId="77777777" w:rsidR="00E0683A" w:rsidRPr="002D4D16" w:rsidRDefault="00E0683A" w:rsidP="00773A7F">
            <w:pPr>
              <w:ind w:left="0"/>
              <w:rPr>
                <w:sz w:val="20"/>
                <w:szCs w:val="20"/>
                <w:lang w:val="en-US"/>
              </w:rPr>
            </w:pPr>
            <w:r w:rsidRPr="002D4D16">
              <w:rPr>
                <w:sz w:val="20"/>
                <w:szCs w:val="20"/>
                <w:lang w:val="en-US"/>
              </w:rPr>
              <w:t>Patients with AEs leading to treatment interruption</w:t>
            </w:r>
          </w:p>
        </w:tc>
        <w:tc>
          <w:tcPr>
            <w:tcW w:w="1715" w:type="dxa"/>
            <w:hideMark/>
          </w:tcPr>
          <w:p w14:paraId="10058B01"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213 (47)</w:t>
            </w:r>
          </w:p>
        </w:tc>
        <w:tc>
          <w:tcPr>
            <w:tcW w:w="1715" w:type="dxa"/>
            <w:hideMark/>
          </w:tcPr>
          <w:p w14:paraId="3FB26341"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62 (27)</w:t>
            </w:r>
          </w:p>
        </w:tc>
        <w:tc>
          <w:tcPr>
            <w:tcW w:w="1715" w:type="dxa"/>
            <w:hideMark/>
          </w:tcPr>
          <w:p w14:paraId="39968FCD"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98 (35)</w:t>
            </w:r>
          </w:p>
        </w:tc>
        <w:tc>
          <w:tcPr>
            <w:tcW w:w="1715" w:type="dxa"/>
            <w:hideMark/>
          </w:tcPr>
          <w:p w14:paraId="6017877C"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14 (10)</w:t>
            </w:r>
          </w:p>
        </w:tc>
      </w:tr>
      <w:tr w:rsidR="00E0683A" w:rsidRPr="00E0683A" w14:paraId="6B4C91FC" w14:textId="77777777" w:rsidTr="002D4D16">
        <w:trPr>
          <w:trHeight w:val="20"/>
        </w:trPr>
        <w:tc>
          <w:tcPr>
            <w:cnfStyle w:val="001000000000" w:firstRow="0" w:lastRow="0" w:firstColumn="1" w:lastColumn="0" w:oddVBand="0" w:evenVBand="0" w:oddHBand="0" w:evenHBand="0" w:firstRowFirstColumn="0" w:firstRowLastColumn="0" w:lastRowFirstColumn="0" w:lastRowLastColumn="0"/>
            <w:tcW w:w="2695" w:type="dxa"/>
            <w:hideMark/>
          </w:tcPr>
          <w:p w14:paraId="2A624784" w14:textId="77777777" w:rsidR="00E0683A" w:rsidRPr="002D4D16" w:rsidRDefault="00E0683A" w:rsidP="00773A7F">
            <w:pPr>
              <w:ind w:left="0"/>
              <w:rPr>
                <w:sz w:val="20"/>
                <w:szCs w:val="20"/>
                <w:lang w:val="en-US"/>
              </w:rPr>
            </w:pPr>
            <w:r w:rsidRPr="002D4D16">
              <w:rPr>
                <w:sz w:val="20"/>
                <w:szCs w:val="20"/>
                <w:lang w:val="en-US"/>
              </w:rPr>
              <w:t>Patients with AEs leading to dose reduction</w:t>
            </w:r>
          </w:p>
        </w:tc>
        <w:tc>
          <w:tcPr>
            <w:tcW w:w="1715" w:type="dxa"/>
            <w:hideMark/>
          </w:tcPr>
          <w:p w14:paraId="175E6C0C"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110 (24)</w:t>
            </w:r>
          </w:p>
        </w:tc>
        <w:tc>
          <w:tcPr>
            <w:tcW w:w="1715" w:type="dxa"/>
            <w:hideMark/>
          </w:tcPr>
          <w:p w14:paraId="1C63D1B7"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9 (4)</w:t>
            </w:r>
          </w:p>
        </w:tc>
        <w:tc>
          <w:tcPr>
            <w:tcW w:w="1715" w:type="dxa"/>
            <w:hideMark/>
          </w:tcPr>
          <w:p w14:paraId="3C712CA7"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67 (24)</w:t>
            </w:r>
          </w:p>
        </w:tc>
        <w:tc>
          <w:tcPr>
            <w:tcW w:w="1715" w:type="dxa"/>
            <w:hideMark/>
          </w:tcPr>
          <w:p w14:paraId="5CCACDF8"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6 (4)</w:t>
            </w:r>
          </w:p>
        </w:tc>
      </w:tr>
      <w:tr w:rsidR="00E0683A" w:rsidRPr="00E0683A" w14:paraId="39F5C852" w14:textId="77777777" w:rsidTr="002D4D16">
        <w:trPr>
          <w:trHeight w:val="20"/>
        </w:trPr>
        <w:tc>
          <w:tcPr>
            <w:cnfStyle w:val="001000000000" w:firstRow="0" w:lastRow="0" w:firstColumn="1" w:lastColumn="0" w:oddVBand="0" w:evenVBand="0" w:oddHBand="0" w:evenHBand="0" w:firstRowFirstColumn="0" w:firstRowLastColumn="0" w:lastRowFirstColumn="0" w:lastRowLastColumn="0"/>
            <w:tcW w:w="2695" w:type="dxa"/>
            <w:hideMark/>
          </w:tcPr>
          <w:p w14:paraId="73896A27" w14:textId="77777777" w:rsidR="00E0683A" w:rsidRPr="002D4D16" w:rsidRDefault="00E0683A" w:rsidP="00773A7F">
            <w:pPr>
              <w:ind w:left="0"/>
              <w:rPr>
                <w:sz w:val="20"/>
                <w:szCs w:val="20"/>
                <w:lang w:val="en-US"/>
              </w:rPr>
            </w:pPr>
            <w:r w:rsidRPr="002D4D16">
              <w:rPr>
                <w:sz w:val="20"/>
                <w:szCs w:val="20"/>
                <w:lang w:val="en-US"/>
              </w:rPr>
              <w:t>Patients with AEs leading to treatment discontinuation</w:t>
            </w:r>
          </w:p>
        </w:tc>
        <w:tc>
          <w:tcPr>
            <w:tcW w:w="1715" w:type="dxa"/>
            <w:hideMark/>
          </w:tcPr>
          <w:p w14:paraId="79BA52E0"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93 (20)</w:t>
            </w:r>
          </w:p>
        </w:tc>
        <w:tc>
          <w:tcPr>
            <w:tcW w:w="1715" w:type="dxa"/>
            <w:hideMark/>
          </w:tcPr>
          <w:p w14:paraId="7C0A4D30"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lang w:val="en-US"/>
              </w:rPr>
              <w:t>49 (21)</w:t>
            </w:r>
          </w:p>
        </w:tc>
        <w:tc>
          <w:tcPr>
            <w:tcW w:w="1715" w:type="dxa"/>
            <w:hideMark/>
          </w:tcPr>
          <w:p w14:paraId="32402758"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41 (15)</w:t>
            </w:r>
          </w:p>
        </w:tc>
        <w:tc>
          <w:tcPr>
            <w:tcW w:w="1715" w:type="dxa"/>
            <w:hideMark/>
          </w:tcPr>
          <w:p w14:paraId="62322D03" w14:textId="77777777" w:rsidR="00E0683A" w:rsidRPr="002D4D16"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D4D16">
              <w:rPr>
                <w:sz w:val="20"/>
                <w:szCs w:val="20"/>
              </w:rPr>
              <w:t>7 (5)</w:t>
            </w:r>
          </w:p>
        </w:tc>
      </w:tr>
    </w:tbl>
    <w:p w14:paraId="2512D1C6" w14:textId="35DD2F46" w:rsidR="00E0683A" w:rsidRPr="00E0683A" w:rsidRDefault="007D2301" w:rsidP="00E6354E">
      <w:pPr>
        <w:pStyle w:val="TableDescription"/>
        <w:rPr>
          <w:lang w:val="en-GB"/>
        </w:rPr>
      </w:pPr>
      <w:r>
        <w:rPr>
          <w:lang w:val="en-GB"/>
        </w:rPr>
        <w:t xml:space="preserve">Abbreviations: </w:t>
      </w:r>
      <w:r w:rsidR="00FE1CC2">
        <w:rPr>
          <w:lang w:val="en-GB"/>
        </w:rPr>
        <w:t>AEs = adverse events, BSC = best supportive care</w:t>
      </w:r>
      <w:r w:rsidR="000E728F">
        <w:rPr>
          <w:lang w:val="en-GB"/>
        </w:rPr>
        <w:t xml:space="preserve">, </w:t>
      </w:r>
      <w:r w:rsidR="00E6354E">
        <w:rPr>
          <w:lang w:val="en-GB"/>
        </w:rPr>
        <w:t>N/n = number, SAEs = serious adverse events, TEAEs</w:t>
      </w:r>
      <w:r w:rsidR="001177EB">
        <w:rPr>
          <w:lang w:val="en-GB"/>
        </w:rPr>
        <w:t> </w:t>
      </w:r>
      <w:r w:rsidR="00E6354E">
        <w:rPr>
          <w:lang w:val="en-GB"/>
        </w:rPr>
        <w:t>= treatment-emergent adverse events.</w:t>
      </w:r>
    </w:p>
    <w:p w14:paraId="5E06668E" w14:textId="77777777" w:rsidR="00E0683A" w:rsidRPr="00E0683A" w:rsidRDefault="00E0683A" w:rsidP="002D4D16">
      <w:pPr>
        <w:pStyle w:val="Heading5"/>
        <w:rPr>
          <w:lang w:val="en-GB"/>
        </w:rPr>
      </w:pPr>
      <w:r w:rsidRPr="00E0683A">
        <w:rPr>
          <w:lang w:val="en-GB"/>
        </w:rPr>
        <w:t>Common adverse events and laboratory abnormalities</w:t>
      </w:r>
    </w:p>
    <w:p w14:paraId="36993652" w14:textId="7C5956D4" w:rsidR="00E0683A" w:rsidRPr="00E0683A" w:rsidRDefault="00E0683A" w:rsidP="00E0683A">
      <w:pPr>
        <w:rPr>
          <w:lang w:val="en-GB"/>
        </w:rPr>
      </w:pPr>
      <w:r w:rsidRPr="00E0683A">
        <w:rPr>
          <w:lang w:val="en-GB"/>
        </w:rPr>
        <w:t xml:space="preserve">The most common treatment-emergent adverse events observed with </w:t>
      </w:r>
      <w:proofErr w:type="spellStart"/>
      <w:r w:rsidRPr="00E0683A">
        <w:rPr>
          <w:lang w:val="en-GB"/>
        </w:rPr>
        <w:t>fruquintinib</w:t>
      </w:r>
      <w:proofErr w:type="spellEnd"/>
      <w:r w:rsidRPr="00E0683A">
        <w:rPr>
          <w:lang w:val="en-GB"/>
        </w:rPr>
        <w:t xml:space="preserve"> treatment were consistent with those associated with the VEGF </w:t>
      </w:r>
      <w:r w:rsidR="00F23B78">
        <w:rPr>
          <w:lang w:val="en-GB"/>
        </w:rPr>
        <w:t>t</w:t>
      </w:r>
      <w:r w:rsidR="00F23B78" w:rsidRPr="00F23B78">
        <w:rPr>
          <w:lang w:val="en-GB"/>
        </w:rPr>
        <w:t>yrosine kinase inhibitor</w:t>
      </w:r>
      <w:r w:rsidRPr="00E0683A">
        <w:rPr>
          <w:lang w:val="en-GB"/>
        </w:rPr>
        <w:t xml:space="preserve"> class. The most common adverse events observed in the placebo arm were consistent with the underlying condition. Although more patients in the </w:t>
      </w:r>
      <w:proofErr w:type="spellStart"/>
      <w:r w:rsidRPr="00E0683A">
        <w:rPr>
          <w:lang w:val="en-GB"/>
        </w:rPr>
        <w:t>fruquintinib</w:t>
      </w:r>
      <w:proofErr w:type="spellEnd"/>
      <w:r w:rsidRPr="00E0683A">
        <w:rPr>
          <w:lang w:val="en-GB"/>
        </w:rPr>
        <w:t xml:space="preserve"> arm experienced hepatotoxicity, high grade hepatotoxicity occurred with a similar incidence in both arms. The data in FRESCO were not dissimilar.</w:t>
      </w:r>
    </w:p>
    <w:p w14:paraId="2EC5AE5F" w14:textId="492D9650" w:rsidR="00E0683A" w:rsidRPr="00E0683A" w:rsidRDefault="00E0683A" w:rsidP="00A5421A">
      <w:pPr>
        <w:pStyle w:val="TableTitle"/>
      </w:pPr>
      <w:r w:rsidRPr="00E0683A">
        <w:lastRenderedPageBreak/>
        <w:t xml:space="preserve">Table </w:t>
      </w:r>
      <w:r w:rsidRPr="00E0683A">
        <w:fldChar w:fldCharType="begin"/>
      </w:r>
      <w:r w:rsidRPr="00E0683A">
        <w:instrText xml:space="preserve"> SEQ Table \* ARABIC </w:instrText>
      </w:r>
      <w:r w:rsidRPr="00E0683A">
        <w:fldChar w:fldCharType="separate"/>
      </w:r>
      <w:r w:rsidR="00A407E4">
        <w:rPr>
          <w:noProof/>
        </w:rPr>
        <w:t>7</w:t>
      </w:r>
      <w:r w:rsidRPr="00E0683A">
        <w:fldChar w:fldCharType="end"/>
      </w:r>
      <w:r w:rsidR="00C4382C">
        <w:t xml:space="preserve">: </w:t>
      </w:r>
      <w:r w:rsidRPr="00E0683A">
        <w:t xml:space="preserve">Most common </w:t>
      </w:r>
      <w:r w:rsidR="00C4382C">
        <w:t xml:space="preserve">treatment-emergent adverse events </w:t>
      </w:r>
      <w:r w:rsidRPr="00E0683A">
        <w:t>in FRESCO-2 (&gt;</w:t>
      </w:r>
      <w:r w:rsidR="00C4382C">
        <w:t> </w:t>
      </w:r>
      <w:r w:rsidRPr="00E0683A">
        <w:t xml:space="preserve">10% incidence in the </w:t>
      </w:r>
      <w:proofErr w:type="spellStart"/>
      <w:r w:rsidRPr="00E0683A">
        <w:t>fruquintinib</w:t>
      </w:r>
      <w:proofErr w:type="spellEnd"/>
      <w:r w:rsidRPr="00E0683A">
        <w:t xml:space="preserve"> arm)</w:t>
      </w:r>
    </w:p>
    <w:tbl>
      <w:tblPr>
        <w:tblStyle w:val="TableTGAblue2023"/>
        <w:tblW w:w="8925" w:type="dxa"/>
        <w:tblLayout w:type="fixed"/>
        <w:tblLook w:val="01E0" w:firstRow="1" w:lastRow="1" w:firstColumn="1" w:lastColumn="1" w:noHBand="0" w:noVBand="0"/>
      </w:tblPr>
      <w:tblGrid>
        <w:gridCol w:w="2408"/>
        <w:gridCol w:w="1629"/>
        <w:gridCol w:w="1629"/>
        <w:gridCol w:w="1629"/>
        <w:gridCol w:w="1630"/>
      </w:tblGrid>
      <w:tr w:rsidR="00E0683A" w:rsidRPr="00E0683A" w14:paraId="55D6F462" w14:textId="77777777" w:rsidTr="00062D9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Pr>
          <w:p w14:paraId="70BF5065" w14:textId="77777777" w:rsidR="00E0683A" w:rsidRPr="00062D95" w:rsidRDefault="00E0683A" w:rsidP="00773A7F">
            <w:pPr>
              <w:ind w:left="0"/>
              <w:rPr>
                <w:sz w:val="20"/>
                <w:szCs w:val="20"/>
                <w:lang w:val="en-US"/>
              </w:rPr>
            </w:pPr>
          </w:p>
        </w:tc>
        <w:tc>
          <w:tcPr>
            <w:tcW w:w="3260" w:type="dxa"/>
            <w:gridSpan w:val="2"/>
            <w:hideMark/>
          </w:tcPr>
          <w:p w14:paraId="767C2361" w14:textId="50ABCD6E" w:rsidR="00E0683A" w:rsidRPr="00062D95" w:rsidRDefault="00E0683A"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062D95">
              <w:rPr>
                <w:sz w:val="20"/>
                <w:szCs w:val="20"/>
                <w:lang w:val="en-US"/>
              </w:rPr>
              <w:t>Fruquintinib + BSC N</w:t>
            </w:r>
            <w:r w:rsidR="00062D95" w:rsidRPr="00062D95">
              <w:rPr>
                <w:sz w:val="20"/>
                <w:szCs w:val="20"/>
              </w:rPr>
              <w:t> </w:t>
            </w:r>
            <w:r w:rsidRPr="00062D95">
              <w:rPr>
                <w:sz w:val="20"/>
                <w:szCs w:val="20"/>
                <w:lang w:val="en-US"/>
              </w:rPr>
              <w:t>=</w:t>
            </w:r>
            <w:r w:rsidR="00062D95" w:rsidRPr="00062D95">
              <w:rPr>
                <w:b w:val="0"/>
                <w:sz w:val="20"/>
                <w:szCs w:val="20"/>
                <w:lang w:val="en-US"/>
              </w:rPr>
              <w:t> </w:t>
            </w:r>
            <w:r w:rsidRPr="00062D95">
              <w:rPr>
                <w:sz w:val="20"/>
                <w:szCs w:val="20"/>
                <w:lang w:val="en-US"/>
              </w:rPr>
              <w:t>456; n (%)</w:t>
            </w:r>
          </w:p>
        </w:tc>
        <w:tc>
          <w:tcPr>
            <w:tcW w:w="3261" w:type="dxa"/>
            <w:gridSpan w:val="2"/>
            <w:hideMark/>
          </w:tcPr>
          <w:p w14:paraId="136647A3" w14:textId="71AB2940" w:rsidR="00E0683A" w:rsidRPr="00062D95" w:rsidRDefault="00E0683A" w:rsidP="00773A7F">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062D95">
              <w:rPr>
                <w:sz w:val="20"/>
                <w:szCs w:val="20"/>
                <w:lang w:val="en-US"/>
              </w:rPr>
              <w:t>Placebo + BSC N</w:t>
            </w:r>
            <w:r w:rsidR="00062D95" w:rsidRPr="00062D95">
              <w:rPr>
                <w:b w:val="0"/>
                <w:sz w:val="20"/>
                <w:szCs w:val="20"/>
                <w:lang w:val="en-US"/>
              </w:rPr>
              <w:t> </w:t>
            </w:r>
            <w:r w:rsidRPr="00062D95">
              <w:rPr>
                <w:sz w:val="20"/>
                <w:szCs w:val="20"/>
                <w:lang w:val="en-US"/>
              </w:rPr>
              <w:t>=</w:t>
            </w:r>
            <w:r w:rsidR="00062D95" w:rsidRPr="00062D95">
              <w:rPr>
                <w:b w:val="0"/>
                <w:sz w:val="20"/>
                <w:szCs w:val="20"/>
                <w:lang w:val="en-US"/>
              </w:rPr>
              <w:t> </w:t>
            </w:r>
            <w:r w:rsidRPr="00062D95">
              <w:rPr>
                <w:sz w:val="20"/>
                <w:szCs w:val="20"/>
                <w:lang w:val="en-US"/>
              </w:rPr>
              <w:t>230; n (%)</w:t>
            </w:r>
          </w:p>
        </w:tc>
      </w:tr>
      <w:tr w:rsidR="00E0683A" w:rsidRPr="00E0683A" w14:paraId="71AECE51" w14:textId="77777777" w:rsidTr="00A5421A">
        <w:trPr>
          <w:trHeight w:val="20"/>
        </w:trPr>
        <w:tc>
          <w:tcPr>
            <w:cnfStyle w:val="001000000000" w:firstRow="0" w:lastRow="0" w:firstColumn="1" w:lastColumn="0" w:oddVBand="0" w:evenVBand="0" w:oddHBand="0" w:evenHBand="0" w:firstRowFirstColumn="0" w:firstRowLastColumn="0" w:lastRowFirstColumn="0" w:lastRowLastColumn="0"/>
            <w:tcW w:w="2410" w:type="dxa"/>
            <w:shd w:val="clear" w:color="auto" w:fill="DEEAF6" w:themeFill="accent5" w:themeFillTint="33"/>
            <w:hideMark/>
          </w:tcPr>
          <w:p w14:paraId="326A27F9" w14:textId="77777777" w:rsidR="00E0683A" w:rsidRPr="00A5421A" w:rsidRDefault="00E0683A" w:rsidP="00773A7F">
            <w:pPr>
              <w:ind w:left="0"/>
              <w:rPr>
                <w:b/>
                <w:color w:val="263287"/>
                <w:sz w:val="20"/>
                <w:szCs w:val="20"/>
                <w:lang w:val="en-US"/>
              </w:rPr>
            </w:pPr>
            <w:r w:rsidRPr="00A5421A">
              <w:rPr>
                <w:b/>
                <w:color w:val="263287"/>
                <w:sz w:val="20"/>
                <w:szCs w:val="20"/>
                <w:lang w:val="en-US"/>
              </w:rPr>
              <w:t>AE</w:t>
            </w:r>
          </w:p>
        </w:tc>
        <w:tc>
          <w:tcPr>
            <w:tcW w:w="1630" w:type="dxa"/>
            <w:shd w:val="clear" w:color="auto" w:fill="DEEAF6" w:themeFill="accent5" w:themeFillTint="33"/>
            <w:hideMark/>
          </w:tcPr>
          <w:p w14:paraId="2D8C432A" w14:textId="77777777" w:rsidR="00E0683A" w:rsidRPr="00A5421A" w:rsidRDefault="00E0683A" w:rsidP="00773A7F">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Any Grade</w:t>
            </w:r>
          </w:p>
        </w:tc>
        <w:tc>
          <w:tcPr>
            <w:tcW w:w="1630" w:type="dxa"/>
            <w:shd w:val="clear" w:color="auto" w:fill="DEEAF6" w:themeFill="accent5" w:themeFillTint="33"/>
            <w:hideMark/>
          </w:tcPr>
          <w:p w14:paraId="78F97593" w14:textId="77777777" w:rsidR="00E0683A" w:rsidRPr="00A5421A" w:rsidRDefault="00E0683A" w:rsidP="00773A7F">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Grade ≥ 3</w:t>
            </w:r>
          </w:p>
        </w:tc>
        <w:tc>
          <w:tcPr>
            <w:tcW w:w="1630" w:type="dxa"/>
            <w:shd w:val="clear" w:color="auto" w:fill="DEEAF6" w:themeFill="accent5" w:themeFillTint="33"/>
            <w:hideMark/>
          </w:tcPr>
          <w:p w14:paraId="15208802" w14:textId="77777777" w:rsidR="00E0683A" w:rsidRPr="00A5421A" w:rsidRDefault="00E0683A" w:rsidP="00773A7F">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Any Grade</w:t>
            </w:r>
          </w:p>
        </w:tc>
        <w:tc>
          <w:tcPr>
            <w:tcW w:w="1631" w:type="dxa"/>
            <w:shd w:val="clear" w:color="auto" w:fill="DEEAF6" w:themeFill="accent5" w:themeFillTint="33"/>
            <w:hideMark/>
          </w:tcPr>
          <w:p w14:paraId="1C0E7518" w14:textId="77777777" w:rsidR="00E0683A" w:rsidRPr="00A5421A" w:rsidRDefault="00E0683A" w:rsidP="00773A7F">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Grade ≥ 3</w:t>
            </w:r>
          </w:p>
        </w:tc>
      </w:tr>
      <w:tr w:rsidR="00E0683A" w:rsidRPr="00E0683A" w14:paraId="7C6FCBD0"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5A2DE6E5" w14:textId="77777777" w:rsidR="00E0683A" w:rsidRPr="00062D95" w:rsidRDefault="00E0683A" w:rsidP="00773A7F">
            <w:pPr>
              <w:ind w:left="0"/>
              <w:rPr>
                <w:sz w:val="20"/>
                <w:szCs w:val="20"/>
                <w:lang w:val="en-US"/>
              </w:rPr>
            </w:pPr>
            <w:r w:rsidRPr="00062D95">
              <w:rPr>
                <w:sz w:val="20"/>
                <w:szCs w:val="20"/>
                <w:lang w:val="en-US"/>
              </w:rPr>
              <w:t>Fatigue</w:t>
            </w:r>
            <w:r w:rsidRPr="00062D95">
              <w:rPr>
                <w:sz w:val="20"/>
                <w:szCs w:val="20"/>
                <w:vertAlign w:val="superscript"/>
                <w:lang w:val="en-US"/>
              </w:rPr>
              <w:t>1</w:t>
            </w:r>
          </w:p>
        </w:tc>
        <w:tc>
          <w:tcPr>
            <w:tcW w:w="1630" w:type="dxa"/>
            <w:hideMark/>
          </w:tcPr>
          <w:p w14:paraId="2DFFC791"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243 (53.3)</w:t>
            </w:r>
          </w:p>
        </w:tc>
        <w:tc>
          <w:tcPr>
            <w:tcW w:w="1630" w:type="dxa"/>
            <w:hideMark/>
          </w:tcPr>
          <w:p w14:paraId="4897E07D"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53 (11.6)</w:t>
            </w:r>
          </w:p>
        </w:tc>
        <w:tc>
          <w:tcPr>
            <w:tcW w:w="1630" w:type="dxa"/>
            <w:hideMark/>
          </w:tcPr>
          <w:p w14:paraId="058BFAF3"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89 (38.7)</w:t>
            </w:r>
          </w:p>
        </w:tc>
        <w:tc>
          <w:tcPr>
            <w:tcW w:w="1631" w:type="dxa"/>
            <w:hideMark/>
          </w:tcPr>
          <w:p w14:paraId="6626E017"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10 (4.3)</w:t>
            </w:r>
          </w:p>
        </w:tc>
      </w:tr>
      <w:tr w:rsidR="00E0683A" w:rsidRPr="00E0683A" w14:paraId="40D23A4F"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67EAD542" w14:textId="77777777" w:rsidR="00E0683A" w:rsidRPr="00062D95" w:rsidRDefault="00E0683A" w:rsidP="00773A7F">
            <w:pPr>
              <w:ind w:left="0"/>
              <w:rPr>
                <w:sz w:val="20"/>
                <w:szCs w:val="20"/>
                <w:lang w:val="en-US"/>
              </w:rPr>
            </w:pPr>
            <w:r w:rsidRPr="00062D95">
              <w:rPr>
                <w:sz w:val="20"/>
                <w:szCs w:val="20"/>
                <w:lang w:val="en-US"/>
              </w:rPr>
              <w:t>Hypertension</w:t>
            </w:r>
            <w:r w:rsidRPr="00062D95">
              <w:rPr>
                <w:sz w:val="20"/>
                <w:szCs w:val="20"/>
                <w:vertAlign w:val="superscript"/>
                <w:lang w:val="en-US"/>
              </w:rPr>
              <w:t>2</w:t>
            </w:r>
          </w:p>
        </w:tc>
        <w:tc>
          <w:tcPr>
            <w:tcW w:w="1630" w:type="dxa"/>
            <w:hideMark/>
          </w:tcPr>
          <w:p w14:paraId="370437FE"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176 (38.6)</w:t>
            </w:r>
          </w:p>
        </w:tc>
        <w:tc>
          <w:tcPr>
            <w:tcW w:w="1630" w:type="dxa"/>
            <w:hideMark/>
          </w:tcPr>
          <w:p w14:paraId="37E4DE25"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65 (14.3)</w:t>
            </w:r>
          </w:p>
        </w:tc>
        <w:tc>
          <w:tcPr>
            <w:tcW w:w="1630" w:type="dxa"/>
            <w:hideMark/>
          </w:tcPr>
          <w:p w14:paraId="622B073C"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20 (8.7)</w:t>
            </w:r>
          </w:p>
        </w:tc>
        <w:tc>
          <w:tcPr>
            <w:tcW w:w="1631" w:type="dxa"/>
            <w:hideMark/>
          </w:tcPr>
          <w:p w14:paraId="27C161D0"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 (0.9)</w:t>
            </w:r>
          </w:p>
        </w:tc>
      </w:tr>
      <w:tr w:rsidR="00E0683A" w:rsidRPr="00E0683A" w14:paraId="7D11239F"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5C13C90E" w14:textId="77777777" w:rsidR="00E0683A" w:rsidRPr="00062D95" w:rsidRDefault="00E0683A" w:rsidP="00773A7F">
            <w:pPr>
              <w:ind w:left="0"/>
              <w:rPr>
                <w:sz w:val="20"/>
                <w:szCs w:val="20"/>
                <w:lang w:val="en-US"/>
              </w:rPr>
            </w:pPr>
            <w:r w:rsidRPr="00062D95">
              <w:rPr>
                <w:sz w:val="20"/>
                <w:szCs w:val="20"/>
                <w:lang w:val="en-US"/>
              </w:rPr>
              <w:t>Stomatitis</w:t>
            </w:r>
            <w:r w:rsidRPr="00062D95">
              <w:rPr>
                <w:sz w:val="20"/>
                <w:szCs w:val="20"/>
                <w:vertAlign w:val="superscript"/>
                <w:lang w:val="en-US"/>
              </w:rPr>
              <w:t>3</w:t>
            </w:r>
          </w:p>
        </w:tc>
        <w:tc>
          <w:tcPr>
            <w:tcW w:w="1630" w:type="dxa"/>
            <w:hideMark/>
          </w:tcPr>
          <w:p w14:paraId="7E150E8D"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144 (31.6)</w:t>
            </w:r>
          </w:p>
        </w:tc>
        <w:tc>
          <w:tcPr>
            <w:tcW w:w="1630" w:type="dxa"/>
            <w:hideMark/>
          </w:tcPr>
          <w:p w14:paraId="08DC29B7"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11 (2.4)</w:t>
            </w:r>
          </w:p>
        </w:tc>
        <w:tc>
          <w:tcPr>
            <w:tcW w:w="1630" w:type="dxa"/>
            <w:hideMark/>
          </w:tcPr>
          <w:p w14:paraId="013919F1"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18 (7.8)</w:t>
            </w:r>
          </w:p>
        </w:tc>
        <w:tc>
          <w:tcPr>
            <w:tcW w:w="1631" w:type="dxa"/>
            <w:hideMark/>
          </w:tcPr>
          <w:p w14:paraId="06A4D878"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 (0.4)</w:t>
            </w:r>
          </w:p>
        </w:tc>
      </w:tr>
      <w:tr w:rsidR="00E0683A" w:rsidRPr="00E0683A" w14:paraId="5FBAEF28"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159080A9" w14:textId="77777777" w:rsidR="00E0683A" w:rsidRPr="00062D95" w:rsidRDefault="00E0683A" w:rsidP="00773A7F">
            <w:pPr>
              <w:ind w:left="0"/>
              <w:rPr>
                <w:sz w:val="20"/>
                <w:szCs w:val="20"/>
                <w:lang w:val="en-US"/>
              </w:rPr>
            </w:pPr>
            <w:r w:rsidRPr="00062D95">
              <w:rPr>
                <w:sz w:val="20"/>
                <w:szCs w:val="20"/>
                <w:lang w:val="en-US"/>
              </w:rPr>
              <w:t>Decreased appetite</w:t>
            </w:r>
          </w:p>
        </w:tc>
        <w:tc>
          <w:tcPr>
            <w:tcW w:w="1630" w:type="dxa"/>
            <w:hideMark/>
          </w:tcPr>
          <w:p w14:paraId="63A48B37"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124 (27.2)</w:t>
            </w:r>
          </w:p>
        </w:tc>
        <w:tc>
          <w:tcPr>
            <w:tcW w:w="1630" w:type="dxa"/>
            <w:hideMark/>
          </w:tcPr>
          <w:p w14:paraId="3A7DA32F"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11 (2.4)</w:t>
            </w:r>
          </w:p>
        </w:tc>
        <w:tc>
          <w:tcPr>
            <w:tcW w:w="1630" w:type="dxa"/>
            <w:hideMark/>
          </w:tcPr>
          <w:p w14:paraId="00EA12A0"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41 (17.8)</w:t>
            </w:r>
          </w:p>
        </w:tc>
        <w:tc>
          <w:tcPr>
            <w:tcW w:w="1631" w:type="dxa"/>
            <w:hideMark/>
          </w:tcPr>
          <w:p w14:paraId="2ED941B8"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3 (1.3)</w:t>
            </w:r>
          </w:p>
        </w:tc>
      </w:tr>
      <w:tr w:rsidR="00E0683A" w:rsidRPr="00E0683A" w14:paraId="2C2F261D"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2175C988" w14:textId="77777777" w:rsidR="00E0683A" w:rsidRPr="00062D95" w:rsidRDefault="00E0683A" w:rsidP="00773A7F">
            <w:pPr>
              <w:ind w:left="0"/>
              <w:rPr>
                <w:sz w:val="20"/>
                <w:szCs w:val="20"/>
                <w:lang w:val="en-US"/>
              </w:rPr>
            </w:pPr>
            <w:r w:rsidRPr="00062D95">
              <w:rPr>
                <w:sz w:val="20"/>
                <w:szCs w:val="20"/>
                <w:lang w:val="en-US"/>
              </w:rPr>
              <w:t>Abdominal pain</w:t>
            </w:r>
            <w:r w:rsidRPr="00062D95">
              <w:rPr>
                <w:sz w:val="20"/>
                <w:szCs w:val="20"/>
                <w:vertAlign w:val="superscript"/>
                <w:lang w:val="en-US"/>
              </w:rPr>
              <w:t>4</w:t>
            </w:r>
          </w:p>
        </w:tc>
        <w:tc>
          <w:tcPr>
            <w:tcW w:w="1630" w:type="dxa"/>
            <w:hideMark/>
          </w:tcPr>
          <w:p w14:paraId="3EC12918"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115 (25.2)</w:t>
            </w:r>
          </w:p>
        </w:tc>
        <w:tc>
          <w:tcPr>
            <w:tcW w:w="1630" w:type="dxa"/>
            <w:hideMark/>
          </w:tcPr>
          <w:p w14:paraId="13524A86"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15 (3.3)</w:t>
            </w:r>
          </w:p>
        </w:tc>
        <w:tc>
          <w:tcPr>
            <w:tcW w:w="1630" w:type="dxa"/>
            <w:hideMark/>
          </w:tcPr>
          <w:p w14:paraId="5701B11F"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49 (21.3)</w:t>
            </w:r>
          </w:p>
        </w:tc>
        <w:tc>
          <w:tcPr>
            <w:tcW w:w="1631" w:type="dxa"/>
            <w:hideMark/>
          </w:tcPr>
          <w:p w14:paraId="76F4E62C"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7 (3.0)</w:t>
            </w:r>
          </w:p>
        </w:tc>
      </w:tr>
      <w:tr w:rsidR="00E0683A" w:rsidRPr="00E0683A" w14:paraId="781C8897"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27D5F164" w14:textId="77777777" w:rsidR="00E0683A" w:rsidRPr="00062D95" w:rsidRDefault="00E0683A" w:rsidP="00773A7F">
            <w:pPr>
              <w:ind w:left="0"/>
              <w:rPr>
                <w:sz w:val="20"/>
                <w:szCs w:val="20"/>
                <w:lang w:val="en-US"/>
              </w:rPr>
            </w:pPr>
            <w:r w:rsidRPr="00062D95">
              <w:rPr>
                <w:sz w:val="20"/>
                <w:szCs w:val="20"/>
                <w:lang w:val="en-US"/>
              </w:rPr>
              <w:t>Diarrhoea</w:t>
            </w:r>
            <w:r w:rsidRPr="00062D95">
              <w:rPr>
                <w:sz w:val="20"/>
                <w:szCs w:val="20"/>
                <w:vertAlign w:val="superscript"/>
                <w:lang w:val="en-US"/>
              </w:rPr>
              <w:t>5</w:t>
            </w:r>
          </w:p>
        </w:tc>
        <w:tc>
          <w:tcPr>
            <w:tcW w:w="1630" w:type="dxa"/>
            <w:hideMark/>
          </w:tcPr>
          <w:p w14:paraId="559A4E69"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111 (24.3)</w:t>
            </w:r>
          </w:p>
        </w:tc>
        <w:tc>
          <w:tcPr>
            <w:tcW w:w="1630" w:type="dxa"/>
            <w:hideMark/>
          </w:tcPr>
          <w:p w14:paraId="1BBEFE1E"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17 (3.7)</w:t>
            </w:r>
          </w:p>
        </w:tc>
        <w:tc>
          <w:tcPr>
            <w:tcW w:w="1630" w:type="dxa"/>
            <w:hideMark/>
          </w:tcPr>
          <w:p w14:paraId="092794ED"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25 (10.9)</w:t>
            </w:r>
          </w:p>
        </w:tc>
        <w:tc>
          <w:tcPr>
            <w:tcW w:w="1631" w:type="dxa"/>
            <w:hideMark/>
          </w:tcPr>
          <w:p w14:paraId="4E88FB46"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r>
      <w:tr w:rsidR="00E0683A" w:rsidRPr="00E0683A" w14:paraId="42FDA158"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79B0F2BA" w14:textId="77777777" w:rsidR="00E0683A" w:rsidRPr="00062D95" w:rsidRDefault="00E0683A" w:rsidP="00773A7F">
            <w:pPr>
              <w:ind w:left="0"/>
              <w:rPr>
                <w:sz w:val="20"/>
                <w:szCs w:val="20"/>
                <w:lang w:val="en-US"/>
              </w:rPr>
            </w:pPr>
            <w:r w:rsidRPr="00062D95">
              <w:rPr>
                <w:sz w:val="20"/>
                <w:szCs w:val="20"/>
                <w:lang w:val="en-US"/>
              </w:rPr>
              <w:t>Hepatotoxicity</w:t>
            </w:r>
            <w:r w:rsidRPr="00062D95">
              <w:rPr>
                <w:sz w:val="20"/>
                <w:szCs w:val="20"/>
                <w:vertAlign w:val="superscript"/>
                <w:lang w:val="en-US"/>
              </w:rPr>
              <w:t>6</w:t>
            </w:r>
          </w:p>
        </w:tc>
        <w:tc>
          <w:tcPr>
            <w:tcW w:w="1630" w:type="dxa"/>
            <w:hideMark/>
          </w:tcPr>
          <w:p w14:paraId="145CBCBD"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98 (21.5)</w:t>
            </w:r>
          </w:p>
        </w:tc>
        <w:tc>
          <w:tcPr>
            <w:tcW w:w="1630" w:type="dxa"/>
            <w:hideMark/>
          </w:tcPr>
          <w:p w14:paraId="44C1592E"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32 (7.0)</w:t>
            </w:r>
          </w:p>
        </w:tc>
        <w:tc>
          <w:tcPr>
            <w:tcW w:w="1630" w:type="dxa"/>
            <w:hideMark/>
          </w:tcPr>
          <w:p w14:paraId="48870E3B"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27 (11.7)</w:t>
            </w:r>
          </w:p>
        </w:tc>
        <w:tc>
          <w:tcPr>
            <w:tcW w:w="1631" w:type="dxa"/>
            <w:hideMark/>
          </w:tcPr>
          <w:p w14:paraId="0039C315"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14 (6.1)</w:t>
            </w:r>
          </w:p>
        </w:tc>
      </w:tr>
      <w:tr w:rsidR="00E0683A" w:rsidRPr="00E0683A" w14:paraId="195FD34E"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172386F6" w14:textId="77777777" w:rsidR="00E0683A" w:rsidRPr="00062D95" w:rsidRDefault="00E0683A" w:rsidP="00773A7F">
            <w:pPr>
              <w:ind w:left="0"/>
              <w:rPr>
                <w:sz w:val="20"/>
                <w:szCs w:val="20"/>
                <w:lang w:val="en-US"/>
              </w:rPr>
            </w:pPr>
            <w:r w:rsidRPr="00062D95">
              <w:rPr>
                <w:sz w:val="20"/>
                <w:szCs w:val="20"/>
                <w:lang w:val="en-US"/>
              </w:rPr>
              <w:t>Hypothyroidism</w:t>
            </w:r>
          </w:p>
        </w:tc>
        <w:tc>
          <w:tcPr>
            <w:tcW w:w="1630" w:type="dxa"/>
            <w:hideMark/>
          </w:tcPr>
          <w:p w14:paraId="48FD5300"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94 (20.6)</w:t>
            </w:r>
          </w:p>
        </w:tc>
        <w:tc>
          <w:tcPr>
            <w:tcW w:w="1630" w:type="dxa"/>
            <w:hideMark/>
          </w:tcPr>
          <w:p w14:paraId="3965F35A"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 (0.4)</w:t>
            </w:r>
          </w:p>
        </w:tc>
        <w:tc>
          <w:tcPr>
            <w:tcW w:w="1630" w:type="dxa"/>
            <w:hideMark/>
          </w:tcPr>
          <w:p w14:paraId="1735A10F"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 (0.4)</w:t>
            </w:r>
          </w:p>
        </w:tc>
        <w:tc>
          <w:tcPr>
            <w:tcW w:w="1631" w:type="dxa"/>
            <w:hideMark/>
          </w:tcPr>
          <w:p w14:paraId="7F707C5C"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r>
      <w:tr w:rsidR="00E0683A" w:rsidRPr="00E0683A" w14:paraId="6B69B414"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0C3A10CF" w14:textId="77777777" w:rsidR="00E0683A" w:rsidRPr="00062D95" w:rsidRDefault="00E0683A" w:rsidP="00773A7F">
            <w:pPr>
              <w:ind w:left="0"/>
              <w:rPr>
                <w:sz w:val="20"/>
                <w:szCs w:val="20"/>
                <w:lang w:val="en-US"/>
              </w:rPr>
            </w:pPr>
            <w:r w:rsidRPr="00062D95">
              <w:rPr>
                <w:sz w:val="20"/>
                <w:szCs w:val="20"/>
                <w:lang w:val="en-US"/>
              </w:rPr>
              <w:t xml:space="preserve">Palmar-plantar </w:t>
            </w:r>
            <w:proofErr w:type="spellStart"/>
            <w:r w:rsidRPr="00062D95">
              <w:rPr>
                <w:sz w:val="20"/>
                <w:szCs w:val="20"/>
                <w:lang w:val="en-US"/>
              </w:rPr>
              <w:t>erythrodysaesthesia</w:t>
            </w:r>
            <w:proofErr w:type="spellEnd"/>
            <w:r w:rsidRPr="00062D95">
              <w:rPr>
                <w:sz w:val="20"/>
                <w:szCs w:val="20"/>
                <w:lang w:val="en-US"/>
              </w:rPr>
              <w:t xml:space="preserve"> syndrome</w:t>
            </w:r>
          </w:p>
        </w:tc>
        <w:tc>
          <w:tcPr>
            <w:tcW w:w="1630" w:type="dxa"/>
          </w:tcPr>
          <w:p w14:paraId="2AA394E4"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b/>
                <w:sz w:val="20"/>
                <w:szCs w:val="20"/>
                <w:lang w:val="en-US"/>
              </w:rPr>
            </w:pPr>
          </w:p>
          <w:p w14:paraId="6093B170"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b/>
                <w:sz w:val="20"/>
                <w:szCs w:val="20"/>
                <w:lang w:val="en-US"/>
              </w:rPr>
            </w:pPr>
          </w:p>
          <w:p w14:paraId="1D0B01E3"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88 (19.3)</w:t>
            </w:r>
          </w:p>
        </w:tc>
        <w:tc>
          <w:tcPr>
            <w:tcW w:w="1630" w:type="dxa"/>
          </w:tcPr>
          <w:p w14:paraId="4A542008"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b/>
                <w:sz w:val="20"/>
                <w:szCs w:val="20"/>
                <w:lang w:val="en-US"/>
              </w:rPr>
            </w:pPr>
          </w:p>
          <w:p w14:paraId="185DA016"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b/>
                <w:sz w:val="20"/>
                <w:szCs w:val="20"/>
                <w:lang w:val="en-US"/>
              </w:rPr>
            </w:pPr>
          </w:p>
          <w:p w14:paraId="5AD322EA"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29 (6.4)</w:t>
            </w:r>
          </w:p>
        </w:tc>
        <w:tc>
          <w:tcPr>
            <w:tcW w:w="1630" w:type="dxa"/>
          </w:tcPr>
          <w:p w14:paraId="70EF4A50"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b/>
                <w:sz w:val="20"/>
                <w:szCs w:val="20"/>
                <w:lang w:val="en-US"/>
              </w:rPr>
            </w:pPr>
          </w:p>
          <w:p w14:paraId="2702E111"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b/>
                <w:sz w:val="20"/>
                <w:szCs w:val="20"/>
                <w:lang w:val="en-US"/>
              </w:rPr>
            </w:pPr>
          </w:p>
          <w:p w14:paraId="34810259"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6 (2.6)</w:t>
            </w:r>
          </w:p>
        </w:tc>
        <w:tc>
          <w:tcPr>
            <w:tcW w:w="1631" w:type="dxa"/>
          </w:tcPr>
          <w:p w14:paraId="5443DA83"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b/>
                <w:sz w:val="20"/>
                <w:szCs w:val="20"/>
                <w:lang w:val="en-US"/>
              </w:rPr>
            </w:pPr>
          </w:p>
          <w:p w14:paraId="4A22A6AF"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b/>
                <w:sz w:val="20"/>
                <w:szCs w:val="20"/>
                <w:lang w:val="en-US"/>
              </w:rPr>
            </w:pPr>
          </w:p>
          <w:p w14:paraId="2E617246"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r>
      <w:tr w:rsidR="00E0683A" w:rsidRPr="00E0683A" w14:paraId="46925F78"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512E5C80" w14:textId="77777777" w:rsidR="00E0683A" w:rsidRPr="00062D95" w:rsidRDefault="00E0683A" w:rsidP="00773A7F">
            <w:pPr>
              <w:ind w:left="0"/>
              <w:rPr>
                <w:sz w:val="20"/>
                <w:szCs w:val="20"/>
                <w:lang w:val="en-US"/>
              </w:rPr>
            </w:pPr>
            <w:r w:rsidRPr="00062D95">
              <w:rPr>
                <w:sz w:val="20"/>
                <w:szCs w:val="20"/>
                <w:lang w:val="en-US"/>
              </w:rPr>
              <w:t>Proteinuria</w:t>
            </w:r>
            <w:r w:rsidRPr="00062D95">
              <w:rPr>
                <w:sz w:val="20"/>
                <w:szCs w:val="20"/>
                <w:vertAlign w:val="superscript"/>
                <w:lang w:val="en-US"/>
              </w:rPr>
              <w:t>7</w:t>
            </w:r>
          </w:p>
        </w:tc>
        <w:tc>
          <w:tcPr>
            <w:tcW w:w="1630" w:type="dxa"/>
            <w:hideMark/>
          </w:tcPr>
          <w:p w14:paraId="7A9F7071"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80 (17.5)</w:t>
            </w:r>
          </w:p>
        </w:tc>
        <w:tc>
          <w:tcPr>
            <w:tcW w:w="1630" w:type="dxa"/>
            <w:hideMark/>
          </w:tcPr>
          <w:p w14:paraId="51A98600"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8 (1.8)</w:t>
            </w:r>
          </w:p>
        </w:tc>
        <w:tc>
          <w:tcPr>
            <w:tcW w:w="1630" w:type="dxa"/>
            <w:hideMark/>
          </w:tcPr>
          <w:p w14:paraId="6F869E04"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12 (5.2)</w:t>
            </w:r>
          </w:p>
        </w:tc>
        <w:tc>
          <w:tcPr>
            <w:tcW w:w="1631" w:type="dxa"/>
            <w:hideMark/>
          </w:tcPr>
          <w:p w14:paraId="1A68EE80"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 (0.9)</w:t>
            </w:r>
          </w:p>
        </w:tc>
      </w:tr>
      <w:tr w:rsidR="00E0683A" w:rsidRPr="00E0683A" w14:paraId="7BE21F4E"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7865568E" w14:textId="77777777" w:rsidR="00E0683A" w:rsidRPr="00062D95" w:rsidRDefault="00E0683A" w:rsidP="00773A7F">
            <w:pPr>
              <w:ind w:left="0"/>
              <w:rPr>
                <w:sz w:val="20"/>
                <w:szCs w:val="20"/>
                <w:lang w:val="en-US"/>
              </w:rPr>
            </w:pPr>
            <w:r w:rsidRPr="00062D95">
              <w:rPr>
                <w:sz w:val="20"/>
                <w:szCs w:val="20"/>
                <w:lang w:val="en-US"/>
              </w:rPr>
              <w:t>Dysphonia</w:t>
            </w:r>
            <w:r w:rsidRPr="00062D95">
              <w:rPr>
                <w:sz w:val="20"/>
                <w:szCs w:val="20"/>
                <w:vertAlign w:val="superscript"/>
                <w:lang w:val="en-US"/>
              </w:rPr>
              <w:t>8</w:t>
            </w:r>
          </w:p>
        </w:tc>
        <w:tc>
          <w:tcPr>
            <w:tcW w:w="1630" w:type="dxa"/>
            <w:hideMark/>
          </w:tcPr>
          <w:p w14:paraId="62B68F3A"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80 (17.5)</w:t>
            </w:r>
          </w:p>
        </w:tc>
        <w:tc>
          <w:tcPr>
            <w:tcW w:w="1630" w:type="dxa"/>
            <w:hideMark/>
          </w:tcPr>
          <w:p w14:paraId="10A197D6"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c>
          <w:tcPr>
            <w:tcW w:w="1630" w:type="dxa"/>
            <w:hideMark/>
          </w:tcPr>
          <w:p w14:paraId="224AB892"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12 (5.2)</w:t>
            </w:r>
          </w:p>
        </w:tc>
        <w:tc>
          <w:tcPr>
            <w:tcW w:w="1631" w:type="dxa"/>
            <w:hideMark/>
          </w:tcPr>
          <w:p w14:paraId="27978BFD"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r>
      <w:tr w:rsidR="00E0683A" w:rsidRPr="00E0683A" w14:paraId="66343B2D"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2CD7EE98" w14:textId="77777777" w:rsidR="00E0683A" w:rsidRPr="00062D95" w:rsidRDefault="00E0683A" w:rsidP="00773A7F">
            <w:pPr>
              <w:ind w:left="0"/>
              <w:rPr>
                <w:sz w:val="20"/>
                <w:szCs w:val="20"/>
                <w:lang w:val="en-US"/>
              </w:rPr>
            </w:pPr>
            <w:r w:rsidRPr="00062D95">
              <w:rPr>
                <w:sz w:val="20"/>
                <w:szCs w:val="20"/>
                <w:lang w:val="en-US"/>
              </w:rPr>
              <w:t>Constipation</w:t>
            </w:r>
          </w:p>
        </w:tc>
        <w:tc>
          <w:tcPr>
            <w:tcW w:w="1630" w:type="dxa"/>
            <w:hideMark/>
          </w:tcPr>
          <w:p w14:paraId="72E90F6A"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78 (17.1)</w:t>
            </w:r>
          </w:p>
        </w:tc>
        <w:tc>
          <w:tcPr>
            <w:tcW w:w="1630" w:type="dxa"/>
            <w:hideMark/>
          </w:tcPr>
          <w:p w14:paraId="7201394F"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 (0.4)</w:t>
            </w:r>
          </w:p>
        </w:tc>
        <w:tc>
          <w:tcPr>
            <w:tcW w:w="1630" w:type="dxa"/>
            <w:hideMark/>
          </w:tcPr>
          <w:p w14:paraId="340089CE"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22 (9.6)</w:t>
            </w:r>
          </w:p>
        </w:tc>
        <w:tc>
          <w:tcPr>
            <w:tcW w:w="1631" w:type="dxa"/>
            <w:hideMark/>
          </w:tcPr>
          <w:p w14:paraId="13B3724A"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r>
      <w:tr w:rsidR="00E0683A" w:rsidRPr="00E0683A" w14:paraId="55A33349"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7CCF1352" w14:textId="77777777" w:rsidR="00E0683A" w:rsidRPr="00062D95" w:rsidRDefault="00E0683A" w:rsidP="00773A7F">
            <w:pPr>
              <w:ind w:left="0"/>
              <w:rPr>
                <w:sz w:val="20"/>
                <w:szCs w:val="20"/>
                <w:lang w:val="en-US"/>
              </w:rPr>
            </w:pPr>
            <w:r w:rsidRPr="00062D95">
              <w:rPr>
                <w:sz w:val="20"/>
                <w:szCs w:val="20"/>
                <w:lang w:val="en-US"/>
              </w:rPr>
              <w:t>Musculoskeletal pain</w:t>
            </w:r>
            <w:r w:rsidRPr="00062D95">
              <w:rPr>
                <w:sz w:val="20"/>
                <w:szCs w:val="20"/>
                <w:vertAlign w:val="superscript"/>
                <w:lang w:val="en-US"/>
              </w:rPr>
              <w:t>9</w:t>
            </w:r>
          </w:p>
        </w:tc>
        <w:tc>
          <w:tcPr>
            <w:tcW w:w="1630" w:type="dxa"/>
            <w:hideMark/>
          </w:tcPr>
          <w:p w14:paraId="2F253929"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75 (16.4)</w:t>
            </w:r>
          </w:p>
        </w:tc>
        <w:tc>
          <w:tcPr>
            <w:tcW w:w="1630" w:type="dxa"/>
            <w:hideMark/>
          </w:tcPr>
          <w:p w14:paraId="420EA3D9"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5 (1.1)</w:t>
            </w:r>
          </w:p>
        </w:tc>
        <w:tc>
          <w:tcPr>
            <w:tcW w:w="1630" w:type="dxa"/>
            <w:hideMark/>
          </w:tcPr>
          <w:p w14:paraId="46B0A063"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17 (7.4)</w:t>
            </w:r>
          </w:p>
        </w:tc>
        <w:tc>
          <w:tcPr>
            <w:tcW w:w="1631" w:type="dxa"/>
            <w:hideMark/>
          </w:tcPr>
          <w:p w14:paraId="0105C6AB"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r>
      <w:tr w:rsidR="00E0683A" w:rsidRPr="00E0683A" w14:paraId="537F6A58"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70F354F4" w14:textId="77777777" w:rsidR="00E0683A" w:rsidRPr="00062D95" w:rsidRDefault="00E0683A" w:rsidP="00773A7F">
            <w:pPr>
              <w:ind w:left="0"/>
              <w:rPr>
                <w:sz w:val="20"/>
                <w:szCs w:val="20"/>
                <w:lang w:val="en-US"/>
              </w:rPr>
            </w:pPr>
            <w:r w:rsidRPr="00062D95">
              <w:rPr>
                <w:sz w:val="20"/>
                <w:szCs w:val="20"/>
                <w:lang w:val="en-US"/>
              </w:rPr>
              <w:t>Vomiting</w:t>
            </w:r>
          </w:p>
        </w:tc>
        <w:tc>
          <w:tcPr>
            <w:tcW w:w="1630" w:type="dxa"/>
            <w:hideMark/>
          </w:tcPr>
          <w:p w14:paraId="420F0D5A"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66 (14.5)</w:t>
            </w:r>
          </w:p>
        </w:tc>
        <w:tc>
          <w:tcPr>
            <w:tcW w:w="1630" w:type="dxa"/>
            <w:hideMark/>
          </w:tcPr>
          <w:p w14:paraId="56800126"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7 (1.5)</w:t>
            </w:r>
          </w:p>
        </w:tc>
        <w:tc>
          <w:tcPr>
            <w:tcW w:w="1630" w:type="dxa"/>
            <w:hideMark/>
          </w:tcPr>
          <w:p w14:paraId="07B8E547"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26 (11.3)</w:t>
            </w:r>
          </w:p>
        </w:tc>
        <w:tc>
          <w:tcPr>
            <w:tcW w:w="1631" w:type="dxa"/>
            <w:hideMark/>
          </w:tcPr>
          <w:p w14:paraId="5B40796E"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4 (1.7)</w:t>
            </w:r>
          </w:p>
        </w:tc>
      </w:tr>
      <w:tr w:rsidR="00E0683A" w:rsidRPr="00E0683A" w14:paraId="61A8E74A"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5A1F95B2" w14:textId="77777777" w:rsidR="00E0683A" w:rsidRPr="00062D95" w:rsidRDefault="00E0683A" w:rsidP="00773A7F">
            <w:pPr>
              <w:ind w:left="0"/>
              <w:rPr>
                <w:sz w:val="20"/>
                <w:szCs w:val="20"/>
                <w:lang w:val="en-US"/>
              </w:rPr>
            </w:pPr>
            <w:r w:rsidRPr="00062D95">
              <w:rPr>
                <w:sz w:val="20"/>
                <w:szCs w:val="20"/>
                <w:lang w:val="en-US"/>
              </w:rPr>
              <w:t>Haemorrhage</w:t>
            </w:r>
            <w:r w:rsidRPr="00062D95">
              <w:rPr>
                <w:sz w:val="20"/>
                <w:szCs w:val="20"/>
                <w:vertAlign w:val="superscript"/>
                <w:lang w:val="en-US"/>
              </w:rPr>
              <w:t>10</w:t>
            </w:r>
          </w:p>
        </w:tc>
        <w:tc>
          <w:tcPr>
            <w:tcW w:w="1630" w:type="dxa"/>
            <w:hideMark/>
          </w:tcPr>
          <w:p w14:paraId="08BEC4CE"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61 (13.4)</w:t>
            </w:r>
          </w:p>
        </w:tc>
        <w:tc>
          <w:tcPr>
            <w:tcW w:w="1630" w:type="dxa"/>
            <w:hideMark/>
          </w:tcPr>
          <w:p w14:paraId="1990BEF9"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8 (1.8)</w:t>
            </w:r>
          </w:p>
        </w:tc>
        <w:tc>
          <w:tcPr>
            <w:tcW w:w="1630" w:type="dxa"/>
            <w:hideMark/>
          </w:tcPr>
          <w:p w14:paraId="60FB0968"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21 (9.1)</w:t>
            </w:r>
          </w:p>
        </w:tc>
        <w:tc>
          <w:tcPr>
            <w:tcW w:w="1631" w:type="dxa"/>
            <w:hideMark/>
          </w:tcPr>
          <w:p w14:paraId="19A4C867"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4 (1.7)</w:t>
            </w:r>
          </w:p>
        </w:tc>
      </w:tr>
      <w:tr w:rsidR="00E0683A" w:rsidRPr="00E0683A" w14:paraId="76E022E3"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27BDF3DA" w14:textId="77777777" w:rsidR="00E0683A" w:rsidRPr="00062D95" w:rsidRDefault="00E0683A" w:rsidP="00773A7F">
            <w:pPr>
              <w:ind w:left="0"/>
              <w:rPr>
                <w:sz w:val="20"/>
                <w:szCs w:val="20"/>
                <w:lang w:val="en-US"/>
              </w:rPr>
            </w:pPr>
            <w:r w:rsidRPr="00062D95">
              <w:rPr>
                <w:sz w:val="20"/>
                <w:szCs w:val="20"/>
                <w:lang w:val="en-US"/>
              </w:rPr>
              <w:t>Weight decreased</w:t>
            </w:r>
          </w:p>
        </w:tc>
        <w:tc>
          <w:tcPr>
            <w:tcW w:w="1630" w:type="dxa"/>
            <w:hideMark/>
          </w:tcPr>
          <w:p w14:paraId="3D40B03D"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56 (12.3)</w:t>
            </w:r>
          </w:p>
        </w:tc>
        <w:tc>
          <w:tcPr>
            <w:tcW w:w="1630" w:type="dxa"/>
            <w:hideMark/>
          </w:tcPr>
          <w:p w14:paraId="75B5D6EB"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3 (0.7)</w:t>
            </w:r>
          </w:p>
        </w:tc>
        <w:tc>
          <w:tcPr>
            <w:tcW w:w="1630" w:type="dxa"/>
            <w:hideMark/>
          </w:tcPr>
          <w:p w14:paraId="5C02EF81"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20 (8.7)</w:t>
            </w:r>
          </w:p>
        </w:tc>
        <w:tc>
          <w:tcPr>
            <w:tcW w:w="1631" w:type="dxa"/>
            <w:hideMark/>
          </w:tcPr>
          <w:p w14:paraId="77AB04B2"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 (0.4)</w:t>
            </w:r>
          </w:p>
        </w:tc>
      </w:tr>
      <w:tr w:rsidR="00E0683A" w:rsidRPr="00E0683A" w14:paraId="70611F25"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0FA752FB" w14:textId="77777777" w:rsidR="00E0683A" w:rsidRPr="00062D95" w:rsidRDefault="00E0683A" w:rsidP="00773A7F">
            <w:pPr>
              <w:ind w:left="0"/>
              <w:rPr>
                <w:sz w:val="20"/>
                <w:szCs w:val="20"/>
                <w:lang w:val="en-US"/>
              </w:rPr>
            </w:pPr>
            <w:r w:rsidRPr="00062D95">
              <w:rPr>
                <w:sz w:val="20"/>
                <w:szCs w:val="20"/>
                <w:lang w:val="en-US"/>
              </w:rPr>
              <w:t>Thrombocytopenia</w:t>
            </w:r>
            <w:r w:rsidRPr="00062D95">
              <w:rPr>
                <w:sz w:val="20"/>
                <w:szCs w:val="20"/>
                <w:vertAlign w:val="superscript"/>
                <w:lang w:val="en-US"/>
              </w:rPr>
              <w:t>11</w:t>
            </w:r>
          </w:p>
        </w:tc>
        <w:tc>
          <w:tcPr>
            <w:tcW w:w="1630" w:type="dxa"/>
            <w:hideMark/>
          </w:tcPr>
          <w:p w14:paraId="21272C0B"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55 (12.1)</w:t>
            </w:r>
          </w:p>
        </w:tc>
        <w:tc>
          <w:tcPr>
            <w:tcW w:w="1630" w:type="dxa"/>
            <w:hideMark/>
          </w:tcPr>
          <w:p w14:paraId="76D1790F"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 (0.2)</w:t>
            </w:r>
          </w:p>
        </w:tc>
        <w:tc>
          <w:tcPr>
            <w:tcW w:w="1630" w:type="dxa"/>
            <w:hideMark/>
          </w:tcPr>
          <w:p w14:paraId="5D1E3733"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5 (2.2)</w:t>
            </w:r>
          </w:p>
        </w:tc>
        <w:tc>
          <w:tcPr>
            <w:tcW w:w="1631" w:type="dxa"/>
            <w:hideMark/>
          </w:tcPr>
          <w:p w14:paraId="6B387804"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 (0.4)</w:t>
            </w:r>
          </w:p>
        </w:tc>
      </w:tr>
      <w:tr w:rsidR="00E0683A" w:rsidRPr="00E0683A" w14:paraId="0F8CD2E0"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58F4CBA5" w14:textId="77777777" w:rsidR="00E0683A" w:rsidRPr="00062D95" w:rsidRDefault="00E0683A" w:rsidP="00773A7F">
            <w:pPr>
              <w:ind w:left="0"/>
              <w:rPr>
                <w:sz w:val="20"/>
                <w:szCs w:val="20"/>
                <w:lang w:val="en-US"/>
              </w:rPr>
            </w:pPr>
            <w:r w:rsidRPr="00062D95">
              <w:rPr>
                <w:sz w:val="20"/>
                <w:szCs w:val="20"/>
                <w:lang w:val="en-US"/>
              </w:rPr>
              <w:t>Back pain</w:t>
            </w:r>
            <w:r w:rsidRPr="00062D95">
              <w:rPr>
                <w:sz w:val="20"/>
                <w:szCs w:val="20"/>
                <w:vertAlign w:val="superscript"/>
                <w:lang w:val="en-US"/>
              </w:rPr>
              <w:t>12</w:t>
            </w:r>
          </w:p>
        </w:tc>
        <w:tc>
          <w:tcPr>
            <w:tcW w:w="1630" w:type="dxa"/>
            <w:hideMark/>
          </w:tcPr>
          <w:p w14:paraId="423566DD"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53 (11.6)</w:t>
            </w:r>
          </w:p>
        </w:tc>
        <w:tc>
          <w:tcPr>
            <w:tcW w:w="1630" w:type="dxa"/>
            <w:hideMark/>
          </w:tcPr>
          <w:p w14:paraId="15B7F1AC"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6 (1.3)</w:t>
            </w:r>
          </w:p>
        </w:tc>
        <w:tc>
          <w:tcPr>
            <w:tcW w:w="1630" w:type="dxa"/>
            <w:hideMark/>
          </w:tcPr>
          <w:p w14:paraId="4CBF0E9A"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21 (9.1</w:t>
            </w:r>
          </w:p>
        </w:tc>
        <w:tc>
          <w:tcPr>
            <w:tcW w:w="1631" w:type="dxa"/>
            <w:hideMark/>
          </w:tcPr>
          <w:p w14:paraId="58A00FD9"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4 (1.7)</w:t>
            </w:r>
          </w:p>
        </w:tc>
      </w:tr>
      <w:tr w:rsidR="00E0683A" w:rsidRPr="00E0683A" w14:paraId="4A974483"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28828317" w14:textId="77777777" w:rsidR="00E0683A" w:rsidRPr="00062D95" w:rsidRDefault="00E0683A" w:rsidP="00773A7F">
            <w:pPr>
              <w:ind w:left="0"/>
              <w:rPr>
                <w:sz w:val="20"/>
                <w:szCs w:val="20"/>
                <w:lang w:val="en-US"/>
              </w:rPr>
            </w:pPr>
            <w:r w:rsidRPr="00062D95">
              <w:rPr>
                <w:sz w:val="20"/>
                <w:szCs w:val="20"/>
                <w:lang w:val="en-US"/>
              </w:rPr>
              <w:t>Arthralgia</w:t>
            </w:r>
            <w:r w:rsidRPr="00062D95">
              <w:rPr>
                <w:sz w:val="20"/>
                <w:szCs w:val="20"/>
                <w:vertAlign w:val="superscript"/>
                <w:lang w:val="en-US"/>
              </w:rPr>
              <w:t>13</w:t>
            </w:r>
          </w:p>
        </w:tc>
        <w:tc>
          <w:tcPr>
            <w:tcW w:w="1630" w:type="dxa"/>
            <w:hideMark/>
          </w:tcPr>
          <w:p w14:paraId="31EBC72C"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51 (11.2)</w:t>
            </w:r>
          </w:p>
        </w:tc>
        <w:tc>
          <w:tcPr>
            <w:tcW w:w="1630" w:type="dxa"/>
            <w:hideMark/>
          </w:tcPr>
          <w:p w14:paraId="3D44B734"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4 (0.9)</w:t>
            </w:r>
          </w:p>
        </w:tc>
        <w:tc>
          <w:tcPr>
            <w:tcW w:w="1630" w:type="dxa"/>
            <w:hideMark/>
          </w:tcPr>
          <w:p w14:paraId="10352607"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10 (4.3)</w:t>
            </w:r>
          </w:p>
        </w:tc>
        <w:tc>
          <w:tcPr>
            <w:tcW w:w="1631" w:type="dxa"/>
            <w:hideMark/>
          </w:tcPr>
          <w:p w14:paraId="62008FBE"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r>
      <w:tr w:rsidR="00E0683A" w:rsidRPr="00E0683A" w14:paraId="1DB7E80D" w14:textId="77777777" w:rsidTr="00062D95">
        <w:trPr>
          <w:trHeight w:val="20"/>
        </w:trPr>
        <w:tc>
          <w:tcPr>
            <w:cnfStyle w:val="001000000000" w:firstRow="0" w:lastRow="0" w:firstColumn="1" w:lastColumn="0" w:oddVBand="0" w:evenVBand="0" w:oddHBand="0" w:evenHBand="0" w:firstRowFirstColumn="0" w:firstRowLastColumn="0" w:lastRowFirstColumn="0" w:lastRowLastColumn="0"/>
            <w:tcW w:w="2410" w:type="dxa"/>
            <w:hideMark/>
          </w:tcPr>
          <w:p w14:paraId="282C4349" w14:textId="77777777" w:rsidR="00E0683A" w:rsidRPr="00062D95" w:rsidRDefault="00E0683A" w:rsidP="00773A7F">
            <w:pPr>
              <w:ind w:left="0"/>
              <w:rPr>
                <w:sz w:val="20"/>
                <w:szCs w:val="20"/>
                <w:lang w:val="en-US"/>
              </w:rPr>
            </w:pPr>
            <w:r w:rsidRPr="00062D95">
              <w:rPr>
                <w:sz w:val="20"/>
                <w:szCs w:val="20"/>
                <w:lang w:val="en-US"/>
              </w:rPr>
              <w:t>Pyrexia</w:t>
            </w:r>
          </w:p>
        </w:tc>
        <w:tc>
          <w:tcPr>
            <w:tcW w:w="1630" w:type="dxa"/>
            <w:hideMark/>
          </w:tcPr>
          <w:p w14:paraId="451E1E5D"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46 (10.1)</w:t>
            </w:r>
          </w:p>
        </w:tc>
        <w:tc>
          <w:tcPr>
            <w:tcW w:w="1630" w:type="dxa"/>
            <w:hideMark/>
          </w:tcPr>
          <w:p w14:paraId="2F7F9D45"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1 (0.2)</w:t>
            </w:r>
          </w:p>
        </w:tc>
        <w:tc>
          <w:tcPr>
            <w:tcW w:w="1630" w:type="dxa"/>
            <w:hideMark/>
          </w:tcPr>
          <w:p w14:paraId="4DC11E7B"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22 (9.6)</w:t>
            </w:r>
          </w:p>
        </w:tc>
        <w:tc>
          <w:tcPr>
            <w:tcW w:w="1631" w:type="dxa"/>
            <w:hideMark/>
          </w:tcPr>
          <w:p w14:paraId="04BB3A4A" w14:textId="77777777" w:rsidR="00E0683A" w:rsidRPr="00062D95" w:rsidRDefault="00E0683A" w:rsidP="00773A7F">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062D95">
              <w:rPr>
                <w:sz w:val="20"/>
                <w:szCs w:val="20"/>
                <w:lang w:val="en-US"/>
              </w:rPr>
              <w:t>0</w:t>
            </w:r>
          </w:p>
        </w:tc>
      </w:tr>
    </w:tbl>
    <w:p w14:paraId="506E2FC2" w14:textId="3637E030" w:rsidR="00D62A0E" w:rsidRDefault="00062D95" w:rsidP="006B7ED1">
      <w:pPr>
        <w:pStyle w:val="TableDescription"/>
        <w:rPr>
          <w:lang w:val="en-US"/>
        </w:rPr>
      </w:pPr>
      <w:r>
        <w:rPr>
          <w:lang w:val="en-US"/>
        </w:rPr>
        <w:t xml:space="preserve">Abbreviations: AE = adverse event, BSC = </w:t>
      </w:r>
      <w:r w:rsidR="00DF617E">
        <w:rPr>
          <w:lang w:val="en-US"/>
        </w:rPr>
        <w:t>best supportive care, N/n = number.</w:t>
      </w:r>
    </w:p>
    <w:p w14:paraId="334DF2EC" w14:textId="461CB65A" w:rsidR="00E0683A" w:rsidRPr="00E0683A" w:rsidRDefault="00DF617E" w:rsidP="006B7ED1">
      <w:pPr>
        <w:pStyle w:val="TableDescription"/>
        <w:rPr>
          <w:lang w:val="en-US"/>
        </w:rPr>
      </w:pPr>
      <w:r w:rsidRPr="00925CDB">
        <w:rPr>
          <w:vertAlign w:val="superscript"/>
          <w:lang w:val="en-US"/>
        </w:rPr>
        <w:t>1</w:t>
      </w:r>
      <w:r>
        <w:rPr>
          <w:lang w:val="en-US"/>
        </w:rPr>
        <w:t xml:space="preserve"> </w:t>
      </w:r>
      <w:r w:rsidR="00E0683A" w:rsidRPr="00E0683A">
        <w:rPr>
          <w:lang w:val="en-US"/>
        </w:rPr>
        <w:t xml:space="preserve">Fatigue is a composite term that includes fatigue and </w:t>
      </w:r>
      <w:proofErr w:type="spellStart"/>
      <w:r w:rsidR="00E0683A" w:rsidRPr="00E0683A">
        <w:rPr>
          <w:lang w:val="en-US"/>
        </w:rPr>
        <w:t>asthaenia</w:t>
      </w:r>
      <w:proofErr w:type="spellEnd"/>
      <w:r w:rsidR="00E0683A" w:rsidRPr="00E0683A">
        <w:rPr>
          <w:lang w:val="en-US"/>
        </w:rPr>
        <w:t>.</w:t>
      </w:r>
    </w:p>
    <w:p w14:paraId="506D040D" w14:textId="660BF5AE" w:rsidR="00E0683A" w:rsidRPr="00E0683A" w:rsidRDefault="00DF617E" w:rsidP="006B7ED1">
      <w:pPr>
        <w:pStyle w:val="TableDescription"/>
        <w:rPr>
          <w:lang w:val="en-US"/>
        </w:rPr>
      </w:pPr>
      <w:r w:rsidRPr="00925CDB">
        <w:rPr>
          <w:vertAlign w:val="superscript"/>
          <w:lang w:val="en-US"/>
        </w:rPr>
        <w:t>2</w:t>
      </w:r>
      <w:r>
        <w:rPr>
          <w:lang w:val="en-US"/>
        </w:rPr>
        <w:t xml:space="preserve"> </w:t>
      </w:r>
      <w:r w:rsidR="00E0683A" w:rsidRPr="00E0683A">
        <w:rPr>
          <w:lang w:val="en-US"/>
        </w:rPr>
        <w:t>Hypertension is a composite term that includes hypertension, blood pressure increased, blood pressure diastolic increased, diastolic hypertension, and hypertensive crisis.</w:t>
      </w:r>
    </w:p>
    <w:p w14:paraId="01414908" w14:textId="190E223A" w:rsidR="00E0683A" w:rsidRPr="00E0683A" w:rsidRDefault="00DF617E" w:rsidP="006B7ED1">
      <w:pPr>
        <w:pStyle w:val="TableDescription"/>
        <w:rPr>
          <w:lang w:val="en-US"/>
        </w:rPr>
      </w:pPr>
      <w:r w:rsidRPr="00925CDB">
        <w:rPr>
          <w:vertAlign w:val="superscript"/>
          <w:lang w:val="en-US"/>
        </w:rPr>
        <w:t>3</w:t>
      </w:r>
      <w:r>
        <w:rPr>
          <w:lang w:val="en-US"/>
        </w:rPr>
        <w:t xml:space="preserve"> S</w:t>
      </w:r>
      <w:r w:rsidR="00E0683A" w:rsidRPr="00E0683A">
        <w:rPr>
          <w:lang w:val="en-US"/>
        </w:rPr>
        <w:t xml:space="preserve">tomatitis is a composite term that includes stomatitis, mucosal inflammation, aphthous ulcer, oral pain, oral </w:t>
      </w:r>
      <w:proofErr w:type="spellStart"/>
      <w:r w:rsidR="00E0683A" w:rsidRPr="00E0683A">
        <w:rPr>
          <w:lang w:val="en-US"/>
        </w:rPr>
        <w:t>dysaesthesia</w:t>
      </w:r>
      <w:proofErr w:type="spellEnd"/>
      <w:r w:rsidR="00E0683A" w:rsidRPr="00E0683A">
        <w:rPr>
          <w:lang w:val="en-US"/>
        </w:rPr>
        <w:t xml:space="preserve">, oral discomfort, </w:t>
      </w:r>
      <w:proofErr w:type="spellStart"/>
      <w:r w:rsidR="00E0683A" w:rsidRPr="00E0683A">
        <w:rPr>
          <w:lang w:val="en-US"/>
        </w:rPr>
        <w:t>glossodynia</w:t>
      </w:r>
      <w:proofErr w:type="spellEnd"/>
      <w:r w:rsidR="00E0683A" w:rsidRPr="00E0683A">
        <w:rPr>
          <w:lang w:val="en-US"/>
        </w:rPr>
        <w:t>, glossitis, gingival pain, oropharyngeal pain, oropharyngeal discomfort.</w:t>
      </w:r>
    </w:p>
    <w:p w14:paraId="409B775F" w14:textId="1A51C72E" w:rsidR="00E0683A" w:rsidRPr="00E0683A" w:rsidRDefault="00DF617E" w:rsidP="006B7ED1">
      <w:pPr>
        <w:pStyle w:val="TableDescription"/>
        <w:rPr>
          <w:lang w:val="en-US"/>
        </w:rPr>
      </w:pPr>
      <w:r w:rsidRPr="00925CDB">
        <w:rPr>
          <w:vertAlign w:val="superscript"/>
          <w:lang w:val="en-US"/>
        </w:rPr>
        <w:t>4</w:t>
      </w:r>
      <w:r>
        <w:rPr>
          <w:lang w:val="en-US"/>
        </w:rPr>
        <w:t xml:space="preserve"> </w:t>
      </w:r>
      <w:r w:rsidR="00E0683A" w:rsidRPr="00E0683A">
        <w:rPr>
          <w:lang w:val="en-US"/>
        </w:rPr>
        <w:t>Abdominal pain is a composite term that includes abdominal pain, abdominal pain lower, abdominal pain upper, abdominal discomfort, and hepatic pain.</w:t>
      </w:r>
    </w:p>
    <w:p w14:paraId="273F4B96" w14:textId="614C2748" w:rsidR="00E0683A" w:rsidRPr="00E0683A" w:rsidRDefault="00DF617E" w:rsidP="006B7ED1">
      <w:pPr>
        <w:pStyle w:val="TableDescription"/>
        <w:rPr>
          <w:lang w:val="en-US"/>
        </w:rPr>
      </w:pPr>
      <w:r w:rsidRPr="00925CDB">
        <w:rPr>
          <w:vertAlign w:val="superscript"/>
          <w:lang w:val="en-US"/>
        </w:rPr>
        <w:t>5</w:t>
      </w:r>
      <w:r>
        <w:rPr>
          <w:lang w:val="en-US"/>
        </w:rPr>
        <w:t xml:space="preserve"> </w:t>
      </w:r>
      <w:proofErr w:type="spellStart"/>
      <w:r w:rsidR="00E0683A" w:rsidRPr="00E0683A">
        <w:rPr>
          <w:lang w:val="en-US"/>
        </w:rPr>
        <w:t>Diarrhoea</w:t>
      </w:r>
      <w:proofErr w:type="spellEnd"/>
      <w:r w:rsidR="00E0683A" w:rsidRPr="00E0683A">
        <w:rPr>
          <w:lang w:val="en-US"/>
        </w:rPr>
        <w:t xml:space="preserve"> is a composite term that includes </w:t>
      </w:r>
      <w:proofErr w:type="spellStart"/>
      <w:r w:rsidR="00E0683A" w:rsidRPr="00E0683A">
        <w:rPr>
          <w:lang w:val="en-US"/>
        </w:rPr>
        <w:t>diarrhoea</w:t>
      </w:r>
      <w:proofErr w:type="spellEnd"/>
      <w:r w:rsidR="00E0683A" w:rsidRPr="00E0683A">
        <w:rPr>
          <w:lang w:val="en-US"/>
        </w:rPr>
        <w:t>, colitis, and enteritis.</w:t>
      </w:r>
    </w:p>
    <w:p w14:paraId="424370CA" w14:textId="28A099A2" w:rsidR="00E0683A" w:rsidRPr="00E0683A" w:rsidRDefault="00DC61DA" w:rsidP="006B7ED1">
      <w:pPr>
        <w:pStyle w:val="TableDescription"/>
        <w:rPr>
          <w:lang w:val="en-US"/>
        </w:rPr>
      </w:pPr>
      <w:r w:rsidRPr="00925CDB">
        <w:rPr>
          <w:vertAlign w:val="superscript"/>
          <w:lang w:val="en-US"/>
        </w:rPr>
        <w:t xml:space="preserve">6 </w:t>
      </w:r>
      <w:r w:rsidR="00E0683A" w:rsidRPr="00E0683A">
        <w:rPr>
          <w:lang w:val="en-US"/>
        </w:rPr>
        <w:t xml:space="preserve">Hepatotoxicity is a composite term that includes hepatotoxicity, hepatic failure, hepatic cytolysis, hepatic function abnormal, aspartate aminotransferase increased, aspartate aminotransferase abnormal, alanine aminotransferase increased, blood bilirubin increased, bilirubin conjugated increased, </w:t>
      </w:r>
      <w:proofErr w:type="spellStart"/>
      <w:r w:rsidR="00E0683A" w:rsidRPr="00E0683A">
        <w:rPr>
          <w:lang w:val="en-US"/>
        </w:rPr>
        <w:t>hypertransaminasaemia</w:t>
      </w:r>
      <w:proofErr w:type="spellEnd"/>
      <w:r w:rsidR="00E0683A" w:rsidRPr="00E0683A">
        <w:rPr>
          <w:lang w:val="en-US"/>
        </w:rPr>
        <w:t xml:space="preserve">, </w:t>
      </w:r>
      <w:proofErr w:type="spellStart"/>
      <w:r w:rsidR="00E0683A" w:rsidRPr="00E0683A">
        <w:rPr>
          <w:lang w:val="en-US"/>
        </w:rPr>
        <w:t>hyperbilirubinaemia</w:t>
      </w:r>
      <w:proofErr w:type="spellEnd"/>
      <w:r w:rsidR="00E0683A" w:rsidRPr="00E0683A">
        <w:rPr>
          <w:lang w:val="en-US"/>
        </w:rPr>
        <w:t>, hepatitis, liver function test increased, and liver function test abnormal.</w:t>
      </w:r>
    </w:p>
    <w:p w14:paraId="304AD12C" w14:textId="1386119F" w:rsidR="00E0683A" w:rsidRPr="00E0683A" w:rsidRDefault="00DC61DA" w:rsidP="006B7ED1">
      <w:pPr>
        <w:pStyle w:val="TableDescription"/>
        <w:rPr>
          <w:lang w:val="en-US"/>
        </w:rPr>
      </w:pPr>
      <w:r w:rsidRPr="00925CDB">
        <w:rPr>
          <w:vertAlign w:val="superscript"/>
          <w:lang w:val="en-US"/>
        </w:rPr>
        <w:t>7</w:t>
      </w:r>
      <w:r>
        <w:rPr>
          <w:lang w:val="en-US"/>
        </w:rPr>
        <w:t xml:space="preserve"> </w:t>
      </w:r>
      <w:r w:rsidR="00E0683A" w:rsidRPr="00E0683A">
        <w:rPr>
          <w:lang w:val="en-US"/>
        </w:rPr>
        <w:t>Proteinuria is a composite term that includes proteinuria, and protein urine present.</w:t>
      </w:r>
    </w:p>
    <w:p w14:paraId="41474C04" w14:textId="616ED73E" w:rsidR="00E0683A" w:rsidRPr="00E0683A" w:rsidRDefault="00DC61DA" w:rsidP="006B7ED1">
      <w:pPr>
        <w:pStyle w:val="TableDescription"/>
        <w:rPr>
          <w:lang w:val="en-US"/>
        </w:rPr>
      </w:pPr>
      <w:r w:rsidRPr="00925CDB">
        <w:rPr>
          <w:vertAlign w:val="superscript"/>
          <w:lang w:val="en-US"/>
        </w:rPr>
        <w:lastRenderedPageBreak/>
        <w:t>8</w:t>
      </w:r>
      <w:r>
        <w:rPr>
          <w:lang w:val="en-US"/>
        </w:rPr>
        <w:t xml:space="preserve"> </w:t>
      </w:r>
      <w:r w:rsidR="00E0683A" w:rsidRPr="00E0683A">
        <w:rPr>
          <w:lang w:val="en-US"/>
        </w:rPr>
        <w:t>Dysphonia is a composite term that includes dysphonia and aphonia.</w:t>
      </w:r>
    </w:p>
    <w:p w14:paraId="673C16C8" w14:textId="7E13ACD8" w:rsidR="00E0683A" w:rsidRPr="00E0683A" w:rsidRDefault="00DC61DA" w:rsidP="006B7ED1">
      <w:pPr>
        <w:pStyle w:val="TableDescription"/>
        <w:rPr>
          <w:lang w:val="en-US"/>
        </w:rPr>
      </w:pPr>
      <w:r w:rsidRPr="00925CDB">
        <w:rPr>
          <w:vertAlign w:val="superscript"/>
          <w:lang w:val="en-US"/>
        </w:rPr>
        <w:t>9</w:t>
      </w:r>
      <w:r>
        <w:rPr>
          <w:lang w:val="en-US"/>
        </w:rPr>
        <w:t xml:space="preserve"> </w:t>
      </w:r>
      <w:r w:rsidR="00E0683A" w:rsidRPr="00E0683A">
        <w:rPr>
          <w:lang w:val="en-US"/>
        </w:rPr>
        <w:t>Musculoskeletal pain is a composite term that includes musculoskeletal pain, musculoskeletal stiffness, myalgia, musculoskeletal chest pain, non-cardiac chest pain, pain in extremity, bone pain, and neck pain.</w:t>
      </w:r>
    </w:p>
    <w:p w14:paraId="0742F4FD" w14:textId="35B5ED4F" w:rsidR="00E0683A" w:rsidRPr="00E0683A" w:rsidRDefault="005A6CC3" w:rsidP="006B7ED1">
      <w:pPr>
        <w:pStyle w:val="TableDescription"/>
        <w:rPr>
          <w:lang w:val="en-US"/>
        </w:rPr>
      </w:pPr>
      <w:r w:rsidRPr="00925CDB">
        <w:rPr>
          <w:vertAlign w:val="superscript"/>
          <w:lang w:val="en-US"/>
        </w:rPr>
        <w:t>10</w:t>
      </w:r>
      <w:r>
        <w:rPr>
          <w:lang w:val="en-US"/>
        </w:rPr>
        <w:t xml:space="preserve"> </w:t>
      </w:r>
      <w:proofErr w:type="spellStart"/>
      <w:r w:rsidR="00E0683A" w:rsidRPr="00E0683A">
        <w:rPr>
          <w:lang w:val="en-US"/>
        </w:rPr>
        <w:t>Haemorrhage</w:t>
      </w:r>
      <w:proofErr w:type="spellEnd"/>
      <w:r w:rsidR="00E0683A" w:rsidRPr="00E0683A">
        <w:rPr>
          <w:lang w:val="en-US"/>
        </w:rPr>
        <w:t xml:space="preserve"> is a composite term that includes </w:t>
      </w:r>
      <w:proofErr w:type="spellStart"/>
      <w:r w:rsidR="00E0683A" w:rsidRPr="00E0683A">
        <w:rPr>
          <w:lang w:val="en-US"/>
        </w:rPr>
        <w:t>haemorrhage</w:t>
      </w:r>
      <w:proofErr w:type="spellEnd"/>
      <w:r w:rsidR="00E0683A" w:rsidRPr="00E0683A">
        <w:rPr>
          <w:lang w:val="en-US"/>
        </w:rPr>
        <w:t xml:space="preserve">, conjunctival </w:t>
      </w:r>
      <w:proofErr w:type="spellStart"/>
      <w:r w:rsidR="00E0683A" w:rsidRPr="00E0683A">
        <w:rPr>
          <w:lang w:val="en-US"/>
        </w:rPr>
        <w:t>haemorrhage</w:t>
      </w:r>
      <w:proofErr w:type="spellEnd"/>
      <w:r w:rsidR="00E0683A" w:rsidRPr="00E0683A">
        <w:rPr>
          <w:lang w:val="en-US"/>
        </w:rPr>
        <w:t xml:space="preserve">, eye </w:t>
      </w:r>
      <w:proofErr w:type="spellStart"/>
      <w:r w:rsidR="00E0683A" w:rsidRPr="00E0683A">
        <w:rPr>
          <w:lang w:val="en-US"/>
        </w:rPr>
        <w:t>haemorrhage</w:t>
      </w:r>
      <w:proofErr w:type="spellEnd"/>
      <w:r w:rsidR="00E0683A" w:rsidRPr="00E0683A">
        <w:rPr>
          <w:lang w:val="en-US"/>
        </w:rPr>
        <w:t xml:space="preserve">, gastric </w:t>
      </w:r>
      <w:proofErr w:type="spellStart"/>
      <w:r w:rsidR="00E0683A" w:rsidRPr="00E0683A">
        <w:rPr>
          <w:lang w:val="en-US"/>
        </w:rPr>
        <w:t>haemorrhage</w:t>
      </w:r>
      <w:proofErr w:type="spellEnd"/>
      <w:r w:rsidR="00E0683A" w:rsidRPr="00E0683A">
        <w:rPr>
          <w:lang w:val="en-US"/>
        </w:rPr>
        <w:t xml:space="preserve">, anal </w:t>
      </w:r>
      <w:proofErr w:type="spellStart"/>
      <w:r w:rsidR="00E0683A" w:rsidRPr="00E0683A">
        <w:rPr>
          <w:lang w:val="en-US"/>
        </w:rPr>
        <w:t>haemorrhage</w:t>
      </w:r>
      <w:proofErr w:type="spellEnd"/>
      <w:r w:rsidR="00E0683A" w:rsidRPr="00E0683A">
        <w:rPr>
          <w:lang w:val="en-US"/>
        </w:rPr>
        <w:t xml:space="preserve">, gastrointestinal </w:t>
      </w:r>
      <w:proofErr w:type="spellStart"/>
      <w:r w:rsidR="00E0683A" w:rsidRPr="00E0683A">
        <w:rPr>
          <w:lang w:val="en-US"/>
        </w:rPr>
        <w:t>haemorrhage</w:t>
      </w:r>
      <w:proofErr w:type="spellEnd"/>
      <w:r w:rsidR="00E0683A" w:rsidRPr="00E0683A">
        <w:rPr>
          <w:lang w:val="en-US"/>
        </w:rPr>
        <w:t xml:space="preserve">, hemorrhoidal </w:t>
      </w:r>
      <w:proofErr w:type="spellStart"/>
      <w:r w:rsidR="00E0683A" w:rsidRPr="00E0683A">
        <w:rPr>
          <w:lang w:val="en-US"/>
        </w:rPr>
        <w:t>haemorrhage</w:t>
      </w:r>
      <w:proofErr w:type="spellEnd"/>
      <w:r w:rsidR="00E0683A" w:rsidRPr="00E0683A">
        <w:rPr>
          <w:lang w:val="en-US"/>
        </w:rPr>
        <w:t xml:space="preserve">, upper gastrointestinal </w:t>
      </w:r>
      <w:proofErr w:type="spellStart"/>
      <w:r w:rsidR="00E0683A" w:rsidRPr="00E0683A">
        <w:rPr>
          <w:lang w:val="en-US"/>
        </w:rPr>
        <w:t>haemorrhage</w:t>
      </w:r>
      <w:proofErr w:type="spellEnd"/>
      <w:r w:rsidR="00E0683A" w:rsidRPr="00E0683A">
        <w:rPr>
          <w:lang w:val="en-US"/>
        </w:rPr>
        <w:t xml:space="preserve">, rectal </w:t>
      </w:r>
      <w:proofErr w:type="spellStart"/>
      <w:r w:rsidR="00E0683A" w:rsidRPr="00E0683A">
        <w:rPr>
          <w:lang w:val="en-US"/>
        </w:rPr>
        <w:t>haemorrhage</w:t>
      </w:r>
      <w:proofErr w:type="spellEnd"/>
      <w:r w:rsidR="00E0683A" w:rsidRPr="00E0683A">
        <w:rPr>
          <w:lang w:val="en-US"/>
        </w:rPr>
        <w:t xml:space="preserve">, post-procedural </w:t>
      </w:r>
      <w:proofErr w:type="spellStart"/>
      <w:r w:rsidR="00E0683A" w:rsidRPr="00E0683A">
        <w:rPr>
          <w:lang w:val="en-US"/>
        </w:rPr>
        <w:t>haemorrhage</w:t>
      </w:r>
      <w:proofErr w:type="spellEnd"/>
      <w:r w:rsidR="00E0683A" w:rsidRPr="00E0683A">
        <w:rPr>
          <w:lang w:val="en-US"/>
        </w:rPr>
        <w:t xml:space="preserve">, stoma site </w:t>
      </w:r>
      <w:proofErr w:type="spellStart"/>
      <w:r w:rsidR="00E0683A" w:rsidRPr="00E0683A">
        <w:rPr>
          <w:lang w:val="en-US"/>
        </w:rPr>
        <w:t>haemorrhage</w:t>
      </w:r>
      <w:proofErr w:type="spellEnd"/>
      <w:r w:rsidR="00E0683A" w:rsidRPr="00E0683A">
        <w:rPr>
          <w:lang w:val="en-US"/>
        </w:rPr>
        <w:t xml:space="preserve">, cerebral </w:t>
      </w:r>
      <w:proofErr w:type="spellStart"/>
      <w:r w:rsidR="00E0683A" w:rsidRPr="00E0683A">
        <w:rPr>
          <w:lang w:val="en-US"/>
        </w:rPr>
        <w:t>haemorrhage</w:t>
      </w:r>
      <w:proofErr w:type="spellEnd"/>
      <w:r w:rsidR="00E0683A" w:rsidRPr="00E0683A">
        <w:rPr>
          <w:lang w:val="en-US"/>
        </w:rPr>
        <w:t xml:space="preserve">, vaginal </w:t>
      </w:r>
      <w:proofErr w:type="spellStart"/>
      <w:r w:rsidR="00E0683A" w:rsidRPr="00E0683A">
        <w:rPr>
          <w:lang w:val="en-US"/>
        </w:rPr>
        <w:t>haemorrhage</w:t>
      </w:r>
      <w:proofErr w:type="spellEnd"/>
      <w:r w:rsidR="00E0683A" w:rsidRPr="00E0683A">
        <w:rPr>
          <w:lang w:val="en-US"/>
        </w:rPr>
        <w:t xml:space="preserve">, pulmonary </w:t>
      </w:r>
      <w:proofErr w:type="spellStart"/>
      <w:r w:rsidR="00E0683A" w:rsidRPr="00E0683A">
        <w:rPr>
          <w:lang w:val="en-US"/>
        </w:rPr>
        <w:t>haemorrhage</w:t>
      </w:r>
      <w:proofErr w:type="spellEnd"/>
      <w:r w:rsidR="00E0683A" w:rsidRPr="00E0683A">
        <w:rPr>
          <w:lang w:val="en-US"/>
        </w:rPr>
        <w:t xml:space="preserve">, epistaxis, intermenstrual bleeding, gingival bleeding, </w:t>
      </w:r>
      <w:proofErr w:type="spellStart"/>
      <w:r w:rsidR="00E0683A" w:rsidRPr="00E0683A">
        <w:rPr>
          <w:lang w:val="en-US"/>
        </w:rPr>
        <w:t>haemoptysis</w:t>
      </w:r>
      <w:proofErr w:type="spellEnd"/>
      <w:r w:rsidR="00E0683A" w:rsidRPr="00E0683A">
        <w:rPr>
          <w:lang w:val="en-US"/>
        </w:rPr>
        <w:t xml:space="preserve">, </w:t>
      </w:r>
      <w:proofErr w:type="spellStart"/>
      <w:r w:rsidR="00E0683A" w:rsidRPr="00E0683A">
        <w:rPr>
          <w:lang w:val="en-US"/>
        </w:rPr>
        <w:t>haematochezia</w:t>
      </w:r>
      <w:proofErr w:type="spellEnd"/>
      <w:r w:rsidR="00E0683A" w:rsidRPr="00E0683A">
        <w:rPr>
          <w:lang w:val="en-US"/>
        </w:rPr>
        <w:t xml:space="preserve">, </w:t>
      </w:r>
      <w:proofErr w:type="spellStart"/>
      <w:r w:rsidR="00E0683A" w:rsidRPr="00E0683A">
        <w:rPr>
          <w:lang w:val="en-US"/>
        </w:rPr>
        <w:t>haematemesis</w:t>
      </w:r>
      <w:proofErr w:type="spellEnd"/>
      <w:r w:rsidR="00E0683A" w:rsidRPr="00E0683A">
        <w:rPr>
          <w:lang w:val="en-US"/>
        </w:rPr>
        <w:t xml:space="preserve">, and </w:t>
      </w:r>
      <w:proofErr w:type="spellStart"/>
      <w:r w:rsidR="00E0683A" w:rsidRPr="00E0683A">
        <w:rPr>
          <w:lang w:val="en-US"/>
        </w:rPr>
        <w:t>haematuria</w:t>
      </w:r>
      <w:proofErr w:type="spellEnd"/>
      <w:r w:rsidR="00E0683A" w:rsidRPr="00E0683A">
        <w:rPr>
          <w:lang w:val="en-US"/>
        </w:rPr>
        <w:t>.</w:t>
      </w:r>
    </w:p>
    <w:p w14:paraId="2EBD4AD4" w14:textId="6586BA2A" w:rsidR="00E0683A" w:rsidRPr="00E0683A" w:rsidRDefault="005A6CC3" w:rsidP="006B7ED1">
      <w:pPr>
        <w:pStyle w:val="TableDescription"/>
        <w:rPr>
          <w:lang w:val="en-US"/>
        </w:rPr>
      </w:pPr>
      <w:r w:rsidRPr="00F50F41">
        <w:rPr>
          <w:vertAlign w:val="superscript"/>
          <w:lang w:val="en-US"/>
        </w:rPr>
        <w:t>11</w:t>
      </w:r>
      <w:r>
        <w:rPr>
          <w:lang w:val="en-US"/>
        </w:rPr>
        <w:t xml:space="preserve"> </w:t>
      </w:r>
      <w:r w:rsidR="00E0683A" w:rsidRPr="00E0683A">
        <w:rPr>
          <w:lang w:val="en-US"/>
        </w:rPr>
        <w:t>Thrombocytopenia is a composite term that includes thrombocytopenia and platelet count decreased.</w:t>
      </w:r>
    </w:p>
    <w:p w14:paraId="2EEC7458" w14:textId="4003570C" w:rsidR="00E0683A" w:rsidRPr="00E0683A" w:rsidRDefault="005A6CC3" w:rsidP="006B7ED1">
      <w:pPr>
        <w:pStyle w:val="TableDescription"/>
        <w:rPr>
          <w:lang w:val="en-US"/>
        </w:rPr>
      </w:pPr>
      <w:r w:rsidRPr="00F50F41">
        <w:rPr>
          <w:vertAlign w:val="superscript"/>
          <w:lang w:val="en-US"/>
        </w:rPr>
        <w:t>12</w:t>
      </w:r>
      <w:r>
        <w:rPr>
          <w:lang w:val="en-US"/>
        </w:rPr>
        <w:t xml:space="preserve"> </w:t>
      </w:r>
      <w:r w:rsidR="00E0683A" w:rsidRPr="00E0683A">
        <w:rPr>
          <w:lang w:val="en-US"/>
        </w:rPr>
        <w:t>Back pain is a composite term that includes back pain, sacral pain, and spinal pain.</w:t>
      </w:r>
    </w:p>
    <w:p w14:paraId="431D5415" w14:textId="62D6F4F8" w:rsidR="00E0683A" w:rsidRPr="006B7ED1" w:rsidRDefault="005A6CC3" w:rsidP="006B7ED1">
      <w:pPr>
        <w:pStyle w:val="TableDescription"/>
        <w:rPr>
          <w:lang w:val="en-US"/>
        </w:rPr>
      </w:pPr>
      <w:r w:rsidRPr="00F50F41">
        <w:rPr>
          <w:vertAlign w:val="superscript"/>
          <w:lang w:val="en-US"/>
        </w:rPr>
        <w:t>13</w:t>
      </w:r>
      <w:r>
        <w:rPr>
          <w:lang w:val="en-US"/>
        </w:rPr>
        <w:t xml:space="preserve"> </w:t>
      </w:r>
      <w:r w:rsidR="00E0683A" w:rsidRPr="00E0683A">
        <w:rPr>
          <w:lang w:val="en-US"/>
        </w:rPr>
        <w:t>Arthralgia is a composite term that includes arthralgia, arthritis, and arthropathy.</w:t>
      </w:r>
    </w:p>
    <w:p w14:paraId="572F8604" w14:textId="1CBB5CAB" w:rsidR="00E0683A" w:rsidRPr="00E0683A" w:rsidRDefault="00E0683A" w:rsidP="0012719A">
      <w:pPr>
        <w:pStyle w:val="TableTitle"/>
      </w:pPr>
      <w:bookmarkStart w:id="82" w:name="_Ref171330282"/>
      <w:r w:rsidRPr="00E0683A">
        <w:t xml:space="preserve">Table </w:t>
      </w:r>
      <w:r w:rsidRPr="00E0683A">
        <w:fldChar w:fldCharType="begin"/>
      </w:r>
      <w:r w:rsidRPr="00E0683A">
        <w:instrText xml:space="preserve"> SEQ Table \* ARABIC </w:instrText>
      </w:r>
      <w:r w:rsidRPr="00E0683A">
        <w:fldChar w:fldCharType="separate"/>
      </w:r>
      <w:r w:rsidR="00A407E4">
        <w:rPr>
          <w:noProof/>
        </w:rPr>
        <w:t>8</w:t>
      </w:r>
      <w:r w:rsidRPr="00E0683A">
        <w:fldChar w:fldCharType="end"/>
      </w:r>
      <w:bookmarkEnd w:id="82"/>
      <w:r w:rsidR="0012719A">
        <w:t>:</w:t>
      </w:r>
      <w:r w:rsidRPr="00E0683A">
        <w:t xml:space="preserve"> Most common laboratory abnormalities worsening from </w:t>
      </w:r>
      <w:r w:rsidR="0012719A">
        <w:t>B</w:t>
      </w:r>
      <w:r w:rsidRPr="00E0683A">
        <w:t>aseline in FRESCO-2 (&gt;</w:t>
      </w:r>
      <w:r w:rsidR="0012719A">
        <w:t> </w:t>
      </w:r>
      <w:r w:rsidRPr="00E0683A">
        <w:t xml:space="preserve">20% incidence in the </w:t>
      </w:r>
      <w:proofErr w:type="spellStart"/>
      <w:r w:rsidRPr="00E0683A">
        <w:t>fruquintinib</w:t>
      </w:r>
      <w:proofErr w:type="spellEnd"/>
      <w:r w:rsidRPr="00E0683A">
        <w:t xml:space="preserve"> arm)</w:t>
      </w:r>
    </w:p>
    <w:tbl>
      <w:tblPr>
        <w:tblStyle w:val="TableTGAblue2023"/>
        <w:tblW w:w="8925" w:type="dxa"/>
        <w:tblLayout w:type="fixed"/>
        <w:tblLook w:val="01E0" w:firstRow="1" w:lastRow="1" w:firstColumn="1" w:lastColumn="1" w:noHBand="0" w:noVBand="0"/>
      </w:tblPr>
      <w:tblGrid>
        <w:gridCol w:w="2405"/>
        <w:gridCol w:w="1701"/>
        <w:gridCol w:w="1559"/>
        <w:gridCol w:w="1701"/>
        <w:gridCol w:w="1559"/>
      </w:tblGrid>
      <w:tr w:rsidR="00E0683A" w:rsidRPr="00E0683A" w14:paraId="3860865D" w14:textId="77777777" w:rsidTr="00D7467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14:paraId="55351FDE" w14:textId="77777777" w:rsidR="00E0683A" w:rsidRPr="00A47E79" w:rsidRDefault="00E0683A" w:rsidP="007E7D23">
            <w:pPr>
              <w:ind w:left="0"/>
              <w:rPr>
                <w:sz w:val="20"/>
                <w:szCs w:val="20"/>
                <w:lang w:val="en-US"/>
              </w:rPr>
            </w:pPr>
          </w:p>
        </w:tc>
        <w:tc>
          <w:tcPr>
            <w:tcW w:w="3260" w:type="dxa"/>
            <w:gridSpan w:val="2"/>
            <w:hideMark/>
          </w:tcPr>
          <w:p w14:paraId="72146E5F" w14:textId="22EB26FE" w:rsidR="00E0683A" w:rsidRPr="00A47E79" w:rsidRDefault="00E0683A" w:rsidP="007E7D23">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A47E79">
              <w:rPr>
                <w:sz w:val="20"/>
                <w:szCs w:val="20"/>
                <w:lang w:val="en-US"/>
              </w:rPr>
              <w:t>Fruquintinib + BSC N</w:t>
            </w:r>
            <w:r w:rsidR="00A47E79">
              <w:rPr>
                <w:sz w:val="20"/>
                <w:szCs w:val="20"/>
                <w:lang w:val="en-US"/>
              </w:rPr>
              <w:t> </w:t>
            </w:r>
            <w:r w:rsidRPr="00A47E79">
              <w:rPr>
                <w:sz w:val="20"/>
                <w:szCs w:val="20"/>
                <w:lang w:val="en-US"/>
              </w:rPr>
              <w:t>=</w:t>
            </w:r>
            <w:r w:rsidR="00A47E79">
              <w:rPr>
                <w:sz w:val="20"/>
                <w:szCs w:val="20"/>
                <w:lang w:val="en-US"/>
              </w:rPr>
              <w:t> </w:t>
            </w:r>
            <w:r w:rsidRPr="00A47E79">
              <w:rPr>
                <w:sz w:val="20"/>
                <w:szCs w:val="20"/>
                <w:lang w:val="en-US"/>
              </w:rPr>
              <w:t>456; n (%)</w:t>
            </w:r>
          </w:p>
        </w:tc>
        <w:tc>
          <w:tcPr>
            <w:tcW w:w="3260" w:type="dxa"/>
            <w:gridSpan w:val="2"/>
            <w:hideMark/>
          </w:tcPr>
          <w:p w14:paraId="14DB33D7" w14:textId="5BC4C2C6" w:rsidR="00E0683A" w:rsidRPr="00A47E79" w:rsidRDefault="00E0683A" w:rsidP="007E7D23">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A47E79">
              <w:rPr>
                <w:sz w:val="20"/>
                <w:szCs w:val="20"/>
                <w:lang w:val="en-US"/>
              </w:rPr>
              <w:t>Placebo + BSC N</w:t>
            </w:r>
            <w:r w:rsidR="00A47E79">
              <w:rPr>
                <w:sz w:val="20"/>
                <w:szCs w:val="20"/>
                <w:lang w:val="en-US"/>
              </w:rPr>
              <w:t> </w:t>
            </w:r>
            <w:r w:rsidRPr="00A47E79">
              <w:rPr>
                <w:sz w:val="20"/>
                <w:szCs w:val="20"/>
                <w:lang w:val="en-US"/>
              </w:rPr>
              <w:t>=</w:t>
            </w:r>
            <w:r w:rsidR="00A47E79">
              <w:rPr>
                <w:sz w:val="20"/>
                <w:szCs w:val="20"/>
                <w:lang w:val="en-US"/>
              </w:rPr>
              <w:t> </w:t>
            </w:r>
            <w:r w:rsidRPr="00A47E79">
              <w:rPr>
                <w:sz w:val="20"/>
                <w:szCs w:val="20"/>
                <w:lang w:val="en-US"/>
              </w:rPr>
              <w:t>230; n (%)</w:t>
            </w:r>
          </w:p>
        </w:tc>
      </w:tr>
      <w:tr w:rsidR="00E0683A" w:rsidRPr="00E0683A" w14:paraId="3B267193"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hideMark/>
          </w:tcPr>
          <w:p w14:paraId="6A0F6DA8" w14:textId="77777777" w:rsidR="00E0683A" w:rsidRPr="00A47E79" w:rsidRDefault="00E0683A" w:rsidP="007E7D23">
            <w:pPr>
              <w:ind w:left="0"/>
              <w:rPr>
                <w:b/>
                <w:sz w:val="20"/>
                <w:szCs w:val="20"/>
                <w:lang w:val="en-US"/>
              </w:rPr>
            </w:pPr>
            <w:r w:rsidRPr="00A47E79">
              <w:rPr>
                <w:b/>
                <w:sz w:val="20"/>
                <w:szCs w:val="20"/>
                <w:lang w:val="en-US"/>
              </w:rPr>
              <w:t>AE</w:t>
            </w:r>
          </w:p>
        </w:tc>
        <w:tc>
          <w:tcPr>
            <w:tcW w:w="1701" w:type="dxa"/>
            <w:shd w:val="clear" w:color="auto" w:fill="DEEAF6" w:themeFill="accent5" w:themeFillTint="33"/>
            <w:hideMark/>
          </w:tcPr>
          <w:p w14:paraId="6CEEB7FF" w14:textId="77777777" w:rsidR="00E0683A" w:rsidRPr="00494091" w:rsidRDefault="00E0683A" w:rsidP="007E7D23">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494091">
              <w:rPr>
                <w:b/>
                <w:color w:val="263287"/>
                <w:sz w:val="20"/>
                <w:szCs w:val="20"/>
                <w:lang w:val="en-US"/>
              </w:rPr>
              <w:t>All Grades (%)</w:t>
            </w:r>
            <w:r w:rsidRPr="00494091">
              <w:rPr>
                <w:b/>
                <w:color w:val="263287"/>
                <w:sz w:val="20"/>
                <w:szCs w:val="20"/>
                <w:vertAlign w:val="superscript"/>
                <w:lang w:val="en-US"/>
              </w:rPr>
              <w:t>1</w:t>
            </w:r>
          </w:p>
        </w:tc>
        <w:tc>
          <w:tcPr>
            <w:tcW w:w="1559" w:type="dxa"/>
            <w:shd w:val="clear" w:color="auto" w:fill="DEEAF6" w:themeFill="accent5" w:themeFillTint="33"/>
            <w:hideMark/>
          </w:tcPr>
          <w:p w14:paraId="1D15960B" w14:textId="77777777" w:rsidR="00E0683A" w:rsidRPr="00494091" w:rsidRDefault="00E0683A" w:rsidP="007E7D23">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494091">
              <w:rPr>
                <w:b/>
                <w:color w:val="263287"/>
                <w:sz w:val="20"/>
                <w:szCs w:val="20"/>
                <w:lang w:val="en-US"/>
              </w:rPr>
              <w:t>Grade 3-4 (%)</w:t>
            </w:r>
            <w:r w:rsidRPr="00494091">
              <w:rPr>
                <w:b/>
                <w:color w:val="263287"/>
                <w:sz w:val="20"/>
                <w:szCs w:val="20"/>
                <w:vertAlign w:val="superscript"/>
                <w:lang w:val="en-US"/>
              </w:rPr>
              <w:t>1</w:t>
            </w:r>
          </w:p>
        </w:tc>
        <w:tc>
          <w:tcPr>
            <w:tcW w:w="1701" w:type="dxa"/>
            <w:shd w:val="clear" w:color="auto" w:fill="DEEAF6" w:themeFill="accent5" w:themeFillTint="33"/>
            <w:hideMark/>
          </w:tcPr>
          <w:p w14:paraId="6029E6C1" w14:textId="77777777" w:rsidR="00E0683A" w:rsidRPr="00494091" w:rsidRDefault="00E0683A" w:rsidP="007E7D23">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494091">
              <w:rPr>
                <w:b/>
                <w:color w:val="263287"/>
                <w:sz w:val="20"/>
                <w:szCs w:val="20"/>
                <w:lang w:val="en-US"/>
              </w:rPr>
              <w:t>All Grades (%)</w:t>
            </w:r>
            <w:r w:rsidRPr="00494091">
              <w:rPr>
                <w:b/>
                <w:color w:val="263287"/>
                <w:sz w:val="20"/>
                <w:szCs w:val="20"/>
                <w:vertAlign w:val="superscript"/>
                <w:lang w:val="en-US"/>
              </w:rPr>
              <w:t>1</w:t>
            </w:r>
          </w:p>
        </w:tc>
        <w:tc>
          <w:tcPr>
            <w:tcW w:w="1559" w:type="dxa"/>
            <w:shd w:val="clear" w:color="auto" w:fill="DEEAF6" w:themeFill="accent5" w:themeFillTint="33"/>
            <w:hideMark/>
          </w:tcPr>
          <w:p w14:paraId="4286743F" w14:textId="3A5379AA" w:rsidR="00E0683A" w:rsidRPr="00494091" w:rsidRDefault="00E0683A" w:rsidP="007E7D23">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494091">
              <w:rPr>
                <w:b/>
                <w:color w:val="263287"/>
                <w:sz w:val="20"/>
                <w:szCs w:val="20"/>
                <w:lang w:val="en-US"/>
              </w:rPr>
              <w:t>Grade 3-4 (%)</w:t>
            </w:r>
            <w:r w:rsidR="004159F6" w:rsidRPr="00494091">
              <w:rPr>
                <w:b/>
                <w:color w:val="263287"/>
                <w:sz w:val="20"/>
                <w:szCs w:val="20"/>
                <w:vertAlign w:val="superscript"/>
                <w:lang w:val="en-US"/>
              </w:rPr>
              <w:t>1</w:t>
            </w:r>
          </w:p>
        </w:tc>
      </w:tr>
      <w:tr w:rsidR="00E0683A" w:rsidRPr="00E0683A" w14:paraId="30445E27"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4CDFE254" w14:textId="77777777" w:rsidR="00E0683A" w:rsidRPr="00A47E79" w:rsidRDefault="00E0683A" w:rsidP="007E7D23">
            <w:pPr>
              <w:ind w:left="0"/>
              <w:rPr>
                <w:sz w:val="20"/>
                <w:szCs w:val="20"/>
                <w:lang w:val="en-US"/>
              </w:rPr>
            </w:pPr>
            <w:r w:rsidRPr="00A47E79">
              <w:rPr>
                <w:b/>
                <w:sz w:val="20"/>
                <w:szCs w:val="20"/>
              </w:rPr>
              <w:t>Chemistry</w:t>
            </w:r>
          </w:p>
        </w:tc>
        <w:tc>
          <w:tcPr>
            <w:tcW w:w="1701" w:type="dxa"/>
          </w:tcPr>
          <w:p w14:paraId="43FA86C2"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559" w:type="dxa"/>
          </w:tcPr>
          <w:p w14:paraId="7D109CEF"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1" w:type="dxa"/>
          </w:tcPr>
          <w:p w14:paraId="01618293"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559" w:type="dxa"/>
          </w:tcPr>
          <w:p w14:paraId="14DAFDB9"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5BDC5DD3"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49DCC922" w14:textId="77777777" w:rsidR="00E0683A" w:rsidRPr="00A47E79" w:rsidRDefault="00E0683A" w:rsidP="007E7D23">
            <w:pPr>
              <w:ind w:left="0"/>
              <w:rPr>
                <w:sz w:val="20"/>
                <w:szCs w:val="20"/>
                <w:lang w:val="en-US"/>
              </w:rPr>
            </w:pPr>
            <w:r w:rsidRPr="00A47E79">
              <w:rPr>
                <w:sz w:val="20"/>
                <w:szCs w:val="20"/>
              </w:rPr>
              <w:t>Triglycerides increased</w:t>
            </w:r>
          </w:p>
        </w:tc>
        <w:tc>
          <w:tcPr>
            <w:tcW w:w="1701" w:type="dxa"/>
            <w:hideMark/>
          </w:tcPr>
          <w:p w14:paraId="361D0012"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53</w:t>
            </w:r>
          </w:p>
        </w:tc>
        <w:tc>
          <w:tcPr>
            <w:tcW w:w="1559" w:type="dxa"/>
            <w:hideMark/>
          </w:tcPr>
          <w:p w14:paraId="1198851D"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2.8</w:t>
            </w:r>
          </w:p>
        </w:tc>
        <w:tc>
          <w:tcPr>
            <w:tcW w:w="1701" w:type="dxa"/>
            <w:hideMark/>
          </w:tcPr>
          <w:p w14:paraId="23376375"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21</w:t>
            </w:r>
          </w:p>
        </w:tc>
        <w:tc>
          <w:tcPr>
            <w:tcW w:w="1559" w:type="dxa"/>
            <w:hideMark/>
          </w:tcPr>
          <w:p w14:paraId="1EEF42A4"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1.0</w:t>
            </w:r>
          </w:p>
        </w:tc>
      </w:tr>
      <w:tr w:rsidR="00E0683A" w:rsidRPr="00E0683A" w14:paraId="2C99DDCC"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30085619" w14:textId="77777777" w:rsidR="00E0683A" w:rsidRPr="00A47E79" w:rsidRDefault="00E0683A" w:rsidP="007E7D23">
            <w:pPr>
              <w:ind w:left="0"/>
              <w:rPr>
                <w:sz w:val="20"/>
                <w:szCs w:val="20"/>
                <w:lang w:val="en-US"/>
              </w:rPr>
            </w:pPr>
            <w:r w:rsidRPr="00A47E79">
              <w:rPr>
                <w:sz w:val="20"/>
                <w:szCs w:val="20"/>
              </w:rPr>
              <w:t>Cholesterol increased</w:t>
            </w:r>
          </w:p>
        </w:tc>
        <w:tc>
          <w:tcPr>
            <w:tcW w:w="1701" w:type="dxa"/>
            <w:hideMark/>
          </w:tcPr>
          <w:p w14:paraId="4ADBCCE1"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38</w:t>
            </w:r>
          </w:p>
        </w:tc>
        <w:tc>
          <w:tcPr>
            <w:tcW w:w="1559" w:type="dxa"/>
            <w:hideMark/>
          </w:tcPr>
          <w:p w14:paraId="6D4FBEBC"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2.1</w:t>
            </w:r>
          </w:p>
        </w:tc>
        <w:tc>
          <w:tcPr>
            <w:tcW w:w="1701" w:type="dxa"/>
            <w:hideMark/>
          </w:tcPr>
          <w:p w14:paraId="27551AD3"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22</w:t>
            </w:r>
          </w:p>
        </w:tc>
        <w:tc>
          <w:tcPr>
            <w:tcW w:w="1559" w:type="dxa"/>
            <w:hideMark/>
          </w:tcPr>
          <w:p w14:paraId="06F2D31E"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1.9</w:t>
            </w:r>
          </w:p>
        </w:tc>
      </w:tr>
      <w:tr w:rsidR="00E0683A" w:rsidRPr="00E0683A" w14:paraId="541F8BBC"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25DEA1EB" w14:textId="77777777" w:rsidR="00E0683A" w:rsidRPr="00A47E79" w:rsidRDefault="00E0683A" w:rsidP="007E7D23">
            <w:pPr>
              <w:ind w:left="0"/>
              <w:rPr>
                <w:sz w:val="20"/>
                <w:szCs w:val="20"/>
                <w:lang w:val="en-US"/>
              </w:rPr>
            </w:pPr>
            <w:r w:rsidRPr="00A47E79">
              <w:rPr>
                <w:sz w:val="20"/>
                <w:szCs w:val="20"/>
              </w:rPr>
              <w:t>AST increased</w:t>
            </w:r>
          </w:p>
        </w:tc>
        <w:tc>
          <w:tcPr>
            <w:tcW w:w="1701" w:type="dxa"/>
            <w:hideMark/>
          </w:tcPr>
          <w:p w14:paraId="68F680CC"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36</w:t>
            </w:r>
          </w:p>
        </w:tc>
        <w:tc>
          <w:tcPr>
            <w:tcW w:w="1559" w:type="dxa"/>
            <w:hideMark/>
          </w:tcPr>
          <w:p w14:paraId="53B7F670"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4.3</w:t>
            </w:r>
          </w:p>
        </w:tc>
        <w:tc>
          <w:tcPr>
            <w:tcW w:w="1701" w:type="dxa"/>
            <w:hideMark/>
          </w:tcPr>
          <w:p w14:paraId="537608D8"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24</w:t>
            </w:r>
          </w:p>
        </w:tc>
        <w:tc>
          <w:tcPr>
            <w:tcW w:w="1559" w:type="dxa"/>
            <w:hideMark/>
          </w:tcPr>
          <w:p w14:paraId="723E1E5B"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1.9</w:t>
            </w:r>
          </w:p>
        </w:tc>
      </w:tr>
      <w:tr w:rsidR="00E0683A" w:rsidRPr="00E0683A" w14:paraId="13E9A4F7"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59407CBE" w14:textId="77777777" w:rsidR="00E0683A" w:rsidRPr="00A47E79" w:rsidRDefault="00E0683A" w:rsidP="007E7D23">
            <w:pPr>
              <w:ind w:left="0"/>
              <w:rPr>
                <w:sz w:val="20"/>
                <w:szCs w:val="20"/>
                <w:lang w:val="en-US"/>
              </w:rPr>
            </w:pPr>
            <w:r w:rsidRPr="00A47E79">
              <w:rPr>
                <w:sz w:val="20"/>
                <w:szCs w:val="20"/>
              </w:rPr>
              <w:t>Albumin decreased</w:t>
            </w:r>
          </w:p>
        </w:tc>
        <w:tc>
          <w:tcPr>
            <w:tcW w:w="1701" w:type="dxa"/>
            <w:hideMark/>
          </w:tcPr>
          <w:p w14:paraId="19FE6FE0"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35</w:t>
            </w:r>
          </w:p>
        </w:tc>
        <w:tc>
          <w:tcPr>
            <w:tcW w:w="1559" w:type="dxa"/>
            <w:hideMark/>
          </w:tcPr>
          <w:p w14:paraId="51169899"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1.6</w:t>
            </w:r>
          </w:p>
        </w:tc>
        <w:tc>
          <w:tcPr>
            <w:tcW w:w="1701" w:type="dxa"/>
            <w:hideMark/>
          </w:tcPr>
          <w:p w14:paraId="6AE91692"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32</w:t>
            </w:r>
          </w:p>
        </w:tc>
        <w:tc>
          <w:tcPr>
            <w:tcW w:w="1559" w:type="dxa"/>
            <w:hideMark/>
          </w:tcPr>
          <w:p w14:paraId="0B13DBF3"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1.4</w:t>
            </w:r>
          </w:p>
        </w:tc>
      </w:tr>
      <w:tr w:rsidR="00E0683A" w:rsidRPr="00E0683A" w14:paraId="05D8A709"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056A473D" w14:textId="77777777" w:rsidR="00E0683A" w:rsidRPr="00A47E79" w:rsidRDefault="00E0683A" w:rsidP="007E7D23">
            <w:pPr>
              <w:ind w:left="0"/>
              <w:rPr>
                <w:sz w:val="20"/>
                <w:szCs w:val="20"/>
                <w:lang w:val="en-US"/>
              </w:rPr>
            </w:pPr>
            <w:r w:rsidRPr="00A47E79">
              <w:rPr>
                <w:sz w:val="20"/>
                <w:szCs w:val="20"/>
              </w:rPr>
              <w:t>Sodium decreased</w:t>
            </w:r>
          </w:p>
        </w:tc>
        <w:tc>
          <w:tcPr>
            <w:tcW w:w="1701" w:type="dxa"/>
            <w:hideMark/>
          </w:tcPr>
          <w:p w14:paraId="593BA8C7"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35</w:t>
            </w:r>
          </w:p>
        </w:tc>
        <w:tc>
          <w:tcPr>
            <w:tcW w:w="1559" w:type="dxa"/>
            <w:hideMark/>
          </w:tcPr>
          <w:p w14:paraId="60C6CE48"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1.1</w:t>
            </w:r>
          </w:p>
        </w:tc>
        <w:tc>
          <w:tcPr>
            <w:tcW w:w="1701" w:type="dxa"/>
            <w:hideMark/>
          </w:tcPr>
          <w:p w14:paraId="45E480E3"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27</w:t>
            </w:r>
          </w:p>
        </w:tc>
        <w:tc>
          <w:tcPr>
            <w:tcW w:w="1559" w:type="dxa"/>
            <w:hideMark/>
          </w:tcPr>
          <w:p w14:paraId="6A317169"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0.9</w:t>
            </w:r>
          </w:p>
        </w:tc>
      </w:tr>
      <w:tr w:rsidR="00E0683A" w:rsidRPr="00E0683A" w14:paraId="35B43B32"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638CA83C" w14:textId="77777777" w:rsidR="00E0683A" w:rsidRPr="00A47E79" w:rsidRDefault="00E0683A" w:rsidP="007E7D23">
            <w:pPr>
              <w:ind w:left="0"/>
              <w:rPr>
                <w:sz w:val="20"/>
                <w:szCs w:val="20"/>
                <w:lang w:val="en-US"/>
              </w:rPr>
            </w:pPr>
            <w:r w:rsidRPr="00A47E79">
              <w:rPr>
                <w:sz w:val="20"/>
                <w:szCs w:val="20"/>
              </w:rPr>
              <w:t>ALT increased</w:t>
            </w:r>
          </w:p>
        </w:tc>
        <w:tc>
          <w:tcPr>
            <w:tcW w:w="1701" w:type="dxa"/>
            <w:hideMark/>
          </w:tcPr>
          <w:p w14:paraId="261EE6D5"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34</w:t>
            </w:r>
          </w:p>
        </w:tc>
        <w:tc>
          <w:tcPr>
            <w:tcW w:w="1559" w:type="dxa"/>
            <w:hideMark/>
          </w:tcPr>
          <w:p w14:paraId="0A8A357A"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5</w:t>
            </w:r>
          </w:p>
        </w:tc>
        <w:tc>
          <w:tcPr>
            <w:tcW w:w="1701" w:type="dxa"/>
            <w:hideMark/>
          </w:tcPr>
          <w:p w14:paraId="7332305B"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22</w:t>
            </w:r>
          </w:p>
        </w:tc>
        <w:tc>
          <w:tcPr>
            <w:tcW w:w="1559" w:type="dxa"/>
            <w:hideMark/>
          </w:tcPr>
          <w:p w14:paraId="6776053F"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1.4</w:t>
            </w:r>
          </w:p>
        </w:tc>
      </w:tr>
      <w:tr w:rsidR="00E0683A" w:rsidRPr="00E0683A" w14:paraId="4E9E1E48"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5E4FC9EC" w14:textId="77777777" w:rsidR="00E0683A" w:rsidRPr="00A47E79" w:rsidRDefault="00E0683A" w:rsidP="007E7D23">
            <w:pPr>
              <w:ind w:left="0"/>
              <w:rPr>
                <w:sz w:val="20"/>
                <w:szCs w:val="20"/>
                <w:lang w:val="en-US"/>
              </w:rPr>
            </w:pPr>
            <w:r w:rsidRPr="00A47E79">
              <w:rPr>
                <w:sz w:val="20"/>
                <w:szCs w:val="20"/>
              </w:rPr>
              <w:t>Bilirubin increased</w:t>
            </w:r>
          </w:p>
        </w:tc>
        <w:tc>
          <w:tcPr>
            <w:tcW w:w="1701" w:type="dxa"/>
            <w:hideMark/>
          </w:tcPr>
          <w:p w14:paraId="36025DFE"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30</w:t>
            </w:r>
          </w:p>
        </w:tc>
        <w:tc>
          <w:tcPr>
            <w:tcW w:w="1559" w:type="dxa"/>
            <w:hideMark/>
          </w:tcPr>
          <w:p w14:paraId="13DCAB66"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7</w:t>
            </w:r>
          </w:p>
        </w:tc>
        <w:tc>
          <w:tcPr>
            <w:tcW w:w="1701" w:type="dxa"/>
            <w:hideMark/>
          </w:tcPr>
          <w:p w14:paraId="13A81E88"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21</w:t>
            </w:r>
          </w:p>
        </w:tc>
        <w:tc>
          <w:tcPr>
            <w:tcW w:w="1559" w:type="dxa"/>
            <w:hideMark/>
          </w:tcPr>
          <w:p w14:paraId="33A7FCE8"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8</w:t>
            </w:r>
          </w:p>
        </w:tc>
      </w:tr>
      <w:tr w:rsidR="00E0683A" w:rsidRPr="00E0683A" w14:paraId="7ACABCDE"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22FC8D5F" w14:textId="77777777" w:rsidR="00E0683A" w:rsidRPr="00A47E79" w:rsidRDefault="00E0683A" w:rsidP="007E7D23">
            <w:pPr>
              <w:ind w:left="0"/>
              <w:rPr>
                <w:sz w:val="20"/>
                <w:szCs w:val="20"/>
                <w:lang w:val="en-US"/>
              </w:rPr>
            </w:pPr>
            <w:r w:rsidRPr="00A47E79">
              <w:rPr>
                <w:sz w:val="20"/>
                <w:szCs w:val="20"/>
              </w:rPr>
              <w:t>Alkaline phosphatase increased</w:t>
            </w:r>
          </w:p>
        </w:tc>
        <w:tc>
          <w:tcPr>
            <w:tcW w:w="1701" w:type="dxa"/>
            <w:hideMark/>
          </w:tcPr>
          <w:p w14:paraId="4DC8277D"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20</w:t>
            </w:r>
          </w:p>
        </w:tc>
        <w:tc>
          <w:tcPr>
            <w:tcW w:w="1559" w:type="dxa"/>
            <w:hideMark/>
          </w:tcPr>
          <w:p w14:paraId="129FC62C"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1.6</w:t>
            </w:r>
          </w:p>
        </w:tc>
        <w:tc>
          <w:tcPr>
            <w:tcW w:w="1701" w:type="dxa"/>
            <w:hideMark/>
          </w:tcPr>
          <w:p w14:paraId="16823EB5"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26</w:t>
            </w:r>
          </w:p>
        </w:tc>
        <w:tc>
          <w:tcPr>
            <w:tcW w:w="1559" w:type="dxa"/>
            <w:hideMark/>
          </w:tcPr>
          <w:p w14:paraId="1DAC6C7D"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0.5</w:t>
            </w:r>
          </w:p>
        </w:tc>
      </w:tr>
      <w:tr w:rsidR="00E0683A" w:rsidRPr="00E0683A" w14:paraId="711AFC38"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4EBC7919" w14:textId="77777777" w:rsidR="00E0683A" w:rsidRPr="00A47E79" w:rsidRDefault="00E0683A" w:rsidP="007E7D23">
            <w:pPr>
              <w:ind w:left="0"/>
              <w:rPr>
                <w:sz w:val="20"/>
                <w:szCs w:val="20"/>
                <w:lang w:val="en-US"/>
              </w:rPr>
            </w:pPr>
            <w:r w:rsidRPr="00A47E79">
              <w:rPr>
                <w:sz w:val="20"/>
                <w:szCs w:val="20"/>
              </w:rPr>
              <w:t>Magnesium decreased</w:t>
            </w:r>
          </w:p>
        </w:tc>
        <w:tc>
          <w:tcPr>
            <w:tcW w:w="1701" w:type="dxa"/>
            <w:hideMark/>
          </w:tcPr>
          <w:p w14:paraId="2F7E9604"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20</w:t>
            </w:r>
          </w:p>
        </w:tc>
        <w:tc>
          <w:tcPr>
            <w:tcW w:w="1559" w:type="dxa"/>
            <w:hideMark/>
          </w:tcPr>
          <w:p w14:paraId="264DDA71"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0.5</w:t>
            </w:r>
          </w:p>
        </w:tc>
        <w:tc>
          <w:tcPr>
            <w:tcW w:w="1701" w:type="dxa"/>
            <w:hideMark/>
          </w:tcPr>
          <w:p w14:paraId="13C1E35E"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10</w:t>
            </w:r>
          </w:p>
        </w:tc>
        <w:tc>
          <w:tcPr>
            <w:tcW w:w="1559" w:type="dxa"/>
            <w:hideMark/>
          </w:tcPr>
          <w:p w14:paraId="103C371D"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0.5</w:t>
            </w:r>
          </w:p>
        </w:tc>
      </w:tr>
      <w:tr w:rsidR="00E0683A" w:rsidRPr="00E0683A" w14:paraId="074DC00A"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334AE263" w14:textId="77777777" w:rsidR="00E0683A" w:rsidRPr="00A47E79" w:rsidRDefault="00E0683A" w:rsidP="007E7D23">
            <w:pPr>
              <w:ind w:left="0"/>
              <w:rPr>
                <w:sz w:val="20"/>
                <w:szCs w:val="20"/>
                <w:lang w:val="en-US"/>
              </w:rPr>
            </w:pPr>
            <w:r w:rsidRPr="00A47E79">
              <w:rPr>
                <w:b/>
                <w:sz w:val="20"/>
                <w:szCs w:val="20"/>
              </w:rPr>
              <w:t>Haematology</w:t>
            </w:r>
          </w:p>
        </w:tc>
        <w:tc>
          <w:tcPr>
            <w:tcW w:w="1701" w:type="dxa"/>
          </w:tcPr>
          <w:p w14:paraId="5ADBB51F"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559" w:type="dxa"/>
          </w:tcPr>
          <w:p w14:paraId="39C05934"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1" w:type="dxa"/>
          </w:tcPr>
          <w:p w14:paraId="232AEBCC"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559" w:type="dxa"/>
          </w:tcPr>
          <w:p w14:paraId="40A4A4A9"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124BA4A3"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4CCCEE8A" w14:textId="77777777" w:rsidR="00E0683A" w:rsidRPr="00A47E79" w:rsidRDefault="00E0683A" w:rsidP="007E7D23">
            <w:pPr>
              <w:ind w:left="0"/>
              <w:rPr>
                <w:sz w:val="20"/>
                <w:szCs w:val="20"/>
                <w:lang w:val="en-US"/>
              </w:rPr>
            </w:pPr>
            <w:r w:rsidRPr="00A47E79">
              <w:rPr>
                <w:sz w:val="20"/>
                <w:szCs w:val="20"/>
              </w:rPr>
              <w:t>Lymphocytes decreased</w:t>
            </w:r>
          </w:p>
        </w:tc>
        <w:tc>
          <w:tcPr>
            <w:tcW w:w="1701" w:type="dxa"/>
            <w:hideMark/>
          </w:tcPr>
          <w:p w14:paraId="6CE7F2BB"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30</w:t>
            </w:r>
          </w:p>
        </w:tc>
        <w:tc>
          <w:tcPr>
            <w:tcW w:w="1559" w:type="dxa"/>
            <w:hideMark/>
          </w:tcPr>
          <w:p w14:paraId="1957DE88"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6</w:t>
            </w:r>
          </w:p>
        </w:tc>
        <w:tc>
          <w:tcPr>
            <w:tcW w:w="1701" w:type="dxa"/>
            <w:hideMark/>
          </w:tcPr>
          <w:p w14:paraId="5B00BEC7"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32</w:t>
            </w:r>
          </w:p>
        </w:tc>
        <w:tc>
          <w:tcPr>
            <w:tcW w:w="1559" w:type="dxa"/>
            <w:hideMark/>
          </w:tcPr>
          <w:p w14:paraId="46A3BB0C"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4.6</w:t>
            </w:r>
          </w:p>
        </w:tc>
      </w:tr>
      <w:tr w:rsidR="00E0683A" w:rsidRPr="00E0683A" w14:paraId="13EBFA40"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7AF7BC8E" w14:textId="77777777" w:rsidR="00E0683A" w:rsidRPr="00A47E79" w:rsidRDefault="00E0683A" w:rsidP="007E7D23">
            <w:pPr>
              <w:ind w:left="0"/>
              <w:rPr>
                <w:sz w:val="20"/>
                <w:szCs w:val="20"/>
                <w:lang w:val="en-US"/>
              </w:rPr>
            </w:pPr>
            <w:r w:rsidRPr="00A47E79">
              <w:rPr>
                <w:sz w:val="20"/>
                <w:szCs w:val="20"/>
              </w:rPr>
              <w:t>Platelets decreased</w:t>
            </w:r>
          </w:p>
        </w:tc>
        <w:tc>
          <w:tcPr>
            <w:tcW w:w="1701" w:type="dxa"/>
            <w:hideMark/>
          </w:tcPr>
          <w:p w14:paraId="0D098E66"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30</w:t>
            </w:r>
          </w:p>
        </w:tc>
        <w:tc>
          <w:tcPr>
            <w:tcW w:w="1559" w:type="dxa"/>
            <w:hideMark/>
          </w:tcPr>
          <w:p w14:paraId="42A88771"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0.2</w:t>
            </w:r>
          </w:p>
        </w:tc>
        <w:tc>
          <w:tcPr>
            <w:tcW w:w="1701" w:type="dxa"/>
            <w:hideMark/>
          </w:tcPr>
          <w:p w14:paraId="5660D038"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4.6</w:t>
            </w:r>
          </w:p>
        </w:tc>
        <w:tc>
          <w:tcPr>
            <w:tcW w:w="1559" w:type="dxa"/>
            <w:hideMark/>
          </w:tcPr>
          <w:p w14:paraId="5B20C9D6"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0</w:t>
            </w:r>
          </w:p>
        </w:tc>
      </w:tr>
      <w:tr w:rsidR="00E0683A" w:rsidRPr="00E0683A" w14:paraId="10346ACD" w14:textId="77777777" w:rsidTr="00773A7F">
        <w:trPr>
          <w:trHeight w:val="20"/>
        </w:trPr>
        <w:tc>
          <w:tcPr>
            <w:cnfStyle w:val="001000000000" w:firstRow="0" w:lastRow="0" w:firstColumn="1" w:lastColumn="0" w:oddVBand="0" w:evenVBand="0" w:oddHBand="0" w:evenHBand="0" w:firstRowFirstColumn="0" w:firstRowLastColumn="0" w:lastRowFirstColumn="0" w:lastRowLastColumn="0"/>
            <w:tcW w:w="2405" w:type="dxa"/>
            <w:hideMark/>
          </w:tcPr>
          <w:p w14:paraId="5EEC251E" w14:textId="77777777" w:rsidR="00E0683A" w:rsidRPr="00A47E79" w:rsidRDefault="00E0683A" w:rsidP="007E7D23">
            <w:pPr>
              <w:ind w:left="0"/>
              <w:rPr>
                <w:sz w:val="20"/>
                <w:szCs w:val="20"/>
                <w:lang w:val="en-US"/>
              </w:rPr>
            </w:pPr>
            <w:proofErr w:type="spellStart"/>
            <w:r w:rsidRPr="00A47E79">
              <w:rPr>
                <w:sz w:val="20"/>
                <w:szCs w:val="20"/>
              </w:rPr>
              <w:t>aPTT</w:t>
            </w:r>
            <w:proofErr w:type="spellEnd"/>
            <w:r w:rsidRPr="00A47E79">
              <w:rPr>
                <w:sz w:val="20"/>
                <w:szCs w:val="20"/>
              </w:rPr>
              <w:t xml:space="preserve"> increased</w:t>
            </w:r>
          </w:p>
        </w:tc>
        <w:tc>
          <w:tcPr>
            <w:tcW w:w="1701" w:type="dxa"/>
            <w:hideMark/>
          </w:tcPr>
          <w:p w14:paraId="2458CEC2"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21</w:t>
            </w:r>
          </w:p>
        </w:tc>
        <w:tc>
          <w:tcPr>
            <w:tcW w:w="1559" w:type="dxa"/>
            <w:hideMark/>
          </w:tcPr>
          <w:p w14:paraId="7E00C0AA"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2.7</w:t>
            </w:r>
          </w:p>
        </w:tc>
        <w:tc>
          <w:tcPr>
            <w:tcW w:w="1701" w:type="dxa"/>
            <w:hideMark/>
          </w:tcPr>
          <w:p w14:paraId="7DEC31F0"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17</w:t>
            </w:r>
          </w:p>
        </w:tc>
        <w:tc>
          <w:tcPr>
            <w:tcW w:w="1559" w:type="dxa"/>
            <w:hideMark/>
          </w:tcPr>
          <w:p w14:paraId="6944D1E0" w14:textId="77777777" w:rsidR="00E0683A" w:rsidRPr="00A47E79" w:rsidRDefault="00E0683A" w:rsidP="007E7D23">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A47E79">
              <w:rPr>
                <w:sz w:val="20"/>
                <w:szCs w:val="20"/>
              </w:rPr>
              <w:t>1.5</w:t>
            </w:r>
          </w:p>
        </w:tc>
      </w:tr>
    </w:tbl>
    <w:p w14:paraId="45F1E794" w14:textId="376D1960" w:rsidR="00E0683A" w:rsidRPr="00E0683A" w:rsidRDefault="007D154D" w:rsidP="007D154D">
      <w:pPr>
        <w:pStyle w:val="TableDescription"/>
      </w:pPr>
      <w:r w:rsidRPr="007D154D">
        <w:rPr>
          <w:vertAlign w:val="superscript"/>
        </w:rPr>
        <w:t>1</w:t>
      </w:r>
      <w:r>
        <w:t xml:space="preserve"> E</w:t>
      </w:r>
      <w:r w:rsidRPr="007D154D">
        <w:t>ach test incidence is based on the number of patients who had both baseline and at least one</w:t>
      </w:r>
      <w:r>
        <w:t xml:space="preserve"> </w:t>
      </w:r>
      <w:r w:rsidRPr="007D154D">
        <w:t>on-study laboratory measurement available: F</w:t>
      </w:r>
      <w:r>
        <w:t>ruzaqla</w:t>
      </w:r>
      <w:r w:rsidRPr="007D154D">
        <w:t xml:space="preserve"> (range: 257</w:t>
      </w:r>
      <w:r>
        <w:t xml:space="preserve"> to </w:t>
      </w:r>
      <w:r w:rsidRPr="007D154D">
        <w:t>277) and placebo (range: 126</w:t>
      </w:r>
      <w:r>
        <w:t xml:space="preserve"> to </w:t>
      </w:r>
      <w:r w:rsidRPr="007D154D">
        <w:t>134).</w:t>
      </w:r>
    </w:p>
    <w:p w14:paraId="07609EF7" w14:textId="77777777" w:rsidR="00E0683A" w:rsidRPr="00E0683A" w:rsidRDefault="00E0683A" w:rsidP="00E7644E">
      <w:pPr>
        <w:pStyle w:val="Heading5"/>
        <w:rPr>
          <w:lang w:val="en-GB"/>
        </w:rPr>
      </w:pPr>
      <w:r w:rsidRPr="00E0683A">
        <w:rPr>
          <w:lang w:val="en-GB"/>
        </w:rPr>
        <w:t>Fatal adverse events and common serious adverse events</w:t>
      </w:r>
    </w:p>
    <w:p w14:paraId="20BF181D" w14:textId="2765DD3E" w:rsidR="00E0683A" w:rsidRPr="009B504D" w:rsidRDefault="00E0683A" w:rsidP="009B504D">
      <w:r w:rsidRPr="009B504D">
        <w:t xml:space="preserve">Events with a fatal outcome and those that were considered serious by the investigator </w:t>
      </w:r>
      <w:r w:rsidR="009B504D" w:rsidRPr="009B504D">
        <w:t xml:space="preserve">were </w:t>
      </w:r>
      <w:r w:rsidRPr="009B504D">
        <w:t xml:space="preserve">tabulated and described </w:t>
      </w:r>
      <w:r w:rsidR="009B504D" w:rsidRPr="009B504D">
        <w:t>by the overseas regulator</w:t>
      </w:r>
      <w:r w:rsidRPr="009B504D">
        <w:t>.</w:t>
      </w:r>
    </w:p>
    <w:p w14:paraId="5E0CD4B8" w14:textId="6093C894" w:rsidR="00E0683A" w:rsidRPr="009B504D" w:rsidRDefault="00E0683A" w:rsidP="009B504D">
      <w:r w:rsidRPr="009B504D">
        <w:t xml:space="preserve">Fatal event narratives were individually reviewed by TGA and deaths that were considered more plausibly related to </w:t>
      </w:r>
      <w:proofErr w:type="spellStart"/>
      <w:r w:rsidRPr="009B504D">
        <w:t>fruquintinib</w:t>
      </w:r>
      <w:proofErr w:type="spellEnd"/>
      <w:r w:rsidRPr="009B504D">
        <w:t xml:space="preserve"> than progression of mCRC (based on the available information) are presented in </w:t>
      </w:r>
      <w:r w:rsidRPr="009B504D">
        <w:rPr>
          <w:lang w:val="en-GB"/>
        </w:rPr>
        <w:fldChar w:fldCharType="begin"/>
      </w:r>
      <w:r w:rsidRPr="009B504D">
        <w:instrText xml:space="preserve"> REF _Ref170903901 \h </w:instrText>
      </w:r>
      <w:r w:rsidR="009B504D">
        <w:instrText xml:space="preserve"> \* MERGEFORMAT </w:instrText>
      </w:r>
      <w:r w:rsidRPr="009B504D">
        <w:rPr>
          <w:lang w:val="en-GB"/>
        </w:rPr>
      </w:r>
      <w:r w:rsidRPr="009B504D">
        <w:rPr>
          <w:lang w:val="en-GB"/>
        </w:rPr>
        <w:fldChar w:fldCharType="separate"/>
      </w:r>
      <w:r w:rsidR="00A407E4" w:rsidRPr="00E0683A">
        <w:t xml:space="preserve">Table </w:t>
      </w:r>
      <w:r w:rsidR="00A407E4">
        <w:t>9</w:t>
      </w:r>
      <w:r w:rsidRPr="009B504D">
        <w:fldChar w:fldCharType="end"/>
      </w:r>
      <w:r w:rsidRPr="009B504D">
        <w:t>. Events across both arms were all common causes of mCRC</w:t>
      </w:r>
      <w:r w:rsidR="00205215" w:rsidRPr="009B504D">
        <w:t xml:space="preserve"> </w:t>
      </w:r>
      <w:r w:rsidRPr="009B504D">
        <w:t>related deaths.</w:t>
      </w:r>
    </w:p>
    <w:p w14:paraId="2D497BEC" w14:textId="77777777" w:rsidR="00E0683A" w:rsidRPr="009B504D" w:rsidRDefault="00E0683A" w:rsidP="009B504D">
      <w:r w:rsidRPr="009B504D">
        <w:t xml:space="preserve">The </w:t>
      </w:r>
      <w:proofErr w:type="spellStart"/>
      <w:r w:rsidRPr="009B504D">
        <w:t>fruquintinib</w:t>
      </w:r>
      <w:proofErr w:type="spellEnd"/>
      <w:r w:rsidRPr="009B504D">
        <w:t xml:space="preserve"> arms were larger and had a longer time on-treatment than the placebo arm, so direct comparison of rates is confounded. Despite those caveats:</w:t>
      </w:r>
    </w:p>
    <w:p w14:paraId="7723E7D8" w14:textId="4650F1F0" w:rsidR="00E0683A" w:rsidRPr="0066742E" w:rsidRDefault="00E0683A" w:rsidP="0066742E">
      <w:pPr>
        <w:pStyle w:val="ListBullet"/>
      </w:pPr>
      <w:r w:rsidRPr="0066742E">
        <w:lastRenderedPageBreak/>
        <w:t xml:space="preserve">More fatal infections occurred in patients receiving </w:t>
      </w:r>
      <w:proofErr w:type="spellStart"/>
      <w:r w:rsidRPr="0066742E">
        <w:t>fruquintinib</w:t>
      </w:r>
      <w:proofErr w:type="spellEnd"/>
      <w:r w:rsidRPr="0066742E">
        <w:t xml:space="preserve"> than those who received placebo.</w:t>
      </w:r>
    </w:p>
    <w:p w14:paraId="378244E0" w14:textId="2438D823" w:rsidR="00E0683A" w:rsidRPr="0066742E" w:rsidRDefault="00E0683A" w:rsidP="0066742E">
      <w:pPr>
        <w:pStyle w:val="ListBullet"/>
      </w:pPr>
      <w:r w:rsidRPr="0066742E">
        <w:t xml:space="preserve">There were two fatal events (0.4%) of intestinal perforation amongst patients who received </w:t>
      </w:r>
      <w:proofErr w:type="spellStart"/>
      <w:r w:rsidRPr="0066742E">
        <w:t>fruquintinib</w:t>
      </w:r>
      <w:proofErr w:type="spellEnd"/>
      <w:r w:rsidRPr="0066742E">
        <w:t xml:space="preserve"> in FRESCO-2</w:t>
      </w:r>
      <w:r w:rsidR="0066742E">
        <w:t xml:space="preserve">, </w:t>
      </w:r>
      <w:r w:rsidRPr="0066742E">
        <w:t>this is an adverse effect that has previously been associated with this class of medication.</w:t>
      </w:r>
    </w:p>
    <w:p w14:paraId="1B992583" w14:textId="738A97D9" w:rsidR="00E0683A" w:rsidRPr="0066742E" w:rsidRDefault="00E0683A" w:rsidP="0066742E">
      <w:r w:rsidRPr="0066742E">
        <w:t xml:space="preserve">Hepatic failure was a cause of death for many patients in the study, in keeping with the underlying condition. One event of fatal hepatic failure occurred within 30 days of ceasing </w:t>
      </w:r>
      <w:proofErr w:type="spellStart"/>
      <w:proofErr w:type="gramStart"/>
      <w:r w:rsidRPr="0066742E">
        <w:t>fruquintinib</w:t>
      </w:r>
      <w:proofErr w:type="spellEnd"/>
      <w:r w:rsidRPr="0066742E">
        <w:t>,</w:t>
      </w:r>
      <w:proofErr w:type="gramEnd"/>
      <w:r w:rsidRPr="0066742E">
        <w:t xml:space="preserve"> however the narrative strongly suggests that disease progression could have been responsible. Liver metastases were present at </w:t>
      </w:r>
      <w:r w:rsidR="00987F49">
        <w:t>B</w:t>
      </w:r>
      <w:r w:rsidRPr="0066742E">
        <w:t xml:space="preserve">aseline for this patient, and </w:t>
      </w:r>
      <w:proofErr w:type="spellStart"/>
      <w:r w:rsidRPr="0066742E">
        <w:t>hyperbilirubinaemia</w:t>
      </w:r>
      <w:proofErr w:type="spellEnd"/>
      <w:r w:rsidRPr="0066742E">
        <w:t xml:space="preserve"> first occurred 169 days after starting treatment. The same day, disease progression (new abdominal cavity and right lung lesions) was present on </w:t>
      </w:r>
      <w:r w:rsidR="006D6BC2">
        <w:t>computed tomograph</w:t>
      </w:r>
      <w:r w:rsidR="00620DE9">
        <w:t>y (</w:t>
      </w:r>
      <w:r w:rsidRPr="00DB7088">
        <w:t>CT</w:t>
      </w:r>
      <w:r w:rsidR="00620DE9">
        <w:t>)</w:t>
      </w:r>
      <w:r w:rsidRPr="0066742E">
        <w:t xml:space="preserve">. The narrative goes on to describe 19 days of declining hepatic function, hepatic coma and death, and includes the statement </w:t>
      </w:r>
      <w:r w:rsidR="00620DE9">
        <w:t>‘</w:t>
      </w:r>
      <w:r w:rsidRPr="0066742E">
        <w:t>the cause of death was reported as disease progression</w:t>
      </w:r>
      <w:r w:rsidR="00620DE9">
        <w:t>’</w:t>
      </w:r>
      <w:r w:rsidRPr="0066742E">
        <w:t xml:space="preserve">. This case has not been included in </w:t>
      </w:r>
      <w:r w:rsidRPr="0066742E">
        <w:fldChar w:fldCharType="begin"/>
      </w:r>
      <w:r w:rsidRPr="0066742E">
        <w:instrText xml:space="preserve"> REF _Ref170903901 \h </w:instrText>
      </w:r>
      <w:r w:rsidR="0066742E">
        <w:instrText xml:space="preserve"> \* MERGEFORMAT </w:instrText>
      </w:r>
      <w:r w:rsidRPr="0066742E">
        <w:fldChar w:fldCharType="separate"/>
      </w:r>
      <w:r w:rsidR="00A407E4" w:rsidRPr="00E0683A">
        <w:t xml:space="preserve">Table </w:t>
      </w:r>
      <w:r w:rsidR="00A407E4">
        <w:t>9</w:t>
      </w:r>
      <w:r w:rsidRPr="0066742E">
        <w:fldChar w:fldCharType="end"/>
      </w:r>
      <w:r w:rsidRPr="0066742E">
        <w:t xml:space="preserve"> (</w:t>
      </w:r>
      <w:r w:rsidR="00620DE9">
        <w:t>that is,</w:t>
      </w:r>
      <w:r w:rsidRPr="0066742E">
        <w:t xml:space="preserve"> as a fatal AE considered possibly attributable to </w:t>
      </w:r>
      <w:proofErr w:type="spellStart"/>
      <w:r w:rsidRPr="0066742E">
        <w:t>fruquintinib</w:t>
      </w:r>
      <w:proofErr w:type="spellEnd"/>
      <w:r w:rsidRPr="0066742E">
        <w:t>).</w:t>
      </w:r>
    </w:p>
    <w:p w14:paraId="5D40C7CA" w14:textId="0F11A6DD" w:rsidR="00E0683A" w:rsidRPr="00E0683A" w:rsidRDefault="00E0683A" w:rsidP="005F314A">
      <w:pPr>
        <w:pStyle w:val="TableTitle"/>
      </w:pPr>
      <w:bookmarkStart w:id="83" w:name="_Ref170903901"/>
      <w:r w:rsidRPr="00E0683A">
        <w:t xml:space="preserve">Table </w:t>
      </w:r>
      <w:r w:rsidRPr="00E0683A">
        <w:fldChar w:fldCharType="begin"/>
      </w:r>
      <w:r w:rsidRPr="00E0683A">
        <w:instrText xml:space="preserve"> SEQ Table \* ARABIC </w:instrText>
      </w:r>
      <w:r w:rsidRPr="00E0683A">
        <w:fldChar w:fldCharType="separate"/>
      </w:r>
      <w:r w:rsidR="00A407E4">
        <w:rPr>
          <w:noProof/>
        </w:rPr>
        <w:t>9</w:t>
      </w:r>
      <w:r w:rsidRPr="00E0683A">
        <w:fldChar w:fldCharType="end"/>
      </w:r>
      <w:bookmarkEnd w:id="83"/>
      <w:r w:rsidR="005F314A">
        <w:t>:</w:t>
      </w:r>
      <w:r w:rsidRPr="00E0683A">
        <w:t xml:space="preserve"> Events with a fatal outcome that could not be clearly attributed to disease progression across FRESCO-2 and FRESCO, based on Delegate’s clinical review of safety narratives.</w:t>
      </w:r>
    </w:p>
    <w:tbl>
      <w:tblPr>
        <w:tblStyle w:val="TableTGAblue2023"/>
        <w:tblW w:w="9075" w:type="dxa"/>
        <w:tblLayout w:type="fixed"/>
        <w:tblLook w:val="01E0" w:firstRow="1" w:lastRow="1" w:firstColumn="1" w:lastColumn="1" w:noHBand="0" w:noVBand="0"/>
      </w:tblPr>
      <w:tblGrid>
        <w:gridCol w:w="2830"/>
        <w:gridCol w:w="1560"/>
        <w:gridCol w:w="1559"/>
        <w:gridCol w:w="1559"/>
        <w:gridCol w:w="1567"/>
      </w:tblGrid>
      <w:tr w:rsidR="005F314A" w:rsidRPr="00E0683A" w14:paraId="4CFA3310" w14:textId="77777777" w:rsidTr="005F314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193D68E0" w14:textId="77777777" w:rsidR="005F314A" w:rsidRPr="005F314A" w:rsidRDefault="005F314A" w:rsidP="005F314A">
            <w:pPr>
              <w:ind w:left="0"/>
              <w:rPr>
                <w:sz w:val="20"/>
                <w:szCs w:val="20"/>
                <w:lang w:val="en-US"/>
              </w:rPr>
            </w:pPr>
          </w:p>
        </w:tc>
        <w:tc>
          <w:tcPr>
            <w:tcW w:w="3119" w:type="dxa"/>
            <w:gridSpan w:val="2"/>
            <w:hideMark/>
          </w:tcPr>
          <w:p w14:paraId="63ED20B4" w14:textId="77777777" w:rsidR="005F314A" w:rsidRPr="005F314A" w:rsidRDefault="005F314A" w:rsidP="005F314A">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5F314A">
              <w:rPr>
                <w:sz w:val="20"/>
                <w:szCs w:val="20"/>
                <w:lang w:val="en-US"/>
              </w:rPr>
              <w:t>FRESCO-2</w:t>
            </w:r>
          </w:p>
        </w:tc>
        <w:tc>
          <w:tcPr>
            <w:tcW w:w="3126" w:type="dxa"/>
            <w:gridSpan w:val="2"/>
            <w:hideMark/>
          </w:tcPr>
          <w:p w14:paraId="1B0C9699" w14:textId="77777777" w:rsidR="005F314A" w:rsidRPr="005F314A" w:rsidRDefault="005F314A" w:rsidP="005F314A">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5F314A">
              <w:rPr>
                <w:sz w:val="20"/>
                <w:szCs w:val="20"/>
                <w:lang w:val="en-US"/>
              </w:rPr>
              <w:t>FRESCO</w:t>
            </w:r>
          </w:p>
        </w:tc>
      </w:tr>
      <w:tr w:rsidR="005F314A" w:rsidRPr="00E0683A" w14:paraId="0481869D"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vMerge/>
            <w:shd w:val="clear" w:color="auto" w:fill="DEEAF6" w:themeFill="accent5" w:themeFillTint="33"/>
          </w:tcPr>
          <w:p w14:paraId="3585D198" w14:textId="77777777" w:rsidR="005F314A" w:rsidRPr="005F314A" w:rsidRDefault="005F314A" w:rsidP="005F314A">
            <w:pPr>
              <w:ind w:left="0"/>
              <w:rPr>
                <w:b/>
                <w:bCs/>
                <w:sz w:val="20"/>
                <w:szCs w:val="20"/>
                <w:lang w:val="en-US"/>
              </w:rPr>
            </w:pPr>
          </w:p>
        </w:tc>
        <w:tc>
          <w:tcPr>
            <w:tcW w:w="1560" w:type="dxa"/>
            <w:shd w:val="clear" w:color="auto" w:fill="DEEAF6" w:themeFill="accent5" w:themeFillTint="33"/>
            <w:hideMark/>
          </w:tcPr>
          <w:p w14:paraId="69C67375" w14:textId="77777777"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 xml:space="preserve">Fruquintinib </w:t>
            </w:r>
          </w:p>
          <w:p w14:paraId="7D483507" w14:textId="77777777"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 BSC</w:t>
            </w:r>
          </w:p>
          <w:p w14:paraId="56275277" w14:textId="551C46C9"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N</w:t>
            </w:r>
            <w:r w:rsidR="001829B7">
              <w:rPr>
                <w:b/>
                <w:color w:val="263287"/>
                <w:sz w:val="20"/>
                <w:szCs w:val="20"/>
                <w:lang w:val="en-US"/>
              </w:rPr>
              <w:t> </w:t>
            </w:r>
            <w:r w:rsidRPr="005F314A">
              <w:rPr>
                <w:b/>
                <w:color w:val="263287"/>
                <w:sz w:val="20"/>
                <w:szCs w:val="20"/>
                <w:lang w:val="en-US"/>
              </w:rPr>
              <w:t>=</w:t>
            </w:r>
            <w:r w:rsidR="001829B7">
              <w:rPr>
                <w:b/>
                <w:color w:val="263287"/>
                <w:sz w:val="20"/>
                <w:szCs w:val="20"/>
                <w:lang w:val="en-US"/>
              </w:rPr>
              <w:t> </w:t>
            </w:r>
            <w:r w:rsidRPr="005F314A">
              <w:rPr>
                <w:b/>
                <w:color w:val="263287"/>
                <w:sz w:val="20"/>
                <w:szCs w:val="20"/>
                <w:lang w:val="en-US"/>
              </w:rPr>
              <w:t>456; n (%)</w:t>
            </w:r>
          </w:p>
        </w:tc>
        <w:tc>
          <w:tcPr>
            <w:tcW w:w="1559" w:type="dxa"/>
            <w:shd w:val="clear" w:color="auto" w:fill="DEEAF6" w:themeFill="accent5" w:themeFillTint="33"/>
            <w:hideMark/>
          </w:tcPr>
          <w:p w14:paraId="3D938210" w14:textId="549D59E3"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Placebo</w:t>
            </w:r>
          </w:p>
          <w:p w14:paraId="5EF169B1" w14:textId="77777777"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 BSC</w:t>
            </w:r>
          </w:p>
          <w:p w14:paraId="6E7088E2" w14:textId="49F8FAE2"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N</w:t>
            </w:r>
            <w:r w:rsidR="001829B7">
              <w:rPr>
                <w:b/>
                <w:color w:val="263287"/>
                <w:sz w:val="20"/>
                <w:szCs w:val="20"/>
                <w:lang w:val="en-US"/>
              </w:rPr>
              <w:t> </w:t>
            </w:r>
            <w:r w:rsidRPr="005F314A">
              <w:rPr>
                <w:b/>
                <w:color w:val="263287"/>
                <w:sz w:val="20"/>
                <w:szCs w:val="20"/>
                <w:lang w:val="en-US"/>
              </w:rPr>
              <w:t>=</w:t>
            </w:r>
            <w:r w:rsidR="001829B7">
              <w:rPr>
                <w:b/>
                <w:color w:val="263287"/>
                <w:sz w:val="20"/>
                <w:szCs w:val="20"/>
                <w:lang w:val="en-US"/>
              </w:rPr>
              <w:t> </w:t>
            </w:r>
            <w:r w:rsidRPr="005F314A">
              <w:rPr>
                <w:b/>
                <w:color w:val="263287"/>
                <w:sz w:val="20"/>
                <w:szCs w:val="20"/>
                <w:lang w:val="en-US"/>
              </w:rPr>
              <w:t>230; n (%)</w:t>
            </w:r>
          </w:p>
        </w:tc>
        <w:tc>
          <w:tcPr>
            <w:tcW w:w="1559" w:type="dxa"/>
            <w:shd w:val="clear" w:color="auto" w:fill="DEEAF6" w:themeFill="accent5" w:themeFillTint="33"/>
            <w:hideMark/>
          </w:tcPr>
          <w:p w14:paraId="6E404148" w14:textId="77777777"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 xml:space="preserve">Fruquintinib </w:t>
            </w:r>
          </w:p>
          <w:p w14:paraId="321558AC" w14:textId="77777777"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 BSC</w:t>
            </w:r>
          </w:p>
          <w:p w14:paraId="77F79F83" w14:textId="5630AAE9"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N</w:t>
            </w:r>
            <w:r w:rsidR="001829B7">
              <w:rPr>
                <w:b/>
                <w:color w:val="263287"/>
                <w:sz w:val="20"/>
                <w:szCs w:val="20"/>
                <w:lang w:val="en-US"/>
              </w:rPr>
              <w:t> </w:t>
            </w:r>
            <w:r w:rsidRPr="005F314A">
              <w:rPr>
                <w:b/>
                <w:color w:val="263287"/>
                <w:sz w:val="20"/>
                <w:szCs w:val="20"/>
                <w:lang w:val="en-US"/>
              </w:rPr>
              <w:t>=</w:t>
            </w:r>
            <w:r w:rsidR="001829B7">
              <w:rPr>
                <w:b/>
                <w:color w:val="263287"/>
                <w:sz w:val="20"/>
                <w:szCs w:val="20"/>
                <w:lang w:val="en-US"/>
              </w:rPr>
              <w:t> </w:t>
            </w:r>
            <w:r w:rsidRPr="005F314A">
              <w:rPr>
                <w:b/>
                <w:color w:val="263287"/>
                <w:sz w:val="20"/>
                <w:szCs w:val="20"/>
                <w:lang w:val="en-US"/>
              </w:rPr>
              <w:t>278; n (%)</w:t>
            </w:r>
          </w:p>
        </w:tc>
        <w:tc>
          <w:tcPr>
            <w:tcW w:w="1567" w:type="dxa"/>
            <w:shd w:val="clear" w:color="auto" w:fill="DEEAF6" w:themeFill="accent5" w:themeFillTint="33"/>
            <w:hideMark/>
          </w:tcPr>
          <w:p w14:paraId="71AF6D68" w14:textId="77777777"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 xml:space="preserve">Placebo </w:t>
            </w:r>
          </w:p>
          <w:p w14:paraId="720522B1" w14:textId="77777777"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 BSC</w:t>
            </w:r>
          </w:p>
          <w:p w14:paraId="4A10E081" w14:textId="03C483A7" w:rsidR="005F314A" w:rsidRPr="005F314A" w:rsidRDefault="005F314A" w:rsidP="005F31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5F314A">
              <w:rPr>
                <w:b/>
                <w:color w:val="263287"/>
                <w:sz w:val="20"/>
                <w:szCs w:val="20"/>
                <w:lang w:val="en-US"/>
              </w:rPr>
              <w:t>N</w:t>
            </w:r>
            <w:r w:rsidR="001829B7">
              <w:rPr>
                <w:b/>
                <w:color w:val="263287"/>
                <w:sz w:val="20"/>
                <w:szCs w:val="20"/>
                <w:lang w:val="en-US"/>
              </w:rPr>
              <w:t> </w:t>
            </w:r>
            <w:r w:rsidRPr="005F314A">
              <w:rPr>
                <w:b/>
                <w:color w:val="263287"/>
                <w:sz w:val="20"/>
                <w:szCs w:val="20"/>
                <w:lang w:val="en-US"/>
              </w:rPr>
              <w:t>=</w:t>
            </w:r>
            <w:r w:rsidR="001829B7">
              <w:rPr>
                <w:b/>
                <w:color w:val="263287"/>
                <w:sz w:val="20"/>
                <w:szCs w:val="20"/>
                <w:lang w:val="en-US"/>
              </w:rPr>
              <w:t> </w:t>
            </w:r>
            <w:r w:rsidRPr="005F314A">
              <w:rPr>
                <w:b/>
                <w:color w:val="263287"/>
                <w:sz w:val="20"/>
                <w:szCs w:val="20"/>
                <w:lang w:val="en-US"/>
              </w:rPr>
              <w:t>137; n (%)</w:t>
            </w:r>
          </w:p>
        </w:tc>
      </w:tr>
      <w:tr w:rsidR="00E0683A" w:rsidRPr="00E0683A" w14:paraId="78C1E13C"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7815EF07" w14:textId="77777777" w:rsidR="00E0683A" w:rsidRPr="005F314A" w:rsidRDefault="00E0683A" w:rsidP="005F314A">
            <w:pPr>
              <w:ind w:left="0"/>
              <w:rPr>
                <w:b/>
                <w:bCs/>
                <w:sz w:val="20"/>
                <w:szCs w:val="20"/>
                <w:lang w:val="en-US"/>
              </w:rPr>
            </w:pPr>
            <w:r w:rsidRPr="005F314A">
              <w:rPr>
                <w:b/>
                <w:bCs/>
                <w:sz w:val="20"/>
                <w:szCs w:val="20"/>
                <w:lang w:val="en-US"/>
              </w:rPr>
              <w:t>TOTAL</w:t>
            </w:r>
          </w:p>
        </w:tc>
        <w:tc>
          <w:tcPr>
            <w:tcW w:w="1560" w:type="dxa"/>
            <w:hideMark/>
          </w:tcPr>
          <w:p w14:paraId="7C7FD002"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F314A">
              <w:rPr>
                <w:b/>
                <w:bCs/>
                <w:sz w:val="20"/>
                <w:szCs w:val="20"/>
                <w:lang w:val="en-US"/>
              </w:rPr>
              <w:t>8 (1.8)</w:t>
            </w:r>
          </w:p>
        </w:tc>
        <w:tc>
          <w:tcPr>
            <w:tcW w:w="1559" w:type="dxa"/>
            <w:hideMark/>
          </w:tcPr>
          <w:p w14:paraId="4E5BCF4B"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F314A">
              <w:rPr>
                <w:b/>
                <w:bCs/>
                <w:sz w:val="20"/>
                <w:szCs w:val="20"/>
                <w:lang w:val="en-US"/>
              </w:rPr>
              <w:t>5 (2.2)</w:t>
            </w:r>
          </w:p>
        </w:tc>
        <w:tc>
          <w:tcPr>
            <w:tcW w:w="1559" w:type="dxa"/>
            <w:hideMark/>
          </w:tcPr>
          <w:p w14:paraId="332C3FBF"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F314A">
              <w:rPr>
                <w:b/>
                <w:bCs/>
                <w:sz w:val="20"/>
                <w:szCs w:val="20"/>
                <w:lang w:val="en-US"/>
              </w:rPr>
              <w:t>8 (2.9)</w:t>
            </w:r>
          </w:p>
        </w:tc>
        <w:tc>
          <w:tcPr>
            <w:tcW w:w="1567" w:type="dxa"/>
            <w:hideMark/>
          </w:tcPr>
          <w:p w14:paraId="43965183"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5F314A">
              <w:rPr>
                <w:b/>
                <w:bCs/>
                <w:sz w:val="20"/>
                <w:szCs w:val="20"/>
                <w:lang w:val="en-US"/>
              </w:rPr>
              <w:t>5 (1.5)</w:t>
            </w:r>
          </w:p>
        </w:tc>
      </w:tr>
      <w:tr w:rsidR="00E0683A" w:rsidRPr="00E0683A" w14:paraId="523BBAE6"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40EAA20C" w14:textId="6B98EDEF" w:rsidR="00E0683A" w:rsidRPr="005F314A" w:rsidRDefault="00E0683A" w:rsidP="005F314A">
            <w:pPr>
              <w:ind w:left="0"/>
              <w:rPr>
                <w:sz w:val="20"/>
                <w:szCs w:val="20"/>
                <w:lang w:val="en-US"/>
              </w:rPr>
            </w:pPr>
            <w:r w:rsidRPr="005F314A">
              <w:rPr>
                <w:sz w:val="20"/>
                <w:szCs w:val="20"/>
                <w:lang w:val="en-US"/>
              </w:rPr>
              <w:t>Infection</w:t>
            </w:r>
            <w:r w:rsidRPr="005F314A">
              <w:rPr>
                <w:sz w:val="20"/>
                <w:vertAlign w:val="superscript"/>
                <w:lang w:val="en-US"/>
              </w:rPr>
              <w:fldChar w:fldCharType="begin"/>
            </w:r>
            <w:r w:rsidRPr="005F314A">
              <w:rPr>
                <w:sz w:val="20"/>
                <w:szCs w:val="20"/>
                <w:vertAlign w:val="superscript"/>
                <w:lang w:val="en-US"/>
              </w:rPr>
              <w:instrText xml:space="preserve"> REF _Ref170906889 \r \h  \* MERGEFORMAT </w:instrText>
            </w:r>
            <w:r w:rsidRPr="005F314A">
              <w:rPr>
                <w:sz w:val="20"/>
                <w:vertAlign w:val="superscript"/>
                <w:lang w:val="en-US"/>
              </w:rPr>
            </w:r>
            <w:r w:rsidRPr="005F314A">
              <w:rPr>
                <w:sz w:val="20"/>
                <w:vertAlign w:val="superscript"/>
                <w:lang w:val="en-US"/>
              </w:rPr>
              <w:fldChar w:fldCharType="separate"/>
            </w:r>
            <w:r w:rsidR="00A407E4">
              <w:rPr>
                <w:sz w:val="20"/>
                <w:szCs w:val="20"/>
                <w:vertAlign w:val="superscript"/>
                <w:lang w:val="en-US"/>
              </w:rPr>
              <w:t>0</w:t>
            </w:r>
            <w:r w:rsidRPr="005F314A">
              <w:rPr>
                <w:sz w:val="20"/>
              </w:rPr>
              <w:fldChar w:fldCharType="end"/>
            </w:r>
          </w:p>
        </w:tc>
        <w:tc>
          <w:tcPr>
            <w:tcW w:w="1560" w:type="dxa"/>
            <w:hideMark/>
          </w:tcPr>
          <w:p w14:paraId="04578BE4"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5 (1.1)</w:t>
            </w:r>
          </w:p>
        </w:tc>
        <w:tc>
          <w:tcPr>
            <w:tcW w:w="1559" w:type="dxa"/>
            <w:hideMark/>
          </w:tcPr>
          <w:p w14:paraId="2D9E6207"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1 (0.4)</w:t>
            </w:r>
          </w:p>
        </w:tc>
        <w:tc>
          <w:tcPr>
            <w:tcW w:w="1559" w:type="dxa"/>
            <w:hideMark/>
          </w:tcPr>
          <w:p w14:paraId="302362DD"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4 (1.4)</w:t>
            </w:r>
          </w:p>
        </w:tc>
        <w:tc>
          <w:tcPr>
            <w:tcW w:w="1567" w:type="dxa"/>
            <w:hideMark/>
          </w:tcPr>
          <w:p w14:paraId="5894743A"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r>
      <w:tr w:rsidR="00E0683A" w:rsidRPr="00E0683A" w14:paraId="29C985B7"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587DDDA0" w14:textId="6B1AF6EB" w:rsidR="00E0683A" w:rsidRPr="005F314A" w:rsidRDefault="00E0683A" w:rsidP="005F314A">
            <w:pPr>
              <w:ind w:left="0"/>
              <w:rPr>
                <w:sz w:val="20"/>
                <w:szCs w:val="20"/>
                <w:lang w:val="en-US"/>
              </w:rPr>
            </w:pPr>
            <w:r w:rsidRPr="005F314A">
              <w:rPr>
                <w:sz w:val="20"/>
                <w:szCs w:val="20"/>
                <w:lang w:val="en-US"/>
              </w:rPr>
              <w:t>Gastrointestinal perforation</w:t>
            </w:r>
            <w:r w:rsidRPr="005F314A">
              <w:rPr>
                <w:sz w:val="20"/>
                <w:vertAlign w:val="superscript"/>
                <w:lang w:val="en-US"/>
              </w:rPr>
              <w:fldChar w:fldCharType="begin"/>
            </w:r>
            <w:r w:rsidRPr="005F314A">
              <w:rPr>
                <w:sz w:val="20"/>
                <w:szCs w:val="20"/>
                <w:vertAlign w:val="superscript"/>
                <w:lang w:val="en-US"/>
              </w:rPr>
              <w:instrText xml:space="preserve"> REF _Ref170906896 \r \h  \* MERGEFORMAT </w:instrText>
            </w:r>
            <w:r w:rsidRPr="005F314A">
              <w:rPr>
                <w:sz w:val="20"/>
                <w:vertAlign w:val="superscript"/>
                <w:lang w:val="en-US"/>
              </w:rPr>
            </w:r>
            <w:r w:rsidRPr="005F314A">
              <w:rPr>
                <w:sz w:val="20"/>
                <w:vertAlign w:val="superscript"/>
                <w:lang w:val="en-US"/>
              </w:rPr>
              <w:fldChar w:fldCharType="separate"/>
            </w:r>
            <w:r w:rsidR="00A407E4">
              <w:rPr>
                <w:sz w:val="20"/>
                <w:szCs w:val="20"/>
                <w:vertAlign w:val="superscript"/>
                <w:lang w:val="en-US"/>
              </w:rPr>
              <w:t>0</w:t>
            </w:r>
            <w:r w:rsidRPr="005F314A">
              <w:rPr>
                <w:sz w:val="20"/>
              </w:rPr>
              <w:fldChar w:fldCharType="end"/>
            </w:r>
            <w:r w:rsidRPr="005F314A">
              <w:rPr>
                <w:sz w:val="20"/>
                <w:szCs w:val="20"/>
                <w:lang w:val="en-US"/>
              </w:rPr>
              <w:t xml:space="preserve"> </w:t>
            </w:r>
          </w:p>
        </w:tc>
        <w:tc>
          <w:tcPr>
            <w:tcW w:w="1560" w:type="dxa"/>
            <w:hideMark/>
          </w:tcPr>
          <w:p w14:paraId="6FAC1552"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2 (0.4)</w:t>
            </w:r>
          </w:p>
        </w:tc>
        <w:tc>
          <w:tcPr>
            <w:tcW w:w="1559" w:type="dxa"/>
            <w:hideMark/>
          </w:tcPr>
          <w:p w14:paraId="37BACE98"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149474F6"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67" w:type="dxa"/>
            <w:hideMark/>
          </w:tcPr>
          <w:p w14:paraId="1E57CFBF"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r>
      <w:tr w:rsidR="00E0683A" w:rsidRPr="00E0683A" w14:paraId="2EEC2A85"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331B8137" w14:textId="77777777" w:rsidR="00E0683A" w:rsidRPr="005F314A" w:rsidRDefault="00E0683A" w:rsidP="005F314A">
            <w:pPr>
              <w:ind w:left="0"/>
              <w:rPr>
                <w:sz w:val="20"/>
                <w:szCs w:val="20"/>
                <w:lang w:val="en-US"/>
              </w:rPr>
            </w:pPr>
            <w:r w:rsidRPr="005F314A">
              <w:rPr>
                <w:sz w:val="20"/>
                <w:szCs w:val="20"/>
                <w:lang w:val="en-US"/>
              </w:rPr>
              <w:t>Pulmonary embolism</w:t>
            </w:r>
          </w:p>
        </w:tc>
        <w:tc>
          <w:tcPr>
            <w:tcW w:w="1560" w:type="dxa"/>
            <w:hideMark/>
          </w:tcPr>
          <w:p w14:paraId="4138FC9D"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1 (0.2)</w:t>
            </w:r>
          </w:p>
        </w:tc>
        <w:tc>
          <w:tcPr>
            <w:tcW w:w="1559" w:type="dxa"/>
            <w:hideMark/>
          </w:tcPr>
          <w:p w14:paraId="423FE083"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2794D463"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67" w:type="dxa"/>
            <w:hideMark/>
          </w:tcPr>
          <w:p w14:paraId="13A4A8CB"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r>
      <w:tr w:rsidR="00E0683A" w:rsidRPr="00E0683A" w14:paraId="14EF33C3"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352801B1" w14:textId="2A4FC01E" w:rsidR="00E0683A" w:rsidRPr="005F314A" w:rsidRDefault="00E0683A" w:rsidP="005F314A">
            <w:pPr>
              <w:ind w:left="0"/>
              <w:rPr>
                <w:sz w:val="20"/>
                <w:szCs w:val="20"/>
                <w:lang w:val="en-US"/>
              </w:rPr>
            </w:pPr>
            <w:r w:rsidRPr="005F314A">
              <w:rPr>
                <w:sz w:val="20"/>
                <w:szCs w:val="20"/>
                <w:lang w:val="en-US"/>
              </w:rPr>
              <w:t>Haemorrhage</w:t>
            </w:r>
            <w:r w:rsidRPr="005F314A">
              <w:rPr>
                <w:sz w:val="20"/>
                <w:vertAlign w:val="superscript"/>
                <w:lang w:val="en-US"/>
              </w:rPr>
              <w:fldChar w:fldCharType="begin"/>
            </w:r>
            <w:r w:rsidRPr="005F314A">
              <w:rPr>
                <w:sz w:val="20"/>
                <w:szCs w:val="20"/>
                <w:vertAlign w:val="superscript"/>
                <w:lang w:val="en-US"/>
              </w:rPr>
              <w:instrText xml:space="preserve"> REF _Ref170906901 \r \h  \* MERGEFORMAT </w:instrText>
            </w:r>
            <w:r w:rsidRPr="005F314A">
              <w:rPr>
                <w:sz w:val="20"/>
                <w:vertAlign w:val="superscript"/>
                <w:lang w:val="en-US"/>
              </w:rPr>
            </w:r>
            <w:r w:rsidRPr="005F314A">
              <w:rPr>
                <w:sz w:val="20"/>
                <w:vertAlign w:val="superscript"/>
                <w:lang w:val="en-US"/>
              </w:rPr>
              <w:fldChar w:fldCharType="separate"/>
            </w:r>
            <w:r w:rsidR="00A407E4">
              <w:rPr>
                <w:sz w:val="20"/>
                <w:szCs w:val="20"/>
                <w:vertAlign w:val="superscript"/>
                <w:lang w:val="en-US"/>
              </w:rPr>
              <w:t>0</w:t>
            </w:r>
            <w:r w:rsidRPr="005F314A">
              <w:rPr>
                <w:sz w:val="20"/>
              </w:rPr>
              <w:fldChar w:fldCharType="end"/>
            </w:r>
          </w:p>
        </w:tc>
        <w:tc>
          <w:tcPr>
            <w:tcW w:w="1560" w:type="dxa"/>
            <w:hideMark/>
          </w:tcPr>
          <w:p w14:paraId="5AD5A0D1"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508750A2"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722D4777"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2 (0.7)</w:t>
            </w:r>
          </w:p>
        </w:tc>
        <w:tc>
          <w:tcPr>
            <w:tcW w:w="1567" w:type="dxa"/>
            <w:hideMark/>
          </w:tcPr>
          <w:p w14:paraId="4E1BA0A8"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r>
      <w:tr w:rsidR="00E0683A" w:rsidRPr="00E0683A" w14:paraId="1E8F1E98"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37A17471" w14:textId="77777777" w:rsidR="00E0683A" w:rsidRPr="005F314A" w:rsidRDefault="00E0683A" w:rsidP="005F314A">
            <w:pPr>
              <w:ind w:left="0"/>
              <w:rPr>
                <w:sz w:val="20"/>
                <w:szCs w:val="20"/>
                <w:lang w:val="en-US"/>
              </w:rPr>
            </w:pPr>
            <w:r w:rsidRPr="005F314A">
              <w:rPr>
                <w:sz w:val="20"/>
                <w:szCs w:val="20"/>
                <w:lang w:val="en-US"/>
              </w:rPr>
              <w:t>Cerebral infarction</w:t>
            </w:r>
          </w:p>
        </w:tc>
        <w:tc>
          <w:tcPr>
            <w:tcW w:w="1560" w:type="dxa"/>
            <w:hideMark/>
          </w:tcPr>
          <w:p w14:paraId="47FCDA28"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4A4A18D5"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17A7773A"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1 (0.4)</w:t>
            </w:r>
          </w:p>
        </w:tc>
        <w:tc>
          <w:tcPr>
            <w:tcW w:w="1567" w:type="dxa"/>
            <w:hideMark/>
          </w:tcPr>
          <w:p w14:paraId="0E95A95D"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r>
      <w:tr w:rsidR="00E0683A" w:rsidRPr="00E0683A" w14:paraId="56CA04C3"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73955D78" w14:textId="77777777" w:rsidR="00E0683A" w:rsidRPr="005F314A" w:rsidRDefault="00E0683A" w:rsidP="005F314A">
            <w:pPr>
              <w:ind w:left="0"/>
              <w:rPr>
                <w:sz w:val="20"/>
                <w:szCs w:val="20"/>
                <w:lang w:val="en-US"/>
              </w:rPr>
            </w:pPr>
            <w:r w:rsidRPr="005F314A">
              <w:rPr>
                <w:sz w:val="20"/>
                <w:szCs w:val="20"/>
                <w:lang w:val="en-US"/>
              </w:rPr>
              <w:t>Sudden death/death of unknown cause/suspected PE</w:t>
            </w:r>
          </w:p>
        </w:tc>
        <w:tc>
          <w:tcPr>
            <w:tcW w:w="1560" w:type="dxa"/>
            <w:hideMark/>
          </w:tcPr>
          <w:p w14:paraId="442FC3E6"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777B1968"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2 (0.9)</w:t>
            </w:r>
          </w:p>
        </w:tc>
        <w:tc>
          <w:tcPr>
            <w:tcW w:w="1559" w:type="dxa"/>
            <w:hideMark/>
          </w:tcPr>
          <w:p w14:paraId="488A963A"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1 (0.4)</w:t>
            </w:r>
          </w:p>
        </w:tc>
        <w:tc>
          <w:tcPr>
            <w:tcW w:w="1567" w:type="dxa"/>
            <w:hideMark/>
          </w:tcPr>
          <w:p w14:paraId="07B21B32"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2 (1.4)</w:t>
            </w:r>
          </w:p>
        </w:tc>
      </w:tr>
      <w:tr w:rsidR="00E0683A" w:rsidRPr="00E0683A" w14:paraId="2B020ACC"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1F257E24" w14:textId="77777777" w:rsidR="00E0683A" w:rsidRPr="005F314A" w:rsidRDefault="00E0683A" w:rsidP="005F314A">
            <w:pPr>
              <w:ind w:left="0"/>
              <w:rPr>
                <w:sz w:val="20"/>
                <w:szCs w:val="20"/>
                <w:lang w:val="en-US"/>
              </w:rPr>
            </w:pPr>
            <w:r w:rsidRPr="005F314A">
              <w:rPr>
                <w:sz w:val="20"/>
                <w:szCs w:val="20"/>
                <w:lang w:val="en-US"/>
              </w:rPr>
              <w:t>Multiple organ dysfunction syndrome</w:t>
            </w:r>
          </w:p>
        </w:tc>
        <w:tc>
          <w:tcPr>
            <w:tcW w:w="1560" w:type="dxa"/>
            <w:hideMark/>
          </w:tcPr>
          <w:p w14:paraId="7C64E19F"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453099F5"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1 (0.4)</w:t>
            </w:r>
          </w:p>
        </w:tc>
        <w:tc>
          <w:tcPr>
            <w:tcW w:w="1559" w:type="dxa"/>
            <w:hideMark/>
          </w:tcPr>
          <w:p w14:paraId="748F15F5"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67" w:type="dxa"/>
            <w:hideMark/>
          </w:tcPr>
          <w:p w14:paraId="304A3C8F"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r>
      <w:tr w:rsidR="00E0683A" w:rsidRPr="00E0683A" w14:paraId="1D530471" w14:textId="77777777" w:rsidTr="005F314A">
        <w:trPr>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08650D94" w14:textId="77777777" w:rsidR="00E0683A" w:rsidRPr="005F314A" w:rsidRDefault="00E0683A" w:rsidP="005F314A">
            <w:pPr>
              <w:ind w:left="0"/>
              <w:rPr>
                <w:sz w:val="20"/>
                <w:szCs w:val="20"/>
                <w:lang w:val="en-US"/>
              </w:rPr>
            </w:pPr>
            <w:r w:rsidRPr="005F314A">
              <w:rPr>
                <w:sz w:val="20"/>
                <w:szCs w:val="20"/>
                <w:lang w:val="en-US"/>
              </w:rPr>
              <w:t>Pneumonitis/ILD</w:t>
            </w:r>
          </w:p>
        </w:tc>
        <w:tc>
          <w:tcPr>
            <w:tcW w:w="1560" w:type="dxa"/>
            <w:hideMark/>
          </w:tcPr>
          <w:p w14:paraId="27C69599"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59" w:type="dxa"/>
            <w:hideMark/>
          </w:tcPr>
          <w:p w14:paraId="0865D638"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1 (0.4)</w:t>
            </w:r>
          </w:p>
        </w:tc>
        <w:tc>
          <w:tcPr>
            <w:tcW w:w="1559" w:type="dxa"/>
            <w:hideMark/>
          </w:tcPr>
          <w:p w14:paraId="45D7C855"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c>
          <w:tcPr>
            <w:tcW w:w="1567" w:type="dxa"/>
            <w:hideMark/>
          </w:tcPr>
          <w:p w14:paraId="022D423E" w14:textId="77777777" w:rsidR="00E0683A" w:rsidRPr="005F314A" w:rsidRDefault="00E0683A" w:rsidP="005F31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F314A">
              <w:rPr>
                <w:sz w:val="20"/>
                <w:szCs w:val="20"/>
                <w:lang w:val="en-US"/>
              </w:rPr>
              <w:t>0</w:t>
            </w:r>
          </w:p>
        </w:tc>
      </w:tr>
    </w:tbl>
    <w:p w14:paraId="23B056B1" w14:textId="6E95474F" w:rsidR="00BE74B5" w:rsidRDefault="009E5555" w:rsidP="009E5555">
      <w:pPr>
        <w:pStyle w:val="TableDescription"/>
        <w:rPr>
          <w:rFonts w:ascii="Calibri" w:hAnsi="Calibri"/>
          <w:sz w:val="19"/>
        </w:rPr>
      </w:pPr>
      <w:bookmarkStart w:id="84" w:name="_Ref170810522"/>
      <w:bookmarkStart w:id="85" w:name="_Ref170906889"/>
      <w:r w:rsidRPr="009E5555">
        <w:rPr>
          <w:vertAlign w:val="superscript"/>
        </w:rPr>
        <w:t>1</w:t>
      </w:r>
      <w:r>
        <w:t xml:space="preserve"> </w:t>
      </w:r>
      <w:r w:rsidR="00BE74B5">
        <w:t xml:space="preserve">Infection is a composite term of </w:t>
      </w:r>
      <w:bookmarkEnd w:id="84"/>
      <w:r w:rsidR="00BE74B5">
        <w:t>pneumonia, bacterial infection, COVID-19, and septic shock.</w:t>
      </w:r>
      <w:bookmarkEnd w:id="85"/>
    </w:p>
    <w:p w14:paraId="3EFA78FA" w14:textId="0B497A99" w:rsidR="00BE74B5" w:rsidRDefault="009E5555" w:rsidP="009E5555">
      <w:pPr>
        <w:pStyle w:val="TableDescription"/>
      </w:pPr>
      <w:bookmarkStart w:id="86" w:name="_Ref170906896"/>
      <w:r w:rsidRPr="009E5555">
        <w:rPr>
          <w:vertAlign w:val="superscript"/>
        </w:rPr>
        <w:t>2</w:t>
      </w:r>
      <w:r>
        <w:t xml:space="preserve"> </w:t>
      </w:r>
      <w:r w:rsidR="00BE74B5">
        <w:t>Gastrointestinal perforation is a composite term of intestinal perforation and gastric perforation</w:t>
      </w:r>
      <w:bookmarkEnd w:id="86"/>
      <w:r w:rsidR="001829B7">
        <w:t>.</w:t>
      </w:r>
    </w:p>
    <w:p w14:paraId="29FFDCE6" w14:textId="49910969" w:rsidR="00BE74B5" w:rsidRDefault="009E5555" w:rsidP="009E5555">
      <w:pPr>
        <w:pStyle w:val="TableDescription"/>
      </w:pPr>
      <w:bookmarkStart w:id="87" w:name="_Ref170906901"/>
      <w:r w:rsidRPr="009E5555">
        <w:rPr>
          <w:vertAlign w:val="superscript"/>
        </w:rPr>
        <w:t>3</w:t>
      </w:r>
      <w:r>
        <w:t xml:space="preserve"> </w:t>
      </w:r>
      <w:r w:rsidR="00BE74B5">
        <w:t>Haemorrhage is a composite term of gastrointestinal haemorrhage and haemoptysis</w:t>
      </w:r>
      <w:bookmarkEnd w:id="87"/>
      <w:r w:rsidR="00BE74B5">
        <w:t>.</w:t>
      </w:r>
    </w:p>
    <w:p w14:paraId="681F1DB9" w14:textId="3BB18AA6" w:rsidR="00E0683A" w:rsidRPr="001829B7" w:rsidRDefault="00E0683A" w:rsidP="001829B7">
      <w:r w:rsidRPr="001829B7">
        <w:t xml:space="preserve">The most common serious adverse events across the two </w:t>
      </w:r>
      <w:r w:rsidR="001829B7">
        <w:t>P</w:t>
      </w:r>
      <w:r w:rsidRPr="001829B7">
        <w:t xml:space="preserve">hase </w:t>
      </w:r>
      <w:r w:rsidR="001829B7">
        <w:t>III</w:t>
      </w:r>
      <w:r w:rsidRPr="001829B7">
        <w:t xml:space="preserve"> studies are summarised in </w:t>
      </w:r>
      <w:r w:rsidRPr="001829B7">
        <w:fldChar w:fldCharType="begin"/>
      </w:r>
      <w:r w:rsidRPr="001829B7">
        <w:instrText xml:space="preserve"> REF _Ref170917637 \h </w:instrText>
      </w:r>
      <w:r w:rsidR="001829B7">
        <w:instrText xml:space="preserve"> \* MERGEFORMAT </w:instrText>
      </w:r>
      <w:r w:rsidRPr="001829B7">
        <w:fldChar w:fldCharType="separate"/>
      </w:r>
      <w:r w:rsidR="00A407E4" w:rsidRPr="001829B7">
        <w:t xml:space="preserve">Table </w:t>
      </w:r>
      <w:r w:rsidR="00A407E4">
        <w:t>10</w:t>
      </w:r>
      <w:r w:rsidRPr="001829B7">
        <w:fldChar w:fldCharType="end"/>
      </w:r>
      <w:r w:rsidRPr="001829B7">
        <w:t>.</w:t>
      </w:r>
    </w:p>
    <w:p w14:paraId="0CC4203F" w14:textId="66727D3E" w:rsidR="00E0683A" w:rsidRPr="001829B7" w:rsidRDefault="00E0683A" w:rsidP="001829B7">
      <w:pPr>
        <w:pStyle w:val="TableTitle"/>
      </w:pPr>
      <w:bookmarkStart w:id="88" w:name="_Ref170917637"/>
      <w:r w:rsidRPr="001829B7">
        <w:lastRenderedPageBreak/>
        <w:t xml:space="preserve">Table </w:t>
      </w:r>
      <w:r w:rsidRPr="001829B7">
        <w:fldChar w:fldCharType="begin"/>
      </w:r>
      <w:r w:rsidRPr="001829B7">
        <w:instrText xml:space="preserve"> SEQ Table \* ARABIC </w:instrText>
      </w:r>
      <w:r w:rsidRPr="001829B7">
        <w:fldChar w:fldCharType="separate"/>
      </w:r>
      <w:r w:rsidR="00A407E4">
        <w:rPr>
          <w:noProof/>
        </w:rPr>
        <w:t>10</w:t>
      </w:r>
      <w:r w:rsidRPr="001829B7">
        <w:fldChar w:fldCharType="end"/>
      </w:r>
      <w:bookmarkEnd w:id="88"/>
      <w:r w:rsidR="001829B7">
        <w:t xml:space="preserve">: </w:t>
      </w:r>
      <w:r w:rsidRPr="001829B7">
        <w:t xml:space="preserve">Serious adverse events that occurred in at least 5 patients who received </w:t>
      </w:r>
      <w:proofErr w:type="spellStart"/>
      <w:r w:rsidRPr="001829B7">
        <w:t>fruquintinib</w:t>
      </w:r>
      <w:proofErr w:type="spellEnd"/>
      <w:r w:rsidRPr="001829B7">
        <w:t xml:space="preserve"> in FRESCO-2 (1% of the investigational arm), or FRESCO (2% of the investigational arm)</w:t>
      </w:r>
    </w:p>
    <w:tbl>
      <w:tblPr>
        <w:tblStyle w:val="TableTGAblue2023"/>
        <w:tblW w:w="9075" w:type="dxa"/>
        <w:tblLayout w:type="fixed"/>
        <w:tblLook w:val="01E0" w:firstRow="1" w:lastRow="1" w:firstColumn="1" w:lastColumn="1" w:noHBand="0" w:noVBand="0"/>
      </w:tblPr>
      <w:tblGrid>
        <w:gridCol w:w="2689"/>
        <w:gridCol w:w="1559"/>
        <w:gridCol w:w="1559"/>
        <w:gridCol w:w="1559"/>
        <w:gridCol w:w="1709"/>
      </w:tblGrid>
      <w:tr w:rsidR="00E0683A" w:rsidRPr="00E0683A" w14:paraId="0E672529" w14:textId="77777777" w:rsidTr="001829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Pr>
          <w:p w14:paraId="5B15C2CA" w14:textId="77777777" w:rsidR="00E0683A" w:rsidRPr="001829B7" w:rsidRDefault="00E0683A" w:rsidP="001829B7">
            <w:pPr>
              <w:ind w:left="0"/>
              <w:rPr>
                <w:sz w:val="20"/>
                <w:szCs w:val="20"/>
                <w:lang w:val="en-US"/>
              </w:rPr>
            </w:pPr>
          </w:p>
        </w:tc>
        <w:tc>
          <w:tcPr>
            <w:tcW w:w="3118" w:type="dxa"/>
            <w:gridSpan w:val="2"/>
            <w:hideMark/>
          </w:tcPr>
          <w:p w14:paraId="6CDE982C" w14:textId="77777777" w:rsidR="00E0683A" w:rsidRPr="001829B7" w:rsidRDefault="00E0683A" w:rsidP="001829B7">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1829B7">
              <w:rPr>
                <w:sz w:val="20"/>
                <w:szCs w:val="20"/>
                <w:lang w:val="en-US"/>
              </w:rPr>
              <w:t>FRESCO-2</w:t>
            </w:r>
          </w:p>
        </w:tc>
        <w:tc>
          <w:tcPr>
            <w:tcW w:w="3268" w:type="dxa"/>
            <w:gridSpan w:val="2"/>
            <w:hideMark/>
          </w:tcPr>
          <w:p w14:paraId="3280B331" w14:textId="77777777" w:rsidR="00E0683A" w:rsidRPr="001829B7" w:rsidRDefault="00E0683A" w:rsidP="001829B7">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1829B7">
              <w:rPr>
                <w:sz w:val="20"/>
                <w:szCs w:val="20"/>
                <w:lang w:val="en-US"/>
              </w:rPr>
              <w:t>FRESCO</w:t>
            </w:r>
          </w:p>
        </w:tc>
      </w:tr>
      <w:tr w:rsidR="00E0683A" w:rsidRPr="00E0683A" w14:paraId="5A387B3E" w14:textId="77777777" w:rsidTr="00A5421A">
        <w:trPr>
          <w:trHeight w:val="20"/>
        </w:trPr>
        <w:tc>
          <w:tcPr>
            <w:cnfStyle w:val="001000000000" w:firstRow="0" w:lastRow="0" w:firstColumn="1" w:lastColumn="0" w:oddVBand="0" w:evenVBand="0" w:oddHBand="0" w:evenHBand="0" w:firstRowFirstColumn="0" w:firstRowLastColumn="0" w:lastRowFirstColumn="0" w:lastRowLastColumn="0"/>
            <w:tcW w:w="2689" w:type="dxa"/>
            <w:shd w:val="clear" w:color="auto" w:fill="DEEAF6" w:themeFill="accent5" w:themeFillTint="33"/>
          </w:tcPr>
          <w:p w14:paraId="26095EE0" w14:textId="77777777" w:rsidR="00E0683A" w:rsidRPr="001829B7" w:rsidRDefault="00E0683A" w:rsidP="001829B7">
            <w:pPr>
              <w:ind w:left="0"/>
              <w:rPr>
                <w:sz w:val="20"/>
                <w:szCs w:val="20"/>
                <w:lang w:val="en-US"/>
              </w:rPr>
            </w:pPr>
          </w:p>
        </w:tc>
        <w:tc>
          <w:tcPr>
            <w:tcW w:w="1559" w:type="dxa"/>
            <w:shd w:val="clear" w:color="auto" w:fill="DEEAF6" w:themeFill="accent5" w:themeFillTint="33"/>
            <w:hideMark/>
          </w:tcPr>
          <w:p w14:paraId="50898E11" w14:textId="77777777" w:rsidR="00E0683A" w:rsidRPr="00A5421A" w:rsidRDefault="00E0683A" w:rsidP="001829B7">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 xml:space="preserve">Fruquintinib + BSC </w:t>
            </w:r>
          </w:p>
          <w:p w14:paraId="481C0215" w14:textId="338EFE40" w:rsidR="00E0683A" w:rsidRPr="00A5421A" w:rsidRDefault="00E0683A" w:rsidP="001829B7">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N</w:t>
            </w:r>
            <w:r w:rsidR="001829B7" w:rsidRPr="00A5421A">
              <w:rPr>
                <w:b/>
                <w:color w:val="263287"/>
                <w:sz w:val="20"/>
                <w:szCs w:val="20"/>
                <w:lang w:val="en-US"/>
              </w:rPr>
              <w:t xml:space="preserve"> </w:t>
            </w:r>
            <w:r w:rsidRPr="00A5421A">
              <w:rPr>
                <w:b/>
                <w:color w:val="263287"/>
                <w:sz w:val="20"/>
                <w:szCs w:val="20"/>
                <w:lang w:val="en-US"/>
              </w:rPr>
              <w:t>=</w:t>
            </w:r>
            <w:r w:rsidR="001829B7" w:rsidRPr="00A5421A">
              <w:rPr>
                <w:b/>
                <w:color w:val="263287"/>
                <w:sz w:val="20"/>
                <w:szCs w:val="20"/>
                <w:lang w:val="en-US"/>
              </w:rPr>
              <w:t xml:space="preserve"> </w:t>
            </w:r>
            <w:r w:rsidRPr="00A5421A">
              <w:rPr>
                <w:b/>
                <w:color w:val="263287"/>
                <w:sz w:val="20"/>
                <w:szCs w:val="20"/>
                <w:lang w:val="en-US"/>
              </w:rPr>
              <w:t>456; n (%)</w:t>
            </w:r>
          </w:p>
        </w:tc>
        <w:tc>
          <w:tcPr>
            <w:tcW w:w="1559" w:type="dxa"/>
            <w:shd w:val="clear" w:color="auto" w:fill="DEEAF6" w:themeFill="accent5" w:themeFillTint="33"/>
            <w:hideMark/>
          </w:tcPr>
          <w:p w14:paraId="7588CCA6" w14:textId="77777777" w:rsidR="00E0683A" w:rsidRPr="00A5421A" w:rsidRDefault="00E0683A" w:rsidP="001829B7">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 xml:space="preserve">Placebo + BSC </w:t>
            </w:r>
          </w:p>
          <w:p w14:paraId="1C1FE129" w14:textId="45F207CA" w:rsidR="00E0683A" w:rsidRPr="00A5421A" w:rsidRDefault="00E0683A" w:rsidP="001829B7">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N</w:t>
            </w:r>
            <w:r w:rsidR="001829B7" w:rsidRPr="00A5421A">
              <w:rPr>
                <w:b/>
                <w:color w:val="263287"/>
                <w:sz w:val="20"/>
                <w:szCs w:val="20"/>
                <w:lang w:val="en-US"/>
              </w:rPr>
              <w:t xml:space="preserve"> </w:t>
            </w:r>
            <w:r w:rsidRPr="00A5421A">
              <w:rPr>
                <w:b/>
                <w:color w:val="263287"/>
                <w:sz w:val="20"/>
                <w:szCs w:val="20"/>
                <w:lang w:val="en-US"/>
              </w:rPr>
              <w:t>=</w:t>
            </w:r>
            <w:r w:rsidR="001829B7" w:rsidRPr="00A5421A">
              <w:rPr>
                <w:b/>
                <w:color w:val="263287"/>
                <w:sz w:val="20"/>
                <w:szCs w:val="20"/>
                <w:lang w:val="en-US"/>
              </w:rPr>
              <w:t xml:space="preserve"> </w:t>
            </w:r>
            <w:r w:rsidRPr="00A5421A">
              <w:rPr>
                <w:b/>
                <w:color w:val="263287"/>
                <w:sz w:val="20"/>
                <w:szCs w:val="20"/>
                <w:lang w:val="en-US"/>
              </w:rPr>
              <w:t>230; n (%)</w:t>
            </w:r>
          </w:p>
        </w:tc>
        <w:tc>
          <w:tcPr>
            <w:tcW w:w="1559" w:type="dxa"/>
            <w:shd w:val="clear" w:color="auto" w:fill="DEEAF6" w:themeFill="accent5" w:themeFillTint="33"/>
            <w:hideMark/>
          </w:tcPr>
          <w:p w14:paraId="0E0DA841" w14:textId="77777777" w:rsidR="00E0683A" w:rsidRPr="00A5421A" w:rsidRDefault="00E0683A" w:rsidP="001829B7">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 xml:space="preserve">Fruquintinib + BSC </w:t>
            </w:r>
          </w:p>
          <w:p w14:paraId="3CFC8E98" w14:textId="6C100707" w:rsidR="00E0683A" w:rsidRPr="00A5421A" w:rsidRDefault="00E0683A" w:rsidP="001829B7">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N</w:t>
            </w:r>
            <w:r w:rsidR="001829B7" w:rsidRPr="00A5421A">
              <w:rPr>
                <w:b/>
                <w:color w:val="263287"/>
                <w:sz w:val="20"/>
                <w:szCs w:val="20"/>
                <w:lang w:val="en-US"/>
              </w:rPr>
              <w:t xml:space="preserve"> </w:t>
            </w:r>
            <w:r w:rsidRPr="00A5421A">
              <w:rPr>
                <w:b/>
                <w:color w:val="263287"/>
                <w:sz w:val="20"/>
                <w:szCs w:val="20"/>
                <w:lang w:val="en-US"/>
              </w:rPr>
              <w:t>=</w:t>
            </w:r>
            <w:r w:rsidR="001829B7" w:rsidRPr="00A5421A">
              <w:rPr>
                <w:b/>
                <w:color w:val="263287"/>
                <w:sz w:val="20"/>
                <w:szCs w:val="20"/>
                <w:lang w:val="en-US"/>
              </w:rPr>
              <w:t xml:space="preserve"> </w:t>
            </w:r>
            <w:r w:rsidRPr="00A5421A">
              <w:rPr>
                <w:b/>
                <w:color w:val="263287"/>
                <w:sz w:val="20"/>
                <w:szCs w:val="20"/>
                <w:lang w:val="en-US"/>
              </w:rPr>
              <w:t>278; n (%)</w:t>
            </w:r>
            <w:r w:rsidRPr="00A5421A">
              <w:rPr>
                <w:b/>
                <w:color w:val="263287"/>
                <w:sz w:val="20"/>
                <w:szCs w:val="20"/>
                <w:lang w:val="en-US"/>
              </w:rPr>
              <w:tab/>
            </w:r>
          </w:p>
        </w:tc>
        <w:tc>
          <w:tcPr>
            <w:tcW w:w="1709" w:type="dxa"/>
            <w:shd w:val="clear" w:color="auto" w:fill="DEEAF6" w:themeFill="accent5" w:themeFillTint="33"/>
            <w:hideMark/>
          </w:tcPr>
          <w:p w14:paraId="3FF733E9" w14:textId="77777777" w:rsidR="00E0683A" w:rsidRPr="00A5421A" w:rsidRDefault="00E0683A" w:rsidP="001829B7">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 xml:space="preserve">Placebo + BSC </w:t>
            </w:r>
          </w:p>
          <w:p w14:paraId="098F518E" w14:textId="69AD04A6" w:rsidR="00E0683A" w:rsidRPr="00A5421A" w:rsidRDefault="00E0683A" w:rsidP="001829B7">
            <w:pPr>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A5421A">
              <w:rPr>
                <w:b/>
                <w:color w:val="263287"/>
                <w:sz w:val="20"/>
                <w:szCs w:val="20"/>
                <w:lang w:val="en-US"/>
              </w:rPr>
              <w:t>N</w:t>
            </w:r>
            <w:r w:rsidR="001829B7" w:rsidRPr="00A5421A">
              <w:rPr>
                <w:b/>
                <w:color w:val="263287"/>
                <w:sz w:val="20"/>
                <w:szCs w:val="20"/>
                <w:lang w:val="en-US"/>
              </w:rPr>
              <w:t xml:space="preserve"> </w:t>
            </w:r>
            <w:r w:rsidRPr="00A5421A">
              <w:rPr>
                <w:b/>
                <w:color w:val="263287"/>
                <w:sz w:val="20"/>
                <w:szCs w:val="20"/>
                <w:lang w:val="en-US"/>
              </w:rPr>
              <w:t>=</w:t>
            </w:r>
            <w:r w:rsidR="001829B7" w:rsidRPr="00A5421A">
              <w:rPr>
                <w:b/>
                <w:color w:val="263287"/>
                <w:sz w:val="20"/>
                <w:szCs w:val="20"/>
                <w:lang w:val="en-US"/>
              </w:rPr>
              <w:t xml:space="preserve"> </w:t>
            </w:r>
            <w:r w:rsidRPr="00A5421A">
              <w:rPr>
                <w:b/>
                <w:color w:val="263287"/>
                <w:sz w:val="20"/>
                <w:szCs w:val="20"/>
                <w:lang w:val="en-US"/>
              </w:rPr>
              <w:t>137; n (%)</w:t>
            </w:r>
          </w:p>
        </w:tc>
      </w:tr>
      <w:tr w:rsidR="00E0683A" w:rsidRPr="00E0683A" w14:paraId="34F53939"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43DCDE61" w14:textId="77777777" w:rsidR="00E0683A" w:rsidRPr="001829B7" w:rsidRDefault="00E0683A" w:rsidP="001829B7">
            <w:pPr>
              <w:ind w:left="0"/>
              <w:rPr>
                <w:b/>
                <w:bCs/>
                <w:sz w:val="20"/>
                <w:szCs w:val="20"/>
                <w:lang w:val="en-US"/>
              </w:rPr>
            </w:pPr>
            <w:r w:rsidRPr="001829B7">
              <w:rPr>
                <w:b/>
                <w:bCs/>
                <w:sz w:val="20"/>
                <w:szCs w:val="20"/>
                <w:lang w:val="en-US"/>
              </w:rPr>
              <w:t>TOTAL</w:t>
            </w:r>
          </w:p>
        </w:tc>
        <w:tc>
          <w:tcPr>
            <w:tcW w:w="1559" w:type="dxa"/>
            <w:hideMark/>
          </w:tcPr>
          <w:p w14:paraId="0B4BF573"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829B7">
              <w:rPr>
                <w:b/>
                <w:bCs/>
                <w:sz w:val="20"/>
                <w:szCs w:val="20"/>
              </w:rPr>
              <w:t xml:space="preserve">157 (34) </w:t>
            </w:r>
          </w:p>
        </w:tc>
        <w:tc>
          <w:tcPr>
            <w:tcW w:w="1559" w:type="dxa"/>
            <w:hideMark/>
          </w:tcPr>
          <w:p w14:paraId="7C13F7D1"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b/>
                <w:bCs/>
                <w:sz w:val="20"/>
                <w:szCs w:val="20"/>
                <w:lang w:val="en-US"/>
              </w:rPr>
            </w:pPr>
            <w:r w:rsidRPr="001829B7">
              <w:rPr>
                <w:b/>
                <w:bCs/>
                <w:sz w:val="20"/>
                <w:szCs w:val="20"/>
              </w:rPr>
              <w:t xml:space="preserve">76 (33) </w:t>
            </w:r>
          </w:p>
        </w:tc>
        <w:tc>
          <w:tcPr>
            <w:tcW w:w="1559" w:type="dxa"/>
            <w:hideMark/>
          </w:tcPr>
          <w:p w14:paraId="2517123A"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b/>
                <w:bCs/>
                <w:sz w:val="20"/>
                <w:szCs w:val="20"/>
              </w:rPr>
            </w:pPr>
            <w:r w:rsidRPr="001829B7">
              <w:rPr>
                <w:b/>
                <w:bCs/>
                <w:sz w:val="20"/>
                <w:szCs w:val="20"/>
              </w:rPr>
              <w:t>43 (15)</w:t>
            </w:r>
          </w:p>
        </w:tc>
        <w:tc>
          <w:tcPr>
            <w:tcW w:w="1709" w:type="dxa"/>
            <w:hideMark/>
          </w:tcPr>
          <w:p w14:paraId="0122F3F2"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b/>
                <w:bCs/>
                <w:sz w:val="20"/>
                <w:szCs w:val="20"/>
              </w:rPr>
            </w:pPr>
            <w:r w:rsidRPr="001829B7">
              <w:rPr>
                <w:b/>
                <w:bCs/>
                <w:sz w:val="20"/>
                <w:szCs w:val="20"/>
              </w:rPr>
              <w:t>7 (5)</w:t>
            </w:r>
          </w:p>
        </w:tc>
      </w:tr>
      <w:tr w:rsidR="00E0683A" w:rsidRPr="00E0683A" w14:paraId="3F9E9065"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3EA0FCED" w14:textId="77777777" w:rsidR="00E0683A" w:rsidRPr="001829B7" w:rsidRDefault="00E0683A" w:rsidP="001829B7">
            <w:pPr>
              <w:ind w:left="0"/>
              <w:rPr>
                <w:sz w:val="20"/>
                <w:szCs w:val="20"/>
                <w:lang w:val="en-US"/>
              </w:rPr>
            </w:pPr>
            <w:r w:rsidRPr="001829B7">
              <w:rPr>
                <w:sz w:val="20"/>
                <w:szCs w:val="20"/>
                <w:lang w:val="en-US"/>
              </w:rPr>
              <w:t>General physical health deterioration</w:t>
            </w:r>
          </w:p>
        </w:tc>
        <w:tc>
          <w:tcPr>
            <w:tcW w:w="1559" w:type="dxa"/>
            <w:hideMark/>
          </w:tcPr>
          <w:p w14:paraId="4113DE6F"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13 (2.9)</w:t>
            </w:r>
          </w:p>
        </w:tc>
        <w:tc>
          <w:tcPr>
            <w:tcW w:w="1559" w:type="dxa"/>
            <w:hideMark/>
          </w:tcPr>
          <w:p w14:paraId="324931AD"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7 (3.0)</w:t>
            </w:r>
          </w:p>
        </w:tc>
        <w:tc>
          <w:tcPr>
            <w:tcW w:w="1559" w:type="dxa"/>
          </w:tcPr>
          <w:p w14:paraId="3D037C29"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49BF0138"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18254999"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41163E5F" w14:textId="77777777" w:rsidR="00E0683A" w:rsidRPr="001829B7" w:rsidRDefault="00E0683A" w:rsidP="001829B7">
            <w:pPr>
              <w:ind w:left="0"/>
              <w:rPr>
                <w:sz w:val="20"/>
                <w:szCs w:val="20"/>
                <w:lang w:val="en-US"/>
              </w:rPr>
            </w:pPr>
            <w:r w:rsidRPr="001829B7">
              <w:rPr>
                <w:sz w:val="20"/>
                <w:szCs w:val="20"/>
                <w:lang w:val="en-US"/>
              </w:rPr>
              <w:t>Hepatotoxicity</w:t>
            </w:r>
            <w:r w:rsidRPr="001829B7">
              <w:rPr>
                <w:sz w:val="20"/>
                <w:szCs w:val="20"/>
                <w:vertAlign w:val="superscript"/>
                <w:lang w:val="en-US"/>
              </w:rPr>
              <w:t>1</w:t>
            </w:r>
          </w:p>
        </w:tc>
        <w:tc>
          <w:tcPr>
            <w:tcW w:w="1559" w:type="dxa"/>
            <w:hideMark/>
          </w:tcPr>
          <w:p w14:paraId="0D638786"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11 (2.4)</w:t>
            </w:r>
          </w:p>
        </w:tc>
        <w:tc>
          <w:tcPr>
            <w:tcW w:w="1559" w:type="dxa"/>
            <w:hideMark/>
          </w:tcPr>
          <w:p w14:paraId="3E52DE52"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6 (2.6)</w:t>
            </w:r>
          </w:p>
        </w:tc>
        <w:tc>
          <w:tcPr>
            <w:tcW w:w="1559" w:type="dxa"/>
          </w:tcPr>
          <w:p w14:paraId="0C27C3F0"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6C9480FD"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49FB74F3"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69852468" w14:textId="77777777" w:rsidR="00E0683A" w:rsidRPr="001829B7" w:rsidRDefault="00E0683A" w:rsidP="001829B7">
            <w:pPr>
              <w:ind w:left="0"/>
              <w:rPr>
                <w:sz w:val="20"/>
                <w:szCs w:val="20"/>
                <w:lang w:val="en-US"/>
              </w:rPr>
            </w:pPr>
            <w:r w:rsidRPr="001829B7">
              <w:rPr>
                <w:sz w:val="20"/>
                <w:szCs w:val="20"/>
                <w:lang w:val="en-US"/>
              </w:rPr>
              <w:t>Pneumonia</w:t>
            </w:r>
            <w:r w:rsidRPr="001829B7">
              <w:rPr>
                <w:sz w:val="20"/>
                <w:szCs w:val="20"/>
                <w:vertAlign w:val="superscript"/>
                <w:lang w:val="en-US"/>
              </w:rPr>
              <w:t>2</w:t>
            </w:r>
          </w:p>
        </w:tc>
        <w:tc>
          <w:tcPr>
            <w:tcW w:w="1559" w:type="dxa"/>
            <w:hideMark/>
          </w:tcPr>
          <w:p w14:paraId="33D2A1F8"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11 (2.4)</w:t>
            </w:r>
          </w:p>
        </w:tc>
        <w:tc>
          <w:tcPr>
            <w:tcW w:w="1559" w:type="dxa"/>
            <w:hideMark/>
          </w:tcPr>
          <w:p w14:paraId="329C680F"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 (0.4)</w:t>
            </w:r>
          </w:p>
        </w:tc>
        <w:tc>
          <w:tcPr>
            <w:tcW w:w="1559" w:type="dxa"/>
          </w:tcPr>
          <w:p w14:paraId="3550CD6F"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77E5E7D3"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448F038A"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4EC26C50" w14:textId="77777777" w:rsidR="00E0683A" w:rsidRPr="001829B7" w:rsidRDefault="00E0683A" w:rsidP="001829B7">
            <w:pPr>
              <w:ind w:left="0"/>
              <w:rPr>
                <w:sz w:val="20"/>
                <w:szCs w:val="20"/>
                <w:lang w:val="en-US"/>
              </w:rPr>
            </w:pPr>
            <w:r w:rsidRPr="001829B7">
              <w:rPr>
                <w:sz w:val="20"/>
                <w:szCs w:val="20"/>
                <w:lang w:val="en-US"/>
              </w:rPr>
              <w:t>Hemorrhage</w:t>
            </w:r>
            <w:r w:rsidRPr="001829B7">
              <w:rPr>
                <w:sz w:val="20"/>
                <w:szCs w:val="20"/>
                <w:vertAlign w:val="superscript"/>
                <w:lang w:val="en-US"/>
              </w:rPr>
              <w:t>3</w:t>
            </w:r>
          </w:p>
        </w:tc>
        <w:tc>
          <w:tcPr>
            <w:tcW w:w="1559" w:type="dxa"/>
            <w:hideMark/>
          </w:tcPr>
          <w:p w14:paraId="13C21155"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10 (2.2)</w:t>
            </w:r>
          </w:p>
        </w:tc>
        <w:tc>
          <w:tcPr>
            <w:tcW w:w="1559" w:type="dxa"/>
            <w:hideMark/>
          </w:tcPr>
          <w:p w14:paraId="171F9C4F"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4 (1.7)</w:t>
            </w:r>
          </w:p>
        </w:tc>
        <w:tc>
          <w:tcPr>
            <w:tcW w:w="1559" w:type="dxa"/>
            <w:hideMark/>
          </w:tcPr>
          <w:p w14:paraId="32BC3F8B"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6 (2.2)</w:t>
            </w:r>
          </w:p>
        </w:tc>
        <w:tc>
          <w:tcPr>
            <w:tcW w:w="1709" w:type="dxa"/>
            <w:hideMark/>
          </w:tcPr>
          <w:p w14:paraId="7ADE7DDA"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0</w:t>
            </w:r>
          </w:p>
        </w:tc>
      </w:tr>
      <w:tr w:rsidR="00E0683A" w:rsidRPr="00E0683A" w14:paraId="62EC8944"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3D879BFA" w14:textId="77777777" w:rsidR="00E0683A" w:rsidRPr="001829B7" w:rsidRDefault="00E0683A" w:rsidP="001829B7">
            <w:pPr>
              <w:ind w:left="0"/>
              <w:rPr>
                <w:sz w:val="20"/>
                <w:szCs w:val="20"/>
                <w:lang w:val="en-US"/>
              </w:rPr>
            </w:pPr>
            <w:r w:rsidRPr="001829B7">
              <w:rPr>
                <w:sz w:val="20"/>
                <w:szCs w:val="20"/>
                <w:lang w:val="en-US"/>
              </w:rPr>
              <w:t>Gastrointestinal perforation</w:t>
            </w:r>
            <w:r w:rsidRPr="001829B7">
              <w:rPr>
                <w:sz w:val="20"/>
                <w:szCs w:val="20"/>
                <w:vertAlign w:val="superscript"/>
                <w:lang w:val="en-US"/>
              </w:rPr>
              <w:t>4</w:t>
            </w:r>
          </w:p>
        </w:tc>
        <w:tc>
          <w:tcPr>
            <w:tcW w:w="1559" w:type="dxa"/>
            <w:hideMark/>
          </w:tcPr>
          <w:p w14:paraId="16778D4E"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9 (2.0)</w:t>
            </w:r>
          </w:p>
        </w:tc>
        <w:tc>
          <w:tcPr>
            <w:tcW w:w="1559" w:type="dxa"/>
            <w:hideMark/>
          </w:tcPr>
          <w:p w14:paraId="0374A7C1"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0</w:t>
            </w:r>
          </w:p>
        </w:tc>
        <w:tc>
          <w:tcPr>
            <w:tcW w:w="1559" w:type="dxa"/>
          </w:tcPr>
          <w:p w14:paraId="2D54565B"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1781A03A"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377503A6"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275AD863" w14:textId="77777777" w:rsidR="00E0683A" w:rsidRPr="001829B7" w:rsidRDefault="00E0683A" w:rsidP="001829B7">
            <w:pPr>
              <w:ind w:left="0"/>
              <w:rPr>
                <w:sz w:val="20"/>
                <w:szCs w:val="20"/>
                <w:lang w:val="en-US"/>
              </w:rPr>
            </w:pPr>
            <w:r w:rsidRPr="001829B7">
              <w:rPr>
                <w:sz w:val="20"/>
                <w:szCs w:val="20"/>
                <w:lang w:val="en-US"/>
              </w:rPr>
              <w:t>Abdominal pain</w:t>
            </w:r>
          </w:p>
        </w:tc>
        <w:tc>
          <w:tcPr>
            <w:tcW w:w="1559" w:type="dxa"/>
            <w:hideMark/>
          </w:tcPr>
          <w:p w14:paraId="632C09E8"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8 (1.8)</w:t>
            </w:r>
          </w:p>
        </w:tc>
        <w:tc>
          <w:tcPr>
            <w:tcW w:w="1559" w:type="dxa"/>
            <w:hideMark/>
          </w:tcPr>
          <w:p w14:paraId="2B84EF1C"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2 (0.9)</w:t>
            </w:r>
          </w:p>
        </w:tc>
        <w:tc>
          <w:tcPr>
            <w:tcW w:w="1559" w:type="dxa"/>
          </w:tcPr>
          <w:p w14:paraId="25D5D93E"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17FBF1B9"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3ED06EE1"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1F19CF0C" w14:textId="77777777" w:rsidR="00E0683A" w:rsidRPr="001829B7" w:rsidRDefault="00E0683A" w:rsidP="001829B7">
            <w:pPr>
              <w:ind w:left="0"/>
              <w:rPr>
                <w:sz w:val="20"/>
                <w:szCs w:val="20"/>
                <w:lang w:val="en-US"/>
              </w:rPr>
            </w:pPr>
            <w:r w:rsidRPr="001829B7">
              <w:rPr>
                <w:sz w:val="20"/>
                <w:szCs w:val="20"/>
                <w:lang w:val="en-US"/>
              </w:rPr>
              <w:t>Hypertension</w:t>
            </w:r>
            <w:r w:rsidRPr="001829B7">
              <w:rPr>
                <w:sz w:val="20"/>
                <w:szCs w:val="20"/>
                <w:vertAlign w:val="superscript"/>
                <w:lang w:val="en-US"/>
              </w:rPr>
              <w:t>5</w:t>
            </w:r>
          </w:p>
        </w:tc>
        <w:tc>
          <w:tcPr>
            <w:tcW w:w="1559" w:type="dxa"/>
            <w:hideMark/>
          </w:tcPr>
          <w:p w14:paraId="3C28CDBC"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8 (1.8)</w:t>
            </w:r>
          </w:p>
        </w:tc>
        <w:tc>
          <w:tcPr>
            <w:tcW w:w="1559" w:type="dxa"/>
            <w:hideMark/>
          </w:tcPr>
          <w:p w14:paraId="04697EFD"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0</w:t>
            </w:r>
          </w:p>
        </w:tc>
        <w:tc>
          <w:tcPr>
            <w:tcW w:w="1559" w:type="dxa"/>
          </w:tcPr>
          <w:p w14:paraId="5E3973A5"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5D166292"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4D2797D0"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5D3A8088" w14:textId="77777777" w:rsidR="00E0683A" w:rsidRPr="001829B7" w:rsidRDefault="00E0683A" w:rsidP="001829B7">
            <w:pPr>
              <w:ind w:left="0"/>
              <w:rPr>
                <w:sz w:val="20"/>
                <w:szCs w:val="20"/>
                <w:lang w:val="en-US"/>
              </w:rPr>
            </w:pPr>
            <w:r w:rsidRPr="001829B7">
              <w:rPr>
                <w:sz w:val="20"/>
                <w:szCs w:val="20"/>
                <w:lang w:val="en-US"/>
              </w:rPr>
              <w:t>Intestinal obstruction</w:t>
            </w:r>
          </w:p>
        </w:tc>
        <w:tc>
          <w:tcPr>
            <w:tcW w:w="1559" w:type="dxa"/>
            <w:hideMark/>
          </w:tcPr>
          <w:p w14:paraId="2861D699"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7 (1.5)</w:t>
            </w:r>
          </w:p>
        </w:tc>
        <w:tc>
          <w:tcPr>
            <w:tcW w:w="1559" w:type="dxa"/>
            <w:hideMark/>
          </w:tcPr>
          <w:p w14:paraId="4C72625B"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7 (3.0)</w:t>
            </w:r>
          </w:p>
        </w:tc>
        <w:tc>
          <w:tcPr>
            <w:tcW w:w="1559" w:type="dxa"/>
            <w:hideMark/>
          </w:tcPr>
          <w:p w14:paraId="5B340E6E"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8 (2.9)</w:t>
            </w:r>
          </w:p>
        </w:tc>
        <w:tc>
          <w:tcPr>
            <w:tcW w:w="1709" w:type="dxa"/>
            <w:hideMark/>
          </w:tcPr>
          <w:p w14:paraId="771A75D6"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 (0.7)</w:t>
            </w:r>
          </w:p>
        </w:tc>
      </w:tr>
      <w:tr w:rsidR="00E0683A" w:rsidRPr="00E0683A" w14:paraId="0A84C85B"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02F7F72F" w14:textId="77777777" w:rsidR="00E0683A" w:rsidRPr="001829B7" w:rsidRDefault="00E0683A" w:rsidP="001829B7">
            <w:pPr>
              <w:ind w:left="0"/>
              <w:rPr>
                <w:sz w:val="20"/>
                <w:szCs w:val="20"/>
                <w:lang w:val="en-US"/>
              </w:rPr>
            </w:pPr>
            <w:r w:rsidRPr="001829B7">
              <w:rPr>
                <w:sz w:val="20"/>
                <w:szCs w:val="20"/>
                <w:lang w:val="en-US"/>
              </w:rPr>
              <w:t>Back pain</w:t>
            </w:r>
          </w:p>
        </w:tc>
        <w:tc>
          <w:tcPr>
            <w:tcW w:w="1559" w:type="dxa"/>
            <w:hideMark/>
          </w:tcPr>
          <w:p w14:paraId="7DD279C5"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6 (1.3)</w:t>
            </w:r>
          </w:p>
        </w:tc>
        <w:tc>
          <w:tcPr>
            <w:tcW w:w="1559" w:type="dxa"/>
            <w:hideMark/>
          </w:tcPr>
          <w:p w14:paraId="0E968783"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 (0.4)</w:t>
            </w:r>
          </w:p>
        </w:tc>
        <w:tc>
          <w:tcPr>
            <w:tcW w:w="1559" w:type="dxa"/>
          </w:tcPr>
          <w:p w14:paraId="3FD96A42"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12CE2C43"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65119B9E"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2306FF83" w14:textId="77777777" w:rsidR="00E0683A" w:rsidRPr="001829B7" w:rsidRDefault="00E0683A" w:rsidP="001829B7">
            <w:pPr>
              <w:ind w:left="0"/>
              <w:rPr>
                <w:sz w:val="20"/>
                <w:szCs w:val="20"/>
                <w:lang w:val="en-US"/>
              </w:rPr>
            </w:pPr>
            <w:proofErr w:type="spellStart"/>
            <w:r w:rsidRPr="001829B7">
              <w:rPr>
                <w:sz w:val="20"/>
                <w:szCs w:val="20"/>
                <w:lang w:val="en-US"/>
              </w:rPr>
              <w:t>Dyspnoea</w:t>
            </w:r>
            <w:proofErr w:type="spellEnd"/>
          </w:p>
        </w:tc>
        <w:tc>
          <w:tcPr>
            <w:tcW w:w="1559" w:type="dxa"/>
            <w:hideMark/>
          </w:tcPr>
          <w:p w14:paraId="5E84FDC2"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6 (1.3)</w:t>
            </w:r>
          </w:p>
        </w:tc>
        <w:tc>
          <w:tcPr>
            <w:tcW w:w="1559" w:type="dxa"/>
            <w:hideMark/>
          </w:tcPr>
          <w:p w14:paraId="2F07EC05"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4 (1.7)</w:t>
            </w:r>
          </w:p>
        </w:tc>
        <w:tc>
          <w:tcPr>
            <w:tcW w:w="1559" w:type="dxa"/>
          </w:tcPr>
          <w:p w14:paraId="5DF64EE9"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4D3E2B58"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7047E97A"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6F8BF5A1" w14:textId="77777777" w:rsidR="00E0683A" w:rsidRPr="001829B7" w:rsidRDefault="00E0683A" w:rsidP="001829B7">
            <w:pPr>
              <w:ind w:left="0"/>
              <w:rPr>
                <w:sz w:val="20"/>
                <w:szCs w:val="20"/>
                <w:lang w:val="en-US"/>
              </w:rPr>
            </w:pPr>
            <w:r w:rsidRPr="001829B7">
              <w:rPr>
                <w:sz w:val="20"/>
                <w:szCs w:val="20"/>
                <w:lang w:val="en-US"/>
              </w:rPr>
              <w:t>Pyrexia</w:t>
            </w:r>
          </w:p>
        </w:tc>
        <w:tc>
          <w:tcPr>
            <w:tcW w:w="1559" w:type="dxa"/>
            <w:hideMark/>
          </w:tcPr>
          <w:p w14:paraId="675B1DA4"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6 (1.3)</w:t>
            </w:r>
          </w:p>
        </w:tc>
        <w:tc>
          <w:tcPr>
            <w:tcW w:w="1559" w:type="dxa"/>
            <w:hideMark/>
          </w:tcPr>
          <w:p w14:paraId="2D8D1C08"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2 (0.9)</w:t>
            </w:r>
          </w:p>
        </w:tc>
        <w:tc>
          <w:tcPr>
            <w:tcW w:w="1559" w:type="dxa"/>
          </w:tcPr>
          <w:p w14:paraId="197937A0"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5A57AAFF"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2FBEFCF3"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11D4DC4B" w14:textId="77777777" w:rsidR="00E0683A" w:rsidRPr="001829B7" w:rsidRDefault="00E0683A" w:rsidP="001829B7">
            <w:pPr>
              <w:ind w:left="0"/>
              <w:rPr>
                <w:sz w:val="20"/>
                <w:szCs w:val="20"/>
                <w:lang w:val="en-US"/>
              </w:rPr>
            </w:pPr>
            <w:r w:rsidRPr="001829B7">
              <w:rPr>
                <w:sz w:val="20"/>
                <w:szCs w:val="20"/>
                <w:lang w:val="en-US"/>
              </w:rPr>
              <w:t>Urinary tract infection</w:t>
            </w:r>
          </w:p>
        </w:tc>
        <w:tc>
          <w:tcPr>
            <w:tcW w:w="1559" w:type="dxa"/>
            <w:hideMark/>
          </w:tcPr>
          <w:p w14:paraId="2E13DD2C"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6 (1.3)</w:t>
            </w:r>
          </w:p>
        </w:tc>
        <w:tc>
          <w:tcPr>
            <w:tcW w:w="1559" w:type="dxa"/>
            <w:hideMark/>
          </w:tcPr>
          <w:p w14:paraId="4B18B61A"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4 (1.7)</w:t>
            </w:r>
          </w:p>
        </w:tc>
        <w:tc>
          <w:tcPr>
            <w:tcW w:w="1559" w:type="dxa"/>
          </w:tcPr>
          <w:p w14:paraId="0E0EEA7A"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6D45F46D"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1DC48667"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4CFAB9CA" w14:textId="77777777" w:rsidR="00E0683A" w:rsidRPr="001829B7" w:rsidRDefault="00E0683A" w:rsidP="001829B7">
            <w:pPr>
              <w:ind w:left="0"/>
              <w:rPr>
                <w:sz w:val="20"/>
                <w:szCs w:val="20"/>
                <w:lang w:val="en-US"/>
              </w:rPr>
            </w:pPr>
            <w:r w:rsidRPr="001829B7">
              <w:rPr>
                <w:sz w:val="20"/>
                <w:szCs w:val="20"/>
                <w:lang w:val="en-US"/>
              </w:rPr>
              <w:t>Acute kidney injury</w:t>
            </w:r>
          </w:p>
        </w:tc>
        <w:tc>
          <w:tcPr>
            <w:tcW w:w="1559" w:type="dxa"/>
            <w:hideMark/>
          </w:tcPr>
          <w:p w14:paraId="49B6471C"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5 (1.1)</w:t>
            </w:r>
          </w:p>
        </w:tc>
        <w:tc>
          <w:tcPr>
            <w:tcW w:w="1559" w:type="dxa"/>
            <w:hideMark/>
          </w:tcPr>
          <w:p w14:paraId="70D2D702"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 (0.4)</w:t>
            </w:r>
          </w:p>
        </w:tc>
        <w:tc>
          <w:tcPr>
            <w:tcW w:w="1559" w:type="dxa"/>
          </w:tcPr>
          <w:p w14:paraId="638F5FC3"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0E599562"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353B72FD"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1764E0EE" w14:textId="77777777" w:rsidR="00E0683A" w:rsidRPr="001829B7" w:rsidRDefault="00E0683A" w:rsidP="001829B7">
            <w:pPr>
              <w:ind w:left="0"/>
              <w:rPr>
                <w:sz w:val="20"/>
                <w:szCs w:val="20"/>
                <w:lang w:val="en-US"/>
              </w:rPr>
            </w:pPr>
            <w:r w:rsidRPr="001829B7">
              <w:rPr>
                <w:sz w:val="20"/>
                <w:szCs w:val="20"/>
                <w:lang w:val="en-US"/>
              </w:rPr>
              <w:t>Asthenia</w:t>
            </w:r>
          </w:p>
        </w:tc>
        <w:tc>
          <w:tcPr>
            <w:tcW w:w="1559" w:type="dxa"/>
            <w:hideMark/>
          </w:tcPr>
          <w:p w14:paraId="1415D731"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5 (1.1)</w:t>
            </w:r>
          </w:p>
        </w:tc>
        <w:tc>
          <w:tcPr>
            <w:tcW w:w="1559" w:type="dxa"/>
            <w:hideMark/>
          </w:tcPr>
          <w:p w14:paraId="24ED2647"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0</w:t>
            </w:r>
          </w:p>
        </w:tc>
        <w:tc>
          <w:tcPr>
            <w:tcW w:w="1559" w:type="dxa"/>
          </w:tcPr>
          <w:p w14:paraId="38E24377"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5B43059E"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2DF12D58"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44B71FAA" w14:textId="77777777" w:rsidR="00E0683A" w:rsidRPr="001829B7" w:rsidRDefault="00E0683A" w:rsidP="001829B7">
            <w:pPr>
              <w:ind w:left="0"/>
              <w:rPr>
                <w:sz w:val="20"/>
                <w:szCs w:val="20"/>
                <w:lang w:val="en-US"/>
              </w:rPr>
            </w:pPr>
            <w:r w:rsidRPr="001829B7">
              <w:rPr>
                <w:sz w:val="20"/>
                <w:szCs w:val="20"/>
                <w:lang w:val="en-US"/>
              </w:rPr>
              <w:t>Pulmonary embolism</w:t>
            </w:r>
          </w:p>
        </w:tc>
        <w:tc>
          <w:tcPr>
            <w:tcW w:w="1559" w:type="dxa"/>
            <w:hideMark/>
          </w:tcPr>
          <w:p w14:paraId="404688BC"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5 (1.1)</w:t>
            </w:r>
          </w:p>
        </w:tc>
        <w:tc>
          <w:tcPr>
            <w:tcW w:w="1559" w:type="dxa"/>
            <w:hideMark/>
          </w:tcPr>
          <w:p w14:paraId="6CF8752D"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0</w:t>
            </w:r>
          </w:p>
        </w:tc>
        <w:tc>
          <w:tcPr>
            <w:tcW w:w="1559" w:type="dxa"/>
          </w:tcPr>
          <w:p w14:paraId="12B43A3C"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272ABF14"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304CB832"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186562F6" w14:textId="77777777" w:rsidR="00E0683A" w:rsidRPr="001829B7" w:rsidRDefault="00E0683A" w:rsidP="001829B7">
            <w:pPr>
              <w:ind w:left="0"/>
              <w:rPr>
                <w:sz w:val="20"/>
                <w:szCs w:val="20"/>
                <w:lang w:val="en-US"/>
              </w:rPr>
            </w:pPr>
            <w:r w:rsidRPr="001829B7">
              <w:rPr>
                <w:sz w:val="20"/>
                <w:szCs w:val="20"/>
                <w:lang w:val="en-US"/>
              </w:rPr>
              <w:t>Sepsis</w:t>
            </w:r>
          </w:p>
        </w:tc>
        <w:tc>
          <w:tcPr>
            <w:tcW w:w="1559" w:type="dxa"/>
            <w:hideMark/>
          </w:tcPr>
          <w:p w14:paraId="0492309E"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5 (1.1)</w:t>
            </w:r>
          </w:p>
        </w:tc>
        <w:tc>
          <w:tcPr>
            <w:tcW w:w="1559" w:type="dxa"/>
            <w:hideMark/>
          </w:tcPr>
          <w:p w14:paraId="775FC82E"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0</w:t>
            </w:r>
          </w:p>
        </w:tc>
        <w:tc>
          <w:tcPr>
            <w:tcW w:w="1559" w:type="dxa"/>
          </w:tcPr>
          <w:p w14:paraId="308F820D"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0C7CF196"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E0683A" w:rsidRPr="00E0683A" w14:paraId="3418C47E" w14:textId="77777777" w:rsidTr="001829B7">
        <w:trPr>
          <w:trHeight w:val="20"/>
        </w:trPr>
        <w:tc>
          <w:tcPr>
            <w:cnfStyle w:val="001000000000" w:firstRow="0" w:lastRow="0" w:firstColumn="1" w:lastColumn="0" w:oddVBand="0" w:evenVBand="0" w:oddHBand="0" w:evenHBand="0" w:firstRowFirstColumn="0" w:firstRowLastColumn="0" w:lastRowFirstColumn="0" w:lastRowLastColumn="0"/>
            <w:tcW w:w="2689" w:type="dxa"/>
            <w:hideMark/>
          </w:tcPr>
          <w:p w14:paraId="0A43328E" w14:textId="77777777" w:rsidR="00E0683A" w:rsidRPr="001829B7" w:rsidRDefault="00E0683A" w:rsidP="001829B7">
            <w:pPr>
              <w:ind w:left="0"/>
              <w:rPr>
                <w:sz w:val="20"/>
                <w:szCs w:val="20"/>
                <w:lang w:val="en-US"/>
              </w:rPr>
            </w:pPr>
            <w:r w:rsidRPr="001829B7">
              <w:rPr>
                <w:sz w:val="20"/>
                <w:szCs w:val="20"/>
                <w:lang w:val="en-US"/>
              </w:rPr>
              <w:t>Small intestinal obstruction</w:t>
            </w:r>
          </w:p>
        </w:tc>
        <w:tc>
          <w:tcPr>
            <w:tcW w:w="1559" w:type="dxa"/>
            <w:hideMark/>
          </w:tcPr>
          <w:p w14:paraId="4EF723A3"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5 (1.1)</w:t>
            </w:r>
          </w:p>
        </w:tc>
        <w:tc>
          <w:tcPr>
            <w:tcW w:w="1559" w:type="dxa"/>
            <w:hideMark/>
          </w:tcPr>
          <w:p w14:paraId="7A1F0AF0"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1829B7">
              <w:rPr>
                <w:sz w:val="20"/>
                <w:szCs w:val="20"/>
                <w:lang w:val="en-US"/>
              </w:rPr>
              <w:t>1 (0.4)</w:t>
            </w:r>
          </w:p>
        </w:tc>
        <w:tc>
          <w:tcPr>
            <w:tcW w:w="1559" w:type="dxa"/>
          </w:tcPr>
          <w:p w14:paraId="13F39A84"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1709" w:type="dxa"/>
          </w:tcPr>
          <w:p w14:paraId="037B8137" w14:textId="77777777" w:rsidR="00E0683A" w:rsidRPr="001829B7" w:rsidRDefault="00E0683A" w:rsidP="001829B7">
            <w:pPr>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6091E1E1" w14:textId="7A1D186D" w:rsidR="002F7916" w:rsidRDefault="002F7916" w:rsidP="007E7C15">
      <w:pPr>
        <w:pStyle w:val="TableDescription"/>
        <w:rPr>
          <w:rFonts w:ascii="Calibri" w:hAnsi="Calibri"/>
          <w:sz w:val="19"/>
        </w:rPr>
      </w:pPr>
      <w:bookmarkStart w:id="89" w:name="_Ref170746746"/>
      <w:r>
        <w:t>Source: FDA safety review.</w:t>
      </w:r>
      <w:r w:rsidR="00C517BA">
        <w:fldChar w:fldCharType="begin"/>
      </w:r>
      <w:r w:rsidR="00C517BA">
        <w:instrText xml:space="preserve"> NOTEREF _Ref202185650 \f \h </w:instrText>
      </w:r>
      <w:r w:rsidR="007E7C15">
        <w:instrText xml:space="preserve"> \* MERGEFORMAT </w:instrText>
      </w:r>
      <w:r w:rsidR="00C517BA">
        <w:fldChar w:fldCharType="separate"/>
      </w:r>
      <w:r w:rsidR="00A407E4" w:rsidRPr="00A407E4">
        <w:rPr>
          <w:rStyle w:val="FootnoteReference"/>
        </w:rPr>
        <w:t>30</w:t>
      </w:r>
      <w:r w:rsidR="00C517BA">
        <w:fldChar w:fldCharType="end"/>
      </w:r>
      <w:r>
        <w:t xml:space="preserve"> Adverse events were presented separately in FDA’s analysis for FRESCO-2 and FRESCO. Based on clinical rationale, terms that would likely have been pooled across both FRESCO and FRESCO-2 (if a pooled analysis had been done) have been presented in the same row here for indirect comparison. Cells have been left blank where the term fell below the threshold or was not reported for that study.</w:t>
      </w:r>
    </w:p>
    <w:p w14:paraId="57936AE6" w14:textId="5A83111D" w:rsidR="002F7916" w:rsidRDefault="00C517BA" w:rsidP="007E7C15">
      <w:pPr>
        <w:pStyle w:val="TableDescription"/>
      </w:pPr>
      <w:r w:rsidRPr="00C517BA">
        <w:rPr>
          <w:vertAlign w:val="superscript"/>
        </w:rPr>
        <w:t>1</w:t>
      </w:r>
      <w:r>
        <w:t xml:space="preserve"> </w:t>
      </w:r>
      <w:r w:rsidR="002F7916">
        <w:t>Hepatotoxicity is a composite term of blood bilirubin increased, hepatic failure, encephalopathy, hepatic</w:t>
      </w:r>
      <w:r>
        <w:t xml:space="preserve"> </w:t>
      </w:r>
      <w:r w:rsidR="002F7916">
        <w:t>encephalopathy, and hepatic function abnormal</w:t>
      </w:r>
      <w:bookmarkEnd w:id="89"/>
      <w:r w:rsidR="002F7916">
        <w:t>.</w:t>
      </w:r>
    </w:p>
    <w:p w14:paraId="4D78E48D" w14:textId="58F04AB8" w:rsidR="002F7916" w:rsidRDefault="007E7C15" w:rsidP="007E7C15">
      <w:pPr>
        <w:pStyle w:val="TableDescription"/>
      </w:pPr>
      <w:bookmarkStart w:id="90" w:name="_Ref170746812"/>
      <w:bookmarkStart w:id="91" w:name="_Ref170746755"/>
      <w:r w:rsidRPr="007E7C15">
        <w:rPr>
          <w:vertAlign w:val="superscript"/>
        </w:rPr>
        <w:t>2</w:t>
      </w:r>
      <w:r>
        <w:t xml:space="preserve"> </w:t>
      </w:r>
      <w:r w:rsidR="002F7916">
        <w:t>Pneumonia is a composite term of pneumonia and lung infection</w:t>
      </w:r>
      <w:bookmarkEnd w:id="90"/>
      <w:r w:rsidR="002F7916">
        <w:t>.</w:t>
      </w:r>
    </w:p>
    <w:p w14:paraId="31E4DDC0" w14:textId="6D15BF9E" w:rsidR="002F7916" w:rsidRDefault="007E7C15" w:rsidP="007E7C15">
      <w:pPr>
        <w:pStyle w:val="TableDescription"/>
      </w:pPr>
      <w:r>
        <w:rPr>
          <w:vertAlign w:val="superscript"/>
        </w:rPr>
        <w:t>3</w:t>
      </w:r>
      <w:r w:rsidR="00C517BA">
        <w:t xml:space="preserve"> </w:t>
      </w:r>
      <w:r w:rsidR="002F7916">
        <w:t>Haemorrhage is a composite term of cerebral haemorrhage, epistaxis, gastrointestinal haemorrhage, gastric haemorrhage, haematemesis, haematuria, haemoptysis, haemorrhage, intestinal haemorrhage, intermenstrual bleeding, rectal haemorrhage, and upper gastrointestinal haemorrhage.</w:t>
      </w:r>
      <w:bookmarkEnd w:id="91"/>
    </w:p>
    <w:p w14:paraId="341BD123" w14:textId="19B26A58" w:rsidR="002F7916" w:rsidRDefault="007E7C15" w:rsidP="007E7C15">
      <w:pPr>
        <w:pStyle w:val="TableDescription"/>
      </w:pPr>
      <w:bookmarkStart w:id="92" w:name="_Ref170746760"/>
      <w:r>
        <w:rPr>
          <w:vertAlign w:val="superscript"/>
        </w:rPr>
        <w:t xml:space="preserve">4 </w:t>
      </w:r>
      <w:r w:rsidR="002F7916">
        <w:t>Gastrointestinal perforation is a composite term of intestinal perforation, small intestinal perforation, gastric perforation, gastrointestinal perforation, large intestine perforation, and rectal perforation</w:t>
      </w:r>
      <w:bookmarkEnd w:id="92"/>
      <w:r w:rsidR="002F7916">
        <w:t>.</w:t>
      </w:r>
    </w:p>
    <w:p w14:paraId="2A330302" w14:textId="46B11689" w:rsidR="002F7916" w:rsidRDefault="007E7C15" w:rsidP="007E7C15">
      <w:pPr>
        <w:pStyle w:val="TableDescription"/>
      </w:pPr>
      <w:bookmarkStart w:id="93" w:name="_Ref170746766"/>
      <w:r w:rsidRPr="007E7C15">
        <w:rPr>
          <w:vertAlign w:val="superscript"/>
        </w:rPr>
        <w:t>5</w:t>
      </w:r>
      <w:r>
        <w:t xml:space="preserve"> </w:t>
      </w:r>
      <w:r w:rsidR="002F7916">
        <w:t>Hypertension is a composite term of hypertension and hypertensive crisis</w:t>
      </w:r>
      <w:bookmarkEnd w:id="93"/>
      <w:r w:rsidR="002F7916">
        <w:t>.</w:t>
      </w:r>
    </w:p>
    <w:p w14:paraId="6940F0F8" w14:textId="3CAD79F9" w:rsidR="00E0683A" w:rsidRPr="00E0683A" w:rsidRDefault="00E0683A" w:rsidP="00A10CB0">
      <w:pPr>
        <w:pStyle w:val="TableTitle"/>
      </w:pPr>
      <w:bookmarkStart w:id="94" w:name="_Ref171324125"/>
      <w:r w:rsidRPr="00E0683A">
        <w:lastRenderedPageBreak/>
        <w:t xml:space="preserve">Table </w:t>
      </w:r>
      <w:r w:rsidRPr="00E0683A">
        <w:fldChar w:fldCharType="begin"/>
      </w:r>
      <w:r w:rsidRPr="00E0683A">
        <w:instrText xml:space="preserve"> SEQ Table \* ARABIC </w:instrText>
      </w:r>
      <w:r w:rsidRPr="00E0683A">
        <w:fldChar w:fldCharType="separate"/>
      </w:r>
      <w:r w:rsidR="00A407E4">
        <w:rPr>
          <w:noProof/>
        </w:rPr>
        <w:t>11</w:t>
      </w:r>
      <w:r w:rsidRPr="00E0683A">
        <w:fldChar w:fldCharType="end"/>
      </w:r>
      <w:bookmarkEnd w:id="94"/>
      <w:r w:rsidR="007D2295">
        <w:t>:</w:t>
      </w:r>
      <w:r w:rsidRPr="00E0683A">
        <w:t xml:space="preserve"> Neutropenia based on shift tables of worst change from </w:t>
      </w:r>
      <w:r w:rsidR="00A10CB0">
        <w:t>B</w:t>
      </w:r>
      <w:r w:rsidRPr="00E0683A">
        <w:t>aseline for all patients in FRESCO-2</w:t>
      </w:r>
    </w:p>
    <w:tbl>
      <w:tblPr>
        <w:tblStyle w:val="TableTGAblue2023"/>
        <w:tblW w:w="8925" w:type="dxa"/>
        <w:tblLayout w:type="fixed"/>
        <w:tblLook w:val="01E0" w:firstRow="1" w:lastRow="1" w:firstColumn="1" w:lastColumn="1" w:noHBand="0" w:noVBand="0"/>
      </w:tblPr>
      <w:tblGrid>
        <w:gridCol w:w="3117"/>
        <w:gridCol w:w="1452"/>
        <w:gridCol w:w="1452"/>
        <w:gridCol w:w="1452"/>
        <w:gridCol w:w="1452"/>
      </w:tblGrid>
      <w:tr w:rsidR="00E0683A" w:rsidRPr="00E0683A" w14:paraId="18962901" w14:textId="77777777" w:rsidTr="001F4E3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19" w:type="dxa"/>
          </w:tcPr>
          <w:p w14:paraId="7B694071" w14:textId="77777777" w:rsidR="00E0683A" w:rsidRPr="00D43C64" w:rsidRDefault="00E0683A" w:rsidP="0098324A">
            <w:pPr>
              <w:ind w:left="0"/>
              <w:rPr>
                <w:sz w:val="20"/>
                <w:szCs w:val="20"/>
                <w:lang w:val="en-US"/>
              </w:rPr>
            </w:pPr>
          </w:p>
        </w:tc>
        <w:tc>
          <w:tcPr>
            <w:tcW w:w="2906" w:type="dxa"/>
            <w:gridSpan w:val="2"/>
            <w:hideMark/>
          </w:tcPr>
          <w:p w14:paraId="0FDA33E7" w14:textId="41236761" w:rsidR="00E0683A" w:rsidRPr="00D43C64" w:rsidRDefault="00E0683A" w:rsidP="0098324A">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D43C64">
              <w:rPr>
                <w:sz w:val="20"/>
                <w:szCs w:val="20"/>
                <w:lang w:val="en-US"/>
              </w:rPr>
              <w:t>Fruquintinib + BSC N</w:t>
            </w:r>
            <w:r w:rsidR="001F4E38" w:rsidRPr="00D43C64">
              <w:rPr>
                <w:sz w:val="20"/>
                <w:szCs w:val="20"/>
              </w:rPr>
              <w:t> </w:t>
            </w:r>
            <w:r w:rsidRPr="00D43C64">
              <w:rPr>
                <w:sz w:val="20"/>
                <w:szCs w:val="20"/>
                <w:lang w:val="en-US"/>
              </w:rPr>
              <w:t>=</w:t>
            </w:r>
            <w:r w:rsidR="001F4E38" w:rsidRPr="00D43C64">
              <w:rPr>
                <w:sz w:val="20"/>
                <w:szCs w:val="20"/>
                <w:lang w:val="en-US"/>
              </w:rPr>
              <w:t> </w:t>
            </w:r>
            <w:r w:rsidRPr="00D43C64">
              <w:rPr>
                <w:sz w:val="20"/>
                <w:szCs w:val="20"/>
                <w:lang w:val="en-US"/>
              </w:rPr>
              <w:t>456</w:t>
            </w:r>
          </w:p>
        </w:tc>
        <w:tc>
          <w:tcPr>
            <w:tcW w:w="2906" w:type="dxa"/>
            <w:gridSpan w:val="2"/>
            <w:hideMark/>
          </w:tcPr>
          <w:p w14:paraId="4105DA58" w14:textId="6171DA8F" w:rsidR="00E0683A" w:rsidRPr="00D43C64" w:rsidRDefault="00E0683A" w:rsidP="0098324A">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D43C64">
              <w:rPr>
                <w:sz w:val="20"/>
                <w:szCs w:val="20"/>
                <w:lang w:val="en-US"/>
              </w:rPr>
              <w:t>Placebo + BSC N</w:t>
            </w:r>
            <w:r w:rsidR="001F4E38" w:rsidRPr="00D43C64">
              <w:rPr>
                <w:sz w:val="20"/>
                <w:szCs w:val="20"/>
                <w:lang w:val="en-US"/>
              </w:rPr>
              <w:t> </w:t>
            </w:r>
            <w:r w:rsidRPr="00D43C64">
              <w:rPr>
                <w:sz w:val="20"/>
                <w:szCs w:val="20"/>
                <w:lang w:val="en-US"/>
              </w:rPr>
              <w:t>=</w:t>
            </w:r>
            <w:r w:rsidR="001F4E38" w:rsidRPr="00D43C64">
              <w:rPr>
                <w:sz w:val="20"/>
                <w:szCs w:val="20"/>
                <w:lang w:val="en-US"/>
              </w:rPr>
              <w:t> </w:t>
            </w:r>
            <w:r w:rsidRPr="00D43C64">
              <w:rPr>
                <w:sz w:val="20"/>
                <w:szCs w:val="20"/>
                <w:lang w:val="en-US"/>
              </w:rPr>
              <w:t>230</w:t>
            </w:r>
          </w:p>
        </w:tc>
      </w:tr>
      <w:tr w:rsidR="00E0683A" w:rsidRPr="00E0683A" w14:paraId="7C49A8C3" w14:textId="77777777" w:rsidTr="001F4E38">
        <w:trPr>
          <w:trHeight w:val="20"/>
        </w:trPr>
        <w:tc>
          <w:tcPr>
            <w:cnfStyle w:val="001000000000" w:firstRow="0" w:lastRow="0" w:firstColumn="1" w:lastColumn="0" w:oddVBand="0" w:evenVBand="0" w:oddHBand="0" w:evenHBand="0" w:firstRowFirstColumn="0" w:firstRowLastColumn="0" w:lastRowFirstColumn="0" w:lastRowLastColumn="0"/>
            <w:tcW w:w="3119" w:type="dxa"/>
            <w:shd w:val="clear" w:color="auto" w:fill="DEEAF6" w:themeFill="accent5" w:themeFillTint="33"/>
            <w:hideMark/>
          </w:tcPr>
          <w:p w14:paraId="53AFC655" w14:textId="77777777" w:rsidR="00E0683A" w:rsidRPr="00D43C64" w:rsidRDefault="00E0683A" w:rsidP="0098324A">
            <w:pPr>
              <w:keepNext/>
              <w:ind w:left="0"/>
              <w:rPr>
                <w:b/>
                <w:color w:val="263287"/>
                <w:sz w:val="20"/>
                <w:szCs w:val="20"/>
                <w:lang w:val="en-US"/>
              </w:rPr>
            </w:pPr>
            <w:r w:rsidRPr="00D43C64">
              <w:rPr>
                <w:b/>
                <w:color w:val="263287"/>
                <w:sz w:val="20"/>
                <w:szCs w:val="20"/>
                <w:lang w:val="en-US"/>
              </w:rPr>
              <w:t>AE</w:t>
            </w:r>
          </w:p>
        </w:tc>
        <w:tc>
          <w:tcPr>
            <w:tcW w:w="1453" w:type="dxa"/>
            <w:shd w:val="clear" w:color="auto" w:fill="DEEAF6" w:themeFill="accent5" w:themeFillTint="33"/>
            <w:hideMark/>
          </w:tcPr>
          <w:p w14:paraId="195882D9" w14:textId="77777777" w:rsidR="00E0683A" w:rsidRPr="00D43C64" w:rsidRDefault="00E0683A" w:rsidP="009832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43C64">
              <w:rPr>
                <w:b/>
                <w:color w:val="263287"/>
                <w:sz w:val="20"/>
                <w:szCs w:val="20"/>
                <w:lang w:val="en-US"/>
              </w:rPr>
              <w:t>All Grades</w:t>
            </w:r>
          </w:p>
        </w:tc>
        <w:tc>
          <w:tcPr>
            <w:tcW w:w="1453" w:type="dxa"/>
            <w:shd w:val="clear" w:color="auto" w:fill="DEEAF6" w:themeFill="accent5" w:themeFillTint="33"/>
            <w:hideMark/>
          </w:tcPr>
          <w:p w14:paraId="73A07BBF" w14:textId="77777777" w:rsidR="00E0683A" w:rsidRPr="00D43C64" w:rsidRDefault="00E0683A" w:rsidP="009832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43C64">
              <w:rPr>
                <w:b/>
                <w:color w:val="263287"/>
                <w:sz w:val="20"/>
                <w:szCs w:val="20"/>
                <w:lang w:val="en-US"/>
              </w:rPr>
              <w:t>Grade 3-4</w:t>
            </w:r>
          </w:p>
        </w:tc>
        <w:tc>
          <w:tcPr>
            <w:tcW w:w="1453" w:type="dxa"/>
            <w:shd w:val="clear" w:color="auto" w:fill="DEEAF6" w:themeFill="accent5" w:themeFillTint="33"/>
            <w:hideMark/>
          </w:tcPr>
          <w:p w14:paraId="6EB84213" w14:textId="77777777" w:rsidR="00E0683A" w:rsidRPr="00D43C64" w:rsidRDefault="00E0683A" w:rsidP="009832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43C64">
              <w:rPr>
                <w:b/>
                <w:color w:val="263287"/>
                <w:sz w:val="20"/>
                <w:szCs w:val="20"/>
                <w:lang w:val="en-US"/>
              </w:rPr>
              <w:t>All Grades</w:t>
            </w:r>
          </w:p>
        </w:tc>
        <w:tc>
          <w:tcPr>
            <w:tcW w:w="1453" w:type="dxa"/>
            <w:shd w:val="clear" w:color="auto" w:fill="DEEAF6" w:themeFill="accent5" w:themeFillTint="33"/>
            <w:hideMark/>
          </w:tcPr>
          <w:p w14:paraId="2DCBBE20" w14:textId="77777777" w:rsidR="00E0683A" w:rsidRPr="00D43C64" w:rsidRDefault="00E0683A" w:rsidP="0098324A">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43C64">
              <w:rPr>
                <w:b/>
                <w:color w:val="263287"/>
                <w:sz w:val="20"/>
                <w:szCs w:val="20"/>
                <w:lang w:val="en-US"/>
              </w:rPr>
              <w:t>Grade 3-4</w:t>
            </w:r>
          </w:p>
        </w:tc>
      </w:tr>
      <w:tr w:rsidR="00E0683A" w:rsidRPr="00E0683A" w14:paraId="517F200B" w14:textId="77777777" w:rsidTr="001F4E38">
        <w:trPr>
          <w:trHeight w:val="20"/>
        </w:trPr>
        <w:tc>
          <w:tcPr>
            <w:cnfStyle w:val="001000000000" w:firstRow="0" w:lastRow="0" w:firstColumn="1" w:lastColumn="0" w:oddVBand="0" w:evenVBand="0" w:oddHBand="0" w:evenHBand="0" w:firstRowFirstColumn="0" w:firstRowLastColumn="0" w:lastRowFirstColumn="0" w:lastRowLastColumn="0"/>
            <w:tcW w:w="3119" w:type="dxa"/>
            <w:hideMark/>
          </w:tcPr>
          <w:p w14:paraId="30DC4A8F" w14:textId="77777777" w:rsidR="00E0683A" w:rsidRPr="00D43C64" w:rsidRDefault="00E0683A" w:rsidP="0098324A">
            <w:pPr>
              <w:ind w:left="0"/>
              <w:rPr>
                <w:bCs/>
                <w:sz w:val="20"/>
                <w:szCs w:val="20"/>
                <w:lang w:val="en-US"/>
              </w:rPr>
            </w:pPr>
            <w:r w:rsidRPr="00D43C64">
              <w:rPr>
                <w:bCs/>
                <w:sz w:val="20"/>
                <w:szCs w:val="20"/>
              </w:rPr>
              <w:t>FRESCO-2 neutrophil count decreased, n/N (%)</w:t>
            </w:r>
          </w:p>
        </w:tc>
        <w:tc>
          <w:tcPr>
            <w:tcW w:w="1453" w:type="dxa"/>
            <w:hideMark/>
          </w:tcPr>
          <w:p w14:paraId="0E252466" w14:textId="77777777" w:rsidR="00E0683A" w:rsidRPr="00D43C64" w:rsidRDefault="00E0683A" w:rsidP="009832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D43C64">
              <w:rPr>
                <w:sz w:val="20"/>
                <w:szCs w:val="20"/>
                <w:lang w:val="en-US"/>
              </w:rPr>
              <w:t>31/440 (6.8%)</w:t>
            </w:r>
          </w:p>
        </w:tc>
        <w:tc>
          <w:tcPr>
            <w:tcW w:w="1453" w:type="dxa"/>
            <w:hideMark/>
          </w:tcPr>
          <w:p w14:paraId="41F2055E" w14:textId="77777777" w:rsidR="00E0683A" w:rsidRPr="00D43C64" w:rsidRDefault="00E0683A" w:rsidP="009832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D43C64">
              <w:rPr>
                <w:sz w:val="20"/>
                <w:szCs w:val="20"/>
                <w:lang w:val="en-US"/>
              </w:rPr>
              <w:t>4/440 (9.1%)</w:t>
            </w:r>
          </w:p>
        </w:tc>
        <w:tc>
          <w:tcPr>
            <w:tcW w:w="1453" w:type="dxa"/>
            <w:hideMark/>
          </w:tcPr>
          <w:p w14:paraId="7CC4B658" w14:textId="77777777" w:rsidR="00E0683A" w:rsidRPr="00D43C64" w:rsidRDefault="00E0683A" w:rsidP="009832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D43C64">
              <w:rPr>
                <w:sz w:val="20"/>
                <w:szCs w:val="20"/>
                <w:lang w:val="en-US"/>
              </w:rPr>
              <w:t>4/215 (1.7%)</w:t>
            </w:r>
          </w:p>
        </w:tc>
        <w:tc>
          <w:tcPr>
            <w:tcW w:w="1453" w:type="dxa"/>
            <w:hideMark/>
          </w:tcPr>
          <w:p w14:paraId="21944DF3" w14:textId="77777777" w:rsidR="00E0683A" w:rsidRPr="00D43C64" w:rsidRDefault="00E0683A" w:rsidP="009832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D43C64">
              <w:rPr>
                <w:sz w:val="20"/>
                <w:szCs w:val="20"/>
                <w:lang w:val="en-US"/>
              </w:rPr>
              <w:t>1/215 (0.5%)</w:t>
            </w:r>
          </w:p>
        </w:tc>
      </w:tr>
      <w:tr w:rsidR="00E0683A" w:rsidRPr="00E0683A" w14:paraId="200B2440" w14:textId="77777777" w:rsidTr="001F4E38">
        <w:trPr>
          <w:trHeight w:val="20"/>
        </w:trPr>
        <w:tc>
          <w:tcPr>
            <w:cnfStyle w:val="001000000000" w:firstRow="0" w:lastRow="0" w:firstColumn="1" w:lastColumn="0" w:oddVBand="0" w:evenVBand="0" w:oddHBand="0" w:evenHBand="0" w:firstRowFirstColumn="0" w:firstRowLastColumn="0" w:lastRowFirstColumn="0" w:lastRowLastColumn="0"/>
            <w:tcW w:w="3119" w:type="dxa"/>
            <w:hideMark/>
          </w:tcPr>
          <w:p w14:paraId="14FD2BC0" w14:textId="77777777" w:rsidR="00E0683A" w:rsidRPr="00D43C64" w:rsidRDefault="00E0683A" w:rsidP="0098324A">
            <w:pPr>
              <w:ind w:left="0"/>
              <w:rPr>
                <w:bCs/>
                <w:sz w:val="20"/>
                <w:szCs w:val="20"/>
              </w:rPr>
            </w:pPr>
            <w:r w:rsidRPr="00D43C64">
              <w:rPr>
                <w:bCs/>
                <w:sz w:val="20"/>
                <w:szCs w:val="20"/>
              </w:rPr>
              <w:t>FRESCO neutrophil count decreased, n/N (%)</w:t>
            </w:r>
          </w:p>
        </w:tc>
        <w:tc>
          <w:tcPr>
            <w:tcW w:w="1453" w:type="dxa"/>
            <w:hideMark/>
          </w:tcPr>
          <w:p w14:paraId="4F8431DA" w14:textId="77777777" w:rsidR="00E0683A" w:rsidRPr="00D43C64" w:rsidRDefault="00E0683A" w:rsidP="009832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D43C64">
              <w:rPr>
                <w:sz w:val="20"/>
                <w:szCs w:val="20"/>
                <w:lang w:val="en-US"/>
              </w:rPr>
              <w:t>43/278 (15.5%)</w:t>
            </w:r>
          </w:p>
        </w:tc>
        <w:tc>
          <w:tcPr>
            <w:tcW w:w="1453" w:type="dxa"/>
            <w:hideMark/>
          </w:tcPr>
          <w:p w14:paraId="1D794E84" w14:textId="77777777" w:rsidR="00E0683A" w:rsidRPr="00D43C64" w:rsidRDefault="00E0683A" w:rsidP="009832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D43C64">
              <w:rPr>
                <w:sz w:val="20"/>
                <w:szCs w:val="20"/>
                <w:lang w:val="en-US"/>
              </w:rPr>
              <w:t>4/137 (2.9%)</w:t>
            </w:r>
          </w:p>
        </w:tc>
        <w:tc>
          <w:tcPr>
            <w:tcW w:w="1453" w:type="dxa"/>
            <w:hideMark/>
          </w:tcPr>
          <w:p w14:paraId="51C5DB05" w14:textId="77777777" w:rsidR="00E0683A" w:rsidRPr="00D43C64" w:rsidRDefault="00E0683A" w:rsidP="009832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D43C64">
              <w:rPr>
                <w:sz w:val="20"/>
                <w:szCs w:val="20"/>
                <w:lang w:val="en-US"/>
              </w:rPr>
              <w:t>2/278 (0.7%)</w:t>
            </w:r>
          </w:p>
        </w:tc>
        <w:tc>
          <w:tcPr>
            <w:tcW w:w="1453" w:type="dxa"/>
            <w:hideMark/>
          </w:tcPr>
          <w:p w14:paraId="2E702A15" w14:textId="77777777" w:rsidR="00E0683A" w:rsidRPr="00D43C64" w:rsidRDefault="00E0683A" w:rsidP="0098324A">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D43C64">
              <w:rPr>
                <w:sz w:val="20"/>
                <w:szCs w:val="20"/>
                <w:lang w:val="en-US"/>
              </w:rPr>
              <w:t>0/137 (0%)</w:t>
            </w:r>
          </w:p>
        </w:tc>
      </w:tr>
    </w:tbl>
    <w:p w14:paraId="667A5CB3" w14:textId="139C254D" w:rsidR="00E0683A" w:rsidRPr="00E0683A" w:rsidRDefault="00FD215E" w:rsidP="00A926F7">
      <w:pPr>
        <w:pStyle w:val="TableDescription"/>
        <w:rPr>
          <w:lang w:val="en-US"/>
        </w:rPr>
      </w:pPr>
      <w:r>
        <w:rPr>
          <w:lang w:val="en-US"/>
        </w:rPr>
        <w:t xml:space="preserve">Abbreviations: </w:t>
      </w:r>
      <w:r w:rsidR="00A926F7">
        <w:rPr>
          <w:lang w:val="en-US"/>
        </w:rPr>
        <w:t>BSC = best supportive care, N/n = number.</w:t>
      </w:r>
    </w:p>
    <w:p w14:paraId="7F433ABB" w14:textId="77777777" w:rsidR="00E0683A" w:rsidRPr="00E0683A" w:rsidRDefault="00E0683A" w:rsidP="00DE4CFD">
      <w:pPr>
        <w:pStyle w:val="Heading5"/>
        <w:rPr>
          <w:lang w:val="en-US"/>
        </w:rPr>
      </w:pPr>
      <w:r w:rsidRPr="00E0683A">
        <w:rPr>
          <w:lang w:val="en-US"/>
        </w:rPr>
        <w:t>Dose modifications</w:t>
      </w:r>
    </w:p>
    <w:p w14:paraId="513113DD" w14:textId="28225461" w:rsidR="00E0683A" w:rsidRPr="00E0683A" w:rsidRDefault="00E0683A" w:rsidP="00420085">
      <w:pPr>
        <w:pStyle w:val="TableTitle"/>
      </w:pPr>
      <w:bookmarkStart w:id="95" w:name="_Ref203398680"/>
      <w:r w:rsidRPr="00E0683A">
        <w:t xml:space="preserve">Table </w:t>
      </w:r>
      <w:r w:rsidRPr="00E0683A">
        <w:fldChar w:fldCharType="begin"/>
      </w:r>
      <w:r w:rsidRPr="00E0683A">
        <w:instrText xml:space="preserve"> SEQ Table \* ARABIC </w:instrText>
      </w:r>
      <w:r w:rsidRPr="00E0683A">
        <w:fldChar w:fldCharType="separate"/>
      </w:r>
      <w:r w:rsidR="00A407E4">
        <w:rPr>
          <w:noProof/>
        </w:rPr>
        <w:t>12</w:t>
      </w:r>
      <w:r w:rsidRPr="00E0683A">
        <w:fldChar w:fldCharType="end"/>
      </w:r>
      <w:bookmarkEnd w:id="95"/>
      <w:r w:rsidR="00420085">
        <w:t>:</w:t>
      </w:r>
      <w:r w:rsidRPr="00E0683A">
        <w:t xml:space="preserve"> Adverse events in FRESCO-2 and FRESCO that led to a dose modification (interruption, reduction or discontinuation) above a particular incidence in the investigational arm (blue cells)</w:t>
      </w:r>
    </w:p>
    <w:tbl>
      <w:tblPr>
        <w:tblW w:w="93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745"/>
        <w:gridCol w:w="603"/>
        <w:gridCol w:w="603"/>
        <w:gridCol w:w="602"/>
        <w:gridCol w:w="709"/>
        <w:gridCol w:w="567"/>
        <w:gridCol w:w="709"/>
        <w:gridCol w:w="567"/>
        <w:gridCol w:w="567"/>
        <w:gridCol w:w="567"/>
        <w:gridCol w:w="567"/>
        <w:gridCol w:w="567"/>
      </w:tblGrid>
      <w:tr w:rsidR="00E0683A" w:rsidRPr="00E0683A" w14:paraId="210E98BD" w14:textId="77777777" w:rsidTr="00EC7525">
        <w:trPr>
          <w:trHeight w:val="20"/>
          <w:tblHeader/>
        </w:trPr>
        <w:tc>
          <w:tcPr>
            <w:tcW w:w="1987"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hideMark/>
          </w:tcPr>
          <w:p w14:paraId="0728AF11" w14:textId="77777777"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Modification type</w:t>
            </w:r>
          </w:p>
        </w:tc>
        <w:tc>
          <w:tcPr>
            <w:tcW w:w="2553" w:type="dxa"/>
            <w:gridSpan w:val="4"/>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3ED0D161" w14:textId="3730E9C9"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I</w:t>
            </w:r>
            <w:r w:rsidR="006F1685">
              <w:rPr>
                <w:b/>
                <w:color w:val="263287"/>
                <w:sz w:val="20"/>
                <w:lang w:val="en-US"/>
              </w:rPr>
              <w:t>nteruptions</w:t>
            </w:r>
            <w:r w:rsidR="00584762" w:rsidRPr="00584762">
              <w:rPr>
                <w:b/>
                <w:color w:val="263287"/>
                <w:sz w:val="20"/>
                <w:vertAlign w:val="superscript"/>
                <w:lang w:val="en-US"/>
              </w:rPr>
              <w:t>1</w:t>
            </w:r>
          </w:p>
        </w:tc>
        <w:tc>
          <w:tcPr>
            <w:tcW w:w="2552" w:type="dxa"/>
            <w:gridSpan w:val="4"/>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6BFD5B88" w14:textId="1D4EF93D"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R</w:t>
            </w:r>
            <w:r w:rsidR="006F1685">
              <w:rPr>
                <w:b/>
                <w:color w:val="263287"/>
                <w:sz w:val="20"/>
                <w:lang w:val="en-US"/>
              </w:rPr>
              <w:t>eductions</w:t>
            </w:r>
            <w:r w:rsidR="008F0D27">
              <w:rPr>
                <w:b/>
                <w:color w:val="263287"/>
                <w:sz w:val="20"/>
                <w:vertAlign w:val="superscript"/>
                <w:lang w:val="en-US"/>
              </w:rPr>
              <w:t>2</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71AD5123" w14:textId="343DA76C"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D</w:t>
            </w:r>
            <w:r w:rsidR="006F1685">
              <w:rPr>
                <w:b/>
                <w:color w:val="263287"/>
                <w:sz w:val="20"/>
                <w:lang w:val="en-US"/>
              </w:rPr>
              <w:t>iscontinuations</w:t>
            </w:r>
            <w:r w:rsidR="008F0D27">
              <w:rPr>
                <w:b/>
                <w:color w:val="263287"/>
                <w:sz w:val="20"/>
                <w:vertAlign w:val="superscript"/>
                <w:lang w:val="en-US"/>
              </w:rPr>
              <w:t>3</w:t>
            </w:r>
          </w:p>
        </w:tc>
      </w:tr>
      <w:tr w:rsidR="00E0683A" w:rsidRPr="00E0683A" w14:paraId="41300BE5" w14:textId="77777777" w:rsidTr="00EC7525">
        <w:trPr>
          <w:trHeight w:val="20"/>
          <w:tblHeader/>
        </w:trPr>
        <w:tc>
          <w:tcPr>
            <w:tcW w:w="1987"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hideMark/>
          </w:tcPr>
          <w:p w14:paraId="4806493A" w14:textId="77777777"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Study</w:t>
            </w:r>
          </w:p>
        </w:tc>
        <w:tc>
          <w:tcPr>
            <w:tcW w:w="1348" w:type="dxa"/>
            <w:gridSpan w:val="2"/>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3434033F" w14:textId="77777777"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FRESCO-2</w:t>
            </w:r>
          </w:p>
        </w:tc>
        <w:tc>
          <w:tcPr>
            <w:tcW w:w="1205" w:type="dxa"/>
            <w:gridSpan w:val="2"/>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4A6D652C" w14:textId="77777777"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FRESCO</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61CF284B" w14:textId="77777777"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FRESCO-2</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6349A0E2" w14:textId="77777777"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FRESCO</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1AADDD90" w14:textId="77777777"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FRESCO-2</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hideMark/>
          </w:tcPr>
          <w:p w14:paraId="1B19A087" w14:textId="77777777" w:rsidR="00E0683A" w:rsidRPr="00391A87" w:rsidRDefault="00E0683A" w:rsidP="00391A87">
            <w:pPr>
              <w:keepNext/>
              <w:spacing w:before="80" w:after="40" w:line="264" w:lineRule="auto"/>
              <w:ind w:left="113"/>
              <w:rPr>
                <w:b/>
                <w:color w:val="263287"/>
                <w:sz w:val="20"/>
                <w:lang w:val="en-US"/>
              </w:rPr>
            </w:pPr>
            <w:r w:rsidRPr="00391A87">
              <w:rPr>
                <w:b/>
                <w:color w:val="263287"/>
                <w:sz w:val="20"/>
                <w:lang w:val="en-US"/>
              </w:rPr>
              <w:t>FRESCO</w:t>
            </w:r>
          </w:p>
        </w:tc>
      </w:tr>
      <w:tr w:rsidR="00E0683A" w:rsidRPr="00E0683A" w14:paraId="04979EEE"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tcPr>
          <w:p w14:paraId="6B453A83" w14:textId="77777777" w:rsidR="00E0683A" w:rsidRPr="00B068F9" w:rsidRDefault="00E0683A" w:rsidP="00527870">
            <w:pPr>
              <w:ind w:left="57"/>
              <w:rPr>
                <w:b/>
                <w:bCs/>
                <w:sz w:val="20"/>
                <w:lang w:val="en-US"/>
              </w:rPr>
            </w:pPr>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59E2AA20" w14:textId="77777777" w:rsidR="00E0683A" w:rsidRPr="00B068F9" w:rsidRDefault="00E0683A" w:rsidP="00527870">
            <w:pPr>
              <w:ind w:left="57"/>
              <w:rPr>
                <w:b/>
                <w:bCs/>
                <w:sz w:val="20"/>
                <w:lang w:val="en-US"/>
              </w:rPr>
            </w:pPr>
            <w:r w:rsidRPr="00B068F9">
              <w:rPr>
                <w:b/>
                <w:bCs/>
                <w:sz w:val="20"/>
                <w:lang w:val="en-US"/>
              </w:rPr>
              <w:t>F</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67A57540" w14:textId="77777777" w:rsidR="00E0683A" w:rsidRPr="00B068F9" w:rsidRDefault="00E0683A" w:rsidP="00527870">
            <w:pPr>
              <w:ind w:left="57"/>
              <w:rPr>
                <w:b/>
                <w:bCs/>
                <w:sz w:val="20"/>
                <w:lang w:val="en-US"/>
              </w:rPr>
            </w:pPr>
            <w:r w:rsidRPr="00B068F9">
              <w:rPr>
                <w:b/>
                <w:bCs/>
                <w:sz w:val="20"/>
                <w:lang w:val="en-US"/>
              </w:rPr>
              <w:t>P</w:t>
            </w:r>
          </w:p>
        </w:tc>
        <w:tc>
          <w:tcPr>
            <w:tcW w:w="603"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518FFA1B" w14:textId="77777777" w:rsidR="00E0683A" w:rsidRPr="00B068F9" w:rsidRDefault="00E0683A" w:rsidP="00527870">
            <w:pPr>
              <w:ind w:left="57"/>
              <w:rPr>
                <w:b/>
                <w:bCs/>
                <w:sz w:val="20"/>
                <w:lang w:val="en-US"/>
              </w:rPr>
            </w:pPr>
            <w:r w:rsidRPr="00B068F9">
              <w:rPr>
                <w:b/>
                <w:bCs/>
                <w:sz w:val="20"/>
                <w:lang w:val="en-US"/>
              </w:rPr>
              <w:t>F</w:t>
            </w:r>
          </w:p>
        </w:tc>
        <w:tc>
          <w:tcPr>
            <w:tcW w:w="602" w:type="dxa"/>
            <w:tcBorders>
              <w:top w:val="single" w:sz="8" w:space="0" w:color="000000"/>
              <w:left w:val="single" w:sz="8" w:space="0" w:color="000000"/>
              <w:bottom w:val="single" w:sz="8" w:space="0" w:color="000000"/>
              <w:right w:val="single" w:sz="8" w:space="0" w:color="000000"/>
            </w:tcBorders>
            <w:vAlign w:val="center"/>
            <w:hideMark/>
          </w:tcPr>
          <w:p w14:paraId="1B7AC031" w14:textId="77777777" w:rsidR="00E0683A" w:rsidRPr="00B068F9" w:rsidRDefault="00E0683A" w:rsidP="00527870">
            <w:pPr>
              <w:ind w:left="57"/>
              <w:rPr>
                <w:b/>
                <w:bCs/>
                <w:sz w:val="20"/>
                <w:lang w:val="en-US"/>
              </w:rPr>
            </w:pPr>
            <w:r w:rsidRPr="00B068F9">
              <w:rPr>
                <w:b/>
                <w:bCs/>
                <w:sz w:val="20"/>
                <w:lang w:val="en-US"/>
              </w:rPr>
              <w:t>P</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4F2BDE3C" w14:textId="77777777" w:rsidR="00E0683A" w:rsidRPr="00B068F9" w:rsidRDefault="00E0683A" w:rsidP="00527870">
            <w:pPr>
              <w:ind w:left="57"/>
              <w:rPr>
                <w:b/>
                <w:bCs/>
                <w:sz w:val="20"/>
                <w:lang w:val="en-US"/>
              </w:rPr>
            </w:pPr>
            <w:r w:rsidRPr="00B068F9">
              <w:rPr>
                <w:b/>
                <w:bCs/>
                <w:sz w:val="20"/>
                <w:lang w:val="en-US"/>
              </w:rPr>
              <w:t>F</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0F973BE" w14:textId="77777777" w:rsidR="00E0683A" w:rsidRPr="00B068F9" w:rsidRDefault="00E0683A" w:rsidP="00527870">
            <w:pPr>
              <w:ind w:left="57"/>
              <w:rPr>
                <w:b/>
                <w:bCs/>
                <w:sz w:val="20"/>
                <w:lang w:val="en-US"/>
              </w:rPr>
            </w:pPr>
            <w:r w:rsidRPr="00B068F9">
              <w:rPr>
                <w:b/>
                <w:bCs/>
                <w:sz w:val="20"/>
                <w:lang w:val="en-US"/>
              </w:rPr>
              <w:t>P</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5CDA38F5" w14:textId="77777777" w:rsidR="00E0683A" w:rsidRPr="00B068F9" w:rsidRDefault="00E0683A" w:rsidP="00527870">
            <w:pPr>
              <w:ind w:left="57"/>
              <w:rPr>
                <w:b/>
                <w:bCs/>
                <w:sz w:val="20"/>
                <w:lang w:val="en-US"/>
              </w:rPr>
            </w:pPr>
            <w:r w:rsidRPr="00B068F9">
              <w:rPr>
                <w:b/>
                <w:bCs/>
                <w:sz w:val="20"/>
                <w:lang w:val="en-US"/>
              </w:rPr>
              <w:t>F</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AC7EF4A" w14:textId="77777777" w:rsidR="00E0683A" w:rsidRPr="00B068F9" w:rsidRDefault="00E0683A" w:rsidP="00527870">
            <w:pPr>
              <w:ind w:left="57"/>
              <w:rPr>
                <w:b/>
                <w:bCs/>
                <w:sz w:val="20"/>
                <w:lang w:val="en-US"/>
              </w:rPr>
            </w:pPr>
            <w:r w:rsidRPr="00B068F9">
              <w:rPr>
                <w:b/>
                <w:bCs/>
                <w:sz w:val="20"/>
                <w:lang w:val="en-US"/>
              </w:rPr>
              <w:t>P</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2333AD05" w14:textId="77777777" w:rsidR="00E0683A" w:rsidRPr="00B068F9" w:rsidRDefault="00E0683A" w:rsidP="00527870">
            <w:pPr>
              <w:ind w:left="57"/>
              <w:rPr>
                <w:b/>
                <w:bCs/>
                <w:sz w:val="20"/>
                <w:lang w:val="en-US"/>
              </w:rPr>
            </w:pPr>
            <w:r w:rsidRPr="00B068F9">
              <w:rPr>
                <w:b/>
                <w:bCs/>
                <w:sz w:val="20"/>
                <w:lang w:val="en-US"/>
              </w:rPr>
              <w:t>F</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10816911" w14:textId="77777777" w:rsidR="00E0683A" w:rsidRPr="00B068F9" w:rsidRDefault="00E0683A" w:rsidP="00527870">
            <w:pPr>
              <w:ind w:left="57"/>
              <w:rPr>
                <w:b/>
                <w:bCs/>
                <w:sz w:val="20"/>
                <w:lang w:val="en-US"/>
              </w:rPr>
            </w:pPr>
            <w:r w:rsidRPr="00B068F9">
              <w:rPr>
                <w:b/>
                <w:bCs/>
                <w:sz w:val="20"/>
                <w:lang w:val="en-US"/>
              </w:rPr>
              <w:t>P</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4FA87942" w14:textId="77777777" w:rsidR="00E0683A" w:rsidRPr="00B068F9" w:rsidRDefault="00E0683A" w:rsidP="00527870">
            <w:pPr>
              <w:ind w:left="57"/>
              <w:rPr>
                <w:b/>
                <w:bCs/>
                <w:sz w:val="20"/>
                <w:lang w:val="en-US"/>
              </w:rPr>
            </w:pPr>
            <w:r w:rsidRPr="00B068F9">
              <w:rPr>
                <w:b/>
                <w:bCs/>
                <w:sz w:val="20"/>
                <w:lang w:val="en-US"/>
              </w:rPr>
              <w:t>F</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0D40A8C7" w14:textId="77777777" w:rsidR="00E0683A" w:rsidRPr="00B068F9" w:rsidRDefault="00E0683A" w:rsidP="00527870">
            <w:pPr>
              <w:ind w:left="57"/>
              <w:rPr>
                <w:b/>
                <w:bCs/>
                <w:sz w:val="20"/>
                <w:lang w:val="en-US"/>
              </w:rPr>
            </w:pPr>
            <w:r w:rsidRPr="00B068F9">
              <w:rPr>
                <w:b/>
                <w:bCs/>
                <w:sz w:val="20"/>
                <w:lang w:val="en-US"/>
              </w:rPr>
              <w:t>P</w:t>
            </w:r>
          </w:p>
        </w:tc>
      </w:tr>
      <w:tr w:rsidR="00E0683A" w:rsidRPr="00E0683A" w14:paraId="3E360D9E"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47B8D29F" w14:textId="77777777" w:rsidR="00E0683A" w:rsidRPr="00B068F9" w:rsidRDefault="00E0683A" w:rsidP="00527870">
            <w:pPr>
              <w:ind w:left="57"/>
              <w:rPr>
                <w:b/>
                <w:bCs/>
                <w:sz w:val="20"/>
                <w:lang w:val="en-US"/>
              </w:rPr>
            </w:pPr>
            <w:r w:rsidRPr="00B068F9">
              <w:rPr>
                <w:b/>
                <w:bCs/>
                <w:sz w:val="20"/>
                <w:lang w:val="en-US"/>
              </w:rPr>
              <w:t>TOTAL</w:t>
            </w:r>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8750684" w14:textId="77777777" w:rsidR="00E0683A" w:rsidRPr="00B068F9" w:rsidRDefault="00E0683A" w:rsidP="00527870">
            <w:pPr>
              <w:ind w:left="57"/>
              <w:rPr>
                <w:b/>
                <w:bCs/>
                <w:sz w:val="20"/>
                <w:lang w:val="en-US"/>
              </w:rPr>
            </w:pPr>
            <w:r w:rsidRPr="00B068F9">
              <w:rPr>
                <w:b/>
                <w:bCs/>
                <w:sz w:val="20"/>
                <w:lang w:val="en-US"/>
              </w:rPr>
              <w:t>252 (55)</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5C87A6E1" w14:textId="77777777" w:rsidR="00E0683A" w:rsidRPr="00B068F9" w:rsidRDefault="00E0683A" w:rsidP="00527870">
            <w:pPr>
              <w:ind w:left="57"/>
              <w:rPr>
                <w:b/>
                <w:bCs/>
                <w:sz w:val="20"/>
                <w:lang w:val="en-US"/>
              </w:rPr>
            </w:pPr>
            <w:r w:rsidRPr="00B068F9">
              <w:rPr>
                <w:b/>
                <w:bCs/>
                <w:sz w:val="20"/>
                <w:lang w:val="en-US"/>
              </w:rPr>
              <w:t>66 (29)</w:t>
            </w:r>
          </w:p>
        </w:tc>
        <w:tc>
          <w:tcPr>
            <w:tcW w:w="603"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5B19F707" w14:textId="77777777" w:rsidR="00E0683A" w:rsidRPr="00B068F9" w:rsidRDefault="00E0683A" w:rsidP="00527870">
            <w:pPr>
              <w:ind w:left="57"/>
              <w:rPr>
                <w:b/>
                <w:bCs/>
                <w:sz w:val="20"/>
                <w:lang w:val="en-US"/>
              </w:rPr>
            </w:pPr>
            <w:r w:rsidRPr="00B068F9">
              <w:rPr>
                <w:b/>
                <w:bCs/>
                <w:sz w:val="20"/>
                <w:lang w:val="en-US"/>
              </w:rPr>
              <w:t>98 (35)</w:t>
            </w:r>
          </w:p>
        </w:tc>
        <w:tc>
          <w:tcPr>
            <w:tcW w:w="602" w:type="dxa"/>
            <w:tcBorders>
              <w:top w:val="single" w:sz="8" w:space="0" w:color="000000"/>
              <w:left w:val="single" w:sz="8" w:space="0" w:color="000000"/>
              <w:bottom w:val="single" w:sz="8" w:space="0" w:color="000000"/>
              <w:right w:val="single" w:sz="8" w:space="0" w:color="000000"/>
            </w:tcBorders>
            <w:vAlign w:val="center"/>
            <w:hideMark/>
          </w:tcPr>
          <w:p w14:paraId="0E26B9F6" w14:textId="77777777" w:rsidR="00E0683A" w:rsidRPr="00B068F9" w:rsidRDefault="00E0683A" w:rsidP="00527870">
            <w:pPr>
              <w:ind w:left="57"/>
              <w:rPr>
                <w:b/>
                <w:bCs/>
                <w:sz w:val="20"/>
                <w:lang w:val="en-US"/>
              </w:rPr>
            </w:pPr>
            <w:r w:rsidRPr="00B068F9">
              <w:rPr>
                <w:b/>
                <w:bCs/>
                <w:sz w:val="20"/>
                <w:lang w:val="en-US"/>
              </w:rPr>
              <w:t>14 (10)</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7EB8D3DA" w14:textId="77777777" w:rsidR="00E0683A" w:rsidRPr="00B068F9" w:rsidRDefault="00E0683A" w:rsidP="00527870">
            <w:pPr>
              <w:ind w:left="57"/>
              <w:rPr>
                <w:b/>
                <w:bCs/>
                <w:sz w:val="20"/>
                <w:lang w:val="en-US"/>
              </w:rPr>
            </w:pPr>
            <w:r w:rsidRPr="00B068F9">
              <w:rPr>
                <w:b/>
                <w:bCs/>
                <w:sz w:val="20"/>
                <w:lang w:val="en-US"/>
              </w:rPr>
              <w:t>110 (24)</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13A448F6" w14:textId="77777777" w:rsidR="00E0683A" w:rsidRPr="00B068F9" w:rsidRDefault="00E0683A" w:rsidP="00527870">
            <w:pPr>
              <w:ind w:left="57"/>
              <w:rPr>
                <w:b/>
                <w:bCs/>
                <w:sz w:val="20"/>
                <w:lang w:val="en-US"/>
              </w:rPr>
            </w:pPr>
            <w:r w:rsidRPr="00B068F9">
              <w:rPr>
                <w:b/>
                <w:bCs/>
                <w:sz w:val="20"/>
                <w:lang w:val="en-US"/>
              </w:rPr>
              <w:t>9 (4)</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208FB519" w14:textId="77777777" w:rsidR="00E0683A" w:rsidRPr="00B068F9" w:rsidRDefault="00E0683A" w:rsidP="00527870">
            <w:pPr>
              <w:ind w:left="57"/>
              <w:rPr>
                <w:b/>
                <w:bCs/>
                <w:sz w:val="20"/>
                <w:lang w:val="en-US"/>
              </w:rPr>
            </w:pPr>
            <w:r w:rsidRPr="00B068F9">
              <w:rPr>
                <w:b/>
                <w:bCs/>
                <w:sz w:val="20"/>
                <w:lang w:val="en-US"/>
              </w:rPr>
              <w:t>67 (24)</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44234E9B" w14:textId="77777777" w:rsidR="00E0683A" w:rsidRPr="00B068F9" w:rsidRDefault="00E0683A" w:rsidP="00527870">
            <w:pPr>
              <w:ind w:left="57"/>
              <w:rPr>
                <w:b/>
                <w:bCs/>
                <w:sz w:val="20"/>
                <w:lang w:val="en-US"/>
              </w:rPr>
            </w:pPr>
            <w:r w:rsidRPr="00B068F9">
              <w:rPr>
                <w:b/>
                <w:bCs/>
                <w:sz w:val="20"/>
                <w:lang w:val="en-US"/>
              </w:rPr>
              <w:t>6 (4)</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98B77F0" w14:textId="77777777" w:rsidR="00E0683A" w:rsidRPr="00B068F9" w:rsidRDefault="00E0683A" w:rsidP="00527870">
            <w:pPr>
              <w:ind w:left="57"/>
              <w:rPr>
                <w:b/>
                <w:bCs/>
                <w:sz w:val="20"/>
                <w:lang w:val="en-US"/>
              </w:rPr>
            </w:pPr>
            <w:r w:rsidRPr="00B068F9">
              <w:rPr>
                <w:b/>
                <w:bCs/>
                <w:sz w:val="20"/>
                <w:lang w:val="en-US"/>
              </w:rPr>
              <w:t>93 (20)</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1684EDAF" w14:textId="77777777" w:rsidR="00E0683A" w:rsidRPr="00B068F9" w:rsidRDefault="00E0683A" w:rsidP="00527870">
            <w:pPr>
              <w:ind w:left="57"/>
              <w:rPr>
                <w:b/>
                <w:bCs/>
                <w:sz w:val="20"/>
                <w:lang w:val="en-US"/>
              </w:rPr>
            </w:pPr>
            <w:r w:rsidRPr="00B068F9">
              <w:rPr>
                <w:b/>
                <w:bCs/>
                <w:sz w:val="20"/>
                <w:lang w:val="en-US"/>
              </w:rPr>
              <w:t>40 (17)</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49F0E99" w14:textId="77777777" w:rsidR="00E0683A" w:rsidRPr="00B068F9" w:rsidRDefault="00E0683A" w:rsidP="00527870">
            <w:pPr>
              <w:ind w:left="57"/>
              <w:rPr>
                <w:b/>
                <w:bCs/>
                <w:sz w:val="20"/>
                <w:lang w:val="en-US"/>
              </w:rPr>
            </w:pPr>
            <w:r w:rsidRPr="00B068F9">
              <w:rPr>
                <w:b/>
                <w:bCs/>
                <w:sz w:val="20"/>
                <w:lang w:val="en-US"/>
              </w:rPr>
              <w:t>41 (15)</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4FFA3A6" w14:textId="77777777" w:rsidR="00E0683A" w:rsidRPr="00B068F9" w:rsidRDefault="00E0683A" w:rsidP="00527870">
            <w:pPr>
              <w:ind w:left="57"/>
              <w:rPr>
                <w:b/>
                <w:bCs/>
                <w:sz w:val="20"/>
                <w:lang w:val="en-US"/>
              </w:rPr>
            </w:pPr>
            <w:r w:rsidRPr="00B068F9">
              <w:rPr>
                <w:b/>
                <w:bCs/>
                <w:sz w:val="20"/>
                <w:lang w:val="en-US"/>
              </w:rPr>
              <w:t>7 (5)</w:t>
            </w:r>
          </w:p>
        </w:tc>
      </w:tr>
      <w:tr w:rsidR="00E0683A" w:rsidRPr="00E0683A" w14:paraId="29D8A41C"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3AB538F8" w14:textId="08BB7BB2" w:rsidR="00E0683A" w:rsidRPr="00B068F9" w:rsidRDefault="00E0683A" w:rsidP="00527870">
            <w:pPr>
              <w:ind w:left="57"/>
              <w:rPr>
                <w:sz w:val="20"/>
                <w:lang w:val="en-US"/>
              </w:rPr>
            </w:pPr>
            <w:r w:rsidRPr="00B068F9">
              <w:rPr>
                <w:sz w:val="20"/>
                <w:lang w:val="en-US"/>
              </w:rPr>
              <w:t>Fatigue</w:t>
            </w:r>
            <w:r w:rsidR="008F0D27">
              <w:rPr>
                <w:sz w:val="20"/>
                <w:vertAlign w:val="superscript"/>
                <w:lang w:val="en-US"/>
              </w:rPr>
              <w:t>4</w:t>
            </w:r>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55576260" w14:textId="77777777" w:rsidR="00E0683A" w:rsidRPr="00B068F9" w:rsidRDefault="00E0683A" w:rsidP="00527870">
            <w:pPr>
              <w:ind w:left="57"/>
              <w:rPr>
                <w:sz w:val="20"/>
                <w:lang w:val="en-US"/>
              </w:rPr>
            </w:pPr>
            <w:r w:rsidRPr="00B068F9">
              <w:rPr>
                <w:sz w:val="20"/>
                <w:lang w:val="en-US"/>
              </w:rPr>
              <w:t>33 (7.2)</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1465E661" w14:textId="77777777" w:rsidR="00E0683A" w:rsidRPr="00B068F9" w:rsidRDefault="00E0683A" w:rsidP="00527870">
            <w:pPr>
              <w:ind w:left="57"/>
              <w:rPr>
                <w:sz w:val="20"/>
                <w:lang w:val="en-US"/>
              </w:rPr>
            </w:pPr>
            <w:r w:rsidRPr="00B068F9">
              <w:rPr>
                <w:sz w:val="20"/>
                <w:lang w:val="en-US"/>
              </w:rPr>
              <w:t>3 (0.7)</w:t>
            </w:r>
          </w:p>
        </w:tc>
        <w:tc>
          <w:tcPr>
            <w:tcW w:w="603" w:type="dxa"/>
            <w:tcBorders>
              <w:top w:val="single" w:sz="8" w:space="0" w:color="000000"/>
              <w:left w:val="single" w:sz="8" w:space="0" w:color="000000"/>
              <w:bottom w:val="single" w:sz="8" w:space="0" w:color="000000"/>
              <w:right w:val="single" w:sz="8" w:space="0" w:color="000000"/>
            </w:tcBorders>
            <w:vAlign w:val="center"/>
          </w:tcPr>
          <w:p w14:paraId="2443C120"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5654B0B4"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A0BDF8E" w14:textId="77777777" w:rsidR="00E0683A" w:rsidRPr="00B068F9" w:rsidRDefault="00E0683A" w:rsidP="00527870">
            <w:pPr>
              <w:ind w:left="57"/>
              <w:rPr>
                <w:sz w:val="20"/>
                <w:lang w:val="en-US"/>
              </w:rPr>
            </w:pPr>
            <w:r w:rsidRPr="00B068F9">
              <w:rPr>
                <w:sz w:val="20"/>
                <w:lang w:val="en-US"/>
              </w:rPr>
              <w:t>22 (4.8)</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048C0F39" w14:textId="77777777" w:rsidR="00E0683A" w:rsidRPr="00B068F9" w:rsidRDefault="00E0683A" w:rsidP="00527870">
            <w:pPr>
              <w:ind w:left="57"/>
              <w:rPr>
                <w:sz w:val="20"/>
                <w:lang w:val="en-US"/>
              </w:rPr>
            </w:pPr>
            <w:r w:rsidRPr="00B068F9">
              <w:rPr>
                <w:sz w:val="20"/>
                <w:lang w:val="en-US"/>
              </w:rPr>
              <w:t>3 (1.3)</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tcPr>
          <w:p w14:paraId="0C30BFDF"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53D9066"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65D97058" w14:textId="77777777" w:rsidR="00E0683A" w:rsidRPr="00B068F9" w:rsidRDefault="00E0683A" w:rsidP="00527870">
            <w:pPr>
              <w:ind w:left="57"/>
              <w:rPr>
                <w:sz w:val="20"/>
                <w:lang w:val="en-US"/>
              </w:rPr>
            </w:pPr>
            <w:r w:rsidRPr="00B068F9">
              <w:rPr>
                <w:sz w:val="20"/>
                <w:lang w:val="en-US"/>
              </w:rPr>
              <w:t>7 (1.5)</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1B7D142" w14:textId="77777777" w:rsidR="00E0683A" w:rsidRPr="00B068F9" w:rsidRDefault="00E0683A" w:rsidP="00527870">
            <w:pPr>
              <w:ind w:left="57"/>
              <w:rPr>
                <w:sz w:val="20"/>
                <w:lang w:val="en-US"/>
              </w:rPr>
            </w:pPr>
            <w:r w:rsidRPr="00B068F9">
              <w:rPr>
                <w:sz w:val="20"/>
                <w:lang w:val="en-US"/>
              </w:rPr>
              <w:t>2 (0.9)</w:t>
            </w:r>
          </w:p>
        </w:tc>
        <w:tc>
          <w:tcPr>
            <w:tcW w:w="567" w:type="dxa"/>
            <w:tcBorders>
              <w:top w:val="single" w:sz="8" w:space="0" w:color="000000"/>
              <w:left w:val="single" w:sz="8" w:space="0" w:color="000000"/>
              <w:bottom w:val="single" w:sz="8" w:space="0" w:color="000000"/>
              <w:right w:val="single" w:sz="8" w:space="0" w:color="000000"/>
            </w:tcBorders>
            <w:vAlign w:val="center"/>
          </w:tcPr>
          <w:p w14:paraId="63E3C364"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CBBB2E" w14:textId="77777777" w:rsidR="00E0683A" w:rsidRPr="00B068F9" w:rsidRDefault="00E0683A" w:rsidP="00527870">
            <w:pPr>
              <w:ind w:left="57"/>
              <w:rPr>
                <w:sz w:val="20"/>
                <w:lang w:val="en-US"/>
              </w:rPr>
            </w:pPr>
          </w:p>
        </w:tc>
      </w:tr>
      <w:tr w:rsidR="00E0683A" w:rsidRPr="00E0683A" w14:paraId="399102B0"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771C9C30" w14:textId="77777777" w:rsidR="00E0683A" w:rsidRPr="00B068F9" w:rsidRDefault="00E0683A" w:rsidP="00527870">
            <w:pPr>
              <w:ind w:left="57"/>
              <w:rPr>
                <w:sz w:val="20"/>
                <w:lang w:val="en-US"/>
              </w:rPr>
            </w:pPr>
            <w:r w:rsidRPr="00B068F9">
              <w:rPr>
                <w:sz w:val="20"/>
                <w:lang w:val="en-US"/>
              </w:rPr>
              <w:t>PPES</w:t>
            </w:r>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FA0CB5C" w14:textId="77777777" w:rsidR="00E0683A" w:rsidRPr="00B068F9" w:rsidRDefault="00E0683A" w:rsidP="00527870">
            <w:pPr>
              <w:ind w:left="57"/>
              <w:rPr>
                <w:b/>
                <w:sz w:val="20"/>
                <w:lang w:val="en-US"/>
              </w:rPr>
            </w:pPr>
            <w:r w:rsidRPr="00B068F9">
              <w:rPr>
                <w:sz w:val="20"/>
                <w:lang w:val="en-US"/>
              </w:rPr>
              <w:t>29 (6.4)</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76A64DE1" w14:textId="77777777" w:rsidR="00E0683A" w:rsidRPr="00B068F9" w:rsidRDefault="00E0683A" w:rsidP="00527870">
            <w:pPr>
              <w:ind w:left="57"/>
              <w:rPr>
                <w:b/>
                <w:sz w:val="20"/>
                <w:lang w:val="en-US"/>
              </w:rPr>
            </w:pPr>
            <w:r w:rsidRPr="00B068F9">
              <w:rPr>
                <w:sz w:val="20"/>
                <w:lang w:val="en-US"/>
              </w:rPr>
              <w:t>0</w:t>
            </w:r>
          </w:p>
        </w:tc>
        <w:tc>
          <w:tcPr>
            <w:tcW w:w="603"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65069930" w14:textId="77777777" w:rsidR="00E0683A" w:rsidRPr="00B068F9" w:rsidRDefault="00E0683A" w:rsidP="00527870">
            <w:pPr>
              <w:ind w:left="57"/>
              <w:rPr>
                <w:sz w:val="20"/>
                <w:lang w:val="en-US"/>
              </w:rPr>
            </w:pPr>
            <w:r w:rsidRPr="00B068F9">
              <w:rPr>
                <w:sz w:val="20"/>
                <w:lang w:val="en-US"/>
              </w:rPr>
              <w:t>19 (6.8)</w:t>
            </w:r>
          </w:p>
        </w:tc>
        <w:tc>
          <w:tcPr>
            <w:tcW w:w="602" w:type="dxa"/>
            <w:tcBorders>
              <w:top w:val="single" w:sz="8" w:space="0" w:color="000000"/>
              <w:left w:val="single" w:sz="8" w:space="0" w:color="000000"/>
              <w:bottom w:val="single" w:sz="8" w:space="0" w:color="000000"/>
              <w:right w:val="single" w:sz="8" w:space="0" w:color="000000"/>
            </w:tcBorders>
            <w:vAlign w:val="center"/>
            <w:hideMark/>
          </w:tcPr>
          <w:p w14:paraId="492FA85E" w14:textId="77777777" w:rsidR="00E0683A" w:rsidRPr="00B068F9" w:rsidRDefault="00E0683A" w:rsidP="00527870">
            <w:pPr>
              <w:ind w:left="57"/>
              <w:rPr>
                <w:sz w:val="20"/>
                <w:lang w:val="en-US"/>
              </w:rPr>
            </w:pPr>
            <w:r w:rsidRPr="00B068F9">
              <w:rPr>
                <w:sz w:val="20"/>
                <w:lang w:val="en-US"/>
              </w:rPr>
              <w:t>0</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445B077F" w14:textId="77777777" w:rsidR="00E0683A" w:rsidRPr="00B068F9" w:rsidRDefault="00E0683A" w:rsidP="00527870">
            <w:pPr>
              <w:ind w:left="57"/>
              <w:rPr>
                <w:sz w:val="20"/>
                <w:lang w:val="en-US"/>
              </w:rPr>
            </w:pPr>
            <w:r w:rsidRPr="00B068F9">
              <w:rPr>
                <w:sz w:val="20"/>
                <w:lang w:val="en-US"/>
              </w:rPr>
              <w:t>24 (5.2)</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733B7BCF" w14:textId="77777777" w:rsidR="00E0683A" w:rsidRPr="00B068F9" w:rsidRDefault="00E0683A" w:rsidP="00527870">
            <w:pPr>
              <w:ind w:left="57"/>
              <w:rPr>
                <w:sz w:val="20"/>
                <w:lang w:val="en-US"/>
              </w:rPr>
            </w:pPr>
            <w:r w:rsidRPr="00B068F9">
              <w:rPr>
                <w:sz w:val="20"/>
                <w:lang w:val="en-US"/>
              </w:rPr>
              <w:t>0</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4C09AAE3" w14:textId="77777777" w:rsidR="00E0683A" w:rsidRPr="00B068F9" w:rsidRDefault="00E0683A" w:rsidP="00527870">
            <w:pPr>
              <w:ind w:left="57"/>
              <w:rPr>
                <w:bCs/>
                <w:sz w:val="20"/>
                <w:lang w:val="en-US"/>
              </w:rPr>
            </w:pPr>
            <w:r w:rsidRPr="00B068F9">
              <w:rPr>
                <w:bCs/>
                <w:sz w:val="20"/>
                <w:lang w:val="en-US"/>
              </w:rPr>
              <w:t>19 (6.8)</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29ED9584" w14:textId="77777777" w:rsidR="00E0683A" w:rsidRPr="00B068F9" w:rsidRDefault="00E0683A" w:rsidP="00527870">
            <w:pPr>
              <w:ind w:left="57"/>
              <w:rPr>
                <w:b/>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A8DB4A2" w14:textId="77777777" w:rsidR="00E0683A" w:rsidRPr="00B068F9" w:rsidRDefault="00E0683A" w:rsidP="00527870">
            <w:pPr>
              <w:ind w:left="57"/>
              <w:rPr>
                <w:sz w:val="20"/>
                <w:lang w:val="en-US"/>
              </w:rPr>
            </w:pPr>
            <w:r w:rsidRPr="00B068F9">
              <w:rPr>
                <w:sz w:val="20"/>
                <w:lang w:val="en-US"/>
              </w:rPr>
              <w:t>3 (0.7)</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49576FDC"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3A6B2FED"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D1A6B3E" w14:textId="77777777" w:rsidR="00E0683A" w:rsidRPr="00B068F9" w:rsidRDefault="00E0683A" w:rsidP="00527870">
            <w:pPr>
              <w:ind w:left="57"/>
              <w:rPr>
                <w:sz w:val="20"/>
                <w:lang w:val="en-US"/>
              </w:rPr>
            </w:pPr>
          </w:p>
        </w:tc>
      </w:tr>
      <w:tr w:rsidR="00E0683A" w:rsidRPr="00E0683A" w14:paraId="15BB757D"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0B20F9A0" w14:textId="1B850374" w:rsidR="00E0683A" w:rsidRPr="00B068F9" w:rsidRDefault="00E0683A" w:rsidP="00527870">
            <w:pPr>
              <w:ind w:left="57"/>
              <w:rPr>
                <w:sz w:val="20"/>
                <w:lang w:val="en-US"/>
              </w:rPr>
            </w:pPr>
            <w:r w:rsidRPr="00B068F9">
              <w:rPr>
                <w:sz w:val="20"/>
                <w:lang w:val="en-US"/>
              </w:rPr>
              <w:t>Proteinuria</w:t>
            </w:r>
            <w:r w:rsidR="008F0D27" w:rsidRPr="008F0D27">
              <w:rPr>
                <w:sz w:val="20"/>
                <w:vertAlign w:val="superscript"/>
                <w:lang w:val="en-US"/>
              </w:rPr>
              <w:t>5</w:t>
            </w:r>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B1520E2" w14:textId="77777777" w:rsidR="00E0683A" w:rsidRPr="00B068F9" w:rsidRDefault="00E0683A" w:rsidP="00527870">
            <w:pPr>
              <w:ind w:left="57"/>
              <w:rPr>
                <w:sz w:val="20"/>
                <w:lang w:val="en-US"/>
              </w:rPr>
            </w:pPr>
            <w:r w:rsidRPr="00B068F9">
              <w:rPr>
                <w:sz w:val="20"/>
                <w:lang w:val="en-US"/>
              </w:rPr>
              <w:t>26 (5.7)</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449B2297" w14:textId="77777777" w:rsidR="00E0683A" w:rsidRPr="00B068F9" w:rsidRDefault="00E0683A" w:rsidP="00527870">
            <w:pPr>
              <w:ind w:left="57"/>
              <w:rPr>
                <w:sz w:val="20"/>
                <w:lang w:val="en-US"/>
              </w:rPr>
            </w:pPr>
            <w:r w:rsidRPr="00B068F9">
              <w:rPr>
                <w:sz w:val="20"/>
                <w:lang w:val="en-US"/>
              </w:rPr>
              <w:t>6 (2.6)</w:t>
            </w:r>
          </w:p>
        </w:tc>
        <w:tc>
          <w:tcPr>
            <w:tcW w:w="603"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E8AE64E" w14:textId="77777777" w:rsidR="00E0683A" w:rsidRPr="00B068F9" w:rsidRDefault="00E0683A" w:rsidP="00527870">
            <w:pPr>
              <w:ind w:left="57"/>
              <w:rPr>
                <w:sz w:val="20"/>
                <w:lang w:val="en-US"/>
              </w:rPr>
            </w:pPr>
            <w:r w:rsidRPr="00B068F9">
              <w:rPr>
                <w:sz w:val="20"/>
                <w:lang w:val="en-US"/>
              </w:rPr>
              <w:t>18 (6.5)</w:t>
            </w:r>
          </w:p>
        </w:tc>
        <w:tc>
          <w:tcPr>
            <w:tcW w:w="602" w:type="dxa"/>
            <w:tcBorders>
              <w:top w:val="single" w:sz="8" w:space="0" w:color="000000"/>
              <w:left w:val="single" w:sz="8" w:space="0" w:color="000000"/>
              <w:bottom w:val="single" w:sz="8" w:space="0" w:color="000000"/>
              <w:right w:val="single" w:sz="8" w:space="0" w:color="000000"/>
            </w:tcBorders>
            <w:vAlign w:val="center"/>
            <w:hideMark/>
          </w:tcPr>
          <w:p w14:paraId="01B203F3" w14:textId="77777777" w:rsidR="00E0683A" w:rsidRPr="00B068F9" w:rsidRDefault="00E0683A" w:rsidP="00527870">
            <w:pPr>
              <w:ind w:left="57"/>
              <w:rPr>
                <w:sz w:val="20"/>
                <w:lang w:val="en-US"/>
              </w:rPr>
            </w:pPr>
            <w:r w:rsidRPr="00B068F9">
              <w:rPr>
                <w:sz w:val="20"/>
                <w:lang w:val="en-US"/>
              </w:rPr>
              <w:t>1 (0.7)</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254E2AF0" w14:textId="77777777" w:rsidR="00E0683A" w:rsidRPr="00B068F9" w:rsidRDefault="00E0683A" w:rsidP="00527870">
            <w:pPr>
              <w:ind w:left="57"/>
              <w:rPr>
                <w:sz w:val="20"/>
                <w:lang w:val="en-US"/>
              </w:rPr>
            </w:pPr>
            <w:r w:rsidRPr="00B068F9">
              <w:rPr>
                <w:sz w:val="20"/>
                <w:lang w:val="en-US"/>
              </w:rPr>
              <w:t>8 (1.8)</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42D212BB" w14:textId="77777777" w:rsidR="00E0683A" w:rsidRPr="00B068F9" w:rsidRDefault="00E0683A" w:rsidP="00527870">
            <w:pPr>
              <w:ind w:left="57"/>
              <w:rPr>
                <w:sz w:val="20"/>
                <w:lang w:val="en-US"/>
              </w:rPr>
            </w:pPr>
            <w:r w:rsidRPr="00B068F9">
              <w:rPr>
                <w:sz w:val="20"/>
                <w:lang w:val="en-US"/>
              </w:rPr>
              <w:t>1 (0.4)</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0255CBD" w14:textId="77777777" w:rsidR="00E0683A" w:rsidRPr="00B068F9" w:rsidRDefault="00E0683A" w:rsidP="00527870">
            <w:pPr>
              <w:ind w:left="57"/>
              <w:rPr>
                <w:sz w:val="20"/>
                <w:lang w:val="en-US"/>
              </w:rPr>
            </w:pPr>
            <w:r w:rsidRPr="00B068F9">
              <w:rPr>
                <w:sz w:val="20"/>
                <w:lang w:val="en-US"/>
              </w:rPr>
              <w:t>16 (5.8)</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0463791C"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7729CE5B" w14:textId="77777777" w:rsidR="00E0683A" w:rsidRPr="00B068F9" w:rsidRDefault="00E0683A" w:rsidP="00527870">
            <w:pPr>
              <w:ind w:left="57"/>
              <w:rPr>
                <w:sz w:val="20"/>
                <w:lang w:val="en-US"/>
              </w:rPr>
            </w:pPr>
            <w:r w:rsidRPr="00B068F9">
              <w:rPr>
                <w:sz w:val="20"/>
                <w:lang w:val="en-US"/>
              </w:rPr>
              <w:t>4 (0.9)</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19DE7930"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6DBF14B" w14:textId="77777777" w:rsidR="00E0683A" w:rsidRPr="00B068F9" w:rsidRDefault="00E0683A" w:rsidP="00527870">
            <w:pPr>
              <w:ind w:left="57"/>
              <w:rPr>
                <w:sz w:val="20"/>
                <w:lang w:val="en-US"/>
              </w:rPr>
            </w:pPr>
            <w:r w:rsidRPr="00B068F9">
              <w:rPr>
                <w:sz w:val="20"/>
                <w:lang w:val="en-US"/>
              </w:rPr>
              <w:t>9 (3.2)</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EC48F55" w14:textId="77777777" w:rsidR="00E0683A" w:rsidRPr="00B068F9" w:rsidRDefault="00E0683A" w:rsidP="00527870">
            <w:pPr>
              <w:ind w:left="57"/>
              <w:rPr>
                <w:sz w:val="20"/>
                <w:lang w:val="en-US"/>
              </w:rPr>
            </w:pPr>
            <w:r w:rsidRPr="00B068F9">
              <w:rPr>
                <w:sz w:val="20"/>
                <w:lang w:val="en-US"/>
              </w:rPr>
              <w:t>1 (0.7)</w:t>
            </w:r>
          </w:p>
        </w:tc>
      </w:tr>
      <w:tr w:rsidR="00E0683A" w:rsidRPr="00E0683A" w14:paraId="38EF1C07"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53970C6F" w14:textId="77777777" w:rsidR="00E0683A" w:rsidRPr="00B068F9" w:rsidRDefault="00E0683A" w:rsidP="00527870">
            <w:pPr>
              <w:ind w:left="57"/>
              <w:rPr>
                <w:sz w:val="20"/>
                <w:lang w:val="en-US"/>
              </w:rPr>
            </w:pPr>
            <w:r w:rsidRPr="00B068F9">
              <w:rPr>
                <w:sz w:val="20"/>
                <w:lang w:val="en-US"/>
              </w:rPr>
              <w:t>Abdominal pain</w:t>
            </w:r>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64C4D7DD" w14:textId="77777777" w:rsidR="00E0683A" w:rsidRPr="00B068F9" w:rsidRDefault="00E0683A" w:rsidP="00527870">
            <w:pPr>
              <w:ind w:left="57"/>
              <w:rPr>
                <w:sz w:val="20"/>
                <w:lang w:val="en-US"/>
              </w:rPr>
            </w:pPr>
            <w:r w:rsidRPr="00B068F9">
              <w:rPr>
                <w:sz w:val="20"/>
                <w:lang w:val="en-US"/>
              </w:rPr>
              <w:t>16 (3.5)</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6E9A1572" w14:textId="77777777" w:rsidR="00E0683A" w:rsidRPr="00B068F9" w:rsidRDefault="00E0683A" w:rsidP="00527870">
            <w:pPr>
              <w:ind w:left="57"/>
              <w:rPr>
                <w:sz w:val="20"/>
                <w:lang w:val="en-US"/>
              </w:rPr>
            </w:pPr>
            <w:r w:rsidRPr="00B068F9">
              <w:rPr>
                <w:sz w:val="20"/>
                <w:lang w:val="en-US"/>
              </w:rPr>
              <w:t>5 (2.2)</w:t>
            </w:r>
          </w:p>
        </w:tc>
        <w:tc>
          <w:tcPr>
            <w:tcW w:w="603" w:type="dxa"/>
            <w:tcBorders>
              <w:top w:val="single" w:sz="8" w:space="0" w:color="000000"/>
              <w:left w:val="single" w:sz="8" w:space="0" w:color="000000"/>
              <w:bottom w:val="single" w:sz="8" w:space="0" w:color="000000"/>
              <w:right w:val="single" w:sz="8" w:space="0" w:color="000000"/>
            </w:tcBorders>
            <w:vAlign w:val="center"/>
          </w:tcPr>
          <w:p w14:paraId="2835A04A"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2C5303B0"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07C13163"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9904A28"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4F7993EE"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62D0288"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7C6D28F" w14:textId="77777777" w:rsidR="00E0683A" w:rsidRPr="00B068F9" w:rsidRDefault="00E0683A" w:rsidP="00527870">
            <w:pPr>
              <w:ind w:left="57"/>
              <w:rPr>
                <w:sz w:val="20"/>
                <w:lang w:val="en-US"/>
              </w:rPr>
            </w:pPr>
            <w:r w:rsidRPr="00B068F9">
              <w:rPr>
                <w:sz w:val="20"/>
                <w:lang w:val="en-US"/>
              </w:rPr>
              <w:t>3 (0.7)</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71885F6F"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17C21AF7"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C91301A" w14:textId="77777777" w:rsidR="00E0683A" w:rsidRPr="00B068F9" w:rsidRDefault="00E0683A" w:rsidP="00527870">
            <w:pPr>
              <w:ind w:left="57"/>
              <w:rPr>
                <w:sz w:val="20"/>
                <w:lang w:val="en-US"/>
              </w:rPr>
            </w:pPr>
          </w:p>
        </w:tc>
      </w:tr>
      <w:tr w:rsidR="00E0683A" w:rsidRPr="00E0683A" w14:paraId="40F14B8C"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4813166E" w14:textId="77777777" w:rsidR="00E0683A" w:rsidRPr="00B068F9" w:rsidRDefault="00E0683A" w:rsidP="00527870">
            <w:pPr>
              <w:ind w:left="57"/>
              <w:rPr>
                <w:sz w:val="20"/>
                <w:lang w:val="en-US"/>
              </w:rPr>
            </w:pPr>
            <w:r w:rsidRPr="00B068F9">
              <w:rPr>
                <w:sz w:val="20"/>
                <w:lang w:val="en-US"/>
              </w:rPr>
              <w:t>Vomiting</w:t>
            </w:r>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F50444B" w14:textId="77777777" w:rsidR="00E0683A" w:rsidRPr="00B068F9" w:rsidRDefault="00E0683A" w:rsidP="00527870">
            <w:pPr>
              <w:ind w:left="57"/>
              <w:rPr>
                <w:sz w:val="20"/>
                <w:lang w:val="en-US"/>
              </w:rPr>
            </w:pPr>
            <w:r w:rsidRPr="00B068F9">
              <w:rPr>
                <w:sz w:val="20"/>
                <w:lang w:val="en-US"/>
              </w:rPr>
              <w:t>14 (3.1)</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6558ABEA" w14:textId="77777777" w:rsidR="00E0683A" w:rsidRPr="00B068F9" w:rsidRDefault="00E0683A" w:rsidP="00527870">
            <w:pPr>
              <w:ind w:left="57"/>
              <w:rPr>
                <w:sz w:val="20"/>
                <w:lang w:val="en-US"/>
              </w:rPr>
            </w:pPr>
            <w:r w:rsidRPr="00B068F9">
              <w:rPr>
                <w:sz w:val="20"/>
                <w:lang w:val="en-US"/>
              </w:rPr>
              <w:t>6 (2.6)</w:t>
            </w:r>
          </w:p>
        </w:tc>
        <w:tc>
          <w:tcPr>
            <w:tcW w:w="603" w:type="dxa"/>
            <w:tcBorders>
              <w:top w:val="single" w:sz="8" w:space="0" w:color="000000"/>
              <w:left w:val="single" w:sz="8" w:space="0" w:color="000000"/>
              <w:bottom w:val="single" w:sz="8" w:space="0" w:color="000000"/>
              <w:right w:val="single" w:sz="8" w:space="0" w:color="000000"/>
            </w:tcBorders>
            <w:vAlign w:val="center"/>
          </w:tcPr>
          <w:p w14:paraId="15C81277"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37792CA2"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3EB20EAE"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FE9FC28"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5E7B674A"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F367D24"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86BA034"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EDA15D"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E5448A7"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73D64E" w14:textId="77777777" w:rsidR="00E0683A" w:rsidRPr="00B068F9" w:rsidRDefault="00E0683A" w:rsidP="00527870">
            <w:pPr>
              <w:ind w:left="57"/>
              <w:rPr>
                <w:sz w:val="20"/>
                <w:lang w:val="en-US"/>
              </w:rPr>
            </w:pPr>
          </w:p>
        </w:tc>
      </w:tr>
      <w:tr w:rsidR="00E0683A" w:rsidRPr="00E0683A" w14:paraId="56D37ABF"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03EC1234" w14:textId="77777777" w:rsidR="00E0683A" w:rsidRPr="00B068F9" w:rsidRDefault="00E0683A" w:rsidP="00527870">
            <w:pPr>
              <w:ind w:left="57"/>
              <w:rPr>
                <w:sz w:val="20"/>
                <w:lang w:val="en-US"/>
              </w:rPr>
            </w:pPr>
            <w:r w:rsidRPr="00B068F9">
              <w:rPr>
                <w:sz w:val="20"/>
                <w:lang w:val="en-US"/>
              </w:rPr>
              <w:t>Hypertension</w:t>
            </w:r>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2830E4A" w14:textId="77777777" w:rsidR="00E0683A" w:rsidRPr="00B068F9" w:rsidRDefault="00E0683A" w:rsidP="00527870">
            <w:pPr>
              <w:ind w:left="57"/>
              <w:rPr>
                <w:sz w:val="20"/>
                <w:lang w:val="en-US"/>
              </w:rPr>
            </w:pPr>
            <w:r w:rsidRPr="00B068F9">
              <w:rPr>
                <w:sz w:val="20"/>
                <w:lang w:val="en-US"/>
              </w:rPr>
              <w:t>14 (3.1)</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48C7E59A" w14:textId="77777777" w:rsidR="00E0683A" w:rsidRPr="00B068F9" w:rsidRDefault="00E0683A" w:rsidP="00527870">
            <w:pPr>
              <w:ind w:left="57"/>
              <w:rPr>
                <w:sz w:val="20"/>
                <w:lang w:val="en-US"/>
              </w:rPr>
            </w:pPr>
            <w:r w:rsidRPr="00B068F9">
              <w:rPr>
                <w:sz w:val="20"/>
                <w:lang w:val="en-US"/>
              </w:rPr>
              <w:t>1 (0.4)</w:t>
            </w:r>
          </w:p>
        </w:tc>
        <w:tc>
          <w:tcPr>
            <w:tcW w:w="603"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37C0320B" w14:textId="77777777" w:rsidR="00E0683A" w:rsidRPr="00B068F9" w:rsidRDefault="00E0683A" w:rsidP="00527870">
            <w:pPr>
              <w:ind w:left="57"/>
              <w:rPr>
                <w:sz w:val="20"/>
                <w:lang w:val="en-US"/>
              </w:rPr>
            </w:pPr>
            <w:r w:rsidRPr="00B068F9">
              <w:rPr>
                <w:sz w:val="20"/>
                <w:lang w:val="en-US"/>
              </w:rPr>
              <w:t>6 (2.2)</w:t>
            </w:r>
          </w:p>
        </w:tc>
        <w:tc>
          <w:tcPr>
            <w:tcW w:w="602" w:type="dxa"/>
            <w:tcBorders>
              <w:top w:val="single" w:sz="8" w:space="0" w:color="000000"/>
              <w:left w:val="single" w:sz="8" w:space="0" w:color="000000"/>
              <w:bottom w:val="single" w:sz="8" w:space="0" w:color="000000"/>
              <w:right w:val="single" w:sz="8" w:space="0" w:color="000000"/>
            </w:tcBorders>
            <w:vAlign w:val="center"/>
            <w:hideMark/>
          </w:tcPr>
          <w:p w14:paraId="634C9574" w14:textId="77777777" w:rsidR="00E0683A" w:rsidRPr="00B068F9" w:rsidRDefault="00E0683A" w:rsidP="00527870">
            <w:pPr>
              <w:ind w:left="57"/>
              <w:rPr>
                <w:sz w:val="20"/>
                <w:lang w:val="en-US"/>
              </w:rPr>
            </w:pPr>
            <w:r w:rsidRPr="00B068F9">
              <w:rPr>
                <w:sz w:val="20"/>
                <w:lang w:val="en-US"/>
              </w:rPr>
              <w:t>0</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C0E6B98" w14:textId="77777777" w:rsidR="00E0683A" w:rsidRPr="00B068F9" w:rsidRDefault="00E0683A" w:rsidP="00527870">
            <w:pPr>
              <w:ind w:left="57"/>
              <w:rPr>
                <w:sz w:val="20"/>
                <w:lang w:val="en-US"/>
              </w:rPr>
            </w:pPr>
            <w:r w:rsidRPr="00B068F9">
              <w:rPr>
                <w:sz w:val="20"/>
                <w:lang w:val="en-US"/>
              </w:rPr>
              <w:t>17 (3.7)</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204261A4" w14:textId="77777777" w:rsidR="00E0683A" w:rsidRPr="00B068F9" w:rsidRDefault="00E0683A" w:rsidP="00527870">
            <w:pPr>
              <w:ind w:left="57"/>
              <w:rPr>
                <w:sz w:val="20"/>
                <w:lang w:val="en-US"/>
              </w:rPr>
            </w:pPr>
            <w:r w:rsidRPr="00B068F9">
              <w:rPr>
                <w:sz w:val="20"/>
                <w:lang w:val="en-US"/>
              </w:rPr>
              <w:t>1 (0.4)</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2DA885A1" w14:textId="77777777" w:rsidR="00E0683A" w:rsidRPr="00B068F9" w:rsidRDefault="00E0683A" w:rsidP="00527870">
            <w:pPr>
              <w:ind w:left="57"/>
              <w:rPr>
                <w:sz w:val="20"/>
                <w:lang w:val="en-US"/>
              </w:rPr>
            </w:pPr>
            <w:r w:rsidRPr="00B068F9">
              <w:rPr>
                <w:sz w:val="20"/>
                <w:lang w:val="en-US"/>
              </w:rPr>
              <w:t>7 (2.5)</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51B3C0B"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70DB4191"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66F5422"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7FB6AF4"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342DAE0" w14:textId="77777777" w:rsidR="00E0683A" w:rsidRPr="00B068F9" w:rsidRDefault="00E0683A" w:rsidP="00527870">
            <w:pPr>
              <w:ind w:left="57"/>
              <w:rPr>
                <w:sz w:val="20"/>
                <w:lang w:val="en-US"/>
              </w:rPr>
            </w:pPr>
          </w:p>
        </w:tc>
      </w:tr>
      <w:tr w:rsidR="00E0683A" w:rsidRPr="00E0683A" w14:paraId="0B96BC78"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0A18D425" w14:textId="77777777" w:rsidR="00E0683A" w:rsidRPr="00B068F9" w:rsidRDefault="00E0683A" w:rsidP="00527870">
            <w:pPr>
              <w:ind w:left="57"/>
              <w:rPr>
                <w:sz w:val="20"/>
                <w:lang w:val="en-US"/>
              </w:rPr>
            </w:pPr>
            <w:proofErr w:type="spellStart"/>
            <w:r w:rsidRPr="00B068F9">
              <w:rPr>
                <w:sz w:val="20"/>
                <w:lang w:val="en-US"/>
              </w:rPr>
              <w:t>Diarrhoea</w:t>
            </w:r>
            <w:proofErr w:type="spellEnd"/>
          </w:p>
        </w:tc>
        <w:tc>
          <w:tcPr>
            <w:tcW w:w="745"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758F5259" w14:textId="77777777" w:rsidR="00E0683A" w:rsidRPr="00B068F9" w:rsidRDefault="00E0683A" w:rsidP="00527870">
            <w:pPr>
              <w:ind w:left="57"/>
              <w:rPr>
                <w:sz w:val="20"/>
                <w:lang w:val="en-US"/>
              </w:rPr>
            </w:pPr>
            <w:r w:rsidRPr="00B068F9">
              <w:rPr>
                <w:sz w:val="20"/>
                <w:lang w:val="en-US"/>
              </w:rPr>
              <w:t>11 (2.4)</w:t>
            </w:r>
          </w:p>
        </w:tc>
        <w:tc>
          <w:tcPr>
            <w:tcW w:w="603" w:type="dxa"/>
            <w:tcBorders>
              <w:top w:val="single" w:sz="8" w:space="0" w:color="000000"/>
              <w:left w:val="single" w:sz="8" w:space="0" w:color="000000"/>
              <w:bottom w:val="single" w:sz="8" w:space="0" w:color="000000"/>
              <w:right w:val="single" w:sz="8" w:space="0" w:color="000000"/>
            </w:tcBorders>
            <w:vAlign w:val="center"/>
            <w:hideMark/>
          </w:tcPr>
          <w:p w14:paraId="16572868" w14:textId="77777777" w:rsidR="00E0683A" w:rsidRPr="00B068F9" w:rsidRDefault="00E0683A" w:rsidP="00527870">
            <w:pPr>
              <w:ind w:left="57"/>
              <w:rPr>
                <w:sz w:val="20"/>
                <w:lang w:val="en-US"/>
              </w:rPr>
            </w:pPr>
            <w:r w:rsidRPr="00B068F9">
              <w:rPr>
                <w:sz w:val="20"/>
                <w:lang w:val="en-US"/>
              </w:rPr>
              <w:t>0</w:t>
            </w:r>
          </w:p>
        </w:tc>
        <w:tc>
          <w:tcPr>
            <w:tcW w:w="603"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28B5CBDD" w14:textId="77777777" w:rsidR="00E0683A" w:rsidRPr="00B068F9" w:rsidRDefault="00E0683A" w:rsidP="00527870">
            <w:pPr>
              <w:ind w:left="57"/>
              <w:rPr>
                <w:sz w:val="20"/>
                <w:lang w:val="en-US"/>
              </w:rPr>
            </w:pPr>
            <w:r w:rsidRPr="00B068F9">
              <w:rPr>
                <w:sz w:val="20"/>
                <w:lang w:val="en-US"/>
              </w:rPr>
              <w:t>6 (2.2)</w:t>
            </w:r>
          </w:p>
        </w:tc>
        <w:tc>
          <w:tcPr>
            <w:tcW w:w="602" w:type="dxa"/>
            <w:tcBorders>
              <w:top w:val="single" w:sz="8" w:space="0" w:color="000000"/>
              <w:left w:val="single" w:sz="8" w:space="0" w:color="000000"/>
              <w:bottom w:val="single" w:sz="8" w:space="0" w:color="000000"/>
              <w:right w:val="single" w:sz="8" w:space="0" w:color="000000"/>
            </w:tcBorders>
            <w:vAlign w:val="center"/>
            <w:hideMark/>
          </w:tcPr>
          <w:p w14:paraId="615AABF5" w14:textId="77777777" w:rsidR="00E0683A" w:rsidRPr="00B068F9" w:rsidRDefault="00E0683A" w:rsidP="00527870">
            <w:pPr>
              <w:ind w:left="57"/>
              <w:rPr>
                <w:sz w:val="20"/>
                <w:lang w:val="en-US"/>
              </w:rPr>
            </w:pPr>
            <w:r w:rsidRPr="00B068F9">
              <w:rPr>
                <w:sz w:val="20"/>
                <w:lang w:val="en-US"/>
              </w:rPr>
              <w:t>0</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6E83CB90" w14:textId="77777777" w:rsidR="00E0683A" w:rsidRPr="00B068F9" w:rsidRDefault="00E0683A" w:rsidP="00527870">
            <w:pPr>
              <w:ind w:left="57"/>
              <w:rPr>
                <w:sz w:val="20"/>
                <w:lang w:val="en-US"/>
              </w:rPr>
            </w:pPr>
            <w:r w:rsidRPr="00B068F9">
              <w:rPr>
                <w:sz w:val="20"/>
                <w:lang w:val="en-US"/>
              </w:rPr>
              <w:t>8 (1.8)</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5125534A" w14:textId="77777777" w:rsidR="00E0683A" w:rsidRPr="00B068F9" w:rsidRDefault="00E0683A" w:rsidP="00527870">
            <w:pPr>
              <w:ind w:left="57"/>
              <w:rPr>
                <w:sz w:val="20"/>
                <w:lang w:val="en-US"/>
              </w:rPr>
            </w:pPr>
            <w:r w:rsidRPr="00B068F9">
              <w:rPr>
                <w:sz w:val="20"/>
                <w:lang w:val="en-US"/>
              </w:rPr>
              <w:t>0</w:t>
            </w: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FF92104" w14:textId="77777777" w:rsidR="00E0683A" w:rsidRPr="00B068F9" w:rsidRDefault="00E0683A" w:rsidP="00527870">
            <w:pPr>
              <w:ind w:left="57"/>
              <w:rPr>
                <w:sz w:val="20"/>
                <w:lang w:val="en-US"/>
              </w:rPr>
            </w:pPr>
            <w:r w:rsidRPr="00B068F9">
              <w:rPr>
                <w:sz w:val="20"/>
                <w:lang w:val="en-US"/>
              </w:rPr>
              <w:t>4 (1.4)</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37455D8"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10E0C93" w14:textId="77777777" w:rsidR="00E0683A" w:rsidRPr="00B068F9" w:rsidRDefault="00E0683A" w:rsidP="00527870">
            <w:pPr>
              <w:ind w:left="57"/>
              <w:rPr>
                <w:sz w:val="20"/>
                <w:lang w:val="en-US"/>
              </w:rPr>
            </w:pPr>
            <w:r w:rsidRPr="00B068F9">
              <w:rPr>
                <w:sz w:val="20"/>
                <w:lang w:val="en-US"/>
              </w:rPr>
              <w:t>3 (0.7)</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305135B"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54C46D7D"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EA92FAD" w14:textId="77777777" w:rsidR="00E0683A" w:rsidRPr="00B068F9" w:rsidRDefault="00E0683A" w:rsidP="00527870">
            <w:pPr>
              <w:ind w:left="57"/>
              <w:rPr>
                <w:sz w:val="20"/>
                <w:lang w:val="en-US"/>
              </w:rPr>
            </w:pPr>
          </w:p>
        </w:tc>
      </w:tr>
      <w:tr w:rsidR="00E0683A" w:rsidRPr="00E0683A" w14:paraId="1B7646AB"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30C8F90C" w14:textId="77777777" w:rsidR="00E0683A" w:rsidRPr="00B068F9" w:rsidRDefault="00E0683A" w:rsidP="00527870">
            <w:pPr>
              <w:ind w:left="57"/>
              <w:rPr>
                <w:sz w:val="20"/>
                <w:lang w:val="en-US"/>
              </w:rPr>
            </w:pPr>
            <w:r w:rsidRPr="00B068F9">
              <w:rPr>
                <w:sz w:val="20"/>
                <w:lang w:val="en-US"/>
              </w:rPr>
              <w:t>General physical health deterioration</w:t>
            </w:r>
          </w:p>
        </w:tc>
        <w:tc>
          <w:tcPr>
            <w:tcW w:w="745" w:type="dxa"/>
            <w:tcBorders>
              <w:top w:val="single" w:sz="8" w:space="0" w:color="000000"/>
              <w:left w:val="single" w:sz="8" w:space="0" w:color="000000"/>
              <w:bottom w:val="single" w:sz="8" w:space="0" w:color="000000"/>
              <w:right w:val="single" w:sz="8" w:space="0" w:color="000000"/>
            </w:tcBorders>
            <w:vAlign w:val="center"/>
          </w:tcPr>
          <w:p w14:paraId="290716B4"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0FFECCF6"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3D09BD7A"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39B6CF6E"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35408E32"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89BE8D6"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604016F5"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BD9E35"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266B0BA1" w14:textId="77777777" w:rsidR="00E0683A" w:rsidRPr="00B068F9" w:rsidRDefault="00E0683A" w:rsidP="00527870">
            <w:pPr>
              <w:ind w:left="57"/>
              <w:rPr>
                <w:sz w:val="20"/>
                <w:lang w:val="en-US"/>
              </w:rPr>
            </w:pPr>
            <w:r w:rsidRPr="00B068F9">
              <w:rPr>
                <w:sz w:val="20"/>
                <w:lang w:val="en-US"/>
              </w:rPr>
              <w:t>5 (1.1)</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73A9F80D" w14:textId="77777777" w:rsidR="00E0683A" w:rsidRPr="00B068F9" w:rsidRDefault="00E0683A" w:rsidP="00527870">
            <w:pPr>
              <w:ind w:left="57"/>
              <w:rPr>
                <w:sz w:val="20"/>
                <w:lang w:val="en-US"/>
              </w:rPr>
            </w:pPr>
            <w:r w:rsidRPr="00B068F9">
              <w:rPr>
                <w:sz w:val="20"/>
                <w:lang w:val="en-US"/>
              </w:rPr>
              <w:t>5 (2.2)</w:t>
            </w:r>
          </w:p>
        </w:tc>
        <w:tc>
          <w:tcPr>
            <w:tcW w:w="567" w:type="dxa"/>
            <w:tcBorders>
              <w:top w:val="single" w:sz="8" w:space="0" w:color="000000"/>
              <w:left w:val="single" w:sz="8" w:space="0" w:color="000000"/>
              <w:bottom w:val="single" w:sz="8" w:space="0" w:color="000000"/>
              <w:right w:val="single" w:sz="8" w:space="0" w:color="000000"/>
            </w:tcBorders>
            <w:vAlign w:val="center"/>
          </w:tcPr>
          <w:p w14:paraId="5A9DFF62"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A5B4BC2" w14:textId="77777777" w:rsidR="00E0683A" w:rsidRPr="00B068F9" w:rsidRDefault="00E0683A" w:rsidP="00527870">
            <w:pPr>
              <w:ind w:left="57"/>
              <w:rPr>
                <w:sz w:val="20"/>
                <w:lang w:val="en-US"/>
              </w:rPr>
            </w:pPr>
          </w:p>
        </w:tc>
      </w:tr>
      <w:tr w:rsidR="00E0683A" w:rsidRPr="00E0683A" w14:paraId="102868C1"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2381C4E5" w14:textId="77777777" w:rsidR="00E0683A" w:rsidRPr="00B068F9" w:rsidRDefault="00E0683A" w:rsidP="00527870">
            <w:pPr>
              <w:ind w:left="57"/>
              <w:rPr>
                <w:sz w:val="20"/>
                <w:lang w:val="en-US"/>
              </w:rPr>
            </w:pPr>
            <w:r w:rsidRPr="00B068F9">
              <w:rPr>
                <w:sz w:val="20"/>
                <w:lang w:val="en-US"/>
              </w:rPr>
              <w:t>Pulmonary embolism</w:t>
            </w:r>
          </w:p>
        </w:tc>
        <w:tc>
          <w:tcPr>
            <w:tcW w:w="745" w:type="dxa"/>
            <w:tcBorders>
              <w:top w:val="single" w:sz="8" w:space="0" w:color="000000"/>
              <w:left w:val="single" w:sz="8" w:space="0" w:color="000000"/>
              <w:bottom w:val="single" w:sz="8" w:space="0" w:color="000000"/>
              <w:right w:val="single" w:sz="8" w:space="0" w:color="000000"/>
            </w:tcBorders>
            <w:vAlign w:val="center"/>
          </w:tcPr>
          <w:p w14:paraId="446B5690"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64E4B631"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352E5483"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4D6CEFD8"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673A0B88"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8D946FC"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0284FE94"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3271CC0"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4E86D94D" w14:textId="77777777" w:rsidR="00E0683A" w:rsidRPr="00B068F9" w:rsidRDefault="00E0683A" w:rsidP="00527870">
            <w:pPr>
              <w:ind w:left="57"/>
              <w:rPr>
                <w:sz w:val="20"/>
                <w:lang w:val="en-US"/>
              </w:rPr>
            </w:pPr>
            <w:r w:rsidRPr="00B068F9">
              <w:rPr>
                <w:sz w:val="20"/>
                <w:lang w:val="en-US"/>
              </w:rPr>
              <w:t>4 (0.9)</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264B50DE"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326A0BB9"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9507F17" w14:textId="77777777" w:rsidR="00E0683A" w:rsidRPr="00B068F9" w:rsidRDefault="00E0683A" w:rsidP="00527870">
            <w:pPr>
              <w:ind w:left="57"/>
              <w:rPr>
                <w:sz w:val="20"/>
                <w:lang w:val="en-US"/>
              </w:rPr>
            </w:pPr>
          </w:p>
        </w:tc>
      </w:tr>
      <w:tr w:rsidR="00E0683A" w:rsidRPr="00E0683A" w14:paraId="078BB5CD"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79476DF4" w14:textId="77777777" w:rsidR="00E0683A" w:rsidRPr="00B068F9" w:rsidRDefault="00E0683A" w:rsidP="00527870">
            <w:pPr>
              <w:ind w:left="57"/>
              <w:rPr>
                <w:sz w:val="20"/>
                <w:lang w:val="en-US"/>
              </w:rPr>
            </w:pPr>
            <w:r w:rsidRPr="00B068F9">
              <w:rPr>
                <w:sz w:val="20"/>
                <w:lang w:val="en-US"/>
              </w:rPr>
              <w:t>Intestinal obstruction</w:t>
            </w:r>
          </w:p>
        </w:tc>
        <w:tc>
          <w:tcPr>
            <w:tcW w:w="745" w:type="dxa"/>
            <w:tcBorders>
              <w:top w:val="single" w:sz="8" w:space="0" w:color="000000"/>
              <w:left w:val="single" w:sz="8" w:space="0" w:color="000000"/>
              <w:bottom w:val="single" w:sz="8" w:space="0" w:color="000000"/>
              <w:right w:val="single" w:sz="8" w:space="0" w:color="000000"/>
            </w:tcBorders>
            <w:vAlign w:val="center"/>
          </w:tcPr>
          <w:p w14:paraId="44523289"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20698637"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0B4EBAA9"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665B8E3A"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616C470C"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1EE7A7E"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04DDF32B"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1C65F5C"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24522BD"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1529016"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76E9D9F" w14:textId="77777777" w:rsidR="00E0683A" w:rsidRPr="00B068F9" w:rsidRDefault="00E0683A" w:rsidP="00527870">
            <w:pPr>
              <w:ind w:left="57"/>
              <w:rPr>
                <w:sz w:val="20"/>
                <w:lang w:val="en-US"/>
              </w:rPr>
            </w:pPr>
            <w:r w:rsidRPr="00B068F9">
              <w:rPr>
                <w:sz w:val="20"/>
                <w:lang w:val="en-US"/>
              </w:rPr>
              <w:t>3 (1.1)</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9A19987" w14:textId="77777777" w:rsidR="00E0683A" w:rsidRPr="00B068F9" w:rsidRDefault="00E0683A" w:rsidP="00527870">
            <w:pPr>
              <w:ind w:left="57"/>
              <w:rPr>
                <w:sz w:val="20"/>
                <w:lang w:val="en-US"/>
              </w:rPr>
            </w:pPr>
            <w:r w:rsidRPr="00B068F9">
              <w:rPr>
                <w:sz w:val="20"/>
                <w:lang w:val="en-US"/>
              </w:rPr>
              <w:t>1 (0.7)</w:t>
            </w:r>
          </w:p>
        </w:tc>
      </w:tr>
      <w:tr w:rsidR="00E0683A" w:rsidRPr="00E0683A" w14:paraId="7BFB7593"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15CA2037" w14:textId="77777777" w:rsidR="00E0683A" w:rsidRPr="00B068F9" w:rsidRDefault="00E0683A" w:rsidP="00527870">
            <w:pPr>
              <w:ind w:left="57"/>
              <w:rPr>
                <w:sz w:val="20"/>
                <w:lang w:val="en-US"/>
              </w:rPr>
            </w:pPr>
            <w:r w:rsidRPr="00B068F9">
              <w:rPr>
                <w:sz w:val="20"/>
                <w:lang w:val="en-US"/>
              </w:rPr>
              <w:t>Intestinal perforation</w:t>
            </w:r>
          </w:p>
        </w:tc>
        <w:tc>
          <w:tcPr>
            <w:tcW w:w="745" w:type="dxa"/>
            <w:tcBorders>
              <w:top w:val="single" w:sz="8" w:space="0" w:color="000000"/>
              <w:left w:val="single" w:sz="8" w:space="0" w:color="000000"/>
              <w:bottom w:val="single" w:sz="8" w:space="0" w:color="000000"/>
              <w:right w:val="single" w:sz="8" w:space="0" w:color="000000"/>
            </w:tcBorders>
            <w:vAlign w:val="center"/>
          </w:tcPr>
          <w:p w14:paraId="06428DF0"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424BED41"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75D9B1DF"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3B89C15B"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2ECB97F3"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3912197"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01C26F4F"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B34C7D3"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2E29DE1"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CFA25E"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6A94E3FC" w14:textId="77777777" w:rsidR="00E0683A" w:rsidRPr="00B068F9" w:rsidRDefault="00E0683A" w:rsidP="00527870">
            <w:pPr>
              <w:ind w:left="57"/>
              <w:rPr>
                <w:sz w:val="20"/>
                <w:lang w:val="en-US"/>
              </w:rPr>
            </w:pPr>
            <w:r w:rsidRPr="00B068F9">
              <w:rPr>
                <w:sz w:val="20"/>
                <w:lang w:val="en-US"/>
              </w:rPr>
              <w:t>2 (0.7)</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CFB33B4" w14:textId="77777777" w:rsidR="00E0683A" w:rsidRPr="00B068F9" w:rsidRDefault="00E0683A" w:rsidP="00527870">
            <w:pPr>
              <w:ind w:left="57"/>
              <w:rPr>
                <w:sz w:val="20"/>
                <w:lang w:val="en-US"/>
              </w:rPr>
            </w:pPr>
            <w:r w:rsidRPr="00B068F9">
              <w:rPr>
                <w:sz w:val="20"/>
                <w:lang w:val="en-US"/>
              </w:rPr>
              <w:t>0</w:t>
            </w:r>
          </w:p>
        </w:tc>
      </w:tr>
      <w:tr w:rsidR="00E0683A" w:rsidRPr="00E0683A" w14:paraId="43C5774B"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78DA8BE6" w14:textId="689490F2" w:rsidR="00E0683A" w:rsidRPr="00B068F9" w:rsidRDefault="00E0683A" w:rsidP="00527870">
            <w:pPr>
              <w:ind w:left="57"/>
              <w:rPr>
                <w:sz w:val="20"/>
                <w:lang w:val="en-US"/>
              </w:rPr>
            </w:pPr>
            <w:r w:rsidRPr="00B068F9">
              <w:rPr>
                <w:sz w:val="20"/>
                <w:lang w:val="en-US"/>
              </w:rPr>
              <w:t>GI perforation</w:t>
            </w:r>
            <w:r w:rsidR="004513F4">
              <w:rPr>
                <w:sz w:val="20"/>
                <w:vertAlign w:val="superscript"/>
                <w:lang w:val="en-US"/>
              </w:rPr>
              <w:t>6</w:t>
            </w:r>
          </w:p>
        </w:tc>
        <w:tc>
          <w:tcPr>
            <w:tcW w:w="745" w:type="dxa"/>
            <w:tcBorders>
              <w:top w:val="single" w:sz="8" w:space="0" w:color="000000"/>
              <w:left w:val="single" w:sz="8" w:space="0" w:color="000000"/>
              <w:bottom w:val="single" w:sz="8" w:space="0" w:color="000000"/>
              <w:right w:val="single" w:sz="8" w:space="0" w:color="000000"/>
            </w:tcBorders>
            <w:vAlign w:val="center"/>
          </w:tcPr>
          <w:p w14:paraId="7335EE5D"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770650B4"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48531163"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35CED084"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5A2231B7"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CDA2A8B"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089F1A60"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AC37C5C"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886CB10" w14:textId="77777777" w:rsidR="00E0683A" w:rsidRPr="00B068F9" w:rsidRDefault="00E0683A" w:rsidP="00527870">
            <w:pPr>
              <w:ind w:left="57"/>
              <w:rPr>
                <w:sz w:val="20"/>
                <w:lang w:val="en-US"/>
              </w:rPr>
            </w:pPr>
            <w:r w:rsidRPr="00B068F9">
              <w:rPr>
                <w:sz w:val="20"/>
                <w:lang w:val="en-US"/>
              </w:rPr>
              <w:t>4 (0.9)</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0628DF09"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690114EA"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98C3B22" w14:textId="77777777" w:rsidR="00E0683A" w:rsidRPr="00B068F9" w:rsidRDefault="00E0683A" w:rsidP="00527870">
            <w:pPr>
              <w:ind w:left="57"/>
              <w:rPr>
                <w:sz w:val="20"/>
                <w:lang w:val="en-US"/>
              </w:rPr>
            </w:pPr>
          </w:p>
        </w:tc>
      </w:tr>
      <w:tr w:rsidR="00E0683A" w:rsidRPr="00E0683A" w14:paraId="079B7B62"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097E6053" w14:textId="483F4C14" w:rsidR="00E0683A" w:rsidRPr="00B068F9" w:rsidRDefault="00E0683A" w:rsidP="00527870">
            <w:pPr>
              <w:ind w:left="57"/>
              <w:rPr>
                <w:sz w:val="20"/>
                <w:lang w:val="en-US"/>
              </w:rPr>
            </w:pPr>
            <w:r w:rsidRPr="00B068F9">
              <w:rPr>
                <w:sz w:val="20"/>
                <w:lang w:val="en-US"/>
              </w:rPr>
              <w:lastRenderedPageBreak/>
              <w:t>Haemorrhage</w:t>
            </w:r>
            <w:r w:rsidR="004513F4">
              <w:rPr>
                <w:sz w:val="20"/>
                <w:vertAlign w:val="superscript"/>
                <w:lang w:val="en-US"/>
              </w:rPr>
              <w:t>7</w:t>
            </w:r>
          </w:p>
        </w:tc>
        <w:tc>
          <w:tcPr>
            <w:tcW w:w="745" w:type="dxa"/>
            <w:tcBorders>
              <w:top w:val="single" w:sz="8" w:space="0" w:color="000000"/>
              <w:left w:val="single" w:sz="8" w:space="0" w:color="000000"/>
              <w:bottom w:val="single" w:sz="8" w:space="0" w:color="000000"/>
              <w:right w:val="single" w:sz="8" w:space="0" w:color="000000"/>
            </w:tcBorders>
            <w:vAlign w:val="center"/>
          </w:tcPr>
          <w:p w14:paraId="50420F17"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1149D560"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588B8C8E"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7C9C04C4"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086FC399"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42AF89BE"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63440A99" w14:textId="77777777" w:rsidR="00E0683A" w:rsidRPr="00B068F9" w:rsidRDefault="00E0683A" w:rsidP="00527870">
            <w:pPr>
              <w:ind w:left="57"/>
              <w:rPr>
                <w:sz w:val="20"/>
                <w:lang w:val="en-US"/>
              </w:rPr>
            </w:pPr>
            <w:r w:rsidRPr="00B068F9">
              <w:rPr>
                <w:sz w:val="20"/>
                <w:lang w:val="en-US"/>
              </w:rPr>
              <w:t>3 (1.1)</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445781D9" w14:textId="77777777" w:rsidR="00E0683A" w:rsidRPr="00B068F9" w:rsidRDefault="00E0683A" w:rsidP="00527870">
            <w:pPr>
              <w:ind w:left="57"/>
              <w:rPr>
                <w:sz w:val="20"/>
                <w:lang w:val="en-US"/>
              </w:rPr>
            </w:pPr>
            <w:r w:rsidRPr="00B068F9">
              <w:rPr>
                <w:sz w:val="20"/>
                <w:lang w:val="en-US"/>
              </w:rPr>
              <w:t>1 (0.7)</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6C1D3BBE" w14:textId="77777777" w:rsidR="00E0683A" w:rsidRPr="00B068F9" w:rsidRDefault="00E0683A" w:rsidP="00527870">
            <w:pPr>
              <w:ind w:left="57"/>
              <w:rPr>
                <w:sz w:val="20"/>
                <w:lang w:val="en-US"/>
              </w:rPr>
            </w:pPr>
            <w:r w:rsidRPr="00B068F9">
              <w:rPr>
                <w:sz w:val="20"/>
                <w:lang w:val="en-US"/>
              </w:rPr>
              <w:t>3 (0.7)</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3889E707" w14:textId="77777777" w:rsidR="00E0683A" w:rsidRPr="00B068F9" w:rsidRDefault="00E0683A" w:rsidP="00527870">
            <w:pPr>
              <w:ind w:left="57"/>
              <w:rPr>
                <w:sz w:val="20"/>
                <w:lang w:val="en-US"/>
              </w:rPr>
            </w:pPr>
            <w:r w:rsidRPr="00B068F9">
              <w:rPr>
                <w:sz w:val="20"/>
                <w:lang w:val="en-US"/>
              </w:rPr>
              <w:t>1 (0.4)</w:t>
            </w: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1D70CCE4" w14:textId="77777777" w:rsidR="00E0683A" w:rsidRPr="00B068F9" w:rsidRDefault="00E0683A" w:rsidP="00527870">
            <w:pPr>
              <w:ind w:left="57"/>
              <w:rPr>
                <w:sz w:val="20"/>
                <w:lang w:val="en-US"/>
              </w:rPr>
            </w:pPr>
            <w:r w:rsidRPr="00B068F9">
              <w:rPr>
                <w:sz w:val="20"/>
                <w:lang w:val="en-US"/>
              </w:rPr>
              <w:t>4 (1.4)</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0B70F609" w14:textId="77777777" w:rsidR="00E0683A" w:rsidRPr="00B068F9" w:rsidRDefault="00E0683A" w:rsidP="00527870">
            <w:pPr>
              <w:ind w:left="57"/>
              <w:rPr>
                <w:sz w:val="20"/>
                <w:lang w:val="en-US"/>
              </w:rPr>
            </w:pPr>
            <w:r w:rsidRPr="00B068F9">
              <w:rPr>
                <w:sz w:val="20"/>
                <w:lang w:val="en-US"/>
              </w:rPr>
              <w:t>0</w:t>
            </w:r>
          </w:p>
        </w:tc>
      </w:tr>
      <w:tr w:rsidR="00E0683A" w:rsidRPr="00E0683A" w14:paraId="2179E781"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72D91658" w14:textId="31C8751C" w:rsidR="00E0683A" w:rsidRPr="00B068F9" w:rsidRDefault="00E0683A" w:rsidP="00527870">
            <w:pPr>
              <w:ind w:left="57"/>
              <w:rPr>
                <w:sz w:val="20"/>
                <w:lang w:val="en-US"/>
              </w:rPr>
            </w:pPr>
            <w:r w:rsidRPr="00B068F9">
              <w:rPr>
                <w:sz w:val="20"/>
                <w:lang w:val="en-US"/>
              </w:rPr>
              <w:t>Thrombocytopenia</w:t>
            </w:r>
            <w:r w:rsidR="004513F4">
              <w:rPr>
                <w:sz w:val="20"/>
                <w:vertAlign w:val="superscript"/>
                <w:lang w:val="en-US"/>
              </w:rPr>
              <w:t>8</w:t>
            </w:r>
          </w:p>
        </w:tc>
        <w:tc>
          <w:tcPr>
            <w:tcW w:w="745" w:type="dxa"/>
            <w:tcBorders>
              <w:top w:val="single" w:sz="8" w:space="0" w:color="000000"/>
              <w:left w:val="single" w:sz="8" w:space="0" w:color="000000"/>
              <w:bottom w:val="single" w:sz="8" w:space="0" w:color="000000"/>
              <w:right w:val="single" w:sz="8" w:space="0" w:color="000000"/>
            </w:tcBorders>
            <w:vAlign w:val="center"/>
          </w:tcPr>
          <w:p w14:paraId="0D3B3392"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3336166C"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3D06F16B" w14:textId="77777777" w:rsidR="00E0683A" w:rsidRPr="00B068F9" w:rsidRDefault="00E0683A" w:rsidP="00527870">
            <w:pPr>
              <w:ind w:left="57"/>
              <w:rPr>
                <w:sz w:val="20"/>
                <w:lang w:val="en-US"/>
              </w:rPr>
            </w:pPr>
            <w:r w:rsidRPr="00B068F9">
              <w:rPr>
                <w:sz w:val="20"/>
                <w:lang w:val="en-US"/>
              </w:rPr>
              <w:t>20 (7.2)</w:t>
            </w:r>
          </w:p>
        </w:tc>
        <w:tc>
          <w:tcPr>
            <w:tcW w:w="602" w:type="dxa"/>
            <w:tcBorders>
              <w:top w:val="single" w:sz="8" w:space="0" w:color="000000"/>
              <w:left w:val="single" w:sz="8" w:space="0" w:color="000000"/>
              <w:bottom w:val="single" w:sz="8" w:space="0" w:color="000000"/>
              <w:right w:val="single" w:sz="8" w:space="0" w:color="000000"/>
            </w:tcBorders>
            <w:vAlign w:val="center"/>
            <w:hideMark/>
          </w:tcPr>
          <w:p w14:paraId="4E687AF3" w14:textId="77777777" w:rsidR="00E0683A" w:rsidRPr="00B068F9" w:rsidRDefault="00E0683A" w:rsidP="00527870">
            <w:pPr>
              <w:ind w:left="57"/>
              <w:rPr>
                <w:sz w:val="20"/>
                <w:lang w:val="en-US"/>
              </w:rPr>
            </w:pPr>
            <w:r w:rsidRPr="00B068F9">
              <w:rPr>
                <w:sz w:val="20"/>
                <w:lang w:val="en-US"/>
              </w:rPr>
              <w:t>1 (0.7)</w:t>
            </w:r>
          </w:p>
        </w:tc>
        <w:tc>
          <w:tcPr>
            <w:tcW w:w="709" w:type="dxa"/>
            <w:tcBorders>
              <w:top w:val="single" w:sz="8" w:space="0" w:color="000000"/>
              <w:left w:val="single" w:sz="8" w:space="0" w:color="000000"/>
              <w:bottom w:val="single" w:sz="8" w:space="0" w:color="000000"/>
              <w:right w:val="single" w:sz="8" w:space="0" w:color="000000"/>
            </w:tcBorders>
            <w:vAlign w:val="center"/>
          </w:tcPr>
          <w:p w14:paraId="19419765"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459AC60"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7F369891" w14:textId="77777777" w:rsidR="00E0683A" w:rsidRPr="00B068F9" w:rsidRDefault="00E0683A" w:rsidP="00527870">
            <w:pPr>
              <w:ind w:left="57"/>
              <w:rPr>
                <w:sz w:val="20"/>
                <w:lang w:val="en-US"/>
              </w:rPr>
            </w:pPr>
            <w:r w:rsidRPr="00B068F9">
              <w:rPr>
                <w:sz w:val="20"/>
                <w:lang w:val="en-US"/>
              </w:rPr>
              <w:t>8 (2.9)</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C87EDA1"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35B43C8A"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E834822"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731D8F"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441F5A6" w14:textId="77777777" w:rsidR="00E0683A" w:rsidRPr="00B068F9" w:rsidRDefault="00E0683A" w:rsidP="00527870">
            <w:pPr>
              <w:ind w:left="57"/>
              <w:rPr>
                <w:sz w:val="20"/>
                <w:lang w:val="en-US"/>
              </w:rPr>
            </w:pPr>
          </w:p>
        </w:tc>
      </w:tr>
      <w:tr w:rsidR="00E0683A" w:rsidRPr="00E0683A" w14:paraId="70752F74"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5CB2FFA0" w14:textId="77777777" w:rsidR="00E0683A" w:rsidRPr="00B068F9" w:rsidRDefault="00E0683A" w:rsidP="00527870">
            <w:pPr>
              <w:ind w:left="57"/>
              <w:rPr>
                <w:sz w:val="20"/>
                <w:lang w:val="en-US"/>
              </w:rPr>
            </w:pPr>
            <w:r w:rsidRPr="00B068F9">
              <w:rPr>
                <w:sz w:val="20"/>
                <w:lang w:val="en-US"/>
              </w:rPr>
              <w:t xml:space="preserve">Hepatic </w:t>
            </w:r>
            <w:proofErr w:type="spellStart"/>
            <w:r w:rsidRPr="00B068F9">
              <w:rPr>
                <w:sz w:val="20"/>
                <w:lang w:val="en-US"/>
              </w:rPr>
              <w:t>fn</w:t>
            </w:r>
            <w:proofErr w:type="spellEnd"/>
            <w:r w:rsidRPr="00B068F9">
              <w:rPr>
                <w:sz w:val="20"/>
                <w:lang w:val="en-US"/>
              </w:rPr>
              <w:t xml:space="preserve"> abnormal</w:t>
            </w:r>
          </w:p>
        </w:tc>
        <w:tc>
          <w:tcPr>
            <w:tcW w:w="745" w:type="dxa"/>
            <w:tcBorders>
              <w:top w:val="single" w:sz="8" w:space="0" w:color="000000"/>
              <w:left w:val="single" w:sz="8" w:space="0" w:color="000000"/>
              <w:bottom w:val="single" w:sz="8" w:space="0" w:color="000000"/>
              <w:right w:val="single" w:sz="8" w:space="0" w:color="000000"/>
            </w:tcBorders>
            <w:vAlign w:val="center"/>
          </w:tcPr>
          <w:p w14:paraId="5A058D11"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2201AD41"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3560558E"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4BBEF23D"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775FFD33"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8819513"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5E40C401"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5AC4CDA"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E0D3603"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BDE03CF"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5F44D345" w14:textId="77777777" w:rsidR="00E0683A" w:rsidRPr="00B068F9" w:rsidRDefault="00E0683A" w:rsidP="00527870">
            <w:pPr>
              <w:ind w:left="57"/>
              <w:rPr>
                <w:sz w:val="20"/>
                <w:lang w:val="en-US"/>
              </w:rPr>
            </w:pPr>
            <w:r w:rsidRPr="00B068F9">
              <w:rPr>
                <w:sz w:val="20"/>
                <w:lang w:val="en-US"/>
              </w:rPr>
              <w:t>4 (1.4)</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E69EB4F" w14:textId="77777777" w:rsidR="00E0683A" w:rsidRPr="00B068F9" w:rsidRDefault="00E0683A" w:rsidP="00527870">
            <w:pPr>
              <w:ind w:left="57"/>
              <w:rPr>
                <w:sz w:val="20"/>
                <w:lang w:val="en-US"/>
              </w:rPr>
            </w:pPr>
            <w:r w:rsidRPr="00B068F9">
              <w:rPr>
                <w:sz w:val="20"/>
                <w:lang w:val="en-US"/>
              </w:rPr>
              <w:t>0</w:t>
            </w:r>
          </w:p>
        </w:tc>
      </w:tr>
      <w:tr w:rsidR="00E0683A" w:rsidRPr="00E0683A" w14:paraId="63F1306A"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5AAA7BC9" w14:textId="77777777" w:rsidR="00E0683A" w:rsidRPr="00B068F9" w:rsidRDefault="00E0683A" w:rsidP="00527870">
            <w:pPr>
              <w:ind w:left="57"/>
              <w:rPr>
                <w:sz w:val="20"/>
                <w:lang w:val="en-US"/>
              </w:rPr>
            </w:pPr>
            <w:r w:rsidRPr="00B068F9">
              <w:rPr>
                <w:sz w:val="20"/>
                <w:lang w:val="en-US"/>
              </w:rPr>
              <w:t>ALT increased</w:t>
            </w:r>
          </w:p>
        </w:tc>
        <w:tc>
          <w:tcPr>
            <w:tcW w:w="745" w:type="dxa"/>
            <w:tcBorders>
              <w:top w:val="single" w:sz="8" w:space="0" w:color="000000"/>
              <w:left w:val="single" w:sz="8" w:space="0" w:color="000000"/>
              <w:bottom w:val="single" w:sz="8" w:space="0" w:color="000000"/>
              <w:right w:val="single" w:sz="8" w:space="0" w:color="000000"/>
            </w:tcBorders>
            <w:vAlign w:val="center"/>
          </w:tcPr>
          <w:p w14:paraId="595BB798"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2E9F1970"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289FA1A6" w14:textId="77777777" w:rsidR="00E0683A" w:rsidRPr="00B068F9" w:rsidRDefault="00E0683A" w:rsidP="00527870">
            <w:pPr>
              <w:ind w:left="57"/>
              <w:rPr>
                <w:sz w:val="20"/>
                <w:lang w:val="en-US"/>
              </w:rPr>
            </w:pPr>
            <w:r w:rsidRPr="00B068F9">
              <w:rPr>
                <w:sz w:val="20"/>
                <w:lang w:val="en-US"/>
              </w:rPr>
              <w:t>7 (2.5)</w:t>
            </w:r>
          </w:p>
        </w:tc>
        <w:tc>
          <w:tcPr>
            <w:tcW w:w="602" w:type="dxa"/>
            <w:tcBorders>
              <w:top w:val="single" w:sz="8" w:space="0" w:color="000000"/>
              <w:left w:val="single" w:sz="8" w:space="0" w:color="000000"/>
              <w:bottom w:val="single" w:sz="8" w:space="0" w:color="000000"/>
              <w:right w:val="single" w:sz="8" w:space="0" w:color="000000"/>
            </w:tcBorders>
            <w:vAlign w:val="center"/>
            <w:hideMark/>
          </w:tcPr>
          <w:p w14:paraId="0F092D7B" w14:textId="77777777" w:rsidR="00E0683A" w:rsidRPr="00B068F9" w:rsidRDefault="00E0683A" w:rsidP="00527870">
            <w:pPr>
              <w:ind w:left="57"/>
              <w:rPr>
                <w:sz w:val="20"/>
                <w:lang w:val="en-US"/>
              </w:rPr>
            </w:pPr>
            <w:r w:rsidRPr="00B068F9">
              <w:rPr>
                <w:sz w:val="20"/>
                <w:lang w:val="en-US"/>
              </w:rPr>
              <w:t>1 (0.7)</w:t>
            </w:r>
          </w:p>
        </w:tc>
        <w:tc>
          <w:tcPr>
            <w:tcW w:w="709" w:type="dxa"/>
            <w:tcBorders>
              <w:top w:val="single" w:sz="8" w:space="0" w:color="000000"/>
              <w:left w:val="single" w:sz="8" w:space="0" w:color="000000"/>
              <w:bottom w:val="single" w:sz="8" w:space="0" w:color="000000"/>
              <w:right w:val="single" w:sz="8" w:space="0" w:color="000000"/>
            </w:tcBorders>
            <w:vAlign w:val="center"/>
          </w:tcPr>
          <w:p w14:paraId="6E2288CB"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DE6CE08"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5A7ACD2A"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41DB04E"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72017753"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D4BA6EF"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A4FFB5D"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6ADEC7" w14:textId="77777777" w:rsidR="00E0683A" w:rsidRPr="00B068F9" w:rsidRDefault="00E0683A" w:rsidP="00527870">
            <w:pPr>
              <w:ind w:left="57"/>
              <w:rPr>
                <w:sz w:val="20"/>
                <w:lang w:val="en-US"/>
              </w:rPr>
            </w:pPr>
          </w:p>
        </w:tc>
      </w:tr>
      <w:tr w:rsidR="00E0683A" w:rsidRPr="00E0683A" w14:paraId="5EF521C2"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36DB2E39" w14:textId="77777777" w:rsidR="00E0683A" w:rsidRPr="00B068F9" w:rsidRDefault="00E0683A" w:rsidP="00527870">
            <w:pPr>
              <w:ind w:left="57"/>
              <w:rPr>
                <w:sz w:val="20"/>
                <w:lang w:val="en-US"/>
              </w:rPr>
            </w:pPr>
            <w:r w:rsidRPr="00B068F9">
              <w:rPr>
                <w:sz w:val="20"/>
                <w:lang w:val="en-US"/>
              </w:rPr>
              <w:t>ASP increased</w:t>
            </w:r>
          </w:p>
        </w:tc>
        <w:tc>
          <w:tcPr>
            <w:tcW w:w="745" w:type="dxa"/>
            <w:tcBorders>
              <w:top w:val="single" w:sz="8" w:space="0" w:color="000000"/>
              <w:left w:val="single" w:sz="8" w:space="0" w:color="000000"/>
              <w:bottom w:val="single" w:sz="8" w:space="0" w:color="000000"/>
              <w:right w:val="single" w:sz="8" w:space="0" w:color="000000"/>
            </w:tcBorders>
            <w:vAlign w:val="center"/>
          </w:tcPr>
          <w:p w14:paraId="118900C6"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4FEF6B05"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2EE97669"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4D705A95"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6A4FE80F"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68670CD"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3EA22AC9" w14:textId="77777777" w:rsidR="00E0683A" w:rsidRPr="00B068F9" w:rsidRDefault="00E0683A" w:rsidP="00527870">
            <w:pPr>
              <w:ind w:left="57"/>
              <w:rPr>
                <w:sz w:val="20"/>
                <w:lang w:val="en-US"/>
              </w:rPr>
            </w:pPr>
            <w:r w:rsidRPr="00B068F9">
              <w:rPr>
                <w:sz w:val="20"/>
                <w:lang w:val="en-US"/>
              </w:rPr>
              <w:t>3 (1.1)</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6E503157" w14:textId="77777777" w:rsidR="00E0683A" w:rsidRPr="00B068F9" w:rsidRDefault="00E0683A" w:rsidP="00527870">
            <w:pPr>
              <w:ind w:left="57"/>
              <w:rPr>
                <w:sz w:val="20"/>
                <w:lang w:val="en-US"/>
              </w:rPr>
            </w:pPr>
            <w:r w:rsidRPr="00B068F9">
              <w:rPr>
                <w:sz w:val="20"/>
                <w:lang w:val="en-US"/>
              </w:rPr>
              <w:t>0</w:t>
            </w:r>
          </w:p>
        </w:tc>
        <w:tc>
          <w:tcPr>
            <w:tcW w:w="567" w:type="dxa"/>
            <w:tcBorders>
              <w:top w:val="single" w:sz="8" w:space="0" w:color="000000"/>
              <w:left w:val="single" w:sz="8" w:space="0" w:color="000000"/>
              <w:bottom w:val="single" w:sz="8" w:space="0" w:color="000000"/>
              <w:right w:val="single" w:sz="8" w:space="0" w:color="000000"/>
            </w:tcBorders>
            <w:vAlign w:val="center"/>
          </w:tcPr>
          <w:p w14:paraId="1581CC05"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2F7CA792"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5C355804"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57E7257" w14:textId="77777777" w:rsidR="00E0683A" w:rsidRPr="00B068F9" w:rsidRDefault="00E0683A" w:rsidP="00527870">
            <w:pPr>
              <w:ind w:left="57"/>
              <w:rPr>
                <w:sz w:val="20"/>
                <w:lang w:val="en-US"/>
              </w:rPr>
            </w:pPr>
          </w:p>
        </w:tc>
      </w:tr>
      <w:tr w:rsidR="00E0683A" w:rsidRPr="00E0683A" w14:paraId="435A20FC" w14:textId="77777777" w:rsidTr="00EC7525">
        <w:trPr>
          <w:trHeight w:val="20"/>
        </w:trPr>
        <w:tc>
          <w:tcPr>
            <w:tcW w:w="1987" w:type="dxa"/>
            <w:tcBorders>
              <w:top w:val="single" w:sz="8" w:space="0" w:color="000000"/>
              <w:left w:val="single" w:sz="8" w:space="0" w:color="000000"/>
              <w:bottom w:val="single" w:sz="8" w:space="0" w:color="000000"/>
              <w:right w:val="single" w:sz="8" w:space="0" w:color="000000"/>
            </w:tcBorders>
            <w:hideMark/>
          </w:tcPr>
          <w:p w14:paraId="7D1D0B7B" w14:textId="77777777" w:rsidR="00E0683A" w:rsidRPr="00B068F9" w:rsidRDefault="00E0683A" w:rsidP="00527870">
            <w:pPr>
              <w:ind w:left="57"/>
              <w:rPr>
                <w:sz w:val="20"/>
                <w:lang w:val="en-US"/>
              </w:rPr>
            </w:pPr>
            <w:r w:rsidRPr="00B068F9">
              <w:rPr>
                <w:sz w:val="20"/>
                <w:lang w:val="en-US"/>
              </w:rPr>
              <w:t>Blood Br increased</w:t>
            </w:r>
          </w:p>
        </w:tc>
        <w:tc>
          <w:tcPr>
            <w:tcW w:w="745" w:type="dxa"/>
            <w:tcBorders>
              <w:top w:val="single" w:sz="8" w:space="0" w:color="000000"/>
              <w:left w:val="single" w:sz="8" w:space="0" w:color="000000"/>
              <w:bottom w:val="single" w:sz="8" w:space="0" w:color="000000"/>
              <w:right w:val="single" w:sz="8" w:space="0" w:color="000000"/>
            </w:tcBorders>
            <w:vAlign w:val="center"/>
          </w:tcPr>
          <w:p w14:paraId="5E4E5F20"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7FA428C3" w14:textId="77777777" w:rsidR="00E0683A" w:rsidRPr="00B068F9" w:rsidRDefault="00E0683A" w:rsidP="00527870">
            <w:pPr>
              <w:ind w:left="57"/>
              <w:rPr>
                <w:sz w:val="20"/>
                <w:lang w:val="en-US"/>
              </w:rPr>
            </w:pPr>
          </w:p>
        </w:tc>
        <w:tc>
          <w:tcPr>
            <w:tcW w:w="603" w:type="dxa"/>
            <w:tcBorders>
              <w:top w:val="single" w:sz="8" w:space="0" w:color="000000"/>
              <w:left w:val="single" w:sz="8" w:space="0" w:color="000000"/>
              <w:bottom w:val="single" w:sz="8" w:space="0" w:color="000000"/>
              <w:right w:val="single" w:sz="8" w:space="0" w:color="000000"/>
            </w:tcBorders>
            <w:vAlign w:val="center"/>
          </w:tcPr>
          <w:p w14:paraId="57BCAE62" w14:textId="77777777" w:rsidR="00E0683A" w:rsidRPr="00B068F9" w:rsidRDefault="00E0683A" w:rsidP="00527870">
            <w:pPr>
              <w:ind w:left="57"/>
              <w:rPr>
                <w:sz w:val="20"/>
                <w:lang w:val="en-US"/>
              </w:rPr>
            </w:pPr>
          </w:p>
        </w:tc>
        <w:tc>
          <w:tcPr>
            <w:tcW w:w="602" w:type="dxa"/>
            <w:tcBorders>
              <w:top w:val="single" w:sz="8" w:space="0" w:color="000000"/>
              <w:left w:val="single" w:sz="8" w:space="0" w:color="000000"/>
              <w:bottom w:val="single" w:sz="8" w:space="0" w:color="000000"/>
              <w:right w:val="single" w:sz="8" w:space="0" w:color="000000"/>
            </w:tcBorders>
            <w:vAlign w:val="center"/>
          </w:tcPr>
          <w:p w14:paraId="7C7AD504" w14:textId="77777777" w:rsidR="00E0683A" w:rsidRPr="00B068F9" w:rsidRDefault="00E0683A" w:rsidP="00527870">
            <w:pPr>
              <w:ind w:left="57"/>
              <w:rPr>
                <w:sz w:val="20"/>
                <w:lang w:val="en-US"/>
              </w:rPr>
            </w:pPr>
          </w:p>
        </w:tc>
        <w:tc>
          <w:tcPr>
            <w:tcW w:w="709" w:type="dxa"/>
            <w:tcBorders>
              <w:top w:val="single" w:sz="8" w:space="0" w:color="000000"/>
              <w:left w:val="single" w:sz="8" w:space="0" w:color="000000"/>
              <w:bottom w:val="single" w:sz="8" w:space="0" w:color="000000"/>
              <w:right w:val="single" w:sz="8" w:space="0" w:color="000000"/>
            </w:tcBorders>
            <w:shd w:val="clear" w:color="auto" w:fill="D2EDFF"/>
            <w:vAlign w:val="center"/>
            <w:hideMark/>
          </w:tcPr>
          <w:p w14:paraId="0F4AFE7B" w14:textId="77777777" w:rsidR="00E0683A" w:rsidRPr="00B068F9" w:rsidRDefault="00E0683A" w:rsidP="00527870">
            <w:pPr>
              <w:ind w:left="57"/>
              <w:rPr>
                <w:sz w:val="20"/>
                <w:lang w:val="en-US"/>
              </w:rPr>
            </w:pPr>
            <w:r w:rsidRPr="00B068F9">
              <w:rPr>
                <w:sz w:val="20"/>
                <w:lang w:val="en-US"/>
              </w:rPr>
              <w:t>6 (1.3)</w:t>
            </w:r>
          </w:p>
        </w:tc>
        <w:tc>
          <w:tcPr>
            <w:tcW w:w="567" w:type="dxa"/>
            <w:tcBorders>
              <w:top w:val="single" w:sz="8" w:space="0" w:color="000000"/>
              <w:left w:val="single" w:sz="8" w:space="0" w:color="000000"/>
              <w:bottom w:val="single" w:sz="8" w:space="0" w:color="000000"/>
              <w:right w:val="single" w:sz="8" w:space="0" w:color="000000"/>
            </w:tcBorders>
            <w:vAlign w:val="center"/>
            <w:hideMark/>
          </w:tcPr>
          <w:p w14:paraId="4B116A42" w14:textId="77777777" w:rsidR="00E0683A" w:rsidRPr="00B068F9" w:rsidRDefault="00E0683A" w:rsidP="00527870">
            <w:pPr>
              <w:ind w:left="57"/>
              <w:rPr>
                <w:sz w:val="20"/>
                <w:lang w:val="en-US"/>
              </w:rPr>
            </w:pPr>
            <w:r w:rsidRPr="00B068F9">
              <w:rPr>
                <w:sz w:val="20"/>
                <w:lang w:val="en-US"/>
              </w:rPr>
              <w:t>0</w:t>
            </w:r>
          </w:p>
        </w:tc>
        <w:tc>
          <w:tcPr>
            <w:tcW w:w="709" w:type="dxa"/>
            <w:tcBorders>
              <w:top w:val="single" w:sz="8" w:space="0" w:color="000000"/>
              <w:left w:val="single" w:sz="8" w:space="0" w:color="000000"/>
              <w:bottom w:val="single" w:sz="8" w:space="0" w:color="000000"/>
              <w:right w:val="single" w:sz="8" w:space="0" w:color="000000"/>
            </w:tcBorders>
            <w:vAlign w:val="center"/>
          </w:tcPr>
          <w:p w14:paraId="76263AF1"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B02F01"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09081228"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15AD4560"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334B3A3C" w14:textId="77777777" w:rsidR="00E0683A" w:rsidRPr="00B068F9" w:rsidRDefault="00E0683A" w:rsidP="00527870">
            <w:pPr>
              <w:ind w:left="57"/>
              <w:rPr>
                <w:sz w:val="20"/>
                <w:lang w:val="en-US"/>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805D8C6" w14:textId="77777777" w:rsidR="00E0683A" w:rsidRPr="00B068F9" w:rsidRDefault="00E0683A" w:rsidP="00527870">
            <w:pPr>
              <w:ind w:left="57"/>
              <w:rPr>
                <w:sz w:val="20"/>
                <w:lang w:val="en-US"/>
              </w:rPr>
            </w:pPr>
          </w:p>
        </w:tc>
      </w:tr>
    </w:tbl>
    <w:p w14:paraId="73B04374" w14:textId="6E7AE308" w:rsidR="00E0683A" w:rsidRPr="00E0683A" w:rsidRDefault="00527870" w:rsidP="00FA7CFD">
      <w:pPr>
        <w:pStyle w:val="TableDescription"/>
      </w:pPr>
      <w:r>
        <w:t>Abbreviations</w:t>
      </w:r>
      <w:r w:rsidR="006037D7">
        <w:t xml:space="preserve">: </w:t>
      </w:r>
      <w:r w:rsidR="00E0683A" w:rsidRPr="00E0683A">
        <w:t>ALT = alanine aminotransferase</w:t>
      </w:r>
      <w:r w:rsidR="0065533B">
        <w:t xml:space="preserve">, </w:t>
      </w:r>
      <w:r w:rsidR="00E0683A" w:rsidRPr="00E0683A">
        <w:t>ASP = aspartate aminotransferase</w:t>
      </w:r>
      <w:r w:rsidR="0065533B">
        <w:t>,</w:t>
      </w:r>
      <w:r w:rsidR="00E0683A" w:rsidRPr="00E0683A">
        <w:t xml:space="preserve"> </w:t>
      </w:r>
      <w:r w:rsidR="0065533B" w:rsidRPr="00E0683A">
        <w:t>Br = bilirubin</w:t>
      </w:r>
      <w:r w:rsidR="0065533B">
        <w:t xml:space="preserve">, </w:t>
      </w:r>
      <w:r w:rsidR="0065533B">
        <w:rPr>
          <w:lang w:val="en-US"/>
        </w:rPr>
        <w:t>BSC = best supportive care,</w:t>
      </w:r>
      <w:r w:rsidR="0065533B" w:rsidRPr="00E0683A">
        <w:t xml:space="preserve"> </w:t>
      </w:r>
      <w:r w:rsidR="00E0683A" w:rsidRPr="00E0683A">
        <w:t xml:space="preserve">GI = </w:t>
      </w:r>
      <w:r w:rsidR="0065533B" w:rsidRPr="00E0683A">
        <w:t>gastrointestinal</w:t>
      </w:r>
      <w:r w:rsidR="007B3BDA">
        <w:t>,</w:t>
      </w:r>
      <w:r w:rsidR="00E0683A" w:rsidRPr="00E0683A">
        <w:t xml:space="preserve"> </w:t>
      </w:r>
      <w:r w:rsidR="007B3BDA">
        <w:rPr>
          <w:lang w:val="en-US"/>
        </w:rPr>
        <w:t xml:space="preserve">N/n = number, </w:t>
      </w:r>
      <w:r w:rsidR="00E0683A" w:rsidRPr="00E0683A">
        <w:t xml:space="preserve">PPES = </w:t>
      </w:r>
      <w:r w:rsidR="00FA7CFD">
        <w:t>P</w:t>
      </w:r>
      <w:r w:rsidR="00E0683A" w:rsidRPr="00E0683A">
        <w:t xml:space="preserve">almar-plantar </w:t>
      </w:r>
      <w:proofErr w:type="spellStart"/>
      <w:r w:rsidR="00E0683A" w:rsidRPr="00E0683A">
        <w:t>erythrodysaesthesia</w:t>
      </w:r>
      <w:proofErr w:type="spellEnd"/>
      <w:r w:rsidR="00E0683A" w:rsidRPr="00E0683A">
        <w:t xml:space="preserve"> syndrome</w:t>
      </w:r>
      <w:r w:rsidR="00FA7CFD">
        <w:t>.</w:t>
      </w:r>
    </w:p>
    <w:p w14:paraId="4C18A629" w14:textId="0BE9193A" w:rsidR="00E0683A" w:rsidRPr="00E0683A" w:rsidRDefault="00E0683A" w:rsidP="00053B03">
      <w:pPr>
        <w:pStyle w:val="TableDescription"/>
      </w:pPr>
      <w:r w:rsidRPr="00E0683A">
        <w:t>Source: FDA safety review.</w:t>
      </w:r>
      <w:r w:rsidR="00657282">
        <w:fldChar w:fldCharType="begin"/>
      </w:r>
      <w:r w:rsidR="00657282">
        <w:instrText xml:space="preserve"> NOTEREF _Ref202185650 \f \h </w:instrText>
      </w:r>
      <w:r w:rsidR="00053B03">
        <w:instrText xml:space="preserve"> \* MERGEFORMAT </w:instrText>
      </w:r>
      <w:r w:rsidR="00657282">
        <w:fldChar w:fldCharType="separate"/>
      </w:r>
      <w:r w:rsidR="00A407E4" w:rsidRPr="00A407E4">
        <w:rPr>
          <w:rStyle w:val="FootnoteReference"/>
        </w:rPr>
        <w:t>30</w:t>
      </w:r>
      <w:r w:rsidR="00657282">
        <w:fldChar w:fldCharType="end"/>
      </w:r>
      <w:r w:rsidRPr="00E0683A">
        <w:t xml:space="preserve"> Adverse events were presented separately in FDA’s analysis for FRESCO-2 and FRESCO. Based on clinical rationale, terms that would likely have been pooled across both FRESCO and FRESCO-2 (if a pooled analysis had been done) have been presented in the same row here for indirect comparison. Cells have been left blank where the term fell below the threshold or was not reported for that study.</w:t>
      </w:r>
    </w:p>
    <w:p w14:paraId="105506D5" w14:textId="28B747D2" w:rsidR="00E0683A" w:rsidRDefault="00DA38AD" w:rsidP="00844DBF">
      <w:pPr>
        <w:pStyle w:val="TableDescription"/>
        <w:rPr>
          <w:lang w:val="en-US"/>
        </w:rPr>
      </w:pPr>
      <w:bookmarkStart w:id="96" w:name="_Ref174715896"/>
      <w:r w:rsidRPr="00844DBF">
        <w:rPr>
          <w:vertAlign w:val="superscript"/>
          <w:lang w:val="en-US"/>
        </w:rPr>
        <w:t>1</w:t>
      </w:r>
      <w:r>
        <w:rPr>
          <w:lang w:val="en-US"/>
        </w:rPr>
        <w:t xml:space="preserve"> </w:t>
      </w:r>
      <w:r w:rsidR="00E0683A" w:rsidRPr="00E0683A">
        <w:rPr>
          <w:lang w:val="en-US"/>
        </w:rPr>
        <w:t xml:space="preserve">Adverse </w:t>
      </w:r>
      <w:proofErr w:type="gramStart"/>
      <w:r w:rsidR="00E0683A" w:rsidRPr="00E0683A">
        <w:rPr>
          <w:lang w:val="en-US"/>
        </w:rPr>
        <w:t>events</w:t>
      </w:r>
      <w:proofErr w:type="gramEnd"/>
      <w:r w:rsidR="00E0683A" w:rsidRPr="00E0683A">
        <w:rPr>
          <w:lang w:val="en-US"/>
        </w:rPr>
        <w:t xml:space="preserve"> that led to dose interruption in &gt;2% of patients in the investigational arm</w:t>
      </w:r>
      <w:bookmarkEnd w:id="96"/>
      <w:r w:rsidR="00122DCD">
        <w:rPr>
          <w:lang w:val="en-US"/>
        </w:rPr>
        <w:t>.</w:t>
      </w:r>
    </w:p>
    <w:p w14:paraId="28F3D04E" w14:textId="6CA03D71" w:rsidR="00E0683A" w:rsidRPr="00E0683A" w:rsidRDefault="00122DCD" w:rsidP="00844DBF">
      <w:pPr>
        <w:pStyle w:val="TableDescription"/>
        <w:rPr>
          <w:lang w:val="en-US"/>
        </w:rPr>
      </w:pPr>
      <w:r w:rsidRPr="00844DBF">
        <w:rPr>
          <w:vertAlign w:val="superscript"/>
          <w:lang w:val="en-US"/>
        </w:rPr>
        <w:t>2</w:t>
      </w:r>
      <w:r>
        <w:rPr>
          <w:lang w:val="en-US"/>
        </w:rPr>
        <w:t xml:space="preserve"> </w:t>
      </w:r>
      <w:bookmarkStart w:id="97" w:name="_Ref170744070"/>
      <w:r w:rsidR="00E0683A" w:rsidRPr="00E0683A">
        <w:rPr>
          <w:lang w:val="en-US"/>
        </w:rPr>
        <w:t>Adverse events that led to dose reduction in &gt;1% of patients in the investigational ar</w:t>
      </w:r>
      <w:bookmarkEnd w:id="97"/>
      <w:r>
        <w:rPr>
          <w:lang w:val="en-US"/>
        </w:rPr>
        <w:t>m.</w:t>
      </w:r>
    </w:p>
    <w:p w14:paraId="2C8AF948" w14:textId="633B8269" w:rsidR="00E0683A" w:rsidRPr="00E0683A" w:rsidRDefault="00122DCD" w:rsidP="00844DBF">
      <w:pPr>
        <w:pStyle w:val="TableDescription"/>
        <w:rPr>
          <w:lang w:val="en-US"/>
        </w:rPr>
      </w:pPr>
      <w:bookmarkStart w:id="98" w:name="_Ref170744075"/>
      <w:r w:rsidRPr="00844DBF">
        <w:rPr>
          <w:vertAlign w:val="superscript"/>
          <w:lang w:val="en-US"/>
        </w:rPr>
        <w:t>3</w:t>
      </w:r>
      <w:r>
        <w:rPr>
          <w:lang w:val="en-US"/>
        </w:rPr>
        <w:t xml:space="preserve"> </w:t>
      </w:r>
      <w:r w:rsidR="00E0683A" w:rsidRPr="00E0683A">
        <w:rPr>
          <w:lang w:val="en-US"/>
        </w:rPr>
        <w:t>Adverse events that led to permanent discontinuation in &gt;0.5% of patients in the investigational arm</w:t>
      </w:r>
      <w:bookmarkEnd w:id="98"/>
      <w:r>
        <w:rPr>
          <w:lang w:val="en-US"/>
        </w:rPr>
        <w:t>.</w:t>
      </w:r>
    </w:p>
    <w:p w14:paraId="6A8A1ACB" w14:textId="7905D9D3" w:rsidR="00E0683A" w:rsidRPr="00E0683A" w:rsidRDefault="00844DBF" w:rsidP="00844DBF">
      <w:pPr>
        <w:pStyle w:val="TableDescription"/>
        <w:rPr>
          <w:lang w:val="en-US"/>
        </w:rPr>
      </w:pPr>
      <w:bookmarkStart w:id="99" w:name="_Ref170744094"/>
      <w:r w:rsidRPr="00844DBF">
        <w:rPr>
          <w:vertAlign w:val="superscript"/>
          <w:lang w:val="en-US"/>
        </w:rPr>
        <w:t>4</w:t>
      </w:r>
      <w:r>
        <w:rPr>
          <w:lang w:val="en-US"/>
        </w:rPr>
        <w:t xml:space="preserve"> </w:t>
      </w:r>
      <w:r w:rsidR="00E0683A" w:rsidRPr="00E0683A">
        <w:rPr>
          <w:lang w:val="en-US"/>
        </w:rPr>
        <w:t>Fatigue is a composite term that includes asthenia and fatigue.</w:t>
      </w:r>
      <w:bookmarkEnd w:id="99"/>
    </w:p>
    <w:p w14:paraId="4FBCB8E0" w14:textId="77777777" w:rsidR="009954EE" w:rsidRDefault="00844DBF" w:rsidP="00844DBF">
      <w:pPr>
        <w:pStyle w:val="TableDescription"/>
        <w:rPr>
          <w:lang w:val="en-US"/>
        </w:rPr>
      </w:pPr>
      <w:bookmarkStart w:id="100" w:name="_Ref170744081"/>
      <w:r w:rsidRPr="00844DBF">
        <w:rPr>
          <w:vertAlign w:val="superscript"/>
          <w:lang w:val="en-US"/>
        </w:rPr>
        <w:t>5</w:t>
      </w:r>
      <w:r>
        <w:rPr>
          <w:lang w:val="en-US"/>
        </w:rPr>
        <w:t xml:space="preserve"> </w:t>
      </w:r>
      <w:r w:rsidR="00E0683A" w:rsidRPr="00E0683A">
        <w:rPr>
          <w:lang w:val="en-US"/>
        </w:rPr>
        <w:t xml:space="preserve">Proteinuria is a composite term that includes proteinuria and protein </w:t>
      </w:r>
      <w:proofErr w:type="gramStart"/>
      <w:r w:rsidR="00E0683A" w:rsidRPr="00E0683A">
        <w:rPr>
          <w:lang w:val="en-US"/>
        </w:rPr>
        <w:t>urine</w:t>
      </w:r>
      <w:proofErr w:type="gramEnd"/>
      <w:r w:rsidR="00E0683A" w:rsidRPr="00E0683A">
        <w:rPr>
          <w:lang w:val="en-US"/>
        </w:rPr>
        <w:t xml:space="preserve"> present</w:t>
      </w:r>
      <w:r w:rsidR="009954EE">
        <w:rPr>
          <w:lang w:val="en-US"/>
        </w:rPr>
        <w:t>.</w:t>
      </w:r>
    </w:p>
    <w:p w14:paraId="68915D76" w14:textId="58B91739" w:rsidR="00E0683A" w:rsidRPr="00E0683A" w:rsidRDefault="00844DBF" w:rsidP="00844DBF">
      <w:pPr>
        <w:pStyle w:val="TableDescription"/>
        <w:rPr>
          <w:lang w:val="en-US"/>
        </w:rPr>
      </w:pPr>
      <w:r w:rsidRPr="00844DBF">
        <w:rPr>
          <w:vertAlign w:val="superscript"/>
          <w:lang w:val="en-US"/>
        </w:rPr>
        <w:t>6</w:t>
      </w:r>
      <w:r>
        <w:rPr>
          <w:lang w:val="en-US"/>
        </w:rPr>
        <w:t xml:space="preserve"> </w:t>
      </w:r>
      <w:r w:rsidR="00E0683A" w:rsidRPr="00E0683A">
        <w:rPr>
          <w:lang w:val="en-US"/>
        </w:rPr>
        <w:t>Gastrointestinal perforation is a composite term that includes gastrointestinal perforation, large intestine perforation, rectal perforation, and small intestinal perforation.</w:t>
      </w:r>
      <w:bookmarkEnd w:id="100"/>
    </w:p>
    <w:p w14:paraId="2BBB7573" w14:textId="3563E045" w:rsidR="00E0683A" w:rsidRPr="00E0683A" w:rsidRDefault="00844DBF" w:rsidP="00844DBF">
      <w:pPr>
        <w:pStyle w:val="TableDescription"/>
        <w:rPr>
          <w:lang w:val="en-US"/>
        </w:rPr>
      </w:pPr>
      <w:bookmarkStart w:id="101" w:name="_Ref170744087"/>
      <w:r w:rsidRPr="00844DBF">
        <w:rPr>
          <w:vertAlign w:val="superscript"/>
          <w:lang w:val="en-US"/>
        </w:rPr>
        <w:t>7</w:t>
      </w:r>
      <w:r>
        <w:rPr>
          <w:lang w:val="en-US"/>
        </w:rPr>
        <w:t xml:space="preserve"> </w:t>
      </w:r>
      <w:proofErr w:type="spellStart"/>
      <w:r w:rsidR="00E0683A" w:rsidRPr="00E0683A">
        <w:rPr>
          <w:lang w:val="en-US"/>
        </w:rPr>
        <w:t>Haemorrhage</w:t>
      </w:r>
      <w:proofErr w:type="spellEnd"/>
      <w:r w:rsidR="00E0683A" w:rsidRPr="00E0683A">
        <w:rPr>
          <w:lang w:val="en-US"/>
        </w:rPr>
        <w:t xml:space="preserve"> is a composite term that (pooled across both studies) includes epistaxis, cerebral </w:t>
      </w:r>
      <w:proofErr w:type="spellStart"/>
      <w:r w:rsidR="00E0683A" w:rsidRPr="00E0683A">
        <w:rPr>
          <w:lang w:val="en-US"/>
        </w:rPr>
        <w:t>haemorrhage</w:t>
      </w:r>
      <w:proofErr w:type="spellEnd"/>
      <w:r w:rsidR="00E0683A" w:rsidRPr="00E0683A">
        <w:rPr>
          <w:lang w:val="en-US"/>
        </w:rPr>
        <w:t xml:space="preserve">, gastrointestinal </w:t>
      </w:r>
      <w:proofErr w:type="spellStart"/>
      <w:r w:rsidR="00E0683A" w:rsidRPr="00E0683A">
        <w:rPr>
          <w:lang w:val="en-US"/>
        </w:rPr>
        <w:t>haemorrhage</w:t>
      </w:r>
      <w:proofErr w:type="spellEnd"/>
      <w:r w:rsidR="00E0683A" w:rsidRPr="00E0683A">
        <w:rPr>
          <w:lang w:val="en-US"/>
        </w:rPr>
        <w:t xml:space="preserve">, </w:t>
      </w:r>
      <w:proofErr w:type="spellStart"/>
      <w:r w:rsidR="00E0683A" w:rsidRPr="00E0683A">
        <w:rPr>
          <w:lang w:val="en-US"/>
        </w:rPr>
        <w:t>haematochezia</w:t>
      </w:r>
      <w:proofErr w:type="spellEnd"/>
      <w:r w:rsidR="00E0683A" w:rsidRPr="00E0683A">
        <w:rPr>
          <w:lang w:val="en-US"/>
        </w:rPr>
        <w:t xml:space="preserve">, rectal </w:t>
      </w:r>
      <w:proofErr w:type="spellStart"/>
      <w:r w:rsidR="00E0683A" w:rsidRPr="00E0683A">
        <w:rPr>
          <w:lang w:val="en-US"/>
        </w:rPr>
        <w:t>haemorrhage</w:t>
      </w:r>
      <w:proofErr w:type="spellEnd"/>
      <w:r w:rsidR="00E0683A" w:rsidRPr="00E0683A">
        <w:rPr>
          <w:lang w:val="en-US"/>
        </w:rPr>
        <w:t xml:space="preserve">, upper gastrointestinal </w:t>
      </w:r>
      <w:proofErr w:type="spellStart"/>
      <w:r w:rsidR="00E0683A" w:rsidRPr="00E0683A">
        <w:rPr>
          <w:lang w:val="en-US"/>
        </w:rPr>
        <w:t>haemorrhage</w:t>
      </w:r>
      <w:bookmarkEnd w:id="101"/>
      <w:proofErr w:type="spellEnd"/>
      <w:r w:rsidR="00E0683A" w:rsidRPr="00E0683A">
        <w:rPr>
          <w:lang w:val="en-US"/>
        </w:rPr>
        <w:t xml:space="preserve">, and vaginal </w:t>
      </w:r>
      <w:proofErr w:type="spellStart"/>
      <w:r w:rsidR="00E0683A" w:rsidRPr="00E0683A">
        <w:rPr>
          <w:lang w:val="en-US"/>
        </w:rPr>
        <w:t>haemorrhage</w:t>
      </w:r>
      <w:proofErr w:type="spellEnd"/>
      <w:r w:rsidR="00E0683A" w:rsidRPr="00E0683A">
        <w:rPr>
          <w:lang w:val="en-US"/>
        </w:rPr>
        <w:t>.</w:t>
      </w:r>
    </w:p>
    <w:p w14:paraId="519580BD" w14:textId="71309B07" w:rsidR="00E0683A" w:rsidRPr="00E0683A" w:rsidRDefault="00844DBF" w:rsidP="00844DBF">
      <w:pPr>
        <w:pStyle w:val="TableDescription"/>
        <w:rPr>
          <w:lang w:val="en-US"/>
        </w:rPr>
      </w:pPr>
      <w:bookmarkStart w:id="102" w:name="_Ref170747120"/>
      <w:r w:rsidRPr="00844DBF">
        <w:rPr>
          <w:vertAlign w:val="superscript"/>
          <w:lang w:val="en-US"/>
        </w:rPr>
        <w:t>8</w:t>
      </w:r>
      <w:r>
        <w:rPr>
          <w:lang w:val="en-US"/>
        </w:rPr>
        <w:t xml:space="preserve"> </w:t>
      </w:r>
      <w:r w:rsidR="00E0683A" w:rsidRPr="00E0683A">
        <w:rPr>
          <w:lang w:val="en-US"/>
        </w:rPr>
        <w:t>Thrombocytopenia is a composite term that includes platelet count decreased and thrombocytopenia</w:t>
      </w:r>
      <w:bookmarkEnd w:id="102"/>
      <w:r>
        <w:rPr>
          <w:lang w:val="en-US"/>
        </w:rPr>
        <w:t>.</w:t>
      </w:r>
    </w:p>
    <w:p w14:paraId="020BACDC" w14:textId="24A848FE" w:rsidR="00E0683A" w:rsidRPr="00E0683A" w:rsidRDefault="00E0683A" w:rsidP="00844DBF">
      <w:pPr>
        <w:pStyle w:val="Heading5"/>
        <w:rPr>
          <w:lang w:val="en-GB"/>
        </w:rPr>
      </w:pPr>
      <w:r w:rsidRPr="00E0683A">
        <w:rPr>
          <w:lang w:val="en-GB"/>
        </w:rPr>
        <w:t>Adverse events of special interest</w:t>
      </w:r>
    </w:p>
    <w:p w14:paraId="14F3218E" w14:textId="2050B38A" w:rsidR="00E0683A" w:rsidRPr="008F33F6" w:rsidRDefault="00E0683A" w:rsidP="008F33F6">
      <w:r w:rsidRPr="008F33F6">
        <w:t xml:space="preserve">Adverse events of special interest were nominated by the </w:t>
      </w:r>
      <w:r w:rsidR="008F33F6" w:rsidRPr="008F33F6">
        <w:t>s</w:t>
      </w:r>
      <w:r w:rsidRPr="008F33F6">
        <w:t xml:space="preserve">ponsor based on the known safety profile of other VEGF </w:t>
      </w:r>
      <w:r w:rsidR="00903CF0">
        <w:rPr>
          <w:lang w:val="en-GB"/>
        </w:rPr>
        <w:t>t</w:t>
      </w:r>
      <w:r w:rsidR="00903CF0" w:rsidRPr="00F23B78">
        <w:rPr>
          <w:lang w:val="en-GB"/>
        </w:rPr>
        <w:t>yrosine kinase inhibitor</w:t>
      </w:r>
      <w:r w:rsidRPr="008F33F6">
        <w:t xml:space="preserve">s, and were hypertension, dermatological toxicity, thyroid dysfunction, proteinuria, haemorrhages, gastrointestinal perforation, infections, embolic and thrombotic events, hepatic function abnormal, </w:t>
      </w:r>
      <w:r w:rsidR="004C062F" w:rsidRPr="004C062F">
        <w:t xml:space="preserve">left ventricular ejection fraction </w:t>
      </w:r>
      <w:r w:rsidRPr="008F33F6">
        <w:t>decreased.</w:t>
      </w:r>
    </w:p>
    <w:p w14:paraId="4E5B0FD1" w14:textId="5FE1AD6B" w:rsidR="00E0683A" w:rsidRPr="008F33F6" w:rsidRDefault="00E0683A" w:rsidP="008F33F6">
      <w:r w:rsidRPr="008F33F6">
        <w:t>The</w:t>
      </w:r>
      <w:r w:rsidR="004A3BCA">
        <w:t xml:space="preserve"> overseas regulator</w:t>
      </w:r>
      <w:r w:rsidRPr="008F33F6">
        <w:t xml:space="preserve"> safety review considered the following expected adverse events of special interest</w:t>
      </w:r>
      <w:r w:rsidR="00636B13">
        <w:t xml:space="preserve">; </w:t>
      </w:r>
      <w:r w:rsidRPr="008F33F6">
        <w:t xml:space="preserve">hypertension, haemorrhage, arterial thrombosis, gastrointestinal perforation, palmar-plantar </w:t>
      </w:r>
      <w:proofErr w:type="spellStart"/>
      <w:r w:rsidRPr="008F33F6">
        <w:t>erythrodysaesthesia</w:t>
      </w:r>
      <w:proofErr w:type="spellEnd"/>
      <w:r w:rsidRPr="008F33F6">
        <w:t xml:space="preserve"> syndrome (hand-foot syndrome), stomatitis, impaired wound healing, hepatotoxicity, thyroid dysfunction, and proteinuria.</w:t>
      </w:r>
    </w:p>
    <w:p w14:paraId="34132428" w14:textId="5249B11B" w:rsidR="009954EE" w:rsidRDefault="00665B30" w:rsidP="008F33F6">
      <w:r>
        <w:t>Adverse events of special interest</w:t>
      </w:r>
      <w:r w:rsidR="00E0683A" w:rsidRPr="008F33F6">
        <w:t xml:space="preserve"> in FRESCO-2 and FRESCO are summarised in </w:t>
      </w:r>
      <w:r w:rsidR="00E0683A" w:rsidRPr="008F33F6">
        <w:rPr>
          <w:lang w:val="en-GB"/>
        </w:rPr>
        <w:fldChar w:fldCharType="begin"/>
      </w:r>
      <w:r w:rsidR="00E0683A" w:rsidRPr="008F33F6">
        <w:instrText xml:space="preserve"> REF _Ref170919250 \h </w:instrText>
      </w:r>
      <w:r w:rsidR="008F33F6">
        <w:instrText xml:space="preserve"> \* MERGEFORMAT </w:instrText>
      </w:r>
      <w:r w:rsidR="00E0683A" w:rsidRPr="008F33F6">
        <w:rPr>
          <w:lang w:val="en-GB"/>
        </w:rPr>
      </w:r>
      <w:r w:rsidR="00E0683A" w:rsidRPr="008F33F6">
        <w:rPr>
          <w:lang w:val="en-GB"/>
        </w:rPr>
        <w:fldChar w:fldCharType="separate"/>
      </w:r>
      <w:r w:rsidR="00A407E4" w:rsidRPr="00E0683A">
        <w:t xml:space="preserve">Table </w:t>
      </w:r>
      <w:r w:rsidR="00A407E4">
        <w:t>13</w:t>
      </w:r>
      <w:r w:rsidR="00E0683A" w:rsidRPr="008F33F6">
        <w:fldChar w:fldCharType="end"/>
      </w:r>
      <w:r w:rsidR="009954EE">
        <w:t>.</w:t>
      </w:r>
    </w:p>
    <w:p w14:paraId="78F8B912" w14:textId="255E774A" w:rsidR="00E0683A" w:rsidRPr="00E0683A" w:rsidRDefault="00E0683A" w:rsidP="00E0683A">
      <w:pPr>
        <w:rPr>
          <w:lang w:val="en-GB"/>
        </w:rPr>
      </w:pPr>
    </w:p>
    <w:p w14:paraId="78E0E09F" w14:textId="620F0F8E" w:rsidR="00E0683A" w:rsidRPr="00E0683A" w:rsidRDefault="00E0683A" w:rsidP="000937ED">
      <w:pPr>
        <w:pStyle w:val="TableTitle"/>
      </w:pPr>
      <w:bookmarkStart w:id="103" w:name="_Ref170919250"/>
      <w:r w:rsidRPr="00E0683A">
        <w:lastRenderedPageBreak/>
        <w:t xml:space="preserve">Table </w:t>
      </w:r>
      <w:r w:rsidRPr="00E0683A">
        <w:fldChar w:fldCharType="begin"/>
      </w:r>
      <w:r w:rsidRPr="00E0683A">
        <w:instrText xml:space="preserve"> SEQ Table \* ARABIC </w:instrText>
      </w:r>
      <w:r w:rsidRPr="00E0683A">
        <w:fldChar w:fldCharType="separate"/>
      </w:r>
      <w:r w:rsidR="00A407E4">
        <w:rPr>
          <w:noProof/>
        </w:rPr>
        <w:t>13</w:t>
      </w:r>
      <w:r w:rsidRPr="00E0683A">
        <w:fldChar w:fldCharType="end"/>
      </w:r>
      <w:bookmarkEnd w:id="103"/>
      <w:r w:rsidR="00665B30">
        <w:t>:</w:t>
      </w:r>
      <w:r w:rsidRPr="00E0683A">
        <w:t xml:space="preserve"> </w:t>
      </w:r>
      <w:r w:rsidR="00665B30">
        <w:t>Adverse events of special interest</w:t>
      </w:r>
      <w:r w:rsidRPr="00E0683A">
        <w:t xml:space="preserve"> in FRESCO-2 and FRESCO.</w:t>
      </w:r>
    </w:p>
    <w:tbl>
      <w:tblPr>
        <w:tblStyle w:val="TableTGAblue2023"/>
        <w:tblW w:w="9075" w:type="dxa"/>
        <w:tblLayout w:type="fixed"/>
        <w:tblLook w:val="01E0" w:firstRow="1" w:lastRow="1" w:firstColumn="1" w:lastColumn="1" w:noHBand="0" w:noVBand="0"/>
      </w:tblPr>
      <w:tblGrid>
        <w:gridCol w:w="1979"/>
        <w:gridCol w:w="993"/>
        <w:gridCol w:w="851"/>
        <w:gridCol w:w="850"/>
        <w:gridCol w:w="851"/>
        <w:gridCol w:w="850"/>
        <w:gridCol w:w="851"/>
        <w:gridCol w:w="992"/>
        <w:gridCol w:w="858"/>
      </w:tblGrid>
      <w:tr w:rsidR="00E0683A" w:rsidRPr="00E0683A" w14:paraId="6C8570CC" w14:textId="77777777" w:rsidTr="00D7063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9" w:type="dxa"/>
          </w:tcPr>
          <w:p w14:paraId="661621FB" w14:textId="77777777" w:rsidR="00E0683A" w:rsidRPr="00555670" w:rsidRDefault="00E0683A" w:rsidP="00555670">
            <w:pPr>
              <w:spacing w:line="240" w:lineRule="auto"/>
              <w:ind w:left="0"/>
              <w:rPr>
                <w:sz w:val="20"/>
                <w:szCs w:val="20"/>
                <w:lang w:val="en-US"/>
              </w:rPr>
            </w:pPr>
          </w:p>
        </w:tc>
        <w:tc>
          <w:tcPr>
            <w:tcW w:w="3545" w:type="dxa"/>
            <w:gridSpan w:val="4"/>
            <w:hideMark/>
          </w:tcPr>
          <w:p w14:paraId="7A227B83" w14:textId="77777777" w:rsidR="00E0683A" w:rsidRPr="00555670" w:rsidRDefault="00E0683A" w:rsidP="00555670">
            <w:pPr>
              <w:spacing w:line="240" w:lineRule="auto"/>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555670">
              <w:rPr>
                <w:sz w:val="20"/>
                <w:szCs w:val="20"/>
                <w:lang w:val="en-US"/>
              </w:rPr>
              <w:t>FRESCO-2</w:t>
            </w:r>
          </w:p>
        </w:tc>
        <w:tc>
          <w:tcPr>
            <w:tcW w:w="3551" w:type="dxa"/>
            <w:gridSpan w:val="4"/>
            <w:hideMark/>
          </w:tcPr>
          <w:p w14:paraId="17E94EEC" w14:textId="77777777" w:rsidR="00E0683A" w:rsidRPr="00555670" w:rsidRDefault="00E0683A" w:rsidP="00555670">
            <w:pPr>
              <w:spacing w:line="240" w:lineRule="auto"/>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555670">
              <w:rPr>
                <w:sz w:val="20"/>
                <w:szCs w:val="20"/>
                <w:lang w:val="en-US"/>
              </w:rPr>
              <w:t>FRESCO</w:t>
            </w:r>
          </w:p>
        </w:tc>
      </w:tr>
      <w:tr w:rsidR="00E0683A" w:rsidRPr="00E0683A" w14:paraId="33A4B4B3"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shd w:val="clear" w:color="auto" w:fill="DEEAF6" w:themeFill="accent5" w:themeFillTint="33"/>
          </w:tcPr>
          <w:p w14:paraId="564543BC" w14:textId="77777777" w:rsidR="00E0683A" w:rsidRPr="00D7063A" w:rsidRDefault="00E0683A" w:rsidP="00D7063A">
            <w:pPr>
              <w:keepNext/>
              <w:spacing w:line="240" w:lineRule="auto"/>
              <w:ind w:left="0"/>
              <w:rPr>
                <w:b/>
                <w:color w:val="263287"/>
                <w:sz w:val="20"/>
                <w:szCs w:val="20"/>
                <w:lang w:val="en-US"/>
              </w:rPr>
            </w:pPr>
          </w:p>
        </w:tc>
        <w:tc>
          <w:tcPr>
            <w:tcW w:w="1844" w:type="dxa"/>
            <w:gridSpan w:val="2"/>
            <w:shd w:val="clear" w:color="auto" w:fill="DEEAF6" w:themeFill="accent5" w:themeFillTint="33"/>
            <w:hideMark/>
          </w:tcPr>
          <w:p w14:paraId="3A44666D" w14:textId="56C7B71D"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Fruquintinib + BSC N</w:t>
            </w:r>
            <w:r w:rsidR="00555670" w:rsidRPr="00D7063A">
              <w:rPr>
                <w:b/>
                <w:color w:val="263287"/>
                <w:sz w:val="20"/>
                <w:szCs w:val="20"/>
                <w:lang w:val="en-US"/>
              </w:rPr>
              <w:t> </w:t>
            </w:r>
            <w:r w:rsidRPr="00D7063A">
              <w:rPr>
                <w:b/>
                <w:color w:val="263287"/>
                <w:sz w:val="20"/>
                <w:szCs w:val="20"/>
                <w:lang w:val="en-US"/>
              </w:rPr>
              <w:t>=</w:t>
            </w:r>
            <w:r w:rsidR="00555670" w:rsidRPr="00D7063A">
              <w:rPr>
                <w:b/>
                <w:color w:val="263287"/>
                <w:sz w:val="20"/>
                <w:szCs w:val="20"/>
                <w:lang w:val="en-US"/>
              </w:rPr>
              <w:t> </w:t>
            </w:r>
            <w:r w:rsidRPr="00D7063A">
              <w:rPr>
                <w:b/>
                <w:color w:val="263287"/>
                <w:sz w:val="20"/>
                <w:szCs w:val="20"/>
                <w:lang w:val="en-US"/>
              </w:rPr>
              <w:t>456; n</w:t>
            </w:r>
            <w:r w:rsidR="00555670" w:rsidRPr="00D7063A">
              <w:rPr>
                <w:b/>
                <w:color w:val="263287"/>
                <w:sz w:val="20"/>
                <w:szCs w:val="20"/>
                <w:lang w:val="en-US"/>
              </w:rPr>
              <w:t> </w:t>
            </w:r>
            <w:r w:rsidRPr="00D7063A">
              <w:rPr>
                <w:b/>
                <w:color w:val="263287"/>
                <w:sz w:val="20"/>
                <w:szCs w:val="20"/>
                <w:lang w:val="en-US"/>
              </w:rPr>
              <w:t>(%)</w:t>
            </w:r>
          </w:p>
        </w:tc>
        <w:tc>
          <w:tcPr>
            <w:tcW w:w="1701" w:type="dxa"/>
            <w:gridSpan w:val="2"/>
            <w:shd w:val="clear" w:color="auto" w:fill="DEEAF6" w:themeFill="accent5" w:themeFillTint="33"/>
            <w:hideMark/>
          </w:tcPr>
          <w:p w14:paraId="6D1A4959"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xml:space="preserve">Placebo + BSC </w:t>
            </w:r>
          </w:p>
          <w:p w14:paraId="247CCECC" w14:textId="563AAE1D"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N</w:t>
            </w:r>
            <w:r w:rsidR="00555670" w:rsidRPr="00D7063A">
              <w:rPr>
                <w:b/>
                <w:color w:val="263287"/>
                <w:sz w:val="20"/>
                <w:szCs w:val="20"/>
                <w:lang w:val="en-US"/>
              </w:rPr>
              <w:t> </w:t>
            </w:r>
            <w:r w:rsidRPr="00D7063A">
              <w:rPr>
                <w:b/>
                <w:color w:val="263287"/>
                <w:sz w:val="20"/>
                <w:szCs w:val="20"/>
                <w:lang w:val="en-US"/>
              </w:rPr>
              <w:t>=</w:t>
            </w:r>
            <w:r w:rsidR="00555670" w:rsidRPr="00D7063A">
              <w:rPr>
                <w:b/>
                <w:color w:val="263287"/>
                <w:sz w:val="20"/>
                <w:szCs w:val="20"/>
                <w:lang w:val="en-US"/>
              </w:rPr>
              <w:t> </w:t>
            </w:r>
            <w:r w:rsidRPr="00D7063A">
              <w:rPr>
                <w:b/>
                <w:color w:val="263287"/>
                <w:sz w:val="20"/>
                <w:szCs w:val="20"/>
                <w:lang w:val="en-US"/>
              </w:rPr>
              <w:t>230; n</w:t>
            </w:r>
            <w:r w:rsidR="00555670" w:rsidRPr="00D7063A">
              <w:rPr>
                <w:b/>
                <w:color w:val="263287"/>
                <w:sz w:val="20"/>
                <w:szCs w:val="20"/>
                <w:lang w:val="en-US"/>
              </w:rPr>
              <w:t> </w:t>
            </w:r>
            <w:r w:rsidRPr="00D7063A">
              <w:rPr>
                <w:b/>
                <w:color w:val="263287"/>
                <w:sz w:val="20"/>
                <w:szCs w:val="20"/>
                <w:lang w:val="en-US"/>
              </w:rPr>
              <w:t>(%)</w:t>
            </w:r>
          </w:p>
        </w:tc>
        <w:tc>
          <w:tcPr>
            <w:tcW w:w="1701" w:type="dxa"/>
            <w:gridSpan w:val="2"/>
            <w:shd w:val="clear" w:color="auto" w:fill="DEEAF6" w:themeFill="accent5" w:themeFillTint="33"/>
            <w:hideMark/>
          </w:tcPr>
          <w:p w14:paraId="63163E80" w14:textId="5B163852"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Fruquintinib + BSC N</w:t>
            </w:r>
            <w:r w:rsidR="00555670" w:rsidRPr="00D7063A">
              <w:rPr>
                <w:b/>
                <w:color w:val="263287"/>
                <w:sz w:val="20"/>
                <w:szCs w:val="20"/>
                <w:lang w:val="en-US"/>
              </w:rPr>
              <w:t> </w:t>
            </w:r>
            <w:r w:rsidRPr="00D7063A">
              <w:rPr>
                <w:b/>
                <w:color w:val="263287"/>
                <w:sz w:val="20"/>
                <w:szCs w:val="20"/>
                <w:lang w:val="en-US"/>
              </w:rPr>
              <w:t>=</w:t>
            </w:r>
            <w:r w:rsidR="00555670" w:rsidRPr="00D7063A">
              <w:rPr>
                <w:b/>
                <w:color w:val="263287"/>
                <w:sz w:val="20"/>
                <w:szCs w:val="20"/>
                <w:lang w:val="en-US"/>
              </w:rPr>
              <w:t> </w:t>
            </w:r>
            <w:r w:rsidRPr="00D7063A">
              <w:rPr>
                <w:b/>
                <w:color w:val="263287"/>
                <w:sz w:val="20"/>
                <w:szCs w:val="20"/>
                <w:lang w:val="en-US"/>
              </w:rPr>
              <w:t>278; n</w:t>
            </w:r>
            <w:r w:rsidR="00555670" w:rsidRPr="00D7063A">
              <w:rPr>
                <w:b/>
                <w:color w:val="263287"/>
                <w:sz w:val="20"/>
                <w:szCs w:val="20"/>
                <w:lang w:val="en-US"/>
              </w:rPr>
              <w:t> </w:t>
            </w:r>
            <w:r w:rsidRPr="00D7063A">
              <w:rPr>
                <w:b/>
                <w:color w:val="263287"/>
                <w:sz w:val="20"/>
                <w:szCs w:val="20"/>
                <w:lang w:val="en-US"/>
              </w:rPr>
              <w:t>(%)</w:t>
            </w:r>
          </w:p>
        </w:tc>
        <w:tc>
          <w:tcPr>
            <w:tcW w:w="1850" w:type="dxa"/>
            <w:gridSpan w:val="2"/>
            <w:shd w:val="clear" w:color="auto" w:fill="DEEAF6" w:themeFill="accent5" w:themeFillTint="33"/>
            <w:hideMark/>
          </w:tcPr>
          <w:p w14:paraId="67689EE5" w14:textId="66B7CDD1"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Placebo + BSC N</w:t>
            </w:r>
            <w:r w:rsidR="00555670" w:rsidRPr="00D7063A">
              <w:rPr>
                <w:b/>
                <w:color w:val="263287"/>
                <w:sz w:val="20"/>
                <w:szCs w:val="20"/>
                <w:lang w:val="en-US"/>
              </w:rPr>
              <w:t> </w:t>
            </w:r>
            <w:r w:rsidRPr="00D7063A">
              <w:rPr>
                <w:b/>
                <w:color w:val="263287"/>
                <w:sz w:val="20"/>
                <w:szCs w:val="20"/>
                <w:lang w:val="en-US"/>
              </w:rPr>
              <w:t>=</w:t>
            </w:r>
            <w:r w:rsidR="00555670" w:rsidRPr="00D7063A">
              <w:rPr>
                <w:b/>
                <w:color w:val="263287"/>
                <w:sz w:val="20"/>
                <w:szCs w:val="20"/>
                <w:lang w:val="en-US"/>
              </w:rPr>
              <w:t> </w:t>
            </w:r>
            <w:r w:rsidRPr="00D7063A">
              <w:rPr>
                <w:b/>
                <w:color w:val="263287"/>
                <w:sz w:val="20"/>
                <w:szCs w:val="20"/>
                <w:lang w:val="en-US"/>
              </w:rPr>
              <w:t>137; n</w:t>
            </w:r>
            <w:r w:rsidR="00555670" w:rsidRPr="00D7063A">
              <w:rPr>
                <w:b/>
                <w:color w:val="263287"/>
                <w:sz w:val="20"/>
                <w:szCs w:val="20"/>
                <w:lang w:val="en-US"/>
              </w:rPr>
              <w:t> </w:t>
            </w:r>
            <w:r w:rsidRPr="00D7063A">
              <w:rPr>
                <w:b/>
                <w:color w:val="263287"/>
                <w:sz w:val="20"/>
                <w:szCs w:val="20"/>
                <w:lang w:val="en-US"/>
              </w:rPr>
              <w:t>(%)</w:t>
            </w:r>
          </w:p>
        </w:tc>
      </w:tr>
      <w:tr w:rsidR="00D7063A" w:rsidRPr="00E0683A" w14:paraId="05E5F79D"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shd w:val="clear" w:color="auto" w:fill="DEEAF6" w:themeFill="accent5" w:themeFillTint="33"/>
            <w:hideMark/>
          </w:tcPr>
          <w:p w14:paraId="50B4F405" w14:textId="77777777" w:rsidR="00E0683A" w:rsidRPr="00D7063A" w:rsidRDefault="00E0683A" w:rsidP="00D7063A">
            <w:pPr>
              <w:keepNext/>
              <w:spacing w:line="240" w:lineRule="auto"/>
              <w:ind w:left="0"/>
              <w:rPr>
                <w:b/>
                <w:color w:val="263287"/>
                <w:sz w:val="20"/>
                <w:szCs w:val="20"/>
                <w:lang w:val="en-US"/>
              </w:rPr>
            </w:pPr>
            <w:r w:rsidRPr="00D7063A">
              <w:rPr>
                <w:b/>
                <w:color w:val="263287"/>
                <w:sz w:val="20"/>
                <w:szCs w:val="20"/>
                <w:lang w:val="en-US"/>
              </w:rPr>
              <w:t>AE</w:t>
            </w:r>
          </w:p>
        </w:tc>
        <w:tc>
          <w:tcPr>
            <w:tcW w:w="993" w:type="dxa"/>
            <w:shd w:val="clear" w:color="auto" w:fill="DEEAF6" w:themeFill="accent5" w:themeFillTint="33"/>
            <w:hideMark/>
          </w:tcPr>
          <w:p w14:paraId="4902381C"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Any Grade</w:t>
            </w:r>
          </w:p>
        </w:tc>
        <w:tc>
          <w:tcPr>
            <w:tcW w:w="851" w:type="dxa"/>
            <w:shd w:val="clear" w:color="auto" w:fill="DEEAF6" w:themeFill="accent5" w:themeFillTint="33"/>
            <w:hideMark/>
          </w:tcPr>
          <w:p w14:paraId="752F7145"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xml:space="preserve">Grade </w:t>
            </w:r>
          </w:p>
          <w:p w14:paraId="381961DF"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3</w:t>
            </w:r>
          </w:p>
        </w:tc>
        <w:tc>
          <w:tcPr>
            <w:tcW w:w="850" w:type="dxa"/>
            <w:shd w:val="clear" w:color="auto" w:fill="DEEAF6" w:themeFill="accent5" w:themeFillTint="33"/>
            <w:hideMark/>
          </w:tcPr>
          <w:p w14:paraId="40CC80F4"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Any Grade</w:t>
            </w:r>
          </w:p>
        </w:tc>
        <w:tc>
          <w:tcPr>
            <w:tcW w:w="851" w:type="dxa"/>
            <w:shd w:val="clear" w:color="auto" w:fill="DEEAF6" w:themeFill="accent5" w:themeFillTint="33"/>
            <w:hideMark/>
          </w:tcPr>
          <w:p w14:paraId="007BDB6C"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xml:space="preserve">Grade </w:t>
            </w:r>
          </w:p>
          <w:p w14:paraId="2A9D7C5A"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3</w:t>
            </w:r>
          </w:p>
        </w:tc>
        <w:tc>
          <w:tcPr>
            <w:tcW w:w="850" w:type="dxa"/>
            <w:shd w:val="clear" w:color="auto" w:fill="DEEAF6" w:themeFill="accent5" w:themeFillTint="33"/>
            <w:hideMark/>
          </w:tcPr>
          <w:p w14:paraId="76B8526C"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Any Grade</w:t>
            </w:r>
          </w:p>
        </w:tc>
        <w:tc>
          <w:tcPr>
            <w:tcW w:w="851" w:type="dxa"/>
            <w:shd w:val="clear" w:color="auto" w:fill="DEEAF6" w:themeFill="accent5" w:themeFillTint="33"/>
            <w:hideMark/>
          </w:tcPr>
          <w:p w14:paraId="183EFAC0"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xml:space="preserve">Grade </w:t>
            </w:r>
          </w:p>
          <w:p w14:paraId="43265D35"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3</w:t>
            </w:r>
          </w:p>
        </w:tc>
        <w:tc>
          <w:tcPr>
            <w:tcW w:w="992" w:type="dxa"/>
            <w:shd w:val="clear" w:color="auto" w:fill="DEEAF6" w:themeFill="accent5" w:themeFillTint="33"/>
            <w:hideMark/>
          </w:tcPr>
          <w:p w14:paraId="31D2A2B5"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Any Grade</w:t>
            </w:r>
          </w:p>
        </w:tc>
        <w:tc>
          <w:tcPr>
            <w:tcW w:w="858" w:type="dxa"/>
            <w:shd w:val="clear" w:color="auto" w:fill="DEEAF6" w:themeFill="accent5" w:themeFillTint="33"/>
            <w:hideMark/>
          </w:tcPr>
          <w:p w14:paraId="78B8B52B"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xml:space="preserve">Grade </w:t>
            </w:r>
          </w:p>
          <w:p w14:paraId="610B3465" w14:textId="77777777" w:rsidR="00E0683A" w:rsidRPr="00D7063A" w:rsidRDefault="00E0683A" w:rsidP="00D7063A">
            <w:pPr>
              <w:keepNext/>
              <w:spacing w:line="240" w:lineRule="auto"/>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D7063A">
              <w:rPr>
                <w:b/>
                <w:color w:val="263287"/>
                <w:sz w:val="20"/>
                <w:szCs w:val="20"/>
                <w:lang w:val="en-US"/>
              </w:rPr>
              <w:t>≥ 3</w:t>
            </w:r>
          </w:p>
        </w:tc>
      </w:tr>
      <w:tr w:rsidR="00D7063A" w:rsidRPr="00E0683A" w14:paraId="7D9BAAC8"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6258EB3E" w14:textId="77777777" w:rsidR="00E0683A" w:rsidRPr="00555670" w:rsidRDefault="00E0683A" w:rsidP="00555670">
            <w:pPr>
              <w:spacing w:line="240" w:lineRule="auto"/>
              <w:ind w:left="0"/>
              <w:rPr>
                <w:sz w:val="20"/>
                <w:szCs w:val="20"/>
                <w:lang w:val="en-US"/>
              </w:rPr>
            </w:pPr>
            <w:r w:rsidRPr="00555670">
              <w:rPr>
                <w:sz w:val="20"/>
                <w:szCs w:val="20"/>
              </w:rPr>
              <w:t>Hypertension</w:t>
            </w:r>
            <w:r w:rsidRPr="00555670">
              <w:rPr>
                <w:sz w:val="20"/>
                <w:szCs w:val="20"/>
                <w:vertAlign w:val="superscript"/>
              </w:rPr>
              <w:t>1</w:t>
            </w:r>
          </w:p>
        </w:tc>
        <w:tc>
          <w:tcPr>
            <w:tcW w:w="993" w:type="dxa"/>
            <w:hideMark/>
          </w:tcPr>
          <w:p w14:paraId="0845A5F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176 (38.6)</w:t>
            </w:r>
          </w:p>
        </w:tc>
        <w:tc>
          <w:tcPr>
            <w:tcW w:w="851" w:type="dxa"/>
            <w:hideMark/>
          </w:tcPr>
          <w:p w14:paraId="72FD5CB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65 (14.3)</w:t>
            </w:r>
          </w:p>
        </w:tc>
        <w:tc>
          <w:tcPr>
            <w:tcW w:w="850" w:type="dxa"/>
            <w:hideMark/>
          </w:tcPr>
          <w:p w14:paraId="7CDA7360"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20 (8.7)</w:t>
            </w:r>
          </w:p>
        </w:tc>
        <w:tc>
          <w:tcPr>
            <w:tcW w:w="851" w:type="dxa"/>
            <w:hideMark/>
          </w:tcPr>
          <w:p w14:paraId="6389322B"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 (0.9)</w:t>
            </w:r>
          </w:p>
        </w:tc>
        <w:tc>
          <w:tcPr>
            <w:tcW w:w="850" w:type="dxa"/>
            <w:hideMark/>
          </w:tcPr>
          <w:p w14:paraId="2156850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170 (61.2)</w:t>
            </w:r>
          </w:p>
        </w:tc>
        <w:tc>
          <w:tcPr>
            <w:tcW w:w="851" w:type="dxa"/>
            <w:hideMark/>
          </w:tcPr>
          <w:p w14:paraId="0F3AE6A4"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65 (23.4)</w:t>
            </w:r>
          </w:p>
        </w:tc>
        <w:tc>
          <w:tcPr>
            <w:tcW w:w="992" w:type="dxa"/>
            <w:hideMark/>
          </w:tcPr>
          <w:p w14:paraId="61AEEDC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23 (16.8)</w:t>
            </w:r>
          </w:p>
        </w:tc>
        <w:tc>
          <w:tcPr>
            <w:tcW w:w="858" w:type="dxa"/>
            <w:hideMark/>
          </w:tcPr>
          <w:p w14:paraId="0EE4E11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3 (2.2)</w:t>
            </w:r>
          </w:p>
        </w:tc>
      </w:tr>
      <w:tr w:rsidR="00D7063A" w:rsidRPr="00E0683A" w14:paraId="720D3E33"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57F3B7C9" w14:textId="77777777" w:rsidR="00E0683A" w:rsidRPr="00555670" w:rsidRDefault="00E0683A" w:rsidP="00555670">
            <w:pPr>
              <w:spacing w:line="240" w:lineRule="auto"/>
              <w:ind w:left="0"/>
              <w:rPr>
                <w:sz w:val="20"/>
                <w:szCs w:val="20"/>
                <w:lang w:val="en-US"/>
              </w:rPr>
            </w:pPr>
            <w:r w:rsidRPr="00555670">
              <w:rPr>
                <w:sz w:val="20"/>
                <w:szCs w:val="20"/>
              </w:rPr>
              <w:t>Stomatitis</w:t>
            </w:r>
            <w:r w:rsidRPr="00555670">
              <w:rPr>
                <w:sz w:val="20"/>
                <w:szCs w:val="20"/>
                <w:vertAlign w:val="superscript"/>
              </w:rPr>
              <w:t>2</w:t>
            </w:r>
          </w:p>
        </w:tc>
        <w:tc>
          <w:tcPr>
            <w:tcW w:w="993" w:type="dxa"/>
            <w:hideMark/>
          </w:tcPr>
          <w:p w14:paraId="3BDE810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142 (31.1)</w:t>
            </w:r>
          </w:p>
        </w:tc>
        <w:tc>
          <w:tcPr>
            <w:tcW w:w="851" w:type="dxa"/>
            <w:hideMark/>
          </w:tcPr>
          <w:p w14:paraId="620979D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10 (2.2)</w:t>
            </w:r>
          </w:p>
        </w:tc>
        <w:tc>
          <w:tcPr>
            <w:tcW w:w="850" w:type="dxa"/>
            <w:hideMark/>
          </w:tcPr>
          <w:p w14:paraId="2093BD5E"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18 (7.8)</w:t>
            </w:r>
          </w:p>
        </w:tc>
        <w:tc>
          <w:tcPr>
            <w:tcW w:w="851" w:type="dxa"/>
            <w:hideMark/>
          </w:tcPr>
          <w:p w14:paraId="5ED4829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(0.4)</w:t>
            </w:r>
          </w:p>
        </w:tc>
        <w:tc>
          <w:tcPr>
            <w:tcW w:w="850" w:type="dxa"/>
            <w:hideMark/>
          </w:tcPr>
          <w:p w14:paraId="19A27A41"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92 (33.1)</w:t>
            </w:r>
          </w:p>
        </w:tc>
        <w:tc>
          <w:tcPr>
            <w:tcW w:w="851" w:type="dxa"/>
            <w:hideMark/>
          </w:tcPr>
          <w:p w14:paraId="0938C73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 (0.7)</w:t>
            </w:r>
          </w:p>
        </w:tc>
        <w:tc>
          <w:tcPr>
            <w:tcW w:w="992" w:type="dxa"/>
            <w:hideMark/>
          </w:tcPr>
          <w:p w14:paraId="623F33EA"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4 (2.9)</w:t>
            </w:r>
          </w:p>
        </w:tc>
        <w:tc>
          <w:tcPr>
            <w:tcW w:w="858" w:type="dxa"/>
            <w:hideMark/>
          </w:tcPr>
          <w:p w14:paraId="2DB774E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64DC8DC1"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01181AC6" w14:textId="77777777" w:rsidR="00E0683A" w:rsidRPr="00555670" w:rsidRDefault="00E0683A" w:rsidP="00555670">
            <w:pPr>
              <w:spacing w:line="240" w:lineRule="auto"/>
              <w:ind w:left="0"/>
              <w:rPr>
                <w:sz w:val="20"/>
                <w:szCs w:val="20"/>
                <w:lang w:val="en-US"/>
              </w:rPr>
            </w:pPr>
            <w:r w:rsidRPr="00555670">
              <w:rPr>
                <w:sz w:val="20"/>
                <w:szCs w:val="20"/>
              </w:rPr>
              <w:t>Thyroid dysfunction</w:t>
            </w:r>
            <w:r w:rsidRPr="00555670">
              <w:rPr>
                <w:sz w:val="20"/>
                <w:szCs w:val="20"/>
                <w:vertAlign w:val="superscript"/>
              </w:rPr>
              <w:t>3</w:t>
            </w:r>
          </w:p>
        </w:tc>
        <w:tc>
          <w:tcPr>
            <w:tcW w:w="993" w:type="dxa"/>
            <w:hideMark/>
          </w:tcPr>
          <w:p w14:paraId="14C7D54E"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135 (27.0)</w:t>
            </w:r>
          </w:p>
        </w:tc>
        <w:tc>
          <w:tcPr>
            <w:tcW w:w="851" w:type="dxa"/>
            <w:hideMark/>
          </w:tcPr>
          <w:p w14:paraId="514ECDBB"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 (0.4)</w:t>
            </w:r>
          </w:p>
        </w:tc>
        <w:tc>
          <w:tcPr>
            <w:tcW w:w="850" w:type="dxa"/>
            <w:hideMark/>
          </w:tcPr>
          <w:p w14:paraId="57374D58"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4 (1.7)</w:t>
            </w:r>
          </w:p>
        </w:tc>
        <w:tc>
          <w:tcPr>
            <w:tcW w:w="851" w:type="dxa"/>
            <w:hideMark/>
          </w:tcPr>
          <w:p w14:paraId="7F9F195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0" w:type="dxa"/>
            <w:hideMark/>
          </w:tcPr>
          <w:p w14:paraId="159CC9F2"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67 (24.1)</w:t>
            </w:r>
          </w:p>
        </w:tc>
        <w:tc>
          <w:tcPr>
            <w:tcW w:w="851" w:type="dxa"/>
            <w:hideMark/>
          </w:tcPr>
          <w:p w14:paraId="3AFC1591"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992" w:type="dxa"/>
            <w:hideMark/>
          </w:tcPr>
          <w:p w14:paraId="73D42E8B"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9 (6.6)</w:t>
            </w:r>
          </w:p>
        </w:tc>
        <w:tc>
          <w:tcPr>
            <w:tcW w:w="858" w:type="dxa"/>
            <w:hideMark/>
          </w:tcPr>
          <w:p w14:paraId="2E0A86A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649D5704"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7C372430" w14:textId="77777777" w:rsidR="00E0683A" w:rsidRPr="00555670" w:rsidRDefault="00E0683A" w:rsidP="00555670">
            <w:pPr>
              <w:spacing w:line="240" w:lineRule="auto"/>
              <w:ind w:left="0"/>
              <w:rPr>
                <w:sz w:val="20"/>
                <w:szCs w:val="20"/>
                <w:lang w:val="en-US"/>
              </w:rPr>
            </w:pPr>
            <w:r w:rsidRPr="00555670">
              <w:rPr>
                <w:sz w:val="20"/>
                <w:szCs w:val="20"/>
              </w:rPr>
              <w:t>Hepatotoxicity</w:t>
            </w:r>
            <w:r w:rsidRPr="00555670">
              <w:rPr>
                <w:sz w:val="20"/>
                <w:szCs w:val="20"/>
                <w:vertAlign w:val="superscript"/>
              </w:rPr>
              <w:t>4</w:t>
            </w:r>
          </w:p>
        </w:tc>
        <w:tc>
          <w:tcPr>
            <w:tcW w:w="993" w:type="dxa"/>
            <w:hideMark/>
          </w:tcPr>
          <w:p w14:paraId="6A744809"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98 (21.5)</w:t>
            </w:r>
          </w:p>
        </w:tc>
        <w:tc>
          <w:tcPr>
            <w:tcW w:w="851" w:type="dxa"/>
            <w:hideMark/>
          </w:tcPr>
          <w:p w14:paraId="09FC7231"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32 (7.0)</w:t>
            </w:r>
          </w:p>
        </w:tc>
        <w:tc>
          <w:tcPr>
            <w:tcW w:w="850" w:type="dxa"/>
            <w:hideMark/>
          </w:tcPr>
          <w:p w14:paraId="34B56B03"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27 (11.7)</w:t>
            </w:r>
          </w:p>
        </w:tc>
        <w:tc>
          <w:tcPr>
            <w:tcW w:w="851" w:type="dxa"/>
            <w:hideMark/>
          </w:tcPr>
          <w:p w14:paraId="2ED7282F"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14 (6.1)</w:t>
            </w:r>
          </w:p>
        </w:tc>
        <w:tc>
          <w:tcPr>
            <w:tcW w:w="850" w:type="dxa"/>
            <w:hideMark/>
          </w:tcPr>
          <w:p w14:paraId="0F2D619A"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133 (47.8)</w:t>
            </w:r>
          </w:p>
        </w:tc>
        <w:tc>
          <w:tcPr>
            <w:tcW w:w="851" w:type="dxa"/>
            <w:hideMark/>
          </w:tcPr>
          <w:p w14:paraId="5B06123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21 (7.6)</w:t>
            </w:r>
          </w:p>
        </w:tc>
        <w:tc>
          <w:tcPr>
            <w:tcW w:w="992" w:type="dxa"/>
            <w:hideMark/>
          </w:tcPr>
          <w:p w14:paraId="12F55D1D"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35 (25.5)</w:t>
            </w:r>
          </w:p>
        </w:tc>
        <w:tc>
          <w:tcPr>
            <w:tcW w:w="858" w:type="dxa"/>
            <w:hideMark/>
          </w:tcPr>
          <w:p w14:paraId="6A01DD8D"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11 (8.0)</w:t>
            </w:r>
          </w:p>
        </w:tc>
      </w:tr>
      <w:tr w:rsidR="00D7063A" w:rsidRPr="00E0683A" w14:paraId="4F57DA43"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03202AC5" w14:textId="77777777" w:rsidR="00E0683A" w:rsidRPr="00555670" w:rsidRDefault="00E0683A" w:rsidP="00555670">
            <w:pPr>
              <w:spacing w:line="240" w:lineRule="auto"/>
              <w:ind w:left="0"/>
              <w:rPr>
                <w:sz w:val="20"/>
                <w:szCs w:val="20"/>
                <w:lang w:val="en-US"/>
              </w:rPr>
            </w:pPr>
            <w:r w:rsidRPr="00555670">
              <w:rPr>
                <w:sz w:val="20"/>
                <w:szCs w:val="20"/>
              </w:rPr>
              <w:t>Palmar-plantar erythrodysesthesia syndrome</w:t>
            </w:r>
          </w:p>
        </w:tc>
        <w:tc>
          <w:tcPr>
            <w:tcW w:w="993" w:type="dxa"/>
            <w:hideMark/>
          </w:tcPr>
          <w:p w14:paraId="041573C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88 (19.3)</w:t>
            </w:r>
          </w:p>
        </w:tc>
        <w:tc>
          <w:tcPr>
            <w:tcW w:w="851" w:type="dxa"/>
            <w:hideMark/>
          </w:tcPr>
          <w:p w14:paraId="4607533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29 (6.4)</w:t>
            </w:r>
          </w:p>
        </w:tc>
        <w:tc>
          <w:tcPr>
            <w:tcW w:w="850" w:type="dxa"/>
            <w:hideMark/>
          </w:tcPr>
          <w:p w14:paraId="22103F1D"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6 (2.6)</w:t>
            </w:r>
          </w:p>
        </w:tc>
        <w:tc>
          <w:tcPr>
            <w:tcW w:w="851" w:type="dxa"/>
            <w:hideMark/>
          </w:tcPr>
          <w:p w14:paraId="6451F36E"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0" w:type="dxa"/>
            <w:hideMark/>
          </w:tcPr>
          <w:p w14:paraId="36F4B022"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lang w:val="en-US"/>
              </w:rPr>
              <w:t>137 (49.3)</w:t>
            </w:r>
          </w:p>
        </w:tc>
        <w:tc>
          <w:tcPr>
            <w:tcW w:w="851" w:type="dxa"/>
            <w:hideMark/>
          </w:tcPr>
          <w:p w14:paraId="6415D4C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lang w:val="en-US"/>
              </w:rPr>
              <w:t>30 (10.8)</w:t>
            </w:r>
          </w:p>
        </w:tc>
        <w:tc>
          <w:tcPr>
            <w:tcW w:w="992" w:type="dxa"/>
            <w:hideMark/>
          </w:tcPr>
          <w:p w14:paraId="3490BA9F"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lang w:val="en-US"/>
              </w:rPr>
              <w:t>4 (2.9)</w:t>
            </w:r>
          </w:p>
        </w:tc>
        <w:tc>
          <w:tcPr>
            <w:tcW w:w="858" w:type="dxa"/>
            <w:hideMark/>
          </w:tcPr>
          <w:p w14:paraId="2F5447EB"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lang w:val="en-US"/>
              </w:rPr>
              <w:t>0</w:t>
            </w:r>
          </w:p>
        </w:tc>
      </w:tr>
      <w:tr w:rsidR="00D7063A" w:rsidRPr="00E0683A" w14:paraId="779C81BF"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785D18A6" w14:textId="77777777" w:rsidR="00E0683A" w:rsidRPr="00555670" w:rsidRDefault="00E0683A" w:rsidP="00555670">
            <w:pPr>
              <w:spacing w:line="240" w:lineRule="auto"/>
              <w:ind w:left="0"/>
              <w:rPr>
                <w:sz w:val="20"/>
                <w:szCs w:val="20"/>
                <w:lang w:val="en-US"/>
              </w:rPr>
            </w:pPr>
            <w:r w:rsidRPr="00555670">
              <w:rPr>
                <w:sz w:val="20"/>
                <w:szCs w:val="20"/>
              </w:rPr>
              <w:t>Proteinuria</w:t>
            </w:r>
            <w:r w:rsidRPr="00555670">
              <w:rPr>
                <w:sz w:val="20"/>
                <w:szCs w:val="20"/>
                <w:vertAlign w:val="superscript"/>
              </w:rPr>
              <w:t>5</w:t>
            </w:r>
          </w:p>
        </w:tc>
        <w:tc>
          <w:tcPr>
            <w:tcW w:w="993" w:type="dxa"/>
            <w:hideMark/>
          </w:tcPr>
          <w:p w14:paraId="2687901E"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80 (17.5)</w:t>
            </w:r>
          </w:p>
        </w:tc>
        <w:tc>
          <w:tcPr>
            <w:tcW w:w="851" w:type="dxa"/>
            <w:hideMark/>
          </w:tcPr>
          <w:p w14:paraId="39B0937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8 (1.8)</w:t>
            </w:r>
          </w:p>
        </w:tc>
        <w:tc>
          <w:tcPr>
            <w:tcW w:w="850" w:type="dxa"/>
            <w:hideMark/>
          </w:tcPr>
          <w:p w14:paraId="4615D10F"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12 (5.2)</w:t>
            </w:r>
          </w:p>
        </w:tc>
        <w:tc>
          <w:tcPr>
            <w:tcW w:w="851" w:type="dxa"/>
            <w:hideMark/>
          </w:tcPr>
          <w:p w14:paraId="4E021952"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 (0.9)</w:t>
            </w:r>
          </w:p>
        </w:tc>
        <w:tc>
          <w:tcPr>
            <w:tcW w:w="850" w:type="dxa"/>
            <w:hideMark/>
          </w:tcPr>
          <w:p w14:paraId="419235B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149 (53.6)</w:t>
            </w:r>
          </w:p>
        </w:tc>
        <w:tc>
          <w:tcPr>
            <w:tcW w:w="851" w:type="dxa"/>
            <w:hideMark/>
          </w:tcPr>
          <w:p w14:paraId="21232F3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12 (4.3)</w:t>
            </w:r>
          </w:p>
        </w:tc>
        <w:tc>
          <w:tcPr>
            <w:tcW w:w="992" w:type="dxa"/>
            <w:hideMark/>
          </w:tcPr>
          <w:p w14:paraId="5DD6BE8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39 (28.5)</w:t>
            </w:r>
          </w:p>
        </w:tc>
        <w:tc>
          <w:tcPr>
            <w:tcW w:w="858" w:type="dxa"/>
            <w:hideMark/>
          </w:tcPr>
          <w:p w14:paraId="1258E6D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6FEB636A"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4A2A6CB4" w14:textId="77777777" w:rsidR="00E0683A" w:rsidRPr="00555670" w:rsidRDefault="00E0683A" w:rsidP="00555670">
            <w:pPr>
              <w:spacing w:line="240" w:lineRule="auto"/>
              <w:ind w:left="0"/>
              <w:rPr>
                <w:sz w:val="20"/>
                <w:szCs w:val="20"/>
                <w:lang w:val="en-US"/>
              </w:rPr>
            </w:pPr>
            <w:r w:rsidRPr="00555670">
              <w:rPr>
                <w:sz w:val="20"/>
                <w:szCs w:val="20"/>
              </w:rPr>
              <w:t>Dysphonia</w:t>
            </w:r>
            <w:r w:rsidRPr="00555670">
              <w:rPr>
                <w:sz w:val="20"/>
                <w:szCs w:val="20"/>
                <w:vertAlign w:val="superscript"/>
              </w:rPr>
              <w:t>6</w:t>
            </w:r>
          </w:p>
        </w:tc>
        <w:tc>
          <w:tcPr>
            <w:tcW w:w="993" w:type="dxa"/>
            <w:hideMark/>
          </w:tcPr>
          <w:p w14:paraId="58991A0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80 (17.5)</w:t>
            </w:r>
          </w:p>
        </w:tc>
        <w:tc>
          <w:tcPr>
            <w:tcW w:w="851" w:type="dxa"/>
            <w:hideMark/>
          </w:tcPr>
          <w:p w14:paraId="0488097D"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0" w:type="dxa"/>
            <w:hideMark/>
          </w:tcPr>
          <w:p w14:paraId="71E0A173"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12 (5.2)</w:t>
            </w:r>
          </w:p>
        </w:tc>
        <w:tc>
          <w:tcPr>
            <w:tcW w:w="851" w:type="dxa"/>
            <w:hideMark/>
          </w:tcPr>
          <w:p w14:paraId="519EBCF3"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0" w:type="dxa"/>
            <w:hideMark/>
          </w:tcPr>
          <w:p w14:paraId="51C3A000"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105 (37.8)</w:t>
            </w:r>
          </w:p>
        </w:tc>
        <w:tc>
          <w:tcPr>
            <w:tcW w:w="851" w:type="dxa"/>
            <w:hideMark/>
          </w:tcPr>
          <w:p w14:paraId="58DE052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992" w:type="dxa"/>
            <w:hideMark/>
          </w:tcPr>
          <w:p w14:paraId="58788B3F"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 (1.5)</w:t>
            </w:r>
          </w:p>
        </w:tc>
        <w:tc>
          <w:tcPr>
            <w:tcW w:w="858" w:type="dxa"/>
            <w:hideMark/>
          </w:tcPr>
          <w:p w14:paraId="2382E72D"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12574D6D"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3451D0F2" w14:textId="77777777" w:rsidR="00E0683A" w:rsidRPr="00555670" w:rsidRDefault="00E0683A" w:rsidP="00555670">
            <w:pPr>
              <w:spacing w:line="240" w:lineRule="auto"/>
              <w:ind w:left="0"/>
              <w:rPr>
                <w:sz w:val="20"/>
                <w:szCs w:val="20"/>
                <w:lang w:val="en-US"/>
              </w:rPr>
            </w:pPr>
            <w:r w:rsidRPr="00555670">
              <w:rPr>
                <w:sz w:val="20"/>
                <w:szCs w:val="20"/>
              </w:rPr>
              <w:t>Hemorrhage</w:t>
            </w:r>
            <w:r w:rsidRPr="00555670">
              <w:rPr>
                <w:sz w:val="20"/>
                <w:szCs w:val="20"/>
                <w:vertAlign w:val="superscript"/>
              </w:rPr>
              <w:t>7</w:t>
            </w:r>
          </w:p>
        </w:tc>
        <w:tc>
          <w:tcPr>
            <w:tcW w:w="993" w:type="dxa"/>
            <w:hideMark/>
          </w:tcPr>
          <w:p w14:paraId="41C99C12"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61 (13.4)</w:t>
            </w:r>
          </w:p>
        </w:tc>
        <w:tc>
          <w:tcPr>
            <w:tcW w:w="851" w:type="dxa"/>
            <w:hideMark/>
          </w:tcPr>
          <w:p w14:paraId="6E75354E"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8 (1.8)</w:t>
            </w:r>
          </w:p>
        </w:tc>
        <w:tc>
          <w:tcPr>
            <w:tcW w:w="850" w:type="dxa"/>
            <w:hideMark/>
          </w:tcPr>
          <w:p w14:paraId="218AD83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21 (9.1)</w:t>
            </w:r>
          </w:p>
        </w:tc>
        <w:tc>
          <w:tcPr>
            <w:tcW w:w="851" w:type="dxa"/>
            <w:hideMark/>
          </w:tcPr>
          <w:p w14:paraId="6695789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4 (1.7)</w:t>
            </w:r>
          </w:p>
        </w:tc>
        <w:tc>
          <w:tcPr>
            <w:tcW w:w="850" w:type="dxa"/>
            <w:hideMark/>
          </w:tcPr>
          <w:p w14:paraId="0F40250E"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77 (27.7)</w:t>
            </w:r>
          </w:p>
        </w:tc>
        <w:tc>
          <w:tcPr>
            <w:tcW w:w="851" w:type="dxa"/>
            <w:hideMark/>
          </w:tcPr>
          <w:p w14:paraId="2ADA48A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5 (1.8)</w:t>
            </w:r>
          </w:p>
        </w:tc>
        <w:tc>
          <w:tcPr>
            <w:tcW w:w="992" w:type="dxa"/>
            <w:hideMark/>
          </w:tcPr>
          <w:p w14:paraId="1321FBD9"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19 (13.9)</w:t>
            </w:r>
          </w:p>
        </w:tc>
        <w:tc>
          <w:tcPr>
            <w:tcW w:w="858" w:type="dxa"/>
            <w:hideMark/>
          </w:tcPr>
          <w:p w14:paraId="19C76AC2"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182DF2F0"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3A4203DF" w14:textId="77777777" w:rsidR="00E0683A" w:rsidRPr="00555670" w:rsidRDefault="00E0683A" w:rsidP="00555670">
            <w:pPr>
              <w:spacing w:line="240" w:lineRule="auto"/>
              <w:ind w:left="0"/>
              <w:rPr>
                <w:sz w:val="20"/>
                <w:szCs w:val="20"/>
                <w:lang w:val="en-US"/>
              </w:rPr>
            </w:pPr>
            <w:r w:rsidRPr="00555670">
              <w:rPr>
                <w:sz w:val="20"/>
                <w:szCs w:val="20"/>
              </w:rPr>
              <w:t>Rash</w:t>
            </w:r>
            <w:r w:rsidRPr="00555670">
              <w:rPr>
                <w:sz w:val="20"/>
                <w:szCs w:val="20"/>
                <w:vertAlign w:val="superscript"/>
              </w:rPr>
              <w:t>8</w:t>
            </w:r>
          </w:p>
        </w:tc>
        <w:tc>
          <w:tcPr>
            <w:tcW w:w="993" w:type="dxa"/>
            <w:hideMark/>
          </w:tcPr>
          <w:p w14:paraId="119B6179"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25 (5.5)</w:t>
            </w:r>
          </w:p>
        </w:tc>
        <w:tc>
          <w:tcPr>
            <w:tcW w:w="851" w:type="dxa"/>
            <w:hideMark/>
          </w:tcPr>
          <w:p w14:paraId="10F7222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0" w:type="dxa"/>
            <w:hideMark/>
          </w:tcPr>
          <w:p w14:paraId="73E6A2D6"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8 (3.5)</w:t>
            </w:r>
          </w:p>
        </w:tc>
        <w:tc>
          <w:tcPr>
            <w:tcW w:w="851" w:type="dxa"/>
            <w:hideMark/>
          </w:tcPr>
          <w:p w14:paraId="7201D610"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(0.4)</w:t>
            </w:r>
          </w:p>
        </w:tc>
        <w:tc>
          <w:tcPr>
            <w:tcW w:w="850" w:type="dxa"/>
            <w:hideMark/>
          </w:tcPr>
          <w:p w14:paraId="4B7E1A6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25 (9.0)</w:t>
            </w:r>
          </w:p>
        </w:tc>
        <w:tc>
          <w:tcPr>
            <w:tcW w:w="851" w:type="dxa"/>
            <w:hideMark/>
          </w:tcPr>
          <w:p w14:paraId="3FC88FC1"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992" w:type="dxa"/>
            <w:hideMark/>
          </w:tcPr>
          <w:p w14:paraId="0C3FB5E2"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 (1.5)</w:t>
            </w:r>
          </w:p>
        </w:tc>
        <w:tc>
          <w:tcPr>
            <w:tcW w:w="858" w:type="dxa"/>
            <w:hideMark/>
          </w:tcPr>
          <w:p w14:paraId="03315F9E"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00ECD464"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35CDA00E" w14:textId="77777777" w:rsidR="00E0683A" w:rsidRPr="00555670" w:rsidRDefault="00E0683A" w:rsidP="00555670">
            <w:pPr>
              <w:spacing w:line="240" w:lineRule="auto"/>
              <w:ind w:left="0"/>
              <w:rPr>
                <w:sz w:val="20"/>
                <w:szCs w:val="20"/>
                <w:lang w:val="en-US"/>
              </w:rPr>
            </w:pPr>
            <w:r w:rsidRPr="00555670">
              <w:rPr>
                <w:sz w:val="20"/>
                <w:szCs w:val="20"/>
              </w:rPr>
              <w:t>Gastrointestinal perforation or fistula</w:t>
            </w:r>
            <w:r w:rsidRPr="00555670">
              <w:rPr>
                <w:sz w:val="20"/>
                <w:szCs w:val="20"/>
                <w:vertAlign w:val="superscript"/>
              </w:rPr>
              <w:t>9</w:t>
            </w:r>
          </w:p>
        </w:tc>
        <w:tc>
          <w:tcPr>
            <w:tcW w:w="993" w:type="dxa"/>
            <w:hideMark/>
          </w:tcPr>
          <w:p w14:paraId="2C8212C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16 (3.5)</w:t>
            </w:r>
          </w:p>
        </w:tc>
        <w:tc>
          <w:tcPr>
            <w:tcW w:w="851" w:type="dxa"/>
            <w:hideMark/>
          </w:tcPr>
          <w:p w14:paraId="15172008"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12 (2.6)</w:t>
            </w:r>
          </w:p>
        </w:tc>
        <w:tc>
          <w:tcPr>
            <w:tcW w:w="850" w:type="dxa"/>
            <w:hideMark/>
          </w:tcPr>
          <w:p w14:paraId="33348E2D"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 (0.9)</w:t>
            </w:r>
          </w:p>
        </w:tc>
        <w:tc>
          <w:tcPr>
            <w:tcW w:w="851" w:type="dxa"/>
            <w:hideMark/>
          </w:tcPr>
          <w:p w14:paraId="023F21D4"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2 (0.9)</w:t>
            </w:r>
          </w:p>
        </w:tc>
        <w:tc>
          <w:tcPr>
            <w:tcW w:w="850" w:type="dxa"/>
            <w:hideMark/>
          </w:tcPr>
          <w:p w14:paraId="4B016E73"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6 (2.2)</w:t>
            </w:r>
          </w:p>
        </w:tc>
        <w:tc>
          <w:tcPr>
            <w:tcW w:w="851" w:type="dxa"/>
            <w:hideMark/>
          </w:tcPr>
          <w:p w14:paraId="10F7009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5 (1.8)</w:t>
            </w:r>
          </w:p>
        </w:tc>
        <w:tc>
          <w:tcPr>
            <w:tcW w:w="992" w:type="dxa"/>
            <w:hideMark/>
          </w:tcPr>
          <w:p w14:paraId="6EDF081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(0.7)</w:t>
            </w:r>
          </w:p>
        </w:tc>
        <w:tc>
          <w:tcPr>
            <w:tcW w:w="858" w:type="dxa"/>
            <w:hideMark/>
          </w:tcPr>
          <w:p w14:paraId="7D45FC4B"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50D73326"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189CBFA5" w14:textId="77777777" w:rsidR="00E0683A" w:rsidRPr="00555670" w:rsidRDefault="00E0683A" w:rsidP="00555670">
            <w:pPr>
              <w:spacing w:line="240" w:lineRule="auto"/>
              <w:ind w:left="0"/>
              <w:rPr>
                <w:sz w:val="20"/>
                <w:szCs w:val="20"/>
                <w:lang w:val="en-US"/>
              </w:rPr>
            </w:pPr>
            <w:r w:rsidRPr="00555670">
              <w:rPr>
                <w:sz w:val="20"/>
                <w:szCs w:val="20"/>
              </w:rPr>
              <w:t>Thrombotic events</w:t>
            </w:r>
            <w:r w:rsidRPr="00555670">
              <w:rPr>
                <w:sz w:val="20"/>
                <w:szCs w:val="20"/>
                <w:vertAlign w:val="superscript"/>
              </w:rPr>
              <w:t>10</w:t>
            </w:r>
          </w:p>
        </w:tc>
        <w:tc>
          <w:tcPr>
            <w:tcW w:w="993" w:type="dxa"/>
            <w:hideMark/>
          </w:tcPr>
          <w:p w14:paraId="5070E313"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17 (3.7)</w:t>
            </w:r>
          </w:p>
        </w:tc>
        <w:tc>
          <w:tcPr>
            <w:tcW w:w="851" w:type="dxa"/>
            <w:hideMark/>
          </w:tcPr>
          <w:p w14:paraId="15C435D8"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11 (2.4)</w:t>
            </w:r>
          </w:p>
        </w:tc>
        <w:tc>
          <w:tcPr>
            <w:tcW w:w="850" w:type="dxa"/>
            <w:hideMark/>
          </w:tcPr>
          <w:p w14:paraId="23526AD9"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4 (1.7)</w:t>
            </w:r>
          </w:p>
        </w:tc>
        <w:tc>
          <w:tcPr>
            <w:tcW w:w="851" w:type="dxa"/>
            <w:hideMark/>
          </w:tcPr>
          <w:p w14:paraId="2BD9D65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(0.4)</w:t>
            </w:r>
          </w:p>
        </w:tc>
        <w:tc>
          <w:tcPr>
            <w:tcW w:w="850" w:type="dxa"/>
            <w:hideMark/>
          </w:tcPr>
          <w:p w14:paraId="5F004A00"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3 (1.1)</w:t>
            </w:r>
          </w:p>
        </w:tc>
        <w:tc>
          <w:tcPr>
            <w:tcW w:w="851" w:type="dxa"/>
            <w:hideMark/>
          </w:tcPr>
          <w:p w14:paraId="2923DB03"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(0.4)</w:t>
            </w:r>
          </w:p>
        </w:tc>
        <w:tc>
          <w:tcPr>
            <w:tcW w:w="992" w:type="dxa"/>
            <w:hideMark/>
          </w:tcPr>
          <w:p w14:paraId="5F95C2FA"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(0.7)</w:t>
            </w:r>
          </w:p>
        </w:tc>
        <w:tc>
          <w:tcPr>
            <w:tcW w:w="858" w:type="dxa"/>
            <w:hideMark/>
          </w:tcPr>
          <w:p w14:paraId="0F65D634"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1D7BDD7C"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6AD223BA" w14:textId="77777777" w:rsidR="00E0683A" w:rsidRPr="00555670" w:rsidRDefault="00E0683A" w:rsidP="00555670">
            <w:pPr>
              <w:spacing w:line="240" w:lineRule="auto"/>
              <w:ind w:left="0"/>
              <w:rPr>
                <w:sz w:val="20"/>
                <w:szCs w:val="20"/>
                <w:lang w:val="en-US"/>
              </w:rPr>
            </w:pPr>
            <w:r w:rsidRPr="00555670">
              <w:rPr>
                <w:sz w:val="20"/>
                <w:szCs w:val="20"/>
              </w:rPr>
              <w:t>Left ventricular dysfunction</w:t>
            </w:r>
            <w:r w:rsidRPr="00555670">
              <w:rPr>
                <w:sz w:val="20"/>
                <w:szCs w:val="20"/>
                <w:vertAlign w:val="superscript"/>
              </w:rPr>
              <w:t>11</w:t>
            </w:r>
          </w:p>
        </w:tc>
        <w:tc>
          <w:tcPr>
            <w:tcW w:w="993" w:type="dxa"/>
            <w:hideMark/>
          </w:tcPr>
          <w:p w14:paraId="1AB17821"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5 (1.1)</w:t>
            </w:r>
          </w:p>
        </w:tc>
        <w:tc>
          <w:tcPr>
            <w:tcW w:w="851" w:type="dxa"/>
            <w:hideMark/>
          </w:tcPr>
          <w:p w14:paraId="255A50A6"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3 (0.7)</w:t>
            </w:r>
          </w:p>
        </w:tc>
        <w:tc>
          <w:tcPr>
            <w:tcW w:w="850" w:type="dxa"/>
            <w:hideMark/>
          </w:tcPr>
          <w:p w14:paraId="14D4AEC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(0.4)</w:t>
            </w:r>
          </w:p>
        </w:tc>
        <w:tc>
          <w:tcPr>
            <w:tcW w:w="851" w:type="dxa"/>
            <w:hideMark/>
          </w:tcPr>
          <w:p w14:paraId="3E428E51"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(0.4)</w:t>
            </w:r>
          </w:p>
        </w:tc>
        <w:tc>
          <w:tcPr>
            <w:tcW w:w="850" w:type="dxa"/>
            <w:hideMark/>
          </w:tcPr>
          <w:p w14:paraId="1A5A9AD6"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3 (1.1)</w:t>
            </w:r>
          </w:p>
        </w:tc>
        <w:tc>
          <w:tcPr>
            <w:tcW w:w="851" w:type="dxa"/>
            <w:hideMark/>
          </w:tcPr>
          <w:p w14:paraId="20F2BC51"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(0.4)</w:t>
            </w:r>
          </w:p>
        </w:tc>
        <w:tc>
          <w:tcPr>
            <w:tcW w:w="992" w:type="dxa"/>
            <w:hideMark/>
          </w:tcPr>
          <w:p w14:paraId="1B2F2839"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(0.7)</w:t>
            </w:r>
          </w:p>
        </w:tc>
        <w:tc>
          <w:tcPr>
            <w:tcW w:w="858" w:type="dxa"/>
            <w:hideMark/>
          </w:tcPr>
          <w:p w14:paraId="7B26E068"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r>
      <w:tr w:rsidR="00D7063A" w:rsidRPr="00E0683A" w14:paraId="44A6696D"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33ECA082" w14:textId="77777777" w:rsidR="00E0683A" w:rsidRPr="00555670" w:rsidRDefault="00E0683A" w:rsidP="00555670">
            <w:pPr>
              <w:spacing w:line="240" w:lineRule="auto"/>
              <w:ind w:left="0"/>
              <w:rPr>
                <w:sz w:val="20"/>
                <w:szCs w:val="20"/>
                <w:lang w:val="en-US"/>
              </w:rPr>
            </w:pPr>
            <w:r w:rsidRPr="00555670">
              <w:rPr>
                <w:sz w:val="20"/>
                <w:szCs w:val="20"/>
              </w:rPr>
              <w:t>Wound healing difficulty</w:t>
            </w:r>
            <w:r w:rsidRPr="00555670">
              <w:rPr>
                <w:sz w:val="20"/>
                <w:szCs w:val="20"/>
                <w:vertAlign w:val="superscript"/>
              </w:rPr>
              <w:t>12</w:t>
            </w:r>
          </w:p>
        </w:tc>
        <w:tc>
          <w:tcPr>
            <w:tcW w:w="993" w:type="dxa"/>
            <w:hideMark/>
          </w:tcPr>
          <w:p w14:paraId="17D6797D"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1 (0.2)</w:t>
            </w:r>
          </w:p>
        </w:tc>
        <w:tc>
          <w:tcPr>
            <w:tcW w:w="851" w:type="dxa"/>
            <w:hideMark/>
          </w:tcPr>
          <w:p w14:paraId="19FF7738"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0" w:type="dxa"/>
            <w:hideMark/>
          </w:tcPr>
          <w:p w14:paraId="788D6BC4"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1" w:type="dxa"/>
            <w:hideMark/>
          </w:tcPr>
          <w:p w14:paraId="646C48E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0" w:type="dxa"/>
          </w:tcPr>
          <w:p w14:paraId="29355B6D"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tcPr>
          <w:p w14:paraId="7F011D1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14:paraId="68C5F9E8"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858" w:type="dxa"/>
          </w:tcPr>
          <w:p w14:paraId="0E11318B"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r w:rsidR="00D7063A" w:rsidRPr="00E0683A" w14:paraId="281E6AA5" w14:textId="77777777" w:rsidTr="00D7063A">
        <w:trPr>
          <w:trHeight w:val="20"/>
        </w:trPr>
        <w:tc>
          <w:tcPr>
            <w:cnfStyle w:val="001000000000" w:firstRow="0" w:lastRow="0" w:firstColumn="1" w:lastColumn="0" w:oddVBand="0" w:evenVBand="0" w:oddHBand="0" w:evenHBand="0" w:firstRowFirstColumn="0" w:firstRowLastColumn="0" w:lastRowFirstColumn="0" w:lastRowLastColumn="0"/>
            <w:tcW w:w="1979" w:type="dxa"/>
            <w:hideMark/>
          </w:tcPr>
          <w:p w14:paraId="3F2762D3" w14:textId="77777777" w:rsidR="00E0683A" w:rsidRPr="00555670" w:rsidRDefault="00E0683A" w:rsidP="00555670">
            <w:pPr>
              <w:spacing w:line="240" w:lineRule="auto"/>
              <w:ind w:left="0"/>
              <w:rPr>
                <w:sz w:val="20"/>
                <w:szCs w:val="20"/>
                <w:lang w:val="en-US"/>
              </w:rPr>
            </w:pPr>
            <w:r w:rsidRPr="00555670">
              <w:rPr>
                <w:sz w:val="20"/>
                <w:szCs w:val="20"/>
              </w:rPr>
              <w:t>Posterior reversible encephalopathy syndrome</w:t>
            </w:r>
          </w:p>
        </w:tc>
        <w:tc>
          <w:tcPr>
            <w:tcW w:w="993" w:type="dxa"/>
            <w:hideMark/>
          </w:tcPr>
          <w:p w14:paraId="6507058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555670">
              <w:rPr>
                <w:sz w:val="20"/>
                <w:szCs w:val="20"/>
              </w:rPr>
              <w:t>1 (0.2)</w:t>
            </w:r>
          </w:p>
        </w:tc>
        <w:tc>
          <w:tcPr>
            <w:tcW w:w="851" w:type="dxa"/>
            <w:hideMark/>
          </w:tcPr>
          <w:p w14:paraId="596BF3D1"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1 (0.2)</w:t>
            </w:r>
          </w:p>
        </w:tc>
        <w:tc>
          <w:tcPr>
            <w:tcW w:w="850" w:type="dxa"/>
            <w:hideMark/>
          </w:tcPr>
          <w:p w14:paraId="1D7588B9"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1" w:type="dxa"/>
            <w:hideMark/>
          </w:tcPr>
          <w:p w14:paraId="410AD4F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rPr>
            </w:pPr>
            <w:r w:rsidRPr="00555670">
              <w:rPr>
                <w:sz w:val="20"/>
                <w:szCs w:val="20"/>
              </w:rPr>
              <w:t>0</w:t>
            </w:r>
          </w:p>
        </w:tc>
        <w:tc>
          <w:tcPr>
            <w:tcW w:w="850" w:type="dxa"/>
          </w:tcPr>
          <w:p w14:paraId="57998EBA"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851" w:type="dxa"/>
          </w:tcPr>
          <w:p w14:paraId="390564D7"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992" w:type="dxa"/>
          </w:tcPr>
          <w:p w14:paraId="1EFA5BD5"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c>
          <w:tcPr>
            <w:tcW w:w="858" w:type="dxa"/>
          </w:tcPr>
          <w:p w14:paraId="05A1B80C" w14:textId="77777777" w:rsidR="00E0683A" w:rsidRPr="00555670" w:rsidRDefault="00E0683A" w:rsidP="00555670">
            <w:pPr>
              <w:spacing w:line="240" w:lineRule="auto"/>
              <w:ind w:left="0"/>
              <w:cnfStyle w:val="000000000000" w:firstRow="0" w:lastRow="0" w:firstColumn="0" w:lastColumn="0" w:oddVBand="0" w:evenVBand="0" w:oddHBand="0" w:evenHBand="0" w:firstRowFirstColumn="0" w:firstRowLastColumn="0" w:lastRowFirstColumn="0" w:lastRowLastColumn="0"/>
              <w:rPr>
                <w:sz w:val="20"/>
                <w:szCs w:val="20"/>
                <w:lang w:val="en-US"/>
              </w:rPr>
            </w:pPr>
          </w:p>
        </w:tc>
      </w:tr>
    </w:tbl>
    <w:p w14:paraId="31EDFDF4" w14:textId="2278133B" w:rsidR="00E0683A" w:rsidRPr="00A03664" w:rsidRDefault="00A03664" w:rsidP="00D12C91">
      <w:pPr>
        <w:pStyle w:val="TableDescription"/>
        <w:rPr>
          <w:lang w:val="en-US"/>
        </w:rPr>
      </w:pPr>
      <w:r w:rsidRPr="002F05B6">
        <w:rPr>
          <w:vertAlign w:val="superscript"/>
          <w:lang w:val="en-US"/>
        </w:rPr>
        <w:t>1</w:t>
      </w:r>
      <w:r>
        <w:rPr>
          <w:lang w:val="en-US"/>
        </w:rPr>
        <w:t xml:space="preserve"> </w:t>
      </w:r>
      <w:r w:rsidR="00E0683A" w:rsidRPr="00A03664">
        <w:rPr>
          <w:lang w:val="en-US"/>
        </w:rPr>
        <w:t>Hypertension is a composite term that includes hypertension, pre-hypertension, blood pressure increased, blood pressure diastolic increased, diastolic hypertension, and hypertensive crisis</w:t>
      </w:r>
      <w:r w:rsidR="00D46206">
        <w:rPr>
          <w:lang w:val="en-US"/>
        </w:rPr>
        <w:t>.</w:t>
      </w:r>
    </w:p>
    <w:p w14:paraId="12345475" w14:textId="73867F78" w:rsidR="00E0683A" w:rsidRPr="00A03664" w:rsidRDefault="00A03664" w:rsidP="00D12C91">
      <w:pPr>
        <w:pStyle w:val="TableDescription"/>
      </w:pPr>
      <w:r w:rsidRPr="00D46206">
        <w:rPr>
          <w:vertAlign w:val="superscript"/>
        </w:rPr>
        <w:t>2</w:t>
      </w:r>
      <w:r>
        <w:t xml:space="preserve"> </w:t>
      </w:r>
      <w:r w:rsidR="00E0683A" w:rsidRPr="00A03664">
        <w:t xml:space="preserve">Stomatitis is a composite term that includes stomatitis, mucosal inflammation, mouth ulceration, aphthous ulcer, oral mucosal blistering, oral pain, oral dysaesthesia, oral discomfort, </w:t>
      </w:r>
      <w:proofErr w:type="spellStart"/>
      <w:r w:rsidR="00E0683A" w:rsidRPr="00A03664">
        <w:t>glossodynia</w:t>
      </w:r>
      <w:proofErr w:type="spellEnd"/>
      <w:r w:rsidR="00E0683A" w:rsidRPr="00A03664">
        <w:t>, glossitis, gingival pain, gingival swelling, gingival ulceration, oropharyngeal pain, oropharyngeal discomfort</w:t>
      </w:r>
      <w:r w:rsidR="00D46206">
        <w:t>.</w:t>
      </w:r>
    </w:p>
    <w:p w14:paraId="7C98C5AC" w14:textId="09D511E9" w:rsidR="00E0683A" w:rsidRPr="00E0683A" w:rsidRDefault="00A03664" w:rsidP="00D12C91">
      <w:pPr>
        <w:pStyle w:val="TableDescription"/>
        <w:rPr>
          <w:lang w:val="en-US"/>
        </w:rPr>
      </w:pPr>
      <w:r w:rsidRPr="00D46206">
        <w:rPr>
          <w:vertAlign w:val="superscript"/>
          <w:lang w:val="en-US"/>
        </w:rPr>
        <w:t>3</w:t>
      </w:r>
      <w:r>
        <w:rPr>
          <w:lang w:val="en-US"/>
        </w:rPr>
        <w:t xml:space="preserve"> </w:t>
      </w:r>
      <w:r w:rsidR="00E0683A" w:rsidRPr="00E0683A">
        <w:rPr>
          <w:lang w:val="en-US"/>
        </w:rPr>
        <w:t xml:space="preserve">Thyroid dysfunction is a composite term for hypothyroidism, hyperthyroidism, thyroid disorder, thyroxine free decreased, </w:t>
      </w:r>
      <w:proofErr w:type="gramStart"/>
      <w:r w:rsidR="00E0683A" w:rsidRPr="00E0683A">
        <w:rPr>
          <w:lang w:val="en-US"/>
        </w:rPr>
        <w:t>tri-iodothyronine</w:t>
      </w:r>
      <w:proofErr w:type="gramEnd"/>
      <w:r w:rsidR="00E0683A" w:rsidRPr="00E0683A">
        <w:rPr>
          <w:lang w:val="en-US"/>
        </w:rPr>
        <w:t xml:space="preserve"> increased, and blood TSH increased</w:t>
      </w:r>
      <w:r w:rsidR="00D46206">
        <w:rPr>
          <w:lang w:val="en-US"/>
        </w:rPr>
        <w:t>.</w:t>
      </w:r>
    </w:p>
    <w:p w14:paraId="0BE44808" w14:textId="4E1CE01A" w:rsidR="00E0683A" w:rsidRPr="00E0683A" w:rsidRDefault="00A03664" w:rsidP="00D12C91">
      <w:pPr>
        <w:pStyle w:val="TableDescription"/>
        <w:rPr>
          <w:lang w:val="en-US"/>
        </w:rPr>
      </w:pPr>
      <w:r w:rsidRPr="00D46206">
        <w:rPr>
          <w:vertAlign w:val="superscript"/>
          <w:lang w:val="en-US"/>
        </w:rPr>
        <w:t>4</w:t>
      </w:r>
      <w:r>
        <w:rPr>
          <w:lang w:val="en-US"/>
        </w:rPr>
        <w:t xml:space="preserve"> </w:t>
      </w:r>
      <w:r w:rsidR="00E0683A" w:rsidRPr="00E0683A">
        <w:rPr>
          <w:lang w:val="en-US"/>
        </w:rPr>
        <w:t xml:space="preserve">Hepatotoxicity is a composite term that includes hepatotoxicity, liver injury, hepatic failure, hepatic cytolysis, hepatic function abnormal, </w:t>
      </w:r>
      <w:proofErr w:type="spellStart"/>
      <w:r w:rsidR="00E0683A" w:rsidRPr="00E0683A">
        <w:rPr>
          <w:lang w:val="en-US"/>
        </w:rPr>
        <w:t>hypertransaminasaemia</w:t>
      </w:r>
      <w:proofErr w:type="spellEnd"/>
      <w:r w:rsidR="00E0683A" w:rsidRPr="00E0683A">
        <w:rPr>
          <w:lang w:val="en-US"/>
        </w:rPr>
        <w:t xml:space="preserve">, aspartate aminotransferase increased, aspartate aminotransferase abnormal, alanine aminotransferase increased, alanine aminotransferase abnormal, blood bilirubin increased, </w:t>
      </w:r>
      <w:r w:rsidR="00E0683A" w:rsidRPr="00E0683A">
        <w:rPr>
          <w:lang w:val="en-US"/>
        </w:rPr>
        <w:lastRenderedPageBreak/>
        <w:t xml:space="preserve">bilirubin conjugated increased, </w:t>
      </w:r>
      <w:proofErr w:type="spellStart"/>
      <w:r w:rsidR="00E0683A" w:rsidRPr="00E0683A">
        <w:rPr>
          <w:lang w:val="en-US"/>
        </w:rPr>
        <w:t>hyperbilirubinaemia</w:t>
      </w:r>
      <w:proofErr w:type="spellEnd"/>
      <w:r w:rsidR="00E0683A" w:rsidRPr="00E0683A">
        <w:rPr>
          <w:lang w:val="en-US"/>
        </w:rPr>
        <w:t>, hepatitis, liver function test increased, and liver function test abnormal.</w:t>
      </w:r>
    </w:p>
    <w:p w14:paraId="4FAC07CA" w14:textId="54C5A5BC" w:rsidR="00E0683A" w:rsidRPr="00E0683A" w:rsidRDefault="002F05B6" w:rsidP="00D12C91">
      <w:pPr>
        <w:pStyle w:val="TableDescription"/>
        <w:rPr>
          <w:lang w:val="en-US"/>
        </w:rPr>
      </w:pPr>
      <w:r w:rsidRPr="00050A91">
        <w:rPr>
          <w:vertAlign w:val="superscript"/>
          <w:lang w:val="en-US"/>
        </w:rPr>
        <w:t>5</w:t>
      </w:r>
      <w:r>
        <w:rPr>
          <w:lang w:val="en-US"/>
        </w:rPr>
        <w:t xml:space="preserve"> </w:t>
      </w:r>
      <w:r w:rsidR="00E0683A" w:rsidRPr="00E0683A">
        <w:rPr>
          <w:lang w:val="en-US"/>
        </w:rPr>
        <w:t>Proteinuria is a composite term that includes proteinuria, and protein urine present.</w:t>
      </w:r>
    </w:p>
    <w:p w14:paraId="15B3A2A8" w14:textId="257244AA" w:rsidR="00E0683A" w:rsidRPr="00E0683A" w:rsidRDefault="002F05B6" w:rsidP="00D12C91">
      <w:pPr>
        <w:pStyle w:val="TableDescription"/>
        <w:rPr>
          <w:lang w:val="en-US"/>
        </w:rPr>
      </w:pPr>
      <w:r w:rsidRPr="00050A91">
        <w:rPr>
          <w:vertAlign w:val="superscript"/>
          <w:lang w:val="en-US"/>
        </w:rPr>
        <w:t>6</w:t>
      </w:r>
      <w:r>
        <w:rPr>
          <w:lang w:val="en-US"/>
        </w:rPr>
        <w:t xml:space="preserve"> </w:t>
      </w:r>
      <w:r w:rsidR="00E0683A" w:rsidRPr="00E0683A">
        <w:rPr>
          <w:lang w:val="en-US"/>
        </w:rPr>
        <w:t>Dysphonia is a composite term that includes dysphonia and aphonia.</w:t>
      </w:r>
    </w:p>
    <w:p w14:paraId="2773CB71" w14:textId="23DDB1D4" w:rsidR="00E0683A" w:rsidRPr="00E0683A" w:rsidRDefault="002F05B6" w:rsidP="00D12C91">
      <w:pPr>
        <w:pStyle w:val="TableDescription"/>
        <w:rPr>
          <w:lang w:val="en-US"/>
        </w:rPr>
      </w:pPr>
      <w:r w:rsidRPr="00050A91">
        <w:rPr>
          <w:vertAlign w:val="superscript"/>
          <w:lang w:val="en-US"/>
        </w:rPr>
        <w:t>7</w:t>
      </w:r>
      <w:r>
        <w:rPr>
          <w:lang w:val="en-US"/>
        </w:rPr>
        <w:t xml:space="preserve"> </w:t>
      </w:r>
      <w:proofErr w:type="spellStart"/>
      <w:r w:rsidR="00E0683A" w:rsidRPr="00E0683A">
        <w:rPr>
          <w:lang w:val="en-US"/>
        </w:rPr>
        <w:t>Haemorrhage</w:t>
      </w:r>
      <w:proofErr w:type="spellEnd"/>
      <w:r w:rsidR="00E0683A" w:rsidRPr="00E0683A">
        <w:rPr>
          <w:lang w:val="en-US"/>
        </w:rPr>
        <w:t xml:space="preserve"> is a composite term that includes </w:t>
      </w:r>
      <w:proofErr w:type="spellStart"/>
      <w:r w:rsidR="00E0683A" w:rsidRPr="00E0683A">
        <w:rPr>
          <w:lang w:val="en-US"/>
        </w:rPr>
        <w:t>haemorrhage</w:t>
      </w:r>
      <w:proofErr w:type="spellEnd"/>
      <w:r w:rsidR="00E0683A" w:rsidRPr="00E0683A">
        <w:rPr>
          <w:lang w:val="en-US"/>
        </w:rPr>
        <w:t xml:space="preserve">, conjunctival </w:t>
      </w:r>
      <w:proofErr w:type="spellStart"/>
      <w:r w:rsidR="00E0683A" w:rsidRPr="00E0683A">
        <w:rPr>
          <w:lang w:val="en-US"/>
        </w:rPr>
        <w:t>haemorrhage</w:t>
      </w:r>
      <w:proofErr w:type="spellEnd"/>
      <w:r w:rsidR="00E0683A" w:rsidRPr="00E0683A">
        <w:rPr>
          <w:lang w:val="en-US"/>
        </w:rPr>
        <w:t xml:space="preserve">, eye </w:t>
      </w:r>
      <w:proofErr w:type="spellStart"/>
      <w:r w:rsidR="00E0683A" w:rsidRPr="00E0683A">
        <w:rPr>
          <w:lang w:val="en-US"/>
        </w:rPr>
        <w:t>haemorrhage</w:t>
      </w:r>
      <w:proofErr w:type="spellEnd"/>
      <w:r w:rsidR="00E0683A" w:rsidRPr="00E0683A">
        <w:rPr>
          <w:lang w:val="en-US"/>
        </w:rPr>
        <w:t xml:space="preserve">, anal </w:t>
      </w:r>
      <w:proofErr w:type="spellStart"/>
      <w:r w:rsidR="00E0683A" w:rsidRPr="00E0683A">
        <w:rPr>
          <w:lang w:val="en-US"/>
        </w:rPr>
        <w:t>haemorrhage</w:t>
      </w:r>
      <w:proofErr w:type="spellEnd"/>
      <w:r w:rsidR="00E0683A" w:rsidRPr="00E0683A">
        <w:rPr>
          <w:lang w:val="en-US"/>
        </w:rPr>
        <w:t xml:space="preserve">, gastric </w:t>
      </w:r>
      <w:proofErr w:type="spellStart"/>
      <w:r w:rsidR="00E0683A" w:rsidRPr="00E0683A">
        <w:rPr>
          <w:lang w:val="en-US"/>
        </w:rPr>
        <w:t>haemorrhage</w:t>
      </w:r>
      <w:proofErr w:type="spellEnd"/>
      <w:r w:rsidR="00E0683A" w:rsidRPr="00E0683A">
        <w:rPr>
          <w:lang w:val="en-US"/>
        </w:rPr>
        <w:t xml:space="preserve">, anal </w:t>
      </w:r>
      <w:proofErr w:type="spellStart"/>
      <w:r w:rsidR="00E0683A" w:rsidRPr="00E0683A">
        <w:rPr>
          <w:lang w:val="en-US"/>
        </w:rPr>
        <w:t>haemorrhage</w:t>
      </w:r>
      <w:proofErr w:type="spellEnd"/>
      <w:r w:rsidR="00E0683A" w:rsidRPr="00E0683A">
        <w:rPr>
          <w:lang w:val="en-US"/>
        </w:rPr>
        <w:t xml:space="preserve">, gastric </w:t>
      </w:r>
      <w:proofErr w:type="spellStart"/>
      <w:r w:rsidR="00E0683A" w:rsidRPr="00E0683A">
        <w:rPr>
          <w:lang w:val="en-US"/>
        </w:rPr>
        <w:t>haemorrhage</w:t>
      </w:r>
      <w:proofErr w:type="spellEnd"/>
      <w:r w:rsidR="00E0683A" w:rsidRPr="00E0683A">
        <w:rPr>
          <w:lang w:val="en-US"/>
        </w:rPr>
        <w:t xml:space="preserve">, gastrointestinal </w:t>
      </w:r>
      <w:proofErr w:type="spellStart"/>
      <w:r w:rsidR="00E0683A" w:rsidRPr="00E0683A">
        <w:rPr>
          <w:lang w:val="en-US"/>
        </w:rPr>
        <w:t>haemorrhage</w:t>
      </w:r>
      <w:proofErr w:type="spellEnd"/>
      <w:r w:rsidR="00E0683A" w:rsidRPr="00E0683A">
        <w:rPr>
          <w:lang w:val="en-US"/>
        </w:rPr>
        <w:t xml:space="preserve">, upper gastrointestinal </w:t>
      </w:r>
      <w:proofErr w:type="spellStart"/>
      <w:r w:rsidR="00E0683A" w:rsidRPr="00E0683A">
        <w:rPr>
          <w:lang w:val="en-US"/>
        </w:rPr>
        <w:t>haemorrhage</w:t>
      </w:r>
      <w:proofErr w:type="spellEnd"/>
      <w:r w:rsidR="00E0683A" w:rsidRPr="00E0683A">
        <w:rPr>
          <w:lang w:val="en-US"/>
        </w:rPr>
        <w:t xml:space="preserve">, lower gastrointestinal </w:t>
      </w:r>
      <w:proofErr w:type="spellStart"/>
      <w:r w:rsidR="00E0683A" w:rsidRPr="00E0683A">
        <w:rPr>
          <w:lang w:val="en-US"/>
        </w:rPr>
        <w:t>haemorrhage</w:t>
      </w:r>
      <w:proofErr w:type="spellEnd"/>
      <w:r w:rsidR="00E0683A" w:rsidRPr="00E0683A">
        <w:rPr>
          <w:lang w:val="en-US"/>
        </w:rPr>
        <w:t xml:space="preserve">, </w:t>
      </w:r>
      <w:r w:rsidR="00E0683A" w:rsidRPr="00E0683A">
        <w:t>haemorrhoidal</w:t>
      </w:r>
      <w:r w:rsidR="00E0683A" w:rsidRPr="00E0683A">
        <w:rPr>
          <w:lang w:val="en-US"/>
        </w:rPr>
        <w:t xml:space="preserve"> </w:t>
      </w:r>
      <w:proofErr w:type="spellStart"/>
      <w:r w:rsidR="00E0683A" w:rsidRPr="00E0683A">
        <w:rPr>
          <w:lang w:val="en-US"/>
        </w:rPr>
        <w:t>haemorrhage</w:t>
      </w:r>
      <w:proofErr w:type="spellEnd"/>
      <w:r w:rsidR="00E0683A" w:rsidRPr="00E0683A">
        <w:rPr>
          <w:lang w:val="en-US"/>
        </w:rPr>
        <w:t xml:space="preserve">, </w:t>
      </w:r>
      <w:proofErr w:type="spellStart"/>
      <w:r w:rsidR="00E0683A" w:rsidRPr="00E0683A">
        <w:rPr>
          <w:lang w:val="en-US"/>
        </w:rPr>
        <w:t>haemorrhoid</w:t>
      </w:r>
      <w:proofErr w:type="spellEnd"/>
      <w:r w:rsidR="00E0683A" w:rsidRPr="00E0683A">
        <w:rPr>
          <w:lang w:val="en-US"/>
        </w:rPr>
        <w:t xml:space="preserve"> </w:t>
      </w:r>
      <w:proofErr w:type="spellStart"/>
      <w:r w:rsidR="00E0683A" w:rsidRPr="00E0683A">
        <w:rPr>
          <w:lang w:val="en-US"/>
        </w:rPr>
        <w:t>haemorrhage</w:t>
      </w:r>
      <w:proofErr w:type="spellEnd"/>
      <w:r w:rsidR="00E0683A" w:rsidRPr="00E0683A">
        <w:rPr>
          <w:lang w:val="en-US"/>
        </w:rPr>
        <w:t xml:space="preserve">, intestinal </w:t>
      </w:r>
      <w:proofErr w:type="spellStart"/>
      <w:r w:rsidR="00E0683A" w:rsidRPr="00E0683A">
        <w:rPr>
          <w:lang w:val="en-US"/>
        </w:rPr>
        <w:t>haemorrhage</w:t>
      </w:r>
      <w:proofErr w:type="spellEnd"/>
      <w:r w:rsidR="00E0683A" w:rsidRPr="00E0683A">
        <w:rPr>
          <w:lang w:val="en-US"/>
        </w:rPr>
        <w:t xml:space="preserve">, upper gastrointestinal </w:t>
      </w:r>
      <w:proofErr w:type="spellStart"/>
      <w:r w:rsidR="00E0683A" w:rsidRPr="00E0683A">
        <w:rPr>
          <w:lang w:val="en-US"/>
        </w:rPr>
        <w:t>haemorrhage</w:t>
      </w:r>
      <w:proofErr w:type="spellEnd"/>
      <w:r w:rsidR="00E0683A" w:rsidRPr="00E0683A">
        <w:rPr>
          <w:lang w:val="en-US"/>
        </w:rPr>
        <w:t xml:space="preserve">, rectal </w:t>
      </w:r>
      <w:proofErr w:type="spellStart"/>
      <w:r w:rsidR="00E0683A" w:rsidRPr="00E0683A">
        <w:rPr>
          <w:lang w:val="en-US"/>
        </w:rPr>
        <w:t>haemorrhage</w:t>
      </w:r>
      <w:proofErr w:type="spellEnd"/>
      <w:r w:rsidR="00E0683A" w:rsidRPr="00E0683A">
        <w:rPr>
          <w:lang w:val="en-US"/>
        </w:rPr>
        <w:t xml:space="preserve">, post- procedural </w:t>
      </w:r>
      <w:proofErr w:type="spellStart"/>
      <w:r w:rsidR="00E0683A" w:rsidRPr="00E0683A">
        <w:rPr>
          <w:lang w:val="en-US"/>
        </w:rPr>
        <w:t>haemorrhage</w:t>
      </w:r>
      <w:proofErr w:type="spellEnd"/>
      <w:r w:rsidR="00E0683A" w:rsidRPr="00E0683A">
        <w:rPr>
          <w:lang w:val="en-US"/>
        </w:rPr>
        <w:t xml:space="preserve">, stoma site </w:t>
      </w:r>
      <w:proofErr w:type="spellStart"/>
      <w:r w:rsidR="00E0683A" w:rsidRPr="00E0683A">
        <w:rPr>
          <w:lang w:val="en-US"/>
        </w:rPr>
        <w:t>haemorrhage</w:t>
      </w:r>
      <w:proofErr w:type="spellEnd"/>
      <w:r w:rsidR="00E0683A" w:rsidRPr="00E0683A">
        <w:rPr>
          <w:lang w:val="en-US"/>
        </w:rPr>
        <w:t xml:space="preserve">, anastomotic </w:t>
      </w:r>
      <w:proofErr w:type="spellStart"/>
      <w:r w:rsidR="00E0683A" w:rsidRPr="00E0683A">
        <w:rPr>
          <w:lang w:val="en-US"/>
        </w:rPr>
        <w:t>haemorrhage</w:t>
      </w:r>
      <w:proofErr w:type="spellEnd"/>
      <w:r w:rsidR="00E0683A" w:rsidRPr="00E0683A">
        <w:rPr>
          <w:lang w:val="en-US"/>
        </w:rPr>
        <w:t xml:space="preserve">, cerebral </w:t>
      </w:r>
      <w:proofErr w:type="spellStart"/>
      <w:r w:rsidR="00E0683A" w:rsidRPr="00E0683A">
        <w:rPr>
          <w:lang w:val="en-US"/>
        </w:rPr>
        <w:t>haemorrhage</w:t>
      </w:r>
      <w:proofErr w:type="spellEnd"/>
      <w:r w:rsidR="00E0683A" w:rsidRPr="00E0683A">
        <w:rPr>
          <w:lang w:val="en-US"/>
        </w:rPr>
        <w:t xml:space="preserve">, vaginal </w:t>
      </w:r>
      <w:proofErr w:type="spellStart"/>
      <w:r w:rsidR="00E0683A" w:rsidRPr="00E0683A">
        <w:rPr>
          <w:lang w:val="en-US"/>
        </w:rPr>
        <w:t>haemorrhage</w:t>
      </w:r>
      <w:proofErr w:type="spellEnd"/>
      <w:r w:rsidR="00E0683A" w:rsidRPr="00E0683A">
        <w:rPr>
          <w:lang w:val="en-US"/>
        </w:rPr>
        <w:t xml:space="preserve">, pulmonary </w:t>
      </w:r>
      <w:proofErr w:type="spellStart"/>
      <w:r w:rsidR="00E0683A" w:rsidRPr="00E0683A">
        <w:rPr>
          <w:lang w:val="en-US"/>
        </w:rPr>
        <w:t>haemorrhage</w:t>
      </w:r>
      <w:proofErr w:type="spellEnd"/>
      <w:r w:rsidR="00E0683A" w:rsidRPr="00E0683A">
        <w:rPr>
          <w:lang w:val="en-US"/>
        </w:rPr>
        <w:t xml:space="preserve">, epistaxis, intermenstrual bleeding, gingival bleeding, </w:t>
      </w:r>
      <w:proofErr w:type="spellStart"/>
      <w:r w:rsidR="00E0683A" w:rsidRPr="00E0683A">
        <w:rPr>
          <w:lang w:val="en-US"/>
        </w:rPr>
        <w:t>haemoptysis</w:t>
      </w:r>
      <w:proofErr w:type="spellEnd"/>
      <w:r w:rsidR="00E0683A" w:rsidRPr="00E0683A">
        <w:rPr>
          <w:lang w:val="en-US"/>
        </w:rPr>
        <w:t xml:space="preserve">, </w:t>
      </w:r>
      <w:proofErr w:type="spellStart"/>
      <w:r w:rsidR="00E0683A" w:rsidRPr="00E0683A">
        <w:rPr>
          <w:lang w:val="en-US"/>
        </w:rPr>
        <w:t>haematochezia</w:t>
      </w:r>
      <w:proofErr w:type="spellEnd"/>
      <w:r w:rsidR="00E0683A" w:rsidRPr="00E0683A">
        <w:rPr>
          <w:lang w:val="en-US"/>
        </w:rPr>
        <w:t xml:space="preserve">, </w:t>
      </w:r>
      <w:proofErr w:type="spellStart"/>
      <w:r w:rsidR="00E0683A" w:rsidRPr="00E0683A">
        <w:rPr>
          <w:lang w:val="en-US"/>
        </w:rPr>
        <w:t>haematemesis</w:t>
      </w:r>
      <w:proofErr w:type="spellEnd"/>
      <w:r w:rsidR="00E0683A" w:rsidRPr="00E0683A">
        <w:rPr>
          <w:lang w:val="en-US"/>
        </w:rPr>
        <w:t xml:space="preserve">, </w:t>
      </w:r>
      <w:proofErr w:type="spellStart"/>
      <w:r w:rsidR="00E0683A" w:rsidRPr="00E0683A">
        <w:rPr>
          <w:lang w:val="en-US"/>
        </w:rPr>
        <w:t>haemorrhage</w:t>
      </w:r>
      <w:proofErr w:type="spellEnd"/>
      <w:r w:rsidR="00E0683A" w:rsidRPr="00E0683A">
        <w:rPr>
          <w:lang w:val="en-US"/>
        </w:rPr>
        <w:t xml:space="preserve"> urinary tract, and </w:t>
      </w:r>
      <w:proofErr w:type="spellStart"/>
      <w:r w:rsidR="00E0683A" w:rsidRPr="00E0683A">
        <w:rPr>
          <w:lang w:val="en-US"/>
        </w:rPr>
        <w:t>haematuria</w:t>
      </w:r>
      <w:proofErr w:type="spellEnd"/>
    </w:p>
    <w:p w14:paraId="205081AC" w14:textId="7CC50B8A" w:rsidR="00E0683A" w:rsidRPr="00E0683A" w:rsidRDefault="002F05B6" w:rsidP="00D12C91">
      <w:pPr>
        <w:pStyle w:val="TableDescription"/>
        <w:rPr>
          <w:lang w:val="en-US"/>
        </w:rPr>
      </w:pPr>
      <w:r w:rsidRPr="00050A91">
        <w:rPr>
          <w:vertAlign w:val="superscript"/>
          <w:lang w:val="en-US"/>
        </w:rPr>
        <w:t>8</w:t>
      </w:r>
      <w:r>
        <w:rPr>
          <w:lang w:val="en-US"/>
        </w:rPr>
        <w:t xml:space="preserve"> </w:t>
      </w:r>
      <w:r w:rsidR="00E0683A" w:rsidRPr="00E0683A">
        <w:rPr>
          <w:lang w:val="en-US"/>
        </w:rPr>
        <w:t xml:space="preserve">Rash is a composite term that includes rash, rash erythematous, rash macular, rash maculopapular, and rash </w:t>
      </w:r>
      <w:proofErr w:type="spellStart"/>
      <w:r w:rsidR="00E0683A" w:rsidRPr="00E0683A">
        <w:rPr>
          <w:lang w:val="en-US"/>
        </w:rPr>
        <w:t>pruritis</w:t>
      </w:r>
      <w:proofErr w:type="spellEnd"/>
      <w:r w:rsidR="00E0683A" w:rsidRPr="00E0683A">
        <w:rPr>
          <w:lang w:val="en-US"/>
        </w:rPr>
        <w:t>.</w:t>
      </w:r>
    </w:p>
    <w:p w14:paraId="4B8B723C" w14:textId="1966605B" w:rsidR="00E0683A" w:rsidRPr="00E0683A" w:rsidRDefault="002F05B6" w:rsidP="00D12C91">
      <w:pPr>
        <w:pStyle w:val="TableDescription"/>
        <w:rPr>
          <w:lang w:val="en-US"/>
        </w:rPr>
      </w:pPr>
      <w:r w:rsidRPr="00050A91">
        <w:rPr>
          <w:vertAlign w:val="superscript"/>
          <w:lang w:val="en-US"/>
        </w:rPr>
        <w:t>9</w:t>
      </w:r>
      <w:r>
        <w:rPr>
          <w:lang w:val="en-US"/>
        </w:rPr>
        <w:t xml:space="preserve"> </w:t>
      </w:r>
      <w:r w:rsidR="00E0683A" w:rsidRPr="00E0683A">
        <w:rPr>
          <w:lang w:val="en-US"/>
        </w:rPr>
        <w:t>Gastrointestinal perforation or fistula is a composite term that includes gastrointestinal perforation, gastric perforation, intestinal perforation, small intestine perforation, large intestine perforation, and rectal perforation.</w:t>
      </w:r>
    </w:p>
    <w:p w14:paraId="3FAA3DF7" w14:textId="604C45B6" w:rsidR="00E0683A" w:rsidRPr="00E0683A" w:rsidRDefault="002F05B6" w:rsidP="00D12C91">
      <w:pPr>
        <w:pStyle w:val="TableDescription"/>
        <w:rPr>
          <w:lang w:val="en-US"/>
        </w:rPr>
      </w:pPr>
      <w:r w:rsidRPr="00050A91">
        <w:rPr>
          <w:vertAlign w:val="superscript"/>
          <w:lang w:val="en-US"/>
        </w:rPr>
        <w:t>10</w:t>
      </w:r>
      <w:r>
        <w:rPr>
          <w:lang w:val="en-US"/>
        </w:rPr>
        <w:t xml:space="preserve"> </w:t>
      </w:r>
      <w:r w:rsidR="00E0683A" w:rsidRPr="00E0683A">
        <w:rPr>
          <w:lang w:val="en-US"/>
        </w:rPr>
        <w:t>Thrombotic events is a composite term that includes pulmonary embolism, portal vein thrombosis, device-related thrombosis hepatic vein thrombosis, deep vein thrombosis, venous thrombosis, thrombosis, vena cava thrombosis, cerebrovascular accident, cerebral infarction, pulmonary artery occlusion and acute myocardial infarction.</w:t>
      </w:r>
    </w:p>
    <w:p w14:paraId="0118023A" w14:textId="4E16C489" w:rsidR="00E0683A" w:rsidRPr="00E0683A" w:rsidRDefault="002F05B6" w:rsidP="00D12C91">
      <w:pPr>
        <w:pStyle w:val="TableDescription"/>
        <w:rPr>
          <w:lang w:val="en-US"/>
        </w:rPr>
      </w:pPr>
      <w:r w:rsidRPr="00050A91">
        <w:rPr>
          <w:vertAlign w:val="superscript"/>
          <w:lang w:val="en-US"/>
        </w:rPr>
        <w:t>11</w:t>
      </w:r>
      <w:r>
        <w:rPr>
          <w:lang w:val="en-US"/>
        </w:rPr>
        <w:t xml:space="preserve"> </w:t>
      </w:r>
      <w:r w:rsidR="00E0683A" w:rsidRPr="00E0683A">
        <w:rPr>
          <w:lang w:val="en-US"/>
        </w:rPr>
        <w:t xml:space="preserve">Left ventricular dysfunction is a composite term that includes cardiac failure, </w:t>
      </w:r>
      <w:proofErr w:type="gramStart"/>
      <w:r w:rsidR="00E0683A" w:rsidRPr="00E0683A">
        <w:rPr>
          <w:lang w:val="en-US"/>
        </w:rPr>
        <w:t>cardiac failure congestive</w:t>
      </w:r>
      <w:proofErr w:type="gramEnd"/>
      <w:r w:rsidR="00E0683A" w:rsidRPr="00E0683A">
        <w:rPr>
          <w:lang w:val="en-US"/>
        </w:rPr>
        <w:t>, and left ventricular dysfunction.</w:t>
      </w:r>
    </w:p>
    <w:p w14:paraId="111A2837" w14:textId="55FB72B6" w:rsidR="00E0683A" w:rsidRPr="00E0683A" w:rsidRDefault="002F05B6" w:rsidP="00D12C91">
      <w:pPr>
        <w:pStyle w:val="TableDescription"/>
        <w:rPr>
          <w:lang w:val="en-US"/>
        </w:rPr>
      </w:pPr>
      <w:r w:rsidRPr="00D12C91">
        <w:rPr>
          <w:vertAlign w:val="superscript"/>
          <w:lang w:val="en-US"/>
        </w:rPr>
        <w:t>12</w:t>
      </w:r>
      <w:r>
        <w:rPr>
          <w:lang w:val="en-US"/>
        </w:rPr>
        <w:t xml:space="preserve"> </w:t>
      </w:r>
      <w:r w:rsidR="00E0683A" w:rsidRPr="00E0683A">
        <w:rPr>
          <w:lang w:val="en-US"/>
        </w:rPr>
        <w:t>Wound healing difficulty is a composite term that includes only the term wound dehiscence.</w:t>
      </w:r>
    </w:p>
    <w:p w14:paraId="23D34C32" w14:textId="77777777" w:rsidR="00E0683A" w:rsidRPr="00E0683A" w:rsidRDefault="00E0683A" w:rsidP="004A207F">
      <w:pPr>
        <w:pStyle w:val="Heading6"/>
        <w:rPr>
          <w:lang w:val="en-GB"/>
        </w:rPr>
      </w:pPr>
      <w:r w:rsidRPr="00E0683A">
        <w:rPr>
          <w:lang w:val="en-GB"/>
        </w:rPr>
        <w:t>Lipase and amylase</w:t>
      </w:r>
    </w:p>
    <w:p w14:paraId="7C1EDAA3" w14:textId="0854EB56" w:rsidR="00E0683A" w:rsidRPr="00887A75" w:rsidRDefault="00E0683A" w:rsidP="00887A75">
      <w:r w:rsidRPr="00887A75">
        <w:t xml:space="preserve">An additional event of special interest to the TGA </w:t>
      </w:r>
      <w:r w:rsidR="00887A75" w:rsidRPr="00887A75">
        <w:t>D</w:t>
      </w:r>
      <w:r w:rsidRPr="00887A75">
        <w:t>elegate was lipase or amylase elevation. The</w:t>
      </w:r>
      <w:r w:rsidR="000352C2">
        <w:t xml:space="preserve"> nonclinical</w:t>
      </w:r>
      <w:r w:rsidRPr="00887A75">
        <w:t xml:space="preserve"> evaluation noted these as a particular potential concern based on nonclinical data. The </w:t>
      </w:r>
      <w:r w:rsidR="00146EC0">
        <w:t>s</w:t>
      </w:r>
      <w:r w:rsidRPr="00887A75">
        <w:t>ponsor provided additional information in the pre-</w:t>
      </w:r>
      <w:r w:rsidR="00146EC0">
        <w:t>Advisory Committee on Medicines (</w:t>
      </w:r>
      <w:r w:rsidRPr="00887A75">
        <w:t>ACM</w:t>
      </w:r>
      <w:r w:rsidR="00146EC0">
        <w:t>)</w:t>
      </w:r>
      <w:r w:rsidRPr="00887A75">
        <w:t xml:space="preserve"> </w:t>
      </w:r>
      <w:r w:rsidR="00146EC0">
        <w:t>R</w:t>
      </w:r>
      <w:r w:rsidRPr="00887A75">
        <w:t xml:space="preserve">esponse, including confirmation that lipase was not measured in FRESCO, and an ad-hoc lipase and amylase shift table for FRESCO-2. Whilst no events of </w:t>
      </w:r>
      <w:r w:rsidR="00AF7B74">
        <w:t>G</w:t>
      </w:r>
      <w:r w:rsidRPr="00887A75">
        <w:t xml:space="preserve">rade 5 were reported, there were two patients (0.4%) with a </w:t>
      </w:r>
      <w:r w:rsidR="00AF7B74">
        <w:t>G</w:t>
      </w:r>
      <w:r w:rsidRPr="00887A75">
        <w:t xml:space="preserve">rade 4 lipase increase in the </w:t>
      </w:r>
      <w:proofErr w:type="spellStart"/>
      <w:r w:rsidRPr="00887A75">
        <w:t>fruquintinib</w:t>
      </w:r>
      <w:proofErr w:type="spellEnd"/>
      <w:r w:rsidRPr="00887A75">
        <w:t xml:space="preserve"> arm and one patient with a </w:t>
      </w:r>
      <w:r w:rsidR="00AF7B74">
        <w:t>G</w:t>
      </w:r>
      <w:r w:rsidRPr="00887A75">
        <w:t xml:space="preserve">rade 4 amylase increase in the </w:t>
      </w:r>
      <w:proofErr w:type="spellStart"/>
      <w:r w:rsidRPr="00887A75">
        <w:t>fruquintinib</w:t>
      </w:r>
      <w:proofErr w:type="spellEnd"/>
      <w:r w:rsidRPr="00887A75">
        <w:t xml:space="preserve"> arm.</w:t>
      </w:r>
    </w:p>
    <w:p w14:paraId="46B697D0" w14:textId="2B68A9B1" w:rsidR="00E0683A" w:rsidRPr="00887A75" w:rsidRDefault="00E0683A" w:rsidP="002E675E">
      <w:pPr>
        <w:pStyle w:val="TableTitle"/>
      </w:pPr>
      <w:bookmarkStart w:id="104" w:name="_Ref174703705"/>
      <w:r w:rsidRPr="00887A75">
        <w:t xml:space="preserve">Table </w:t>
      </w:r>
      <w:r w:rsidRPr="00887A75">
        <w:fldChar w:fldCharType="begin"/>
      </w:r>
      <w:r w:rsidRPr="00887A75">
        <w:instrText xml:space="preserve"> SEQ Table \* ARABIC </w:instrText>
      </w:r>
      <w:r w:rsidRPr="00887A75">
        <w:fldChar w:fldCharType="separate"/>
      </w:r>
      <w:r w:rsidR="00A407E4">
        <w:rPr>
          <w:noProof/>
        </w:rPr>
        <w:t>14</w:t>
      </w:r>
      <w:r w:rsidRPr="00887A75">
        <w:fldChar w:fldCharType="end"/>
      </w:r>
      <w:bookmarkEnd w:id="104"/>
      <w:r w:rsidR="002E675E">
        <w:t>:</w:t>
      </w:r>
      <w:r w:rsidRPr="00887A75">
        <w:t xml:space="preserve"> Incidence of events and laboratory abnormalities consistent with potential pancreatic toxicity in FRESCO-2 and FRESCO</w:t>
      </w:r>
    </w:p>
    <w:tbl>
      <w:tblPr>
        <w:tblStyle w:val="TableTGAblue2023"/>
        <w:tblW w:w="9075" w:type="dxa"/>
        <w:tblLayout w:type="fixed"/>
        <w:tblLook w:val="01E0" w:firstRow="1" w:lastRow="1" w:firstColumn="1" w:lastColumn="1" w:noHBand="0" w:noVBand="0"/>
      </w:tblPr>
      <w:tblGrid>
        <w:gridCol w:w="3688"/>
        <w:gridCol w:w="1347"/>
        <w:gridCol w:w="1347"/>
        <w:gridCol w:w="1346"/>
        <w:gridCol w:w="1347"/>
      </w:tblGrid>
      <w:tr w:rsidR="00E0683A" w:rsidRPr="00E0683A" w14:paraId="75DC590D" w14:textId="77777777" w:rsidTr="00EC2F97">
        <w:trPr>
          <w:cnfStyle w:val="100000000000" w:firstRow="1" w:lastRow="0" w:firstColumn="0" w:lastColumn="0" w:oddVBand="0" w:evenVBand="0" w:oddHBand="0" w:evenHBand="0" w:firstRowFirstColumn="0" w:firstRowLastColumn="0" w:lastRowFirstColumn="0" w:lastRowLastColumn="0"/>
          <w:trHeight w:val="20"/>
          <w:tblHeader w:val="0"/>
        </w:trPr>
        <w:tc>
          <w:tcPr>
            <w:cnfStyle w:val="001000000000" w:firstRow="0" w:lastRow="0" w:firstColumn="1" w:lastColumn="0" w:oddVBand="0" w:evenVBand="0" w:oddHBand="0" w:evenHBand="0" w:firstRowFirstColumn="0" w:firstRowLastColumn="0" w:lastRowFirstColumn="0" w:lastRowLastColumn="0"/>
            <w:tcW w:w="3686" w:type="dxa"/>
          </w:tcPr>
          <w:p w14:paraId="65EADAB4" w14:textId="77777777" w:rsidR="00E0683A" w:rsidRPr="002E675E" w:rsidRDefault="00E0683A" w:rsidP="00EC2F97">
            <w:pPr>
              <w:ind w:left="0"/>
              <w:rPr>
                <w:sz w:val="20"/>
                <w:szCs w:val="20"/>
                <w:lang w:val="en-US"/>
              </w:rPr>
            </w:pPr>
          </w:p>
        </w:tc>
        <w:tc>
          <w:tcPr>
            <w:tcW w:w="5386" w:type="dxa"/>
            <w:gridSpan w:val="4"/>
            <w:hideMark/>
          </w:tcPr>
          <w:p w14:paraId="7DD52AEA" w14:textId="77777777" w:rsidR="00E0683A" w:rsidRPr="002E675E" w:rsidRDefault="00E0683A" w:rsidP="00EC2F97">
            <w:pPr>
              <w:ind w:left="0"/>
              <w:cnfStyle w:val="100000000000" w:firstRow="1" w:lastRow="0" w:firstColumn="0" w:lastColumn="0" w:oddVBand="0" w:evenVBand="0" w:oddHBand="0" w:evenHBand="0" w:firstRowFirstColumn="0" w:firstRowLastColumn="0" w:lastRowFirstColumn="0" w:lastRowLastColumn="0"/>
              <w:rPr>
                <w:b w:val="0"/>
                <w:sz w:val="20"/>
                <w:szCs w:val="20"/>
                <w:lang w:val="en-US"/>
              </w:rPr>
            </w:pPr>
            <w:r w:rsidRPr="002E675E">
              <w:rPr>
                <w:sz w:val="20"/>
                <w:szCs w:val="20"/>
                <w:lang w:val="en-US"/>
              </w:rPr>
              <w:t>FRESCO-2</w:t>
            </w:r>
          </w:p>
        </w:tc>
      </w:tr>
      <w:tr w:rsidR="00E0683A" w:rsidRPr="00E0683A" w14:paraId="445AAED8"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shd w:val="clear" w:color="auto" w:fill="DEEAF6" w:themeFill="accent5" w:themeFillTint="33"/>
          </w:tcPr>
          <w:p w14:paraId="21514647" w14:textId="77777777" w:rsidR="00E0683A" w:rsidRPr="00EC2F97" w:rsidRDefault="00E0683A" w:rsidP="00EC2F97">
            <w:pPr>
              <w:keepNext/>
              <w:ind w:left="0"/>
              <w:rPr>
                <w:b/>
                <w:color w:val="263287"/>
                <w:sz w:val="20"/>
                <w:szCs w:val="20"/>
                <w:lang w:val="en-US"/>
              </w:rPr>
            </w:pPr>
          </w:p>
        </w:tc>
        <w:tc>
          <w:tcPr>
            <w:tcW w:w="2693" w:type="dxa"/>
            <w:gridSpan w:val="2"/>
            <w:shd w:val="clear" w:color="auto" w:fill="DEEAF6" w:themeFill="accent5" w:themeFillTint="33"/>
            <w:hideMark/>
          </w:tcPr>
          <w:p w14:paraId="4601E3B1"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 xml:space="preserve">Fruquintinib + BSC </w:t>
            </w:r>
          </w:p>
          <w:p w14:paraId="5188C53B"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 (n/N)</w:t>
            </w:r>
          </w:p>
        </w:tc>
        <w:tc>
          <w:tcPr>
            <w:tcW w:w="2693" w:type="dxa"/>
            <w:gridSpan w:val="2"/>
            <w:shd w:val="clear" w:color="auto" w:fill="DEEAF6" w:themeFill="accent5" w:themeFillTint="33"/>
            <w:hideMark/>
          </w:tcPr>
          <w:p w14:paraId="070350AA"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 xml:space="preserve">Placebo + BSC </w:t>
            </w:r>
          </w:p>
          <w:p w14:paraId="253A3046"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 (n/N)</w:t>
            </w:r>
          </w:p>
        </w:tc>
      </w:tr>
      <w:tr w:rsidR="00E0683A" w:rsidRPr="00E0683A" w14:paraId="6104DBA1"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shd w:val="clear" w:color="auto" w:fill="DEEAF6" w:themeFill="accent5" w:themeFillTint="33"/>
            <w:hideMark/>
          </w:tcPr>
          <w:p w14:paraId="65F25DE6" w14:textId="77777777" w:rsidR="00E0683A" w:rsidRPr="00EC2F97" w:rsidRDefault="00E0683A" w:rsidP="00EC2F97">
            <w:pPr>
              <w:keepNext/>
              <w:ind w:left="0"/>
              <w:rPr>
                <w:b/>
                <w:color w:val="263287"/>
                <w:sz w:val="20"/>
                <w:szCs w:val="20"/>
                <w:lang w:val="en-US"/>
              </w:rPr>
            </w:pPr>
            <w:r w:rsidRPr="00EC2F97">
              <w:rPr>
                <w:b/>
                <w:color w:val="263287"/>
                <w:sz w:val="20"/>
                <w:szCs w:val="20"/>
                <w:lang w:val="en-US"/>
              </w:rPr>
              <w:t xml:space="preserve">CTCAE grade -&gt; </w:t>
            </w:r>
          </w:p>
        </w:tc>
        <w:tc>
          <w:tcPr>
            <w:tcW w:w="1346" w:type="dxa"/>
            <w:shd w:val="clear" w:color="auto" w:fill="DEEAF6" w:themeFill="accent5" w:themeFillTint="33"/>
            <w:hideMark/>
          </w:tcPr>
          <w:p w14:paraId="1E091AB2"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Any</w:t>
            </w:r>
          </w:p>
        </w:tc>
        <w:tc>
          <w:tcPr>
            <w:tcW w:w="1347" w:type="dxa"/>
            <w:shd w:val="clear" w:color="auto" w:fill="DEEAF6" w:themeFill="accent5" w:themeFillTint="33"/>
            <w:hideMark/>
          </w:tcPr>
          <w:p w14:paraId="5E51E5D8"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3+</w:t>
            </w:r>
          </w:p>
        </w:tc>
        <w:tc>
          <w:tcPr>
            <w:tcW w:w="1346" w:type="dxa"/>
            <w:shd w:val="clear" w:color="auto" w:fill="DEEAF6" w:themeFill="accent5" w:themeFillTint="33"/>
            <w:hideMark/>
          </w:tcPr>
          <w:p w14:paraId="06EB7EBE"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Any</w:t>
            </w:r>
          </w:p>
        </w:tc>
        <w:tc>
          <w:tcPr>
            <w:tcW w:w="1347" w:type="dxa"/>
            <w:shd w:val="clear" w:color="auto" w:fill="DEEAF6" w:themeFill="accent5" w:themeFillTint="33"/>
            <w:hideMark/>
          </w:tcPr>
          <w:p w14:paraId="1369E863"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3+</w:t>
            </w:r>
          </w:p>
        </w:tc>
      </w:tr>
      <w:tr w:rsidR="00E0683A" w:rsidRPr="00E0683A" w14:paraId="4E326149"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hideMark/>
          </w:tcPr>
          <w:p w14:paraId="126A9C23" w14:textId="77777777" w:rsidR="00E0683A" w:rsidRPr="002E675E" w:rsidRDefault="00E0683A" w:rsidP="00EC2F97">
            <w:pPr>
              <w:ind w:left="0"/>
              <w:rPr>
                <w:sz w:val="20"/>
                <w:szCs w:val="20"/>
                <w:lang w:val="en-US"/>
              </w:rPr>
            </w:pPr>
            <w:r w:rsidRPr="002E675E">
              <w:rPr>
                <w:sz w:val="20"/>
                <w:szCs w:val="20"/>
                <w:lang w:val="en-US"/>
              </w:rPr>
              <w:t>Lipase increase from baseline (laboratory)</w:t>
            </w:r>
          </w:p>
        </w:tc>
        <w:tc>
          <w:tcPr>
            <w:tcW w:w="1346" w:type="dxa"/>
            <w:hideMark/>
          </w:tcPr>
          <w:p w14:paraId="1EF4ACBB"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E675E">
              <w:rPr>
                <w:sz w:val="20"/>
                <w:szCs w:val="20"/>
                <w:lang w:val="en-US"/>
              </w:rPr>
              <w:t>16% (43/267)</w:t>
            </w:r>
          </w:p>
        </w:tc>
        <w:tc>
          <w:tcPr>
            <w:tcW w:w="1347" w:type="dxa"/>
            <w:hideMark/>
          </w:tcPr>
          <w:p w14:paraId="2B933663"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2.2% (6/267)</w:t>
            </w:r>
          </w:p>
        </w:tc>
        <w:tc>
          <w:tcPr>
            <w:tcW w:w="1346" w:type="dxa"/>
            <w:hideMark/>
          </w:tcPr>
          <w:p w14:paraId="499A2D23"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8% (9/110)</w:t>
            </w:r>
          </w:p>
        </w:tc>
        <w:tc>
          <w:tcPr>
            <w:tcW w:w="1347" w:type="dxa"/>
            <w:hideMark/>
          </w:tcPr>
          <w:p w14:paraId="3AC261E5"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0.9% (1/110)</w:t>
            </w:r>
          </w:p>
        </w:tc>
      </w:tr>
      <w:tr w:rsidR="00E0683A" w:rsidRPr="00E0683A" w14:paraId="5BB4DD38"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hideMark/>
          </w:tcPr>
          <w:p w14:paraId="7DCB1837" w14:textId="77777777" w:rsidR="00E0683A" w:rsidRPr="002E675E" w:rsidRDefault="00E0683A" w:rsidP="00EC2F97">
            <w:pPr>
              <w:ind w:left="0"/>
              <w:rPr>
                <w:sz w:val="20"/>
                <w:szCs w:val="20"/>
                <w:lang w:val="en-US"/>
              </w:rPr>
            </w:pPr>
            <w:r w:rsidRPr="002E675E">
              <w:rPr>
                <w:sz w:val="20"/>
                <w:szCs w:val="20"/>
                <w:lang w:val="en-US"/>
              </w:rPr>
              <w:t>Amylase increase from baseline (laboratory)</w:t>
            </w:r>
          </w:p>
        </w:tc>
        <w:tc>
          <w:tcPr>
            <w:tcW w:w="1346" w:type="dxa"/>
            <w:hideMark/>
          </w:tcPr>
          <w:p w14:paraId="736CE8FE"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E675E">
              <w:rPr>
                <w:sz w:val="20"/>
                <w:szCs w:val="20"/>
                <w:lang w:val="en-US"/>
              </w:rPr>
              <w:t>15% (38/256)</w:t>
            </w:r>
          </w:p>
        </w:tc>
        <w:tc>
          <w:tcPr>
            <w:tcW w:w="1347" w:type="dxa"/>
            <w:hideMark/>
          </w:tcPr>
          <w:p w14:paraId="34335195"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0.4% (1/256)</w:t>
            </w:r>
          </w:p>
        </w:tc>
        <w:tc>
          <w:tcPr>
            <w:tcW w:w="1346" w:type="dxa"/>
            <w:hideMark/>
          </w:tcPr>
          <w:p w14:paraId="2FCD9DF7"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7% (9/121)</w:t>
            </w:r>
          </w:p>
        </w:tc>
        <w:tc>
          <w:tcPr>
            <w:tcW w:w="1347" w:type="dxa"/>
            <w:hideMark/>
          </w:tcPr>
          <w:p w14:paraId="7E31E897"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w:t>
            </w:r>
          </w:p>
        </w:tc>
      </w:tr>
      <w:tr w:rsidR="00E0683A" w:rsidRPr="00E0683A" w14:paraId="783CA536"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hideMark/>
          </w:tcPr>
          <w:p w14:paraId="44978AA1" w14:textId="77777777" w:rsidR="00E0683A" w:rsidRPr="002E675E" w:rsidRDefault="00E0683A" w:rsidP="00EC2F97">
            <w:pPr>
              <w:ind w:left="0"/>
              <w:rPr>
                <w:sz w:val="20"/>
                <w:szCs w:val="20"/>
                <w:lang w:val="en-US"/>
              </w:rPr>
            </w:pPr>
            <w:r w:rsidRPr="002E675E">
              <w:rPr>
                <w:sz w:val="20"/>
                <w:szCs w:val="20"/>
                <w:lang w:val="en-US"/>
              </w:rPr>
              <w:t>Pancreatitis, pancreatitis acute (AE report)</w:t>
            </w:r>
          </w:p>
        </w:tc>
        <w:tc>
          <w:tcPr>
            <w:tcW w:w="1346" w:type="dxa"/>
            <w:hideMark/>
          </w:tcPr>
          <w:p w14:paraId="04AE21CD"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E675E">
              <w:rPr>
                <w:sz w:val="20"/>
                <w:szCs w:val="20"/>
                <w:lang w:val="en-US"/>
              </w:rPr>
              <w:t>0.7% (3/456)</w:t>
            </w:r>
          </w:p>
        </w:tc>
        <w:tc>
          <w:tcPr>
            <w:tcW w:w="1347" w:type="dxa"/>
            <w:hideMark/>
          </w:tcPr>
          <w:p w14:paraId="27536AC0"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0.4% (2/456)</w:t>
            </w:r>
          </w:p>
        </w:tc>
        <w:tc>
          <w:tcPr>
            <w:tcW w:w="1346" w:type="dxa"/>
            <w:hideMark/>
          </w:tcPr>
          <w:p w14:paraId="463300D8"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w:t>
            </w:r>
          </w:p>
        </w:tc>
        <w:tc>
          <w:tcPr>
            <w:tcW w:w="1347" w:type="dxa"/>
            <w:hideMark/>
          </w:tcPr>
          <w:p w14:paraId="2DB4480B"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w:t>
            </w:r>
          </w:p>
        </w:tc>
      </w:tr>
      <w:tr w:rsidR="00E0683A" w:rsidRPr="00E0683A" w14:paraId="1F18BDFB"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hideMark/>
          </w:tcPr>
          <w:p w14:paraId="499AF2F1" w14:textId="77777777" w:rsidR="00E0683A" w:rsidRPr="002E675E" w:rsidRDefault="00E0683A" w:rsidP="00EC2F97">
            <w:pPr>
              <w:ind w:left="0"/>
              <w:rPr>
                <w:sz w:val="20"/>
                <w:szCs w:val="20"/>
                <w:lang w:val="en-US"/>
              </w:rPr>
            </w:pPr>
            <w:r w:rsidRPr="002E675E">
              <w:rPr>
                <w:sz w:val="20"/>
                <w:szCs w:val="20"/>
                <w:lang w:val="en-US"/>
              </w:rPr>
              <w:t>Lipase increased (AE report)</w:t>
            </w:r>
          </w:p>
        </w:tc>
        <w:tc>
          <w:tcPr>
            <w:tcW w:w="1346" w:type="dxa"/>
            <w:hideMark/>
          </w:tcPr>
          <w:p w14:paraId="5866D7CC"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E675E">
              <w:rPr>
                <w:sz w:val="20"/>
                <w:szCs w:val="20"/>
                <w:lang w:val="en-US"/>
              </w:rPr>
              <w:t>2.4% (11/456)</w:t>
            </w:r>
          </w:p>
        </w:tc>
        <w:tc>
          <w:tcPr>
            <w:tcW w:w="1347" w:type="dxa"/>
            <w:hideMark/>
          </w:tcPr>
          <w:p w14:paraId="7C719B8D"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1.3% (6/456)</w:t>
            </w:r>
          </w:p>
        </w:tc>
        <w:tc>
          <w:tcPr>
            <w:tcW w:w="1346" w:type="dxa"/>
            <w:hideMark/>
          </w:tcPr>
          <w:p w14:paraId="2D696663"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0.9% (2/230)</w:t>
            </w:r>
          </w:p>
        </w:tc>
        <w:tc>
          <w:tcPr>
            <w:tcW w:w="1347" w:type="dxa"/>
            <w:hideMark/>
          </w:tcPr>
          <w:p w14:paraId="3F89A8AD"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w:t>
            </w:r>
          </w:p>
        </w:tc>
      </w:tr>
      <w:tr w:rsidR="00E0683A" w:rsidRPr="00E0683A" w14:paraId="478AD4FD"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hideMark/>
          </w:tcPr>
          <w:p w14:paraId="133D0474" w14:textId="77777777" w:rsidR="00E0683A" w:rsidRPr="002E675E" w:rsidRDefault="00E0683A" w:rsidP="00EC2F97">
            <w:pPr>
              <w:ind w:left="0"/>
              <w:rPr>
                <w:sz w:val="20"/>
                <w:szCs w:val="20"/>
                <w:lang w:val="en-US"/>
              </w:rPr>
            </w:pPr>
            <w:r w:rsidRPr="002E675E">
              <w:rPr>
                <w:sz w:val="20"/>
                <w:szCs w:val="20"/>
                <w:lang w:val="en-US"/>
              </w:rPr>
              <w:t>Amylase increased (AE report)</w:t>
            </w:r>
          </w:p>
        </w:tc>
        <w:tc>
          <w:tcPr>
            <w:tcW w:w="1346" w:type="dxa"/>
            <w:hideMark/>
          </w:tcPr>
          <w:p w14:paraId="26E08772"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lang w:val="en-US"/>
              </w:rPr>
            </w:pPr>
            <w:r w:rsidRPr="002E675E">
              <w:rPr>
                <w:sz w:val="20"/>
                <w:szCs w:val="20"/>
                <w:lang w:val="en-US"/>
              </w:rPr>
              <w:t>2.9% (13/456)</w:t>
            </w:r>
          </w:p>
        </w:tc>
        <w:tc>
          <w:tcPr>
            <w:tcW w:w="1347" w:type="dxa"/>
            <w:hideMark/>
          </w:tcPr>
          <w:p w14:paraId="0EB8E7D3"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1.1% (5/456)</w:t>
            </w:r>
          </w:p>
        </w:tc>
        <w:tc>
          <w:tcPr>
            <w:tcW w:w="1346" w:type="dxa"/>
            <w:hideMark/>
          </w:tcPr>
          <w:p w14:paraId="66A24119"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0.4% (1/230)</w:t>
            </w:r>
          </w:p>
        </w:tc>
        <w:tc>
          <w:tcPr>
            <w:tcW w:w="1347" w:type="dxa"/>
            <w:hideMark/>
          </w:tcPr>
          <w:p w14:paraId="79A845CD" w14:textId="77777777" w:rsidR="00E0683A" w:rsidRPr="002E675E"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20"/>
              </w:rPr>
            </w:pPr>
            <w:r w:rsidRPr="002E675E">
              <w:rPr>
                <w:sz w:val="20"/>
                <w:szCs w:val="20"/>
              </w:rPr>
              <w:t>0</w:t>
            </w:r>
          </w:p>
        </w:tc>
      </w:tr>
      <w:tr w:rsidR="00E0683A" w:rsidRPr="00E0683A" w14:paraId="4D997661"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shd w:val="clear" w:color="auto" w:fill="DEEAF6" w:themeFill="accent5" w:themeFillTint="33"/>
          </w:tcPr>
          <w:p w14:paraId="3419D024" w14:textId="77777777" w:rsidR="00E0683A" w:rsidRPr="007605CD" w:rsidRDefault="00E0683A" w:rsidP="00EC2F97">
            <w:pPr>
              <w:ind w:left="0"/>
              <w:rPr>
                <w:sz w:val="20"/>
                <w:szCs w:val="18"/>
                <w:lang w:val="en-US"/>
              </w:rPr>
            </w:pPr>
          </w:p>
        </w:tc>
        <w:tc>
          <w:tcPr>
            <w:tcW w:w="5386" w:type="dxa"/>
            <w:gridSpan w:val="4"/>
            <w:shd w:val="clear" w:color="auto" w:fill="DEEAF6" w:themeFill="accent5" w:themeFillTint="33"/>
            <w:hideMark/>
          </w:tcPr>
          <w:p w14:paraId="5D52D3F0" w14:textId="77777777" w:rsidR="00E0683A" w:rsidRPr="007605CD" w:rsidRDefault="00E0683A" w:rsidP="00EC2F97">
            <w:pPr>
              <w:keepNext/>
              <w:ind w:left="0"/>
              <w:cnfStyle w:val="000000000000" w:firstRow="0" w:lastRow="0" w:firstColumn="0" w:lastColumn="0" w:oddVBand="0" w:evenVBand="0" w:oddHBand="0" w:evenHBand="0" w:firstRowFirstColumn="0" w:firstRowLastColumn="0" w:lastRowFirstColumn="0" w:lastRowLastColumn="0"/>
              <w:rPr>
                <w:sz w:val="20"/>
                <w:szCs w:val="18"/>
              </w:rPr>
            </w:pPr>
            <w:r w:rsidRPr="00EC2F97">
              <w:rPr>
                <w:b/>
                <w:color w:val="263287"/>
                <w:sz w:val="20"/>
                <w:szCs w:val="20"/>
                <w:lang w:val="en-US"/>
              </w:rPr>
              <w:t>FRESCO</w:t>
            </w:r>
          </w:p>
        </w:tc>
      </w:tr>
      <w:tr w:rsidR="00E0683A" w:rsidRPr="00E0683A" w14:paraId="4D2FED88"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shd w:val="clear" w:color="auto" w:fill="DEEAF6" w:themeFill="accent5" w:themeFillTint="33"/>
          </w:tcPr>
          <w:p w14:paraId="135F3910" w14:textId="77777777" w:rsidR="00E0683A" w:rsidRPr="00EC2F97" w:rsidRDefault="00E0683A" w:rsidP="00EC2F97">
            <w:pPr>
              <w:keepNext/>
              <w:ind w:left="0"/>
              <w:rPr>
                <w:b/>
                <w:color w:val="263287"/>
                <w:sz w:val="20"/>
                <w:szCs w:val="20"/>
                <w:lang w:val="en-US"/>
              </w:rPr>
            </w:pPr>
          </w:p>
        </w:tc>
        <w:tc>
          <w:tcPr>
            <w:tcW w:w="2693" w:type="dxa"/>
            <w:gridSpan w:val="2"/>
            <w:shd w:val="clear" w:color="auto" w:fill="DEEAF6" w:themeFill="accent5" w:themeFillTint="33"/>
            <w:hideMark/>
          </w:tcPr>
          <w:p w14:paraId="471CDBC6" w14:textId="015BB553"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Fruquintinib + BSC (N</w:t>
            </w:r>
            <w:r w:rsidR="00C9024B">
              <w:rPr>
                <w:b/>
                <w:color w:val="263287"/>
                <w:sz w:val="20"/>
                <w:szCs w:val="20"/>
                <w:lang w:val="en-US"/>
              </w:rPr>
              <w:t xml:space="preserve"> </w:t>
            </w:r>
            <w:r w:rsidRPr="00EC2F97">
              <w:rPr>
                <w:b/>
                <w:color w:val="263287"/>
                <w:sz w:val="20"/>
                <w:szCs w:val="20"/>
                <w:lang w:val="en-US"/>
              </w:rPr>
              <w:t>tot</w:t>
            </w:r>
            <w:r w:rsidR="00C9024B">
              <w:rPr>
                <w:b/>
                <w:color w:val="263287"/>
                <w:sz w:val="20"/>
                <w:szCs w:val="20"/>
                <w:lang w:val="en-US"/>
              </w:rPr>
              <w:t>al</w:t>
            </w:r>
            <w:r w:rsidR="00C77179">
              <w:rPr>
                <w:b/>
                <w:color w:val="263287"/>
                <w:sz w:val="20"/>
                <w:szCs w:val="20"/>
                <w:lang w:val="en-US"/>
              </w:rPr>
              <w:t> </w:t>
            </w:r>
            <w:r w:rsidRPr="00EC2F97">
              <w:rPr>
                <w:b/>
                <w:color w:val="263287"/>
                <w:sz w:val="20"/>
                <w:szCs w:val="20"/>
                <w:lang w:val="en-US"/>
              </w:rPr>
              <w:t>=</w:t>
            </w:r>
            <w:r w:rsidR="00C77179">
              <w:t> </w:t>
            </w:r>
            <w:r w:rsidRPr="00EC2F97">
              <w:rPr>
                <w:b/>
                <w:color w:val="263287"/>
                <w:sz w:val="20"/>
                <w:szCs w:val="20"/>
                <w:lang w:val="en-US"/>
              </w:rPr>
              <w:t>278)</w:t>
            </w:r>
          </w:p>
          <w:p w14:paraId="39282747"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 (n/N)</w:t>
            </w:r>
          </w:p>
        </w:tc>
        <w:tc>
          <w:tcPr>
            <w:tcW w:w="2693" w:type="dxa"/>
            <w:gridSpan w:val="2"/>
            <w:shd w:val="clear" w:color="auto" w:fill="DEEAF6" w:themeFill="accent5" w:themeFillTint="33"/>
            <w:hideMark/>
          </w:tcPr>
          <w:p w14:paraId="54779B4B" w14:textId="42710BB6"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Placebo + BSC (N</w:t>
            </w:r>
            <w:r w:rsidR="00C9024B">
              <w:rPr>
                <w:b/>
                <w:color w:val="263287"/>
                <w:sz w:val="20"/>
                <w:szCs w:val="20"/>
                <w:lang w:val="en-US"/>
              </w:rPr>
              <w:t xml:space="preserve"> </w:t>
            </w:r>
            <w:r w:rsidRPr="00EC2F97">
              <w:rPr>
                <w:b/>
                <w:color w:val="263287"/>
                <w:sz w:val="20"/>
                <w:szCs w:val="20"/>
                <w:lang w:val="en-US"/>
              </w:rPr>
              <w:t>tot</w:t>
            </w:r>
            <w:r w:rsidR="00C9024B">
              <w:rPr>
                <w:b/>
                <w:color w:val="263287"/>
                <w:sz w:val="20"/>
                <w:szCs w:val="20"/>
                <w:lang w:val="en-US"/>
              </w:rPr>
              <w:t>al</w:t>
            </w:r>
            <w:r w:rsidR="00C77179">
              <w:rPr>
                <w:b/>
                <w:color w:val="263287"/>
                <w:sz w:val="20"/>
                <w:szCs w:val="20"/>
                <w:lang w:val="en-US"/>
              </w:rPr>
              <w:t> </w:t>
            </w:r>
            <w:r w:rsidRPr="00EC2F97">
              <w:rPr>
                <w:b/>
                <w:color w:val="263287"/>
                <w:sz w:val="20"/>
                <w:szCs w:val="20"/>
                <w:lang w:val="en-US"/>
              </w:rPr>
              <w:t>=</w:t>
            </w:r>
            <w:r w:rsidR="00C77179">
              <w:rPr>
                <w:b/>
                <w:color w:val="263287"/>
                <w:sz w:val="20"/>
                <w:szCs w:val="20"/>
                <w:lang w:val="en-US"/>
              </w:rPr>
              <w:t> </w:t>
            </w:r>
            <w:r w:rsidRPr="00EC2F97">
              <w:rPr>
                <w:b/>
                <w:color w:val="263287"/>
                <w:sz w:val="20"/>
                <w:szCs w:val="20"/>
                <w:lang w:val="en-US"/>
              </w:rPr>
              <w:t>137)</w:t>
            </w:r>
          </w:p>
          <w:p w14:paraId="0B8D778C"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 (n/N)</w:t>
            </w:r>
          </w:p>
        </w:tc>
      </w:tr>
      <w:tr w:rsidR="00E0683A" w:rsidRPr="00E0683A" w14:paraId="514EBA4B"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shd w:val="clear" w:color="auto" w:fill="DEEAF6" w:themeFill="accent5" w:themeFillTint="33"/>
            <w:hideMark/>
          </w:tcPr>
          <w:p w14:paraId="42B852AC" w14:textId="77777777" w:rsidR="00E0683A" w:rsidRPr="00EC2F97" w:rsidRDefault="00E0683A" w:rsidP="00EC2F97">
            <w:pPr>
              <w:keepNext/>
              <w:ind w:left="0"/>
              <w:rPr>
                <w:b/>
                <w:color w:val="263287"/>
                <w:sz w:val="20"/>
                <w:szCs w:val="20"/>
                <w:lang w:val="en-US"/>
              </w:rPr>
            </w:pPr>
            <w:r w:rsidRPr="00EC2F97">
              <w:rPr>
                <w:b/>
                <w:color w:val="263287"/>
                <w:sz w:val="20"/>
                <w:szCs w:val="20"/>
                <w:lang w:val="en-US"/>
              </w:rPr>
              <w:t>CTCAE grade -&gt;</w:t>
            </w:r>
          </w:p>
        </w:tc>
        <w:tc>
          <w:tcPr>
            <w:tcW w:w="1346" w:type="dxa"/>
            <w:shd w:val="clear" w:color="auto" w:fill="DEEAF6" w:themeFill="accent5" w:themeFillTint="33"/>
            <w:hideMark/>
          </w:tcPr>
          <w:p w14:paraId="34486947"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Any</w:t>
            </w:r>
          </w:p>
        </w:tc>
        <w:tc>
          <w:tcPr>
            <w:tcW w:w="1347" w:type="dxa"/>
            <w:shd w:val="clear" w:color="auto" w:fill="DEEAF6" w:themeFill="accent5" w:themeFillTint="33"/>
            <w:hideMark/>
          </w:tcPr>
          <w:p w14:paraId="58FB85A2"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3+</w:t>
            </w:r>
          </w:p>
        </w:tc>
        <w:tc>
          <w:tcPr>
            <w:tcW w:w="1346" w:type="dxa"/>
            <w:shd w:val="clear" w:color="auto" w:fill="DEEAF6" w:themeFill="accent5" w:themeFillTint="33"/>
            <w:hideMark/>
          </w:tcPr>
          <w:p w14:paraId="44428493"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Any</w:t>
            </w:r>
          </w:p>
        </w:tc>
        <w:tc>
          <w:tcPr>
            <w:tcW w:w="1347" w:type="dxa"/>
            <w:shd w:val="clear" w:color="auto" w:fill="DEEAF6" w:themeFill="accent5" w:themeFillTint="33"/>
            <w:hideMark/>
          </w:tcPr>
          <w:p w14:paraId="46E4C462" w14:textId="77777777" w:rsidR="00E0683A" w:rsidRPr="00EC2F97" w:rsidRDefault="00E0683A" w:rsidP="00EC2F97">
            <w:pPr>
              <w:keepNext/>
              <w:ind w:left="0"/>
              <w:cnfStyle w:val="000000000000" w:firstRow="0" w:lastRow="0" w:firstColumn="0" w:lastColumn="0" w:oddVBand="0" w:evenVBand="0" w:oddHBand="0" w:evenHBand="0" w:firstRowFirstColumn="0" w:firstRowLastColumn="0" w:lastRowFirstColumn="0" w:lastRowLastColumn="0"/>
              <w:rPr>
                <w:b/>
                <w:color w:val="263287"/>
                <w:sz w:val="20"/>
                <w:szCs w:val="20"/>
                <w:lang w:val="en-US"/>
              </w:rPr>
            </w:pPr>
            <w:r w:rsidRPr="00EC2F97">
              <w:rPr>
                <w:b/>
                <w:color w:val="263287"/>
                <w:sz w:val="20"/>
                <w:szCs w:val="20"/>
                <w:lang w:val="en-US"/>
              </w:rPr>
              <w:t>3+</w:t>
            </w:r>
          </w:p>
        </w:tc>
      </w:tr>
      <w:tr w:rsidR="00E0683A" w:rsidRPr="00E0683A" w14:paraId="5CBCD1CB"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hideMark/>
          </w:tcPr>
          <w:p w14:paraId="544DAF27" w14:textId="77777777" w:rsidR="00E0683A" w:rsidRPr="007605CD" w:rsidRDefault="00E0683A" w:rsidP="00EC2F97">
            <w:pPr>
              <w:ind w:left="0"/>
              <w:rPr>
                <w:sz w:val="20"/>
                <w:szCs w:val="18"/>
                <w:lang w:val="en-US"/>
              </w:rPr>
            </w:pPr>
            <w:r w:rsidRPr="007605CD">
              <w:rPr>
                <w:sz w:val="20"/>
                <w:szCs w:val="18"/>
                <w:lang w:val="en-US"/>
              </w:rPr>
              <w:t>Amylase increase from baseline (laboratory)</w:t>
            </w:r>
          </w:p>
        </w:tc>
        <w:tc>
          <w:tcPr>
            <w:tcW w:w="1346" w:type="dxa"/>
            <w:hideMark/>
          </w:tcPr>
          <w:p w14:paraId="43455830" w14:textId="77777777" w:rsidR="00E0683A" w:rsidRPr="007605CD"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18"/>
                <w:lang w:val="en-US"/>
              </w:rPr>
            </w:pPr>
            <w:r w:rsidRPr="007605CD">
              <w:rPr>
                <w:sz w:val="20"/>
                <w:szCs w:val="18"/>
                <w:lang w:val="en-US"/>
              </w:rPr>
              <w:t>14% (37/265)</w:t>
            </w:r>
          </w:p>
        </w:tc>
        <w:tc>
          <w:tcPr>
            <w:tcW w:w="1347" w:type="dxa"/>
            <w:hideMark/>
          </w:tcPr>
          <w:p w14:paraId="56550E4A" w14:textId="77777777" w:rsidR="00E0683A" w:rsidRPr="007605CD"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18"/>
              </w:rPr>
            </w:pPr>
            <w:r w:rsidRPr="007605CD">
              <w:rPr>
                <w:sz w:val="20"/>
                <w:szCs w:val="18"/>
                <w:lang w:val="en-US"/>
              </w:rPr>
              <w:t>2.6% (7/265)</w:t>
            </w:r>
          </w:p>
        </w:tc>
        <w:tc>
          <w:tcPr>
            <w:tcW w:w="1346" w:type="dxa"/>
            <w:hideMark/>
          </w:tcPr>
          <w:p w14:paraId="18121975" w14:textId="77777777" w:rsidR="00E0683A" w:rsidRPr="007605CD"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18"/>
              </w:rPr>
            </w:pPr>
            <w:r w:rsidRPr="007605CD">
              <w:rPr>
                <w:sz w:val="20"/>
                <w:szCs w:val="18"/>
              </w:rPr>
              <w:t>3.7% (5/135)</w:t>
            </w:r>
          </w:p>
        </w:tc>
        <w:tc>
          <w:tcPr>
            <w:tcW w:w="1347" w:type="dxa"/>
            <w:hideMark/>
          </w:tcPr>
          <w:p w14:paraId="0967588D" w14:textId="77777777" w:rsidR="00E0683A" w:rsidRPr="007605CD"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18"/>
              </w:rPr>
            </w:pPr>
            <w:r w:rsidRPr="007605CD">
              <w:rPr>
                <w:sz w:val="20"/>
                <w:szCs w:val="18"/>
              </w:rPr>
              <w:t>0</w:t>
            </w:r>
          </w:p>
        </w:tc>
      </w:tr>
      <w:tr w:rsidR="00E0683A" w:rsidRPr="00E0683A" w14:paraId="4F16803B" w14:textId="77777777" w:rsidTr="00EC2F97">
        <w:trPr>
          <w:trHeight w:val="20"/>
        </w:trPr>
        <w:tc>
          <w:tcPr>
            <w:cnfStyle w:val="001000000000" w:firstRow="0" w:lastRow="0" w:firstColumn="1" w:lastColumn="0" w:oddVBand="0" w:evenVBand="0" w:oddHBand="0" w:evenHBand="0" w:firstRowFirstColumn="0" w:firstRowLastColumn="0" w:lastRowFirstColumn="0" w:lastRowLastColumn="0"/>
            <w:tcW w:w="3686" w:type="dxa"/>
            <w:hideMark/>
          </w:tcPr>
          <w:p w14:paraId="52C937E7" w14:textId="77777777" w:rsidR="00E0683A" w:rsidRPr="007605CD" w:rsidRDefault="00E0683A" w:rsidP="00EC2F97">
            <w:pPr>
              <w:ind w:left="0"/>
              <w:rPr>
                <w:sz w:val="20"/>
                <w:szCs w:val="18"/>
                <w:lang w:val="en-US"/>
              </w:rPr>
            </w:pPr>
            <w:r w:rsidRPr="007605CD">
              <w:rPr>
                <w:sz w:val="20"/>
                <w:szCs w:val="18"/>
                <w:lang w:val="en-US"/>
              </w:rPr>
              <w:t>Amylase increased (AE report)</w:t>
            </w:r>
          </w:p>
        </w:tc>
        <w:tc>
          <w:tcPr>
            <w:tcW w:w="1346" w:type="dxa"/>
            <w:hideMark/>
          </w:tcPr>
          <w:p w14:paraId="0C728CFC" w14:textId="77777777" w:rsidR="00E0683A" w:rsidRPr="007605CD"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18"/>
                <w:lang w:val="en-US"/>
              </w:rPr>
            </w:pPr>
            <w:r w:rsidRPr="007605CD">
              <w:rPr>
                <w:sz w:val="20"/>
                <w:szCs w:val="18"/>
                <w:lang w:val="en-US"/>
              </w:rPr>
              <w:t>4.3% (12/278)</w:t>
            </w:r>
          </w:p>
        </w:tc>
        <w:tc>
          <w:tcPr>
            <w:tcW w:w="1347" w:type="dxa"/>
            <w:hideMark/>
          </w:tcPr>
          <w:p w14:paraId="219760E3" w14:textId="77777777" w:rsidR="00E0683A" w:rsidRPr="007605CD"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18"/>
              </w:rPr>
            </w:pPr>
            <w:r w:rsidRPr="007605CD">
              <w:rPr>
                <w:sz w:val="20"/>
                <w:szCs w:val="18"/>
              </w:rPr>
              <w:t>1.8% (5/278)</w:t>
            </w:r>
          </w:p>
        </w:tc>
        <w:tc>
          <w:tcPr>
            <w:tcW w:w="1346" w:type="dxa"/>
            <w:hideMark/>
          </w:tcPr>
          <w:p w14:paraId="476CA6ED" w14:textId="77777777" w:rsidR="00E0683A" w:rsidRPr="007605CD"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18"/>
              </w:rPr>
            </w:pPr>
            <w:r w:rsidRPr="007605CD">
              <w:rPr>
                <w:sz w:val="20"/>
                <w:szCs w:val="18"/>
              </w:rPr>
              <w:t>0.7% (1/137)</w:t>
            </w:r>
          </w:p>
        </w:tc>
        <w:tc>
          <w:tcPr>
            <w:tcW w:w="1347" w:type="dxa"/>
            <w:hideMark/>
          </w:tcPr>
          <w:p w14:paraId="2E4CB05C" w14:textId="77777777" w:rsidR="00E0683A" w:rsidRPr="007605CD" w:rsidRDefault="00E0683A" w:rsidP="00EC2F97">
            <w:pPr>
              <w:ind w:left="0"/>
              <w:cnfStyle w:val="000000000000" w:firstRow="0" w:lastRow="0" w:firstColumn="0" w:lastColumn="0" w:oddVBand="0" w:evenVBand="0" w:oddHBand="0" w:evenHBand="0" w:firstRowFirstColumn="0" w:firstRowLastColumn="0" w:lastRowFirstColumn="0" w:lastRowLastColumn="0"/>
              <w:rPr>
                <w:sz w:val="20"/>
                <w:szCs w:val="18"/>
              </w:rPr>
            </w:pPr>
            <w:r w:rsidRPr="007605CD">
              <w:rPr>
                <w:sz w:val="20"/>
                <w:szCs w:val="18"/>
              </w:rPr>
              <w:t>0</w:t>
            </w:r>
          </w:p>
        </w:tc>
      </w:tr>
    </w:tbl>
    <w:p w14:paraId="37D323EB" w14:textId="7B7931EC" w:rsidR="00FB50BF" w:rsidRPr="00020439" w:rsidRDefault="00FB50BF" w:rsidP="00020439">
      <w:pPr>
        <w:pStyle w:val="TableDescription"/>
      </w:pPr>
      <w:r w:rsidRPr="00020439">
        <w:t xml:space="preserve">Abbreviations: </w:t>
      </w:r>
      <w:r w:rsidR="005E2EF0" w:rsidRPr="00020439">
        <w:t xml:space="preserve">AE = adverse event, </w:t>
      </w:r>
      <w:r w:rsidRPr="00020439">
        <w:t xml:space="preserve">BSC = best supportive care, </w:t>
      </w:r>
      <w:r w:rsidR="005E2EF0" w:rsidRPr="00020439">
        <w:t>CTCAE =</w:t>
      </w:r>
      <w:r w:rsidR="00255346" w:rsidRPr="00020439">
        <w:t xml:space="preserve"> c</w:t>
      </w:r>
      <w:r w:rsidR="00B7749C" w:rsidRPr="00020439">
        <w:t xml:space="preserve">ommon </w:t>
      </w:r>
      <w:r w:rsidR="00255346" w:rsidRPr="00020439">
        <w:t>t</w:t>
      </w:r>
      <w:r w:rsidR="00B7749C" w:rsidRPr="00020439">
        <w:t xml:space="preserve">erminology </w:t>
      </w:r>
      <w:r w:rsidR="00255346" w:rsidRPr="00020439">
        <w:t>c</w:t>
      </w:r>
      <w:r w:rsidR="00B7749C" w:rsidRPr="00020439">
        <w:t xml:space="preserve">riteria for </w:t>
      </w:r>
      <w:r w:rsidR="00255346" w:rsidRPr="00020439">
        <w:t>a</w:t>
      </w:r>
      <w:r w:rsidR="00B7749C" w:rsidRPr="00020439">
        <w:t xml:space="preserve">dverse </w:t>
      </w:r>
      <w:r w:rsidR="00255346" w:rsidRPr="00020439">
        <w:t>e</w:t>
      </w:r>
      <w:r w:rsidR="00B7749C" w:rsidRPr="00020439">
        <w:t>vents</w:t>
      </w:r>
      <w:r w:rsidR="00255346" w:rsidRPr="00020439">
        <w:t>,</w:t>
      </w:r>
      <w:r w:rsidR="005E2EF0" w:rsidRPr="00020439">
        <w:t xml:space="preserve"> </w:t>
      </w:r>
      <w:r w:rsidR="00E0683A" w:rsidRPr="00020439">
        <w:t>N = denominator, being the number of patients in the safety set for that arm, and for laboratory shifts, who had a normal baseline</w:t>
      </w:r>
      <w:r w:rsidRPr="00020439">
        <w:t xml:space="preserve">, </w:t>
      </w:r>
      <w:r w:rsidR="00E0683A" w:rsidRPr="00020439">
        <w:t>n = number of patients out of the denominator who had a worst post-baseline result in the applicable category of CTCAE Grade (for laboratory shifts), or for whom that AE was reported.</w:t>
      </w:r>
      <w:r w:rsidR="00A5421A">
        <w:br/>
      </w:r>
      <w:r w:rsidR="00E0683A" w:rsidRPr="00020439">
        <w:t>Percentages higher than 5.0% are stated as integers for readability.</w:t>
      </w:r>
    </w:p>
    <w:p w14:paraId="054CCDAD" w14:textId="49CF576A" w:rsidR="00E0683A" w:rsidRPr="00E0683A" w:rsidRDefault="00E0683A" w:rsidP="00020439">
      <w:pPr>
        <w:pStyle w:val="Heading5"/>
        <w:rPr>
          <w:lang w:val="en-GB"/>
        </w:rPr>
      </w:pPr>
      <w:r w:rsidRPr="00E0683A">
        <w:rPr>
          <w:lang w:val="en-GB"/>
        </w:rPr>
        <w:t>Electrocardiograph data</w:t>
      </w:r>
    </w:p>
    <w:p w14:paraId="6E7B1BCB" w14:textId="043D9770" w:rsidR="00E0683A" w:rsidRPr="00C944F7" w:rsidRDefault="00E0683A" w:rsidP="00C944F7">
      <w:r w:rsidRPr="00C944F7">
        <w:t xml:space="preserve">In the FRESCO-2 study, patients with </w:t>
      </w:r>
      <w:proofErr w:type="spellStart"/>
      <w:r w:rsidRPr="00C944F7">
        <w:t>QTcF</w:t>
      </w:r>
      <w:proofErr w:type="spellEnd"/>
      <w:r w:rsidRPr="00C944F7">
        <w:t xml:space="preserve"> &gt; 480 m</w:t>
      </w:r>
      <w:r w:rsidR="00C944F7">
        <w:t>il</w:t>
      </w:r>
      <w:r w:rsidR="0010281A">
        <w:t>li</w:t>
      </w:r>
      <w:r w:rsidRPr="00C944F7">
        <w:t>sec</w:t>
      </w:r>
      <w:r w:rsidR="0010281A">
        <w:t>onds</w:t>
      </w:r>
      <w:r w:rsidRPr="00C944F7">
        <w:t xml:space="preserve"> or any other factors that prolongs the QTc interval or increases the risk of arrhythmic events were excluded from the study.</w:t>
      </w:r>
      <w:r w:rsidR="00290658">
        <w:rPr>
          <w:rStyle w:val="FootnoteReference"/>
        </w:rPr>
        <w:footnoteReference w:id="32"/>
      </w:r>
      <w:r w:rsidRPr="00C944F7">
        <w:t xml:space="preserve"> Patients taking medications with a known risk of causing QT prolongation and/or torsade de pointes were also excluded. </w:t>
      </w:r>
      <w:r w:rsidR="0010281A" w:rsidRPr="0010281A">
        <w:t>Electrocardiograph</w:t>
      </w:r>
      <w:r w:rsidRPr="00C944F7">
        <w:t xml:space="preserve"> assessments (12-lead) were performed on all patients at </w:t>
      </w:r>
      <w:r w:rsidR="0010281A">
        <w:t>B</w:t>
      </w:r>
      <w:r w:rsidRPr="00C944F7">
        <w:t xml:space="preserve">aseline and during Cycles 1 to 3 (C1D1, C1D21, C2D21, and C3D21) using standardised equipment. A continuous 12-lead Holter monitor was used for QTc evaluation during Cycle 1 in a subset of patients. From Cycle 4 onward, </w:t>
      </w:r>
      <w:r w:rsidR="0020058E">
        <w:t>e</w:t>
      </w:r>
      <w:r w:rsidR="0020058E" w:rsidRPr="0020058E">
        <w:t>lectrocardiograph</w:t>
      </w:r>
      <w:r w:rsidR="0020058E">
        <w:t>s</w:t>
      </w:r>
      <w:r w:rsidRPr="00C944F7">
        <w:t xml:space="preserve"> were performed only when clinically indicated.</w:t>
      </w:r>
    </w:p>
    <w:p w14:paraId="03E6328F" w14:textId="57053EBC" w:rsidR="00E0683A" w:rsidRPr="00C944F7" w:rsidRDefault="001C3DAB" w:rsidP="00C944F7">
      <w:r>
        <w:t>The overseas regulators</w:t>
      </w:r>
      <w:r w:rsidR="00E0683A" w:rsidRPr="00C944F7">
        <w:t xml:space="preserve"> interdisciplinary review team for cardiac safety studies conducted a review that concluded that a mean QTc interval prolongation ≥</w:t>
      </w:r>
      <w:r>
        <w:t> </w:t>
      </w:r>
      <w:r w:rsidR="00E0683A" w:rsidRPr="00C944F7">
        <w:t>20 m</w:t>
      </w:r>
      <w:r w:rsidR="0020058E">
        <w:t>illi</w:t>
      </w:r>
      <w:r w:rsidR="00E0683A" w:rsidRPr="00C944F7">
        <w:t>sec</w:t>
      </w:r>
      <w:r w:rsidR="0020058E">
        <w:t>onds</w:t>
      </w:r>
      <w:r w:rsidR="00E0683A" w:rsidRPr="00C944F7">
        <w:t xml:space="preserve"> was not observed based on the results of FRESCO-2.</w:t>
      </w:r>
    </w:p>
    <w:p w14:paraId="5A9FC8C8" w14:textId="7998564D" w:rsidR="00E0683A" w:rsidRPr="00E0683A" w:rsidRDefault="00E0683A" w:rsidP="00E0683A">
      <w:pPr>
        <w:rPr>
          <w:lang w:val="en-GB"/>
        </w:rPr>
      </w:pPr>
      <w:r w:rsidRPr="00C944F7">
        <w:t xml:space="preserve">As the QT studies were performed using data from FRESCO-2 rather than a dedicated QT study, the lack of a positive control and the limited exposure margin (as all patients received the same highest dose) prevents a robust conclusion that </w:t>
      </w:r>
      <w:proofErr w:type="spellStart"/>
      <w:r w:rsidRPr="00C944F7">
        <w:t>fruquintinib</w:t>
      </w:r>
      <w:proofErr w:type="spellEnd"/>
      <w:r w:rsidRPr="00C944F7">
        <w:t xml:space="preserve"> does not affect QT.</w:t>
      </w:r>
    </w:p>
    <w:p w14:paraId="3EE68D87" w14:textId="77777777" w:rsidR="00E0683A" w:rsidRPr="00E0683A" w:rsidRDefault="00E0683A" w:rsidP="00907A5B">
      <w:pPr>
        <w:pStyle w:val="Heading5"/>
        <w:rPr>
          <w:lang w:val="en-GB"/>
        </w:rPr>
      </w:pPr>
      <w:r w:rsidRPr="00E0683A">
        <w:rPr>
          <w:lang w:val="en-GB"/>
        </w:rPr>
        <w:t>Post-approval safety data</w:t>
      </w:r>
    </w:p>
    <w:p w14:paraId="2DD04AF6" w14:textId="6E09F2BE" w:rsidR="00E0683A" w:rsidRPr="00290658" w:rsidRDefault="00E0683A" w:rsidP="00290658">
      <w:r w:rsidRPr="00290658">
        <w:t xml:space="preserve">Periodic </w:t>
      </w:r>
      <w:r w:rsidR="009674D4">
        <w:t>s</w:t>
      </w:r>
      <w:r w:rsidRPr="00290658">
        <w:t xml:space="preserve">afety </w:t>
      </w:r>
      <w:r w:rsidR="009674D4">
        <w:t>u</w:t>
      </w:r>
      <w:r w:rsidRPr="00290658">
        <w:t xml:space="preserve">pdate </w:t>
      </w:r>
      <w:r w:rsidR="009674D4">
        <w:t>r</w:t>
      </w:r>
      <w:r w:rsidRPr="00290658">
        <w:t>eport (</w:t>
      </w:r>
      <w:r w:rsidRPr="009674D4">
        <w:t>PSUR</w:t>
      </w:r>
      <w:r w:rsidRPr="00290658">
        <w:t xml:space="preserve"> Version 7.0), representing cumulative post-market data with a data lock point </w:t>
      </w:r>
      <w:r w:rsidRPr="009718B4">
        <w:t>(DLP</w:t>
      </w:r>
      <w:r w:rsidRPr="00290658">
        <w:t xml:space="preserve">) of </w:t>
      </w:r>
      <w:r w:rsidR="00290658">
        <w:t xml:space="preserve">3 </w:t>
      </w:r>
      <w:r w:rsidRPr="00290658">
        <w:t>Sep</w:t>
      </w:r>
      <w:r w:rsidR="00290658">
        <w:t xml:space="preserve">tember </w:t>
      </w:r>
      <w:r w:rsidRPr="00290658">
        <w:t xml:space="preserve">2023 (with estimated exposure of more than 92,000 patients) was submitted by the </w:t>
      </w:r>
      <w:r w:rsidR="000C61AA">
        <w:t>s</w:t>
      </w:r>
      <w:r w:rsidRPr="00290658">
        <w:t xml:space="preserve">ponsor as part of a response to questions from the ACCESS regulators. This document indicates that cases of </w:t>
      </w:r>
      <w:r w:rsidR="008F3717">
        <w:t>p</w:t>
      </w:r>
      <w:r w:rsidR="008F3717" w:rsidRPr="008F3717">
        <w:t xml:space="preserve">osterior </w:t>
      </w:r>
      <w:r w:rsidR="008F3717">
        <w:t>r</w:t>
      </w:r>
      <w:r w:rsidR="008F3717" w:rsidRPr="008F3717">
        <w:t xml:space="preserve">eversible </w:t>
      </w:r>
      <w:r w:rsidR="008F3717">
        <w:t>e</w:t>
      </w:r>
      <w:r w:rsidR="008F3717" w:rsidRPr="008F3717">
        <w:t xml:space="preserve">ncephalopathy </w:t>
      </w:r>
      <w:r w:rsidR="008F3717">
        <w:t>s</w:t>
      </w:r>
      <w:r w:rsidR="008F3717" w:rsidRPr="008F3717">
        <w:t xml:space="preserve">yndrome </w:t>
      </w:r>
      <w:r w:rsidR="008F3717" w:rsidRPr="00223A4B">
        <w:t>(</w:t>
      </w:r>
      <w:r w:rsidRPr="00223A4B">
        <w:t>PRES</w:t>
      </w:r>
      <w:r w:rsidR="008F3717" w:rsidRPr="00223A4B">
        <w:t>)</w:t>
      </w:r>
      <w:r w:rsidRPr="00223A4B">
        <w:t xml:space="preserve"> and</w:t>
      </w:r>
      <w:r w:rsidRPr="00290658">
        <w:t xml:space="preserve"> aortic dissection/aneurysm have been reported in the post</w:t>
      </w:r>
      <w:r w:rsidR="009D7115">
        <w:t>-</w:t>
      </w:r>
      <w:r w:rsidRPr="00290658">
        <w:t xml:space="preserve">market space. In response to a request for more information on such events, the </w:t>
      </w:r>
      <w:r w:rsidR="008F3717">
        <w:t>s</w:t>
      </w:r>
      <w:r w:rsidRPr="00290658">
        <w:t>ponsor provided the following information:</w:t>
      </w:r>
    </w:p>
    <w:p w14:paraId="2AD88DD2" w14:textId="16BE4B6F" w:rsidR="00E0683A" w:rsidRPr="000D2B4F" w:rsidRDefault="00223A4B" w:rsidP="000D2B4F">
      <w:pPr>
        <w:ind w:left="720"/>
      </w:pPr>
      <w:r>
        <w:t>‘</w:t>
      </w:r>
      <w:r w:rsidR="00E0683A" w:rsidRPr="000D2B4F">
        <w:t>Cumulatively, as of 31</w:t>
      </w:r>
      <w:r w:rsidR="000D2B4F">
        <w:t xml:space="preserve"> </w:t>
      </w:r>
      <w:r w:rsidR="00E0683A" w:rsidRPr="000D2B4F">
        <w:t>Jan</w:t>
      </w:r>
      <w:r w:rsidR="000D2B4F">
        <w:t xml:space="preserve">uary </w:t>
      </w:r>
      <w:r w:rsidR="00E0683A" w:rsidRPr="000D2B4F">
        <w:t xml:space="preserve">2024, there are 4 cases of </w:t>
      </w:r>
      <w:r w:rsidR="000D2B4F">
        <w:t>p</w:t>
      </w:r>
      <w:r w:rsidR="00E0683A" w:rsidRPr="000D2B4F">
        <w:t xml:space="preserve">osterior </w:t>
      </w:r>
      <w:r w:rsidR="000D2B4F">
        <w:t>r</w:t>
      </w:r>
      <w:r w:rsidR="00E0683A" w:rsidRPr="000D2B4F">
        <w:t xml:space="preserve">eversible </w:t>
      </w:r>
      <w:r w:rsidR="000D2B4F">
        <w:t>e</w:t>
      </w:r>
      <w:r w:rsidR="00E0683A" w:rsidRPr="000D2B4F">
        <w:t xml:space="preserve">ncephalopathy </w:t>
      </w:r>
      <w:r w:rsidR="000D2B4F">
        <w:t>s</w:t>
      </w:r>
      <w:r w:rsidR="00E0683A" w:rsidRPr="000D2B4F">
        <w:t xml:space="preserve">yndrome (PRES) reported in patients treated with </w:t>
      </w:r>
      <w:proofErr w:type="spellStart"/>
      <w:r w:rsidR="00E0683A" w:rsidRPr="000D2B4F">
        <w:t>fruquintinib</w:t>
      </w:r>
      <w:proofErr w:type="spellEnd"/>
      <w:r w:rsidR="00E0683A" w:rsidRPr="000D2B4F">
        <w:t xml:space="preserve">. Out of these 4 cases, 3 occurred in the post-marketing setting, and </w:t>
      </w:r>
      <w:r w:rsidR="000D2B4F">
        <w:t>one</w:t>
      </w:r>
      <w:r w:rsidR="00E0683A" w:rsidRPr="000D2B4F">
        <w:t xml:space="preserve"> case was from the FRESCO-2 clinical trial, which had been previously reported in the original application. All 4 events were serious, 3 reported from China and </w:t>
      </w:r>
      <w:r w:rsidR="000F33E7">
        <w:t>one</w:t>
      </w:r>
      <w:r w:rsidR="00E0683A" w:rsidRPr="000D2B4F">
        <w:t xml:space="preserve"> from Japan. Among the 3 post</w:t>
      </w:r>
      <w:r w:rsidR="000F33E7">
        <w:noBreakHyphen/>
      </w:r>
      <w:r w:rsidR="00E0683A" w:rsidRPr="000D2B4F">
        <w:t xml:space="preserve">marketing cases, 2 were spontaneous post-marketing reports in </w:t>
      </w:r>
      <w:r w:rsidR="00FB6EEF">
        <w:t xml:space="preserve">2 </w:t>
      </w:r>
      <w:r w:rsidR="005B76E8">
        <w:t>male patients</w:t>
      </w:r>
      <w:r w:rsidR="00E0683A" w:rsidRPr="000D2B4F">
        <w:t xml:space="preserve">, both with the event of PRES resolving at the time of the report. The third case was from the literature, occurring in a female patient with the PRES event occurring 10 days after </w:t>
      </w:r>
      <w:r w:rsidR="00E0683A" w:rsidRPr="000D2B4F">
        <w:lastRenderedPageBreak/>
        <w:t xml:space="preserve">taking </w:t>
      </w:r>
      <w:proofErr w:type="spellStart"/>
      <w:r w:rsidR="00E0683A" w:rsidRPr="000D2B4F">
        <w:t>fruquintinib</w:t>
      </w:r>
      <w:proofErr w:type="spellEnd"/>
      <w:r w:rsidR="00E0683A" w:rsidRPr="000D2B4F">
        <w:t xml:space="preserve">, and with the positive rechallenge. Three of these events were considered related to </w:t>
      </w:r>
      <w:proofErr w:type="spellStart"/>
      <w:r w:rsidR="00E0683A" w:rsidRPr="000D2B4F">
        <w:t>fruquintinib</w:t>
      </w:r>
      <w:proofErr w:type="spellEnd"/>
      <w:r w:rsidR="00E0683A" w:rsidRPr="000D2B4F">
        <w:t xml:space="preserve">. For one event, causality could not be clearly evaluated at the time of the report. The event of PRES is currently included as an </w:t>
      </w:r>
      <w:r w:rsidR="00C4370E">
        <w:t>adverse drug reaction</w:t>
      </w:r>
      <w:r w:rsidR="00E0683A" w:rsidRPr="000D2B4F">
        <w:t xml:space="preserve"> in the proposed </w:t>
      </w:r>
      <w:r w:rsidR="002E3E98">
        <w:t>P</w:t>
      </w:r>
      <w:r w:rsidR="00E0683A" w:rsidRPr="000D2B4F">
        <w:t xml:space="preserve">roduct </w:t>
      </w:r>
      <w:r w:rsidR="002E3E98">
        <w:t>I</w:t>
      </w:r>
      <w:r w:rsidR="00E0683A" w:rsidRPr="000D2B4F">
        <w:t>nformation.</w:t>
      </w:r>
      <w:r w:rsidR="00580C58">
        <w:t>’</w:t>
      </w:r>
    </w:p>
    <w:p w14:paraId="50C56B95" w14:textId="7731FF98" w:rsidR="00E0683A" w:rsidRPr="006B0C00" w:rsidRDefault="00E0683A" w:rsidP="006B0C00">
      <w:r w:rsidRPr="006B0C00">
        <w:t xml:space="preserve">Aortic dissection is not included in the </w:t>
      </w:r>
      <w:r w:rsidR="00580C58">
        <w:t>PI</w:t>
      </w:r>
      <w:r w:rsidRPr="006B0C00">
        <w:t xml:space="preserve"> as there has been only a single </w:t>
      </w:r>
      <w:r w:rsidR="002E3E98" w:rsidRPr="006B0C00">
        <w:t>case</w:t>
      </w:r>
      <w:r w:rsidR="006B0C00" w:rsidRPr="006B0C00">
        <w:t xml:space="preserve"> </w:t>
      </w:r>
      <w:r w:rsidRPr="006B0C00">
        <w:t>in the post-market space. However, aneurysms and artery dissections</w:t>
      </w:r>
      <w:r w:rsidR="006B0C00" w:rsidRPr="006B0C00">
        <w:t xml:space="preserve"> are</w:t>
      </w:r>
      <w:r w:rsidRPr="006B0C00">
        <w:t xml:space="preserve"> included in the R</w:t>
      </w:r>
      <w:r w:rsidR="002E3E98" w:rsidRPr="006B0C00">
        <w:t xml:space="preserve">isk </w:t>
      </w:r>
      <w:r w:rsidRPr="006B0C00">
        <w:t>M</w:t>
      </w:r>
      <w:r w:rsidR="002E3E98" w:rsidRPr="006B0C00">
        <w:t xml:space="preserve">anagement </w:t>
      </w:r>
      <w:r w:rsidRPr="006B0C00">
        <w:t>P</w:t>
      </w:r>
      <w:r w:rsidR="002E3E98" w:rsidRPr="006B0C00">
        <w:t>lan</w:t>
      </w:r>
      <w:r w:rsidRPr="006B0C00">
        <w:t xml:space="preserve"> (</w:t>
      </w:r>
      <w:r w:rsidR="002E3E98" w:rsidRPr="006B0C00">
        <w:t xml:space="preserve">RMP) </w:t>
      </w:r>
      <w:r w:rsidRPr="006B0C00">
        <w:t>as an important potential risk for monitoring.</w:t>
      </w:r>
    </w:p>
    <w:p w14:paraId="40BD191B" w14:textId="77777777" w:rsidR="00E0683A" w:rsidRPr="00E0683A" w:rsidRDefault="00E0683A" w:rsidP="009D7115">
      <w:pPr>
        <w:pStyle w:val="Heading5"/>
      </w:pPr>
      <w:r w:rsidRPr="00E0683A">
        <w:t>Real-world evidence</w:t>
      </w:r>
    </w:p>
    <w:p w14:paraId="29B15707" w14:textId="0EC0AE6E" w:rsidR="00E0683A" w:rsidRPr="00E0683A" w:rsidRDefault="00E0683A" w:rsidP="00E0683A">
      <w:r w:rsidRPr="00E0683A">
        <w:t>The review was conducted under ACCESS and Project Orbis arrangements. The evaluations did not specify whether real-world data</w:t>
      </w:r>
      <w:r w:rsidR="008B3835">
        <w:t xml:space="preserve"> </w:t>
      </w:r>
      <w:r w:rsidRPr="00E0683A">
        <w:t>or real-world evidence were included in the submission.</w:t>
      </w:r>
      <w:r w:rsidR="002B7980" w:rsidRPr="00E0683A">
        <w:rPr>
          <w:vertAlign w:val="superscript"/>
        </w:rPr>
        <w:footnoteReference w:id="33"/>
      </w:r>
    </w:p>
    <w:p w14:paraId="2858B006" w14:textId="77777777" w:rsidR="00C22214" w:rsidRDefault="00C22214" w:rsidP="00C22214">
      <w:pPr>
        <w:pStyle w:val="Heading3"/>
        <w:rPr>
          <w:lang w:eastAsia="en-AU"/>
        </w:rPr>
      </w:pPr>
      <w:bookmarkStart w:id="105" w:name="_Toc314842514"/>
      <w:bookmarkStart w:id="106" w:name="_Toc103679298"/>
      <w:bookmarkStart w:id="107" w:name="_Toc206082868"/>
      <w:r>
        <w:rPr>
          <w:lang w:eastAsia="en-AU"/>
        </w:rPr>
        <w:t>Risk management plan</w:t>
      </w:r>
      <w:bookmarkEnd w:id="105"/>
      <w:bookmarkEnd w:id="106"/>
      <w:bookmarkEnd w:id="107"/>
    </w:p>
    <w:p w14:paraId="4433ACFB" w14:textId="1673B1C8" w:rsidR="00E4612B" w:rsidRPr="00E4612B" w:rsidRDefault="00E4612B" w:rsidP="00E4612B">
      <w:bookmarkStart w:id="108" w:name="_Toc247691531"/>
      <w:bookmarkStart w:id="109" w:name="_Toc314842515"/>
      <w:r w:rsidRPr="00E4612B">
        <w:t>Takeda Pharmaceuticals Australia Pty Ltd has submitted</w:t>
      </w:r>
      <w:r w:rsidR="008B3835">
        <w:t xml:space="preserve"> European Union (</w:t>
      </w:r>
      <w:r w:rsidRPr="00E4612B">
        <w:t>EU</w:t>
      </w:r>
      <w:r w:rsidR="008B3835">
        <w:t xml:space="preserve">) </w:t>
      </w:r>
      <w:r w:rsidRPr="00E4612B">
        <w:t>RMP version 0.1 (dated 1</w:t>
      </w:r>
      <w:r>
        <w:t>0 </w:t>
      </w:r>
      <w:r w:rsidRPr="00E4612B">
        <w:t>May</w:t>
      </w:r>
      <w:r>
        <w:t> </w:t>
      </w:r>
      <w:r w:rsidRPr="00E4612B">
        <w:t xml:space="preserve">2023; DLP 24 June 2022) and </w:t>
      </w:r>
      <w:r>
        <w:t>Australia</w:t>
      </w:r>
      <w:r w:rsidR="004F13C4">
        <w:t>n</w:t>
      </w:r>
      <w:r>
        <w:t>-specific annex (ASA)</w:t>
      </w:r>
      <w:r w:rsidRPr="00E4612B">
        <w:t xml:space="preserve"> version 1.0 (dated 16</w:t>
      </w:r>
      <w:r>
        <w:t> </w:t>
      </w:r>
      <w:r w:rsidRPr="00E4612B">
        <w:t>August</w:t>
      </w:r>
      <w:r>
        <w:t> </w:t>
      </w:r>
      <w:r w:rsidRPr="00E4612B">
        <w:t xml:space="preserve">2023) in support of this application. In its response to </w:t>
      </w:r>
      <w:r w:rsidR="00221501">
        <w:t>q</w:t>
      </w:r>
      <w:r w:rsidRPr="00E4612B">
        <w:t>uestions sent 26</w:t>
      </w:r>
      <w:r w:rsidR="00221501">
        <w:t> </w:t>
      </w:r>
      <w:r w:rsidRPr="00E4612B">
        <w:t>February</w:t>
      </w:r>
      <w:r w:rsidR="00221501">
        <w:t> </w:t>
      </w:r>
      <w:r w:rsidRPr="00E4612B">
        <w:t xml:space="preserve">2024, the sponsor has submitted EU-RMP version 0.3 (dated 12 March 2024; DLP 24 June 2022) and ASA version 1.1 (dated 19 April 2024) in support </w:t>
      </w:r>
      <w:r w:rsidR="00221501">
        <w:t>o</w:t>
      </w:r>
      <w:r w:rsidRPr="00E4612B">
        <w:t>f its application.</w:t>
      </w:r>
    </w:p>
    <w:p w14:paraId="39F3CD1D" w14:textId="414A1E34" w:rsidR="0072003B" w:rsidRPr="00BD5DBD" w:rsidRDefault="00C22214" w:rsidP="00C22214">
      <w:pPr>
        <w:rPr>
          <w:szCs w:val="22"/>
        </w:rPr>
      </w:pPr>
      <w:r w:rsidRPr="00BD5DBD">
        <w:rPr>
          <w:szCs w:val="22"/>
        </w:rPr>
        <w:t>The summary of safety concerns and their associated risk monitoring and mitigation strategies are summarised in</w:t>
      </w:r>
      <w:r w:rsidR="003B149C">
        <w:rPr>
          <w:szCs w:val="22"/>
        </w:rPr>
        <w:t xml:space="preserve"> </w:t>
      </w:r>
      <w:r w:rsidR="003B149C" w:rsidRPr="003B149C">
        <w:rPr>
          <w:szCs w:val="22"/>
        </w:rPr>
        <w:fldChar w:fldCharType="begin"/>
      </w:r>
      <w:r w:rsidR="003B149C" w:rsidRPr="003B149C">
        <w:rPr>
          <w:szCs w:val="22"/>
        </w:rPr>
        <w:instrText xml:space="preserve"> REF _Ref97629131 \h </w:instrText>
      </w:r>
      <w:r w:rsidR="003B149C">
        <w:rPr>
          <w:szCs w:val="22"/>
        </w:rPr>
        <w:instrText xml:space="preserve"> \* MERGEFORMAT </w:instrText>
      </w:r>
      <w:r w:rsidR="003B149C" w:rsidRPr="003B149C">
        <w:rPr>
          <w:szCs w:val="22"/>
        </w:rPr>
      </w:r>
      <w:r w:rsidR="003B149C" w:rsidRPr="003B149C">
        <w:rPr>
          <w:szCs w:val="22"/>
        </w:rPr>
        <w:fldChar w:fldCharType="separate"/>
      </w:r>
      <w:r w:rsidR="00A407E4" w:rsidRPr="00A407E4">
        <w:rPr>
          <w:szCs w:val="22"/>
        </w:rPr>
        <w:t xml:space="preserve">Table </w:t>
      </w:r>
      <w:r w:rsidR="00A407E4" w:rsidRPr="00A407E4">
        <w:rPr>
          <w:noProof/>
          <w:szCs w:val="22"/>
        </w:rPr>
        <w:t>15</w:t>
      </w:r>
      <w:r w:rsidR="003B149C" w:rsidRPr="003B149C">
        <w:rPr>
          <w:szCs w:val="22"/>
        </w:rPr>
        <w:fldChar w:fldCharType="end"/>
      </w:r>
      <w:r w:rsidR="008C49C6" w:rsidRPr="003B149C">
        <w:rPr>
          <w:szCs w:val="22"/>
        </w:rPr>
        <w:t>.</w:t>
      </w:r>
      <w:r w:rsidR="0072003B" w:rsidRPr="00BD5DBD">
        <w:rPr>
          <w:szCs w:val="22"/>
        </w:rPr>
        <w:t xml:space="preserve"> The TGA</w:t>
      </w:r>
      <w:r w:rsidR="00C07551" w:rsidRPr="00BD5DBD">
        <w:rPr>
          <w:szCs w:val="22"/>
        </w:rPr>
        <w:t xml:space="preserve"> may</w:t>
      </w:r>
      <w:r w:rsidR="0072003B" w:rsidRPr="00BD5DBD">
        <w:rPr>
          <w:szCs w:val="22"/>
        </w:rPr>
        <w:t xml:space="preserve"> request an updated RMP at any stage of a product's </w:t>
      </w:r>
      <w:r w:rsidR="0062708F" w:rsidRPr="00BD5DBD">
        <w:rPr>
          <w:szCs w:val="22"/>
        </w:rPr>
        <w:t>life cycle</w:t>
      </w:r>
      <w:r w:rsidR="0072003B" w:rsidRPr="00BD5DBD">
        <w:rPr>
          <w:szCs w:val="22"/>
        </w:rPr>
        <w:t>, during both the pre-approval and post-approval phases.</w:t>
      </w:r>
    </w:p>
    <w:p w14:paraId="56B51A93" w14:textId="2F659CF9" w:rsidR="006A277A" w:rsidRDefault="00C22214" w:rsidP="00C22214">
      <w:pPr>
        <w:pStyle w:val="TableTitle"/>
      </w:pPr>
      <w:bookmarkStart w:id="110" w:name="_Ref97629131"/>
      <w:r>
        <w:t xml:space="preserve">Table </w:t>
      </w:r>
      <w:r w:rsidR="007F1E37">
        <w:fldChar w:fldCharType="begin"/>
      </w:r>
      <w:r w:rsidR="007F1E37">
        <w:instrText xml:space="preserve"> SEQ Table \* ARABIC </w:instrText>
      </w:r>
      <w:r w:rsidR="007F1E37">
        <w:fldChar w:fldCharType="separate"/>
      </w:r>
      <w:r w:rsidR="00A407E4">
        <w:rPr>
          <w:noProof/>
        </w:rPr>
        <w:t>15</w:t>
      </w:r>
      <w:r w:rsidR="007F1E37">
        <w:rPr>
          <w:noProof/>
        </w:rPr>
        <w:fldChar w:fldCharType="end"/>
      </w:r>
      <w:bookmarkEnd w:id="110"/>
      <w:r>
        <w:t>: Summary of safety concerns</w:t>
      </w:r>
    </w:p>
    <w:tbl>
      <w:tblPr>
        <w:tblStyle w:val="TableTGAblue2023"/>
        <w:tblW w:w="9469" w:type="dxa"/>
        <w:tblInd w:w="5" w:type="dxa"/>
        <w:tblLayout w:type="fixed"/>
        <w:tblLook w:val="04A0" w:firstRow="1" w:lastRow="0" w:firstColumn="1" w:lastColumn="0" w:noHBand="0" w:noVBand="1"/>
      </w:tblPr>
      <w:tblGrid>
        <w:gridCol w:w="1327"/>
        <w:gridCol w:w="3199"/>
        <w:gridCol w:w="1235"/>
        <w:gridCol w:w="1236"/>
        <w:gridCol w:w="1236"/>
        <w:gridCol w:w="1236"/>
      </w:tblGrid>
      <w:tr w:rsidR="0062708F" w:rsidRPr="00F706AB" w14:paraId="3D28A6CA" w14:textId="77777777" w:rsidTr="00BF0840">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526" w:type="dxa"/>
            <w:gridSpan w:val="2"/>
            <w:vMerge w:val="restart"/>
          </w:tcPr>
          <w:p w14:paraId="74E8D1F6" w14:textId="77777777" w:rsidR="0062708F" w:rsidRPr="00E80143" w:rsidRDefault="0062708F" w:rsidP="00CC5972">
            <w:pPr>
              <w:pStyle w:val="Tabletext0"/>
              <w:rPr>
                <w:b w:val="0"/>
                <w:kern w:val="0"/>
                <w:sz w:val="18"/>
                <w:szCs w:val="18"/>
              </w:rPr>
            </w:pPr>
            <w:r w:rsidRPr="00E80143">
              <w:rPr>
                <w:kern w:val="0"/>
                <w:sz w:val="18"/>
                <w:szCs w:val="18"/>
              </w:rPr>
              <w:t>Summary of safety concerns</w:t>
            </w:r>
          </w:p>
        </w:tc>
        <w:tc>
          <w:tcPr>
            <w:tcW w:w="2471" w:type="dxa"/>
            <w:gridSpan w:val="2"/>
          </w:tcPr>
          <w:p w14:paraId="22CBBBD0" w14:textId="77777777" w:rsidR="0062708F" w:rsidRPr="00E80143" w:rsidRDefault="0062708F" w:rsidP="00BF0840">
            <w:pPr>
              <w:pStyle w:val="Tabletext0"/>
              <w:cnfStyle w:val="100000000000" w:firstRow="1" w:lastRow="0" w:firstColumn="0" w:lastColumn="0" w:oddVBand="0" w:evenVBand="0" w:oddHBand="0" w:evenHBand="0" w:firstRowFirstColumn="0" w:firstRowLastColumn="0" w:lastRowFirstColumn="0" w:lastRowLastColumn="0"/>
              <w:rPr>
                <w:b w:val="0"/>
                <w:kern w:val="0"/>
                <w:sz w:val="18"/>
                <w:szCs w:val="18"/>
              </w:rPr>
            </w:pPr>
            <w:r w:rsidRPr="00E80143">
              <w:rPr>
                <w:kern w:val="0"/>
                <w:sz w:val="18"/>
                <w:szCs w:val="18"/>
              </w:rPr>
              <w:t>Pharmacovigilance</w:t>
            </w:r>
          </w:p>
        </w:tc>
        <w:tc>
          <w:tcPr>
            <w:tcW w:w="2472" w:type="dxa"/>
            <w:gridSpan w:val="2"/>
          </w:tcPr>
          <w:p w14:paraId="7CF0CE56" w14:textId="77777777" w:rsidR="0062708F" w:rsidRPr="00E80143" w:rsidRDefault="0062708F" w:rsidP="00BF0840">
            <w:pPr>
              <w:pStyle w:val="Tabletext0"/>
              <w:cnfStyle w:val="100000000000" w:firstRow="1" w:lastRow="0" w:firstColumn="0" w:lastColumn="0" w:oddVBand="0" w:evenVBand="0" w:oddHBand="0" w:evenHBand="0" w:firstRowFirstColumn="0" w:firstRowLastColumn="0" w:lastRowFirstColumn="0" w:lastRowLastColumn="0"/>
              <w:rPr>
                <w:b w:val="0"/>
                <w:kern w:val="0"/>
                <w:sz w:val="18"/>
                <w:szCs w:val="18"/>
              </w:rPr>
            </w:pPr>
            <w:r w:rsidRPr="00E80143">
              <w:rPr>
                <w:kern w:val="0"/>
                <w:sz w:val="18"/>
                <w:szCs w:val="18"/>
              </w:rPr>
              <w:t>Risk Minimisation</w:t>
            </w:r>
          </w:p>
        </w:tc>
      </w:tr>
      <w:tr w:rsidR="0062708F" w:rsidRPr="00F706AB" w14:paraId="455163BB" w14:textId="77777777" w:rsidTr="00E80143">
        <w:trPr>
          <w:trHeight w:val="150"/>
        </w:trPr>
        <w:tc>
          <w:tcPr>
            <w:cnfStyle w:val="001000000000" w:firstRow="0" w:lastRow="0" w:firstColumn="1" w:lastColumn="0" w:oddVBand="0" w:evenVBand="0" w:oddHBand="0" w:evenHBand="0" w:firstRowFirstColumn="0" w:firstRowLastColumn="0" w:lastRowFirstColumn="0" w:lastRowLastColumn="0"/>
            <w:tcW w:w="4526" w:type="dxa"/>
            <w:gridSpan w:val="2"/>
            <w:vMerge/>
          </w:tcPr>
          <w:p w14:paraId="5B935C70" w14:textId="77777777" w:rsidR="0062708F" w:rsidRPr="00E80143" w:rsidRDefault="0062708F" w:rsidP="00CC5972">
            <w:pPr>
              <w:pStyle w:val="Tabletext0"/>
              <w:rPr>
                <w:b/>
                <w:kern w:val="0"/>
                <w:sz w:val="18"/>
                <w:szCs w:val="18"/>
              </w:rPr>
            </w:pPr>
          </w:p>
        </w:tc>
        <w:tc>
          <w:tcPr>
            <w:tcW w:w="1235" w:type="dxa"/>
            <w:shd w:val="clear" w:color="auto" w:fill="DEEAF6" w:themeFill="accent5" w:themeFillTint="33"/>
          </w:tcPr>
          <w:p w14:paraId="3F4E1259" w14:textId="77777777" w:rsidR="0062708F" w:rsidRPr="00E80143" w:rsidRDefault="0062708F" w:rsidP="00BF0840">
            <w:pPr>
              <w:pStyle w:val="Tabletext0"/>
              <w:keepNext/>
              <w:cnfStyle w:val="000000000000" w:firstRow="0" w:lastRow="0" w:firstColumn="0" w:lastColumn="0" w:oddVBand="0" w:evenVBand="0" w:oddHBand="0" w:evenHBand="0" w:firstRowFirstColumn="0" w:firstRowLastColumn="0" w:lastRowFirstColumn="0" w:lastRowLastColumn="0"/>
              <w:rPr>
                <w:b/>
                <w:color w:val="263287"/>
                <w:kern w:val="0"/>
                <w:sz w:val="18"/>
                <w:szCs w:val="18"/>
              </w:rPr>
            </w:pPr>
            <w:r w:rsidRPr="00E80143">
              <w:rPr>
                <w:b/>
                <w:color w:val="263287"/>
                <w:kern w:val="0"/>
                <w:sz w:val="18"/>
                <w:szCs w:val="18"/>
              </w:rPr>
              <w:t>Routine</w:t>
            </w:r>
          </w:p>
        </w:tc>
        <w:tc>
          <w:tcPr>
            <w:tcW w:w="1236" w:type="dxa"/>
            <w:shd w:val="clear" w:color="auto" w:fill="DEEAF6" w:themeFill="accent5" w:themeFillTint="33"/>
          </w:tcPr>
          <w:p w14:paraId="3122BC1F" w14:textId="77777777" w:rsidR="0062708F" w:rsidRPr="00E80143" w:rsidRDefault="0062708F" w:rsidP="00BF0840">
            <w:pPr>
              <w:pStyle w:val="Tabletext0"/>
              <w:keepNext/>
              <w:cnfStyle w:val="000000000000" w:firstRow="0" w:lastRow="0" w:firstColumn="0" w:lastColumn="0" w:oddVBand="0" w:evenVBand="0" w:oddHBand="0" w:evenHBand="0" w:firstRowFirstColumn="0" w:firstRowLastColumn="0" w:lastRowFirstColumn="0" w:lastRowLastColumn="0"/>
              <w:rPr>
                <w:b/>
                <w:color w:val="263287"/>
                <w:kern w:val="0"/>
                <w:sz w:val="18"/>
                <w:szCs w:val="18"/>
              </w:rPr>
            </w:pPr>
            <w:r w:rsidRPr="00E80143">
              <w:rPr>
                <w:b/>
                <w:color w:val="263287"/>
                <w:kern w:val="0"/>
                <w:sz w:val="18"/>
                <w:szCs w:val="18"/>
              </w:rPr>
              <w:t>Additional</w:t>
            </w:r>
          </w:p>
        </w:tc>
        <w:tc>
          <w:tcPr>
            <w:tcW w:w="1236" w:type="dxa"/>
            <w:shd w:val="clear" w:color="auto" w:fill="DEEAF6" w:themeFill="accent5" w:themeFillTint="33"/>
          </w:tcPr>
          <w:p w14:paraId="1C97B84C" w14:textId="77777777" w:rsidR="0062708F" w:rsidRPr="00E80143" w:rsidRDefault="0062708F" w:rsidP="00BF0840">
            <w:pPr>
              <w:pStyle w:val="Tabletext0"/>
              <w:keepNext/>
              <w:cnfStyle w:val="000000000000" w:firstRow="0" w:lastRow="0" w:firstColumn="0" w:lastColumn="0" w:oddVBand="0" w:evenVBand="0" w:oddHBand="0" w:evenHBand="0" w:firstRowFirstColumn="0" w:firstRowLastColumn="0" w:lastRowFirstColumn="0" w:lastRowLastColumn="0"/>
              <w:rPr>
                <w:b/>
                <w:color w:val="263287"/>
                <w:kern w:val="0"/>
                <w:sz w:val="18"/>
                <w:szCs w:val="18"/>
              </w:rPr>
            </w:pPr>
            <w:r w:rsidRPr="00E80143">
              <w:rPr>
                <w:b/>
                <w:color w:val="263287"/>
                <w:kern w:val="0"/>
                <w:sz w:val="18"/>
                <w:szCs w:val="18"/>
              </w:rPr>
              <w:t>Routine</w:t>
            </w:r>
          </w:p>
        </w:tc>
        <w:tc>
          <w:tcPr>
            <w:tcW w:w="1236" w:type="dxa"/>
            <w:shd w:val="clear" w:color="auto" w:fill="DEEAF6" w:themeFill="accent5" w:themeFillTint="33"/>
          </w:tcPr>
          <w:p w14:paraId="0385F695" w14:textId="77777777" w:rsidR="0062708F" w:rsidRPr="00E80143" w:rsidRDefault="0062708F" w:rsidP="00BF0840">
            <w:pPr>
              <w:pStyle w:val="Tabletext0"/>
              <w:keepNext/>
              <w:cnfStyle w:val="000000000000" w:firstRow="0" w:lastRow="0" w:firstColumn="0" w:lastColumn="0" w:oddVBand="0" w:evenVBand="0" w:oddHBand="0" w:evenHBand="0" w:firstRowFirstColumn="0" w:firstRowLastColumn="0" w:lastRowFirstColumn="0" w:lastRowLastColumn="0"/>
              <w:rPr>
                <w:b/>
                <w:color w:val="263287"/>
                <w:kern w:val="0"/>
                <w:sz w:val="18"/>
                <w:szCs w:val="18"/>
              </w:rPr>
            </w:pPr>
            <w:r w:rsidRPr="00E80143">
              <w:rPr>
                <w:b/>
                <w:color w:val="263287"/>
                <w:kern w:val="0"/>
                <w:sz w:val="18"/>
                <w:szCs w:val="18"/>
              </w:rPr>
              <w:t>Additional</w:t>
            </w:r>
          </w:p>
        </w:tc>
      </w:tr>
      <w:tr w:rsidR="00BF0840" w:rsidRPr="00F706AB" w14:paraId="65832F22" w14:textId="77777777" w:rsidTr="00BF0840">
        <w:trPr>
          <w:trHeight w:val="137"/>
        </w:trPr>
        <w:tc>
          <w:tcPr>
            <w:cnfStyle w:val="001000000000" w:firstRow="0" w:lastRow="0" w:firstColumn="1" w:lastColumn="0" w:oddVBand="0" w:evenVBand="0" w:oddHBand="0" w:evenHBand="0" w:firstRowFirstColumn="0" w:firstRowLastColumn="0" w:lastRowFirstColumn="0" w:lastRowLastColumn="0"/>
            <w:tcW w:w="1327" w:type="dxa"/>
            <w:vMerge w:val="restart"/>
          </w:tcPr>
          <w:p w14:paraId="5E6BE036" w14:textId="77777777" w:rsidR="0062708F" w:rsidRPr="00E80143" w:rsidRDefault="0062708F" w:rsidP="00CC5972">
            <w:pPr>
              <w:pStyle w:val="Tabletext0"/>
              <w:rPr>
                <w:b/>
                <w:kern w:val="0"/>
                <w:sz w:val="18"/>
                <w:szCs w:val="18"/>
              </w:rPr>
            </w:pPr>
            <w:r w:rsidRPr="00E80143">
              <w:rPr>
                <w:b/>
                <w:kern w:val="0"/>
                <w:sz w:val="18"/>
                <w:szCs w:val="18"/>
              </w:rPr>
              <w:t>Important identified risks</w:t>
            </w:r>
          </w:p>
        </w:tc>
        <w:tc>
          <w:tcPr>
            <w:tcW w:w="3199" w:type="dxa"/>
          </w:tcPr>
          <w:p w14:paraId="6B856B4E"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Haemorrhage</w:t>
            </w:r>
          </w:p>
        </w:tc>
        <w:tc>
          <w:tcPr>
            <w:tcW w:w="1235" w:type="dxa"/>
          </w:tcPr>
          <w:p w14:paraId="78727A8E"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5AD49717"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28B530C9"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4A1D6A48"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49053C50" w14:textId="77777777" w:rsidTr="00BF0840">
        <w:trPr>
          <w:trHeight w:val="94"/>
        </w:trPr>
        <w:tc>
          <w:tcPr>
            <w:cnfStyle w:val="001000000000" w:firstRow="0" w:lastRow="0" w:firstColumn="1" w:lastColumn="0" w:oddVBand="0" w:evenVBand="0" w:oddHBand="0" w:evenHBand="0" w:firstRowFirstColumn="0" w:firstRowLastColumn="0" w:lastRowFirstColumn="0" w:lastRowLastColumn="0"/>
            <w:tcW w:w="1327" w:type="dxa"/>
            <w:vMerge/>
          </w:tcPr>
          <w:p w14:paraId="74B42987" w14:textId="77777777" w:rsidR="0062708F" w:rsidRPr="00E80143" w:rsidRDefault="0062708F" w:rsidP="00CC5972">
            <w:pPr>
              <w:pStyle w:val="Tabletext0"/>
              <w:rPr>
                <w:b/>
                <w:kern w:val="0"/>
                <w:sz w:val="18"/>
                <w:szCs w:val="18"/>
              </w:rPr>
            </w:pPr>
          </w:p>
        </w:tc>
        <w:tc>
          <w:tcPr>
            <w:tcW w:w="3199" w:type="dxa"/>
          </w:tcPr>
          <w:p w14:paraId="3EAA1BC0"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Hypertension</w:t>
            </w:r>
          </w:p>
        </w:tc>
        <w:tc>
          <w:tcPr>
            <w:tcW w:w="1235" w:type="dxa"/>
          </w:tcPr>
          <w:p w14:paraId="1EF76A65"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14B96FC6"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r w:rsidRPr="00E80143">
              <w:rPr>
                <w:kern w:val="0"/>
                <w:sz w:val="18"/>
                <w:szCs w:val="18"/>
              </w:rPr>
              <w:t>*</w:t>
            </w:r>
          </w:p>
        </w:tc>
        <w:tc>
          <w:tcPr>
            <w:tcW w:w="1236" w:type="dxa"/>
          </w:tcPr>
          <w:p w14:paraId="2901B28F"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412BD132"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1E0FCA69" w14:textId="77777777" w:rsidTr="00BF0840">
        <w:trPr>
          <w:trHeight w:val="94"/>
        </w:trPr>
        <w:tc>
          <w:tcPr>
            <w:cnfStyle w:val="001000000000" w:firstRow="0" w:lastRow="0" w:firstColumn="1" w:lastColumn="0" w:oddVBand="0" w:evenVBand="0" w:oddHBand="0" w:evenHBand="0" w:firstRowFirstColumn="0" w:firstRowLastColumn="0" w:lastRowFirstColumn="0" w:lastRowLastColumn="0"/>
            <w:tcW w:w="1327" w:type="dxa"/>
            <w:vMerge/>
          </w:tcPr>
          <w:p w14:paraId="68E79809" w14:textId="77777777" w:rsidR="0062708F" w:rsidRPr="00E80143" w:rsidRDefault="0062708F" w:rsidP="00CC5972">
            <w:pPr>
              <w:pStyle w:val="Tabletext0"/>
              <w:rPr>
                <w:b/>
                <w:kern w:val="0"/>
                <w:sz w:val="18"/>
                <w:szCs w:val="18"/>
              </w:rPr>
            </w:pPr>
          </w:p>
        </w:tc>
        <w:tc>
          <w:tcPr>
            <w:tcW w:w="3199" w:type="dxa"/>
          </w:tcPr>
          <w:p w14:paraId="17C07C58"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Posterior reversible encephalopathy syndrome (PRES)</w:t>
            </w:r>
          </w:p>
        </w:tc>
        <w:tc>
          <w:tcPr>
            <w:tcW w:w="1235" w:type="dxa"/>
          </w:tcPr>
          <w:p w14:paraId="4E6F0519"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142374B7"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2F4141C9"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7585836C"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61B6D184" w14:textId="77777777" w:rsidTr="00BF0840">
        <w:trPr>
          <w:trHeight w:val="94"/>
        </w:trPr>
        <w:tc>
          <w:tcPr>
            <w:cnfStyle w:val="001000000000" w:firstRow="0" w:lastRow="0" w:firstColumn="1" w:lastColumn="0" w:oddVBand="0" w:evenVBand="0" w:oddHBand="0" w:evenHBand="0" w:firstRowFirstColumn="0" w:firstRowLastColumn="0" w:lastRowFirstColumn="0" w:lastRowLastColumn="0"/>
            <w:tcW w:w="1327" w:type="dxa"/>
            <w:vMerge/>
          </w:tcPr>
          <w:p w14:paraId="5ED4E181" w14:textId="77777777" w:rsidR="0062708F" w:rsidRPr="00E80143" w:rsidRDefault="0062708F" w:rsidP="00CC5972">
            <w:pPr>
              <w:pStyle w:val="Tabletext0"/>
              <w:rPr>
                <w:b/>
                <w:kern w:val="0"/>
                <w:sz w:val="18"/>
                <w:szCs w:val="18"/>
              </w:rPr>
            </w:pPr>
          </w:p>
        </w:tc>
        <w:tc>
          <w:tcPr>
            <w:tcW w:w="3199" w:type="dxa"/>
          </w:tcPr>
          <w:p w14:paraId="27DBF705"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Gastrointestinal perforation</w:t>
            </w:r>
          </w:p>
        </w:tc>
        <w:tc>
          <w:tcPr>
            <w:tcW w:w="1235" w:type="dxa"/>
          </w:tcPr>
          <w:p w14:paraId="3CA03689"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6958F6B1"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14FCC4BD"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4014315F"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231F767F" w14:textId="77777777" w:rsidTr="00BF0840">
        <w:trPr>
          <w:trHeight w:val="94"/>
        </w:trPr>
        <w:tc>
          <w:tcPr>
            <w:cnfStyle w:val="001000000000" w:firstRow="0" w:lastRow="0" w:firstColumn="1" w:lastColumn="0" w:oddVBand="0" w:evenVBand="0" w:oddHBand="0" w:evenHBand="0" w:firstRowFirstColumn="0" w:firstRowLastColumn="0" w:lastRowFirstColumn="0" w:lastRowLastColumn="0"/>
            <w:tcW w:w="1327" w:type="dxa"/>
            <w:vMerge/>
          </w:tcPr>
          <w:p w14:paraId="3D90A426" w14:textId="77777777" w:rsidR="0062708F" w:rsidRPr="00E80143" w:rsidRDefault="0062708F" w:rsidP="00CC5972">
            <w:pPr>
              <w:pStyle w:val="Tabletext0"/>
              <w:rPr>
                <w:b/>
                <w:kern w:val="0"/>
                <w:sz w:val="18"/>
                <w:szCs w:val="18"/>
              </w:rPr>
            </w:pPr>
          </w:p>
        </w:tc>
        <w:tc>
          <w:tcPr>
            <w:tcW w:w="3199" w:type="dxa"/>
          </w:tcPr>
          <w:p w14:paraId="70F60E8F"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 xml:space="preserve">Palmar-plantar </w:t>
            </w:r>
            <w:proofErr w:type="spellStart"/>
            <w:r w:rsidRPr="00E80143">
              <w:rPr>
                <w:kern w:val="0"/>
                <w:sz w:val="18"/>
                <w:szCs w:val="18"/>
              </w:rPr>
              <w:t>Erythrodysaesthesia</w:t>
            </w:r>
            <w:proofErr w:type="spellEnd"/>
            <w:r w:rsidRPr="00E80143">
              <w:rPr>
                <w:kern w:val="0"/>
                <w:sz w:val="18"/>
                <w:szCs w:val="18"/>
              </w:rPr>
              <w:t xml:space="preserve"> Syndrome (PPES)</w:t>
            </w:r>
          </w:p>
        </w:tc>
        <w:tc>
          <w:tcPr>
            <w:tcW w:w="1235" w:type="dxa"/>
          </w:tcPr>
          <w:p w14:paraId="2A996C1A"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5AD4E781"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34C21356"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146C8B0F"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3DEBBD07" w14:textId="77777777" w:rsidTr="00BF0840">
        <w:trPr>
          <w:trHeight w:val="187"/>
        </w:trPr>
        <w:tc>
          <w:tcPr>
            <w:cnfStyle w:val="001000000000" w:firstRow="0" w:lastRow="0" w:firstColumn="1" w:lastColumn="0" w:oddVBand="0" w:evenVBand="0" w:oddHBand="0" w:evenHBand="0" w:firstRowFirstColumn="0" w:firstRowLastColumn="0" w:lastRowFirstColumn="0" w:lastRowLastColumn="0"/>
            <w:tcW w:w="1327" w:type="dxa"/>
            <w:vMerge/>
          </w:tcPr>
          <w:p w14:paraId="0911BAE2" w14:textId="77777777" w:rsidR="0062708F" w:rsidRPr="00E80143" w:rsidRDefault="0062708F" w:rsidP="00CC5972">
            <w:pPr>
              <w:pStyle w:val="Tabletext0"/>
              <w:rPr>
                <w:b/>
                <w:kern w:val="0"/>
                <w:sz w:val="18"/>
                <w:szCs w:val="18"/>
              </w:rPr>
            </w:pPr>
          </w:p>
        </w:tc>
        <w:tc>
          <w:tcPr>
            <w:tcW w:w="3199" w:type="dxa"/>
          </w:tcPr>
          <w:p w14:paraId="083B344A"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Proteinuria</w:t>
            </w:r>
          </w:p>
        </w:tc>
        <w:tc>
          <w:tcPr>
            <w:tcW w:w="1235" w:type="dxa"/>
          </w:tcPr>
          <w:p w14:paraId="6251B999"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7449FDB1"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55966AB5"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068881E4"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107F05FC" w14:textId="77777777" w:rsidTr="00BF0840">
        <w:trPr>
          <w:trHeight w:val="159"/>
        </w:trPr>
        <w:tc>
          <w:tcPr>
            <w:cnfStyle w:val="001000000000" w:firstRow="0" w:lastRow="0" w:firstColumn="1" w:lastColumn="0" w:oddVBand="0" w:evenVBand="0" w:oddHBand="0" w:evenHBand="0" w:firstRowFirstColumn="0" w:firstRowLastColumn="0" w:lastRowFirstColumn="0" w:lastRowLastColumn="0"/>
            <w:tcW w:w="1327" w:type="dxa"/>
            <w:vMerge w:val="restart"/>
          </w:tcPr>
          <w:p w14:paraId="17BF8E09" w14:textId="77777777" w:rsidR="0062708F" w:rsidRPr="00E80143" w:rsidRDefault="0062708F" w:rsidP="00CC5972">
            <w:pPr>
              <w:pStyle w:val="Tabletext0"/>
              <w:rPr>
                <w:b/>
                <w:kern w:val="0"/>
                <w:sz w:val="18"/>
                <w:szCs w:val="18"/>
              </w:rPr>
            </w:pPr>
            <w:r w:rsidRPr="00E80143">
              <w:rPr>
                <w:b/>
                <w:kern w:val="0"/>
                <w:sz w:val="18"/>
                <w:szCs w:val="18"/>
              </w:rPr>
              <w:t>Important potential risks</w:t>
            </w:r>
          </w:p>
        </w:tc>
        <w:tc>
          <w:tcPr>
            <w:tcW w:w="3199" w:type="dxa"/>
          </w:tcPr>
          <w:p w14:paraId="2AB8B69A"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Arterial thromboembolic events</w:t>
            </w:r>
          </w:p>
        </w:tc>
        <w:tc>
          <w:tcPr>
            <w:tcW w:w="1235" w:type="dxa"/>
          </w:tcPr>
          <w:p w14:paraId="0B4208CA"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7F57F4DC"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6C59A710"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466AF67D"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18A6E802" w14:textId="77777777" w:rsidTr="00BF0840">
        <w:trPr>
          <w:trHeight w:val="122"/>
        </w:trPr>
        <w:tc>
          <w:tcPr>
            <w:cnfStyle w:val="001000000000" w:firstRow="0" w:lastRow="0" w:firstColumn="1" w:lastColumn="0" w:oddVBand="0" w:evenVBand="0" w:oddHBand="0" w:evenHBand="0" w:firstRowFirstColumn="0" w:firstRowLastColumn="0" w:lastRowFirstColumn="0" w:lastRowLastColumn="0"/>
            <w:tcW w:w="1327" w:type="dxa"/>
            <w:vMerge/>
          </w:tcPr>
          <w:p w14:paraId="74154F96" w14:textId="77777777" w:rsidR="0062708F" w:rsidRPr="00E80143" w:rsidRDefault="0062708F" w:rsidP="00CC5972">
            <w:pPr>
              <w:pStyle w:val="Tabletext0"/>
              <w:rPr>
                <w:b/>
                <w:kern w:val="0"/>
                <w:sz w:val="18"/>
                <w:szCs w:val="18"/>
              </w:rPr>
            </w:pPr>
          </w:p>
        </w:tc>
        <w:tc>
          <w:tcPr>
            <w:tcW w:w="3199" w:type="dxa"/>
          </w:tcPr>
          <w:p w14:paraId="709B32C9"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Delayed wound healing</w:t>
            </w:r>
          </w:p>
        </w:tc>
        <w:tc>
          <w:tcPr>
            <w:tcW w:w="1235" w:type="dxa"/>
          </w:tcPr>
          <w:p w14:paraId="0CF84E9F"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2CECD825"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152CC7A1"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71F32A33"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2D5F4B71" w14:textId="77777777" w:rsidTr="00BF0840">
        <w:trPr>
          <w:trHeight w:val="112"/>
        </w:trPr>
        <w:tc>
          <w:tcPr>
            <w:cnfStyle w:val="001000000000" w:firstRow="0" w:lastRow="0" w:firstColumn="1" w:lastColumn="0" w:oddVBand="0" w:evenVBand="0" w:oddHBand="0" w:evenHBand="0" w:firstRowFirstColumn="0" w:firstRowLastColumn="0" w:lastRowFirstColumn="0" w:lastRowLastColumn="0"/>
            <w:tcW w:w="1327" w:type="dxa"/>
            <w:vMerge/>
          </w:tcPr>
          <w:p w14:paraId="561F4368" w14:textId="77777777" w:rsidR="0062708F" w:rsidRPr="00E80143" w:rsidRDefault="0062708F" w:rsidP="00CC5972">
            <w:pPr>
              <w:pStyle w:val="Tabletext0"/>
              <w:rPr>
                <w:b/>
                <w:kern w:val="0"/>
                <w:sz w:val="18"/>
                <w:szCs w:val="18"/>
              </w:rPr>
            </w:pPr>
          </w:p>
        </w:tc>
        <w:tc>
          <w:tcPr>
            <w:tcW w:w="3199" w:type="dxa"/>
          </w:tcPr>
          <w:p w14:paraId="0869CCD8"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Aneurysms and artery dissections</w:t>
            </w:r>
          </w:p>
        </w:tc>
        <w:tc>
          <w:tcPr>
            <w:tcW w:w="1235" w:type="dxa"/>
          </w:tcPr>
          <w:p w14:paraId="5DE428B3"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sym w:font="Wingdings" w:char="F0FC"/>
            </w:r>
          </w:p>
        </w:tc>
        <w:tc>
          <w:tcPr>
            <w:tcW w:w="1236" w:type="dxa"/>
          </w:tcPr>
          <w:p w14:paraId="14FA37A4"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5E355589"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3F1F4322"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r w:rsidR="00BF0840" w:rsidRPr="00F706AB" w14:paraId="37AD911F" w14:textId="77777777" w:rsidTr="00E80143">
        <w:trPr>
          <w:trHeight w:val="178"/>
        </w:trPr>
        <w:tc>
          <w:tcPr>
            <w:cnfStyle w:val="001000000000" w:firstRow="0" w:lastRow="0" w:firstColumn="1" w:lastColumn="0" w:oddVBand="0" w:evenVBand="0" w:oddHBand="0" w:evenHBand="0" w:firstRowFirstColumn="0" w:firstRowLastColumn="0" w:lastRowFirstColumn="0" w:lastRowLastColumn="0"/>
            <w:tcW w:w="1327" w:type="dxa"/>
          </w:tcPr>
          <w:p w14:paraId="3BDDEA98" w14:textId="77777777" w:rsidR="0062708F" w:rsidRPr="00E80143" w:rsidRDefault="0062708F" w:rsidP="00CC5972">
            <w:pPr>
              <w:pStyle w:val="Tabletext0"/>
              <w:rPr>
                <w:b/>
                <w:kern w:val="0"/>
                <w:sz w:val="18"/>
                <w:szCs w:val="18"/>
              </w:rPr>
            </w:pPr>
            <w:r w:rsidRPr="00E80143">
              <w:rPr>
                <w:b/>
                <w:kern w:val="0"/>
                <w:sz w:val="18"/>
                <w:szCs w:val="18"/>
              </w:rPr>
              <w:t>Missing information</w:t>
            </w:r>
          </w:p>
        </w:tc>
        <w:tc>
          <w:tcPr>
            <w:tcW w:w="3199" w:type="dxa"/>
          </w:tcPr>
          <w:p w14:paraId="4B7D9A11" w14:textId="77777777" w:rsidR="0062708F" w:rsidRPr="00E80143" w:rsidRDefault="0062708F" w:rsidP="00CC5972">
            <w:pPr>
              <w:pStyle w:val="Tabletext0"/>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None</w:t>
            </w:r>
          </w:p>
        </w:tc>
        <w:tc>
          <w:tcPr>
            <w:tcW w:w="1235" w:type="dxa"/>
          </w:tcPr>
          <w:p w14:paraId="2C8C57A4"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1F0B03C6"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049C8A91"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c>
          <w:tcPr>
            <w:tcW w:w="1236" w:type="dxa"/>
          </w:tcPr>
          <w:p w14:paraId="047C82AB" w14:textId="77777777" w:rsidR="0062708F" w:rsidRPr="00E80143" w:rsidRDefault="0062708F" w:rsidP="00CC5972">
            <w:pPr>
              <w:pStyle w:val="Tabletext0"/>
              <w:jc w:val="center"/>
              <w:cnfStyle w:val="000000000000" w:firstRow="0" w:lastRow="0" w:firstColumn="0" w:lastColumn="0" w:oddVBand="0" w:evenVBand="0" w:oddHBand="0" w:evenHBand="0" w:firstRowFirstColumn="0" w:firstRowLastColumn="0" w:lastRowFirstColumn="0" w:lastRowLastColumn="0"/>
              <w:rPr>
                <w:kern w:val="0"/>
                <w:sz w:val="18"/>
                <w:szCs w:val="18"/>
              </w:rPr>
            </w:pPr>
            <w:r w:rsidRPr="00E80143">
              <w:rPr>
                <w:kern w:val="0"/>
                <w:sz w:val="18"/>
                <w:szCs w:val="18"/>
              </w:rPr>
              <w:t>–</w:t>
            </w:r>
          </w:p>
        </w:tc>
      </w:tr>
    </w:tbl>
    <w:p w14:paraId="18A5122E" w14:textId="77777777" w:rsidR="0062708F" w:rsidRPr="00F706AB" w:rsidRDefault="0062708F" w:rsidP="00E80143">
      <w:pPr>
        <w:pStyle w:val="TableDescription"/>
      </w:pPr>
      <w:r w:rsidRPr="00F706AB">
        <w:lastRenderedPageBreak/>
        <w:t>*US Study TAK-113-4002 (ASA only)</w:t>
      </w:r>
    </w:p>
    <w:p w14:paraId="16E5DFAA" w14:textId="02E005E5" w:rsidR="00032A0F" w:rsidRDefault="00032A0F" w:rsidP="003B149C">
      <w:pPr>
        <w:rPr>
          <w:rFonts w:eastAsia="Cambria" w:cs="Times New Roman"/>
          <w:i/>
          <w:color w:val="007099"/>
          <w:szCs w:val="22"/>
        </w:rPr>
      </w:pPr>
      <w:r>
        <w:t>The RMP evaluation recommended conditions of registration relating to the versions of the risk management plan, requirement for periodic safety update reports, and inclusion of the medicine in the Black Triangle Scheme.</w:t>
      </w:r>
    </w:p>
    <w:p w14:paraId="72AA379E" w14:textId="2CE9CB3F" w:rsidR="00CA18B4" w:rsidRPr="00CA18B4" w:rsidRDefault="00CA18B4" w:rsidP="00CA18B4">
      <w:r w:rsidRPr="00CA18B4">
        <w:t xml:space="preserve">There are no safety concerns in EU-RMP version 0.3. The safety concerns proposed in the ASA are those adopted by </w:t>
      </w:r>
      <w:r>
        <w:t>the sponsor</w:t>
      </w:r>
      <w:r w:rsidRPr="00CA18B4">
        <w:t xml:space="preserve"> as </w:t>
      </w:r>
      <w:r>
        <w:t>c</w:t>
      </w:r>
      <w:r w:rsidRPr="00CA18B4">
        <w:t xml:space="preserve">ore risks and as per the ACCESS evaluation. </w:t>
      </w:r>
      <w:r>
        <w:t>‘</w:t>
      </w:r>
      <w:r w:rsidRPr="00CA18B4">
        <w:t xml:space="preserve">Dermatologic </w:t>
      </w:r>
      <w:r w:rsidR="00FB70CA">
        <w:t>t</w:t>
      </w:r>
      <w:r w:rsidRPr="00CA18B4">
        <w:t>oxicity</w:t>
      </w:r>
      <w:r>
        <w:t>’</w:t>
      </w:r>
      <w:r w:rsidRPr="00CA18B4">
        <w:t xml:space="preserve"> has been changed to </w:t>
      </w:r>
      <w:r>
        <w:t>‘</w:t>
      </w:r>
      <w:r w:rsidR="00A75BAF">
        <w:t>p</w:t>
      </w:r>
      <w:r w:rsidRPr="00CA18B4">
        <w:t>almar-</w:t>
      </w:r>
      <w:r w:rsidR="00FB70CA">
        <w:t>p</w:t>
      </w:r>
      <w:r w:rsidRPr="00CA18B4">
        <w:t xml:space="preserve">lantar </w:t>
      </w:r>
      <w:proofErr w:type="spellStart"/>
      <w:r w:rsidR="00FB70CA">
        <w:t>e</w:t>
      </w:r>
      <w:r w:rsidRPr="00CA18B4">
        <w:t>rythrodysaesthesia</w:t>
      </w:r>
      <w:proofErr w:type="spellEnd"/>
      <w:r w:rsidRPr="00CA18B4">
        <w:t xml:space="preserve"> </w:t>
      </w:r>
      <w:r w:rsidR="00FB70CA">
        <w:t>s</w:t>
      </w:r>
      <w:r w:rsidRPr="00CA18B4">
        <w:t>yndrome (PPES)</w:t>
      </w:r>
      <w:r>
        <w:t>’</w:t>
      </w:r>
      <w:r w:rsidRPr="00CA18B4">
        <w:t xml:space="preserve"> as an </w:t>
      </w:r>
      <w:r w:rsidR="00FB70CA">
        <w:t>i</w:t>
      </w:r>
      <w:r w:rsidRPr="00CA18B4">
        <w:t xml:space="preserve">mportant </w:t>
      </w:r>
      <w:r w:rsidR="00FB70CA">
        <w:t>i</w:t>
      </w:r>
      <w:r w:rsidRPr="00CA18B4">
        <w:t xml:space="preserve">dentified </w:t>
      </w:r>
      <w:r w:rsidR="00FB70CA">
        <w:t>r</w:t>
      </w:r>
      <w:r w:rsidRPr="00CA18B4">
        <w:t>isk. No additional safety concerns have been identified during the ACCESS evaluation.</w:t>
      </w:r>
    </w:p>
    <w:p w14:paraId="07249FB0" w14:textId="084E1548" w:rsidR="00CA18B4" w:rsidRPr="00CA18B4" w:rsidRDefault="00CA18B4" w:rsidP="00CA18B4">
      <w:r w:rsidRPr="00CA18B4">
        <w:t xml:space="preserve">Routine and additional pharmacovigilance activities are proposed. The proposed additional pharmacovigilance activity (ASA only) is Study TAK-11304002 to be conducted in the US (applicable population). The study was requested by the </w:t>
      </w:r>
      <w:r w:rsidR="00D37497">
        <w:t xml:space="preserve">overseas regulator </w:t>
      </w:r>
      <w:r w:rsidRPr="00CA18B4">
        <w:t xml:space="preserve">as a post-market requirement to further characterise the clinical effects of </w:t>
      </w:r>
      <w:proofErr w:type="spellStart"/>
      <w:r w:rsidRPr="00CA18B4">
        <w:t>fruquintinib</w:t>
      </w:r>
      <w:proofErr w:type="spellEnd"/>
      <w:r w:rsidRPr="00CA18B4">
        <w:t xml:space="preserve">, including pharmacokinetics, activity, blood pressure assessments, and safety events of palmar-plantar erythrodysesthesia in an underrepresented minority population (Black or African American or Other). </w:t>
      </w:r>
      <w:r w:rsidRPr="00584D7E">
        <w:t>Study</w:t>
      </w:r>
      <w:r w:rsidR="00584D7E">
        <w:t> </w:t>
      </w:r>
      <w:r w:rsidRPr="00584D7E">
        <w:t>TAK</w:t>
      </w:r>
      <w:r w:rsidR="00584D7E">
        <w:noBreakHyphen/>
      </w:r>
      <w:r w:rsidRPr="00CA18B4">
        <w:t>113</w:t>
      </w:r>
      <w:r w:rsidR="00584D7E">
        <w:noBreakHyphen/>
      </w:r>
      <w:r w:rsidRPr="00CA18B4">
        <w:t>4002 has been added as an additional pharmacovigilance activity. This is acceptable.</w:t>
      </w:r>
    </w:p>
    <w:p w14:paraId="1B34ACD8" w14:textId="01A11C7A" w:rsidR="00B348A8" w:rsidRDefault="00CA18B4" w:rsidP="00CA18B4">
      <w:r w:rsidRPr="00CA18B4">
        <w:t xml:space="preserve">Routine risk minimisation activities only are proposed. As </w:t>
      </w:r>
      <w:proofErr w:type="spellStart"/>
      <w:r w:rsidRPr="00CA18B4">
        <w:t>fruquintinib</w:t>
      </w:r>
      <w:proofErr w:type="spellEnd"/>
      <w:r w:rsidRPr="00CA18B4">
        <w:t xml:space="preserve"> is an oral medicine which will be prescribed by specialists, routine risk minimisation activities are sufficient to manage the proposed safety concerns.</w:t>
      </w:r>
      <w:bookmarkStart w:id="111" w:name="_Toc103679299"/>
    </w:p>
    <w:p w14:paraId="61DFF567" w14:textId="5277B869" w:rsidR="00FF3889" w:rsidRPr="00CA18B4" w:rsidRDefault="00FF3889" w:rsidP="00CA18B4">
      <w:r>
        <w:t xml:space="preserve">The Delegate noted </w:t>
      </w:r>
      <w:r w:rsidR="0003029F">
        <w:t>that infection and hepatotoxicity should be added as</w:t>
      </w:r>
      <w:r w:rsidR="003D3DCB">
        <w:t xml:space="preserve"> important identified risks. Pancreatitis should be added as an important potential risk for pharmacovigilance monitoring.</w:t>
      </w:r>
    </w:p>
    <w:p w14:paraId="74A4F87F" w14:textId="77777777" w:rsidR="00C22214" w:rsidRDefault="00C22214" w:rsidP="00C22214">
      <w:pPr>
        <w:pStyle w:val="Heading3"/>
      </w:pPr>
      <w:bookmarkStart w:id="112" w:name="_Toc206082869"/>
      <w:r>
        <w:t>Risk-benefit analysis</w:t>
      </w:r>
      <w:bookmarkEnd w:id="108"/>
      <w:bookmarkEnd w:id="109"/>
      <w:bookmarkEnd w:id="111"/>
      <w:bookmarkEnd w:id="112"/>
    </w:p>
    <w:p w14:paraId="20717102" w14:textId="00D0B8BA" w:rsidR="00C22214" w:rsidRDefault="00C22214" w:rsidP="006D79A2">
      <w:pPr>
        <w:pStyle w:val="Heading4"/>
      </w:pPr>
      <w:bookmarkStart w:id="113" w:name="_Toc98931932"/>
      <w:bookmarkStart w:id="114" w:name="_Toc206082870"/>
      <w:r>
        <w:t>Delegate’s considerations</w:t>
      </w:r>
      <w:bookmarkEnd w:id="113"/>
      <w:bookmarkEnd w:id="114"/>
    </w:p>
    <w:p w14:paraId="203816AC" w14:textId="77777777" w:rsidR="004F010D" w:rsidRPr="004F010D" w:rsidRDefault="004F010D" w:rsidP="006D79A2">
      <w:pPr>
        <w:pStyle w:val="Heading5"/>
      </w:pPr>
      <w:r w:rsidRPr="004F010D">
        <w:t>Benefits</w:t>
      </w:r>
    </w:p>
    <w:p w14:paraId="22CA8466" w14:textId="329C0731" w:rsidR="004F010D" w:rsidRPr="004F010D" w:rsidRDefault="004F010D" w:rsidP="006D79A2">
      <w:r w:rsidRPr="004F010D">
        <w:t>The FRESCO-2 study was a large, well-designed and appropriately conducted, international, randomised, double blind, placebo-controlled study. Its findings establish</w:t>
      </w:r>
      <w:r w:rsidR="00B728A8">
        <w:t>ed</w:t>
      </w:r>
      <w:r w:rsidRPr="004F010D">
        <w:t xml:space="preserve"> that for patients with heavily pretreated metastatic colorectal carcinoma, treatment with </w:t>
      </w:r>
      <w:proofErr w:type="spellStart"/>
      <w:r w:rsidRPr="004F010D">
        <w:t>fruquintinib</w:t>
      </w:r>
      <w:proofErr w:type="spellEnd"/>
      <w:r w:rsidRPr="004F010D">
        <w:t xml:space="preserve"> in the fourth line or later setting is associated with a statistically significant and clinically meaningful improvement in OS compared with placebo.</w:t>
      </w:r>
    </w:p>
    <w:p w14:paraId="4E461492" w14:textId="77777777" w:rsidR="004F010D" w:rsidRPr="004F010D" w:rsidRDefault="004F010D" w:rsidP="008739E6">
      <w:r w:rsidRPr="004F010D">
        <w:t>In FRESCO-2:</w:t>
      </w:r>
    </w:p>
    <w:p w14:paraId="719004DF" w14:textId="001E4948" w:rsidR="004F010D" w:rsidRPr="004F010D" w:rsidRDefault="004F010D" w:rsidP="008739E6">
      <w:pPr>
        <w:pStyle w:val="ListBullet"/>
      </w:pPr>
      <w:r w:rsidRPr="004F010D">
        <w:t xml:space="preserve">The OS </w:t>
      </w:r>
      <w:r w:rsidR="00061717">
        <w:t>hazard ratio</w:t>
      </w:r>
      <w:r w:rsidRPr="004F010D">
        <w:t xml:space="preserve"> (95% CI) was 0.66 (0.55, 0.80; p</w:t>
      </w:r>
      <w:r w:rsidR="003C1F2F">
        <w:t> </w:t>
      </w:r>
      <w:r w:rsidRPr="004F010D">
        <w:t>&lt;</w:t>
      </w:r>
      <w:r w:rsidR="00F0048C">
        <w:t> </w:t>
      </w:r>
      <w:r w:rsidRPr="004F010D">
        <w:t>0.001) with a median OS of 7.4</w:t>
      </w:r>
      <w:r w:rsidR="00E96661">
        <w:t> </w:t>
      </w:r>
      <w:r w:rsidRPr="004F010D">
        <w:t xml:space="preserve">months (6.7, 8.2) in the </w:t>
      </w:r>
      <w:proofErr w:type="spellStart"/>
      <w:r w:rsidRPr="004F010D">
        <w:t>fruquintinib</w:t>
      </w:r>
      <w:proofErr w:type="spellEnd"/>
      <w:r w:rsidRPr="004F010D">
        <w:t xml:space="preserve"> arm and 4.8 months (4.0, 5.8) for the placebo arm.</w:t>
      </w:r>
    </w:p>
    <w:p w14:paraId="3D17C511" w14:textId="4AC53D52" w:rsidR="004F010D" w:rsidRPr="004F010D" w:rsidRDefault="004F010D" w:rsidP="008739E6">
      <w:pPr>
        <w:pStyle w:val="ListBullet"/>
      </w:pPr>
      <w:r w:rsidRPr="004F010D">
        <w:t xml:space="preserve">The PFS </w:t>
      </w:r>
      <w:r w:rsidR="00061717">
        <w:t>hazard ratio</w:t>
      </w:r>
      <w:r w:rsidRPr="004F010D">
        <w:t xml:space="preserve"> was 0.32 (0.27, 0.39; p</w:t>
      </w:r>
      <w:r w:rsidR="00061717">
        <w:t> </w:t>
      </w:r>
      <w:r w:rsidRPr="004F010D">
        <w:t>&lt;</w:t>
      </w:r>
      <w:r w:rsidR="00F0048C">
        <w:t> </w:t>
      </w:r>
      <w:r w:rsidRPr="004F010D">
        <w:t xml:space="preserve">0.001) with a median PFS of 3.7 months (3.5, 3.8) in the </w:t>
      </w:r>
      <w:proofErr w:type="spellStart"/>
      <w:r w:rsidRPr="004F010D">
        <w:t>fruquintinib</w:t>
      </w:r>
      <w:proofErr w:type="spellEnd"/>
      <w:r w:rsidRPr="004F010D">
        <w:t xml:space="preserve"> arm and 1.8 months (1.8, 1.9) in the placebo arm.</w:t>
      </w:r>
    </w:p>
    <w:p w14:paraId="53EFDFF0" w14:textId="77777777" w:rsidR="004F010D" w:rsidRPr="00F0048C" w:rsidRDefault="004F010D" w:rsidP="00F0048C">
      <w:r w:rsidRPr="00F0048C">
        <w:t>Whilst the absolute PFS benefit is clinically modest, the statistical significance of the PFS finding supports the robustness of the survival benefit, a finding consistent in sensitivity analyses.</w:t>
      </w:r>
    </w:p>
    <w:p w14:paraId="346ECDF5" w14:textId="180B7AF2" w:rsidR="004F010D" w:rsidRPr="00F0048C" w:rsidRDefault="004F010D" w:rsidP="00F0048C">
      <w:r w:rsidRPr="00F0048C">
        <w:t>Too few MSI-h/</w:t>
      </w:r>
      <w:proofErr w:type="spellStart"/>
      <w:r w:rsidRPr="00F0048C">
        <w:t>dMMR</w:t>
      </w:r>
      <w:proofErr w:type="spellEnd"/>
      <w:r w:rsidRPr="00F0048C">
        <w:t xml:space="preserve"> patients were enrolled to allow meaningful interpretation of efficacy results in that subgroup. However, </w:t>
      </w:r>
      <w:r w:rsidR="000E450E">
        <w:t>the Delegate is</w:t>
      </w:r>
      <w:r w:rsidRPr="00F0048C">
        <w:t xml:space="preserve"> not aware of any data that </w:t>
      </w:r>
      <w:r w:rsidR="004D47D4" w:rsidRPr="00F0048C">
        <w:t xml:space="preserve">would </w:t>
      </w:r>
      <w:r w:rsidRPr="00F0048C">
        <w:t xml:space="preserve">suggest </w:t>
      </w:r>
      <w:r w:rsidR="00E2388A" w:rsidRPr="00F0048C">
        <w:t>limiting</w:t>
      </w:r>
      <w:r w:rsidRPr="00F0048C">
        <w:t xml:space="preserve"> patients with MSS/</w:t>
      </w:r>
      <w:proofErr w:type="spellStart"/>
      <w:r w:rsidRPr="00F0048C">
        <w:t>pMMR</w:t>
      </w:r>
      <w:proofErr w:type="spellEnd"/>
      <w:r w:rsidRPr="00F0048C">
        <w:t xml:space="preserve"> tumours.</w:t>
      </w:r>
    </w:p>
    <w:p w14:paraId="19E00CB1" w14:textId="4A809A75" w:rsidR="004F010D" w:rsidRPr="00F0048C" w:rsidRDefault="004F010D" w:rsidP="00F0048C">
      <w:r w:rsidRPr="00F0048C">
        <w:lastRenderedPageBreak/>
        <w:t>The FRESCO study was a single country (China), randomised, double</w:t>
      </w:r>
      <w:r w:rsidR="00E2388A">
        <w:t xml:space="preserve"> </w:t>
      </w:r>
      <w:r w:rsidRPr="00F0048C">
        <w:t>blind, placebo-controlled study. It was smaller than FRESCO-2</w:t>
      </w:r>
      <w:r w:rsidR="00E2388A">
        <w:t xml:space="preserve"> </w:t>
      </w:r>
      <w:r w:rsidRPr="00F0048C">
        <w:t xml:space="preserve">and enrolled a less heavily pre-treated population. Its findings strongly suggest that for patients with metastatic colorectal carcinoma who have received prior fluoropyrimidine, oxaliplatin-, and irinotecan-based chemotherapy, treatment with </w:t>
      </w:r>
      <w:proofErr w:type="spellStart"/>
      <w:r w:rsidRPr="00F0048C">
        <w:t>fruquintinib</w:t>
      </w:r>
      <w:proofErr w:type="spellEnd"/>
      <w:r w:rsidRPr="00F0048C">
        <w:t xml:space="preserve"> in the third line or later setting is associated with a statistically significant and clinically meaningful improvement in OS compared with placebo.</w:t>
      </w:r>
    </w:p>
    <w:p w14:paraId="4353B03A" w14:textId="7DE012D7" w:rsidR="004F010D" w:rsidRPr="00F0048C" w:rsidRDefault="004F010D" w:rsidP="00F0048C">
      <w:r w:rsidRPr="00F0048C">
        <w:t xml:space="preserve">The OS </w:t>
      </w:r>
      <w:r w:rsidR="000727DC">
        <w:t>hazard ratio</w:t>
      </w:r>
      <w:r w:rsidRPr="00F0048C">
        <w:t xml:space="preserve"> was 0.65 (95% CI: 0.51, 0.83; p</w:t>
      </w:r>
      <w:r w:rsidR="000727DC">
        <w:t> </w:t>
      </w:r>
      <w:r w:rsidRPr="00F0048C">
        <w:t>&lt;</w:t>
      </w:r>
      <w:r w:rsidR="000727DC">
        <w:t> </w:t>
      </w:r>
      <w:r w:rsidRPr="00F0048C">
        <w:t xml:space="preserve">0.001) with a median OS of 9.3 months (95% CI: 8.2, 10.5) in the </w:t>
      </w:r>
      <w:proofErr w:type="spellStart"/>
      <w:r w:rsidRPr="00F0048C">
        <w:t>fruquintinib</w:t>
      </w:r>
      <w:proofErr w:type="spellEnd"/>
      <w:r w:rsidRPr="00F0048C">
        <w:t xml:space="preserve"> arm and 6.6 months (95% CI: 5.9, 8.1) for the placebo arm. The PFS </w:t>
      </w:r>
      <w:r w:rsidR="000727DC">
        <w:t>hazard ratio</w:t>
      </w:r>
      <w:r w:rsidRPr="00F0048C">
        <w:t xml:space="preserve"> was 0.26 (95% CI: 0.21, 0.34) with a median PFS was 3.7 months (95% CI: 3.7, 4.6) in the </w:t>
      </w:r>
      <w:proofErr w:type="spellStart"/>
      <w:r w:rsidRPr="00F0048C">
        <w:t>fruquintinib</w:t>
      </w:r>
      <w:proofErr w:type="spellEnd"/>
      <w:r w:rsidRPr="00F0048C">
        <w:t xml:space="preserve"> arm and 1.8 months (95% CI: 1.8, 1.8) in the placebo arm.</w:t>
      </w:r>
    </w:p>
    <w:p w14:paraId="7C9C774F" w14:textId="047637C9" w:rsidR="004F010D" w:rsidRPr="00F0048C" w:rsidRDefault="004F010D" w:rsidP="00F0048C">
      <w:r w:rsidRPr="00F0048C">
        <w:t xml:space="preserve">Advice was sought from the </w:t>
      </w:r>
      <w:r w:rsidR="005605CD">
        <w:t>ACM</w:t>
      </w:r>
      <w:r w:rsidRPr="00F0048C">
        <w:t xml:space="preserve"> as to whether efficacy could be considered adequately established for the proposed usage, which does not align with the population enrolled in FRESCO-2:</w:t>
      </w:r>
    </w:p>
    <w:p w14:paraId="199A1487" w14:textId="160CAD73" w:rsidR="004F010D" w:rsidRPr="0066695D" w:rsidRDefault="00E70FBC" w:rsidP="0066695D">
      <w:pPr>
        <w:ind w:left="720"/>
        <w:rPr>
          <w:iCs/>
        </w:rPr>
      </w:pPr>
      <w:r>
        <w:rPr>
          <w:iCs/>
        </w:rPr>
        <w:t>‘</w:t>
      </w:r>
      <w:r w:rsidR="004F010D" w:rsidRPr="0066695D">
        <w:rPr>
          <w:iCs/>
        </w:rPr>
        <w:t>…who have been previously treated with or are not considered candidates for available therapies, including fluoropyrimidine-, oxaliplatin-, and irinotecan-based chemotherapy, an anti-VEGF therapy, and an anti-EGFR therapy.</w:t>
      </w:r>
      <w:r>
        <w:rPr>
          <w:iCs/>
        </w:rPr>
        <w:t>’</w:t>
      </w:r>
    </w:p>
    <w:p w14:paraId="47123837" w14:textId="3BE48F0B" w:rsidR="004F010D" w:rsidRPr="00E70FBC" w:rsidRDefault="004F010D" w:rsidP="00E70FBC">
      <w:r w:rsidRPr="00E70FBC">
        <w:t xml:space="preserve">This indication does not refer to treatment with TAS-102 or regorafenib, both of which are approved for a similar population to FRESCO. As there was no active comparator in FRESCO-2 (or FRESCO), it is not possible to understand in a statistically robust manner whether treatment with </w:t>
      </w:r>
      <w:proofErr w:type="spellStart"/>
      <w:r w:rsidRPr="00E70FBC">
        <w:t>fruquintinib</w:t>
      </w:r>
      <w:proofErr w:type="spellEnd"/>
      <w:r w:rsidRPr="00E70FBC">
        <w:t xml:space="preserve"> would represent inferior efficacy or safety to the existing registered treatments. If </w:t>
      </w:r>
      <w:r w:rsidR="00EE0183">
        <w:t>the Delegate</w:t>
      </w:r>
      <w:r w:rsidRPr="00E70FBC">
        <w:t xml:space="preserve"> was concerned based on exploratory and cross-trial comparisons that </w:t>
      </w:r>
      <w:proofErr w:type="spellStart"/>
      <w:r w:rsidRPr="00E70FBC">
        <w:t>fruquintinib</w:t>
      </w:r>
      <w:proofErr w:type="spellEnd"/>
      <w:r w:rsidRPr="00E70FBC">
        <w:t xml:space="preserve"> was an unacceptable clinical treatment option due to clearly inferior efficacy and safety, it would be difficult for </w:t>
      </w:r>
      <w:r w:rsidR="00EE0183">
        <w:t xml:space="preserve">the Delegate </w:t>
      </w:r>
      <w:r w:rsidRPr="00E70FBC">
        <w:t>to be satisfied that efficacy and safety for the proposed usage had been established.</w:t>
      </w:r>
    </w:p>
    <w:p w14:paraId="68BD7776" w14:textId="71520AF7" w:rsidR="009954EE" w:rsidRDefault="004F010D" w:rsidP="00E70FBC">
      <w:r w:rsidRPr="00E70FBC">
        <w:t xml:space="preserve">Efficacy findings across the main </w:t>
      </w:r>
      <w:proofErr w:type="spellStart"/>
      <w:r w:rsidRPr="00E70FBC">
        <w:t>fruquintinib</w:t>
      </w:r>
      <w:proofErr w:type="spellEnd"/>
      <w:r w:rsidRPr="00E70FBC">
        <w:t xml:space="preserve">, regorafenib and TAS-102 studies are summarised in </w:t>
      </w:r>
      <w:r w:rsidRPr="00E70FBC">
        <w:fldChar w:fldCharType="begin"/>
      </w:r>
      <w:r w:rsidRPr="00E70FBC">
        <w:instrText xml:space="preserve"> REF _Ref174629047 \h </w:instrText>
      </w:r>
      <w:r w:rsidR="00E70FBC">
        <w:instrText xml:space="preserve"> \* MERGEFORMAT </w:instrText>
      </w:r>
      <w:r w:rsidRPr="00E70FBC">
        <w:fldChar w:fldCharType="separate"/>
      </w:r>
      <w:r w:rsidR="00A407E4" w:rsidRPr="004F010D">
        <w:t xml:space="preserve">Table </w:t>
      </w:r>
      <w:r w:rsidR="00A407E4">
        <w:t>16</w:t>
      </w:r>
      <w:r w:rsidRPr="00E70FBC">
        <w:fldChar w:fldCharType="end"/>
      </w:r>
      <w:r w:rsidR="009954EE">
        <w:t>.</w:t>
      </w:r>
    </w:p>
    <w:p w14:paraId="198CD7FE" w14:textId="08CBF29F" w:rsidR="004F010D" w:rsidRDefault="004F010D" w:rsidP="005C4944">
      <w:pPr>
        <w:pStyle w:val="TableTitle"/>
      </w:pPr>
      <w:bookmarkStart w:id="115" w:name="_Ref174629047"/>
      <w:r w:rsidRPr="004F010D">
        <w:t xml:space="preserve">Table </w:t>
      </w:r>
      <w:r w:rsidRPr="004F010D">
        <w:fldChar w:fldCharType="begin"/>
      </w:r>
      <w:r w:rsidRPr="004F010D">
        <w:instrText xml:space="preserve"> SEQ Table \* ARABIC </w:instrText>
      </w:r>
      <w:r w:rsidRPr="004F010D">
        <w:fldChar w:fldCharType="separate"/>
      </w:r>
      <w:r w:rsidR="00A407E4">
        <w:rPr>
          <w:noProof/>
        </w:rPr>
        <w:t>16</w:t>
      </w:r>
      <w:r w:rsidRPr="004F010D">
        <w:fldChar w:fldCharType="end"/>
      </w:r>
      <w:bookmarkEnd w:id="115"/>
      <w:r w:rsidR="005C4944">
        <w:t xml:space="preserve">: </w:t>
      </w:r>
      <w:r w:rsidRPr="004F010D">
        <w:t xml:space="preserve">Efficacy findings across the main </w:t>
      </w:r>
      <w:proofErr w:type="spellStart"/>
      <w:r w:rsidRPr="004F010D">
        <w:t>fruquintinib</w:t>
      </w:r>
      <w:proofErr w:type="spellEnd"/>
      <w:r w:rsidRPr="004F010D">
        <w:t>, regorafenib and TAS-102 studies</w:t>
      </w:r>
    </w:p>
    <w:tbl>
      <w:tblPr>
        <w:tblStyle w:val="TableTGAblue2023"/>
        <w:tblW w:w="0" w:type="auto"/>
        <w:tblLook w:val="04A0" w:firstRow="1" w:lastRow="0" w:firstColumn="1" w:lastColumn="0" w:noHBand="0" w:noVBand="1"/>
      </w:tblPr>
      <w:tblGrid>
        <w:gridCol w:w="1555"/>
        <w:gridCol w:w="3538"/>
        <w:gridCol w:w="3913"/>
      </w:tblGrid>
      <w:tr w:rsidR="006D79A2" w14:paraId="4505FE06" w14:textId="77777777" w:rsidTr="005C4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8381A87" w14:textId="77777777" w:rsidR="006D79A2" w:rsidRPr="00850B8B" w:rsidRDefault="006D79A2" w:rsidP="00CC5972">
            <w:pPr>
              <w:ind w:left="0"/>
              <w:rPr>
                <w:sz w:val="20"/>
                <w:szCs w:val="20"/>
              </w:rPr>
            </w:pPr>
            <w:r w:rsidRPr="00850B8B">
              <w:rPr>
                <w:sz w:val="20"/>
                <w:szCs w:val="20"/>
              </w:rPr>
              <w:t>STUDY</w:t>
            </w:r>
          </w:p>
        </w:tc>
        <w:tc>
          <w:tcPr>
            <w:tcW w:w="3538" w:type="dxa"/>
          </w:tcPr>
          <w:p w14:paraId="2B5E8875" w14:textId="77777777" w:rsidR="006D79A2" w:rsidRPr="00850B8B" w:rsidRDefault="006D79A2" w:rsidP="00CC5972">
            <w:pPr>
              <w:ind w:left="0"/>
              <w:cnfStyle w:val="100000000000" w:firstRow="1" w:lastRow="0" w:firstColumn="0" w:lastColumn="0" w:oddVBand="0" w:evenVBand="0" w:oddHBand="0" w:evenHBand="0" w:firstRowFirstColumn="0" w:firstRowLastColumn="0" w:lastRowFirstColumn="0" w:lastRowLastColumn="0"/>
              <w:rPr>
                <w:sz w:val="20"/>
                <w:szCs w:val="20"/>
              </w:rPr>
            </w:pPr>
            <w:r w:rsidRPr="00850B8B">
              <w:rPr>
                <w:sz w:val="20"/>
                <w:szCs w:val="20"/>
              </w:rPr>
              <w:t>Treatment arms</w:t>
            </w:r>
          </w:p>
        </w:tc>
        <w:tc>
          <w:tcPr>
            <w:tcW w:w="3913" w:type="dxa"/>
          </w:tcPr>
          <w:p w14:paraId="64A5BB0E" w14:textId="77777777" w:rsidR="006D79A2" w:rsidRPr="00850B8B" w:rsidRDefault="006D79A2" w:rsidP="00CC5972">
            <w:pPr>
              <w:ind w:left="0"/>
              <w:cnfStyle w:val="100000000000" w:firstRow="1" w:lastRow="0" w:firstColumn="0" w:lastColumn="0" w:oddVBand="0" w:evenVBand="0" w:oddHBand="0" w:evenHBand="0" w:firstRowFirstColumn="0" w:firstRowLastColumn="0" w:lastRowFirstColumn="0" w:lastRowLastColumn="0"/>
              <w:rPr>
                <w:sz w:val="20"/>
                <w:szCs w:val="20"/>
              </w:rPr>
            </w:pPr>
            <w:r w:rsidRPr="00850B8B">
              <w:rPr>
                <w:sz w:val="20"/>
                <w:szCs w:val="20"/>
              </w:rPr>
              <w:t>Overall survival hazard ratio (95% CI)</w:t>
            </w:r>
          </w:p>
        </w:tc>
      </w:tr>
      <w:tr w:rsidR="006D79A2" w14:paraId="79C3978E" w14:textId="77777777" w:rsidTr="005C4944">
        <w:tc>
          <w:tcPr>
            <w:cnfStyle w:val="001000000000" w:firstRow="0" w:lastRow="0" w:firstColumn="1" w:lastColumn="0" w:oddVBand="0" w:evenVBand="0" w:oddHBand="0" w:evenHBand="0" w:firstRowFirstColumn="0" w:firstRowLastColumn="0" w:lastRowFirstColumn="0" w:lastRowLastColumn="0"/>
            <w:tcW w:w="1555" w:type="dxa"/>
          </w:tcPr>
          <w:p w14:paraId="11EF0247" w14:textId="77777777" w:rsidR="006D79A2" w:rsidRPr="00850B8B" w:rsidRDefault="006D79A2" w:rsidP="00CC5972">
            <w:pPr>
              <w:ind w:left="0"/>
              <w:rPr>
                <w:sz w:val="20"/>
                <w:szCs w:val="20"/>
              </w:rPr>
            </w:pPr>
            <w:r w:rsidRPr="00850B8B">
              <w:rPr>
                <w:sz w:val="20"/>
                <w:szCs w:val="20"/>
              </w:rPr>
              <w:t>FRESCO-2</w:t>
            </w:r>
          </w:p>
        </w:tc>
        <w:tc>
          <w:tcPr>
            <w:tcW w:w="3538" w:type="dxa"/>
          </w:tcPr>
          <w:p w14:paraId="193705F5"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Fruquintinib v placebo</w:t>
            </w:r>
          </w:p>
        </w:tc>
        <w:tc>
          <w:tcPr>
            <w:tcW w:w="3913" w:type="dxa"/>
          </w:tcPr>
          <w:p w14:paraId="6EEC4944"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0.66 (0.55, 0.80)</w:t>
            </w:r>
          </w:p>
        </w:tc>
      </w:tr>
      <w:tr w:rsidR="006D79A2" w14:paraId="30B67AF5" w14:textId="77777777" w:rsidTr="005C4944">
        <w:tc>
          <w:tcPr>
            <w:cnfStyle w:val="001000000000" w:firstRow="0" w:lastRow="0" w:firstColumn="1" w:lastColumn="0" w:oddVBand="0" w:evenVBand="0" w:oddHBand="0" w:evenHBand="0" w:firstRowFirstColumn="0" w:firstRowLastColumn="0" w:lastRowFirstColumn="0" w:lastRowLastColumn="0"/>
            <w:tcW w:w="1555" w:type="dxa"/>
          </w:tcPr>
          <w:p w14:paraId="5F9A2B7A" w14:textId="77777777" w:rsidR="006D79A2" w:rsidRPr="00850B8B" w:rsidRDefault="006D79A2" w:rsidP="00CC5972">
            <w:pPr>
              <w:ind w:left="0"/>
              <w:rPr>
                <w:sz w:val="20"/>
                <w:szCs w:val="20"/>
              </w:rPr>
            </w:pPr>
            <w:r w:rsidRPr="00850B8B">
              <w:rPr>
                <w:sz w:val="20"/>
                <w:szCs w:val="20"/>
              </w:rPr>
              <w:t>FRESCO</w:t>
            </w:r>
          </w:p>
        </w:tc>
        <w:tc>
          <w:tcPr>
            <w:tcW w:w="3538" w:type="dxa"/>
          </w:tcPr>
          <w:p w14:paraId="3882E221"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Fruquintinib v placebo (Asia)</w:t>
            </w:r>
          </w:p>
        </w:tc>
        <w:tc>
          <w:tcPr>
            <w:tcW w:w="3913" w:type="dxa"/>
          </w:tcPr>
          <w:p w14:paraId="1029DAAB"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0.65 (0.51, 0.83)</w:t>
            </w:r>
          </w:p>
        </w:tc>
      </w:tr>
      <w:tr w:rsidR="006D79A2" w14:paraId="7F807935" w14:textId="77777777" w:rsidTr="005C4944">
        <w:tc>
          <w:tcPr>
            <w:cnfStyle w:val="001000000000" w:firstRow="0" w:lastRow="0" w:firstColumn="1" w:lastColumn="0" w:oddVBand="0" w:evenVBand="0" w:oddHBand="0" w:evenHBand="0" w:firstRowFirstColumn="0" w:firstRowLastColumn="0" w:lastRowFirstColumn="0" w:lastRowLastColumn="0"/>
            <w:tcW w:w="1555" w:type="dxa"/>
          </w:tcPr>
          <w:p w14:paraId="6397E29E" w14:textId="173FA847" w:rsidR="006D79A2" w:rsidRPr="00850B8B" w:rsidRDefault="006D79A2" w:rsidP="00CC5972">
            <w:pPr>
              <w:ind w:left="0"/>
              <w:rPr>
                <w:sz w:val="20"/>
                <w:szCs w:val="20"/>
              </w:rPr>
            </w:pPr>
            <w:r w:rsidRPr="00850B8B">
              <w:rPr>
                <w:sz w:val="20"/>
                <w:szCs w:val="20"/>
              </w:rPr>
              <w:t xml:space="preserve">RECOURSE </w:t>
            </w:r>
            <w:r w:rsidR="00A451E6" w:rsidRPr="00850B8B">
              <w:rPr>
                <w:rStyle w:val="FootnoteReference"/>
                <w:sz w:val="20"/>
                <w:szCs w:val="20"/>
              </w:rPr>
              <w:footnoteReference w:id="34"/>
            </w:r>
          </w:p>
        </w:tc>
        <w:tc>
          <w:tcPr>
            <w:tcW w:w="3538" w:type="dxa"/>
          </w:tcPr>
          <w:p w14:paraId="54DDAA87"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TAS-102 v placebo</w:t>
            </w:r>
          </w:p>
        </w:tc>
        <w:tc>
          <w:tcPr>
            <w:tcW w:w="3913" w:type="dxa"/>
          </w:tcPr>
          <w:p w14:paraId="56E3E2CB"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0.68 (0.58, 0.81)</w:t>
            </w:r>
          </w:p>
        </w:tc>
      </w:tr>
      <w:tr w:rsidR="006D79A2" w14:paraId="073A4A3B" w14:textId="77777777" w:rsidTr="005C4944">
        <w:tc>
          <w:tcPr>
            <w:cnfStyle w:val="001000000000" w:firstRow="0" w:lastRow="0" w:firstColumn="1" w:lastColumn="0" w:oddVBand="0" w:evenVBand="0" w:oddHBand="0" w:evenHBand="0" w:firstRowFirstColumn="0" w:firstRowLastColumn="0" w:lastRowFirstColumn="0" w:lastRowLastColumn="0"/>
            <w:tcW w:w="1555" w:type="dxa"/>
          </w:tcPr>
          <w:p w14:paraId="7EB6E2EE" w14:textId="302072F7" w:rsidR="006D79A2" w:rsidRPr="00850B8B" w:rsidRDefault="006D79A2" w:rsidP="00CC5972">
            <w:pPr>
              <w:ind w:left="0"/>
              <w:rPr>
                <w:sz w:val="20"/>
                <w:szCs w:val="20"/>
              </w:rPr>
            </w:pPr>
            <w:r w:rsidRPr="00850B8B">
              <w:rPr>
                <w:sz w:val="20"/>
                <w:szCs w:val="20"/>
              </w:rPr>
              <w:t xml:space="preserve">TERRA </w:t>
            </w:r>
            <w:r w:rsidR="00624CCD" w:rsidRPr="00850B8B">
              <w:rPr>
                <w:rStyle w:val="FootnoteReference"/>
                <w:sz w:val="20"/>
                <w:szCs w:val="20"/>
              </w:rPr>
              <w:footnoteReference w:id="35"/>
            </w:r>
          </w:p>
        </w:tc>
        <w:tc>
          <w:tcPr>
            <w:tcW w:w="3538" w:type="dxa"/>
          </w:tcPr>
          <w:p w14:paraId="492CCE41"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TAS-102 v placebo (Asia)</w:t>
            </w:r>
          </w:p>
        </w:tc>
        <w:tc>
          <w:tcPr>
            <w:tcW w:w="3913" w:type="dxa"/>
          </w:tcPr>
          <w:p w14:paraId="56F16EF3"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0.79 (0.62, 0.99)</w:t>
            </w:r>
          </w:p>
        </w:tc>
      </w:tr>
      <w:tr w:rsidR="006D79A2" w14:paraId="2814B387" w14:textId="77777777" w:rsidTr="005C4944">
        <w:tc>
          <w:tcPr>
            <w:cnfStyle w:val="001000000000" w:firstRow="0" w:lastRow="0" w:firstColumn="1" w:lastColumn="0" w:oddVBand="0" w:evenVBand="0" w:oddHBand="0" w:evenHBand="0" w:firstRowFirstColumn="0" w:firstRowLastColumn="0" w:lastRowFirstColumn="0" w:lastRowLastColumn="0"/>
            <w:tcW w:w="1555" w:type="dxa"/>
          </w:tcPr>
          <w:p w14:paraId="623E66C3" w14:textId="10788B17" w:rsidR="006D79A2" w:rsidRPr="00850B8B" w:rsidRDefault="006D79A2" w:rsidP="00CC5972">
            <w:pPr>
              <w:ind w:left="0"/>
              <w:rPr>
                <w:sz w:val="20"/>
                <w:szCs w:val="20"/>
              </w:rPr>
            </w:pPr>
            <w:r w:rsidRPr="00850B8B">
              <w:rPr>
                <w:sz w:val="20"/>
                <w:szCs w:val="20"/>
              </w:rPr>
              <w:t xml:space="preserve">CORRECT </w:t>
            </w:r>
            <w:r w:rsidR="00624CCD" w:rsidRPr="00850B8B">
              <w:rPr>
                <w:rStyle w:val="FootnoteReference"/>
                <w:sz w:val="20"/>
                <w:szCs w:val="20"/>
              </w:rPr>
              <w:footnoteReference w:id="36"/>
            </w:r>
          </w:p>
        </w:tc>
        <w:tc>
          <w:tcPr>
            <w:tcW w:w="3538" w:type="dxa"/>
          </w:tcPr>
          <w:p w14:paraId="0EF942ED"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Regorafenib v placebo (global)</w:t>
            </w:r>
          </w:p>
        </w:tc>
        <w:tc>
          <w:tcPr>
            <w:tcW w:w="3913" w:type="dxa"/>
          </w:tcPr>
          <w:p w14:paraId="0B8929C9"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0.77 (0.64, 0.94)</w:t>
            </w:r>
          </w:p>
        </w:tc>
      </w:tr>
      <w:tr w:rsidR="006D79A2" w14:paraId="67259FD3" w14:textId="77777777" w:rsidTr="005C4944">
        <w:tc>
          <w:tcPr>
            <w:cnfStyle w:val="001000000000" w:firstRow="0" w:lastRow="0" w:firstColumn="1" w:lastColumn="0" w:oddVBand="0" w:evenVBand="0" w:oddHBand="0" w:evenHBand="0" w:firstRowFirstColumn="0" w:firstRowLastColumn="0" w:lastRowFirstColumn="0" w:lastRowLastColumn="0"/>
            <w:tcW w:w="1555" w:type="dxa"/>
          </w:tcPr>
          <w:p w14:paraId="3D37FBAA" w14:textId="3F453D94" w:rsidR="006D79A2" w:rsidRPr="00850B8B" w:rsidRDefault="006D79A2" w:rsidP="00CC5972">
            <w:pPr>
              <w:ind w:left="0"/>
              <w:rPr>
                <w:sz w:val="20"/>
                <w:szCs w:val="20"/>
              </w:rPr>
            </w:pPr>
            <w:r w:rsidRPr="00850B8B">
              <w:rPr>
                <w:sz w:val="20"/>
                <w:szCs w:val="20"/>
              </w:rPr>
              <w:t xml:space="preserve">CONCUR </w:t>
            </w:r>
            <w:r w:rsidR="00624CCD" w:rsidRPr="00850B8B">
              <w:rPr>
                <w:rStyle w:val="FootnoteReference"/>
                <w:sz w:val="20"/>
                <w:szCs w:val="20"/>
              </w:rPr>
              <w:footnoteReference w:id="37"/>
            </w:r>
          </w:p>
        </w:tc>
        <w:tc>
          <w:tcPr>
            <w:tcW w:w="3538" w:type="dxa"/>
          </w:tcPr>
          <w:p w14:paraId="27BE7663"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Regorafenib v placebo (Asia)</w:t>
            </w:r>
          </w:p>
        </w:tc>
        <w:tc>
          <w:tcPr>
            <w:tcW w:w="3913" w:type="dxa"/>
          </w:tcPr>
          <w:p w14:paraId="50D06E55" w14:textId="77777777" w:rsidR="006D79A2" w:rsidRPr="00850B8B" w:rsidRDefault="006D79A2" w:rsidP="00CC5972">
            <w:pPr>
              <w:ind w:left="0"/>
              <w:cnfStyle w:val="000000000000" w:firstRow="0" w:lastRow="0" w:firstColumn="0" w:lastColumn="0" w:oddVBand="0" w:evenVBand="0" w:oddHBand="0" w:evenHBand="0" w:firstRowFirstColumn="0" w:firstRowLastColumn="0" w:lastRowFirstColumn="0" w:lastRowLastColumn="0"/>
              <w:rPr>
                <w:sz w:val="20"/>
                <w:szCs w:val="20"/>
              </w:rPr>
            </w:pPr>
            <w:r w:rsidRPr="00850B8B">
              <w:rPr>
                <w:sz w:val="20"/>
                <w:szCs w:val="20"/>
              </w:rPr>
              <w:t>0.55 (0.40, 0.77)</w:t>
            </w:r>
          </w:p>
        </w:tc>
      </w:tr>
    </w:tbl>
    <w:p w14:paraId="11A857BF" w14:textId="0CAE16A0" w:rsidR="004F010D" w:rsidRPr="0095509C" w:rsidRDefault="004F010D" w:rsidP="0095509C">
      <w:pPr>
        <w:spacing w:before="120"/>
      </w:pPr>
      <w:r w:rsidRPr="0095509C">
        <w:lastRenderedPageBreak/>
        <w:t xml:space="preserve">In the pre-ACM response, the </w:t>
      </w:r>
      <w:r w:rsidR="004C50C3">
        <w:t>s</w:t>
      </w:r>
      <w:r w:rsidRPr="0095509C">
        <w:t xml:space="preserve">ponsor provided exploratory analyses and discussion providing justification for considering </w:t>
      </w:r>
      <w:proofErr w:type="spellStart"/>
      <w:r w:rsidRPr="0095509C">
        <w:t>fruquintinib</w:t>
      </w:r>
      <w:proofErr w:type="spellEnd"/>
      <w:r w:rsidRPr="0095509C">
        <w:t xml:space="preserve"> to be clinically acceptable</w:t>
      </w:r>
      <w:r w:rsidR="008A4A0F">
        <w:t>,</w:t>
      </w:r>
      <w:r w:rsidRPr="0095509C">
        <w:t xml:space="preserve"> despite the lack of an active comparator in clinical studies</w:t>
      </w:r>
      <w:r w:rsidR="008A4A0F">
        <w:t>,</w:t>
      </w:r>
      <w:r w:rsidRPr="0095509C">
        <w:t xml:space="preserve"> for usage in patients who may not have previously received trifluridine/</w:t>
      </w:r>
      <w:proofErr w:type="spellStart"/>
      <w:r w:rsidRPr="0095509C">
        <w:t>tipiracil</w:t>
      </w:r>
      <w:proofErr w:type="spellEnd"/>
      <w:r w:rsidRPr="0095509C">
        <w:t xml:space="preserve"> or regorafenib, </w:t>
      </w:r>
      <w:r w:rsidR="008A4A0F">
        <w:t>that is,</w:t>
      </w:r>
      <w:r w:rsidRPr="0095509C">
        <w:t xml:space="preserve"> in the current Australian standard-of-care ‘</w:t>
      </w:r>
      <w:r w:rsidR="008A4A0F" w:rsidRPr="0095509C">
        <w:t>third line</w:t>
      </w:r>
      <w:r w:rsidRPr="0095509C">
        <w:t>’ mCRC setting. The response included the following:</w:t>
      </w:r>
    </w:p>
    <w:p w14:paraId="023B01CC" w14:textId="4C34DF10" w:rsidR="004F010D" w:rsidRPr="004F010D" w:rsidRDefault="004F010D" w:rsidP="000C68EE">
      <w:pPr>
        <w:pStyle w:val="ListBullet"/>
      </w:pPr>
      <w:r w:rsidRPr="004F010D">
        <w:t xml:space="preserve">The </w:t>
      </w:r>
      <w:r w:rsidR="000C68EE">
        <w:t>s</w:t>
      </w:r>
      <w:r w:rsidRPr="004F010D">
        <w:t>ponsor performed matching-adjusted indirect comparisons between FRESCO and RECOURSE, CONCUR, TERRA, CORRECT, and the control arm of the SUNLIGHT (TAS-102) study</w:t>
      </w:r>
      <w:r w:rsidR="00F02817">
        <w:t>.</w:t>
      </w:r>
      <w:r w:rsidR="00F02817">
        <w:rPr>
          <w:rStyle w:val="FootnoteReference"/>
        </w:rPr>
        <w:footnoteReference w:id="38"/>
      </w:r>
      <w:r w:rsidR="00F02817">
        <w:t xml:space="preserve"> </w:t>
      </w:r>
      <w:r w:rsidRPr="004F010D">
        <w:t>The</w:t>
      </w:r>
      <w:r w:rsidR="00EF18D1">
        <w:t xml:space="preserve"> sponsor</w:t>
      </w:r>
      <w:r w:rsidRPr="004F010D">
        <w:t xml:space="preserve"> state</w:t>
      </w:r>
      <w:r w:rsidR="00EF18D1">
        <w:t>s</w:t>
      </w:r>
      <w:r w:rsidRPr="004F010D">
        <w:t xml:space="preserve"> the analysis followed guidelines from the UK National Institute for Health and Care Excellence</w:t>
      </w:r>
      <w:r w:rsidR="00DF6FD8">
        <w:rPr>
          <w:vertAlign w:val="superscript"/>
        </w:rPr>
        <w:t xml:space="preserve"> </w:t>
      </w:r>
      <w:r w:rsidR="00DF6FD8">
        <w:rPr>
          <w:rStyle w:val="FootnoteReference"/>
        </w:rPr>
        <w:footnoteReference w:id="39"/>
      </w:r>
      <w:r w:rsidR="00DF6FD8">
        <w:rPr>
          <w:vertAlign w:val="superscript"/>
        </w:rPr>
        <w:t>,</w:t>
      </w:r>
      <w:r w:rsidR="008C3216">
        <w:rPr>
          <w:vertAlign w:val="superscript"/>
        </w:rPr>
        <w:t xml:space="preserve"> </w:t>
      </w:r>
      <w:r w:rsidR="00DF6FD8">
        <w:rPr>
          <w:rStyle w:val="FootnoteReference"/>
        </w:rPr>
        <w:footnoteReference w:id="40"/>
      </w:r>
      <w:r w:rsidRPr="004F010D">
        <w:t xml:space="preserve"> and used the method of moments to estimate weight parameters.</w:t>
      </w:r>
      <w:r w:rsidR="008C3216">
        <w:rPr>
          <w:rStyle w:val="FootnoteReference"/>
        </w:rPr>
        <w:footnoteReference w:id="41"/>
      </w:r>
      <w:r w:rsidR="00E06ACA">
        <w:rPr>
          <w:vertAlign w:val="superscript"/>
        </w:rPr>
        <w:t xml:space="preserve"> </w:t>
      </w:r>
      <w:r w:rsidRPr="004F010D">
        <w:t xml:space="preserve">Prior anti-VEGF, prior lines of metastatic disease treatment, age, sex, and ECOG status were treated as effect modifiers. The </w:t>
      </w:r>
      <w:r w:rsidR="0039734D">
        <w:t>s</w:t>
      </w:r>
      <w:r w:rsidRPr="004F010D">
        <w:t xml:space="preserve">ponsor concluded that OS was comparable in FRESCO and efficacy was unlikely to be worse with </w:t>
      </w:r>
      <w:proofErr w:type="spellStart"/>
      <w:r w:rsidRPr="004F010D">
        <w:t>fruquintinib</w:t>
      </w:r>
      <w:proofErr w:type="spellEnd"/>
      <w:r w:rsidRPr="004F010D">
        <w:t>.</w:t>
      </w:r>
    </w:p>
    <w:p w14:paraId="2CC0A68F" w14:textId="7D84CE75" w:rsidR="004F010D" w:rsidRPr="004F010D" w:rsidRDefault="004F010D" w:rsidP="0082428F">
      <w:pPr>
        <w:pStyle w:val="ListBullet"/>
      </w:pPr>
      <w:r w:rsidRPr="004F010D">
        <w:t xml:space="preserve">The </w:t>
      </w:r>
      <w:r w:rsidR="0082428F">
        <w:t>s</w:t>
      </w:r>
      <w:r w:rsidRPr="004F010D">
        <w:t xml:space="preserve">ponsor described some apparent cross-trial differences in toxicity profile, notably that TAS-102 is commonly associated with severe myelosuppression, while </w:t>
      </w:r>
      <w:proofErr w:type="spellStart"/>
      <w:r w:rsidRPr="004F010D">
        <w:t>fruquintinib</w:t>
      </w:r>
      <w:proofErr w:type="spellEnd"/>
      <w:r w:rsidRPr="004F010D">
        <w:t xml:space="preserve"> is not. Grade ≥</w:t>
      </w:r>
      <w:r w:rsidR="00C15C56">
        <w:t> </w:t>
      </w:r>
      <w:r w:rsidRPr="004F010D">
        <w:t>3 neutropenia and febrile neutropenia were reported at incidences of 38% and 4%, respectively in RECOURSE. The incidence of Grade ≥</w:t>
      </w:r>
      <w:r w:rsidR="00C15C56">
        <w:t> </w:t>
      </w:r>
      <w:r w:rsidRPr="004F010D">
        <w:t>3 neutropenia was 0.4% and 0% in FRESCO and FRESCO-2, respectively, and no cases of febrile neutropenia occurred.</w:t>
      </w:r>
    </w:p>
    <w:p w14:paraId="75C27F4F" w14:textId="4580DD78" w:rsidR="004F010D" w:rsidRPr="004F010D" w:rsidRDefault="004F010D" w:rsidP="0082428F">
      <w:pPr>
        <w:pStyle w:val="ListBullet"/>
        <w:rPr>
          <w:i/>
          <w:iCs/>
        </w:rPr>
      </w:pPr>
      <w:r w:rsidRPr="004F010D">
        <w:t xml:space="preserve">The </w:t>
      </w:r>
      <w:r w:rsidR="00C15C56">
        <w:t>s</w:t>
      </w:r>
      <w:r w:rsidRPr="004F010D">
        <w:t xml:space="preserve">ponsor considered that hepatotoxicity might be less frequently high-grade with </w:t>
      </w:r>
      <w:proofErr w:type="spellStart"/>
      <w:r w:rsidRPr="004F010D">
        <w:t>fruquintinib</w:t>
      </w:r>
      <w:proofErr w:type="spellEnd"/>
      <w:r w:rsidRPr="004F010D">
        <w:t xml:space="preserve"> than regorafenib, however there is no clear evidence of this.</w:t>
      </w:r>
    </w:p>
    <w:p w14:paraId="419AF5DB" w14:textId="365DDCBA" w:rsidR="004F010D" w:rsidRPr="004F010D" w:rsidRDefault="004F010D" w:rsidP="0082428F">
      <w:pPr>
        <w:pStyle w:val="ListBullet"/>
      </w:pPr>
      <w:r w:rsidRPr="004F010D">
        <w:t xml:space="preserve">The </w:t>
      </w:r>
      <w:r w:rsidR="00C15C56">
        <w:t>s</w:t>
      </w:r>
      <w:r w:rsidRPr="004F010D">
        <w:t xml:space="preserve">ponsor considered rates of </w:t>
      </w:r>
      <w:r w:rsidR="00EB4B58" w:rsidRPr="007409EE">
        <w:t xml:space="preserve">palmar-plantar </w:t>
      </w:r>
      <w:proofErr w:type="spellStart"/>
      <w:r w:rsidR="00EB4B58" w:rsidRPr="007409EE">
        <w:t>erythrodysaesthesia</w:t>
      </w:r>
      <w:proofErr w:type="spellEnd"/>
      <w:r w:rsidR="00EB4B58" w:rsidRPr="007409EE">
        <w:t xml:space="preserve"> syndrome </w:t>
      </w:r>
      <w:r w:rsidRPr="004F010D">
        <w:t xml:space="preserve">to be possibly different between regorafenib and </w:t>
      </w:r>
      <w:proofErr w:type="spellStart"/>
      <w:r w:rsidRPr="004F010D">
        <w:t>fruquintinib</w:t>
      </w:r>
      <w:proofErr w:type="spellEnd"/>
      <w:r w:rsidRPr="004F010D">
        <w:t>, however my interpretation of the same data is that incidence of Grade ≥</w:t>
      </w:r>
      <w:r w:rsidR="00BC63BA">
        <w:t> </w:t>
      </w:r>
      <w:r w:rsidRPr="004F010D">
        <w:t xml:space="preserve">3 </w:t>
      </w:r>
      <w:r w:rsidR="00EB4B58" w:rsidRPr="007409EE">
        <w:t xml:space="preserve">palmar-plantar </w:t>
      </w:r>
      <w:proofErr w:type="spellStart"/>
      <w:r w:rsidR="00EB4B58" w:rsidRPr="007409EE">
        <w:t>erythrodysaesthesia</w:t>
      </w:r>
      <w:proofErr w:type="spellEnd"/>
      <w:r w:rsidR="00EB4B58" w:rsidRPr="007409EE">
        <w:t xml:space="preserve"> syndrome</w:t>
      </w:r>
      <w:r w:rsidRPr="004F010D">
        <w:t xml:space="preserve"> appeared to be similar with both drugs (10.8% in FRESCO, 6.4% in FRESCO-2, 16.2% in CONCUR and 16.6% in CORRECT).</w:t>
      </w:r>
    </w:p>
    <w:p w14:paraId="70D6ABA5" w14:textId="1BD14FB4" w:rsidR="004F010D" w:rsidRPr="004F010D" w:rsidRDefault="004F010D" w:rsidP="0082428F">
      <w:pPr>
        <w:pStyle w:val="ListBullet"/>
      </w:pPr>
      <w:r w:rsidRPr="004F010D">
        <w:t xml:space="preserve">Dose form considerations: as an oral therapy, </w:t>
      </w:r>
      <w:proofErr w:type="spellStart"/>
      <w:r w:rsidRPr="004F010D">
        <w:t>fruquintinib</w:t>
      </w:r>
      <w:proofErr w:type="spellEnd"/>
      <w:r w:rsidRPr="004F010D">
        <w:t xml:space="preserve"> treatment could be feasible in situations where </w:t>
      </w:r>
      <w:r w:rsidR="00997B9F">
        <w:t>intravenous</w:t>
      </w:r>
      <w:r w:rsidRPr="004F010D">
        <w:t xml:space="preserve"> treatment is not feasible.</w:t>
      </w:r>
    </w:p>
    <w:p w14:paraId="002527A5" w14:textId="4DD3EE5C" w:rsidR="004F010D" w:rsidRPr="004F010D" w:rsidRDefault="004F010D" w:rsidP="004F010D">
      <w:pPr>
        <w:pStyle w:val="ListBullet"/>
      </w:pPr>
      <w:r w:rsidRPr="004F010D">
        <w:t>Funding considerations (these are not relevant to TGA considerations)</w:t>
      </w:r>
      <w:r w:rsidR="00D32A51">
        <w:t>.</w:t>
      </w:r>
    </w:p>
    <w:p w14:paraId="2C6E8E27" w14:textId="2864D0C0" w:rsidR="004F010D" w:rsidRPr="00D32A51" w:rsidRDefault="004F010D" w:rsidP="00D32A51">
      <w:r w:rsidRPr="00D32A51">
        <w:t xml:space="preserve">Considering </w:t>
      </w:r>
      <w:proofErr w:type="gramStart"/>
      <w:r w:rsidRPr="00D32A51">
        <w:t>all of</w:t>
      </w:r>
      <w:proofErr w:type="gramEnd"/>
      <w:r w:rsidRPr="00D32A51">
        <w:t xml:space="preserve"> the above, there are not clear reasons for</w:t>
      </w:r>
      <w:r w:rsidR="00106826">
        <w:t xml:space="preserve"> the Delegate</w:t>
      </w:r>
      <w:r w:rsidRPr="00D32A51">
        <w:t xml:space="preserve"> to be concerned that </w:t>
      </w:r>
      <w:proofErr w:type="spellStart"/>
      <w:r w:rsidRPr="00D32A51">
        <w:t>fruquintinib</w:t>
      </w:r>
      <w:proofErr w:type="spellEnd"/>
      <w:r w:rsidRPr="00D32A51">
        <w:t xml:space="preserve"> represents an unacceptable clinical treatment option </w:t>
      </w:r>
      <w:r w:rsidR="00106826">
        <w:t>that is,</w:t>
      </w:r>
      <w:r w:rsidRPr="00D32A51">
        <w:t xml:space="preserve"> a treatment with clearly inferior efficacy or safety to existing standard of care.</w:t>
      </w:r>
    </w:p>
    <w:p w14:paraId="28504444" w14:textId="24D2DC50" w:rsidR="004F010D" w:rsidRPr="00D32A51" w:rsidRDefault="004F010D" w:rsidP="00D32A51">
      <w:proofErr w:type="gramStart"/>
      <w:r w:rsidRPr="00112E43">
        <w:t>With regard to</w:t>
      </w:r>
      <w:proofErr w:type="gramEnd"/>
      <w:r w:rsidRPr="00112E43">
        <w:t xml:space="preserve"> the ability of the dataset to support the requested indication, the ACM’s advice is </w:t>
      </w:r>
      <w:r w:rsidR="00112E43" w:rsidRPr="00112E43">
        <w:t>included below</w:t>
      </w:r>
      <w:r w:rsidRPr="00112E43">
        <w:t>.</w:t>
      </w:r>
    </w:p>
    <w:p w14:paraId="2A579B41" w14:textId="77777777" w:rsidR="004F010D" w:rsidRPr="004F010D" w:rsidRDefault="004F010D" w:rsidP="007409EE">
      <w:pPr>
        <w:pStyle w:val="Heading5"/>
      </w:pPr>
      <w:r w:rsidRPr="004F010D">
        <w:t>Risks</w:t>
      </w:r>
    </w:p>
    <w:p w14:paraId="7DEBC914" w14:textId="654DD082" w:rsidR="004F010D" w:rsidRPr="007409EE" w:rsidRDefault="004F010D" w:rsidP="007409EE">
      <w:r w:rsidRPr="007409EE">
        <w:t xml:space="preserve">The toxicities of </w:t>
      </w:r>
      <w:proofErr w:type="spellStart"/>
      <w:r w:rsidRPr="007409EE">
        <w:t>fruquintinib</w:t>
      </w:r>
      <w:proofErr w:type="spellEnd"/>
      <w:r w:rsidRPr="007409EE">
        <w:t xml:space="preserve"> are in keeping with those previously described for other member</w:t>
      </w:r>
      <w:r w:rsidR="00240F3E">
        <w:t xml:space="preserve">s </w:t>
      </w:r>
      <w:r w:rsidRPr="007409EE">
        <w:t xml:space="preserve">of the VEGF </w:t>
      </w:r>
      <w:r w:rsidR="00113DA7">
        <w:rPr>
          <w:lang w:val="en-GB"/>
        </w:rPr>
        <w:t>t</w:t>
      </w:r>
      <w:r w:rsidR="00113DA7" w:rsidRPr="00F23B78">
        <w:rPr>
          <w:lang w:val="en-GB"/>
        </w:rPr>
        <w:t>yrosine kinase</w:t>
      </w:r>
      <w:r w:rsidRPr="007409EE">
        <w:t xml:space="preserve"> inhibitor class, including hypertension, haemorrhage, arterial thrombosis, gastrointestinal perforation, palmar-plantar </w:t>
      </w:r>
      <w:proofErr w:type="spellStart"/>
      <w:r w:rsidRPr="007409EE">
        <w:t>erythrodysaesthesia</w:t>
      </w:r>
      <w:proofErr w:type="spellEnd"/>
      <w:r w:rsidRPr="007409EE">
        <w:t xml:space="preserve"> syndrome </w:t>
      </w:r>
      <w:r w:rsidR="00EB4B58">
        <w:t>(</w:t>
      </w:r>
      <w:r w:rsidRPr="007409EE">
        <w:t>hand</w:t>
      </w:r>
      <w:r w:rsidR="00EB4B58">
        <w:noBreakHyphen/>
      </w:r>
      <w:r w:rsidRPr="007409EE">
        <w:t xml:space="preserve">foot syndrome), stomatitis, impaired wound healing, hepatotoxicity, thyroid dysfunction, and proteinuria (see </w:t>
      </w:r>
      <w:r w:rsidRPr="007409EE">
        <w:rPr>
          <w:lang w:val="en-GB"/>
        </w:rPr>
        <w:fldChar w:fldCharType="begin"/>
      </w:r>
      <w:r w:rsidRPr="007409EE">
        <w:instrText xml:space="preserve"> REF _Ref170919250 \h </w:instrText>
      </w:r>
      <w:r w:rsidR="007409EE">
        <w:instrText xml:space="preserve"> \* MERGEFORMAT </w:instrText>
      </w:r>
      <w:r w:rsidRPr="007409EE">
        <w:rPr>
          <w:lang w:val="en-GB"/>
        </w:rPr>
      </w:r>
      <w:r w:rsidRPr="007409EE">
        <w:rPr>
          <w:lang w:val="en-GB"/>
        </w:rPr>
        <w:fldChar w:fldCharType="separate"/>
      </w:r>
      <w:r w:rsidR="00A407E4" w:rsidRPr="00E0683A">
        <w:t xml:space="preserve">Table </w:t>
      </w:r>
      <w:r w:rsidR="00A407E4">
        <w:t>13</w:t>
      </w:r>
      <w:r w:rsidRPr="007409EE">
        <w:fldChar w:fldCharType="end"/>
      </w:r>
      <w:r w:rsidRPr="007409EE">
        <w:t>).</w:t>
      </w:r>
    </w:p>
    <w:p w14:paraId="317A8BB6" w14:textId="37D97F1F" w:rsidR="00EB4B58" w:rsidRPr="007409EE" w:rsidRDefault="004F010D" w:rsidP="007409EE">
      <w:r w:rsidRPr="007409EE">
        <w:lastRenderedPageBreak/>
        <w:t xml:space="preserve">High-grade (Grade 3 or higher) events that were common in </w:t>
      </w:r>
      <w:proofErr w:type="spellStart"/>
      <w:r w:rsidRPr="007409EE">
        <w:t>fruquintinib</w:t>
      </w:r>
      <w:proofErr w:type="spellEnd"/>
      <w:r w:rsidR="0056618C">
        <w:t xml:space="preserve"> </w:t>
      </w:r>
      <w:r w:rsidRPr="007409EE">
        <w:t>treated but not placebo</w:t>
      </w:r>
      <w:r w:rsidR="0056618C">
        <w:t xml:space="preserve"> </w:t>
      </w:r>
      <w:r w:rsidRPr="007409EE">
        <w:t xml:space="preserve">treated patients were hypertension (14%), palmar-plantar </w:t>
      </w:r>
      <w:proofErr w:type="spellStart"/>
      <w:r w:rsidRPr="007409EE">
        <w:t>erythrodysaesthesia</w:t>
      </w:r>
      <w:proofErr w:type="spellEnd"/>
      <w:r w:rsidRPr="007409EE">
        <w:t xml:space="preserve"> syndrome (6%), </w:t>
      </w:r>
      <w:r w:rsidR="00950622">
        <w:t>gastrointestinal</w:t>
      </w:r>
      <w:r w:rsidRPr="007409EE">
        <w:t xml:space="preserve"> perforations (3%), stomatitis (2%), proteinuria (2%) and thromboses (2%). Rates of high-grade hepatotoxicity and haemorrhage were similar between the </w:t>
      </w:r>
      <w:proofErr w:type="spellStart"/>
      <w:r w:rsidRPr="007409EE">
        <w:t>fruquintinib</w:t>
      </w:r>
      <w:proofErr w:type="spellEnd"/>
      <w:r w:rsidRPr="007409EE">
        <w:t xml:space="preserve"> and placebo arms. </w:t>
      </w:r>
      <w:r w:rsidR="00BE3E9F">
        <w:t>P</w:t>
      </w:r>
      <w:r w:rsidR="00BE3E9F" w:rsidRPr="00BE3E9F">
        <w:t xml:space="preserve">almar-plantar </w:t>
      </w:r>
      <w:proofErr w:type="spellStart"/>
      <w:r w:rsidR="00BE3E9F" w:rsidRPr="00BE3E9F">
        <w:t>erythrodysaesthesia</w:t>
      </w:r>
      <w:proofErr w:type="spellEnd"/>
      <w:r w:rsidR="00BE3E9F" w:rsidRPr="00BE3E9F">
        <w:t xml:space="preserve"> syndrome</w:t>
      </w:r>
      <w:r w:rsidRPr="007409EE">
        <w:t xml:space="preserve"> is a known effect of small molecules in this class and was among the most common reasons for dose modifications in FRESCO-2 </w:t>
      </w:r>
      <w:r w:rsidR="00B16EAC">
        <w:t>(</w:t>
      </w:r>
      <w:r w:rsidR="004A62CC">
        <w:rPr>
          <w:lang w:val="en-GB"/>
        </w:rPr>
        <w:fldChar w:fldCharType="begin"/>
      </w:r>
      <w:r w:rsidR="004A62CC">
        <w:instrText xml:space="preserve"> REF _Ref170919250 \h </w:instrText>
      </w:r>
      <w:r w:rsidR="004A62CC">
        <w:rPr>
          <w:lang w:val="en-GB"/>
        </w:rPr>
      </w:r>
      <w:r w:rsidR="004A62CC">
        <w:rPr>
          <w:lang w:val="en-GB"/>
        </w:rPr>
        <w:fldChar w:fldCharType="separate"/>
      </w:r>
      <w:r w:rsidR="00A407E4" w:rsidRPr="00E0683A">
        <w:t xml:space="preserve">Table </w:t>
      </w:r>
      <w:r w:rsidR="00A407E4">
        <w:rPr>
          <w:noProof/>
        </w:rPr>
        <w:t>13</w:t>
      </w:r>
      <w:r w:rsidR="004A62CC">
        <w:rPr>
          <w:lang w:val="en-GB"/>
        </w:rPr>
        <w:fldChar w:fldCharType="end"/>
      </w:r>
      <w:r w:rsidRPr="007409EE">
        <w:t>).</w:t>
      </w:r>
    </w:p>
    <w:p w14:paraId="35E9FCF6" w14:textId="7C6FC7FF" w:rsidR="004F010D" w:rsidRPr="007409EE" w:rsidRDefault="004F010D" w:rsidP="007409EE">
      <w:r w:rsidRPr="007409EE">
        <w:t xml:space="preserve">Analysis of deaths in the study found two cases of gastrointestinal perforation in </w:t>
      </w:r>
      <w:proofErr w:type="spellStart"/>
      <w:r w:rsidRPr="007409EE">
        <w:t>fruquintinib</w:t>
      </w:r>
      <w:proofErr w:type="spellEnd"/>
      <w:r w:rsidR="0056618C">
        <w:t xml:space="preserve"> </w:t>
      </w:r>
      <w:r w:rsidRPr="007409EE">
        <w:t xml:space="preserve">treated patients, for which disease progression was not clearly causal. Perforation is an adverse event previously described for this class, and the rates of gastrointestinal perforations or fistulas was higher in the </w:t>
      </w:r>
      <w:proofErr w:type="spellStart"/>
      <w:r w:rsidRPr="007409EE">
        <w:t>fruquintinib</w:t>
      </w:r>
      <w:proofErr w:type="spellEnd"/>
      <w:r w:rsidRPr="007409EE">
        <w:t xml:space="preserve"> than placebo arm (</w:t>
      </w:r>
      <w:r w:rsidRPr="007409EE">
        <w:rPr>
          <w:lang w:val="en-GB"/>
        </w:rPr>
        <w:fldChar w:fldCharType="begin"/>
      </w:r>
      <w:r w:rsidRPr="007409EE">
        <w:instrText xml:space="preserve"> REF _Ref170919250 \h </w:instrText>
      </w:r>
      <w:r w:rsidR="007409EE">
        <w:instrText xml:space="preserve"> \* MERGEFORMAT </w:instrText>
      </w:r>
      <w:r w:rsidRPr="007409EE">
        <w:rPr>
          <w:lang w:val="en-GB"/>
        </w:rPr>
      </w:r>
      <w:r w:rsidRPr="007409EE">
        <w:rPr>
          <w:lang w:val="en-GB"/>
        </w:rPr>
        <w:fldChar w:fldCharType="separate"/>
      </w:r>
      <w:r w:rsidR="00A407E4" w:rsidRPr="00E0683A">
        <w:t xml:space="preserve">Table </w:t>
      </w:r>
      <w:r w:rsidR="00A407E4">
        <w:t>13</w:t>
      </w:r>
      <w:r w:rsidRPr="007409EE">
        <w:fldChar w:fldCharType="end"/>
      </w:r>
      <w:r w:rsidRPr="007409EE">
        <w:t xml:space="preserve">). More fatal infections (mostly cases of pneumonia) were reported in patients receiving </w:t>
      </w:r>
      <w:proofErr w:type="spellStart"/>
      <w:r w:rsidRPr="007409EE">
        <w:t>fruquintinib</w:t>
      </w:r>
      <w:proofErr w:type="spellEnd"/>
      <w:r w:rsidRPr="007409EE">
        <w:t xml:space="preserve"> than those who received placebo.</w:t>
      </w:r>
    </w:p>
    <w:p w14:paraId="6C9A4C1F" w14:textId="1E2B235F" w:rsidR="004F010D" w:rsidRPr="00DD4A80" w:rsidRDefault="004F010D" w:rsidP="00DD4A80">
      <w:r w:rsidRPr="00DD4A80">
        <w:t xml:space="preserve">There was one case of Grade 4 PRES in the </w:t>
      </w:r>
      <w:proofErr w:type="spellStart"/>
      <w:r w:rsidRPr="00DD4A80">
        <w:t>fruquintinib</w:t>
      </w:r>
      <w:proofErr w:type="spellEnd"/>
      <w:r w:rsidRPr="00DD4A80">
        <w:t xml:space="preserve"> arm. Three further cases have been reported in post-market data since (with cumulative exposure in approximately 80,000 patients since initial approval; in China in 2018), as well as a single case of aortic dissection.</w:t>
      </w:r>
    </w:p>
    <w:p w14:paraId="76672A88" w14:textId="4C767A1B" w:rsidR="004F010D" w:rsidRPr="007409EE" w:rsidRDefault="004F010D" w:rsidP="007409EE">
      <w:r w:rsidRPr="007409EE">
        <w:t xml:space="preserve">A greater proportion of patients in the FRESCO study than in the FRESCO-2 study experienced </w:t>
      </w:r>
      <w:r w:rsidR="001907B7">
        <w:t>adverse events of special interest</w:t>
      </w:r>
      <w:r w:rsidRPr="007409EE">
        <w:t xml:space="preserve">. </w:t>
      </w:r>
      <w:r w:rsidR="00013DFA">
        <w:t>The Delegate</w:t>
      </w:r>
      <w:r w:rsidRPr="007409EE">
        <w:t xml:space="preserve"> agree</w:t>
      </w:r>
      <w:r w:rsidR="00013DFA">
        <w:t>s</w:t>
      </w:r>
      <w:r w:rsidRPr="007409EE">
        <w:t xml:space="preserve"> with the following comment from the </w:t>
      </w:r>
      <w:r w:rsidR="002908BA">
        <w:t>overseas regulator</w:t>
      </w:r>
      <w:r w:rsidRPr="007409EE">
        <w:t>:</w:t>
      </w:r>
    </w:p>
    <w:p w14:paraId="6ED7AB8C" w14:textId="362FEDBB" w:rsidR="004F010D" w:rsidRPr="007409EE" w:rsidRDefault="003E1DFF" w:rsidP="00013DFA">
      <w:pPr>
        <w:ind w:left="720"/>
      </w:pPr>
      <w:r>
        <w:t>‘</w:t>
      </w:r>
      <w:r w:rsidR="004F010D" w:rsidRPr="007409EE">
        <w:t xml:space="preserve">Among the most notable differences between the two studies was the difference in the incidence of palmar-plantar erythrodysesthesia syndrome (49% and 19% in FRESCO and FRESCO-2 respectively) in patients treated with </w:t>
      </w:r>
      <w:proofErr w:type="spellStart"/>
      <w:r w:rsidR="004F010D" w:rsidRPr="007409EE">
        <w:t>fruquintinib</w:t>
      </w:r>
      <w:proofErr w:type="spellEnd"/>
      <w:r w:rsidR="004F010D" w:rsidRPr="007409EE">
        <w:t xml:space="preserve"> arm. The potential role of a more diverse population in the decreased incidence of palmar-plantar erythrodysesthesia in FRESCO-2 cannot be explored with the existing data and the reasons for the difference remain unclear.</w:t>
      </w:r>
      <w:r>
        <w:t>’</w:t>
      </w:r>
    </w:p>
    <w:p w14:paraId="62DD1BB5" w14:textId="77777777" w:rsidR="004F010D" w:rsidRPr="004F010D" w:rsidRDefault="004F010D" w:rsidP="003E1DFF">
      <w:pPr>
        <w:pStyle w:val="Heading5"/>
      </w:pPr>
      <w:r w:rsidRPr="004F010D">
        <w:t>Infections</w:t>
      </w:r>
    </w:p>
    <w:p w14:paraId="577CE6B7" w14:textId="64242B4E" w:rsidR="004F010D" w:rsidRPr="003E1DFF" w:rsidRDefault="004F010D" w:rsidP="003E1DFF">
      <w:r w:rsidRPr="003E1DFF">
        <w:t>The RMP evaluat</w:t>
      </w:r>
      <w:r w:rsidR="003E1DFF">
        <w:t>ion</w:t>
      </w:r>
      <w:r w:rsidRPr="003E1DFF">
        <w:t xml:space="preserve"> noted that the </w:t>
      </w:r>
      <w:r w:rsidR="00955D09">
        <w:t>overseas regulators</w:t>
      </w:r>
      <w:r w:rsidRPr="003E1DFF">
        <w:t xml:space="preserve"> label contains a warning/precaution regarding infections, as follows, and that no similar warning is included in the proposed Australian PI.</w:t>
      </w:r>
    </w:p>
    <w:p w14:paraId="6DABCCE6" w14:textId="367EFEC3" w:rsidR="004F010D" w:rsidRPr="00AF7CD4" w:rsidRDefault="007A0A5C" w:rsidP="007A0A5C">
      <w:pPr>
        <w:ind w:left="720"/>
      </w:pPr>
      <w:r>
        <w:t>‘</w:t>
      </w:r>
      <w:r w:rsidR="00AF7CD4" w:rsidRPr="00AF7CD4">
        <w:t>F</w:t>
      </w:r>
      <w:r w:rsidR="00AF7CD4">
        <w:t>ruzaqla</w:t>
      </w:r>
      <w:r w:rsidR="004F010D" w:rsidRPr="00AF7CD4">
        <w:t xml:space="preserve"> can cause an increased risk of infections, including fatal infections. In 781 patients treated with F</w:t>
      </w:r>
      <w:r w:rsidR="00AF7CD4">
        <w:t>ruzaqla</w:t>
      </w:r>
      <w:r w:rsidR="004F010D" w:rsidRPr="00AF7CD4">
        <w:t xml:space="preserve"> across three randomi</w:t>
      </w:r>
      <w:r w:rsidR="00AF7CD4">
        <w:t>s</w:t>
      </w:r>
      <w:r w:rsidR="004F010D" w:rsidRPr="00AF7CD4">
        <w:t>ed, placebo-controlled trials, the overall incidence of infections was higher (18% v</w:t>
      </w:r>
      <w:r w:rsidR="008B37E8">
        <w:t>ersus</w:t>
      </w:r>
      <w:r w:rsidR="004F010D" w:rsidRPr="00AF7CD4">
        <w:t xml:space="preserve"> 12%) including for fatal infections (1% v</w:t>
      </w:r>
      <w:r w:rsidR="008B37E8">
        <w:t>ersus</w:t>
      </w:r>
      <w:r w:rsidR="004F010D" w:rsidRPr="00AF7CD4">
        <w:t xml:space="preserve"> 0.3%) as compared to the placebo arms (n</w:t>
      </w:r>
      <w:r w:rsidR="008B37E8">
        <w:t> </w:t>
      </w:r>
      <w:r w:rsidR="004F010D" w:rsidRPr="00AF7CD4">
        <w:t>=</w:t>
      </w:r>
      <w:r w:rsidR="008B37E8">
        <w:t> </w:t>
      </w:r>
      <w:r w:rsidR="004F010D" w:rsidRPr="00AF7CD4">
        <w:t>391)</w:t>
      </w:r>
      <w:r w:rsidR="008B37E8">
        <w:t>.</w:t>
      </w:r>
      <w:r>
        <w:t>’</w:t>
      </w:r>
    </w:p>
    <w:p w14:paraId="72E08C43" w14:textId="6769FDB2" w:rsidR="004F010D" w:rsidRPr="008B37E8" w:rsidRDefault="004F010D" w:rsidP="008B37E8">
      <w:r w:rsidRPr="008B37E8">
        <w:t xml:space="preserve">The </w:t>
      </w:r>
      <w:r w:rsidR="008B37E8" w:rsidRPr="008B37E8">
        <w:t>s</w:t>
      </w:r>
      <w:r w:rsidRPr="008B37E8">
        <w:t>ponsor responded to these concerns with the following:</w:t>
      </w:r>
    </w:p>
    <w:p w14:paraId="2B71D828" w14:textId="77777777" w:rsidR="004F010D" w:rsidRPr="004F010D" w:rsidRDefault="004F010D" w:rsidP="001346A2">
      <w:pPr>
        <w:pStyle w:val="ListBullet"/>
      </w:pPr>
      <w:r w:rsidRPr="004F010D">
        <w:t>There is a background risk of infection in patients with advanced-stage malignancies due to compromised immunity.</w:t>
      </w:r>
    </w:p>
    <w:p w14:paraId="497E4D13" w14:textId="6940E1D6" w:rsidR="004F010D" w:rsidRPr="004F010D" w:rsidRDefault="004F010D" w:rsidP="001346A2">
      <w:pPr>
        <w:pStyle w:val="ListBullet"/>
      </w:pPr>
      <w:r w:rsidRPr="004F010D">
        <w:t>The observed higher incidences could be due to a longer duration of exposure/observation. In an integrated safety analysis set</w:t>
      </w:r>
      <w:r w:rsidR="0080096D">
        <w:t xml:space="preserve"> </w:t>
      </w:r>
      <w:r w:rsidRPr="004F010D">
        <w:t>composed of all treated patients across FRESCO, FRESCO</w:t>
      </w:r>
      <w:r w:rsidR="0080096D">
        <w:noBreakHyphen/>
      </w:r>
      <w:r w:rsidRPr="004F010D">
        <w:t xml:space="preserve">2 and an earlier </w:t>
      </w:r>
      <w:r w:rsidR="001346A2">
        <w:t>P</w:t>
      </w:r>
      <w:r w:rsidRPr="004F010D">
        <w:t xml:space="preserve">hase </w:t>
      </w:r>
      <w:r w:rsidR="001346A2">
        <w:t>II</w:t>
      </w:r>
      <w:r w:rsidRPr="004F010D">
        <w:t xml:space="preserve"> </w:t>
      </w:r>
      <w:r w:rsidR="001346A2">
        <w:t>randomised control</w:t>
      </w:r>
      <w:r w:rsidR="008F6B67">
        <w:t>led</w:t>
      </w:r>
      <w:r w:rsidR="00C74116">
        <w:t xml:space="preserve"> trial</w:t>
      </w:r>
      <w:r w:rsidRPr="004F010D">
        <w:t xml:space="preserve"> </w:t>
      </w:r>
      <w:proofErr w:type="gramStart"/>
      <w:r w:rsidRPr="004F010D">
        <w:t>similar to</w:t>
      </w:r>
      <w:proofErr w:type="gramEnd"/>
      <w:r w:rsidRPr="004F010D">
        <w:t xml:space="preserve"> FRESCO:</w:t>
      </w:r>
    </w:p>
    <w:p w14:paraId="0D5FA3E1" w14:textId="1FD027A9" w:rsidR="004F010D" w:rsidRPr="004F010D" w:rsidRDefault="004F010D" w:rsidP="008F6B67">
      <w:pPr>
        <w:pStyle w:val="ListBullet2"/>
      </w:pPr>
      <w:r w:rsidRPr="004F010D">
        <w:t xml:space="preserve">Exposure adjusted incidence of infections was comparable between patients who received </w:t>
      </w:r>
      <w:proofErr w:type="spellStart"/>
      <w:r w:rsidRPr="004F010D">
        <w:t>fruquintinib</w:t>
      </w:r>
      <w:proofErr w:type="spellEnd"/>
      <w:r w:rsidRPr="004F010D">
        <w:t xml:space="preserve"> (n</w:t>
      </w:r>
      <w:r w:rsidR="008F6B67">
        <w:t> </w:t>
      </w:r>
      <w:r w:rsidRPr="004F010D">
        <w:t>=</w:t>
      </w:r>
      <w:r w:rsidR="008F6B67">
        <w:t> </w:t>
      </w:r>
      <w:r w:rsidRPr="004F010D">
        <w:t>781) and those who received placebo (n</w:t>
      </w:r>
      <w:r w:rsidR="008F6B67">
        <w:t> </w:t>
      </w:r>
      <w:r w:rsidRPr="004F010D">
        <w:t>=</w:t>
      </w:r>
      <w:r w:rsidR="008F6B67">
        <w:t> </w:t>
      </w:r>
      <w:r w:rsidRPr="004F010D">
        <w:t>391) at 4.1 and 4.2 per 100 patient-cycles, respectively.</w:t>
      </w:r>
    </w:p>
    <w:p w14:paraId="291E9747" w14:textId="551B0AFB" w:rsidR="004F010D" w:rsidRPr="004F010D" w:rsidRDefault="004F010D" w:rsidP="008F6B67">
      <w:pPr>
        <w:pStyle w:val="ListBullet2"/>
      </w:pPr>
      <w:r w:rsidRPr="004F010D">
        <w:t>Exposure adjusted incidence of Grade ≥</w:t>
      </w:r>
      <w:r w:rsidR="00320DA1">
        <w:t> </w:t>
      </w:r>
      <w:r w:rsidRPr="004F010D">
        <w:t>3 infections was similar between the</w:t>
      </w:r>
      <w:r w:rsidR="00320DA1">
        <w:t xml:space="preserve"> two </w:t>
      </w:r>
      <w:r w:rsidRPr="004F010D">
        <w:t>treatment groups: 1.0 and 1.2 per 100 patient-cycles, respectively.</w:t>
      </w:r>
    </w:p>
    <w:p w14:paraId="159E3C89" w14:textId="6EBD0DB9" w:rsidR="004F010D" w:rsidRPr="004F010D" w:rsidRDefault="004F010D" w:rsidP="008F6B67">
      <w:pPr>
        <w:pStyle w:val="ListBullet2"/>
      </w:pPr>
      <w:r w:rsidRPr="004F010D">
        <w:lastRenderedPageBreak/>
        <w:t xml:space="preserve">The median time (Q1, Q3) to onset from first dose was later in </w:t>
      </w:r>
      <w:proofErr w:type="spellStart"/>
      <w:r w:rsidRPr="004F010D">
        <w:t>fruquintinib</w:t>
      </w:r>
      <w:proofErr w:type="spellEnd"/>
      <w:r w:rsidR="001F107D">
        <w:t xml:space="preserve"> </w:t>
      </w:r>
      <w:r w:rsidRPr="004F010D">
        <w:t xml:space="preserve">treated patients (52 days </w:t>
      </w:r>
      <w:r w:rsidR="00C51201">
        <w:t>(</w:t>
      </w:r>
      <w:r w:rsidRPr="004F010D">
        <w:t>17.0, 114</w:t>
      </w:r>
      <w:r w:rsidR="00C51201">
        <w:t>)</w:t>
      </w:r>
      <w:r w:rsidRPr="004F010D">
        <w:t xml:space="preserve">) than placebo patients (31.5 days </w:t>
      </w:r>
      <w:r w:rsidR="00C51201">
        <w:t>(</w:t>
      </w:r>
      <w:r w:rsidRPr="004F010D">
        <w:t>13.5, 54.0</w:t>
      </w:r>
      <w:r w:rsidR="00C51201">
        <w:t>)</w:t>
      </w:r>
      <w:r w:rsidRPr="004F010D">
        <w:t>).</w:t>
      </w:r>
    </w:p>
    <w:p w14:paraId="72852105" w14:textId="0AA98AF9" w:rsidR="004F010D" w:rsidRPr="004F010D" w:rsidRDefault="004F010D" w:rsidP="008F6B67">
      <w:pPr>
        <w:pStyle w:val="ListBullet2"/>
      </w:pPr>
      <w:r w:rsidRPr="004F010D">
        <w:t xml:space="preserve">The unadjusted incidence of serious infections was comparable between the </w:t>
      </w:r>
      <w:proofErr w:type="spellStart"/>
      <w:r w:rsidRPr="004F010D">
        <w:t>fruquintinib</w:t>
      </w:r>
      <w:proofErr w:type="spellEnd"/>
      <w:r w:rsidRPr="004F010D">
        <w:t xml:space="preserve"> group and placebo group (4.1% </w:t>
      </w:r>
      <w:r w:rsidR="00C51201">
        <w:t>versus</w:t>
      </w:r>
      <w:r w:rsidRPr="004F010D">
        <w:t xml:space="preserve"> 3.3%).</w:t>
      </w:r>
    </w:p>
    <w:p w14:paraId="7850A111" w14:textId="71C2A853" w:rsidR="004F010D" w:rsidRPr="004F010D" w:rsidRDefault="004F010D" w:rsidP="008F6B67">
      <w:pPr>
        <w:pStyle w:val="ListBullet2"/>
      </w:pPr>
      <w:r w:rsidRPr="004F010D">
        <w:t>The incidence of fatal infections was slightly higher than that in the placebo group (1.0% v</w:t>
      </w:r>
      <w:r w:rsidR="00C51201">
        <w:t>ersus</w:t>
      </w:r>
      <w:r w:rsidRPr="004F010D">
        <w:t xml:space="preserve"> 0.3%), but these were mostly attributable to pneumonia which has been included in the product label as an adverse drug reaction.</w:t>
      </w:r>
    </w:p>
    <w:p w14:paraId="48400AE0" w14:textId="77777777" w:rsidR="004F010D" w:rsidRPr="004F010D" w:rsidRDefault="004F010D" w:rsidP="008F6B67">
      <w:pPr>
        <w:pStyle w:val="ListBullet2"/>
      </w:pPr>
      <w:r w:rsidRPr="004F010D">
        <w:t xml:space="preserve">There were no incidence increases in other types of serious infections or fatal infections with </w:t>
      </w:r>
      <w:proofErr w:type="spellStart"/>
      <w:r w:rsidRPr="004F010D">
        <w:t>fruquintinib</w:t>
      </w:r>
      <w:proofErr w:type="spellEnd"/>
      <w:r w:rsidRPr="004F010D">
        <w:t xml:space="preserve"> use compared to placebo.</w:t>
      </w:r>
    </w:p>
    <w:p w14:paraId="5BEE1D66" w14:textId="24C9B3AF" w:rsidR="004F010D" w:rsidRPr="00C14DAA" w:rsidRDefault="00C14DAA" w:rsidP="00C14DAA">
      <w:r w:rsidRPr="00C14DAA">
        <w:t xml:space="preserve">The Delegate </w:t>
      </w:r>
      <w:r w:rsidR="004F010D" w:rsidRPr="00C14DAA">
        <w:t>agree</w:t>
      </w:r>
      <w:r w:rsidRPr="00C14DAA">
        <w:t>s</w:t>
      </w:r>
      <w:r w:rsidR="004F010D" w:rsidRPr="00C14DAA">
        <w:t xml:space="preserve"> that the rate of infections is likely to be higher in cancer patients, hence the comparison to placebo in a randomised study is the most robust way to assess such effects. </w:t>
      </w:r>
      <w:r w:rsidR="00FB5720">
        <w:t>T</w:t>
      </w:r>
      <w:r w:rsidR="00E1756E">
        <w:t xml:space="preserve">he Delegate </w:t>
      </w:r>
      <w:r w:rsidR="004F010D" w:rsidRPr="00C14DAA">
        <w:t>consider</w:t>
      </w:r>
      <w:r w:rsidR="00E1756E">
        <w:t>s</w:t>
      </w:r>
      <w:r w:rsidR="004F010D" w:rsidRPr="00C14DAA">
        <w:t xml:space="preserve"> the most relevant dataset to be the FRESCO-2 dataset, which has the clearest external validity to an Australian population. The size of the study is adequate to be reasonably likely to characterise common (incidence &gt;</w:t>
      </w:r>
      <w:r w:rsidR="00FB5720">
        <w:t> </w:t>
      </w:r>
      <w:r w:rsidR="004F010D" w:rsidRPr="00C14DAA">
        <w:t>1%) events.</w:t>
      </w:r>
    </w:p>
    <w:p w14:paraId="58EAACB7" w14:textId="0BF762CD" w:rsidR="004F010D" w:rsidRPr="004F010D" w:rsidRDefault="007D288F" w:rsidP="004F010D">
      <w:r>
        <w:t>V</w:t>
      </w:r>
      <w:r w:rsidRPr="00032E4E">
        <w:t>ascular endothelial growth factor</w:t>
      </w:r>
      <w:r w:rsidR="004F010D" w:rsidRPr="004F010D">
        <w:t xml:space="preserve"> inhibitors as a class are associated with some myelotoxicity. </w:t>
      </w:r>
      <w:proofErr w:type="gramStart"/>
      <w:r w:rsidR="004F010D" w:rsidRPr="004F010D">
        <w:t>A number of</w:t>
      </w:r>
      <w:proofErr w:type="gramEnd"/>
      <w:r w:rsidR="004F010D" w:rsidRPr="004F010D">
        <w:t xml:space="preserve"> plausible mechanisms have been proposed.</w:t>
      </w:r>
      <w:r w:rsidR="00240D93">
        <w:rPr>
          <w:rStyle w:val="FootnoteReference"/>
        </w:rPr>
        <w:footnoteReference w:id="42"/>
      </w:r>
      <w:r w:rsidR="004F010D" w:rsidRPr="004F010D">
        <w:t xml:space="preserve"> Nonclinical data suggested a potential for haematopoietic toxicity and immunotoxicity of </w:t>
      </w:r>
      <w:proofErr w:type="spellStart"/>
      <w:r w:rsidR="004F010D" w:rsidRPr="004F010D">
        <w:t>fruquintinib</w:t>
      </w:r>
      <w:proofErr w:type="spellEnd"/>
      <w:r w:rsidR="004F010D" w:rsidRPr="004F010D">
        <w:t xml:space="preserve"> (decreased lymphocytes and atrophy of thymus, atrophy of spleen, mast cell infiltration in the mesenteric lymph nodes).</w:t>
      </w:r>
    </w:p>
    <w:p w14:paraId="3DF0E071" w14:textId="2F876500" w:rsidR="004F010D" w:rsidRPr="004F010D" w:rsidRDefault="004F010D" w:rsidP="004F010D">
      <w:r w:rsidRPr="004F010D">
        <w:t xml:space="preserve">Of note, neutropenia was more common in patients who received </w:t>
      </w:r>
      <w:proofErr w:type="spellStart"/>
      <w:r w:rsidRPr="004F010D">
        <w:t>fruquintinib</w:t>
      </w:r>
      <w:proofErr w:type="spellEnd"/>
      <w:r w:rsidRPr="004F010D">
        <w:t xml:space="preserve"> than placebo in FRESCO-2 (</w:t>
      </w:r>
      <w:r w:rsidRPr="004F010D">
        <w:fldChar w:fldCharType="begin"/>
      </w:r>
      <w:r w:rsidRPr="004F010D">
        <w:instrText xml:space="preserve"> REF _Ref171324125 \h </w:instrText>
      </w:r>
      <w:r w:rsidRPr="004F010D">
        <w:fldChar w:fldCharType="separate"/>
      </w:r>
      <w:r w:rsidR="00A407E4" w:rsidRPr="00E0683A">
        <w:t xml:space="preserve">Table </w:t>
      </w:r>
      <w:r w:rsidR="00A407E4">
        <w:rPr>
          <w:noProof/>
        </w:rPr>
        <w:t>11</w:t>
      </w:r>
      <w:r w:rsidRPr="004F010D">
        <w:fldChar w:fldCharType="end"/>
      </w:r>
      <w:r w:rsidRPr="004F010D">
        <w:t xml:space="preserve">), repeating findings in the earlier FRESCO study. The duration of exposure in both studies was longer in the active compared to the placebo arm, however, this does not account for the increased incidence. Fatal events in both the FRESCO and FRESCO-2 trials indicates an excess of more than double the number of fatal infections in the </w:t>
      </w:r>
      <w:proofErr w:type="spellStart"/>
      <w:r w:rsidRPr="004F010D">
        <w:t>fruquintinib</w:t>
      </w:r>
      <w:proofErr w:type="spellEnd"/>
      <w:r w:rsidRPr="004F010D">
        <w:t xml:space="preserve"> arms. The </w:t>
      </w:r>
      <w:r w:rsidR="00FC6711">
        <w:t>s</w:t>
      </w:r>
      <w:r w:rsidRPr="004F010D">
        <w:t xml:space="preserve">ponsor suggests discounting this on the basis that most of the infections were lower respiratory/pneumonias. </w:t>
      </w:r>
      <w:r w:rsidR="00FC6711">
        <w:t xml:space="preserve">The Delegate is </w:t>
      </w:r>
      <w:r w:rsidRPr="004F010D">
        <w:t>not aware of any rationale for why pneumonia should be considered separately from other infections and do</w:t>
      </w:r>
      <w:r w:rsidR="001E64CF">
        <w:t>es</w:t>
      </w:r>
      <w:r w:rsidRPr="004F010D">
        <w:t xml:space="preserve"> not believe it is an appropriate approach.</w:t>
      </w:r>
    </w:p>
    <w:p w14:paraId="5CDF2178" w14:textId="3662D8E2" w:rsidR="004F010D" w:rsidRPr="004F010D" w:rsidRDefault="004F010D" w:rsidP="004F010D">
      <w:r w:rsidRPr="004F010D">
        <w:t>Considering the class of drug and the nonclinical data, as well as the randomised, double</w:t>
      </w:r>
      <w:r w:rsidR="00FC6711">
        <w:t xml:space="preserve"> </w:t>
      </w:r>
      <w:r w:rsidRPr="004F010D">
        <w:t xml:space="preserve">blind, placebo-controlled clinical data indicating increased neutropenia and increased rates of serious and fatal infections, </w:t>
      </w:r>
      <w:r w:rsidR="00AC387B">
        <w:t>the Delegate</w:t>
      </w:r>
      <w:r w:rsidRPr="004F010D">
        <w:t xml:space="preserve"> consider</w:t>
      </w:r>
      <w:r w:rsidR="00AC387B">
        <w:t>s</w:t>
      </w:r>
      <w:r w:rsidRPr="004F010D">
        <w:t xml:space="preserve"> a causal relationship to be clearly plausible.</w:t>
      </w:r>
    </w:p>
    <w:p w14:paraId="6ADD97A0" w14:textId="3A9F4A19" w:rsidR="004F010D" w:rsidRPr="004F010D" w:rsidRDefault="004F010D" w:rsidP="004F010D">
      <w:r w:rsidRPr="004F010D">
        <w:t xml:space="preserve">In response to the above concerns, in the pre-ACM response, the </w:t>
      </w:r>
      <w:r w:rsidR="00AC387B">
        <w:t>s</w:t>
      </w:r>
      <w:r w:rsidRPr="004F010D">
        <w:t>ponsor proposed</w:t>
      </w:r>
      <w:r w:rsidR="000E3AAF">
        <w:t xml:space="preserve"> to include </w:t>
      </w:r>
      <w:r w:rsidR="00245AFC">
        <w:t>information for infections under ‘special warning and precautions for use</w:t>
      </w:r>
      <w:r w:rsidR="00AF39DB">
        <w:t>’ in the PI.</w:t>
      </w:r>
      <w:r w:rsidR="009954EE">
        <w:t xml:space="preserve"> </w:t>
      </w:r>
      <w:r w:rsidR="00885E5F">
        <w:t>The Delegate agrees that a warning/precaution is appropriate.</w:t>
      </w:r>
    </w:p>
    <w:p w14:paraId="520EB375" w14:textId="77777777" w:rsidR="004F010D" w:rsidRPr="004F010D" w:rsidRDefault="004F010D" w:rsidP="00885E5F">
      <w:pPr>
        <w:pStyle w:val="Heading5"/>
      </w:pPr>
      <w:r w:rsidRPr="004F010D">
        <w:t>Hepatotoxicity</w:t>
      </w:r>
    </w:p>
    <w:p w14:paraId="190783B8" w14:textId="79823359" w:rsidR="004F010D" w:rsidRPr="004F010D" w:rsidRDefault="004F010D" w:rsidP="004F010D">
      <w:r w:rsidRPr="004F010D">
        <w:t>The PI includes information on dose reductions due to liver function abnormalities but not warning/precaution text.</w:t>
      </w:r>
    </w:p>
    <w:p w14:paraId="5054F91E" w14:textId="79835AF5" w:rsidR="004F010D" w:rsidRPr="004F010D" w:rsidRDefault="004F010D" w:rsidP="004F010D">
      <w:r w:rsidRPr="004F010D">
        <w:t xml:space="preserve">The approved </w:t>
      </w:r>
      <w:r w:rsidR="00E169C3">
        <w:t>overseas</w:t>
      </w:r>
      <w:r w:rsidRPr="004F010D">
        <w:t xml:space="preserve"> label includes the following warning text, which the </w:t>
      </w:r>
      <w:r w:rsidR="003F761A">
        <w:t>s</w:t>
      </w:r>
      <w:r w:rsidRPr="004F010D">
        <w:t xml:space="preserve">ponsor clarified was requested by the </w:t>
      </w:r>
      <w:r w:rsidR="00491AA3">
        <w:t>overseas regulator</w:t>
      </w:r>
      <w:r w:rsidRPr="004F010D">
        <w:t>, and is not currently in the Australian P</w:t>
      </w:r>
      <w:r w:rsidR="00E0578B">
        <w:t>I</w:t>
      </w:r>
      <w:r w:rsidRPr="004F010D">
        <w:t xml:space="preserve">: </w:t>
      </w:r>
    </w:p>
    <w:p w14:paraId="66E5D47B" w14:textId="61E256EF" w:rsidR="004F010D" w:rsidRPr="004F010D" w:rsidRDefault="00E0578B" w:rsidP="003F761A">
      <w:pPr>
        <w:ind w:left="720"/>
      </w:pPr>
      <w:r>
        <w:t>‘</w:t>
      </w:r>
      <w:r w:rsidR="004F010D" w:rsidRPr="004F010D">
        <w:t>F</w:t>
      </w:r>
      <w:r w:rsidR="003F761A">
        <w:t>ruzaqla</w:t>
      </w:r>
      <w:r w:rsidR="004F010D" w:rsidRPr="004F010D">
        <w:t xml:space="preserve"> can cause liver injury. In 911 patients with mCRC treated with F</w:t>
      </w:r>
      <w:r w:rsidR="001A7FE2">
        <w:t>ruzaqla</w:t>
      </w:r>
      <w:r w:rsidR="004F010D" w:rsidRPr="004F010D">
        <w:t>, 48% experienced increased ALT or AST, including Grade ≥</w:t>
      </w:r>
      <w:r w:rsidR="001A7FE2">
        <w:t> </w:t>
      </w:r>
      <w:r w:rsidR="004F010D" w:rsidRPr="004F010D">
        <w:t>3 events in 5%, and fatal events in 0.2%. Median time to first onset of elevated liver enzymes was 29 days from first dose of F</w:t>
      </w:r>
      <w:r w:rsidR="001A7FE2">
        <w:t>ruzaqla</w:t>
      </w:r>
      <w:r w:rsidR="004F010D" w:rsidRPr="004F010D">
        <w:t xml:space="preserve">. Monitor liver function tests (ALT, AST, and bilirubin) before initiation and </w:t>
      </w:r>
      <w:r w:rsidR="004F010D" w:rsidRPr="004F010D">
        <w:lastRenderedPageBreak/>
        <w:t>periodically throughout treatment with F</w:t>
      </w:r>
      <w:r w:rsidR="001A7FE2">
        <w:t>ruzaqla</w:t>
      </w:r>
      <w:r w:rsidR="004F010D" w:rsidRPr="004F010D">
        <w:t>. Temporarily hold and then reduce or permanently discontinue F</w:t>
      </w:r>
      <w:r w:rsidR="001A7FE2">
        <w:t>ruzaqla</w:t>
      </w:r>
      <w:r w:rsidR="004F010D" w:rsidRPr="004F010D">
        <w:t xml:space="preserve"> depending on the severity and persistence of hepatotoxicity as manifested by elevated liver function tests [see Dosage and Administration (2.2) and Use in Specific Populations (8.6)]</w:t>
      </w:r>
      <w:r w:rsidR="00210BF4">
        <w:t>.</w:t>
      </w:r>
      <w:r>
        <w:t>’</w:t>
      </w:r>
    </w:p>
    <w:p w14:paraId="1A1551B2" w14:textId="42708EB3" w:rsidR="004F010D" w:rsidRPr="00D813F4" w:rsidRDefault="004F010D" w:rsidP="00D813F4">
      <w:r w:rsidRPr="00D813F4">
        <w:t>In response to this concern,</w:t>
      </w:r>
      <w:r w:rsidR="00210BF4" w:rsidRPr="00D813F4">
        <w:t xml:space="preserve"> </w:t>
      </w:r>
      <w:r w:rsidRPr="00D813F4">
        <w:t xml:space="preserve">the </w:t>
      </w:r>
      <w:r w:rsidR="00210BF4" w:rsidRPr="00D813F4">
        <w:t>s</w:t>
      </w:r>
      <w:r w:rsidRPr="00D813F4">
        <w:t>ponsor stated that in FRESCO-2, the number of Grade ≥</w:t>
      </w:r>
      <w:r w:rsidR="00210BF4" w:rsidRPr="00D813F4">
        <w:t> </w:t>
      </w:r>
      <w:r w:rsidRPr="00D813F4">
        <w:t xml:space="preserve">3 events, </w:t>
      </w:r>
      <w:r w:rsidR="00210BF4" w:rsidRPr="00D813F4">
        <w:t xml:space="preserve">serious adverse events </w:t>
      </w:r>
      <w:r w:rsidRPr="00D813F4">
        <w:t xml:space="preserve">and fatal events were comparable to placebo and </w:t>
      </w:r>
      <w:r w:rsidR="00781715">
        <w:t>liver function test</w:t>
      </w:r>
      <w:r w:rsidRPr="00D813F4">
        <w:t xml:space="preserve"> abnormalities infrequently led to dose reduction, interruption, or treatment discontinuation. The </w:t>
      </w:r>
      <w:r w:rsidR="00992AF6" w:rsidRPr="00D813F4">
        <w:t>s</w:t>
      </w:r>
      <w:r w:rsidRPr="00D813F4">
        <w:t xml:space="preserve">ponsor therefore concludes that </w:t>
      </w:r>
      <w:proofErr w:type="spellStart"/>
      <w:r w:rsidRPr="00D813F4">
        <w:t>fruquintinib</w:t>
      </w:r>
      <w:proofErr w:type="spellEnd"/>
      <w:r w:rsidRPr="00D813F4">
        <w:t xml:space="preserve"> is not associated with an increased risk of severe or serious liver function abnormalities. The</w:t>
      </w:r>
      <w:r w:rsidR="00992AF6" w:rsidRPr="00D813F4">
        <w:t xml:space="preserve"> sponsor</w:t>
      </w:r>
      <w:r w:rsidRPr="00D813F4">
        <w:t xml:space="preserve"> consider</w:t>
      </w:r>
      <w:r w:rsidR="00992AF6" w:rsidRPr="00D813F4">
        <w:t>s</w:t>
      </w:r>
      <w:r w:rsidRPr="00D813F4">
        <w:t xml:space="preserve"> that as this population would routinely receive liver function monitoring (most patients have or will have liver metastases), a warning on hepatotoxicity in the label is not necessary.</w:t>
      </w:r>
    </w:p>
    <w:p w14:paraId="3EEBD96E" w14:textId="067D3532" w:rsidR="004F010D" w:rsidRPr="00D813F4" w:rsidRDefault="00DE6526" w:rsidP="00D813F4">
      <w:r w:rsidRPr="00D813F4">
        <w:t>The Delegate</w:t>
      </w:r>
      <w:r w:rsidR="004F010D" w:rsidRPr="00D813F4">
        <w:t xml:space="preserve"> agree</w:t>
      </w:r>
      <w:r w:rsidRPr="00D813F4">
        <w:t>s</w:t>
      </w:r>
      <w:r w:rsidR="004F010D" w:rsidRPr="00D813F4">
        <w:t xml:space="preserve"> with the pragmatism reflected in the latter part of the </w:t>
      </w:r>
      <w:r w:rsidRPr="00D813F4">
        <w:t>s</w:t>
      </w:r>
      <w:r w:rsidR="004F010D" w:rsidRPr="00D813F4">
        <w:t xml:space="preserve">ponsor’s </w:t>
      </w:r>
      <w:r w:rsidR="00C6088C" w:rsidRPr="00D813F4">
        <w:t>proposal but</w:t>
      </w:r>
      <w:r w:rsidR="004F010D" w:rsidRPr="00D813F4">
        <w:t xml:space="preserve"> </w:t>
      </w:r>
      <w:r w:rsidR="00C6088C" w:rsidRPr="00D813F4">
        <w:t>is</w:t>
      </w:r>
      <w:r w:rsidR="004F010D" w:rsidRPr="00D813F4">
        <w:t xml:space="preserve"> unconvinced that the data demonstrate </w:t>
      </w:r>
      <w:proofErr w:type="spellStart"/>
      <w:r w:rsidR="004F010D" w:rsidRPr="00D813F4">
        <w:t>fruquintinib</w:t>
      </w:r>
      <w:proofErr w:type="spellEnd"/>
      <w:r w:rsidR="004F010D" w:rsidRPr="00D813F4">
        <w:t xml:space="preserve"> is not associated with an increased risk of severe or serious liver injury. Such events are not common, so increased risk of severe or serious liver injury is difficult to assess in a population the size of the submitted dataset.</w:t>
      </w:r>
    </w:p>
    <w:p w14:paraId="79011A8A" w14:textId="0364D496" w:rsidR="004F010D" w:rsidRPr="00D813F4" w:rsidRDefault="004F010D" w:rsidP="00D813F4">
      <w:r w:rsidRPr="00D813F4">
        <w:t xml:space="preserve">One case of fatal hepatic failure occurred within 30 days of ceasing treatment in the </w:t>
      </w:r>
      <w:proofErr w:type="spellStart"/>
      <w:r w:rsidRPr="00D813F4">
        <w:t>fruquintinib</w:t>
      </w:r>
      <w:proofErr w:type="spellEnd"/>
      <w:r w:rsidRPr="00D813F4">
        <w:t xml:space="preserve"> arm of FRESCO-</w:t>
      </w:r>
      <w:r w:rsidR="00D813F4" w:rsidRPr="00D813F4">
        <w:t>2 but</w:t>
      </w:r>
      <w:r w:rsidRPr="00D813F4">
        <w:t xml:space="preserve"> may have been attributable to disease progression based on narrative review.</w:t>
      </w:r>
    </w:p>
    <w:p w14:paraId="3A640835" w14:textId="3C7C9E2F" w:rsidR="004F010D" w:rsidRPr="00D813F4" w:rsidRDefault="004F010D" w:rsidP="00D813F4">
      <w:r w:rsidRPr="00D813F4">
        <w:t xml:space="preserve">As for infections, pooling across studies may not assist in delineating effects in the most relevant </w:t>
      </w:r>
      <w:r w:rsidR="00D813F4" w:rsidRPr="00D813F4">
        <w:t>population and</w:t>
      </w:r>
      <w:r w:rsidRPr="00D813F4">
        <w:t xml:space="preserve"> could mask real drug effects. The submitted nonclinical and clinical data (AE data and laboratory shift data) indicate that, probably, </w:t>
      </w:r>
      <w:proofErr w:type="spellStart"/>
      <w:r w:rsidRPr="00D813F4">
        <w:t>fruquintinib</w:t>
      </w:r>
      <w:proofErr w:type="spellEnd"/>
      <w:r w:rsidRPr="00D813F4">
        <w:t xml:space="preserve"> commonly causes mild hepatotoxicity. Fruquintinib has not been studied in patients with moderate or severe hepatic impairment, and it is plausible that such populations would experience additive or synergistic hepatotoxicity.</w:t>
      </w:r>
    </w:p>
    <w:p w14:paraId="5CBC08AE" w14:textId="3A1136AD" w:rsidR="004F010D" w:rsidRPr="004F010D" w:rsidRDefault="004F010D" w:rsidP="004F010D">
      <w:r w:rsidRPr="00D813F4">
        <w:t>In response to the above concerns, in the</w:t>
      </w:r>
      <w:r w:rsidR="005B1F7A">
        <w:t xml:space="preserve"> </w:t>
      </w:r>
      <w:r w:rsidRPr="00D813F4">
        <w:t xml:space="preserve">pre-ACM response, the </w:t>
      </w:r>
      <w:r w:rsidR="005B1F7A">
        <w:t>s</w:t>
      </w:r>
      <w:r w:rsidRPr="00D813F4">
        <w:t xml:space="preserve">ponsor proposed </w:t>
      </w:r>
      <w:r w:rsidR="00700D70">
        <w:t>to add information regarding hepatotoxicity to ‘special warnings and precautions for use’</w:t>
      </w:r>
      <w:r w:rsidR="004E6ECB">
        <w:t xml:space="preserve"> and ‘adverse effects (undesirable effects)’</w:t>
      </w:r>
      <w:r w:rsidR="00D61CEF">
        <w:t xml:space="preserve">. </w:t>
      </w:r>
      <w:r w:rsidR="00D61CEF">
        <w:rPr>
          <w:lang w:eastAsia="zh-TW"/>
        </w:rPr>
        <w:t>The Delegate agreed with the addition of PI text regarding hepatotoxicity.</w:t>
      </w:r>
    </w:p>
    <w:p w14:paraId="34A5F293" w14:textId="77777777" w:rsidR="004F010D" w:rsidRPr="004F010D" w:rsidRDefault="004F010D" w:rsidP="00D61CEF">
      <w:pPr>
        <w:pStyle w:val="Heading5"/>
      </w:pPr>
      <w:r w:rsidRPr="004F010D">
        <w:t>Dose advice in moderate hepatic impairment</w:t>
      </w:r>
    </w:p>
    <w:p w14:paraId="5D57B270" w14:textId="546A5F92" w:rsidR="004F010D" w:rsidRPr="00D94EB6" w:rsidRDefault="004F010D" w:rsidP="00D94EB6">
      <w:r w:rsidRPr="00D94EB6">
        <w:t xml:space="preserve">An issue related tangentially to hepatotoxicity is dose recommendations for patients with existing moderate hepatic impairment. The </w:t>
      </w:r>
      <w:r w:rsidR="004F115E">
        <w:t>s</w:t>
      </w:r>
      <w:r w:rsidRPr="00D94EB6">
        <w:t xml:space="preserve">ponsor has proposed no dose adjustment, based on a dedicated hepatic impairment PK study (Study 2021-013-00US1) in which PK for </w:t>
      </w:r>
      <w:proofErr w:type="spellStart"/>
      <w:r w:rsidRPr="00D94EB6">
        <w:t>fruquintinib</w:t>
      </w:r>
      <w:proofErr w:type="spellEnd"/>
      <w:r w:rsidRPr="00D94EB6">
        <w:t xml:space="preserve"> and M11 was similar amongst 8 patients with moderate hepatic impairment based on Child Pugh score (Child Pugh B), compared to historical PK data from healthy subjects.</w:t>
      </w:r>
    </w:p>
    <w:p w14:paraId="08656601" w14:textId="5976533F" w:rsidR="004F010D" w:rsidRPr="00D94EB6" w:rsidRDefault="004F010D" w:rsidP="00D94EB6">
      <w:r w:rsidRPr="00D94EB6">
        <w:t>It is unclear whether this PK data is robust enough to support a conclusion of similar PK, as 7 of the patients with Child Pugh B scores had mild impairment or normal liver function when scored according to an alternative major scoring system.</w:t>
      </w:r>
    </w:p>
    <w:p w14:paraId="3506FCBF" w14:textId="42367407" w:rsidR="004F010D" w:rsidRPr="00D94EB6" w:rsidRDefault="004F010D" w:rsidP="00D94EB6">
      <w:r w:rsidRPr="00D94EB6">
        <w:t xml:space="preserve">Regardless of PK, safety concerns remain. It is plausible that </w:t>
      </w:r>
      <w:proofErr w:type="spellStart"/>
      <w:r w:rsidRPr="00D94EB6">
        <w:t>fruquintinib</w:t>
      </w:r>
      <w:proofErr w:type="spellEnd"/>
      <w:r w:rsidR="00D212D6">
        <w:t xml:space="preserve"> </w:t>
      </w:r>
      <w:r w:rsidRPr="00D94EB6">
        <w:t>related deterioration in hepatic function could cause decompensation or complications in patients who start treatment with a baseline of moderate hepatic impairment. Inadequate numbers of patients with moderate hepatic impairment (n</w:t>
      </w:r>
      <w:r w:rsidR="00D212D6">
        <w:t> </w:t>
      </w:r>
      <w:r w:rsidRPr="00D94EB6">
        <w:t>=</w:t>
      </w:r>
      <w:r w:rsidR="00D212D6">
        <w:t> </w:t>
      </w:r>
      <w:r w:rsidRPr="00D94EB6">
        <w:t>2) or severe hepatic impairment (n</w:t>
      </w:r>
      <w:r w:rsidR="00D212D6">
        <w:t> </w:t>
      </w:r>
      <w:r w:rsidRPr="00D94EB6">
        <w:t>=</w:t>
      </w:r>
      <w:r w:rsidR="00D212D6">
        <w:t> </w:t>
      </w:r>
      <w:r w:rsidRPr="00D94EB6">
        <w:t>0) were enrolled in the pivotal trials FRESCO-2 and FRESCO, and mCRC patients with liver cirrhosis or fibrosis were excluded from enrolment. Therefore, there is inadequate PK or safety data to support a dose recommendation for treatment of patients with moderate hepatic impairment.</w:t>
      </w:r>
    </w:p>
    <w:p w14:paraId="6C90B72D" w14:textId="77777777" w:rsidR="004F010D" w:rsidRPr="004F010D" w:rsidRDefault="004F010D" w:rsidP="00C55467">
      <w:pPr>
        <w:pStyle w:val="Heading5"/>
      </w:pPr>
      <w:bookmarkStart w:id="116" w:name="_Ref174703595"/>
      <w:bookmarkStart w:id="117" w:name="_Hlk172547563"/>
      <w:r w:rsidRPr="004F010D">
        <w:lastRenderedPageBreak/>
        <w:t>Pancreatic enzyme elevation</w:t>
      </w:r>
      <w:bookmarkEnd w:id="116"/>
    </w:p>
    <w:p w14:paraId="06D02360" w14:textId="34A64DBA" w:rsidR="004F010D" w:rsidRPr="008F78F8" w:rsidRDefault="004F010D" w:rsidP="008F78F8">
      <w:r w:rsidRPr="008F78F8">
        <w:t>Nonclinical data indicated the need to assess the clinical trial data for potential pancreatic toxicity. The data (</w:t>
      </w:r>
      <w:r w:rsidRPr="008F78F8">
        <w:fldChar w:fldCharType="begin"/>
      </w:r>
      <w:r w:rsidRPr="008F78F8">
        <w:instrText xml:space="preserve"> REF _Ref174703705 \h </w:instrText>
      </w:r>
      <w:r w:rsidR="00FE506C" w:rsidRPr="008F78F8">
        <w:instrText xml:space="preserve"> \* MERGEFORMAT </w:instrText>
      </w:r>
      <w:r w:rsidRPr="008F78F8">
        <w:fldChar w:fldCharType="separate"/>
      </w:r>
      <w:r w:rsidR="00A407E4" w:rsidRPr="00887A75">
        <w:t xml:space="preserve">Table </w:t>
      </w:r>
      <w:r w:rsidR="00A407E4">
        <w:t>14</w:t>
      </w:r>
      <w:r w:rsidRPr="008F78F8">
        <w:fldChar w:fldCharType="end"/>
      </w:r>
      <w:r w:rsidRPr="008F78F8">
        <w:t>) indicates a difference between arms that is consistent across the two independent randomised studies. Fruquintinib appears to cause pancreatic enzyme elevation clinically in around 10</w:t>
      </w:r>
      <w:r w:rsidR="00B95D55">
        <w:t xml:space="preserve"> to </w:t>
      </w:r>
      <w:r w:rsidRPr="008F78F8">
        <w:t>15% of patients. Whilst this is low grade for most cases, these are clinically relevant for a small proportion of patients (perhaps 1</w:t>
      </w:r>
      <w:r w:rsidR="00B95D55">
        <w:t xml:space="preserve"> to </w:t>
      </w:r>
      <w:r w:rsidRPr="008F78F8">
        <w:t xml:space="preserve">2%). Adverse events of pancreatitis were not notably imbalanced between arms, but with the size of the dataset, it is possible that this partly reflects chance. Whilst </w:t>
      </w:r>
      <w:r w:rsidR="001A2E57" w:rsidRPr="008F78F8">
        <w:t>the Delegate</w:t>
      </w:r>
      <w:r w:rsidRPr="008F78F8">
        <w:t xml:space="preserve"> do</w:t>
      </w:r>
      <w:r w:rsidR="001A2E57" w:rsidRPr="008F78F8">
        <w:t xml:space="preserve">esn’t </w:t>
      </w:r>
      <w:r w:rsidRPr="008F78F8">
        <w:t xml:space="preserve">believe the data support addition of a warning relating to pancreatitis, </w:t>
      </w:r>
      <w:r w:rsidR="00F26813" w:rsidRPr="008F78F8">
        <w:t>the Delegate does</w:t>
      </w:r>
      <w:r w:rsidRPr="008F78F8">
        <w:t xml:space="preserve"> propose addition of specific information to the PI in section 4.8 describing the data seen in the trials. </w:t>
      </w:r>
      <w:r w:rsidR="00F26813" w:rsidRPr="008F78F8">
        <w:t>The Delegate</w:t>
      </w:r>
      <w:r w:rsidRPr="008F78F8">
        <w:t xml:space="preserve"> would also like the sponsor to consider adding pancreatitis to the RMP as an important potential risk for pharmacovigilance monitoring.</w:t>
      </w:r>
    </w:p>
    <w:p w14:paraId="199A45D1" w14:textId="77777777" w:rsidR="004F010D" w:rsidRPr="004F010D" w:rsidRDefault="004F010D" w:rsidP="00167F10">
      <w:pPr>
        <w:pStyle w:val="Heading5"/>
      </w:pPr>
      <w:r w:rsidRPr="004F010D">
        <w:t xml:space="preserve">Allergy to </w:t>
      </w:r>
      <w:bookmarkEnd w:id="117"/>
      <w:r w:rsidRPr="004F010D">
        <w:t>azo dyes</w:t>
      </w:r>
    </w:p>
    <w:p w14:paraId="4E753160" w14:textId="2BAA4796" w:rsidR="004F010D" w:rsidRPr="00F05D2A" w:rsidRDefault="004F010D" w:rsidP="00F05D2A">
      <w:r w:rsidRPr="00E169C3">
        <w:t xml:space="preserve">The approved </w:t>
      </w:r>
      <w:r w:rsidR="00F65635" w:rsidRPr="00E169C3">
        <w:t>overseas</w:t>
      </w:r>
      <w:r w:rsidRPr="00E169C3">
        <w:t xml:space="preserve"> label contains</w:t>
      </w:r>
      <w:r w:rsidRPr="00F05D2A">
        <w:t xml:space="preserve"> a specific warning regarding allergy to azo dyes as follows: </w:t>
      </w:r>
    </w:p>
    <w:p w14:paraId="00F41089" w14:textId="2D23DE50" w:rsidR="004F010D" w:rsidRPr="00F05D2A" w:rsidRDefault="00A71B10" w:rsidP="00A71B10">
      <w:pPr>
        <w:ind w:left="720"/>
      </w:pPr>
      <w:r>
        <w:t>‘</w:t>
      </w:r>
      <w:r w:rsidR="004F010D" w:rsidRPr="00F05D2A">
        <w:t>F</w:t>
      </w:r>
      <w:r>
        <w:t>ruzaqla</w:t>
      </w:r>
      <w:r w:rsidR="004F010D" w:rsidRPr="00F05D2A">
        <w:t xml:space="preserve"> 1</w:t>
      </w:r>
      <w:r>
        <w:t> </w:t>
      </w:r>
      <w:r w:rsidR="004F010D" w:rsidRPr="00F05D2A">
        <w:t>mg capsules contain FD&amp;C Yellow No. 5 (tartrazine), which may cause allergic-type reactions (including bronchial asthma) in certain susceptible persons. Although the overall incidence of FD&amp;C Yellow No. 5 (tartrazine) sensitivity in the general population is low, it is frequently seen in patients who also have aspirin hypersensitivity.</w:t>
      </w:r>
      <w:r>
        <w:t>’</w:t>
      </w:r>
    </w:p>
    <w:p w14:paraId="2E2B1763" w14:textId="647C5C78" w:rsidR="004F010D" w:rsidRPr="00F05D2A" w:rsidRDefault="004F010D" w:rsidP="00F05D2A">
      <w:r w:rsidRPr="00F05D2A">
        <w:t xml:space="preserve">The </w:t>
      </w:r>
      <w:r w:rsidR="00401BF7">
        <w:t>s</w:t>
      </w:r>
      <w:r w:rsidRPr="00F05D2A">
        <w:t xml:space="preserve">ponsor proposes that the existing statement in the </w:t>
      </w:r>
      <w:r w:rsidR="00401BF7">
        <w:t>c</w:t>
      </w:r>
      <w:r w:rsidRPr="00F05D2A">
        <w:t>ontraindications section of the Australian PI (</w:t>
      </w:r>
      <w:r w:rsidR="00401BF7">
        <w:t>‘</w:t>
      </w:r>
      <w:r w:rsidR="00E66429">
        <w:t>h</w:t>
      </w:r>
      <w:r w:rsidRPr="00F05D2A">
        <w:t>ypersensitivity to the active substance or any of the excipients listed in section 6.1</w:t>
      </w:r>
      <w:r w:rsidR="00401BF7">
        <w:t>’</w:t>
      </w:r>
      <w:r w:rsidR="00E66429">
        <w:t>)</w:t>
      </w:r>
      <w:r w:rsidRPr="00F05D2A">
        <w:t xml:space="preserve"> adequately informs prescribers and patients about potential hypersensitivity or allergic reactions to the excipient.</w:t>
      </w:r>
    </w:p>
    <w:p w14:paraId="462CEC9C" w14:textId="25C5700A" w:rsidR="004F010D" w:rsidRPr="00F05D2A" w:rsidRDefault="004F010D" w:rsidP="00F05D2A">
      <w:r w:rsidRPr="00F05D2A">
        <w:t xml:space="preserve">The excipients section of the Australian PI will be reviewed for clarity, but in general </w:t>
      </w:r>
      <w:r w:rsidR="00980247">
        <w:t xml:space="preserve">the Delegate </w:t>
      </w:r>
      <w:r w:rsidRPr="00F05D2A">
        <w:t>agree</w:t>
      </w:r>
      <w:r w:rsidR="00980247">
        <w:t>s</w:t>
      </w:r>
      <w:r w:rsidRPr="00F05D2A">
        <w:t xml:space="preserve"> with the </w:t>
      </w:r>
      <w:r w:rsidR="00980247">
        <w:t>sp</w:t>
      </w:r>
      <w:r w:rsidRPr="00F05D2A">
        <w:t xml:space="preserve">onsor’s proposed approach. There are no other products </w:t>
      </w:r>
      <w:r w:rsidR="00980247">
        <w:t>the Delegate is</w:t>
      </w:r>
      <w:r w:rsidRPr="00F05D2A">
        <w:t xml:space="preserve"> aware of for which the Australian PI contains specific text in </w:t>
      </w:r>
      <w:r w:rsidR="00980247">
        <w:t>w</w:t>
      </w:r>
      <w:r w:rsidRPr="00F05D2A">
        <w:t xml:space="preserve">arnings and </w:t>
      </w:r>
      <w:r w:rsidR="00980247">
        <w:t>p</w:t>
      </w:r>
      <w:r w:rsidRPr="00F05D2A">
        <w:t>recautions regarding potential for allergy to an excipient. In general, the approach is that the contraindications section acts as a reminder to check excipients if a person has a known allergy.</w:t>
      </w:r>
    </w:p>
    <w:p w14:paraId="3916F296" w14:textId="77777777" w:rsidR="00C22214" w:rsidRDefault="00C22214" w:rsidP="00C22214">
      <w:pPr>
        <w:pStyle w:val="Heading4"/>
      </w:pPr>
      <w:bookmarkStart w:id="118" w:name="_Toc98931933"/>
      <w:bookmarkStart w:id="119" w:name="_Toc206082871"/>
      <w:r w:rsidRPr="00D23139">
        <w:t>Proposed action</w:t>
      </w:r>
      <w:bookmarkEnd w:id="118"/>
      <w:bookmarkEnd w:id="119"/>
    </w:p>
    <w:p w14:paraId="3BBF55A5" w14:textId="61EADE19" w:rsidR="00213672" w:rsidRPr="00213672" w:rsidRDefault="00213672" w:rsidP="00213672">
      <w:r w:rsidRPr="00213672">
        <w:t xml:space="preserve">Noting the pre-treated population and severity of this condition, the demonstrated efficacy findings of </w:t>
      </w:r>
      <w:proofErr w:type="spellStart"/>
      <w:r w:rsidRPr="00213672">
        <w:t>fruquintinib</w:t>
      </w:r>
      <w:proofErr w:type="spellEnd"/>
      <w:r w:rsidRPr="00213672">
        <w:t xml:space="preserve"> for pre-treated mCRC are both statistically significant and clinically meaningful, though they are modest in terms of absolute PFS and OS gain.</w:t>
      </w:r>
    </w:p>
    <w:p w14:paraId="36457DEC" w14:textId="77A62C79" w:rsidR="00213672" w:rsidRPr="00213672" w:rsidRDefault="00213672" w:rsidP="00213672">
      <w:r w:rsidRPr="00213672">
        <w:t xml:space="preserve">The FRESCO study alone would be insufficient to support Australian registration with an indication that did not require prior use of regorafenib or TAS-102, because it is a single country study conducted against a comparator (placebo) that is now outdated for Australian patients. However, it is contextualised by the very similar findings of FRESCO-2 which is a more contemporary study in an international population with a similar standard-of-care to current Australian treatment. There is no reason to expect that the efficacy or safety or </w:t>
      </w:r>
      <w:proofErr w:type="spellStart"/>
      <w:r w:rsidRPr="00213672">
        <w:t>fruquintinib</w:t>
      </w:r>
      <w:proofErr w:type="spellEnd"/>
      <w:r w:rsidRPr="00213672">
        <w:t xml:space="preserve"> should be contingent on prior use of either regorafenib or TAS-102.</w:t>
      </w:r>
    </w:p>
    <w:p w14:paraId="22FC9E8D" w14:textId="4251F6EF" w:rsidR="00213672" w:rsidRPr="00213672" w:rsidRDefault="00936073" w:rsidP="00213672">
      <w:r>
        <w:t xml:space="preserve">The Delegate </w:t>
      </w:r>
      <w:r w:rsidR="00213672" w:rsidRPr="00213672">
        <w:t xml:space="preserve">therefore </w:t>
      </w:r>
      <w:r>
        <w:t xml:space="preserve">proposes </w:t>
      </w:r>
      <w:r w:rsidR="00213672" w:rsidRPr="00213672">
        <w:t xml:space="preserve">to approve the registration of </w:t>
      </w:r>
      <w:proofErr w:type="spellStart"/>
      <w:r w:rsidR="00213672" w:rsidRPr="00213672">
        <w:t>fruquintinib</w:t>
      </w:r>
      <w:proofErr w:type="spellEnd"/>
      <w:r w:rsidR="00213672" w:rsidRPr="00213672">
        <w:t xml:space="preserve"> in Australia for essentially the requested indication</w:t>
      </w:r>
      <w:r w:rsidR="006251FF">
        <w:t xml:space="preserve">. </w:t>
      </w:r>
      <w:r w:rsidR="00213672" w:rsidRPr="00213672">
        <w:t xml:space="preserve">The advice of the ACM committee supports this approach </w:t>
      </w:r>
      <w:proofErr w:type="gramStart"/>
      <w:r w:rsidR="00213672" w:rsidRPr="00213672">
        <w:t>with regard to</w:t>
      </w:r>
      <w:proofErr w:type="gramEnd"/>
      <w:r w:rsidR="00213672" w:rsidRPr="00213672">
        <w:t xml:space="preserve"> the indication wording, which is also aligned with the approach taken by </w:t>
      </w:r>
      <w:r w:rsidR="00836F25">
        <w:t>the overseas regulator</w:t>
      </w:r>
      <w:r w:rsidR="00213672" w:rsidRPr="00213672">
        <w:t>.</w:t>
      </w:r>
    </w:p>
    <w:p w14:paraId="505B5C91" w14:textId="3A965190" w:rsidR="00213672" w:rsidRPr="00213672" w:rsidRDefault="00213672" w:rsidP="00213672">
      <w:r w:rsidRPr="00213672">
        <w:lastRenderedPageBreak/>
        <w:t>Infection and hepatotoxicity should be added as an important identified risks to the RMP, and pancreatitis should be added as an important potential risk for pharmacovigilance monitoring</w:t>
      </w:r>
      <w:r w:rsidR="0006466C">
        <w:t>.</w:t>
      </w:r>
    </w:p>
    <w:p w14:paraId="318CFABC" w14:textId="77777777" w:rsidR="00C22214" w:rsidRPr="00F73346" w:rsidRDefault="00C22214" w:rsidP="00C22214">
      <w:pPr>
        <w:pStyle w:val="Heading4"/>
      </w:pPr>
      <w:bookmarkStart w:id="120" w:name="_Toc98931936"/>
      <w:bookmarkStart w:id="121" w:name="_Toc206082872"/>
      <w:bookmarkStart w:id="122" w:name="_Toc247691532"/>
      <w:bookmarkStart w:id="123" w:name="_Toc314842516"/>
      <w:r w:rsidRPr="00F73346">
        <w:t>Advisory Committee considerations</w:t>
      </w:r>
      <w:bookmarkEnd w:id="120"/>
      <w:bookmarkEnd w:id="121"/>
    </w:p>
    <w:p w14:paraId="087BB9CB" w14:textId="131FCAF6" w:rsidR="00C22214" w:rsidRPr="00BD5DBD" w:rsidRDefault="00C22214" w:rsidP="00C22214">
      <w:pPr>
        <w:rPr>
          <w:bCs/>
          <w:szCs w:val="22"/>
        </w:rPr>
      </w:pPr>
      <w:r w:rsidRPr="00BD5DBD">
        <w:rPr>
          <w:bCs/>
          <w:szCs w:val="22"/>
        </w:rPr>
        <w:t xml:space="preserve">The </w:t>
      </w:r>
      <w:hyperlink r:id="rId28" w:history="1">
        <w:r w:rsidRPr="00BD5DBD">
          <w:rPr>
            <w:rStyle w:val="Hyperlink"/>
            <w:szCs w:val="22"/>
          </w:rPr>
          <w:t>Advisory Committee on Medicines (ACM)</w:t>
        </w:r>
      </w:hyperlink>
      <w:r w:rsidRPr="00BD5DBD">
        <w:rPr>
          <w:szCs w:val="22"/>
        </w:rPr>
        <w:t>,</w:t>
      </w:r>
      <w:r w:rsidRPr="00BD5DBD">
        <w:rPr>
          <w:bCs/>
          <w:szCs w:val="22"/>
        </w:rPr>
        <w:t xml:space="preserve"> having considered the evaluations and the Delegate’s overview, as well as the sponsor’s response to these documents, advised the following.</w:t>
      </w:r>
    </w:p>
    <w:p w14:paraId="0D935CC4" w14:textId="77777777" w:rsidR="00C22214" w:rsidRPr="00F73346" w:rsidRDefault="00C22214" w:rsidP="00C22214">
      <w:pPr>
        <w:pStyle w:val="Heading5"/>
      </w:pPr>
      <w:r w:rsidRPr="00F73346">
        <w:t>Specific advice to the Delegate</w:t>
      </w:r>
    </w:p>
    <w:p w14:paraId="1DC2DA76" w14:textId="77777777" w:rsidR="00CA387F" w:rsidRPr="00CA387F" w:rsidRDefault="00CA387F" w:rsidP="00CA387F">
      <w:r w:rsidRPr="00CA387F">
        <w:t>The ACM advised the following in response to the Delegate’s specific request for advice:</w:t>
      </w:r>
    </w:p>
    <w:p w14:paraId="574392EB" w14:textId="77777777" w:rsidR="00CA387F" w:rsidRPr="008F5BAF" w:rsidRDefault="00CA387F" w:rsidP="009C6B2B">
      <w:pPr>
        <w:pStyle w:val="DelegatesQuestions"/>
      </w:pPr>
      <w:r w:rsidRPr="008F5BAF">
        <w:t xml:space="preserve">Noting the lack of any comparison to active therapy, are the study designs of FRESCO and FRESCO-2 adequate to support a full assessment of the safety and efficacy of </w:t>
      </w:r>
      <w:proofErr w:type="spellStart"/>
      <w:r w:rsidRPr="008F5BAF">
        <w:t>fruquintinib</w:t>
      </w:r>
      <w:proofErr w:type="spellEnd"/>
      <w:r w:rsidRPr="008F5BAF">
        <w:t xml:space="preserve"> for the proposed earlier line usage (‘third line’ or later treatment of metastatic colorectal cancer in Australia), rather than just for a later line usage, in keeping with the study population of FRESCO-2?</w:t>
      </w:r>
    </w:p>
    <w:p w14:paraId="58A7B231" w14:textId="77777777" w:rsidR="009954EE" w:rsidRDefault="00CA387F" w:rsidP="009C6B2B">
      <w:r w:rsidRPr="009C6B2B">
        <w:t xml:space="preserve">The ACM was of the view that outcomes of the FRESCO and FRESCO 2 are sufficient to support a full assessment of the safety and efficacy of </w:t>
      </w:r>
      <w:proofErr w:type="spellStart"/>
      <w:r w:rsidRPr="009C6B2B">
        <w:t>fruquintinib</w:t>
      </w:r>
      <w:proofErr w:type="spellEnd"/>
      <w:r w:rsidR="009954EE">
        <w:t>.</w:t>
      </w:r>
    </w:p>
    <w:p w14:paraId="74D7220B" w14:textId="6A51A159" w:rsidR="00CA387F" w:rsidRPr="009C6B2B" w:rsidRDefault="00CA387F" w:rsidP="009C6B2B">
      <w:r w:rsidRPr="009C6B2B">
        <w:t>The ACM noted that the trial population of the FRESCO 2 study is the most relevant to Australian clinical practice, which would support aligning the indication with the more restrictive indication registered in the EU.</w:t>
      </w:r>
    </w:p>
    <w:p w14:paraId="7C41ED77" w14:textId="77777777" w:rsidR="00CA387F" w:rsidRPr="009C6B2B" w:rsidRDefault="00CA387F" w:rsidP="009C6B2B">
      <w:r w:rsidRPr="009C6B2B">
        <w:t xml:space="preserve">However, the ACM agreed that the more permissive indication registered by the US could be reasonable when considering the results of both trials together, and from a practical perspective, clinicians would have few concerns about initiating </w:t>
      </w:r>
      <w:proofErr w:type="spellStart"/>
      <w:r w:rsidRPr="009C6B2B">
        <w:t>fruquintinib</w:t>
      </w:r>
      <w:proofErr w:type="spellEnd"/>
      <w:r w:rsidRPr="009C6B2B">
        <w:t xml:space="preserve"> in patients who had not previously been treated with regorafenib or TAS 102 if it was clinically warranted.</w:t>
      </w:r>
    </w:p>
    <w:p w14:paraId="5291EA2A" w14:textId="77777777" w:rsidR="00C22214" w:rsidRPr="00F73346" w:rsidRDefault="00C22214" w:rsidP="00C22214">
      <w:pPr>
        <w:pStyle w:val="Heading5"/>
      </w:pPr>
      <w:r w:rsidRPr="00F73346">
        <w:t>Conclusion</w:t>
      </w:r>
    </w:p>
    <w:p w14:paraId="6D2009F0" w14:textId="6B683E8F" w:rsidR="001C31A1" w:rsidRPr="001C31A1" w:rsidRDefault="00AD4C73" w:rsidP="00BA6804">
      <w:r w:rsidRPr="00AD4C73">
        <w:t>Noting that this request is for early advice, based on currently available evidence the ACM considered this product to have an overall positive benefit-risk profile. Alignment with the US indication is preferred.</w:t>
      </w:r>
    </w:p>
    <w:p w14:paraId="307F236C" w14:textId="77777777" w:rsidR="00C22214" w:rsidRPr="002E238E" w:rsidRDefault="00C22214" w:rsidP="00C22214">
      <w:pPr>
        <w:pStyle w:val="Heading2"/>
      </w:pPr>
      <w:bookmarkStart w:id="124" w:name="_Toc103679300"/>
      <w:bookmarkStart w:id="125" w:name="_Toc206082873"/>
      <w:r>
        <w:t>Outcome</w:t>
      </w:r>
      <w:bookmarkEnd w:id="122"/>
      <w:bookmarkEnd w:id="123"/>
      <w:bookmarkEnd w:id="124"/>
      <w:bookmarkEnd w:id="125"/>
    </w:p>
    <w:p w14:paraId="4EF22939" w14:textId="680B7DF2" w:rsidR="00C22214" w:rsidRPr="0017005C" w:rsidRDefault="00C22214" w:rsidP="0006104E">
      <w:r w:rsidRPr="0017005C">
        <w:t xml:space="preserve">Based on a review of quality, safety, and efficacy, the TGA </w:t>
      </w:r>
      <w:r w:rsidR="00B46DFB">
        <w:t>decided to</w:t>
      </w:r>
      <w:r w:rsidRPr="0017005C">
        <w:t xml:space="preserve"> regist</w:t>
      </w:r>
      <w:r w:rsidR="00B46DFB">
        <w:t>er</w:t>
      </w:r>
      <w:r w:rsidRPr="0017005C">
        <w:t xml:space="preserve"> </w:t>
      </w:r>
      <w:r w:rsidR="008E27B4" w:rsidRPr="008E27B4">
        <w:t>Fruzaqla (</w:t>
      </w:r>
      <w:proofErr w:type="spellStart"/>
      <w:r w:rsidR="008E27B4" w:rsidRPr="008E27B4">
        <w:t>fruquintinib</w:t>
      </w:r>
      <w:proofErr w:type="spellEnd"/>
      <w:r w:rsidR="008E27B4" w:rsidRPr="008E27B4">
        <w:t>) 1 mg and 5 mg, hard capsule, bottle</w:t>
      </w:r>
      <w:r w:rsidRPr="0017005C">
        <w:t>, indicated for:</w:t>
      </w:r>
    </w:p>
    <w:p w14:paraId="3B245AB5" w14:textId="1E3FF7B8" w:rsidR="00C22214" w:rsidRPr="00BD5DBD" w:rsidRDefault="00D44D6A" w:rsidP="00605C05">
      <w:pPr>
        <w:pStyle w:val="Indication"/>
      </w:pPr>
      <w:r w:rsidRPr="00D44D6A">
        <w:t>F</w:t>
      </w:r>
      <w:r>
        <w:t>ruzaqla</w:t>
      </w:r>
      <w:r w:rsidRPr="00D44D6A">
        <w:t xml:space="preserve"> is indicated for the treatment of adult patients with metastatic colorectal cancer (mCRC) who have been previously treated with fluoropyrimidine-, oxaliplatin-, and irinotecan-based chemotherapy, an anti-VEGF agent, and an anti-EGFR agent if appropriate.</w:t>
      </w:r>
    </w:p>
    <w:p w14:paraId="0D732DA4" w14:textId="18591E28" w:rsidR="00854D98" w:rsidRPr="00D23139" w:rsidRDefault="00854D98" w:rsidP="00854D98">
      <w:pPr>
        <w:pStyle w:val="Heading3"/>
      </w:pPr>
      <w:bookmarkStart w:id="126" w:name="_Toc103679301"/>
      <w:bookmarkStart w:id="127" w:name="_Toc206082874"/>
      <w:r w:rsidRPr="00D23139">
        <w:t>Specific conditions of registration applying to these goods</w:t>
      </w:r>
      <w:bookmarkEnd w:id="126"/>
      <w:bookmarkEnd w:id="127"/>
    </w:p>
    <w:p w14:paraId="4FEEE294" w14:textId="68ABDFFE" w:rsidR="008C36D6" w:rsidRPr="00D762E4" w:rsidRDefault="008C36D6" w:rsidP="00D762E4">
      <w:pPr>
        <w:pStyle w:val="ListBullet"/>
      </w:pPr>
      <w:r w:rsidRPr="00D762E4">
        <w:t>F</w:t>
      </w:r>
      <w:r w:rsidR="00D762E4">
        <w:t>ruzaqla</w:t>
      </w:r>
      <w:r w:rsidRPr="00D762E4">
        <w:t xml:space="preserve"> (</w:t>
      </w:r>
      <w:proofErr w:type="spellStart"/>
      <w:r w:rsidRPr="00D762E4">
        <w:t>fruquintinib</w:t>
      </w:r>
      <w:proofErr w:type="spellEnd"/>
      <w:r w:rsidRPr="00D762E4">
        <w:t>) is to be included in the Black Triangle Scheme. The PI and CMI for F</w:t>
      </w:r>
      <w:r w:rsidR="00D762E4">
        <w:t>ruzaqla</w:t>
      </w:r>
      <w:r w:rsidRPr="00D762E4">
        <w:t xml:space="preserve"> must include the black triangle symbol and mandatory accompanying text for five years, which starts from the date of first supply of the product.</w:t>
      </w:r>
    </w:p>
    <w:p w14:paraId="67064C57" w14:textId="6DD8F043" w:rsidR="008C36D6" w:rsidRPr="00D762E4" w:rsidRDefault="008C36D6" w:rsidP="00D762E4">
      <w:pPr>
        <w:pStyle w:val="ListBullet"/>
      </w:pPr>
      <w:r w:rsidRPr="00D762E4">
        <w:t>The F</w:t>
      </w:r>
      <w:r w:rsidR="00D762E4">
        <w:t>ruzaqla</w:t>
      </w:r>
      <w:r w:rsidRPr="00D762E4">
        <w:t xml:space="preserve"> EU-Risk Management Plan (RMP) (version 0.3, dated 12 March 2024, data lock point 24 June 2022), with Australian Specific Annex (version 1.1 dated 19 April 2024), </w:t>
      </w:r>
      <w:r w:rsidRPr="00D762E4">
        <w:lastRenderedPageBreak/>
        <w:t>included with submission PM-2023-04088-1-4, and any subsequent revisions, as agreed with the TGA will be implemented in Australia.</w:t>
      </w:r>
    </w:p>
    <w:p w14:paraId="77AB9D6A" w14:textId="50AE7AC7" w:rsidR="008C36D6" w:rsidRPr="00D762E4" w:rsidRDefault="008C36D6" w:rsidP="00D762E4">
      <w:pPr>
        <w:ind w:left="360"/>
      </w:pPr>
      <w:r w:rsidRPr="00D762E4">
        <w:t>An obligatory component of risk management plans is routine pharmacovigilance. Routine pharmacovigilance includes the submission of periodic safety update reports (PSURs).</w:t>
      </w:r>
    </w:p>
    <w:p w14:paraId="0DC2D65C" w14:textId="59F3A57C" w:rsidR="008C36D6" w:rsidRPr="00D762E4" w:rsidRDefault="008C36D6" w:rsidP="00D762E4">
      <w:pPr>
        <w:ind w:left="360"/>
      </w:pPr>
      <w:r w:rsidRPr="00D762E4">
        <w:t>Unless agreed separately between the supplier who is the recipient of the approval and the TGA, the first report must be submitted to TGA no later than 15 calendar months after the date of th</w:t>
      </w:r>
      <w:r w:rsidR="004849AC">
        <w:t>e</w:t>
      </w:r>
      <w:r w:rsidRPr="00D762E4">
        <w:t xml:space="preserve"> approval letter. The subsequent reports must be submitted no less frequently than annually from the date of the first submitted report until the period covered by such reports is not less than three years from the date of th</w:t>
      </w:r>
      <w:r w:rsidR="004849AC">
        <w:t>e</w:t>
      </w:r>
      <w:r w:rsidRPr="00D762E4">
        <w:t xml:space="preserve"> approval letter. The annual submission may be made up of two PSURs each covering six months. If the sponsor wishes, the six-monthly reports may be submitted separately as they become available.</w:t>
      </w:r>
    </w:p>
    <w:p w14:paraId="06A63BCD" w14:textId="670E239A" w:rsidR="008C36D6" w:rsidRPr="00D762E4" w:rsidRDefault="008C36D6" w:rsidP="00D762E4">
      <w:pPr>
        <w:ind w:left="360"/>
      </w:pPr>
      <w:r w:rsidRPr="00D762E4">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w:t>
      </w:r>
      <w:r w:rsidR="00614C08">
        <w:t xml:space="preserve">e </w:t>
      </w:r>
      <w:r w:rsidRPr="00D762E4">
        <w:t>approval letter.</w:t>
      </w:r>
    </w:p>
    <w:p w14:paraId="3250D9AD" w14:textId="3B7A1725" w:rsidR="008C36D6" w:rsidRPr="00D762E4" w:rsidRDefault="008C36D6" w:rsidP="00D762E4">
      <w:pPr>
        <w:ind w:left="360"/>
      </w:pPr>
      <w:r w:rsidRPr="00D762E4">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be submitted within ninety calendar days of the data lock point for that report.</w:t>
      </w:r>
    </w:p>
    <w:p w14:paraId="451DC3FC" w14:textId="2D1EC6E2" w:rsidR="00C22214" w:rsidRDefault="00C22214" w:rsidP="00C22214">
      <w:pPr>
        <w:pStyle w:val="Heading2"/>
      </w:pPr>
      <w:bookmarkStart w:id="128" w:name="_Toc103679303"/>
      <w:bookmarkStart w:id="129" w:name="_Toc206082875"/>
      <w:r>
        <w:t>Attachment 1. Product Information</w:t>
      </w:r>
      <w:bookmarkEnd w:id="128"/>
      <w:bookmarkEnd w:id="129"/>
    </w:p>
    <w:p w14:paraId="53357BF3" w14:textId="0CB9AD2D" w:rsidR="00C22214" w:rsidRPr="00614C08" w:rsidRDefault="00675F81" w:rsidP="00C22214">
      <w:pPr>
        <w:rPr>
          <w:szCs w:val="22"/>
        </w:rPr>
        <w:sectPr w:rsidR="00C22214" w:rsidRPr="00614C08" w:rsidSect="007452E8">
          <w:headerReference w:type="default" r:id="rId29"/>
          <w:footerReference w:type="default" r:id="rId30"/>
          <w:pgSz w:w="11906" w:h="16838" w:code="9"/>
          <w:pgMar w:top="1134" w:right="1418" w:bottom="1361" w:left="1418" w:header="573" w:footer="567" w:gutter="0"/>
          <w:cols w:space="708"/>
          <w:docGrid w:linePitch="360"/>
        </w:sectPr>
      </w:pPr>
      <w:r w:rsidRPr="00BD5DBD">
        <w:rPr>
          <w:szCs w:val="22"/>
        </w:rPr>
        <w:t xml:space="preserve">The </w:t>
      </w:r>
      <w:hyperlink r:id="rId31" w:history="1">
        <w:r w:rsidRPr="00BD5DBD">
          <w:rPr>
            <w:rStyle w:val="Hyperlink"/>
            <w:szCs w:val="22"/>
          </w:rPr>
          <w:t>Product Information</w:t>
        </w:r>
      </w:hyperlink>
      <w:r w:rsidRPr="00BD5DBD">
        <w:rPr>
          <w:szCs w:val="22"/>
        </w:rPr>
        <w:t xml:space="preserve"> (</w:t>
      </w:r>
      <w:hyperlink r:id="rId32" w:history="1">
        <w:r w:rsidRPr="00BD5DBD">
          <w:rPr>
            <w:rStyle w:val="Hyperlink"/>
            <w:szCs w:val="22"/>
          </w:rPr>
          <w:t>PI</w:t>
        </w:r>
      </w:hyperlink>
      <w:r w:rsidRPr="00BD5DBD">
        <w:rPr>
          <w:szCs w:val="22"/>
        </w:rPr>
        <w:t>) approved with the submission</w:t>
      </w:r>
      <w:r w:rsidR="0017005C" w:rsidRPr="0017005C">
        <w:rPr>
          <w:szCs w:val="22"/>
        </w:rPr>
        <w:t xml:space="preserve"> </w:t>
      </w:r>
      <w:r w:rsidR="0017005C" w:rsidRPr="00BD5DBD">
        <w:rPr>
          <w:szCs w:val="22"/>
        </w:rPr>
        <w:t xml:space="preserve">for </w:t>
      </w:r>
      <w:r w:rsidR="00614C08">
        <w:t>Fruzaqla</w:t>
      </w:r>
      <w:r w:rsidR="003163BC">
        <w:t xml:space="preserve"> </w:t>
      </w:r>
      <w:r w:rsidRPr="00BD5DBD">
        <w:rPr>
          <w:szCs w:val="22"/>
        </w:rPr>
        <w:t xml:space="preserve">which is described in this AusPAR can be found as Attachment 1. </w:t>
      </w:r>
      <w:r w:rsidR="0025785B">
        <w:t xml:space="preserve">It may have been superseded. </w:t>
      </w:r>
      <w:r w:rsidRPr="00BD5DBD">
        <w:rPr>
          <w:szCs w:val="22"/>
        </w:rPr>
        <w:t xml:space="preserve">For the most recent PI and </w:t>
      </w:r>
      <w:hyperlink r:id="rId33" w:history="1">
        <w:r w:rsidRPr="00BD5DBD">
          <w:rPr>
            <w:rStyle w:val="Hyperlink"/>
            <w:szCs w:val="22"/>
          </w:rPr>
          <w:t>Consumer Medicines Information</w:t>
        </w:r>
      </w:hyperlink>
      <w:r w:rsidRPr="00BD5DBD">
        <w:rPr>
          <w:szCs w:val="22"/>
        </w:rPr>
        <w:t xml:space="preserve"> (CMI), please refer to the TGA </w:t>
      </w:r>
      <w:hyperlink r:id="rId34" w:history="1">
        <w:r w:rsidRPr="00BD5DBD">
          <w:rPr>
            <w:rStyle w:val="Hyperlink"/>
            <w:szCs w:val="22"/>
          </w:rPr>
          <w:t>PI/CMI search facility.</w:t>
        </w:r>
      </w:hyperlink>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5"/>
          <w:bookmarkEnd w:id="6"/>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3E04827A" w:rsidR="00F02AEC" w:rsidRDefault="00F02AEC">
            <w:pPr>
              <w:pStyle w:val="Address"/>
              <w:jc w:val="center"/>
              <w:rPr>
                <w:sz w:val="22"/>
                <w:szCs w:val="22"/>
              </w:rPr>
            </w:pPr>
            <w:r w:rsidRPr="00215D48">
              <w:t xml:space="preserve">Email: </w:t>
            </w:r>
            <w:hyperlink r:id="rId35" w:history="1">
              <w:r w:rsidRPr="00215D48">
                <w:rPr>
                  <w:rStyle w:val="Hyperlink"/>
                </w:rPr>
                <w:t>info@tga.gov.au</w:t>
              </w:r>
            </w:hyperlink>
            <w:r w:rsidR="009954EE">
              <w:t xml:space="preserve"> </w:t>
            </w:r>
            <w:r w:rsidRPr="00215D48">
              <w:t>Phone: 1800 020 653</w:t>
            </w:r>
            <w:r w:rsidR="009954EE">
              <w:t xml:space="preserve"> </w:t>
            </w:r>
            <w:r w:rsidRPr="00215D48">
              <w:t xml:space="preserve">Fax: </w:t>
            </w:r>
            <w:r w:rsidRPr="00BA0DFC">
              <w:t>02 6203 1605</w:t>
            </w:r>
          </w:p>
          <w:p w14:paraId="4533D80F" w14:textId="14EA457D" w:rsidR="00F02AEC" w:rsidRPr="00215D48" w:rsidRDefault="00F02AEC">
            <w:pPr>
              <w:pStyle w:val="Address"/>
              <w:jc w:val="center"/>
              <w:rPr>
                <w:rStyle w:val="Hyperlink"/>
                <w:b/>
                <w:color w:val="auto"/>
                <w:sz w:val="22"/>
              </w:rPr>
            </w:pPr>
            <w:hyperlink r:id="rId36" w:history="1">
              <w:r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37"/>
      <w:footerReference w:type="first" r:id="rId3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2245" w14:textId="77777777" w:rsidR="00F24441" w:rsidRDefault="00F24441" w:rsidP="00F02AEC">
      <w:pPr>
        <w:spacing w:after="0" w:line="240" w:lineRule="auto"/>
      </w:pPr>
      <w:r>
        <w:separator/>
      </w:r>
    </w:p>
  </w:endnote>
  <w:endnote w:type="continuationSeparator" w:id="0">
    <w:p w14:paraId="4AD160E0" w14:textId="77777777" w:rsidR="00F24441" w:rsidRDefault="00F24441"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7F1E37">
                <w:fldChar w:fldCharType="begin"/>
              </w:r>
              <w:r w:rsidR="007F1E37">
                <w:instrText xml:space="preserve"> NUMPAGES  </w:instrText>
              </w:r>
              <w:r w:rsidR="007F1E37">
                <w:fldChar w:fldCharType="separate"/>
              </w:r>
              <w:r>
                <w:rPr>
                  <w:noProof/>
                </w:rPr>
                <w:t>2</w:t>
              </w:r>
              <w:r w:rsidR="007F1E37">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04A09A02" w:rsidR="007452E8" w:rsidRPr="004A3084" w:rsidRDefault="007452E8" w:rsidP="007452E8">
          <w:pPr>
            <w:pStyle w:val="Footer"/>
          </w:pPr>
          <w:r w:rsidRPr="00571132">
            <w:rPr>
              <w:sz w:val="16"/>
              <w:szCs w:val="16"/>
            </w:rPr>
            <w:t xml:space="preserve">AusPAR </w:t>
          </w:r>
          <w:r w:rsidR="00311FC1" w:rsidRPr="00571132">
            <w:rPr>
              <w:sz w:val="16"/>
              <w:szCs w:val="16"/>
            </w:rPr>
            <w:t>-</w:t>
          </w:r>
          <w:r w:rsidRPr="00571132">
            <w:rPr>
              <w:sz w:val="16"/>
              <w:szCs w:val="16"/>
            </w:rPr>
            <w:t xml:space="preserve"> </w:t>
          </w:r>
          <w:r w:rsidR="00311FC1" w:rsidRPr="00571132">
            <w:rPr>
              <w:sz w:val="16"/>
              <w:szCs w:val="16"/>
            </w:rPr>
            <w:t xml:space="preserve">Fruzaqla - </w:t>
          </w:r>
          <w:proofErr w:type="spellStart"/>
          <w:r w:rsidR="00311FC1" w:rsidRPr="00571132">
            <w:rPr>
              <w:sz w:val="16"/>
              <w:szCs w:val="16"/>
            </w:rPr>
            <w:t>fruquintinib</w:t>
          </w:r>
          <w:proofErr w:type="spellEnd"/>
          <w:r w:rsidR="00311FC1" w:rsidRPr="00571132">
            <w:rPr>
              <w:sz w:val="16"/>
              <w:szCs w:val="16"/>
            </w:rPr>
            <w:t xml:space="preserve"> </w:t>
          </w:r>
          <w:r w:rsidR="00571132" w:rsidRPr="00571132">
            <w:rPr>
              <w:sz w:val="16"/>
              <w:szCs w:val="16"/>
            </w:rPr>
            <w:t xml:space="preserve">- </w:t>
          </w:r>
          <w:r w:rsidR="00311FC1" w:rsidRPr="00571132">
            <w:rPr>
              <w:sz w:val="16"/>
              <w:szCs w:val="16"/>
            </w:rPr>
            <w:t xml:space="preserve">Takeda Pharmaceuticals Australia Pty Ltd </w:t>
          </w:r>
          <w:r w:rsidR="005261B4">
            <w:rPr>
              <w:sz w:val="16"/>
              <w:szCs w:val="16"/>
            </w:rPr>
            <w:t>–</w:t>
          </w:r>
          <w:r w:rsidR="00311FC1" w:rsidRPr="00571132">
            <w:rPr>
              <w:sz w:val="16"/>
              <w:szCs w:val="16"/>
            </w:rPr>
            <w:t xml:space="preserve"> PM</w:t>
          </w:r>
          <w:r w:rsidR="005261B4">
            <w:rPr>
              <w:sz w:val="16"/>
              <w:szCs w:val="16"/>
            </w:rPr>
            <w:t>-</w:t>
          </w:r>
          <w:r w:rsidR="00311FC1" w:rsidRPr="00571132">
            <w:rPr>
              <w:sz w:val="16"/>
              <w:szCs w:val="16"/>
            </w:rPr>
            <w:t>2023</w:t>
          </w:r>
          <w:r w:rsidR="005261B4">
            <w:rPr>
              <w:sz w:val="16"/>
              <w:szCs w:val="16"/>
            </w:rPr>
            <w:t>-</w:t>
          </w:r>
          <w:r w:rsidR="00311FC1" w:rsidRPr="00571132">
            <w:rPr>
              <w:sz w:val="16"/>
              <w:szCs w:val="16"/>
            </w:rPr>
            <w:t>04088</w:t>
          </w:r>
          <w:r w:rsidR="005261B4">
            <w:rPr>
              <w:sz w:val="16"/>
              <w:szCs w:val="16"/>
            </w:rPr>
            <w:t>-</w:t>
          </w:r>
          <w:r w:rsidR="00311FC1" w:rsidRPr="00571132">
            <w:rPr>
              <w:sz w:val="16"/>
              <w:szCs w:val="16"/>
            </w:rPr>
            <w:t>1</w:t>
          </w:r>
          <w:r w:rsidR="005261B4">
            <w:rPr>
              <w:sz w:val="16"/>
              <w:szCs w:val="16"/>
            </w:rPr>
            <w:t>-</w:t>
          </w:r>
          <w:r w:rsidR="00311FC1" w:rsidRPr="00571132">
            <w:rPr>
              <w:sz w:val="16"/>
              <w:szCs w:val="16"/>
            </w:rPr>
            <w:t>4</w:t>
          </w:r>
          <w:r>
            <w:br/>
          </w:r>
          <w:r w:rsidR="004D3928">
            <w:rPr>
              <w:sz w:val="16"/>
              <w:szCs w:val="16"/>
            </w:rPr>
            <w:t xml:space="preserve">Final 14 August </w:t>
          </w:r>
          <w:r w:rsidR="009954EE">
            <w:rPr>
              <w:sz w:val="16"/>
              <w:szCs w:val="16"/>
            </w:rPr>
            <w:t>2025</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571132">
                <w:rPr>
                  <w:sz w:val="16"/>
                  <w:szCs w:val="16"/>
                </w:rPr>
                <w:t xml:space="preserve">Page </w:t>
              </w:r>
              <w:r w:rsidRPr="00571132">
                <w:rPr>
                  <w:sz w:val="16"/>
                  <w:szCs w:val="16"/>
                </w:rPr>
                <w:fldChar w:fldCharType="begin"/>
              </w:r>
              <w:r w:rsidRPr="00571132">
                <w:rPr>
                  <w:sz w:val="16"/>
                  <w:szCs w:val="16"/>
                </w:rPr>
                <w:instrText xml:space="preserve"> PAGE </w:instrText>
              </w:r>
              <w:r w:rsidRPr="00571132">
                <w:rPr>
                  <w:sz w:val="16"/>
                  <w:szCs w:val="16"/>
                </w:rPr>
                <w:fldChar w:fldCharType="separate"/>
              </w:r>
              <w:r w:rsidR="006D6B44" w:rsidRPr="00571132">
                <w:rPr>
                  <w:noProof/>
                  <w:sz w:val="16"/>
                  <w:szCs w:val="16"/>
                </w:rPr>
                <w:t>13</w:t>
              </w:r>
              <w:r w:rsidRPr="00571132">
                <w:rPr>
                  <w:noProof/>
                  <w:sz w:val="16"/>
                  <w:szCs w:val="16"/>
                </w:rPr>
                <w:fldChar w:fldCharType="end"/>
              </w:r>
              <w:r w:rsidRPr="00571132">
                <w:rPr>
                  <w:sz w:val="16"/>
                  <w:szCs w:val="16"/>
                </w:rPr>
                <w:t xml:space="preserve"> of </w:t>
              </w:r>
              <w:r w:rsidR="007F1E37" w:rsidRPr="00571132">
                <w:rPr>
                  <w:sz w:val="16"/>
                  <w:szCs w:val="16"/>
                </w:rPr>
                <w:fldChar w:fldCharType="begin"/>
              </w:r>
              <w:r w:rsidR="007F1E37" w:rsidRPr="00571132">
                <w:rPr>
                  <w:sz w:val="16"/>
                  <w:szCs w:val="16"/>
                </w:rPr>
                <w:instrText xml:space="preserve"> NUMPAGES  </w:instrText>
              </w:r>
              <w:r w:rsidR="007F1E37" w:rsidRPr="00571132">
                <w:rPr>
                  <w:sz w:val="16"/>
                  <w:szCs w:val="16"/>
                </w:rPr>
                <w:fldChar w:fldCharType="separate"/>
              </w:r>
              <w:r w:rsidR="006D6B44" w:rsidRPr="00571132">
                <w:rPr>
                  <w:noProof/>
                  <w:sz w:val="16"/>
                  <w:szCs w:val="16"/>
                </w:rPr>
                <w:t>17</w:t>
              </w:r>
              <w:r w:rsidR="007F1E37" w:rsidRPr="00571132">
                <w:rPr>
                  <w:noProof/>
                  <w:sz w:val="16"/>
                  <w:szCs w:val="16"/>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7157" w14:textId="77777777" w:rsidR="00F24441" w:rsidRDefault="00F24441" w:rsidP="00F02AEC">
      <w:pPr>
        <w:spacing w:after="0" w:line="240" w:lineRule="auto"/>
      </w:pPr>
      <w:r>
        <w:separator/>
      </w:r>
    </w:p>
  </w:footnote>
  <w:footnote w:type="continuationSeparator" w:id="0">
    <w:p w14:paraId="63FD3E75" w14:textId="77777777" w:rsidR="00F24441" w:rsidRDefault="00F24441"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75D040E1" w14:textId="3BA15503" w:rsidR="00D84C7F" w:rsidRDefault="00D84C7F">
      <w:pPr>
        <w:pStyle w:val="FootnoteText"/>
      </w:pPr>
      <w:r>
        <w:rPr>
          <w:rStyle w:val="FootnoteReference"/>
        </w:rPr>
        <w:footnoteRef/>
      </w:r>
      <w:r>
        <w:t xml:space="preserve"> </w:t>
      </w:r>
      <w:r w:rsidR="000E3E5B" w:rsidRPr="000E3E5B">
        <w:t>Bowel cancer (Colorectal cancer) in Australia statistics (web page). Cites data source as the Australian Institute of Health and Welfare (AIHW). Updated 3 J</w:t>
      </w:r>
      <w:r w:rsidR="000E3E5B">
        <w:t>anuary</w:t>
      </w:r>
      <w:r w:rsidR="000E3E5B" w:rsidRPr="000E3E5B">
        <w:t xml:space="preserve"> 2024. Accessed 3 J</w:t>
      </w:r>
      <w:r w:rsidR="000E3E5B">
        <w:t xml:space="preserve">une </w:t>
      </w:r>
      <w:r w:rsidR="000E3E5B" w:rsidRPr="000E3E5B">
        <w:t xml:space="preserve">2024 at: </w:t>
      </w:r>
      <w:hyperlink r:id="rId1" w:history="1">
        <w:r w:rsidR="000E3E5B" w:rsidRPr="000E3E5B">
          <w:rPr>
            <w:rStyle w:val="Hyperlink"/>
          </w:rPr>
          <w:t>https://www.canceraustralia.gov.au/cancer-types/bowel-cancer/statistics</w:t>
        </w:r>
      </w:hyperlink>
    </w:p>
  </w:footnote>
  <w:footnote w:id="3">
    <w:p w14:paraId="7DDDF31A" w14:textId="420EDD91" w:rsidR="00A72111" w:rsidRDefault="00A72111">
      <w:pPr>
        <w:pStyle w:val="FootnoteText"/>
      </w:pPr>
      <w:r>
        <w:rPr>
          <w:rStyle w:val="FootnoteReference"/>
        </w:rPr>
        <w:footnoteRef/>
      </w:r>
      <w:r>
        <w:t xml:space="preserve"> </w:t>
      </w:r>
      <w:r w:rsidR="003D5F9D" w:rsidRPr="003D5F9D">
        <w:t xml:space="preserve">Feletto E, </w:t>
      </w:r>
      <w:r w:rsidR="00A437A8">
        <w:t xml:space="preserve">et al. </w:t>
      </w:r>
      <w:r w:rsidR="003D5F9D" w:rsidRPr="003D5F9D">
        <w:t>Trends in Colon and Rectal Cancer Incidence in Australia from 1982 to 2014: Analysis of Data on Over 375,000 Cases. Cancer Epidemiol Biomarkers Prev. 2019 Jan;28(1):83-90.</w:t>
      </w:r>
    </w:p>
  </w:footnote>
  <w:footnote w:id="4">
    <w:p w14:paraId="7DE8E96B" w14:textId="660BDD5A" w:rsidR="0028701A" w:rsidRDefault="0028701A">
      <w:pPr>
        <w:pStyle w:val="FootnoteText"/>
      </w:pPr>
      <w:r>
        <w:rPr>
          <w:rStyle w:val="FootnoteReference"/>
        </w:rPr>
        <w:footnoteRef/>
      </w:r>
      <w:r>
        <w:t xml:space="preserve"> </w:t>
      </w:r>
      <w:r w:rsidR="00344DD2" w:rsidRPr="00344DD2">
        <w:t>Siegel RL,</w:t>
      </w:r>
      <w:r w:rsidR="00E71BB3">
        <w:t xml:space="preserve"> </w:t>
      </w:r>
      <w:r w:rsidR="00344DD2" w:rsidRPr="00344DD2">
        <w:t>et al</w:t>
      </w:r>
      <w:r w:rsidR="00E71BB3">
        <w:t>.</w:t>
      </w:r>
      <w:r w:rsidR="00344DD2" w:rsidRPr="00344DD2">
        <w:t> Colorectal cancer incidence patterns in the United States, 1974–2013. J Natl Cancer Inst 2017;109.</w:t>
      </w:r>
    </w:p>
  </w:footnote>
  <w:footnote w:id="5">
    <w:p w14:paraId="01D4D270" w14:textId="4EDAE063" w:rsidR="00FB6809" w:rsidRDefault="00FB6809">
      <w:pPr>
        <w:pStyle w:val="FootnoteText"/>
      </w:pPr>
      <w:r>
        <w:rPr>
          <w:rStyle w:val="FootnoteReference"/>
        </w:rPr>
        <w:footnoteRef/>
      </w:r>
      <w:r>
        <w:t xml:space="preserve"> </w:t>
      </w:r>
      <w:r w:rsidR="006D0372" w:rsidRPr="006D0372">
        <w:t>Brown KG</w:t>
      </w:r>
      <w:r w:rsidR="00E71BB3">
        <w:t>., et al.</w:t>
      </w:r>
      <w:r w:rsidR="006D0372" w:rsidRPr="006D0372">
        <w:t xml:space="preserve"> Contemporary management of advanced colorectal cancer: the Australian experience. Med J Aust. 2024 Mar 18;220(5):222-224.</w:t>
      </w:r>
    </w:p>
  </w:footnote>
  <w:footnote w:id="6">
    <w:p w14:paraId="06DA96B0" w14:textId="233F3F25" w:rsidR="00A94E26" w:rsidRDefault="00A94E26">
      <w:pPr>
        <w:pStyle w:val="FootnoteText"/>
      </w:pPr>
      <w:r>
        <w:rPr>
          <w:rStyle w:val="FootnoteReference"/>
        </w:rPr>
        <w:footnoteRef/>
      </w:r>
      <w:r>
        <w:t xml:space="preserve"> </w:t>
      </w:r>
      <w:r w:rsidR="00D54155" w:rsidRPr="00D54155">
        <w:t>Zeineddine FA</w:t>
      </w:r>
      <w:r w:rsidR="005B1F76">
        <w:t>.</w:t>
      </w:r>
      <w:r w:rsidR="00D54155" w:rsidRPr="00D54155">
        <w:t>,</w:t>
      </w:r>
      <w:r w:rsidR="005B1F76">
        <w:t xml:space="preserve"> et al.</w:t>
      </w:r>
      <w:r w:rsidR="00D54155" w:rsidRPr="00D54155">
        <w:t xml:space="preserve"> Survival improvement for patients with metastatic colorectal cancer over twenty years. NPJ Precis Oncol. 2023 Feb 13;7(1):16.</w:t>
      </w:r>
    </w:p>
  </w:footnote>
  <w:footnote w:id="7">
    <w:p w14:paraId="077542C3" w14:textId="06C3060C" w:rsidR="000F2BC5" w:rsidRDefault="000F2BC5">
      <w:pPr>
        <w:pStyle w:val="FootnoteText"/>
      </w:pPr>
      <w:r>
        <w:rPr>
          <w:rStyle w:val="FootnoteReference"/>
        </w:rPr>
        <w:footnoteRef/>
      </w:r>
      <w:r>
        <w:t xml:space="preserve"> </w:t>
      </w:r>
      <w:r w:rsidR="00A437A8" w:rsidRPr="00A437A8">
        <w:t xml:space="preserve">Surveillance, Epidemiology and End Results Program (SEER) [USA]. Cancer Stat Facts: </w:t>
      </w:r>
      <w:hyperlink r:id="rId2" w:history="1">
        <w:r w:rsidR="00A437A8" w:rsidRPr="00A437A8">
          <w:rPr>
            <w:rStyle w:val="Hyperlink"/>
          </w:rPr>
          <w:t>https://seer.cancer.gov/statfacts/html/colorect.html</w:t>
        </w:r>
      </w:hyperlink>
    </w:p>
  </w:footnote>
  <w:footnote w:id="8">
    <w:p w14:paraId="36DE8C06" w14:textId="14F66859" w:rsidR="00116BB3" w:rsidRDefault="00116BB3">
      <w:pPr>
        <w:pStyle w:val="FootnoteText"/>
      </w:pPr>
      <w:r>
        <w:rPr>
          <w:rStyle w:val="FootnoteReference"/>
        </w:rPr>
        <w:footnoteRef/>
      </w:r>
      <w:r>
        <w:t xml:space="preserve"> </w:t>
      </w:r>
      <w:r w:rsidR="001C1765" w:rsidRPr="001C1765">
        <w:t xml:space="preserve">National Comprehensive Cancer Network (NCCN) Guidelines Version 3.2024 Colon Cancer. Accessed 17 JUN 2024 at: </w:t>
      </w:r>
      <w:hyperlink r:id="rId3" w:history="1">
        <w:r w:rsidR="001C1765" w:rsidRPr="001C1765">
          <w:rPr>
            <w:rStyle w:val="Hyperlink"/>
          </w:rPr>
          <w:t>https://www.nccn.org/professionals/physician_gls/pdf/colon.pdf</w:t>
        </w:r>
      </w:hyperlink>
    </w:p>
  </w:footnote>
  <w:footnote w:id="9">
    <w:p w14:paraId="0B1C49DB" w14:textId="3955014C" w:rsidR="00B73A20" w:rsidRDefault="00B73A20">
      <w:pPr>
        <w:pStyle w:val="FootnoteText"/>
      </w:pPr>
      <w:r>
        <w:rPr>
          <w:rStyle w:val="FootnoteReference"/>
        </w:rPr>
        <w:footnoteRef/>
      </w:r>
      <w:r>
        <w:t xml:space="preserve"> </w:t>
      </w:r>
      <w:r w:rsidR="0016023F" w:rsidRPr="0016023F">
        <w:t xml:space="preserve">EviQ Australian regimen guidelines – multiple regimens – for metastatic colorectal carcinoma (CRC). Accessed 18 JUN 2024 at: </w:t>
      </w:r>
      <w:hyperlink r:id="rId4" w:history="1">
        <w:r w:rsidR="0016023F" w:rsidRPr="0016023F">
          <w:rPr>
            <w:rStyle w:val="Hyperlink"/>
          </w:rPr>
          <w:t>https://www.eviq.org.au/medical-oncology/colorectal/metastatic</w:t>
        </w:r>
      </w:hyperlink>
    </w:p>
  </w:footnote>
  <w:footnote w:id="10">
    <w:p w14:paraId="6A7D7618" w14:textId="4CE4FF6C" w:rsidR="00B35F73" w:rsidRDefault="00B35F73">
      <w:pPr>
        <w:pStyle w:val="FootnoteText"/>
      </w:pPr>
      <w:r>
        <w:rPr>
          <w:rStyle w:val="FootnoteReference"/>
        </w:rPr>
        <w:footnoteRef/>
      </w:r>
      <w:r>
        <w:t xml:space="preserve"> </w:t>
      </w:r>
      <w:r w:rsidR="00616188" w:rsidRPr="00616188">
        <w:t xml:space="preserve">Australian Product Information (PI) for pembrolizumab (KEYTRUDA). Last updated 1 MAY 2024. Accessed 17 JUN 2024 at: </w:t>
      </w:r>
      <w:hyperlink r:id="rId5" w:history="1">
        <w:r w:rsidR="00616188" w:rsidRPr="00616188">
          <w:rPr>
            <w:rStyle w:val="Hyperlink"/>
          </w:rPr>
          <w:t>https://www.ebs.tga.gov.au/ebs/picmi/picmirepository.nsf/pdf?OpenAgent&amp;id=CP-2023-PI-01512-1</w:t>
        </w:r>
      </w:hyperlink>
    </w:p>
  </w:footnote>
  <w:footnote w:id="11">
    <w:p w14:paraId="4B1963D2" w14:textId="076A52C8" w:rsidR="00B35F73" w:rsidRDefault="00B35F73">
      <w:pPr>
        <w:pStyle w:val="FootnoteText"/>
      </w:pPr>
      <w:r>
        <w:rPr>
          <w:rStyle w:val="FootnoteReference"/>
        </w:rPr>
        <w:footnoteRef/>
      </w:r>
      <w:r>
        <w:t xml:space="preserve"> </w:t>
      </w:r>
      <w:r w:rsidR="00446E71" w:rsidRPr="00446E71">
        <w:t xml:space="preserve">Garmezy B, </w:t>
      </w:r>
      <w:r w:rsidR="00446E71">
        <w:t xml:space="preserve">et al. </w:t>
      </w:r>
      <w:r w:rsidR="00446E71" w:rsidRPr="00446E71">
        <w:t>Clinical and Molecular Characterization of POLE Mutations as Predictive Biomarkers of Response to Immune Checkpoint Inhibitors in Advanced Cancers. JCO Precis Oncol. 2022 Feb;</w:t>
      </w:r>
      <w:proofErr w:type="gramStart"/>
      <w:r w:rsidR="00446E71" w:rsidRPr="00446E71">
        <w:t>6:e</w:t>
      </w:r>
      <w:proofErr w:type="gramEnd"/>
      <w:r w:rsidR="00446E71" w:rsidRPr="00446E71">
        <w:t>2100267.</w:t>
      </w:r>
    </w:p>
  </w:footnote>
  <w:footnote w:id="12">
    <w:p w14:paraId="02E164B9" w14:textId="4F407EF0" w:rsidR="00D86946" w:rsidRDefault="00D86946">
      <w:pPr>
        <w:pStyle w:val="FootnoteText"/>
      </w:pPr>
      <w:r>
        <w:rPr>
          <w:rStyle w:val="FootnoteReference"/>
        </w:rPr>
        <w:footnoteRef/>
      </w:r>
      <w:r>
        <w:t xml:space="preserve"> </w:t>
      </w:r>
      <w:r w:rsidR="00D872DE" w:rsidRPr="00D872DE">
        <w:t xml:space="preserve">Australian Product Information (PI) for encorafenib (BRAFTOVI). Last updated 15 DEC 2023. Accessed 19 JUN 2024 at: </w:t>
      </w:r>
      <w:hyperlink r:id="rId6" w:history="1">
        <w:r w:rsidR="00D872DE" w:rsidRPr="00D872DE">
          <w:rPr>
            <w:rStyle w:val="Hyperlink"/>
          </w:rPr>
          <w:t>https://www.ebs.tga.gov.au/ebs/picmi/picmirepository.nsf/pdf?OpenAgent&amp;id=CP-2019-PI-01022-1</w:t>
        </w:r>
      </w:hyperlink>
    </w:p>
  </w:footnote>
  <w:footnote w:id="13">
    <w:p w14:paraId="06C086BB" w14:textId="4E3F5749" w:rsidR="005527B3" w:rsidRDefault="005527B3">
      <w:pPr>
        <w:pStyle w:val="FootnoteText"/>
      </w:pPr>
      <w:r>
        <w:rPr>
          <w:rStyle w:val="FootnoteReference"/>
        </w:rPr>
        <w:footnoteRef/>
      </w:r>
      <w:r>
        <w:t xml:space="preserve"> </w:t>
      </w:r>
      <w:r w:rsidR="00515B3A" w:rsidRPr="00515B3A">
        <w:t xml:space="preserve">Australian Product Information (PI) for entrectinib (ROZLYTREK). Last updated 22 DEC 2023. Accessed 19 JUN 2024 at: </w:t>
      </w:r>
      <w:hyperlink r:id="rId7" w:history="1">
        <w:r w:rsidR="00515B3A" w:rsidRPr="00515B3A">
          <w:rPr>
            <w:rStyle w:val="Hyperlink"/>
          </w:rPr>
          <w:t>https://www.ebs.tga.gov.au/ebs/picmi/picmirepository.nsf/pdf?OpenAgent&amp;id=CP-2020-PI-01721-1&amp;d=20240619172310101</w:t>
        </w:r>
      </w:hyperlink>
    </w:p>
  </w:footnote>
  <w:footnote w:id="14">
    <w:p w14:paraId="438DB6E0" w14:textId="02C519BA" w:rsidR="005527B3" w:rsidRDefault="005527B3">
      <w:pPr>
        <w:pStyle w:val="FootnoteText"/>
      </w:pPr>
      <w:r>
        <w:rPr>
          <w:rStyle w:val="FootnoteReference"/>
        </w:rPr>
        <w:footnoteRef/>
      </w:r>
      <w:r>
        <w:t xml:space="preserve"> </w:t>
      </w:r>
      <w:r w:rsidR="00534B0A" w:rsidRPr="00534B0A">
        <w:t xml:space="preserve">Australian Product Information (PI) for larotrectinib (VITRAKVI). Last updated 12 OCT 2023. Accessed 19 JUN 2024 at: </w:t>
      </w:r>
      <w:hyperlink r:id="rId8" w:history="1">
        <w:r w:rsidR="00534B0A" w:rsidRPr="00534B0A">
          <w:rPr>
            <w:rStyle w:val="Hyperlink"/>
          </w:rPr>
          <w:t>https://www.ebs.tga.gov.au/ebs/picmi/picmirepository.nsf/pdf?OpenAgent&amp;id=CP-2020-PI-02289-1&amp;d=20240619172310101</w:t>
        </w:r>
      </w:hyperlink>
    </w:p>
  </w:footnote>
  <w:footnote w:id="15">
    <w:p w14:paraId="04CF22C4" w14:textId="5B5EE557" w:rsidR="005D25F3" w:rsidRDefault="005D25F3">
      <w:pPr>
        <w:pStyle w:val="FootnoteText"/>
      </w:pPr>
      <w:r>
        <w:rPr>
          <w:rStyle w:val="FootnoteReference"/>
        </w:rPr>
        <w:footnoteRef/>
      </w:r>
      <w:r>
        <w:t xml:space="preserve"> </w:t>
      </w:r>
      <w:hyperlink r:id="rId9" w:history="1">
        <w:r w:rsidR="005270A7" w:rsidRPr="005270A7">
          <w:rPr>
            <w:rStyle w:val="Hyperlink"/>
          </w:rPr>
          <w:t>https://www.tga.gov.au/resources/prescription-medicines-registrations/tukysa-merck-sharp-dohme-australia-pty-ltd</w:t>
        </w:r>
      </w:hyperlink>
    </w:p>
  </w:footnote>
  <w:footnote w:id="16">
    <w:p w14:paraId="1383800B" w14:textId="11FE440F" w:rsidR="005D25F3" w:rsidRDefault="005D25F3">
      <w:pPr>
        <w:pStyle w:val="FootnoteText"/>
      </w:pPr>
      <w:r>
        <w:rPr>
          <w:rStyle w:val="FootnoteReference"/>
        </w:rPr>
        <w:footnoteRef/>
      </w:r>
      <w:r>
        <w:t xml:space="preserve"> </w:t>
      </w:r>
      <w:r w:rsidR="005F6112" w:rsidRPr="005F6112">
        <w:t xml:space="preserve">Australian Register of Therapeutic Goods (ARTG). Entry for tucatinib. Searched 19 JUN 2024 at: </w:t>
      </w:r>
      <w:hyperlink r:id="rId10" w:history="1">
        <w:r w:rsidR="005F6112" w:rsidRPr="005F6112">
          <w:rPr>
            <w:rStyle w:val="Hyperlink"/>
          </w:rPr>
          <w:t>https://www.ebs.tga.gov.au/</w:t>
        </w:r>
      </w:hyperlink>
    </w:p>
  </w:footnote>
  <w:footnote w:id="17">
    <w:p w14:paraId="47BE61E8" w14:textId="2400D7B3" w:rsidR="009B754E" w:rsidRDefault="009B754E">
      <w:pPr>
        <w:pStyle w:val="FootnoteText"/>
      </w:pPr>
      <w:r>
        <w:rPr>
          <w:rStyle w:val="FootnoteReference"/>
        </w:rPr>
        <w:footnoteRef/>
      </w:r>
      <w:r>
        <w:t xml:space="preserve"> </w:t>
      </w:r>
      <w:r w:rsidR="006C465D" w:rsidRPr="006C465D">
        <w:t xml:space="preserve">Australian Product Information (PI) for regorafenib (STIVARGA). Last updated 10 FEB 2021. Accessed 27 JUN 2024 at: </w:t>
      </w:r>
      <w:hyperlink r:id="rId11" w:history="1">
        <w:r w:rsidR="006C465D" w:rsidRPr="006C465D">
          <w:rPr>
            <w:rStyle w:val="Hyperlink"/>
          </w:rPr>
          <w:t>https://www.ebs.tga.gov.au/ebs/picmi/picmirepository.nsf/pdf?OpenAgent&amp;id=CP-2013-PI-02451-1&amp;d=20240627172310101</w:t>
        </w:r>
      </w:hyperlink>
    </w:p>
  </w:footnote>
  <w:footnote w:id="18">
    <w:p w14:paraId="0BB598A4" w14:textId="055FB808" w:rsidR="000F578F" w:rsidRDefault="000F578F">
      <w:pPr>
        <w:pStyle w:val="FootnoteText"/>
      </w:pPr>
      <w:r>
        <w:rPr>
          <w:rStyle w:val="FootnoteReference"/>
        </w:rPr>
        <w:footnoteRef/>
      </w:r>
      <w:r>
        <w:t xml:space="preserve"> </w:t>
      </w:r>
      <w:r w:rsidR="00BD2CF4" w:rsidRPr="00BD2CF4">
        <w:t xml:space="preserve">Australian Product Information (PI) for trifluridine / tipiracil hydrochloride (STIVARGA). Last updated 20 JUN 2022. Accessed 27 JUN 2024 at: </w:t>
      </w:r>
      <w:hyperlink r:id="rId12" w:history="1">
        <w:r w:rsidR="00BD2CF4" w:rsidRPr="00BD2CF4">
          <w:rPr>
            <w:rStyle w:val="Hyperlink"/>
          </w:rPr>
          <w:t>https://www.ebs.tga.gov.au/ebs/picmi/picmirepository.nsf/pdf?OpenAgent&amp;id=CP-2017-PI-01847-1</w:t>
        </w:r>
      </w:hyperlink>
    </w:p>
  </w:footnote>
  <w:footnote w:id="19">
    <w:p w14:paraId="45E713EF" w14:textId="5D06B708" w:rsidR="00720A16" w:rsidRDefault="00720A16">
      <w:pPr>
        <w:pStyle w:val="FootnoteText"/>
      </w:pPr>
      <w:r>
        <w:rPr>
          <w:rStyle w:val="FootnoteReference"/>
        </w:rPr>
        <w:footnoteRef/>
      </w:r>
      <w:r>
        <w:t xml:space="preserve"> </w:t>
      </w:r>
      <w:r w:rsidR="00B2221D" w:rsidRPr="00B2221D">
        <w:t xml:space="preserve">Australian Product Information (PI) for bevacizumab (ABEVMY). Last updated 15 MAY 2023. Accessed 5 JUL 2024 at: </w:t>
      </w:r>
      <w:hyperlink r:id="rId13" w:history="1">
        <w:r w:rsidR="00B2221D" w:rsidRPr="00B2221D">
          <w:rPr>
            <w:rStyle w:val="Hyperlink"/>
          </w:rPr>
          <w:t>https://www.ebs.tga.gov.au/ebs/picmi/picmirepository.nsf/pdf?OpenAgent&amp;id=CP-2021-PI-02226-1</w:t>
        </w:r>
      </w:hyperlink>
      <w:r w:rsidR="00B2221D" w:rsidRPr="00B2221D">
        <w:t xml:space="preserve"> </w:t>
      </w:r>
    </w:p>
  </w:footnote>
  <w:footnote w:id="20">
    <w:p w14:paraId="4D2CBD13" w14:textId="6CE61621" w:rsidR="00643558" w:rsidRDefault="00643558">
      <w:pPr>
        <w:pStyle w:val="FootnoteText"/>
      </w:pPr>
      <w:r>
        <w:rPr>
          <w:rStyle w:val="FootnoteReference"/>
        </w:rPr>
        <w:footnoteRef/>
      </w:r>
      <w:r>
        <w:t xml:space="preserve"> </w:t>
      </w:r>
      <w:r w:rsidR="00D25C56" w:rsidRPr="00D25C56">
        <w:t xml:space="preserve">Desai K, </w:t>
      </w:r>
      <w:r w:rsidR="00D25C56">
        <w:t xml:space="preserve">et al. </w:t>
      </w:r>
      <w:r w:rsidR="00D25C56" w:rsidRPr="00D25C56">
        <w:t>Real-world treatment patterns and unmet need in patients with previously treated metastatic colorectal cancer that is not MSI-H or dMMR [meeting abstract]. JCO 42, 53-53(2024).</w:t>
      </w:r>
    </w:p>
  </w:footnote>
  <w:footnote w:id="21">
    <w:p w14:paraId="224CD836" w14:textId="215DB791" w:rsidR="00500D68" w:rsidRDefault="00500D68">
      <w:pPr>
        <w:pStyle w:val="FootnoteText"/>
      </w:pPr>
      <w:r>
        <w:rPr>
          <w:rStyle w:val="FootnoteReference"/>
        </w:rPr>
        <w:footnoteRef/>
      </w:r>
      <w:r w:rsidR="009954EE">
        <w:t xml:space="preserve"> </w:t>
      </w:r>
      <w:r w:rsidR="00AD0111">
        <w:t>In this report the ‘</w:t>
      </w:r>
      <w:r w:rsidR="00AD0111" w:rsidRPr="00C133A3">
        <w:t>Delegate</w:t>
      </w:r>
      <w:r w:rsidR="00AD0111">
        <w:t>’</w:t>
      </w:r>
      <w:r w:rsidR="00AD0111" w:rsidRPr="00C133A3">
        <w:t xml:space="preserve"> </w:t>
      </w:r>
      <w:r w:rsidR="00AD0111">
        <w:t xml:space="preserve">is the </w:t>
      </w:r>
      <w:r w:rsidR="00AD0111" w:rsidRPr="00C133A3">
        <w:t>Delegate of the Secretary of the Department of Health</w:t>
      </w:r>
      <w:r w:rsidR="0006693A">
        <w:t>, Disability</w:t>
      </w:r>
      <w:r w:rsidR="0006693A" w:rsidRPr="00C133A3">
        <w:t xml:space="preserve"> and Age</w:t>
      </w:r>
      <w:r w:rsidR="0006693A">
        <w:t>ing</w:t>
      </w:r>
      <w:r w:rsidR="0006693A" w:rsidRPr="00C133A3">
        <w:t xml:space="preserve"> </w:t>
      </w:r>
      <w:r w:rsidR="00AD0111" w:rsidRPr="00C133A3">
        <w:t xml:space="preserve">who </w:t>
      </w:r>
      <w:r w:rsidR="00AD0111">
        <w:t>decided the submission</w:t>
      </w:r>
      <w:r w:rsidR="00AD0111" w:rsidRPr="00C133A3">
        <w:t xml:space="preserve"> under section 25 of the Act.</w:t>
      </w:r>
    </w:p>
  </w:footnote>
  <w:footnote w:id="22">
    <w:p w14:paraId="72883941" w14:textId="28879A8D" w:rsidR="00691F63" w:rsidRDefault="00691F63">
      <w:pPr>
        <w:pStyle w:val="FootnoteText"/>
      </w:pPr>
      <w:r>
        <w:rPr>
          <w:rStyle w:val="FootnoteReference"/>
        </w:rPr>
        <w:footnoteRef/>
      </w:r>
      <w:r>
        <w:t xml:space="preserve"> </w:t>
      </w:r>
      <w:r w:rsidR="00A55EFC" w:rsidRPr="00A55EFC">
        <w:t>IC50 = concentration that achieves 50% inhibition.</w:t>
      </w:r>
    </w:p>
  </w:footnote>
  <w:footnote w:id="23">
    <w:p w14:paraId="528ED130" w14:textId="56368915" w:rsidR="00D948BE" w:rsidRDefault="00D948BE">
      <w:pPr>
        <w:pStyle w:val="FootnoteText"/>
      </w:pPr>
      <w:r>
        <w:rPr>
          <w:rStyle w:val="FootnoteReference"/>
        </w:rPr>
        <w:footnoteRef/>
      </w:r>
      <w:r>
        <w:t xml:space="preserve"> </w:t>
      </w:r>
      <w:r w:rsidR="004D4410" w:rsidRPr="004D4410">
        <w:t>The QT interval is the time from the start of the QRS wave complex to the end of the corresponding T wave. It approximates to the time taken for ventricular depolarisation and repolarisation, that is to say, the period of ventricular systole from ventricular isovolumetric contraction to isovolumetric relaxation.</w:t>
      </w:r>
    </w:p>
  </w:footnote>
  <w:footnote w:id="24">
    <w:p w14:paraId="72F9362C" w14:textId="73AC5944" w:rsidR="00691F63" w:rsidRDefault="00691F63">
      <w:pPr>
        <w:pStyle w:val="FootnoteText"/>
      </w:pPr>
      <w:r>
        <w:rPr>
          <w:rStyle w:val="FootnoteReference"/>
        </w:rPr>
        <w:footnoteRef/>
      </w:r>
      <w:r>
        <w:t xml:space="preserve"> </w:t>
      </w:r>
      <w:r w:rsidR="008A425E" w:rsidRPr="008A425E">
        <w:t>ER = animal-to-human exposure ratio (subscript indicates parameter used to calculate ratio)</w:t>
      </w:r>
      <w:r w:rsidR="00BD2430">
        <w:t>.</w:t>
      </w:r>
    </w:p>
  </w:footnote>
  <w:footnote w:id="25">
    <w:p w14:paraId="60787AA7" w14:textId="29CB3491" w:rsidR="00BD4FF1" w:rsidRDefault="00BD4FF1">
      <w:pPr>
        <w:pStyle w:val="FootnoteText"/>
      </w:pPr>
      <w:r>
        <w:rPr>
          <w:rStyle w:val="FootnoteReference"/>
        </w:rPr>
        <w:footnoteRef/>
      </w:r>
      <w:r>
        <w:t xml:space="preserve"> </w:t>
      </w:r>
      <w:r w:rsidR="00BD2430">
        <w:t xml:space="preserve">CYP = </w:t>
      </w:r>
      <w:r w:rsidRPr="00BD4FF1">
        <w:t>Cytochrome P450 enzymes</w:t>
      </w:r>
      <w:r w:rsidR="00BD2430">
        <w:t>.</w:t>
      </w:r>
    </w:p>
  </w:footnote>
  <w:footnote w:id="26">
    <w:p w14:paraId="06A59BF7" w14:textId="77777777" w:rsidR="0032661F" w:rsidRDefault="0032661F" w:rsidP="0032661F">
      <w:pPr>
        <w:pStyle w:val="FootnoteText"/>
      </w:pPr>
      <w:r>
        <w:rPr>
          <w:rStyle w:val="FootnoteReference"/>
        </w:rPr>
        <w:footnoteRef/>
      </w:r>
      <w:r>
        <w:t xml:space="preserve"> OATP = o</w:t>
      </w:r>
      <w:r w:rsidRPr="00DB251F">
        <w:t xml:space="preserve">rganic </w:t>
      </w:r>
      <w:r>
        <w:t>a</w:t>
      </w:r>
      <w:r w:rsidRPr="00DB251F">
        <w:t xml:space="preserve">nion </w:t>
      </w:r>
      <w:r>
        <w:t>t</w:t>
      </w:r>
      <w:r w:rsidRPr="00DB251F">
        <w:t xml:space="preserve">ransporting </w:t>
      </w:r>
      <w:r>
        <w:t>p</w:t>
      </w:r>
      <w:r w:rsidRPr="00DB251F">
        <w:t>olypeptides</w:t>
      </w:r>
      <w:r>
        <w:t>.</w:t>
      </w:r>
    </w:p>
  </w:footnote>
  <w:footnote w:id="27">
    <w:p w14:paraId="4CB876AD" w14:textId="4F5DAA25" w:rsidR="001C1036" w:rsidRDefault="001C1036" w:rsidP="001C1036">
      <w:pPr>
        <w:pStyle w:val="FootnoteText"/>
      </w:pPr>
      <w:r>
        <w:rPr>
          <w:rStyle w:val="FootnoteReference"/>
        </w:rPr>
        <w:footnoteRef/>
      </w:r>
      <w:r>
        <w:t xml:space="preserve"> </w:t>
      </w:r>
      <w:r w:rsidR="007A54A3" w:rsidRPr="007A54A3">
        <w:t>OAT = organic anion transporter.</w:t>
      </w:r>
    </w:p>
  </w:footnote>
  <w:footnote w:id="28">
    <w:p w14:paraId="30C6CACD" w14:textId="4BC0C5FB" w:rsidR="001C1036" w:rsidRDefault="001C1036" w:rsidP="001C1036">
      <w:pPr>
        <w:pStyle w:val="FootnoteText"/>
      </w:pPr>
      <w:r>
        <w:rPr>
          <w:rStyle w:val="FootnoteReference"/>
        </w:rPr>
        <w:footnoteRef/>
      </w:r>
      <w:r>
        <w:t xml:space="preserve"> </w:t>
      </w:r>
      <w:r w:rsidR="007A54A3">
        <w:t>MATE = m</w:t>
      </w:r>
      <w:r w:rsidR="007A54A3" w:rsidRPr="00E62B1B">
        <w:t>ultidrug and toxin extrusion protein</w:t>
      </w:r>
      <w:r w:rsidR="007A54A3">
        <w:t>.</w:t>
      </w:r>
    </w:p>
  </w:footnote>
  <w:footnote w:id="29">
    <w:p w14:paraId="44A73E33" w14:textId="202EA13D" w:rsidR="00290658" w:rsidRDefault="00290658" w:rsidP="00290658">
      <w:pPr>
        <w:pStyle w:val="FootnoteText"/>
      </w:pPr>
      <w:r>
        <w:rPr>
          <w:rStyle w:val="FootnoteReference"/>
        </w:rPr>
        <w:footnoteRef/>
      </w:r>
      <w:r>
        <w:t xml:space="preserve"> The </w:t>
      </w:r>
      <w:r w:rsidRPr="001E43FD">
        <w:rPr>
          <w:b/>
          <w:bCs/>
        </w:rPr>
        <w:t xml:space="preserve">corrected QT interval </w:t>
      </w:r>
      <w:r>
        <w:rPr>
          <w:b/>
          <w:bCs/>
        </w:rPr>
        <w:t>(</w:t>
      </w:r>
      <w:r w:rsidRPr="001E43FD">
        <w:rPr>
          <w:b/>
          <w:bCs/>
        </w:rPr>
        <w:t>QTc)</w:t>
      </w:r>
      <w:r>
        <w:t xml:space="preserve"> estimates the QT interval at a standard heart rate. This allows comparison of QT values over time at different heart rates and improves detection of patients at increased risk of arrhythmias.</w:t>
      </w:r>
    </w:p>
  </w:footnote>
  <w:footnote w:id="30">
    <w:p w14:paraId="26DD87A1" w14:textId="38B88F65" w:rsidR="006D0F53" w:rsidRPr="006D0F53" w:rsidRDefault="006D0F53" w:rsidP="006D0F53">
      <w:pPr>
        <w:pStyle w:val="FootnoteText"/>
      </w:pPr>
      <w:r>
        <w:rPr>
          <w:rStyle w:val="FootnoteReference"/>
        </w:rPr>
        <w:footnoteRef/>
      </w:r>
      <w:r>
        <w:t xml:space="preserve"> </w:t>
      </w:r>
      <w:r w:rsidRPr="006D0F53">
        <w:t>FDA Multi-Discipline Review for FRUZAQLA.</w:t>
      </w:r>
      <w:r w:rsidR="00E23B4A">
        <w:t xml:space="preserve"> </w:t>
      </w:r>
      <w:r w:rsidRPr="006D0F53">
        <w:t>Accessed 27 J</w:t>
      </w:r>
      <w:r w:rsidR="00E23B4A">
        <w:t>une</w:t>
      </w:r>
      <w:r w:rsidRPr="006D0F53">
        <w:t xml:space="preserve"> 2024 at: </w:t>
      </w:r>
      <w:hyperlink r:id="rId14" w:history="1">
        <w:r w:rsidRPr="006D0F53">
          <w:rPr>
            <w:rStyle w:val="Hyperlink"/>
          </w:rPr>
          <w:t>https://www.accessdata.fda.gov/drugsatfda_docs/nda/2023/217564Orig1s000MultidisciplineR.pdf</w:t>
        </w:r>
      </w:hyperlink>
      <w:r w:rsidRPr="006D0F53">
        <w:t xml:space="preserve"> </w:t>
      </w:r>
    </w:p>
    <w:p w14:paraId="3E65AAAF" w14:textId="1BA8E6FC" w:rsidR="006D0F53" w:rsidRDefault="006D0F53">
      <w:pPr>
        <w:pStyle w:val="FootnoteText"/>
      </w:pPr>
    </w:p>
  </w:footnote>
  <w:footnote w:id="31">
    <w:p w14:paraId="389E4273" w14:textId="58F22420" w:rsidR="007A5A52" w:rsidRDefault="007A5A52">
      <w:pPr>
        <w:pStyle w:val="FootnoteText"/>
      </w:pPr>
      <w:r>
        <w:rPr>
          <w:rStyle w:val="FootnoteReference"/>
        </w:rPr>
        <w:footnoteRef/>
      </w:r>
      <w:r>
        <w:t xml:space="preserve"> </w:t>
      </w:r>
      <w:r w:rsidR="00FD22BE" w:rsidRPr="00B026BC">
        <w:t>Eisenhauer EA</w:t>
      </w:r>
      <w:r w:rsidR="00FD22BE">
        <w:t xml:space="preserve">, et al. </w:t>
      </w:r>
      <w:r w:rsidR="00FD22BE" w:rsidRPr="00B026BC">
        <w:t>New response evaluation criteria in solid tumours: revised RECIST guideline (version 1.1). Eur J Cancer. 2009 Jan;45(2):228-47</w:t>
      </w:r>
    </w:p>
  </w:footnote>
  <w:footnote w:id="32">
    <w:p w14:paraId="49E7531E" w14:textId="1A87C667" w:rsidR="00290658" w:rsidRPr="00290658" w:rsidRDefault="00290658">
      <w:pPr>
        <w:pStyle w:val="FootnoteText"/>
      </w:pPr>
      <w:r>
        <w:rPr>
          <w:rStyle w:val="FootnoteReference"/>
        </w:rPr>
        <w:footnoteRef/>
      </w:r>
      <w:r>
        <w:t xml:space="preserve"> The </w:t>
      </w:r>
      <w:r w:rsidRPr="001E43FD">
        <w:rPr>
          <w:b/>
          <w:bCs/>
        </w:rPr>
        <w:t xml:space="preserve">QTcF </w:t>
      </w:r>
      <w:r>
        <w:t>is the QT interval corrected for heart rate according to Fridericia’s formula.</w:t>
      </w:r>
    </w:p>
  </w:footnote>
  <w:footnote w:id="33">
    <w:p w14:paraId="0EADBB0C" w14:textId="41249A4F" w:rsidR="002B7980" w:rsidRDefault="002B7980" w:rsidP="002B7980">
      <w:pPr>
        <w:pStyle w:val="FootnoteText"/>
        <w:rPr>
          <w:color w:val="auto"/>
        </w:rPr>
      </w:pPr>
      <w:r>
        <w:rPr>
          <w:rStyle w:val="FootnoteReference"/>
        </w:rPr>
        <w:footnoteRef/>
      </w:r>
      <w:r>
        <w:t xml:space="preserve"> Based on FDA definitions, TGA considers real-world evidence (RWE) to be </w:t>
      </w:r>
      <w:r>
        <w:rPr>
          <w:i/>
          <w:iCs/>
        </w:rPr>
        <w:t>clinical evidence about the usage and potential benefits or risks of a medical product derived from analysis of real-world data (RWD)</w:t>
      </w:r>
      <w:r>
        <w:t xml:space="preserve">, and RWD to be data derived from sources other than traditional clinical trials, that is. </w:t>
      </w:r>
      <w:r>
        <w:rPr>
          <w:i/>
          <w:iCs/>
        </w:rPr>
        <w:t>data relating to patient health status and/or the delivery of health care routinely collected from a variety of sources.</w:t>
      </w:r>
    </w:p>
  </w:footnote>
  <w:footnote w:id="34">
    <w:p w14:paraId="002770CE" w14:textId="35F14C32" w:rsidR="00A451E6" w:rsidRDefault="00A451E6">
      <w:pPr>
        <w:pStyle w:val="FootnoteText"/>
      </w:pPr>
      <w:r>
        <w:rPr>
          <w:rStyle w:val="FootnoteReference"/>
        </w:rPr>
        <w:footnoteRef/>
      </w:r>
      <w:r>
        <w:t xml:space="preserve"> </w:t>
      </w:r>
      <w:r w:rsidR="00B66BA5">
        <w:t xml:space="preserve">Mayer RJ, </w:t>
      </w:r>
      <w:r w:rsidR="000862B7">
        <w:t xml:space="preserve">et al. </w:t>
      </w:r>
      <w:r w:rsidR="00B66BA5">
        <w:t>Randomized trial of TAS-102 for refractory metastatic colorectal cancer. New England Journal of Medicine. 2015;372(20):1909-19</w:t>
      </w:r>
      <w:r w:rsidR="00657797">
        <w:t>.</w:t>
      </w:r>
    </w:p>
  </w:footnote>
  <w:footnote w:id="35">
    <w:p w14:paraId="67E73AAE" w14:textId="31888510" w:rsidR="00624CCD" w:rsidRDefault="00624CCD">
      <w:pPr>
        <w:pStyle w:val="FootnoteText"/>
      </w:pPr>
      <w:r>
        <w:rPr>
          <w:rStyle w:val="FootnoteReference"/>
        </w:rPr>
        <w:footnoteRef/>
      </w:r>
      <w:r>
        <w:t xml:space="preserve"> </w:t>
      </w:r>
      <w:r w:rsidR="000A685F" w:rsidRPr="000A685F">
        <w:t xml:space="preserve">Xu J, et al. Results of a Randomized, Double-Blind, Placebo-Controlled, Phase III Trial of Trifluridine/Tipiracil (TAS-102) Monotherapy in Asian Patients </w:t>
      </w:r>
      <w:r w:rsidR="00657797">
        <w:t>w</w:t>
      </w:r>
      <w:r w:rsidR="000A685F" w:rsidRPr="000A685F">
        <w:t>ith Previously Treated Metastatic Colorectal Cancer: The TERRA Study. J Clin Oncol. 2018;36(4):350-8.</w:t>
      </w:r>
    </w:p>
  </w:footnote>
  <w:footnote w:id="36">
    <w:p w14:paraId="7B7CAB6C" w14:textId="5D6578BF" w:rsidR="00624CCD" w:rsidRDefault="00624CCD">
      <w:pPr>
        <w:pStyle w:val="FootnoteText"/>
      </w:pPr>
      <w:r>
        <w:rPr>
          <w:rStyle w:val="FootnoteReference"/>
        </w:rPr>
        <w:footnoteRef/>
      </w:r>
      <w:r>
        <w:t xml:space="preserve"> </w:t>
      </w:r>
      <w:r w:rsidR="000D2C9A" w:rsidRPr="000D2C9A">
        <w:t>Grothey A, et al. Regorafenib monotherapy for previously treated metastatic colorectal cancer (CORRECT): an international, multicentre, randomised, placebo-controlled, phase 3 trial. Lancet. 2013;381(9863):303-12.</w:t>
      </w:r>
    </w:p>
  </w:footnote>
  <w:footnote w:id="37">
    <w:p w14:paraId="5E583C4B" w14:textId="29F6D872" w:rsidR="00624CCD" w:rsidRDefault="00624CCD">
      <w:pPr>
        <w:pStyle w:val="FootnoteText"/>
      </w:pPr>
      <w:r>
        <w:rPr>
          <w:rStyle w:val="FootnoteReference"/>
        </w:rPr>
        <w:footnoteRef/>
      </w:r>
      <w:r>
        <w:t xml:space="preserve"> </w:t>
      </w:r>
      <w:r w:rsidR="000862B7" w:rsidRPr="000862B7">
        <w:t>Li J, et al. Regorafenib plus best supportive care versus placebo plus best supportive care in Asian patients with previously treated metastatic colorectal cancer (CONCUR): a randomised, double-blind, placebo-controlled, phase 3 trial. Lancet Oncol. 2015;16(6):619-29.</w:t>
      </w:r>
    </w:p>
  </w:footnote>
  <w:footnote w:id="38">
    <w:p w14:paraId="7345F679" w14:textId="7C05CB35" w:rsidR="00F02817" w:rsidRDefault="00F02817">
      <w:pPr>
        <w:pStyle w:val="FootnoteText"/>
      </w:pPr>
      <w:r>
        <w:rPr>
          <w:rStyle w:val="FootnoteReference"/>
        </w:rPr>
        <w:footnoteRef/>
      </w:r>
      <w:r>
        <w:t xml:space="preserve"> </w:t>
      </w:r>
      <w:r w:rsidR="000C51B1" w:rsidRPr="000C51B1">
        <w:t>Prager GW, et al. Trifluridine-Tipiracil and Bevacizumab in Refractory Metastatic Colorectal Cancer. N Engl J Med. 2023;388(18):1657-67.</w:t>
      </w:r>
    </w:p>
  </w:footnote>
  <w:footnote w:id="39">
    <w:p w14:paraId="6E7A199F" w14:textId="0667DBA2" w:rsidR="00DF6FD8" w:rsidRDefault="00DF6FD8">
      <w:pPr>
        <w:pStyle w:val="FootnoteText"/>
      </w:pPr>
      <w:r>
        <w:rPr>
          <w:rStyle w:val="FootnoteReference"/>
        </w:rPr>
        <w:footnoteRef/>
      </w:r>
      <w:r>
        <w:t xml:space="preserve"> </w:t>
      </w:r>
      <w:r w:rsidR="00C70FA4" w:rsidRPr="00C70FA4">
        <w:t xml:space="preserve">Phillippo D, </w:t>
      </w:r>
      <w:r w:rsidR="009E7C4C">
        <w:t>at al.</w:t>
      </w:r>
      <w:r w:rsidR="00C70FA4" w:rsidRPr="00C70FA4">
        <w:t xml:space="preserve"> Methods for Population-Adjusted Indirect Comparisons in Submissions </w:t>
      </w:r>
      <w:r w:rsidR="009E7C4C">
        <w:t>t</w:t>
      </w:r>
      <w:r w:rsidR="00C70FA4" w:rsidRPr="00C70FA4">
        <w:t>o Nice. Nice DSU Technical Support Document 18. 2016.</w:t>
      </w:r>
    </w:p>
  </w:footnote>
  <w:footnote w:id="40">
    <w:p w14:paraId="0174D780" w14:textId="6B775999" w:rsidR="00DF6FD8" w:rsidRDefault="00DF6FD8">
      <w:pPr>
        <w:pStyle w:val="FootnoteText"/>
      </w:pPr>
      <w:r>
        <w:rPr>
          <w:rStyle w:val="FootnoteReference"/>
        </w:rPr>
        <w:footnoteRef/>
      </w:r>
      <w:r>
        <w:t xml:space="preserve"> </w:t>
      </w:r>
      <w:r w:rsidR="004839BA" w:rsidRPr="004839BA">
        <w:t>Phillippo DM,</w:t>
      </w:r>
      <w:r w:rsidR="009E7C4C">
        <w:t xml:space="preserve"> et al.</w:t>
      </w:r>
      <w:r w:rsidR="004839BA" w:rsidRPr="004839BA">
        <w:t xml:space="preserve"> Methods for Population-Adjusted Indirect Comparisons in Health Technology Appraisal. Med Decis Making. 2018;38(2):200-11.</w:t>
      </w:r>
    </w:p>
  </w:footnote>
  <w:footnote w:id="41">
    <w:p w14:paraId="78126A02" w14:textId="5CB52902" w:rsidR="008C3216" w:rsidRDefault="008C3216">
      <w:pPr>
        <w:pStyle w:val="FootnoteText"/>
      </w:pPr>
      <w:r>
        <w:rPr>
          <w:rStyle w:val="FootnoteReference"/>
        </w:rPr>
        <w:footnoteRef/>
      </w:r>
      <w:r>
        <w:t xml:space="preserve"> </w:t>
      </w:r>
      <w:r w:rsidR="00D86B55" w:rsidRPr="00D86B55">
        <w:t>Signorovitch JE, et al. Matching-adjusted indirect comparisons: a new tool for timely comparative effectiveness research. Value Health. 2012;15(6):940-7.</w:t>
      </w:r>
    </w:p>
  </w:footnote>
  <w:footnote w:id="42">
    <w:p w14:paraId="71F1519B" w14:textId="2026CF9C" w:rsidR="00240D93" w:rsidRDefault="00240D93">
      <w:pPr>
        <w:pStyle w:val="FootnoteText"/>
      </w:pPr>
      <w:r>
        <w:rPr>
          <w:rStyle w:val="FootnoteReference"/>
        </w:rPr>
        <w:footnoteRef/>
      </w:r>
      <w:r>
        <w:t xml:space="preserve"> </w:t>
      </w:r>
      <w:r w:rsidR="0076630A" w:rsidRPr="0076630A">
        <w:t>Schmidinger M. Understanding and managing toxicities of vascular endothelial growth factor (VEGF) inhibitors. EJC Suppl. 2013 Sep;11(2):172-91.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A5421A"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60288"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BA"/>
    <w:multiLevelType w:val="hybridMultilevel"/>
    <w:tmpl w:val="300E0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1753DE"/>
    <w:multiLevelType w:val="hybridMultilevel"/>
    <w:tmpl w:val="4124695E"/>
    <w:lvl w:ilvl="0" w:tplc="5424782A">
      <w:start w:val="1"/>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0C6201"/>
    <w:multiLevelType w:val="hybridMultilevel"/>
    <w:tmpl w:val="6C821E02"/>
    <w:lvl w:ilvl="0" w:tplc="FFFFFFFF">
      <w:start w:val="1"/>
      <w:numFmt w:val="decimal"/>
      <w:lvlText w:val="%1"/>
      <w:lvlJc w:val="left"/>
      <w:pPr>
        <w:ind w:left="360" w:hanging="360"/>
      </w:pPr>
      <w:rPr>
        <w:rFonts w:ascii="Calibri" w:eastAsia="Cambria" w:hAnsi="Calibri" w:cs="Times New Roman"/>
        <w:b w:val="0"/>
        <w:bCs w:val="0"/>
        <w:i w:val="0"/>
        <w:iCs w:val="0"/>
        <w:caps w:val="0"/>
        <w:strike w:val="0"/>
        <w:dstrike w:val="0"/>
        <w:vanish w:val="0"/>
        <w:webHidden w:val="0"/>
        <w:spacing w:val="0"/>
        <w:w w:val="100"/>
        <w:sz w:val="18"/>
        <w:szCs w:val="24"/>
        <w:u w:val="none"/>
        <w:effect w:val="none"/>
        <w:vertAlign w:val="superscript"/>
        <w:lang w:val="en-US" w:eastAsia="en-US" w:bidi="ar-SA"/>
        <w:specVanish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CDE4868"/>
    <w:multiLevelType w:val="hybridMultilevel"/>
    <w:tmpl w:val="01B614A0"/>
    <w:lvl w:ilvl="0" w:tplc="0C090001">
      <w:start w:val="1"/>
      <w:numFmt w:val="bullet"/>
      <w:lvlText w:val=""/>
      <w:lvlJc w:val="left"/>
      <w:pPr>
        <w:ind w:left="820" w:hanging="360"/>
      </w:pPr>
      <w:rPr>
        <w:rFonts w:ascii="Symbol" w:hAnsi="Symbol" w:hint="default"/>
      </w:rPr>
    </w:lvl>
    <w:lvl w:ilvl="1" w:tplc="0C090003">
      <w:start w:val="1"/>
      <w:numFmt w:val="bullet"/>
      <w:lvlText w:val="o"/>
      <w:lvlJc w:val="left"/>
      <w:pPr>
        <w:ind w:left="1540" w:hanging="360"/>
      </w:pPr>
      <w:rPr>
        <w:rFonts w:ascii="Courier New" w:hAnsi="Courier New" w:cs="Courier New" w:hint="default"/>
      </w:rPr>
    </w:lvl>
    <w:lvl w:ilvl="2" w:tplc="0C090005">
      <w:start w:val="1"/>
      <w:numFmt w:val="bullet"/>
      <w:lvlText w:val=""/>
      <w:lvlJc w:val="left"/>
      <w:pPr>
        <w:ind w:left="2260" w:hanging="360"/>
      </w:pPr>
      <w:rPr>
        <w:rFonts w:ascii="Wingdings" w:hAnsi="Wingdings" w:hint="default"/>
      </w:rPr>
    </w:lvl>
    <w:lvl w:ilvl="3" w:tplc="0C090001">
      <w:start w:val="1"/>
      <w:numFmt w:val="bullet"/>
      <w:lvlText w:val=""/>
      <w:lvlJc w:val="left"/>
      <w:pPr>
        <w:ind w:left="2980" w:hanging="360"/>
      </w:pPr>
      <w:rPr>
        <w:rFonts w:ascii="Symbol" w:hAnsi="Symbol" w:hint="default"/>
      </w:rPr>
    </w:lvl>
    <w:lvl w:ilvl="4" w:tplc="0C090003">
      <w:start w:val="1"/>
      <w:numFmt w:val="bullet"/>
      <w:lvlText w:val="o"/>
      <w:lvlJc w:val="left"/>
      <w:pPr>
        <w:ind w:left="3700" w:hanging="360"/>
      </w:pPr>
      <w:rPr>
        <w:rFonts w:ascii="Courier New" w:hAnsi="Courier New" w:cs="Courier New" w:hint="default"/>
      </w:rPr>
    </w:lvl>
    <w:lvl w:ilvl="5" w:tplc="0C090005">
      <w:start w:val="1"/>
      <w:numFmt w:val="bullet"/>
      <w:lvlText w:val=""/>
      <w:lvlJc w:val="left"/>
      <w:pPr>
        <w:ind w:left="4420" w:hanging="360"/>
      </w:pPr>
      <w:rPr>
        <w:rFonts w:ascii="Wingdings" w:hAnsi="Wingdings" w:hint="default"/>
      </w:rPr>
    </w:lvl>
    <w:lvl w:ilvl="6" w:tplc="0C090001">
      <w:start w:val="1"/>
      <w:numFmt w:val="bullet"/>
      <w:lvlText w:val=""/>
      <w:lvlJc w:val="left"/>
      <w:pPr>
        <w:ind w:left="5140" w:hanging="360"/>
      </w:pPr>
      <w:rPr>
        <w:rFonts w:ascii="Symbol" w:hAnsi="Symbol" w:hint="default"/>
      </w:rPr>
    </w:lvl>
    <w:lvl w:ilvl="7" w:tplc="0C090003">
      <w:start w:val="1"/>
      <w:numFmt w:val="bullet"/>
      <w:lvlText w:val="o"/>
      <w:lvlJc w:val="left"/>
      <w:pPr>
        <w:ind w:left="5860" w:hanging="360"/>
      </w:pPr>
      <w:rPr>
        <w:rFonts w:ascii="Courier New" w:hAnsi="Courier New" w:cs="Courier New" w:hint="default"/>
      </w:rPr>
    </w:lvl>
    <w:lvl w:ilvl="8" w:tplc="0C090005">
      <w:start w:val="1"/>
      <w:numFmt w:val="bullet"/>
      <w:lvlText w:val=""/>
      <w:lvlJc w:val="left"/>
      <w:pPr>
        <w:ind w:left="6580" w:hanging="360"/>
      </w:pPr>
      <w:rPr>
        <w:rFonts w:ascii="Wingdings" w:hAnsi="Wingdings" w:hint="default"/>
      </w:rPr>
    </w:lvl>
  </w:abstractNum>
  <w:abstractNum w:abstractNumId="4" w15:restartNumberingAfterBreak="0">
    <w:nsid w:val="0E0910ED"/>
    <w:multiLevelType w:val="hybridMultilevel"/>
    <w:tmpl w:val="1DEAE0FA"/>
    <w:lvl w:ilvl="0" w:tplc="C0B6B0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F72F75"/>
    <w:multiLevelType w:val="hybridMultilevel"/>
    <w:tmpl w:val="61DC9A68"/>
    <w:lvl w:ilvl="0" w:tplc="7C5C48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9" w15:restartNumberingAfterBreak="0">
    <w:nsid w:val="121276CE"/>
    <w:multiLevelType w:val="hybridMultilevel"/>
    <w:tmpl w:val="42AAED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75F4911"/>
    <w:multiLevelType w:val="hybridMultilevel"/>
    <w:tmpl w:val="8ED05BDA"/>
    <w:lvl w:ilvl="0" w:tplc="5424782A">
      <w:start w:val="1"/>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14" w15:restartNumberingAfterBreak="0">
    <w:nsid w:val="18EA6D2C"/>
    <w:multiLevelType w:val="hybridMultilevel"/>
    <w:tmpl w:val="F4A40022"/>
    <w:lvl w:ilvl="0" w:tplc="5CB87E1C">
      <w:start w:val="1"/>
      <w:numFmt w:val="decimal"/>
      <w:pStyle w:val="TableDescriptionfootnoteslist"/>
      <w:lvlText w:val="%1"/>
      <w:lvlJc w:val="left"/>
      <w:pPr>
        <w:ind w:left="360" w:hanging="360"/>
      </w:pPr>
      <w:rPr>
        <w:rFonts w:ascii="Calibri" w:hAnsi="Calibri" w:cs="Arial"/>
        <w:b w:val="0"/>
        <w:bCs w:val="0"/>
        <w:i w:val="0"/>
        <w:iCs w:val="0"/>
        <w:caps w:val="0"/>
        <w:strike w:val="0"/>
        <w:dstrike w:val="0"/>
        <w:vanish w:val="0"/>
        <w:webHidden w:val="0"/>
        <w:spacing w:val="0"/>
        <w:w w:val="100"/>
        <w:sz w:val="18"/>
        <w:szCs w:val="24"/>
        <w:u w:val="none"/>
        <w:effect w:val="none"/>
        <w:vertAlign w:val="superscript"/>
        <w:lang w:val="en-US" w:eastAsia="en-US" w:bidi="ar-SA"/>
        <w:specVanish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209240D8"/>
    <w:multiLevelType w:val="hybridMultilevel"/>
    <w:tmpl w:val="DE7CDEE8"/>
    <w:lvl w:ilvl="0" w:tplc="5424782A">
      <w:start w:val="1"/>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2F83655"/>
    <w:multiLevelType w:val="hybridMultilevel"/>
    <w:tmpl w:val="2730B0D6"/>
    <w:lvl w:ilvl="0" w:tplc="5424782A">
      <w:start w:val="1"/>
      <w:numFmt w:val="bullet"/>
      <w:lvlText w:val="-"/>
      <w:lvlJc w:val="left"/>
      <w:pPr>
        <w:ind w:left="765" w:hanging="360"/>
      </w:pPr>
      <w:rPr>
        <w:rFonts w:ascii="Calibri" w:eastAsia="Cambria" w:hAnsi="Calibri" w:cs="Calibri"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 w15:restartNumberingAfterBreak="0">
    <w:nsid w:val="3145712C"/>
    <w:multiLevelType w:val="hybridMultilevel"/>
    <w:tmpl w:val="8CB6A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8D29BA"/>
    <w:multiLevelType w:val="hybridMultilevel"/>
    <w:tmpl w:val="1DA45E20"/>
    <w:lvl w:ilvl="0" w:tplc="5E58B0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CE44A8"/>
    <w:multiLevelType w:val="hybridMultilevel"/>
    <w:tmpl w:val="72FE0770"/>
    <w:lvl w:ilvl="0" w:tplc="5424782A">
      <w:start w:val="1"/>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22"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Symbo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Symbol"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06F45"/>
    <w:multiLevelType w:val="hybridMultilevel"/>
    <w:tmpl w:val="EF566750"/>
    <w:lvl w:ilvl="0" w:tplc="98B602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5"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2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AB6930"/>
    <w:multiLevelType w:val="hybridMultilevel"/>
    <w:tmpl w:val="3DB0FA6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8" w15:restartNumberingAfterBreak="0">
    <w:nsid w:val="55EB6FEC"/>
    <w:multiLevelType w:val="hybridMultilevel"/>
    <w:tmpl w:val="517EC420"/>
    <w:lvl w:ilvl="0" w:tplc="5424782A">
      <w:start w:val="1"/>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30" w15:restartNumberingAfterBreak="0">
    <w:nsid w:val="617E6748"/>
    <w:multiLevelType w:val="hybridMultilevel"/>
    <w:tmpl w:val="F5D0F520"/>
    <w:lvl w:ilvl="0" w:tplc="5424782A">
      <w:start w:val="1"/>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2E1248D"/>
    <w:multiLevelType w:val="hybridMultilevel"/>
    <w:tmpl w:val="C750C4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B305A67"/>
    <w:multiLevelType w:val="hybridMultilevel"/>
    <w:tmpl w:val="C2606040"/>
    <w:lvl w:ilvl="0" w:tplc="5424782A">
      <w:start w:val="1"/>
      <w:numFmt w:val="bullet"/>
      <w:lvlText w:val="-"/>
      <w:lvlJc w:val="left"/>
      <w:pPr>
        <w:ind w:left="720" w:hanging="360"/>
      </w:pPr>
      <w:rPr>
        <w:rFonts w:ascii="Calibri" w:eastAsia="Cambr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11"/>
  </w:num>
  <w:num w:numId="2" w16cid:durableId="1856573705">
    <w:abstractNumId w:val="7"/>
  </w:num>
  <w:num w:numId="3" w16cid:durableId="357703499">
    <w:abstractNumId w:val="10"/>
  </w:num>
  <w:num w:numId="4" w16cid:durableId="1869176708">
    <w:abstractNumId w:val="26"/>
  </w:num>
  <w:num w:numId="5" w16cid:durableId="1652950129">
    <w:abstractNumId w:val="17"/>
  </w:num>
  <w:num w:numId="6" w16cid:durableId="1053193207">
    <w:abstractNumId w:val="24"/>
  </w:num>
  <w:num w:numId="7" w16cid:durableId="201135927">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25"/>
  </w:num>
  <w:num w:numId="9" w16cid:durableId="173421270">
    <w:abstractNumId w:val="8"/>
  </w:num>
  <w:num w:numId="10" w16cid:durableId="2108043357">
    <w:abstractNumId w:val="13"/>
  </w:num>
  <w:num w:numId="11" w16cid:durableId="1725904230">
    <w:abstractNumId w:val="21"/>
  </w:num>
  <w:num w:numId="12" w16cid:durableId="141579354">
    <w:abstractNumId w:val="29"/>
  </w:num>
  <w:num w:numId="13" w16cid:durableId="283735081">
    <w:abstractNumId w:val="33"/>
  </w:num>
  <w:num w:numId="14" w16cid:durableId="614601814">
    <w:abstractNumId w:val="31"/>
  </w:num>
  <w:num w:numId="15" w16cid:durableId="175119207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466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485598">
    <w:abstractNumId w:val="22"/>
  </w:num>
  <w:num w:numId="18" w16cid:durableId="19464999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5865334">
    <w:abstractNumId w:val="0"/>
  </w:num>
  <w:num w:numId="20" w16cid:durableId="1169903388">
    <w:abstractNumId w:val="20"/>
  </w:num>
  <w:num w:numId="21" w16cid:durableId="1605765226">
    <w:abstractNumId w:val="15"/>
  </w:num>
  <w:num w:numId="22" w16cid:durableId="408964952">
    <w:abstractNumId w:val="12"/>
  </w:num>
  <w:num w:numId="23" w16cid:durableId="139929396">
    <w:abstractNumId w:val="16"/>
  </w:num>
  <w:num w:numId="24" w16cid:durableId="980118923">
    <w:abstractNumId w:val="28"/>
  </w:num>
  <w:num w:numId="25" w16cid:durableId="2124617880">
    <w:abstractNumId w:val="32"/>
  </w:num>
  <w:num w:numId="26" w16cid:durableId="1803040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78013">
    <w:abstractNumId w:val="27"/>
  </w:num>
  <w:num w:numId="28" w16cid:durableId="2124299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554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7896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8728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1018886">
    <w:abstractNumId w:val="2"/>
  </w:num>
  <w:num w:numId="33" w16cid:durableId="665324336">
    <w:abstractNumId w:val="4"/>
  </w:num>
  <w:num w:numId="34" w16cid:durableId="900091259">
    <w:abstractNumId w:val="19"/>
  </w:num>
  <w:num w:numId="35" w16cid:durableId="1933780675">
    <w:abstractNumId w:val="6"/>
  </w:num>
  <w:num w:numId="36" w16cid:durableId="452022809">
    <w:abstractNumId w:val="23"/>
  </w:num>
  <w:num w:numId="37" w16cid:durableId="178393912">
    <w:abstractNumId w:val="5"/>
  </w:num>
  <w:num w:numId="38" w16cid:durableId="225262671">
    <w:abstractNumId w:val="1"/>
  </w:num>
  <w:num w:numId="39" w16cid:durableId="1594050238">
    <w:abstractNumId w:val="3"/>
  </w:num>
  <w:num w:numId="40" w16cid:durableId="1342123121">
    <w:abstractNumId w:val="30"/>
  </w:num>
  <w:num w:numId="41" w16cid:durableId="1758790428">
    <w:abstractNumId w:val="18"/>
  </w:num>
  <w:num w:numId="42" w16cid:durableId="909146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2E78"/>
    <w:rsid w:val="00004431"/>
    <w:rsid w:val="00005062"/>
    <w:rsid w:val="00006640"/>
    <w:rsid w:val="00007FE8"/>
    <w:rsid w:val="0001011B"/>
    <w:rsid w:val="0001064C"/>
    <w:rsid w:val="00011798"/>
    <w:rsid w:val="0001384A"/>
    <w:rsid w:val="00013DFA"/>
    <w:rsid w:val="00015788"/>
    <w:rsid w:val="0001676C"/>
    <w:rsid w:val="00017B00"/>
    <w:rsid w:val="00020439"/>
    <w:rsid w:val="00025405"/>
    <w:rsid w:val="0003029F"/>
    <w:rsid w:val="00032A0F"/>
    <w:rsid w:val="00032E4E"/>
    <w:rsid w:val="00033202"/>
    <w:rsid w:val="00034F89"/>
    <w:rsid w:val="000352C2"/>
    <w:rsid w:val="00040D8D"/>
    <w:rsid w:val="00042E63"/>
    <w:rsid w:val="0004337D"/>
    <w:rsid w:val="00045E36"/>
    <w:rsid w:val="00046423"/>
    <w:rsid w:val="000472E3"/>
    <w:rsid w:val="00050A91"/>
    <w:rsid w:val="00053B03"/>
    <w:rsid w:val="0005493F"/>
    <w:rsid w:val="00055B41"/>
    <w:rsid w:val="00055C7F"/>
    <w:rsid w:val="000560E7"/>
    <w:rsid w:val="0006104E"/>
    <w:rsid w:val="00061717"/>
    <w:rsid w:val="00062D95"/>
    <w:rsid w:val="00063139"/>
    <w:rsid w:val="000636B9"/>
    <w:rsid w:val="000640BD"/>
    <w:rsid w:val="0006466C"/>
    <w:rsid w:val="00065839"/>
    <w:rsid w:val="00065FDF"/>
    <w:rsid w:val="000666A3"/>
    <w:rsid w:val="0006693A"/>
    <w:rsid w:val="000727DC"/>
    <w:rsid w:val="00074095"/>
    <w:rsid w:val="000740CA"/>
    <w:rsid w:val="00075A47"/>
    <w:rsid w:val="00076518"/>
    <w:rsid w:val="00076B4F"/>
    <w:rsid w:val="000776BF"/>
    <w:rsid w:val="00077844"/>
    <w:rsid w:val="00083B2F"/>
    <w:rsid w:val="000857D0"/>
    <w:rsid w:val="000862B7"/>
    <w:rsid w:val="00090510"/>
    <w:rsid w:val="00090EED"/>
    <w:rsid w:val="000917AE"/>
    <w:rsid w:val="00092A99"/>
    <w:rsid w:val="000937ED"/>
    <w:rsid w:val="00094B81"/>
    <w:rsid w:val="00096D3A"/>
    <w:rsid w:val="000975AA"/>
    <w:rsid w:val="000A685F"/>
    <w:rsid w:val="000B60E4"/>
    <w:rsid w:val="000B6B15"/>
    <w:rsid w:val="000B71EC"/>
    <w:rsid w:val="000B7F62"/>
    <w:rsid w:val="000C007B"/>
    <w:rsid w:val="000C25A7"/>
    <w:rsid w:val="000C4DE3"/>
    <w:rsid w:val="000C51B1"/>
    <w:rsid w:val="000C61AA"/>
    <w:rsid w:val="000C68EE"/>
    <w:rsid w:val="000C69EF"/>
    <w:rsid w:val="000D2B4F"/>
    <w:rsid w:val="000D2C9A"/>
    <w:rsid w:val="000D78EC"/>
    <w:rsid w:val="000D7934"/>
    <w:rsid w:val="000E2597"/>
    <w:rsid w:val="000E3AAF"/>
    <w:rsid w:val="000E3E5B"/>
    <w:rsid w:val="000E450E"/>
    <w:rsid w:val="000E504E"/>
    <w:rsid w:val="000E59B2"/>
    <w:rsid w:val="000E6746"/>
    <w:rsid w:val="000E728F"/>
    <w:rsid w:val="000F2BC5"/>
    <w:rsid w:val="000F33E7"/>
    <w:rsid w:val="000F39AB"/>
    <w:rsid w:val="000F578F"/>
    <w:rsid w:val="000F6F85"/>
    <w:rsid w:val="000F7B51"/>
    <w:rsid w:val="00101BEE"/>
    <w:rsid w:val="00101CE6"/>
    <w:rsid w:val="00101FB1"/>
    <w:rsid w:val="0010281A"/>
    <w:rsid w:val="00103B50"/>
    <w:rsid w:val="0010558A"/>
    <w:rsid w:val="0010662B"/>
    <w:rsid w:val="00106826"/>
    <w:rsid w:val="001078B7"/>
    <w:rsid w:val="001101E1"/>
    <w:rsid w:val="001101FF"/>
    <w:rsid w:val="00112E43"/>
    <w:rsid w:val="00113DA7"/>
    <w:rsid w:val="00113E7C"/>
    <w:rsid w:val="00113F9F"/>
    <w:rsid w:val="00114025"/>
    <w:rsid w:val="00116BB3"/>
    <w:rsid w:val="001177EB"/>
    <w:rsid w:val="00122DCD"/>
    <w:rsid w:val="0012473C"/>
    <w:rsid w:val="0012719A"/>
    <w:rsid w:val="00127A74"/>
    <w:rsid w:val="0013132F"/>
    <w:rsid w:val="00131960"/>
    <w:rsid w:val="0013306D"/>
    <w:rsid w:val="001346A2"/>
    <w:rsid w:val="0013528C"/>
    <w:rsid w:val="0013531A"/>
    <w:rsid w:val="001357D1"/>
    <w:rsid w:val="00135E0E"/>
    <w:rsid w:val="00136A36"/>
    <w:rsid w:val="001374E1"/>
    <w:rsid w:val="00137AB4"/>
    <w:rsid w:val="001442A2"/>
    <w:rsid w:val="00144D8D"/>
    <w:rsid w:val="0014502F"/>
    <w:rsid w:val="001468CA"/>
    <w:rsid w:val="00146EC0"/>
    <w:rsid w:val="001500A8"/>
    <w:rsid w:val="00150273"/>
    <w:rsid w:val="00150BEE"/>
    <w:rsid w:val="00155D85"/>
    <w:rsid w:val="0016023F"/>
    <w:rsid w:val="00161045"/>
    <w:rsid w:val="00162296"/>
    <w:rsid w:val="0016287B"/>
    <w:rsid w:val="00165004"/>
    <w:rsid w:val="001652C4"/>
    <w:rsid w:val="001658FD"/>
    <w:rsid w:val="00165C43"/>
    <w:rsid w:val="00165D28"/>
    <w:rsid w:val="001671AE"/>
    <w:rsid w:val="00167F10"/>
    <w:rsid w:val="0017005C"/>
    <w:rsid w:val="00170B2C"/>
    <w:rsid w:val="00171059"/>
    <w:rsid w:val="00171810"/>
    <w:rsid w:val="001718D3"/>
    <w:rsid w:val="0017344E"/>
    <w:rsid w:val="00175CD8"/>
    <w:rsid w:val="00176C94"/>
    <w:rsid w:val="00180873"/>
    <w:rsid w:val="00182560"/>
    <w:rsid w:val="001829B7"/>
    <w:rsid w:val="00182BD8"/>
    <w:rsid w:val="0018535A"/>
    <w:rsid w:val="00187291"/>
    <w:rsid w:val="001907B7"/>
    <w:rsid w:val="0019114C"/>
    <w:rsid w:val="001977FE"/>
    <w:rsid w:val="00197EA8"/>
    <w:rsid w:val="001A0749"/>
    <w:rsid w:val="001A0933"/>
    <w:rsid w:val="001A2197"/>
    <w:rsid w:val="001A2A3A"/>
    <w:rsid w:val="001A2E57"/>
    <w:rsid w:val="001A68BE"/>
    <w:rsid w:val="001A76F9"/>
    <w:rsid w:val="001A788C"/>
    <w:rsid w:val="001A7D08"/>
    <w:rsid w:val="001A7FE2"/>
    <w:rsid w:val="001B06FF"/>
    <w:rsid w:val="001B1703"/>
    <w:rsid w:val="001B23C6"/>
    <w:rsid w:val="001B70E9"/>
    <w:rsid w:val="001C1036"/>
    <w:rsid w:val="001C136E"/>
    <w:rsid w:val="001C1765"/>
    <w:rsid w:val="001C1C2E"/>
    <w:rsid w:val="001C31A1"/>
    <w:rsid w:val="001C38BD"/>
    <w:rsid w:val="001C3DAB"/>
    <w:rsid w:val="001C3FA2"/>
    <w:rsid w:val="001C5C2B"/>
    <w:rsid w:val="001C5EE2"/>
    <w:rsid w:val="001C7C0D"/>
    <w:rsid w:val="001D0077"/>
    <w:rsid w:val="001D5FBE"/>
    <w:rsid w:val="001D7971"/>
    <w:rsid w:val="001E407B"/>
    <w:rsid w:val="001E43FD"/>
    <w:rsid w:val="001E64CF"/>
    <w:rsid w:val="001E7FC6"/>
    <w:rsid w:val="001F0119"/>
    <w:rsid w:val="001F0150"/>
    <w:rsid w:val="001F08AC"/>
    <w:rsid w:val="001F107D"/>
    <w:rsid w:val="001F2502"/>
    <w:rsid w:val="001F4E38"/>
    <w:rsid w:val="001F70A5"/>
    <w:rsid w:val="0020058E"/>
    <w:rsid w:val="0020235D"/>
    <w:rsid w:val="00202961"/>
    <w:rsid w:val="0020369B"/>
    <w:rsid w:val="0020393E"/>
    <w:rsid w:val="00204C6D"/>
    <w:rsid w:val="00204C8C"/>
    <w:rsid w:val="00205215"/>
    <w:rsid w:val="002061AB"/>
    <w:rsid w:val="00207B4D"/>
    <w:rsid w:val="00207D38"/>
    <w:rsid w:val="00210BF4"/>
    <w:rsid w:val="002117B1"/>
    <w:rsid w:val="002135FB"/>
    <w:rsid w:val="00213672"/>
    <w:rsid w:val="0021455D"/>
    <w:rsid w:val="00214ACF"/>
    <w:rsid w:val="002169EA"/>
    <w:rsid w:val="00216B46"/>
    <w:rsid w:val="00216E08"/>
    <w:rsid w:val="002170BA"/>
    <w:rsid w:val="00217CCE"/>
    <w:rsid w:val="00217DCC"/>
    <w:rsid w:val="002203B1"/>
    <w:rsid w:val="00221501"/>
    <w:rsid w:val="00223A4B"/>
    <w:rsid w:val="00223AAA"/>
    <w:rsid w:val="00224076"/>
    <w:rsid w:val="00226F39"/>
    <w:rsid w:val="002334AD"/>
    <w:rsid w:val="00240D93"/>
    <w:rsid w:val="00240F3E"/>
    <w:rsid w:val="00241B60"/>
    <w:rsid w:val="002442E0"/>
    <w:rsid w:val="00245245"/>
    <w:rsid w:val="00245AFC"/>
    <w:rsid w:val="00250E18"/>
    <w:rsid w:val="00251111"/>
    <w:rsid w:val="00255346"/>
    <w:rsid w:val="0025785B"/>
    <w:rsid w:val="00257969"/>
    <w:rsid w:val="00260AF0"/>
    <w:rsid w:val="00263C10"/>
    <w:rsid w:val="002640A0"/>
    <w:rsid w:val="00264E5E"/>
    <w:rsid w:val="00273163"/>
    <w:rsid w:val="002777A7"/>
    <w:rsid w:val="00280048"/>
    <w:rsid w:val="0028489E"/>
    <w:rsid w:val="002848DE"/>
    <w:rsid w:val="00285912"/>
    <w:rsid w:val="0028701A"/>
    <w:rsid w:val="0028794E"/>
    <w:rsid w:val="00290658"/>
    <w:rsid w:val="002908BA"/>
    <w:rsid w:val="0029587C"/>
    <w:rsid w:val="00296BCD"/>
    <w:rsid w:val="002A02EA"/>
    <w:rsid w:val="002A55BA"/>
    <w:rsid w:val="002A5841"/>
    <w:rsid w:val="002B1EDF"/>
    <w:rsid w:val="002B2061"/>
    <w:rsid w:val="002B4C3D"/>
    <w:rsid w:val="002B7980"/>
    <w:rsid w:val="002C02D4"/>
    <w:rsid w:val="002C1232"/>
    <w:rsid w:val="002C1E44"/>
    <w:rsid w:val="002C4034"/>
    <w:rsid w:val="002C5C92"/>
    <w:rsid w:val="002C5E29"/>
    <w:rsid w:val="002C6975"/>
    <w:rsid w:val="002C7335"/>
    <w:rsid w:val="002D0478"/>
    <w:rsid w:val="002D4D16"/>
    <w:rsid w:val="002D7127"/>
    <w:rsid w:val="002E1D44"/>
    <w:rsid w:val="002E1F8A"/>
    <w:rsid w:val="002E2691"/>
    <w:rsid w:val="002E3E98"/>
    <w:rsid w:val="002E675E"/>
    <w:rsid w:val="002F04E6"/>
    <w:rsid w:val="002F05B6"/>
    <w:rsid w:val="002F28F1"/>
    <w:rsid w:val="002F599E"/>
    <w:rsid w:val="002F5B9B"/>
    <w:rsid w:val="002F7916"/>
    <w:rsid w:val="003008D8"/>
    <w:rsid w:val="00300D4A"/>
    <w:rsid w:val="00301D9A"/>
    <w:rsid w:val="00303959"/>
    <w:rsid w:val="00305C92"/>
    <w:rsid w:val="00306E72"/>
    <w:rsid w:val="00307F02"/>
    <w:rsid w:val="00311FC1"/>
    <w:rsid w:val="00312AC3"/>
    <w:rsid w:val="00312BA4"/>
    <w:rsid w:val="00314430"/>
    <w:rsid w:val="00316158"/>
    <w:rsid w:val="003163BC"/>
    <w:rsid w:val="0031735E"/>
    <w:rsid w:val="00320DA1"/>
    <w:rsid w:val="00320E6B"/>
    <w:rsid w:val="0032140D"/>
    <w:rsid w:val="0032351A"/>
    <w:rsid w:val="00323B95"/>
    <w:rsid w:val="003246A1"/>
    <w:rsid w:val="00324B33"/>
    <w:rsid w:val="0032503A"/>
    <w:rsid w:val="0032661F"/>
    <w:rsid w:val="00326A23"/>
    <w:rsid w:val="00327488"/>
    <w:rsid w:val="00330849"/>
    <w:rsid w:val="00335D9E"/>
    <w:rsid w:val="00336FE1"/>
    <w:rsid w:val="003429E4"/>
    <w:rsid w:val="00342D56"/>
    <w:rsid w:val="00343A99"/>
    <w:rsid w:val="00344DD2"/>
    <w:rsid w:val="003456E7"/>
    <w:rsid w:val="00346EC2"/>
    <w:rsid w:val="003477F9"/>
    <w:rsid w:val="00350435"/>
    <w:rsid w:val="00350E54"/>
    <w:rsid w:val="00353C98"/>
    <w:rsid w:val="0035444D"/>
    <w:rsid w:val="00356D62"/>
    <w:rsid w:val="0036301A"/>
    <w:rsid w:val="00363EE3"/>
    <w:rsid w:val="00366B21"/>
    <w:rsid w:val="00371C3C"/>
    <w:rsid w:val="003735F3"/>
    <w:rsid w:val="00374729"/>
    <w:rsid w:val="00377A18"/>
    <w:rsid w:val="00380F02"/>
    <w:rsid w:val="0038526D"/>
    <w:rsid w:val="00387298"/>
    <w:rsid w:val="00387984"/>
    <w:rsid w:val="00391A87"/>
    <w:rsid w:val="00392D59"/>
    <w:rsid w:val="0039492A"/>
    <w:rsid w:val="00395140"/>
    <w:rsid w:val="0039734D"/>
    <w:rsid w:val="003A1C3C"/>
    <w:rsid w:val="003A2422"/>
    <w:rsid w:val="003A6F46"/>
    <w:rsid w:val="003B0ABD"/>
    <w:rsid w:val="003B0B1A"/>
    <w:rsid w:val="003B149C"/>
    <w:rsid w:val="003B14E3"/>
    <w:rsid w:val="003B21BC"/>
    <w:rsid w:val="003B2F0C"/>
    <w:rsid w:val="003B516F"/>
    <w:rsid w:val="003C0FDB"/>
    <w:rsid w:val="003C1192"/>
    <w:rsid w:val="003C1F2F"/>
    <w:rsid w:val="003C2EDA"/>
    <w:rsid w:val="003C30BB"/>
    <w:rsid w:val="003C5389"/>
    <w:rsid w:val="003C55E2"/>
    <w:rsid w:val="003C63D5"/>
    <w:rsid w:val="003C7AA8"/>
    <w:rsid w:val="003C7F01"/>
    <w:rsid w:val="003D3DCB"/>
    <w:rsid w:val="003D3EAA"/>
    <w:rsid w:val="003D5F9D"/>
    <w:rsid w:val="003D71A1"/>
    <w:rsid w:val="003E1DFF"/>
    <w:rsid w:val="003E5D23"/>
    <w:rsid w:val="003F0166"/>
    <w:rsid w:val="003F761A"/>
    <w:rsid w:val="00401BF7"/>
    <w:rsid w:val="00412B6D"/>
    <w:rsid w:val="00414828"/>
    <w:rsid w:val="00415652"/>
    <w:rsid w:val="004159F6"/>
    <w:rsid w:val="0041688F"/>
    <w:rsid w:val="00420085"/>
    <w:rsid w:val="0042376F"/>
    <w:rsid w:val="004246B8"/>
    <w:rsid w:val="004248F1"/>
    <w:rsid w:val="004258F4"/>
    <w:rsid w:val="00426DCF"/>
    <w:rsid w:val="00430217"/>
    <w:rsid w:val="004322D7"/>
    <w:rsid w:val="00433318"/>
    <w:rsid w:val="004339FB"/>
    <w:rsid w:val="0044115C"/>
    <w:rsid w:val="0044172A"/>
    <w:rsid w:val="00442A56"/>
    <w:rsid w:val="00443B80"/>
    <w:rsid w:val="004444B0"/>
    <w:rsid w:val="00446E71"/>
    <w:rsid w:val="00446F1B"/>
    <w:rsid w:val="00447D3D"/>
    <w:rsid w:val="0045060B"/>
    <w:rsid w:val="00450DF1"/>
    <w:rsid w:val="004513F4"/>
    <w:rsid w:val="004520BB"/>
    <w:rsid w:val="004548C7"/>
    <w:rsid w:val="00454BCE"/>
    <w:rsid w:val="00457251"/>
    <w:rsid w:val="004626FF"/>
    <w:rsid w:val="00462F93"/>
    <w:rsid w:val="00470A52"/>
    <w:rsid w:val="00471BD5"/>
    <w:rsid w:val="00477C4E"/>
    <w:rsid w:val="00477F07"/>
    <w:rsid w:val="0048040A"/>
    <w:rsid w:val="00481503"/>
    <w:rsid w:val="00481D12"/>
    <w:rsid w:val="004839BA"/>
    <w:rsid w:val="004849AC"/>
    <w:rsid w:val="004854A6"/>
    <w:rsid w:val="00491A55"/>
    <w:rsid w:val="00491AA3"/>
    <w:rsid w:val="00494091"/>
    <w:rsid w:val="00494402"/>
    <w:rsid w:val="00494991"/>
    <w:rsid w:val="00494C3E"/>
    <w:rsid w:val="00497CF0"/>
    <w:rsid w:val="00497DF1"/>
    <w:rsid w:val="004A14F8"/>
    <w:rsid w:val="004A207F"/>
    <w:rsid w:val="004A318E"/>
    <w:rsid w:val="004A3BCA"/>
    <w:rsid w:val="004A48D8"/>
    <w:rsid w:val="004A57E8"/>
    <w:rsid w:val="004A62CC"/>
    <w:rsid w:val="004B3081"/>
    <w:rsid w:val="004B4424"/>
    <w:rsid w:val="004B45A8"/>
    <w:rsid w:val="004B4A09"/>
    <w:rsid w:val="004C062F"/>
    <w:rsid w:val="004C17E0"/>
    <w:rsid w:val="004C41CE"/>
    <w:rsid w:val="004C50C3"/>
    <w:rsid w:val="004C631B"/>
    <w:rsid w:val="004C6E1C"/>
    <w:rsid w:val="004C7BC4"/>
    <w:rsid w:val="004C7F50"/>
    <w:rsid w:val="004D1DB1"/>
    <w:rsid w:val="004D2F00"/>
    <w:rsid w:val="004D314E"/>
    <w:rsid w:val="004D31D8"/>
    <w:rsid w:val="004D3928"/>
    <w:rsid w:val="004D4410"/>
    <w:rsid w:val="004D47D4"/>
    <w:rsid w:val="004D5388"/>
    <w:rsid w:val="004D5AB2"/>
    <w:rsid w:val="004D744B"/>
    <w:rsid w:val="004E6ECB"/>
    <w:rsid w:val="004E7F16"/>
    <w:rsid w:val="004F010D"/>
    <w:rsid w:val="004F115E"/>
    <w:rsid w:val="004F13C4"/>
    <w:rsid w:val="004F18EC"/>
    <w:rsid w:val="004F4A6C"/>
    <w:rsid w:val="005009DC"/>
    <w:rsid w:val="00500D68"/>
    <w:rsid w:val="005106B1"/>
    <w:rsid w:val="005116D1"/>
    <w:rsid w:val="00514B70"/>
    <w:rsid w:val="00515B3A"/>
    <w:rsid w:val="005243FF"/>
    <w:rsid w:val="005261B4"/>
    <w:rsid w:val="005270A7"/>
    <w:rsid w:val="00527870"/>
    <w:rsid w:val="0053377D"/>
    <w:rsid w:val="005348CA"/>
    <w:rsid w:val="00534B0A"/>
    <w:rsid w:val="00535DFE"/>
    <w:rsid w:val="005373B5"/>
    <w:rsid w:val="00537AB7"/>
    <w:rsid w:val="005415D5"/>
    <w:rsid w:val="0054263D"/>
    <w:rsid w:val="0054669B"/>
    <w:rsid w:val="00550F2C"/>
    <w:rsid w:val="0055269A"/>
    <w:rsid w:val="005527B3"/>
    <w:rsid w:val="00554A60"/>
    <w:rsid w:val="00555670"/>
    <w:rsid w:val="00556004"/>
    <w:rsid w:val="005570C2"/>
    <w:rsid w:val="005605CD"/>
    <w:rsid w:val="005610D1"/>
    <w:rsid w:val="00561D14"/>
    <w:rsid w:val="00562F42"/>
    <w:rsid w:val="005630B4"/>
    <w:rsid w:val="00565739"/>
    <w:rsid w:val="00565F79"/>
    <w:rsid w:val="0056618C"/>
    <w:rsid w:val="005666E0"/>
    <w:rsid w:val="0056766D"/>
    <w:rsid w:val="0057058E"/>
    <w:rsid w:val="00570EB2"/>
    <w:rsid w:val="00571132"/>
    <w:rsid w:val="00575215"/>
    <w:rsid w:val="00580C58"/>
    <w:rsid w:val="00584762"/>
    <w:rsid w:val="00584D7E"/>
    <w:rsid w:val="0058575E"/>
    <w:rsid w:val="0058783C"/>
    <w:rsid w:val="005911AE"/>
    <w:rsid w:val="00591FA5"/>
    <w:rsid w:val="005926E2"/>
    <w:rsid w:val="0059313A"/>
    <w:rsid w:val="005A54EA"/>
    <w:rsid w:val="005A6CC3"/>
    <w:rsid w:val="005A7BD0"/>
    <w:rsid w:val="005B023F"/>
    <w:rsid w:val="005B02A2"/>
    <w:rsid w:val="005B1417"/>
    <w:rsid w:val="005B1F76"/>
    <w:rsid w:val="005B1F7A"/>
    <w:rsid w:val="005B3764"/>
    <w:rsid w:val="005B3AFC"/>
    <w:rsid w:val="005B69CF"/>
    <w:rsid w:val="005B76E8"/>
    <w:rsid w:val="005B7A73"/>
    <w:rsid w:val="005C2AAA"/>
    <w:rsid w:val="005C3F07"/>
    <w:rsid w:val="005C419A"/>
    <w:rsid w:val="005C4811"/>
    <w:rsid w:val="005C482A"/>
    <w:rsid w:val="005C4944"/>
    <w:rsid w:val="005C4B46"/>
    <w:rsid w:val="005C4D20"/>
    <w:rsid w:val="005C5DC5"/>
    <w:rsid w:val="005D0552"/>
    <w:rsid w:val="005D1AA0"/>
    <w:rsid w:val="005D2089"/>
    <w:rsid w:val="005D25F3"/>
    <w:rsid w:val="005D2AAB"/>
    <w:rsid w:val="005D74D2"/>
    <w:rsid w:val="005D7514"/>
    <w:rsid w:val="005E0FC6"/>
    <w:rsid w:val="005E1A7B"/>
    <w:rsid w:val="005E231F"/>
    <w:rsid w:val="005E2EF0"/>
    <w:rsid w:val="005E4B7C"/>
    <w:rsid w:val="005E4F5E"/>
    <w:rsid w:val="005F05F1"/>
    <w:rsid w:val="005F314A"/>
    <w:rsid w:val="005F46D0"/>
    <w:rsid w:val="005F4BC7"/>
    <w:rsid w:val="005F5E78"/>
    <w:rsid w:val="005F609C"/>
    <w:rsid w:val="005F6112"/>
    <w:rsid w:val="005F7320"/>
    <w:rsid w:val="00602D6E"/>
    <w:rsid w:val="006031C4"/>
    <w:rsid w:val="006037D7"/>
    <w:rsid w:val="0060528D"/>
    <w:rsid w:val="00605C05"/>
    <w:rsid w:val="00607783"/>
    <w:rsid w:val="00611351"/>
    <w:rsid w:val="0061217D"/>
    <w:rsid w:val="00612562"/>
    <w:rsid w:val="00613356"/>
    <w:rsid w:val="00614C08"/>
    <w:rsid w:val="00614ED4"/>
    <w:rsid w:val="00616188"/>
    <w:rsid w:val="00620DE9"/>
    <w:rsid w:val="00621D4B"/>
    <w:rsid w:val="00624CCD"/>
    <w:rsid w:val="00624F13"/>
    <w:rsid w:val="006251FF"/>
    <w:rsid w:val="0062708F"/>
    <w:rsid w:val="006277A1"/>
    <w:rsid w:val="00633BD7"/>
    <w:rsid w:val="00634580"/>
    <w:rsid w:val="00634884"/>
    <w:rsid w:val="006351D9"/>
    <w:rsid w:val="00636B13"/>
    <w:rsid w:val="00636B3F"/>
    <w:rsid w:val="00637130"/>
    <w:rsid w:val="00637F0E"/>
    <w:rsid w:val="0064225A"/>
    <w:rsid w:val="006423F2"/>
    <w:rsid w:val="006433B1"/>
    <w:rsid w:val="00643558"/>
    <w:rsid w:val="00646FDF"/>
    <w:rsid w:val="006470F5"/>
    <w:rsid w:val="00650234"/>
    <w:rsid w:val="00650559"/>
    <w:rsid w:val="0065533B"/>
    <w:rsid w:val="0065620F"/>
    <w:rsid w:val="00657282"/>
    <w:rsid w:val="00657797"/>
    <w:rsid w:val="00657FC3"/>
    <w:rsid w:val="0066044B"/>
    <w:rsid w:val="006630AA"/>
    <w:rsid w:val="00663544"/>
    <w:rsid w:val="00665B30"/>
    <w:rsid w:val="00666539"/>
    <w:rsid w:val="00666911"/>
    <w:rsid w:val="0066695D"/>
    <w:rsid w:val="0066742E"/>
    <w:rsid w:val="00671064"/>
    <w:rsid w:val="00673E86"/>
    <w:rsid w:val="00675F81"/>
    <w:rsid w:val="00676900"/>
    <w:rsid w:val="0068143E"/>
    <w:rsid w:val="00682E2D"/>
    <w:rsid w:val="0068507D"/>
    <w:rsid w:val="00686DA3"/>
    <w:rsid w:val="00691AF2"/>
    <w:rsid w:val="00691F63"/>
    <w:rsid w:val="00692B80"/>
    <w:rsid w:val="00692CCD"/>
    <w:rsid w:val="00692D2F"/>
    <w:rsid w:val="00692D51"/>
    <w:rsid w:val="00694DD7"/>
    <w:rsid w:val="0069636B"/>
    <w:rsid w:val="00697C52"/>
    <w:rsid w:val="006A1762"/>
    <w:rsid w:val="006A1F0B"/>
    <w:rsid w:val="006A2595"/>
    <w:rsid w:val="006A277A"/>
    <w:rsid w:val="006A4E5C"/>
    <w:rsid w:val="006A5973"/>
    <w:rsid w:val="006A79D9"/>
    <w:rsid w:val="006B04F3"/>
    <w:rsid w:val="006B05D5"/>
    <w:rsid w:val="006B0C00"/>
    <w:rsid w:val="006B4EB0"/>
    <w:rsid w:val="006B7126"/>
    <w:rsid w:val="006B7ED1"/>
    <w:rsid w:val="006C069C"/>
    <w:rsid w:val="006C348C"/>
    <w:rsid w:val="006C465D"/>
    <w:rsid w:val="006C4E9E"/>
    <w:rsid w:val="006C6B86"/>
    <w:rsid w:val="006D0372"/>
    <w:rsid w:val="006D0F53"/>
    <w:rsid w:val="006D3FD5"/>
    <w:rsid w:val="006D4553"/>
    <w:rsid w:val="006D4A35"/>
    <w:rsid w:val="006D6B44"/>
    <w:rsid w:val="006D6BC2"/>
    <w:rsid w:val="006D79A2"/>
    <w:rsid w:val="006E03CF"/>
    <w:rsid w:val="006E27FE"/>
    <w:rsid w:val="006E5A9A"/>
    <w:rsid w:val="006E7253"/>
    <w:rsid w:val="006F1685"/>
    <w:rsid w:val="006F5318"/>
    <w:rsid w:val="00700C79"/>
    <w:rsid w:val="00700D70"/>
    <w:rsid w:val="00701110"/>
    <w:rsid w:val="00702E91"/>
    <w:rsid w:val="0070330F"/>
    <w:rsid w:val="00703624"/>
    <w:rsid w:val="007046ED"/>
    <w:rsid w:val="007049E9"/>
    <w:rsid w:val="007072A1"/>
    <w:rsid w:val="0071060C"/>
    <w:rsid w:val="00710BC5"/>
    <w:rsid w:val="0071142E"/>
    <w:rsid w:val="007121CA"/>
    <w:rsid w:val="007137FB"/>
    <w:rsid w:val="00714332"/>
    <w:rsid w:val="0072003B"/>
    <w:rsid w:val="00720A16"/>
    <w:rsid w:val="00721059"/>
    <w:rsid w:val="007211E6"/>
    <w:rsid w:val="007220A3"/>
    <w:rsid w:val="007220C4"/>
    <w:rsid w:val="00722A84"/>
    <w:rsid w:val="00722F33"/>
    <w:rsid w:val="00732361"/>
    <w:rsid w:val="00733CA7"/>
    <w:rsid w:val="007357B9"/>
    <w:rsid w:val="007409EE"/>
    <w:rsid w:val="00740AD9"/>
    <w:rsid w:val="00741AB9"/>
    <w:rsid w:val="00742D03"/>
    <w:rsid w:val="00743918"/>
    <w:rsid w:val="00744216"/>
    <w:rsid w:val="007452E8"/>
    <w:rsid w:val="00746990"/>
    <w:rsid w:val="00747093"/>
    <w:rsid w:val="00750D70"/>
    <w:rsid w:val="00751A3C"/>
    <w:rsid w:val="007539BE"/>
    <w:rsid w:val="007575D0"/>
    <w:rsid w:val="007605CD"/>
    <w:rsid w:val="007613D5"/>
    <w:rsid w:val="00762B2F"/>
    <w:rsid w:val="007662E0"/>
    <w:rsid w:val="0076630A"/>
    <w:rsid w:val="00766864"/>
    <w:rsid w:val="00773A7F"/>
    <w:rsid w:val="00775005"/>
    <w:rsid w:val="00776E9C"/>
    <w:rsid w:val="007816D8"/>
    <w:rsid w:val="00781715"/>
    <w:rsid w:val="00784150"/>
    <w:rsid w:val="007844DC"/>
    <w:rsid w:val="007846A5"/>
    <w:rsid w:val="00785A1D"/>
    <w:rsid w:val="0078610D"/>
    <w:rsid w:val="00793272"/>
    <w:rsid w:val="0079499A"/>
    <w:rsid w:val="00794B64"/>
    <w:rsid w:val="007967C3"/>
    <w:rsid w:val="007975CF"/>
    <w:rsid w:val="007A0A33"/>
    <w:rsid w:val="007A0A5C"/>
    <w:rsid w:val="007A54A3"/>
    <w:rsid w:val="007A5A52"/>
    <w:rsid w:val="007A7267"/>
    <w:rsid w:val="007B04DE"/>
    <w:rsid w:val="007B0AE6"/>
    <w:rsid w:val="007B0D11"/>
    <w:rsid w:val="007B1222"/>
    <w:rsid w:val="007B1B5F"/>
    <w:rsid w:val="007B3BDA"/>
    <w:rsid w:val="007B4BF2"/>
    <w:rsid w:val="007B59E4"/>
    <w:rsid w:val="007B603C"/>
    <w:rsid w:val="007B7580"/>
    <w:rsid w:val="007B75BF"/>
    <w:rsid w:val="007B7A78"/>
    <w:rsid w:val="007C0F0B"/>
    <w:rsid w:val="007C1240"/>
    <w:rsid w:val="007C2522"/>
    <w:rsid w:val="007C2B66"/>
    <w:rsid w:val="007C57BC"/>
    <w:rsid w:val="007C71B4"/>
    <w:rsid w:val="007D04CA"/>
    <w:rsid w:val="007D0A2B"/>
    <w:rsid w:val="007D12A1"/>
    <w:rsid w:val="007D154D"/>
    <w:rsid w:val="007D2295"/>
    <w:rsid w:val="007D2301"/>
    <w:rsid w:val="007D288F"/>
    <w:rsid w:val="007D3DFB"/>
    <w:rsid w:val="007D40E5"/>
    <w:rsid w:val="007D4138"/>
    <w:rsid w:val="007D5A9E"/>
    <w:rsid w:val="007D794C"/>
    <w:rsid w:val="007E279A"/>
    <w:rsid w:val="007E2E67"/>
    <w:rsid w:val="007E4178"/>
    <w:rsid w:val="007E450F"/>
    <w:rsid w:val="007E6B4D"/>
    <w:rsid w:val="007E712D"/>
    <w:rsid w:val="007E7C15"/>
    <w:rsid w:val="007E7D23"/>
    <w:rsid w:val="007F0A77"/>
    <w:rsid w:val="007F1E37"/>
    <w:rsid w:val="007F50D3"/>
    <w:rsid w:val="007F5373"/>
    <w:rsid w:val="007F6B1F"/>
    <w:rsid w:val="007F7849"/>
    <w:rsid w:val="0080096D"/>
    <w:rsid w:val="008029B2"/>
    <w:rsid w:val="00804897"/>
    <w:rsid w:val="00815411"/>
    <w:rsid w:val="0082428F"/>
    <w:rsid w:val="008315EC"/>
    <w:rsid w:val="00831FF6"/>
    <w:rsid w:val="008329DB"/>
    <w:rsid w:val="008337F5"/>
    <w:rsid w:val="008338A0"/>
    <w:rsid w:val="008340E5"/>
    <w:rsid w:val="008355CF"/>
    <w:rsid w:val="00835BFA"/>
    <w:rsid w:val="008361C5"/>
    <w:rsid w:val="0083628F"/>
    <w:rsid w:val="00836F25"/>
    <w:rsid w:val="00837AB9"/>
    <w:rsid w:val="0084099D"/>
    <w:rsid w:val="00842425"/>
    <w:rsid w:val="00844DBF"/>
    <w:rsid w:val="008458D7"/>
    <w:rsid w:val="00850637"/>
    <w:rsid w:val="00850B8B"/>
    <w:rsid w:val="0085231F"/>
    <w:rsid w:val="00853F2B"/>
    <w:rsid w:val="00854D98"/>
    <w:rsid w:val="0085751E"/>
    <w:rsid w:val="00860B29"/>
    <w:rsid w:val="008622E8"/>
    <w:rsid w:val="00862A40"/>
    <w:rsid w:val="008645EE"/>
    <w:rsid w:val="00870144"/>
    <w:rsid w:val="008725B4"/>
    <w:rsid w:val="008739E6"/>
    <w:rsid w:val="00873D7A"/>
    <w:rsid w:val="00874DDA"/>
    <w:rsid w:val="00875436"/>
    <w:rsid w:val="00875720"/>
    <w:rsid w:val="00877CB3"/>
    <w:rsid w:val="008804CF"/>
    <w:rsid w:val="00882D58"/>
    <w:rsid w:val="00882F19"/>
    <w:rsid w:val="00883D35"/>
    <w:rsid w:val="00884569"/>
    <w:rsid w:val="00885E5F"/>
    <w:rsid w:val="0088736A"/>
    <w:rsid w:val="00887A51"/>
    <w:rsid w:val="00887A75"/>
    <w:rsid w:val="00890D6D"/>
    <w:rsid w:val="00890D9B"/>
    <w:rsid w:val="00891C6C"/>
    <w:rsid w:val="00893CCD"/>
    <w:rsid w:val="00894152"/>
    <w:rsid w:val="00895A6E"/>
    <w:rsid w:val="008964B3"/>
    <w:rsid w:val="008A054C"/>
    <w:rsid w:val="008A36CF"/>
    <w:rsid w:val="008A38B3"/>
    <w:rsid w:val="008A425E"/>
    <w:rsid w:val="008A4A0F"/>
    <w:rsid w:val="008A5928"/>
    <w:rsid w:val="008A6E77"/>
    <w:rsid w:val="008B1CB5"/>
    <w:rsid w:val="008B37E8"/>
    <w:rsid w:val="008B3835"/>
    <w:rsid w:val="008B7170"/>
    <w:rsid w:val="008B7A58"/>
    <w:rsid w:val="008C0784"/>
    <w:rsid w:val="008C2D69"/>
    <w:rsid w:val="008C2EB1"/>
    <w:rsid w:val="008C3216"/>
    <w:rsid w:val="008C36D6"/>
    <w:rsid w:val="008C39FD"/>
    <w:rsid w:val="008C49C6"/>
    <w:rsid w:val="008C754C"/>
    <w:rsid w:val="008C77A5"/>
    <w:rsid w:val="008D0695"/>
    <w:rsid w:val="008D56C9"/>
    <w:rsid w:val="008D6A54"/>
    <w:rsid w:val="008E2585"/>
    <w:rsid w:val="008E27B4"/>
    <w:rsid w:val="008E2D7A"/>
    <w:rsid w:val="008E32B1"/>
    <w:rsid w:val="008F0D27"/>
    <w:rsid w:val="008F3215"/>
    <w:rsid w:val="008F33F6"/>
    <w:rsid w:val="008F3717"/>
    <w:rsid w:val="008F3AC0"/>
    <w:rsid w:val="008F4A62"/>
    <w:rsid w:val="008F5BAF"/>
    <w:rsid w:val="008F6B67"/>
    <w:rsid w:val="008F7256"/>
    <w:rsid w:val="008F78F8"/>
    <w:rsid w:val="00903CF0"/>
    <w:rsid w:val="0090424C"/>
    <w:rsid w:val="00904EF1"/>
    <w:rsid w:val="0090605E"/>
    <w:rsid w:val="00906BA6"/>
    <w:rsid w:val="00907A5B"/>
    <w:rsid w:val="009108CE"/>
    <w:rsid w:val="00912D9D"/>
    <w:rsid w:val="00915A9F"/>
    <w:rsid w:val="009215D2"/>
    <w:rsid w:val="00925CDB"/>
    <w:rsid w:val="00930CEF"/>
    <w:rsid w:val="00930D58"/>
    <w:rsid w:val="00935AAA"/>
    <w:rsid w:val="00936073"/>
    <w:rsid w:val="00936296"/>
    <w:rsid w:val="00937BFA"/>
    <w:rsid w:val="0095031E"/>
    <w:rsid w:val="00950622"/>
    <w:rsid w:val="00952B60"/>
    <w:rsid w:val="00954297"/>
    <w:rsid w:val="0095509C"/>
    <w:rsid w:val="009555DD"/>
    <w:rsid w:val="00955C1F"/>
    <w:rsid w:val="00955D09"/>
    <w:rsid w:val="00960A56"/>
    <w:rsid w:val="0096125F"/>
    <w:rsid w:val="00962256"/>
    <w:rsid w:val="009647F8"/>
    <w:rsid w:val="00966EF1"/>
    <w:rsid w:val="00967223"/>
    <w:rsid w:val="009674D4"/>
    <w:rsid w:val="00967F97"/>
    <w:rsid w:val="00970494"/>
    <w:rsid w:val="009718B4"/>
    <w:rsid w:val="009751F7"/>
    <w:rsid w:val="00975E94"/>
    <w:rsid w:val="009764F7"/>
    <w:rsid w:val="00980247"/>
    <w:rsid w:val="0098324A"/>
    <w:rsid w:val="0098350E"/>
    <w:rsid w:val="0098529D"/>
    <w:rsid w:val="00987F49"/>
    <w:rsid w:val="00990C12"/>
    <w:rsid w:val="00992AF6"/>
    <w:rsid w:val="00993829"/>
    <w:rsid w:val="0099404F"/>
    <w:rsid w:val="009954EE"/>
    <w:rsid w:val="00996C03"/>
    <w:rsid w:val="00996FA5"/>
    <w:rsid w:val="00997B9F"/>
    <w:rsid w:val="009B34CA"/>
    <w:rsid w:val="009B40A1"/>
    <w:rsid w:val="009B504D"/>
    <w:rsid w:val="009B5662"/>
    <w:rsid w:val="009B754E"/>
    <w:rsid w:val="009C14B4"/>
    <w:rsid w:val="009C20E8"/>
    <w:rsid w:val="009C2211"/>
    <w:rsid w:val="009C3128"/>
    <w:rsid w:val="009C34B2"/>
    <w:rsid w:val="009C40E8"/>
    <w:rsid w:val="009C45C5"/>
    <w:rsid w:val="009C6B2B"/>
    <w:rsid w:val="009D0442"/>
    <w:rsid w:val="009D2280"/>
    <w:rsid w:val="009D40A1"/>
    <w:rsid w:val="009D7115"/>
    <w:rsid w:val="009E4F2F"/>
    <w:rsid w:val="009E5555"/>
    <w:rsid w:val="009E6858"/>
    <w:rsid w:val="009E6F8C"/>
    <w:rsid w:val="009E7C4C"/>
    <w:rsid w:val="009F0CDE"/>
    <w:rsid w:val="009F28D7"/>
    <w:rsid w:val="009F405F"/>
    <w:rsid w:val="009F53C8"/>
    <w:rsid w:val="009F6DEC"/>
    <w:rsid w:val="00A01856"/>
    <w:rsid w:val="00A01C56"/>
    <w:rsid w:val="00A03664"/>
    <w:rsid w:val="00A04505"/>
    <w:rsid w:val="00A10CB0"/>
    <w:rsid w:val="00A12F4A"/>
    <w:rsid w:val="00A136D0"/>
    <w:rsid w:val="00A1566E"/>
    <w:rsid w:val="00A1731D"/>
    <w:rsid w:val="00A21109"/>
    <w:rsid w:val="00A2369A"/>
    <w:rsid w:val="00A26293"/>
    <w:rsid w:val="00A30624"/>
    <w:rsid w:val="00A31B24"/>
    <w:rsid w:val="00A32C13"/>
    <w:rsid w:val="00A32C50"/>
    <w:rsid w:val="00A358E7"/>
    <w:rsid w:val="00A407E4"/>
    <w:rsid w:val="00A408DC"/>
    <w:rsid w:val="00A40EAD"/>
    <w:rsid w:val="00A437A8"/>
    <w:rsid w:val="00A4380B"/>
    <w:rsid w:val="00A451E6"/>
    <w:rsid w:val="00A47E79"/>
    <w:rsid w:val="00A51A2D"/>
    <w:rsid w:val="00A5206D"/>
    <w:rsid w:val="00A5421A"/>
    <w:rsid w:val="00A54D21"/>
    <w:rsid w:val="00A5596B"/>
    <w:rsid w:val="00A55EFC"/>
    <w:rsid w:val="00A62655"/>
    <w:rsid w:val="00A63C07"/>
    <w:rsid w:val="00A63D9B"/>
    <w:rsid w:val="00A704DC"/>
    <w:rsid w:val="00A71B10"/>
    <w:rsid w:val="00A71F7C"/>
    <w:rsid w:val="00A72111"/>
    <w:rsid w:val="00A734F2"/>
    <w:rsid w:val="00A75BAF"/>
    <w:rsid w:val="00A76C0A"/>
    <w:rsid w:val="00A8648D"/>
    <w:rsid w:val="00A90388"/>
    <w:rsid w:val="00A926F7"/>
    <w:rsid w:val="00A93DC6"/>
    <w:rsid w:val="00A9411A"/>
    <w:rsid w:val="00A94E26"/>
    <w:rsid w:val="00AA031B"/>
    <w:rsid w:val="00AA4A4B"/>
    <w:rsid w:val="00AA6682"/>
    <w:rsid w:val="00AA7A86"/>
    <w:rsid w:val="00AB0613"/>
    <w:rsid w:val="00AB1F06"/>
    <w:rsid w:val="00AB7C5C"/>
    <w:rsid w:val="00AB7CBF"/>
    <w:rsid w:val="00AC014C"/>
    <w:rsid w:val="00AC085E"/>
    <w:rsid w:val="00AC0EB4"/>
    <w:rsid w:val="00AC387B"/>
    <w:rsid w:val="00AC6810"/>
    <w:rsid w:val="00AC7A2C"/>
    <w:rsid w:val="00AD0111"/>
    <w:rsid w:val="00AD10AD"/>
    <w:rsid w:val="00AD4C72"/>
    <w:rsid w:val="00AD4C73"/>
    <w:rsid w:val="00AD5451"/>
    <w:rsid w:val="00AE062B"/>
    <w:rsid w:val="00AE08A0"/>
    <w:rsid w:val="00AE1676"/>
    <w:rsid w:val="00AE1947"/>
    <w:rsid w:val="00AE3B90"/>
    <w:rsid w:val="00AE4680"/>
    <w:rsid w:val="00AF07F2"/>
    <w:rsid w:val="00AF1C8B"/>
    <w:rsid w:val="00AF299B"/>
    <w:rsid w:val="00AF39DB"/>
    <w:rsid w:val="00AF71EE"/>
    <w:rsid w:val="00AF7B74"/>
    <w:rsid w:val="00AF7CD4"/>
    <w:rsid w:val="00AF7E43"/>
    <w:rsid w:val="00B02AE0"/>
    <w:rsid w:val="00B05326"/>
    <w:rsid w:val="00B068F9"/>
    <w:rsid w:val="00B14545"/>
    <w:rsid w:val="00B14D53"/>
    <w:rsid w:val="00B14E60"/>
    <w:rsid w:val="00B16EAC"/>
    <w:rsid w:val="00B17BA2"/>
    <w:rsid w:val="00B2221D"/>
    <w:rsid w:val="00B2332A"/>
    <w:rsid w:val="00B267E1"/>
    <w:rsid w:val="00B26DC3"/>
    <w:rsid w:val="00B30B9D"/>
    <w:rsid w:val="00B31FDA"/>
    <w:rsid w:val="00B348A8"/>
    <w:rsid w:val="00B35F73"/>
    <w:rsid w:val="00B40165"/>
    <w:rsid w:val="00B4574D"/>
    <w:rsid w:val="00B45BC1"/>
    <w:rsid w:val="00B468E1"/>
    <w:rsid w:val="00B46BC0"/>
    <w:rsid w:val="00B46DFB"/>
    <w:rsid w:val="00B5026A"/>
    <w:rsid w:val="00B5141B"/>
    <w:rsid w:val="00B546F7"/>
    <w:rsid w:val="00B55681"/>
    <w:rsid w:val="00B55B08"/>
    <w:rsid w:val="00B56B9A"/>
    <w:rsid w:val="00B57AAD"/>
    <w:rsid w:val="00B608D9"/>
    <w:rsid w:val="00B6374E"/>
    <w:rsid w:val="00B64E02"/>
    <w:rsid w:val="00B666E6"/>
    <w:rsid w:val="00B6696B"/>
    <w:rsid w:val="00B66BA5"/>
    <w:rsid w:val="00B673AD"/>
    <w:rsid w:val="00B71026"/>
    <w:rsid w:val="00B728A8"/>
    <w:rsid w:val="00B72B16"/>
    <w:rsid w:val="00B73A20"/>
    <w:rsid w:val="00B74711"/>
    <w:rsid w:val="00B76A40"/>
    <w:rsid w:val="00B772FF"/>
    <w:rsid w:val="00B7749C"/>
    <w:rsid w:val="00B80408"/>
    <w:rsid w:val="00B81397"/>
    <w:rsid w:val="00B8454B"/>
    <w:rsid w:val="00B84696"/>
    <w:rsid w:val="00B870F0"/>
    <w:rsid w:val="00B879B7"/>
    <w:rsid w:val="00B925DB"/>
    <w:rsid w:val="00B9476F"/>
    <w:rsid w:val="00B95D55"/>
    <w:rsid w:val="00B960AF"/>
    <w:rsid w:val="00B967FF"/>
    <w:rsid w:val="00B974B9"/>
    <w:rsid w:val="00BA30E7"/>
    <w:rsid w:val="00BA3F6D"/>
    <w:rsid w:val="00BA4BE6"/>
    <w:rsid w:val="00BA4FC0"/>
    <w:rsid w:val="00BA61E0"/>
    <w:rsid w:val="00BA6804"/>
    <w:rsid w:val="00BA7F7D"/>
    <w:rsid w:val="00BB12D6"/>
    <w:rsid w:val="00BB1C14"/>
    <w:rsid w:val="00BB27BD"/>
    <w:rsid w:val="00BB42F7"/>
    <w:rsid w:val="00BB6847"/>
    <w:rsid w:val="00BB7F8F"/>
    <w:rsid w:val="00BC20C6"/>
    <w:rsid w:val="00BC63BA"/>
    <w:rsid w:val="00BC716A"/>
    <w:rsid w:val="00BD0633"/>
    <w:rsid w:val="00BD07DF"/>
    <w:rsid w:val="00BD2430"/>
    <w:rsid w:val="00BD26F4"/>
    <w:rsid w:val="00BD2CF4"/>
    <w:rsid w:val="00BD36E5"/>
    <w:rsid w:val="00BD4FF1"/>
    <w:rsid w:val="00BD5DBD"/>
    <w:rsid w:val="00BD5DF6"/>
    <w:rsid w:val="00BD6C50"/>
    <w:rsid w:val="00BE0041"/>
    <w:rsid w:val="00BE1CAE"/>
    <w:rsid w:val="00BE3E9F"/>
    <w:rsid w:val="00BE58F5"/>
    <w:rsid w:val="00BE62E4"/>
    <w:rsid w:val="00BE640F"/>
    <w:rsid w:val="00BE74B5"/>
    <w:rsid w:val="00BE78E0"/>
    <w:rsid w:val="00BF0840"/>
    <w:rsid w:val="00BF09C8"/>
    <w:rsid w:val="00BF3AEB"/>
    <w:rsid w:val="00BF4638"/>
    <w:rsid w:val="00C059D0"/>
    <w:rsid w:val="00C06596"/>
    <w:rsid w:val="00C07551"/>
    <w:rsid w:val="00C1109F"/>
    <w:rsid w:val="00C12D65"/>
    <w:rsid w:val="00C133AB"/>
    <w:rsid w:val="00C14DAA"/>
    <w:rsid w:val="00C15C56"/>
    <w:rsid w:val="00C20B56"/>
    <w:rsid w:val="00C20CB9"/>
    <w:rsid w:val="00C22214"/>
    <w:rsid w:val="00C2389D"/>
    <w:rsid w:val="00C242F5"/>
    <w:rsid w:val="00C26F72"/>
    <w:rsid w:val="00C309A7"/>
    <w:rsid w:val="00C30C7C"/>
    <w:rsid w:val="00C335AB"/>
    <w:rsid w:val="00C407AB"/>
    <w:rsid w:val="00C4370E"/>
    <w:rsid w:val="00C4382C"/>
    <w:rsid w:val="00C43EDE"/>
    <w:rsid w:val="00C44DFE"/>
    <w:rsid w:val="00C4728F"/>
    <w:rsid w:val="00C501D1"/>
    <w:rsid w:val="00C50B77"/>
    <w:rsid w:val="00C51201"/>
    <w:rsid w:val="00C517BA"/>
    <w:rsid w:val="00C52B7B"/>
    <w:rsid w:val="00C547CD"/>
    <w:rsid w:val="00C55467"/>
    <w:rsid w:val="00C5646D"/>
    <w:rsid w:val="00C570FF"/>
    <w:rsid w:val="00C57CEA"/>
    <w:rsid w:val="00C605DB"/>
    <w:rsid w:val="00C6088C"/>
    <w:rsid w:val="00C60FEC"/>
    <w:rsid w:val="00C6574E"/>
    <w:rsid w:val="00C707FD"/>
    <w:rsid w:val="00C70FA4"/>
    <w:rsid w:val="00C74116"/>
    <w:rsid w:val="00C75CCB"/>
    <w:rsid w:val="00C76DEB"/>
    <w:rsid w:val="00C77179"/>
    <w:rsid w:val="00C77500"/>
    <w:rsid w:val="00C816C6"/>
    <w:rsid w:val="00C844C8"/>
    <w:rsid w:val="00C8487C"/>
    <w:rsid w:val="00C854B7"/>
    <w:rsid w:val="00C863A7"/>
    <w:rsid w:val="00C9024B"/>
    <w:rsid w:val="00C903B2"/>
    <w:rsid w:val="00C912F4"/>
    <w:rsid w:val="00C9156F"/>
    <w:rsid w:val="00C93FDA"/>
    <w:rsid w:val="00C944F7"/>
    <w:rsid w:val="00C9581A"/>
    <w:rsid w:val="00C9609E"/>
    <w:rsid w:val="00C97D29"/>
    <w:rsid w:val="00CA18B4"/>
    <w:rsid w:val="00CA387F"/>
    <w:rsid w:val="00CA4FE0"/>
    <w:rsid w:val="00CA6925"/>
    <w:rsid w:val="00CB0550"/>
    <w:rsid w:val="00CB2272"/>
    <w:rsid w:val="00CB496A"/>
    <w:rsid w:val="00CB6813"/>
    <w:rsid w:val="00CB7A44"/>
    <w:rsid w:val="00CC4861"/>
    <w:rsid w:val="00CD4AD1"/>
    <w:rsid w:val="00CE1939"/>
    <w:rsid w:val="00CF1FDC"/>
    <w:rsid w:val="00CF2539"/>
    <w:rsid w:val="00CF4076"/>
    <w:rsid w:val="00CF50F7"/>
    <w:rsid w:val="00CF539F"/>
    <w:rsid w:val="00CF5F83"/>
    <w:rsid w:val="00CF6A55"/>
    <w:rsid w:val="00CF6DC6"/>
    <w:rsid w:val="00CF6DCF"/>
    <w:rsid w:val="00D01DDB"/>
    <w:rsid w:val="00D02671"/>
    <w:rsid w:val="00D038B4"/>
    <w:rsid w:val="00D04174"/>
    <w:rsid w:val="00D061CB"/>
    <w:rsid w:val="00D078BE"/>
    <w:rsid w:val="00D07E36"/>
    <w:rsid w:val="00D12C91"/>
    <w:rsid w:val="00D13F8A"/>
    <w:rsid w:val="00D16552"/>
    <w:rsid w:val="00D16F60"/>
    <w:rsid w:val="00D212D6"/>
    <w:rsid w:val="00D21377"/>
    <w:rsid w:val="00D22981"/>
    <w:rsid w:val="00D24091"/>
    <w:rsid w:val="00D2494C"/>
    <w:rsid w:val="00D25C56"/>
    <w:rsid w:val="00D30080"/>
    <w:rsid w:val="00D31997"/>
    <w:rsid w:val="00D32A51"/>
    <w:rsid w:val="00D3349B"/>
    <w:rsid w:val="00D3569D"/>
    <w:rsid w:val="00D36D88"/>
    <w:rsid w:val="00D37497"/>
    <w:rsid w:val="00D424A8"/>
    <w:rsid w:val="00D427BC"/>
    <w:rsid w:val="00D43675"/>
    <w:rsid w:val="00D43C64"/>
    <w:rsid w:val="00D44861"/>
    <w:rsid w:val="00D44D6A"/>
    <w:rsid w:val="00D46206"/>
    <w:rsid w:val="00D47F2C"/>
    <w:rsid w:val="00D52EAD"/>
    <w:rsid w:val="00D54155"/>
    <w:rsid w:val="00D57949"/>
    <w:rsid w:val="00D6036F"/>
    <w:rsid w:val="00D61CEF"/>
    <w:rsid w:val="00D61F70"/>
    <w:rsid w:val="00D62597"/>
    <w:rsid w:val="00D62877"/>
    <w:rsid w:val="00D62A0E"/>
    <w:rsid w:val="00D635F9"/>
    <w:rsid w:val="00D63760"/>
    <w:rsid w:val="00D6703F"/>
    <w:rsid w:val="00D7063A"/>
    <w:rsid w:val="00D734EB"/>
    <w:rsid w:val="00D74670"/>
    <w:rsid w:val="00D7584B"/>
    <w:rsid w:val="00D762E4"/>
    <w:rsid w:val="00D77EDD"/>
    <w:rsid w:val="00D8027F"/>
    <w:rsid w:val="00D813F4"/>
    <w:rsid w:val="00D82713"/>
    <w:rsid w:val="00D83740"/>
    <w:rsid w:val="00D84C7F"/>
    <w:rsid w:val="00D8591F"/>
    <w:rsid w:val="00D86946"/>
    <w:rsid w:val="00D86B55"/>
    <w:rsid w:val="00D86F00"/>
    <w:rsid w:val="00D872DE"/>
    <w:rsid w:val="00D90007"/>
    <w:rsid w:val="00D90A5C"/>
    <w:rsid w:val="00D918D5"/>
    <w:rsid w:val="00D948BE"/>
    <w:rsid w:val="00D94C8E"/>
    <w:rsid w:val="00D94EB6"/>
    <w:rsid w:val="00D97BDE"/>
    <w:rsid w:val="00DA38AD"/>
    <w:rsid w:val="00DB1372"/>
    <w:rsid w:val="00DB192C"/>
    <w:rsid w:val="00DB19EB"/>
    <w:rsid w:val="00DB1CF3"/>
    <w:rsid w:val="00DB251F"/>
    <w:rsid w:val="00DB5425"/>
    <w:rsid w:val="00DB5D06"/>
    <w:rsid w:val="00DB7088"/>
    <w:rsid w:val="00DB72A6"/>
    <w:rsid w:val="00DC0055"/>
    <w:rsid w:val="00DC11F4"/>
    <w:rsid w:val="00DC2744"/>
    <w:rsid w:val="00DC5C54"/>
    <w:rsid w:val="00DC61DA"/>
    <w:rsid w:val="00DC6611"/>
    <w:rsid w:val="00DD0390"/>
    <w:rsid w:val="00DD2C73"/>
    <w:rsid w:val="00DD4A80"/>
    <w:rsid w:val="00DD4EE0"/>
    <w:rsid w:val="00DD55B6"/>
    <w:rsid w:val="00DE030C"/>
    <w:rsid w:val="00DE1344"/>
    <w:rsid w:val="00DE2A43"/>
    <w:rsid w:val="00DE2CC4"/>
    <w:rsid w:val="00DE4CFD"/>
    <w:rsid w:val="00DE6526"/>
    <w:rsid w:val="00DE7C41"/>
    <w:rsid w:val="00DF5BFE"/>
    <w:rsid w:val="00DF617E"/>
    <w:rsid w:val="00DF6FD8"/>
    <w:rsid w:val="00E00A02"/>
    <w:rsid w:val="00E00E3A"/>
    <w:rsid w:val="00E01FF4"/>
    <w:rsid w:val="00E0523F"/>
    <w:rsid w:val="00E0578B"/>
    <w:rsid w:val="00E0683A"/>
    <w:rsid w:val="00E06ACA"/>
    <w:rsid w:val="00E07F76"/>
    <w:rsid w:val="00E10AB4"/>
    <w:rsid w:val="00E169C3"/>
    <w:rsid w:val="00E1756E"/>
    <w:rsid w:val="00E21026"/>
    <w:rsid w:val="00E21C64"/>
    <w:rsid w:val="00E2388A"/>
    <w:rsid w:val="00E23B4A"/>
    <w:rsid w:val="00E23E50"/>
    <w:rsid w:val="00E26213"/>
    <w:rsid w:val="00E274DF"/>
    <w:rsid w:val="00E34D66"/>
    <w:rsid w:val="00E35C60"/>
    <w:rsid w:val="00E362C4"/>
    <w:rsid w:val="00E37D49"/>
    <w:rsid w:val="00E42401"/>
    <w:rsid w:val="00E4371C"/>
    <w:rsid w:val="00E4612B"/>
    <w:rsid w:val="00E46CC2"/>
    <w:rsid w:val="00E470A0"/>
    <w:rsid w:val="00E47E0C"/>
    <w:rsid w:val="00E51813"/>
    <w:rsid w:val="00E52C0B"/>
    <w:rsid w:val="00E53D3F"/>
    <w:rsid w:val="00E5579B"/>
    <w:rsid w:val="00E571F4"/>
    <w:rsid w:val="00E57FF4"/>
    <w:rsid w:val="00E62B1B"/>
    <w:rsid w:val="00E6354E"/>
    <w:rsid w:val="00E65C28"/>
    <w:rsid w:val="00E6640B"/>
    <w:rsid w:val="00E66429"/>
    <w:rsid w:val="00E679D1"/>
    <w:rsid w:val="00E67C1C"/>
    <w:rsid w:val="00E70FBC"/>
    <w:rsid w:val="00E71BB3"/>
    <w:rsid w:val="00E74B73"/>
    <w:rsid w:val="00E7580A"/>
    <w:rsid w:val="00E7644E"/>
    <w:rsid w:val="00E80143"/>
    <w:rsid w:val="00E831CD"/>
    <w:rsid w:val="00E83EE2"/>
    <w:rsid w:val="00E84AA6"/>
    <w:rsid w:val="00E91F11"/>
    <w:rsid w:val="00E94599"/>
    <w:rsid w:val="00E96661"/>
    <w:rsid w:val="00E9706D"/>
    <w:rsid w:val="00E97DA7"/>
    <w:rsid w:val="00EA3AF4"/>
    <w:rsid w:val="00EA4A68"/>
    <w:rsid w:val="00EA6035"/>
    <w:rsid w:val="00EB3EFD"/>
    <w:rsid w:val="00EB4B58"/>
    <w:rsid w:val="00EC05F1"/>
    <w:rsid w:val="00EC119A"/>
    <w:rsid w:val="00EC14BB"/>
    <w:rsid w:val="00EC1690"/>
    <w:rsid w:val="00EC20EF"/>
    <w:rsid w:val="00EC2F97"/>
    <w:rsid w:val="00EC7525"/>
    <w:rsid w:val="00EC760B"/>
    <w:rsid w:val="00EC7E57"/>
    <w:rsid w:val="00EE0183"/>
    <w:rsid w:val="00EE45C4"/>
    <w:rsid w:val="00EE61A7"/>
    <w:rsid w:val="00EF18D1"/>
    <w:rsid w:val="00EF21CB"/>
    <w:rsid w:val="00EF2461"/>
    <w:rsid w:val="00EF37AF"/>
    <w:rsid w:val="00EF3F0B"/>
    <w:rsid w:val="00EF5583"/>
    <w:rsid w:val="00EF75EA"/>
    <w:rsid w:val="00F0048C"/>
    <w:rsid w:val="00F00A8E"/>
    <w:rsid w:val="00F01DD2"/>
    <w:rsid w:val="00F027CC"/>
    <w:rsid w:val="00F02817"/>
    <w:rsid w:val="00F0289D"/>
    <w:rsid w:val="00F02AEC"/>
    <w:rsid w:val="00F03052"/>
    <w:rsid w:val="00F051AE"/>
    <w:rsid w:val="00F05D2A"/>
    <w:rsid w:val="00F07572"/>
    <w:rsid w:val="00F10535"/>
    <w:rsid w:val="00F13DDB"/>
    <w:rsid w:val="00F157FC"/>
    <w:rsid w:val="00F17C38"/>
    <w:rsid w:val="00F17C6A"/>
    <w:rsid w:val="00F23B78"/>
    <w:rsid w:val="00F24441"/>
    <w:rsid w:val="00F253DE"/>
    <w:rsid w:val="00F25995"/>
    <w:rsid w:val="00F26813"/>
    <w:rsid w:val="00F30AF3"/>
    <w:rsid w:val="00F40640"/>
    <w:rsid w:val="00F40A1E"/>
    <w:rsid w:val="00F41F95"/>
    <w:rsid w:val="00F43CD1"/>
    <w:rsid w:val="00F45AE0"/>
    <w:rsid w:val="00F468B3"/>
    <w:rsid w:val="00F50F41"/>
    <w:rsid w:val="00F517BA"/>
    <w:rsid w:val="00F57D36"/>
    <w:rsid w:val="00F60CF2"/>
    <w:rsid w:val="00F625E0"/>
    <w:rsid w:val="00F65635"/>
    <w:rsid w:val="00F657B4"/>
    <w:rsid w:val="00F70603"/>
    <w:rsid w:val="00F7261A"/>
    <w:rsid w:val="00F734E1"/>
    <w:rsid w:val="00F7649F"/>
    <w:rsid w:val="00F77629"/>
    <w:rsid w:val="00F77670"/>
    <w:rsid w:val="00F8083B"/>
    <w:rsid w:val="00F81EFD"/>
    <w:rsid w:val="00F82AF4"/>
    <w:rsid w:val="00F82D1B"/>
    <w:rsid w:val="00F85971"/>
    <w:rsid w:val="00F865A7"/>
    <w:rsid w:val="00FA0754"/>
    <w:rsid w:val="00FA1BC9"/>
    <w:rsid w:val="00FA49C3"/>
    <w:rsid w:val="00FA7CFD"/>
    <w:rsid w:val="00FB0E8E"/>
    <w:rsid w:val="00FB236E"/>
    <w:rsid w:val="00FB2E3C"/>
    <w:rsid w:val="00FB3E7D"/>
    <w:rsid w:val="00FB3F7B"/>
    <w:rsid w:val="00FB4C2A"/>
    <w:rsid w:val="00FB50BF"/>
    <w:rsid w:val="00FB5720"/>
    <w:rsid w:val="00FB5C6F"/>
    <w:rsid w:val="00FB6809"/>
    <w:rsid w:val="00FB6EEF"/>
    <w:rsid w:val="00FB70CA"/>
    <w:rsid w:val="00FC2107"/>
    <w:rsid w:val="00FC48FE"/>
    <w:rsid w:val="00FC6711"/>
    <w:rsid w:val="00FC6F56"/>
    <w:rsid w:val="00FD0A67"/>
    <w:rsid w:val="00FD1150"/>
    <w:rsid w:val="00FD15CE"/>
    <w:rsid w:val="00FD215E"/>
    <w:rsid w:val="00FD22BE"/>
    <w:rsid w:val="00FD2F78"/>
    <w:rsid w:val="00FE087C"/>
    <w:rsid w:val="00FE1CC2"/>
    <w:rsid w:val="00FE271B"/>
    <w:rsid w:val="00FE4C7D"/>
    <w:rsid w:val="00FE506C"/>
    <w:rsid w:val="00FE6CB8"/>
    <w:rsid w:val="00FE79A0"/>
    <w:rsid w:val="00FF0939"/>
    <w:rsid w:val="00FF3889"/>
    <w:rsid w:val="00FF45BF"/>
    <w:rsid w:val="00FF69F7"/>
    <w:rsid w:val="00FF7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1">
    <w:name w:val="heading 1"/>
    <w:basedOn w:val="Normal"/>
    <w:next w:val="Normal"/>
    <w:link w:val="Heading1Char"/>
    <w:qFormat/>
    <w:rsid w:val="003B0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qFormat/>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qFormat/>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semiHidden/>
    <w:unhideWhenUsed/>
    <w:qFormat/>
    <w:rsid w:val="00E0683A"/>
    <w:pPr>
      <w:keepNext/>
      <w:spacing w:before="120" w:after="60" w:line="180" w:lineRule="atLeast"/>
      <w:outlineLvl w:val="6"/>
    </w:pPr>
    <w:rPr>
      <w:rFonts w:ascii="Calibri" w:eastAsia="Times New Roman" w:hAnsi="Calibri" w:cs="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qFormat/>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qFormat/>
    <w:rsid w:val="0056766D"/>
  </w:style>
  <w:style w:type="paragraph" w:customStyle="1" w:styleId="LegalSubheading">
    <w:name w:val="Legal Subheading"/>
    <w:basedOn w:val="Footer"/>
    <w:qFormat/>
    <w:rsid w:val="0056766D"/>
    <w:pPr>
      <w:outlineLvl w:val="1"/>
    </w:pPr>
    <w:rPr>
      <w:b/>
    </w:rPr>
  </w:style>
  <w:style w:type="paragraph" w:styleId="ListBullet">
    <w:name w:val="List Bullet"/>
    <w:basedOn w:val="Normal"/>
    <w:uiPriority w:val="99"/>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99"/>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99"/>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qFormat/>
    <w:rsid w:val="00FC6F56"/>
    <w:pPr>
      <w:numPr>
        <w:numId w:val="2"/>
      </w:numPr>
    </w:pPr>
  </w:style>
  <w:style w:type="paragraph" w:customStyle="1" w:styleId="Numberbullet2">
    <w:name w:val="Number bullet 2"/>
    <w:basedOn w:val="ListBullet2"/>
    <w:qFormat/>
    <w:rsid w:val="00F02AEC"/>
    <w:pPr>
      <w:numPr>
        <w:numId w:val="2"/>
      </w:numPr>
      <w:ind w:left="850" w:hanging="425"/>
    </w:pPr>
  </w:style>
  <w:style w:type="paragraph" w:customStyle="1" w:styleId="Numberbullet3">
    <w:name w:val="Number bullet 3"/>
    <w:basedOn w:val="Normal"/>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qFormat/>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qFormat/>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qFormat/>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uiPriority w:val="99"/>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qFormat/>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paragraph" w:styleId="EndnoteText">
    <w:name w:val="endnote text"/>
    <w:basedOn w:val="Normal"/>
    <w:link w:val="EndnoteTextChar"/>
    <w:uiPriority w:val="99"/>
    <w:unhideWhenUsed/>
    <w:rsid w:val="00250E18"/>
    <w:pPr>
      <w:spacing w:after="0" w:line="240" w:lineRule="auto"/>
    </w:pPr>
    <w:rPr>
      <w:rFonts w:ascii="Calibri" w:eastAsia="Cambria" w:hAnsi="Calibri" w:cs="Times New Roman"/>
      <w:sz w:val="20"/>
    </w:rPr>
  </w:style>
  <w:style w:type="character" w:customStyle="1" w:styleId="EndnoteTextChar">
    <w:name w:val="Endnote Text Char"/>
    <w:basedOn w:val="DefaultParagraphFont"/>
    <w:link w:val="EndnoteText"/>
    <w:uiPriority w:val="99"/>
    <w:rsid w:val="00250E18"/>
    <w:rPr>
      <w:rFonts w:ascii="Calibri" w:eastAsia="Cambria" w:hAnsi="Calibri" w:cs="Times New Roman"/>
    </w:rPr>
  </w:style>
  <w:style w:type="character" w:styleId="EndnoteReference">
    <w:name w:val="endnote reference"/>
    <w:basedOn w:val="DefaultParagraphFont"/>
    <w:uiPriority w:val="99"/>
    <w:unhideWhenUsed/>
    <w:rsid w:val="00250E18"/>
    <w:rPr>
      <w:vertAlign w:val="superscript"/>
    </w:rPr>
  </w:style>
  <w:style w:type="character" w:customStyle="1" w:styleId="Heading1Char">
    <w:name w:val="Heading 1 Char"/>
    <w:basedOn w:val="DefaultParagraphFont"/>
    <w:link w:val="Heading1"/>
    <w:rsid w:val="003B0ABD"/>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
    <w:semiHidden/>
    <w:rsid w:val="00E0683A"/>
    <w:rPr>
      <w:rFonts w:ascii="Calibri" w:eastAsia="Times New Roman" w:hAnsi="Calibri" w:cs="Times New Roman"/>
      <w:bCs/>
      <w:szCs w:val="24"/>
    </w:rPr>
  </w:style>
  <w:style w:type="paragraph" w:customStyle="1" w:styleId="msonormal0">
    <w:name w:val="msonormal"/>
    <w:basedOn w:val="Normal"/>
    <w:rsid w:val="00E0683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semiHidden/>
    <w:unhideWhenUsed/>
    <w:qFormat/>
    <w:rsid w:val="00E0683A"/>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E0683A"/>
    <w:rPr>
      <w:rFonts w:ascii="Arial" w:eastAsia="Arial" w:hAnsi="Arial" w:cs="Arial"/>
      <w:sz w:val="24"/>
      <w:szCs w:val="24"/>
      <w:lang w:val="en-US"/>
    </w:rPr>
  </w:style>
  <w:style w:type="paragraph" w:styleId="TOCHeading">
    <w:name w:val="TOC Heading"/>
    <w:basedOn w:val="Heading1"/>
    <w:next w:val="Normal"/>
    <w:uiPriority w:val="39"/>
    <w:semiHidden/>
    <w:unhideWhenUsed/>
    <w:qFormat/>
    <w:rsid w:val="00E0683A"/>
    <w:pPr>
      <w:framePr w:wrap="around" w:hAnchor="text"/>
      <w:spacing w:before="480" w:line="276" w:lineRule="auto"/>
      <w:outlineLvl w:val="9"/>
    </w:pPr>
    <w:rPr>
      <w:rFonts w:eastAsia="Times New Roman" w:cstheme="minorBidi"/>
      <w:b/>
      <w:bCs/>
      <w:color w:val="002035"/>
      <w:sz w:val="28"/>
      <w:szCs w:val="64"/>
      <w:lang w:val="en-US"/>
    </w:rPr>
  </w:style>
  <w:style w:type="paragraph" w:customStyle="1" w:styleId="AxisLabel">
    <w:name w:val="Axis Label"/>
    <w:basedOn w:val="Normal"/>
    <w:qFormat/>
    <w:rsid w:val="00E0683A"/>
    <w:pPr>
      <w:spacing w:before="120" w:after="0" w:line="240" w:lineRule="auto"/>
    </w:pPr>
    <w:rPr>
      <w:rFonts w:ascii="Arial" w:eastAsia="Cambria" w:hAnsi="Arial" w:cs="Times New Roman"/>
      <w:noProof/>
      <w:sz w:val="14"/>
      <w:szCs w:val="22"/>
      <w:lang w:eastAsia="en-AU"/>
    </w:rPr>
  </w:style>
  <w:style w:type="paragraph" w:customStyle="1" w:styleId="AxisTitle">
    <w:name w:val="Axis Title"/>
    <w:basedOn w:val="Normal"/>
    <w:qFormat/>
    <w:rsid w:val="00E0683A"/>
    <w:pPr>
      <w:spacing w:before="120" w:after="0" w:line="240" w:lineRule="auto"/>
    </w:pPr>
    <w:rPr>
      <w:rFonts w:ascii="Arial" w:eastAsia="Cambria" w:hAnsi="Arial" w:cs="Times New Roman"/>
      <w:sz w:val="16"/>
      <w:szCs w:val="22"/>
    </w:rPr>
  </w:style>
  <w:style w:type="paragraph" w:customStyle="1" w:styleId="Contents">
    <w:name w:val="Contents"/>
    <w:basedOn w:val="Normal"/>
    <w:rsid w:val="00E0683A"/>
    <w:pPr>
      <w:spacing w:after="0" w:line="240" w:lineRule="atLeast"/>
    </w:pPr>
    <w:rPr>
      <w:rFonts w:ascii="Arial" w:eastAsia="Cambria" w:hAnsi="Arial" w:cs="Times New Roman"/>
      <w:b/>
      <w:sz w:val="48"/>
      <w:szCs w:val="22"/>
    </w:rPr>
  </w:style>
  <w:style w:type="paragraph" w:customStyle="1" w:styleId="HeaderNoLine0">
    <w:name w:val="Header No Line"/>
    <w:basedOn w:val="Header"/>
    <w:rsid w:val="00E0683A"/>
    <w:pPr>
      <w:pBdr>
        <w:bottom w:val="none" w:sz="0" w:space="0" w:color="auto"/>
      </w:pBdr>
      <w:spacing w:before="120" w:after="240"/>
      <w:jc w:val="left"/>
    </w:pPr>
    <w:rPr>
      <w:rFonts w:ascii="Calibri" w:hAnsi="Calibri"/>
      <w:color w:val="auto"/>
      <w:szCs w:val="22"/>
    </w:rPr>
  </w:style>
  <w:style w:type="paragraph" w:customStyle="1" w:styleId="Key">
    <w:name w:val="Key"/>
    <w:basedOn w:val="Normal"/>
    <w:qFormat/>
    <w:rsid w:val="00E0683A"/>
    <w:pPr>
      <w:spacing w:before="120" w:line="240" w:lineRule="atLeast"/>
    </w:pPr>
    <w:rPr>
      <w:rFonts w:ascii="Calibri" w:eastAsia="Cambria" w:hAnsi="Calibri" w:cs="Times New Roman"/>
      <w:sz w:val="14"/>
      <w:szCs w:val="22"/>
    </w:rPr>
  </w:style>
  <w:style w:type="paragraph" w:customStyle="1" w:styleId="Notes">
    <w:name w:val="Notes"/>
    <w:basedOn w:val="Normal"/>
    <w:qFormat/>
    <w:locked/>
    <w:rsid w:val="00E0683A"/>
    <w:pPr>
      <w:spacing w:before="120" w:after="0" w:line="240" w:lineRule="auto"/>
    </w:pPr>
    <w:rPr>
      <w:rFonts w:ascii="Arial" w:eastAsia="Cambria" w:hAnsi="Arial" w:cs="Times New Roman"/>
      <w:sz w:val="16"/>
      <w:szCs w:val="22"/>
    </w:rPr>
  </w:style>
  <w:style w:type="paragraph" w:customStyle="1" w:styleId="Reference">
    <w:name w:val="Reference"/>
    <w:basedOn w:val="Normal"/>
    <w:rsid w:val="00E0683A"/>
    <w:pPr>
      <w:spacing w:before="40" w:after="0" w:line="180" w:lineRule="atLeast"/>
      <w:ind w:hanging="170"/>
    </w:pPr>
    <w:rPr>
      <w:rFonts w:ascii="Calibri" w:eastAsia="Cambria" w:hAnsi="Calibri" w:cs="Times New Roman"/>
      <w:sz w:val="19"/>
      <w:szCs w:val="22"/>
    </w:rPr>
  </w:style>
  <w:style w:type="character" w:customStyle="1" w:styleId="TabletextChar">
    <w:name w:val="Table text Char"/>
    <w:basedOn w:val="StandardChar"/>
    <w:link w:val="Tabletext0"/>
    <w:locked/>
    <w:rsid w:val="00E0683A"/>
    <w:rPr>
      <w:rFonts w:ascii="Calibri" w:eastAsia="Cambria" w:hAnsi="Calibri" w:cs="Times New Roman"/>
      <w:snapToGrid w:val="0"/>
      <w:kern w:val="16"/>
      <w:sz w:val="19"/>
      <w:szCs w:val="24"/>
    </w:rPr>
  </w:style>
  <w:style w:type="paragraph" w:customStyle="1" w:styleId="Tabletext0">
    <w:name w:val="Table text"/>
    <w:basedOn w:val="Normal"/>
    <w:link w:val="TabletextChar"/>
    <w:qFormat/>
    <w:rsid w:val="00E0683A"/>
    <w:pPr>
      <w:spacing w:before="120" w:line="240" w:lineRule="atLeast"/>
    </w:pPr>
    <w:rPr>
      <w:rFonts w:ascii="Calibri" w:eastAsia="Cambria" w:hAnsi="Calibri" w:cs="Times New Roman"/>
      <w:snapToGrid w:val="0"/>
      <w:kern w:val="16"/>
      <w:sz w:val="19"/>
      <w:szCs w:val="24"/>
    </w:rPr>
  </w:style>
  <w:style w:type="paragraph" w:customStyle="1" w:styleId="Quotation">
    <w:name w:val="Quotation"/>
    <w:basedOn w:val="Normal"/>
    <w:next w:val="Normal"/>
    <w:uiPriority w:val="4"/>
    <w:qFormat/>
    <w:rsid w:val="00E0683A"/>
    <w:pPr>
      <w:spacing w:before="120" w:after="180" w:line="240" w:lineRule="atLeast"/>
      <w:ind w:left="425"/>
    </w:pPr>
    <w:rPr>
      <w:rFonts w:ascii="Calibri" w:eastAsiaTheme="minorEastAsia" w:hAnsi="Calibri"/>
      <w:sz w:val="20"/>
      <w:szCs w:val="22"/>
      <w:lang w:eastAsia="zh-TW"/>
    </w:rPr>
  </w:style>
  <w:style w:type="paragraph" w:customStyle="1" w:styleId="Comment">
    <w:name w:val="Comment"/>
    <w:basedOn w:val="Normal"/>
    <w:next w:val="Normal"/>
    <w:uiPriority w:val="1"/>
    <w:qFormat/>
    <w:rsid w:val="00E0683A"/>
    <w:pPr>
      <w:spacing w:before="120" w:line="240" w:lineRule="atLeast"/>
      <w:ind w:left="992" w:hanging="992"/>
    </w:pPr>
    <w:rPr>
      <w:rFonts w:ascii="Calibri" w:eastAsia="Cambria" w:hAnsi="Calibri" w:cs="Times New Roman"/>
      <w:szCs w:val="22"/>
    </w:rPr>
  </w:style>
  <w:style w:type="paragraph" w:customStyle="1" w:styleId="FigureCaption">
    <w:name w:val="Figure Caption"/>
    <w:basedOn w:val="Normal"/>
    <w:qFormat/>
    <w:rsid w:val="00E0683A"/>
    <w:pPr>
      <w:adjustRightInd w:val="0"/>
      <w:snapToGrid w:val="0"/>
      <w:spacing w:before="180" w:after="180" w:line="240" w:lineRule="atLeast"/>
    </w:pPr>
    <w:rPr>
      <w:rFonts w:ascii="Calibri" w:eastAsia="MS Mincho" w:hAnsi="Calibri" w:cs="Times New Roman"/>
      <w:lang w:eastAsia="ja-JP"/>
    </w:rPr>
  </w:style>
  <w:style w:type="paragraph" w:customStyle="1" w:styleId="TableCaption">
    <w:name w:val="Table Caption"/>
    <w:basedOn w:val="FigureCaption"/>
    <w:qFormat/>
    <w:rsid w:val="00E0683A"/>
    <w:pPr>
      <w:spacing w:after="240"/>
    </w:pPr>
    <w:rPr>
      <w:sz w:val="17"/>
    </w:rPr>
  </w:style>
  <w:style w:type="paragraph" w:customStyle="1" w:styleId="Subject">
    <w:name w:val="Subject"/>
    <w:basedOn w:val="Normal"/>
    <w:qFormat/>
    <w:rsid w:val="00E0683A"/>
    <w:pPr>
      <w:adjustRightInd w:val="0"/>
      <w:snapToGrid w:val="0"/>
      <w:spacing w:before="180" w:after="180" w:line="240" w:lineRule="atLeast"/>
    </w:pPr>
    <w:rPr>
      <w:rFonts w:ascii="Calibri" w:eastAsia="MS Mincho" w:hAnsi="Calibri" w:cs="Times New Roman"/>
      <w:b/>
      <w:lang w:eastAsia="ja-JP"/>
    </w:rPr>
  </w:style>
  <w:style w:type="paragraph" w:customStyle="1" w:styleId="Addressee">
    <w:name w:val="Addressee"/>
    <w:basedOn w:val="Normal"/>
    <w:qFormat/>
    <w:rsid w:val="00E0683A"/>
    <w:pPr>
      <w:adjustRightInd w:val="0"/>
      <w:snapToGrid w:val="0"/>
      <w:spacing w:before="180" w:after="180" w:line="240" w:lineRule="atLeast"/>
    </w:pPr>
    <w:rPr>
      <w:rFonts w:ascii="Calibri" w:eastAsia="MS Mincho" w:hAnsi="Calibri" w:cs="Times New Roman"/>
      <w:lang w:eastAsia="ja-JP"/>
    </w:rPr>
  </w:style>
  <w:style w:type="paragraph" w:customStyle="1" w:styleId="BodyCopy">
    <w:name w:val="Body Copy"/>
    <w:basedOn w:val="Normal"/>
    <w:qFormat/>
    <w:rsid w:val="00E0683A"/>
    <w:pPr>
      <w:adjustRightInd w:val="0"/>
      <w:snapToGrid w:val="0"/>
      <w:spacing w:before="180" w:after="180" w:line="240" w:lineRule="atLeast"/>
    </w:pPr>
    <w:rPr>
      <w:rFonts w:ascii="Calibri" w:eastAsia="MS Mincho" w:hAnsi="Calibri" w:cs="Times New Roman"/>
      <w:lang w:eastAsia="ja-JP"/>
    </w:rPr>
  </w:style>
  <w:style w:type="character" w:customStyle="1" w:styleId="StandardChar">
    <w:name w:val="Standard Char"/>
    <w:basedOn w:val="DefaultParagraphFont"/>
    <w:link w:val="Standard"/>
    <w:locked/>
    <w:rsid w:val="00E0683A"/>
    <w:rPr>
      <w:rFonts w:ascii="Calibri" w:eastAsia="Times New Roman" w:hAnsi="Calibri" w:cs="Times New Roman"/>
      <w:kern w:val="16"/>
      <w:sz w:val="23"/>
      <w:szCs w:val="24"/>
    </w:rPr>
  </w:style>
  <w:style w:type="paragraph" w:customStyle="1" w:styleId="Standard">
    <w:name w:val="Standard"/>
    <w:basedOn w:val="Normal"/>
    <w:link w:val="StandardChar"/>
    <w:qFormat/>
    <w:rsid w:val="00E0683A"/>
    <w:pPr>
      <w:snapToGrid w:val="0"/>
      <w:spacing w:after="220" w:line="252" w:lineRule="auto"/>
    </w:pPr>
    <w:rPr>
      <w:rFonts w:ascii="Calibri" w:eastAsia="Times New Roman" w:hAnsi="Calibri" w:cs="Times New Roman"/>
      <w:kern w:val="16"/>
      <w:sz w:val="23"/>
      <w:szCs w:val="24"/>
    </w:rPr>
  </w:style>
  <w:style w:type="paragraph" w:customStyle="1" w:styleId="Bulletpoint">
    <w:name w:val="Bullet point"/>
    <w:basedOn w:val="Standard"/>
    <w:rsid w:val="00E0683A"/>
    <w:pPr>
      <w:numPr>
        <w:numId w:val="17"/>
      </w:numPr>
      <w:tabs>
        <w:tab w:val="clear" w:pos="369"/>
        <w:tab w:val="left" w:pos="397"/>
        <w:tab w:val="num" w:pos="511"/>
      </w:tabs>
      <w:spacing w:after="180"/>
      <w:ind w:left="0" w:firstLine="0"/>
    </w:pPr>
    <w:rPr>
      <w:sz w:val="22"/>
    </w:rPr>
  </w:style>
  <w:style w:type="paragraph" w:customStyle="1" w:styleId="PISubsection">
    <w:name w:val="PI Subsection"/>
    <w:basedOn w:val="Standard"/>
    <w:next w:val="Standard"/>
    <w:rsid w:val="00E0683A"/>
    <w:pPr>
      <w:keepNext/>
      <w:spacing w:after="120"/>
    </w:pPr>
    <w:rPr>
      <w:b/>
      <w:i/>
      <w:kern w:val="2"/>
      <w:sz w:val="22"/>
    </w:rPr>
  </w:style>
  <w:style w:type="character" w:customStyle="1" w:styleId="RotZchn">
    <w:name w:val="Rot Zchn"/>
    <w:basedOn w:val="DefaultParagraphFont"/>
    <w:link w:val="Rot"/>
    <w:locked/>
    <w:rsid w:val="00E0683A"/>
    <w:rPr>
      <w:rFonts w:ascii="Arial" w:hAnsi="Arial" w:cs="Arial"/>
      <w:color w:val="FF0000"/>
      <w:lang w:val="en-US"/>
    </w:rPr>
  </w:style>
  <w:style w:type="paragraph" w:customStyle="1" w:styleId="Rot">
    <w:name w:val="Rot"/>
    <w:basedOn w:val="Normal"/>
    <w:link w:val="RotZchn"/>
    <w:qFormat/>
    <w:rsid w:val="00E0683A"/>
    <w:pPr>
      <w:spacing w:after="0" w:line="260" w:lineRule="atLeast"/>
    </w:pPr>
    <w:rPr>
      <w:rFonts w:ascii="Arial" w:hAnsi="Arial" w:cs="Arial"/>
      <w:color w:val="FF0000"/>
      <w:sz w:val="20"/>
      <w:lang w:val="en-US"/>
    </w:rPr>
  </w:style>
  <w:style w:type="paragraph" w:customStyle="1" w:styleId="Default">
    <w:name w:val="Default"/>
    <w:rsid w:val="00E0683A"/>
    <w:pPr>
      <w:autoSpaceDE w:val="0"/>
      <w:autoSpaceDN w:val="0"/>
      <w:adjustRightInd w:val="0"/>
      <w:spacing w:after="0" w:line="240" w:lineRule="auto"/>
    </w:pPr>
    <w:rPr>
      <w:rFonts w:ascii="Courier New" w:hAnsi="Courier New" w:cs="Courier New"/>
      <w:color w:val="000000"/>
      <w:sz w:val="24"/>
      <w:szCs w:val="24"/>
    </w:rPr>
  </w:style>
  <w:style w:type="paragraph" w:customStyle="1" w:styleId="TableParagraph">
    <w:name w:val="Table Paragraph"/>
    <w:basedOn w:val="Normal"/>
    <w:uiPriority w:val="1"/>
    <w:qFormat/>
    <w:rsid w:val="00E0683A"/>
    <w:pPr>
      <w:widowControl w:val="0"/>
      <w:autoSpaceDE w:val="0"/>
      <w:autoSpaceDN w:val="0"/>
      <w:spacing w:after="0" w:line="240" w:lineRule="auto"/>
    </w:pPr>
    <w:rPr>
      <w:rFonts w:ascii="Arial" w:eastAsia="Arial" w:hAnsi="Arial" w:cs="Arial"/>
      <w:szCs w:val="22"/>
      <w:lang w:val="en-US"/>
    </w:rPr>
  </w:style>
  <w:style w:type="paragraph" w:customStyle="1" w:styleId="TableDescriptionfootnoteslist">
    <w:name w:val="Table Description footnotes list"/>
    <w:basedOn w:val="TableDescription"/>
    <w:uiPriority w:val="1"/>
    <w:qFormat/>
    <w:rsid w:val="00E0683A"/>
    <w:pPr>
      <w:numPr>
        <w:numId w:val="18"/>
      </w:numPr>
      <w:spacing w:before="0" w:after="0"/>
    </w:pPr>
    <w:rPr>
      <w:rFonts w:ascii="Calibri" w:hAnsi="Calibri"/>
      <w:sz w:val="19"/>
      <w:lang w:val="en-US"/>
    </w:rPr>
  </w:style>
  <w:style w:type="character" w:styleId="PlaceholderText">
    <w:name w:val="Placeholder Text"/>
    <w:basedOn w:val="DefaultParagraphFont"/>
    <w:uiPriority w:val="99"/>
    <w:semiHidden/>
    <w:rsid w:val="00E0683A"/>
    <w:rPr>
      <w:color w:val="808080"/>
    </w:rPr>
  </w:style>
  <w:style w:type="character" w:customStyle="1" w:styleId="ABN">
    <w:name w:val="ABN"/>
    <w:basedOn w:val="DefaultParagraphFont"/>
    <w:uiPriority w:val="1"/>
    <w:qFormat/>
    <w:rsid w:val="00E0683A"/>
    <w:rPr>
      <w:rFonts w:ascii="Arial" w:hAnsi="Arial" w:cs="Arial" w:hint="default"/>
      <w:color w:val="002C47"/>
      <w:sz w:val="14"/>
    </w:rPr>
  </w:style>
  <w:style w:type="character" w:customStyle="1" w:styleId="cf01">
    <w:name w:val="cf01"/>
    <w:basedOn w:val="DefaultParagraphFont"/>
    <w:rsid w:val="00E0683A"/>
    <w:rPr>
      <w:rFonts w:ascii="Segoe UI" w:hAnsi="Segoe UI" w:cs="Segoe UI" w:hint="default"/>
      <w:sz w:val="18"/>
      <w:szCs w:val="18"/>
    </w:rPr>
  </w:style>
  <w:style w:type="character" w:customStyle="1" w:styleId="ui-provider">
    <w:name w:val="ui-provider"/>
    <w:basedOn w:val="DefaultParagraphFont"/>
    <w:rsid w:val="00E0683A"/>
  </w:style>
  <w:style w:type="table" w:styleId="LightShading-Accent2">
    <w:name w:val="Light Shading Accent 2"/>
    <w:basedOn w:val="TableNormal"/>
    <w:uiPriority w:val="60"/>
    <w:semiHidden/>
    <w:unhideWhenUsed/>
    <w:rsid w:val="00E0683A"/>
    <w:pPr>
      <w:spacing w:after="0" w:line="240" w:lineRule="auto"/>
    </w:pPr>
    <w:rPr>
      <w:rFonts w:ascii="Cambria" w:eastAsia="Calibri" w:hAnsi="Cambria" w:cs="Times New Roman"/>
      <w:color w:val="943634"/>
      <w:sz w:val="21"/>
      <w:szCs w:val="21"/>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semiHidden/>
    <w:unhideWhenUsed/>
    <w:rsid w:val="00E0683A"/>
    <w:pPr>
      <w:spacing w:after="0" w:line="240" w:lineRule="auto"/>
    </w:pPr>
    <w:rPr>
      <w:rFonts w:ascii="Cambria" w:eastAsia="Times New Roman" w:hAnsi="Cambria" w:cs="Times New Roman"/>
      <w:color w:val="000000"/>
      <w:sz w:val="21"/>
      <w:szCs w:val="21"/>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TGAblack">
    <w:name w:val="Table TGA black"/>
    <w:basedOn w:val="TableNormal"/>
    <w:uiPriority w:val="99"/>
    <w:rsid w:val="00E0683A"/>
    <w:pPr>
      <w:spacing w:before="60" w:after="0" w:line="240" w:lineRule="auto"/>
      <w:ind w:left="170" w:right="170"/>
    </w:pPr>
    <w:rPr>
      <w:rFonts w:ascii="Cambria" w:hAnsi="Cambria" w:cs="Times New Roman"/>
      <w:color w:val="000000"/>
      <w:sz w:val="22"/>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100" w:beforeAutospacing="1" w:afterLines="0" w:after="100" w:afterAutospacing="1"/>
      </w:pPr>
      <w:rPr>
        <w:rFonts w:ascii="Cambria" w:hAnsi="Cambria" w:hint="default"/>
        <w:b/>
        <w:color w:val="FFFFFF" w:themeColor="background1"/>
        <w:sz w:val="22"/>
        <w:szCs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hint="default"/>
        <w:b/>
        <w:i w:val="0"/>
        <w:color w:val="FFFFFF"/>
        <w:sz w:val="22"/>
        <w:szCs w:val="22"/>
      </w:rPr>
    </w:tblStylePr>
  </w:style>
  <w:style w:type="table" w:customStyle="1" w:styleId="TableTGA2">
    <w:name w:val="Table TGA 2"/>
    <w:basedOn w:val="TableNormal"/>
    <w:uiPriority w:val="99"/>
    <w:rsid w:val="00E0683A"/>
    <w:pPr>
      <w:spacing w:before="60" w:after="0" w:line="240" w:lineRule="auto"/>
    </w:pPr>
    <w:rPr>
      <w:rFonts w:ascii="Cambria" w:hAnsi="Cambria" w:cs="Times New Roman"/>
      <w:color w:val="000000"/>
      <w:sz w:val="22"/>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100" w:beforeAutospacing="1" w:afterLines="0" w:after="100" w:afterAutospacing="1"/>
      </w:pPr>
      <w:rPr>
        <w:rFonts w:ascii="Cambria" w:hAnsi="Cambria" w:hint="default"/>
        <w:b/>
        <w:color w:val="FFFFFF"/>
        <w:sz w:val="22"/>
        <w:szCs w:val="22"/>
      </w:rPr>
      <w:tblPr/>
      <w:tcPr>
        <w:shd w:val="clear" w:color="auto" w:fill="000000"/>
      </w:tcPr>
    </w:tblStylePr>
    <w:tblStylePr w:type="lastRow">
      <w:rPr>
        <w:b w:val="0"/>
      </w:rPr>
    </w:tblStylePr>
    <w:tblStylePr w:type="neCell">
      <w:rPr>
        <w:b w:val="0"/>
        <w:i w:val="0"/>
      </w:rPr>
    </w:tblStylePr>
    <w:tblStylePr w:type="nwCell">
      <w:rPr>
        <w:rFonts w:ascii="Cambria" w:hAnsi="Cambria" w:hint="default"/>
        <w:b/>
        <w:i w:val="0"/>
        <w:color w:val="FFFFFF"/>
        <w:sz w:val="22"/>
        <w:szCs w:val="22"/>
      </w:rPr>
    </w:tblStylePr>
  </w:style>
  <w:style w:type="table" w:customStyle="1" w:styleId="TableGrid1">
    <w:name w:val="Table Grid1"/>
    <w:basedOn w:val="TableNormal"/>
    <w:uiPriority w:val="59"/>
    <w:rsid w:val="00E0683A"/>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Standard"/>
    <w:link w:val="BulletlistChar"/>
    <w:qFormat/>
    <w:rsid w:val="00B348A8"/>
    <w:pPr>
      <w:numPr>
        <w:numId w:val="37"/>
      </w:numPr>
      <w:snapToGrid/>
      <w:spacing w:after="180"/>
      <w:ind w:left="426" w:hanging="284"/>
    </w:pPr>
    <w:rPr>
      <w:rFonts w:ascii="Cambria" w:hAnsi="Cambria"/>
      <w:snapToGrid w:val="0"/>
      <w:kern w:val="2"/>
      <w:szCs w:val="22"/>
    </w:rPr>
  </w:style>
  <w:style w:type="character" w:customStyle="1" w:styleId="BulletlistChar">
    <w:name w:val="Bullet list Char"/>
    <w:basedOn w:val="StandardChar"/>
    <w:link w:val="Bulletlist"/>
    <w:rsid w:val="00B348A8"/>
    <w:rPr>
      <w:rFonts w:ascii="Cambria" w:eastAsia="Times New Roman" w:hAnsi="Cambria" w:cs="Times New Roman"/>
      <w:snapToGrid w:val="0"/>
      <w:kern w:val="2"/>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4244">
      <w:bodyDiv w:val="1"/>
      <w:marLeft w:val="0"/>
      <w:marRight w:val="0"/>
      <w:marTop w:val="0"/>
      <w:marBottom w:val="0"/>
      <w:divBdr>
        <w:top w:val="none" w:sz="0" w:space="0" w:color="auto"/>
        <w:left w:val="none" w:sz="0" w:space="0" w:color="auto"/>
        <w:bottom w:val="none" w:sz="0" w:space="0" w:color="auto"/>
        <w:right w:val="none" w:sz="0" w:space="0" w:color="auto"/>
      </w:divBdr>
    </w:div>
    <w:div w:id="106126663">
      <w:bodyDiv w:val="1"/>
      <w:marLeft w:val="0"/>
      <w:marRight w:val="0"/>
      <w:marTop w:val="0"/>
      <w:marBottom w:val="0"/>
      <w:divBdr>
        <w:top w:val="none" w:sz="0" w:space="0" w:color="auto"/>
        <w:left w:val="none" w:sz="0" w:space="0" w:color="auto"/>
        <w:bottom w:val="none" w:sz="0" w:space="0" w:color="auto"/>
        <w:right w:val="none" w:sz="0" w:space="0" w:color="auto"/>
      </w:divBdr>
    </w:div>
    <w:div w:id="116223700">
      <w:bodyDiv w:val="1"/>
      <w:marLeft w:val="0"/>
      <w:marRight w:val="0"/>
      <w:marTop w:val="0"/>
      <w:marBottom w:val="0"/>
      <w:divBdr>
        <w:top w:val="none" w:sz="0" w:space="0" w:color="auto"/>
        <w:left w:val="none" w:sz="0" w:space="0" w:color="auto"/>
        <w:bottom w:val="none" w:sz="0" w:space="0" w:color="auto"/>
        <w:right w:val="none" w:sz="0" w:space="0" w:color="auto"/>
      </w:divBdr>
    </w:div>
    <w:div w:id="293416022">
      <w:bodyDiv w:val="1"/>
      <w:marLeft w:val="0"/>
      <w:marRight w:val="0"/>
      <w:marTop w:val="0"/>
      <w:marBottom w:val="0"/>
      <w:divBdr>
        <w:top w:val="none" w:sz="0" w:space="0" w:color="auto"/>
        <w:left w:val="none" w:sz="0" w:space="0" w:color="auto"/>
        <w:bottom w:val="none" w:sz="0" w:space="0" w:color="auto"/>
        <w:right w:val="none" w:sz="0" w:space="0" w:color="auto"/>
      </w:divBdr>
    </w:div>
    <w:div w:id="346911325">
      <w:bodyDiv w:val="1"/>
      <w:marLeft w:val="0"/>
      <w:marRight w:val="0"/>
      <w:marTop w:val="0"/>
      <w:marBottom w:val="0"/>
      <w:divBdr>
        <w:top w:val="none" w:sz="0" w:space="0" w:color="auto"/>
        <w:left w:val="none" w:sz="0" w:space="0" w:color="auto"/>
        <w:bottom w:val="none" w:sz="0" w:space="0" w:color="auto"/>
        <w:right w:val="none" w:sz="0" w:space="0" w:color="auto"/>
      </w:divBdr>
    </w:div>
    <w:div w:id="366563331">
      <w:bodyDiv w:val="1"/>
      <w:marLeft w:val="0"/>
      <w:marRight w:val="0"/>
      <w:marTop w:val="0"/>
      <w:marBottom w:val="0"/>
      <w:divBdr>
        <w:top w:val="none" w:sz="0" w:space="0" w:color="auto"/>
        <w:left w:val="none" w:sz="0" w:space="0" w:color="auto"/>
        <w:bottom w:val="none" w:sz="0" w:space="0" w:color="auto"/>
        <w:right w:val="none" w:sz="0" w:space="0" w:color="auto"/>
      </w:divBdr>
    </w:div>
    <w:div w:id="504630217">
      <w:bodyDiv w:val="1"/>
      <w:marLeft w:val="0"/>
      <w:marRight w:val="0"/>
      <w:marTop w:val="0"/>
      <w:marBottom w:val="0"/>
      <w:divBdr>
        <w:top w:val="none" w:sz="0" w:space="0" w:color="auto"/>
        <w:left w:val="none" w:sz="0" w:space="0" w:color="auto"/>
        <w:bottom w:val="none" w:sz="0" w:space="0" w:color="auto"/>
        <w:right w:val="none" w:sz="0" w:space="0" w:color="auto"/>
      </w:divBdr>
    </w:div>
    <w:div w:id="553078167">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33143912">
      <w:bodyDiv w:val="1"/>
      <w:marLeft w:val="0"/>
      <w:marRight w:val="0"/>
      <w:marTop w:val="0"/>
      <w:marBottom w:val="0"/>
      <w:divBdr>
        <w:top w:val="none" w:sz="0" w:space="0" w:color="auto"/>
        <w:left w:val="none" w:sz="0" w:space="0" w:color="auto"/>
        <w:bottom w:val="none" w:sz="0" w:space="0" w:color="auto"/>
        <w:right w:val="none" w:sz="0" w:space="0" w:color="auto"/>
      </w:divBdr>
    </w:div>
    <w:div w:id="667447130">
      <w:bodyDiv w:val="1"/>
      <w:marLeft w:val="0"/>
      <w:marRight w:val="0"/>
      <w:marTop w:val="0"/>
      <w:marBottom w:val="0"/>
      <w:divBdr>
        <w:top w:val="none" w:sz="0" w:space="0" w:color="auto"/>
        <w:left w:val="none" w:sz="0" w:space="0" w:color="auto"/>
        <w:bottom w:val="none" w:sz="0" w:space="0" w:color="auto"/>
        <w:right w:val="none" w:sz="0" w:space="0" w:color="auto"/>
      </w:divBdr>
    </w:div>
    <w:div w:id="694229289">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807748472">
      <w:bodyDiv w:val="1"/>
      <w:marLeft w:val="0"/>
      <w:marRight w:val="0"/>
      <w:marTop w:val="0"/>
      <w:marBottom w:val="0"/>
      <w:divBdr>
        <w:top w:val="none" w:sz="0" w:space="0" w:color="auto"/>
        <w:left w:val="none" w:sz="0" w:space="0" w:color="auto"/>
        <w:bottom w:val="none" w:sz="0" w:space="0" w:color="auto"/>
        <w:right w:val="none" w:sz="0" w:space="0" w:color="auto"/>
      </w:divBdr>
    </w:div>
    <w:div w:id="943419681">
      <w:bodyDiv w:val="1"/>
      <w:marLeft w:val="0"/>
      <w:marRight w:val="0"/>
      <w:marTop w:val="0"/>
      <w:marBottom w:val="0"/>
      <w:divBdr>
        <w:top w:val="none" w:sz="0" w:space="0" w:color="auto"/>
        <w:left w:val="none" w:sz="0" w:space="0" w:color="auto"/>
        <w:bottom w:val="none" w:sz="0" w:space="0" w:color="auto"/>
        <w:right w:val="none" w:sz="0" w:space="0" w:color="auto"/>
      </w:divBdr>
    </w:div>
    <w:div w:id="1123499335">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324552117">
      <w:bodyDiv w:val="1"/>
      <w:marLeft w:val="0"/>
      <w:marRight w:val="0"/>
      <w:marTop w:val="0"/>
      <w:marBottom w:val="0"/>
      <w:divBdr>
        <w:top w:val="none" w:sz="0" w:space="0" w:color="auto"/>
        <w:left w:val="none" w:sz="0" w:space="0" w:color="auto"/>
        <w:bottom w:val="none" w:sz="0" w:space="0" w:color="auto"/>
        <w:right w:val="none" w:sz="0" w:space="0" w:color="auto"/>
      </w:divBdr>
    </w:div>
    <w:div w:id="1333214626">
      <w:bodyDiv w:val="1"/>
      <w:marLeft w:val="0"/>
      <w:marRight w:val="0"/>
      <w:marTop w:val="0"/>
      <w:marBottom w:val="0"/>
      <w:divBdr>
        <w:top w:val="none" w:sz="0" w:space="0" w:color="auto"/>
        <w:left w:val="none" w:sz="0" w:space="0" w:color="auto"/>
        <w:bottom w:val="none" w:sz="0" w:space="0" w:color="auto"/>
        <w:right w:val="none" w:sz="0" w:space="0" w:color="auto"/>
      </w:divBdr>
    </w:div>
    <w:div w:id="1677688549">
      <w:bodyDiv w:val="1"/>
      <w:marLeft w:val="0"/>
      <w:marRight w:val="0"/>
      <w:marTop w:val="0"/>
      <w:marBottom w:val="0"/>
      <w:divBdr>
        <w:top w:val="none" w:sz="0" w:space="0" w:color="auto"/>
        <w:left w:val="none" w:sz="0" w:space="0" w:color="auto"/>
        <w:bottom w:val="none" w:sz="0" w:space="0" w:color="auto"/>
        <w:right w:val="none" w:sz="0" w:space="0" w:color="auto"/>
      </w:divBdr>
    </w:div>
    <w:div w:id="1703481559">
      <w:bodyDiv w:val="1"/>
      <w:marLeft w:val="0"/>
      <w:marRight w:val="0"/>
      <w:marTop w:val="0"/>
      <w:marBottom w:val="0"/>
      <w:divBdr>
        <w:top w:val="none" w:sz="0" w:space="0" w:color="auto"/>
        <w:left w:val="none" w:sz="0" w:space="0" w:color="auto"/>
        <w:bottom w:val="none" w:sz="0" w:space="0" w:color="auto"/>
        <w:right w:val="none" w:sz="0" w:space="0" w:color="auto"/>
      </w:divBdr>
    </w:div>
    <w:div w:id="1718118370">
      <w:bodyDiv w:val="1"/>
      <w:marLeft w:val="0"/>
      <w:marRight w:val="0"/>
      <w:marTop w:val="0"/>
      <w:marBottom w:val="0"/>
      <w:divBdr>
        <w:top w:val="none" w:sz="0" w:space="0" w:color="auto"/>
        <w:left w:val="none" w:sz="0" w:space="0" w:color="auto"/>
        <w:bottom w:val="none" w:sz="0" w:space="0" w:color="auto"/>
        <w:right w:val="none" w:sz="0" w:space="0" w:color="auto"/>
      </w:divBdr>
    </w:div>
    <w:div w:id="1783526795">
      <w:bodyDiv w:val="1"/>
      <w:marLeft w:val="0"/>
      <w:marRight w:val="0"/>
      <w:marTop w:val="0"/>
      <w:marBottom w:val="0"/>
      <w:divBdr>
        <w:top w:val="none" w:sz="0" w:space="0" w:color="auto"/>
        <w:left w:val="none" w:sz="0" w:space="0" w:color="auto"/>
        <w:bottom w:val="none" w:sz="0" w:space="0" w:color="auto"/>
        <w:right w:val="none" w:sz="0" w:space="0" w:color="auto"/>
      </w:divBdr>
    </w:div>
    <w:div w:id="1829051730">
      <w:bodyDiv w:val="1"/>
      <w:marLeft w:val="0"/>
      <w:marRight w:val="0"/>
      <w:marTop w:val="0"/>
      <w:marBottom w:val="0"/>
      <w:divBdr>
        <w:top w:val="none" w:sz="0" w:space="0" w:color="auto"/>
        <w:left w:val="none" w:sz="0" w:space="0" w:color="auto"/>
        <w:bottom w:val="none" w:sz="0" w:space="0" w:color="auto"/>
        <w:right w:val="none" w:sz="0" w:space="0" w:color="auto"/>
      </w:divBdr>
    </w:div>
    <w:div w:id="1857883851">
      <w:bodyDiv w:val="1"/>
      <w:marLeft w:val="0"/>
      <w:marRight w:val="0"/>
      <w:marTop w:val="0"/>
      <w:marBottom w:val="0"/>
      <w:divBdr>
        <w:top w:val="none" w:sz="0" w:space="0" w:color="auto"/>
        <w:left w:val="none" w:sz="0" w:space="0" w:color="auto"/>
        <w:bottom w:val="none" w:sz="0" w:space="0" w:color="auto"/>
        <w:right w:val="none" w:sz="0" w:space="0" w:color="auto"/>
      </w:divBdr>
    </w:div>
    <w:div w:id="1871448827">
      <w:bodyDiv w:val="1"/>
      <w:marLeft w:val="0"/>
      <w:marRight w:val="0"/>
      <w:marTop w:val="0"/>
      <w:marBottom w:val="0"/>
      <w:divBdr>
        <w:top w:val="none" w:sz="0" w:space="0" w:color="auto"/>
        <w:left w:val="none" w:sz="0" w:space="0" w:color="auto"/>
        <w:bottom w:val="none" w:sz="0" w:space="0" w:color="auto"/>
        <w:right w:val="none" w:sz="0" w:space="0" w:color="auto"/>
      </w:divBdr>
    </w:div>
    <w:div w:id="1897860887">
      <w:bodyDiv w:val="1"/>
      <w:marLeft w:val="0"/>
      <w:marRight w:val="0"/>
      <w:marTop w:val="0"/>
      <w:marBottom w:val="0"/>
      <w:divBdr>
        <w:top w:val="none" w:sz="0" w:space="0" w:color="auto"/>
        <w:left w:val="none" w:sz="0" w:space="0" w:color="auto"/>
        <w:bottom w:val="none" w:sz="0" w:space="0" w:color="auto"/>
        <w:right w:val="none" w:sz="0" w:space="0" w:color="auto"/>
      </w:divBdr>
    </w:div>
    <w:div w:id="1939869553">
      <w:bodyDiv w:val="1"/>
      <w:marLeft w:val="0"/>
      <w:marRight w:val="0"/>
      <w:marTop w:val="0"/>
      <w:marBottom w:val="0"/>
      <w:divBdr>
        <w:top w:val="none" w:sz="0" w:space="0" w:color="auto"/>
        <w:left w:val="none" w:sz="0" w:space="0" w:color="auto"/>
        <w:bottom w:val="none" w:sz="0" w:space="0" w:color="auto"/>
        <w:right w:val="none" w:sz="0" w:space="0" w:color="auto"/>
      </w:divBdr>
    </w:div>
    <w:div w:id="2025285121">
      <w:bodyDiv w:val="1"/>
      <w:marLeft w:val="0"/>
      <w:marRight w:val="0"/>
      <w:marTop w:val="0"/>
      <w:marBottom w:val="0"/>
      <w:divBdr>
        <w:top w:val="none" w:sz="0" w:space="0" w:color="auto"/>
        <w:left w:val="none" w:sz="0" w:space="0" w:color="auto"/>
        <w:bottom w:val="none" w:sz="0" w:space="0" w:color="auto"/>
        <w:right w:val="none" w:sz="0" w:space="0" w:color="auto"/>
      </w:divBdr>
    </w:div>
    <w:div w:id="2035692399">
      <w:bodyDiv w:val="1"/>
      <w:marLeft w:val="0"/>
      <w:marRight w:val="0"/>
      <w:marTop w:val="0"/>
      <w:marBottom w:val="0"/>
      <w:divBdr>
        <w:top w:val="none" w:sz="0" w:space="0" w:color="auto"/>
        <w:left w:val="none" w:sz="0" w:space="0" w:color="auto"/>
        <w:bottom w:val="none" w:sz="0" w:space="0" w:color="auto"/>
        <w:right w:val="none" w:sz="0" w:space="0" w:color="auto"/>
      </w:divBdr>
    </w:div>
    <w:div w:id="2051343596">
      <w:bodyDiv w:val="1"/>
      <w:marLeft w:val="0"/>
      <w:marRight w:val="0"/>
      <w:marTop w:val="0"/>
      <w:marBottom w:val="0"/>
      <w:divBdr>
        <w:top w:val="none" w:sz="0" w:space="0" w:color="auto"/>
        <w:left w:val="none" w:sz="0" w:space="0" w:color="auto"/>
        <w:bottom w:val="none" w:sz="0" w:space="0" w:color="auto"/>
        <w:right w:val="none" w:sz="0" w:space="0" w:color="auto"/>
      </w:divBdr>
    </w:div>
    <w:div w:id="20748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australia-canada-singapore-switzerland-united-kingdom-access-consortium" TargetMode="External"/><Relationship Id="rId26" Type="http://schemas.openxmlformats.org/officeDocument/2006/relationships/image" Target="media/image5.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ga.gov.au/sites/default/files/2025-01/note-for-guidance-on-impurities-testing-impurities-in-new-drug-substances.pdf" TargetMode="External"/><Relationship Id="rId34" Type="http://schemas.openxmlformats.org/officeDocument/2006/relationships/hyperlink" Target="https://www.tga.gov.au/picmi-search-facility" TargetMode="Externa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obstetric-drug-information-services" TargetMode="External"/><Relationship Id="rId25" Type="http://schemas.openxmlformats.org/officeDocument/2006/relationships/image" Target="media/image4.png"/><Relationship Id="rId33" Type="http://schemas.openxmlformats.org/officeDocument/2006/relationships/hyperlink" Target="https://www.tga.gov.au/products/australian-register-therapeutic-goods-artg/consumer-medicines-information-cmi"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products/medicines/find-information-about-medicine/prescribing-medicines-pregnancy-database" TargetMode="External"/><Relationship Id="rId20" Type="http://schemas.openxmlformats.org/officeDocument/2006/relationships/hyperlink" Target="https://www.tga.gov.au/how-we-regulate/supply-therapeutic-good-0/supply-prescription-medicine/application-process/prescription-medicines-registration-proces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sites/default/files/2024-12/ich_guideline_s10_on_photosafety_evaluation.pdf" TargetMode="External"/><Relationship Id="rId32" Type="http://schemas.openxmlformats.org/officeDocument/2006/relationships/hyperlink" Target="https://www.tga.gov.au/products/australian-register-therapeutic-goods-artg/product-information-one"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tga.gov.au/sites/default/files/2024-12/ich_guideline_s9_on_nonclinical_evaluation_for_anticancer__1.pdf" TargetMode="External"/><Relationship Id="rId28" Type="http://schemas.openxmlformats.org/officeDocument/2006/relationships/hyperlink" Target="https://www.tga.gov.au/committee/advisory-committee-medicines-acm" TargetMode="External"/><Relationship Id="rId36"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hyperlink" Target="https://www.tga.gov.au/project-orbis" TargetMode="External"/><Relationship Id="rId31" Type="http://schemas.openxmlformats.org/officeDocument/2006/relationships/hyperlink" Target="https://www.tga.gov.au/products/australian-register-therapeutic-goods-artg/product-information-o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hyperlink" Target="https://www.tga.gov.au/sites/default/files/2025-01/note-for-guidance-on-impurities-in-new-drug-products.pdf" TargetMode="External"/><Relationship Id="rId27" Type="http://schemas.openxmlformats.org/officeDocument/2006/relationships/image" Target="media/image6.png"/><Relationship Id="rId30" Type="http://schemas.openxmlformats.org/officeDocument/2006/relationships/footer" Target="footer3.xml"/><Relationship Id="rId35"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bs.tga.gov.au/ebs/picmi/picmirepository.nsf/pdf?OpenAgent&amp;id=CP-2020-PI-02289-1&amp;d=20240619172310101" TargetMode="External"/><Relationship Id="rId13" Type="http://schemas.openxmlformats.org/officeDocument/2006/relationships/hyperlink" Target="https://www.ebs.tga.gov.au/ebs/picmi/picmirepository.nsf/pdf?OpenAgent&amp;id=CP-2021-PI-02226-1" TargetMode="External"/><Relationship Id="rId3" Type="http://schemas.openxmlformats.org/officeDocument/2006/relationships/hyperlink" Target="https://www.nccn.org/professionals/physician_gls/pdf/colon.pdf" TargetMode="External"/><Relationship Id="rId7" Type="http://schemas.openxmlformats.org/officeDocument/2006/relationships/hyperlink" Target="https://www.ebs.tga.gov.au/ebs/picmi/picmirepository.nsf/pdf?OpenAgent&amp;id=CP-2020-PI-01721-1&amp;d=20240619172310101" TargetMode="External"/><Relationship Id="rId12" Type="http://schemas.openxmlformats.org/officeDocument/2006/relationships/hyperlink" Target="https://www.ebs.tga.gov.au/ebs/picmi/picmirepository.nsf/pdf?OpenAgent&amp;id=CP-2017-PI-01847-1" TargetMode="External"/><Relationship Id="rId2" Type="http://schemas.openxmlformats.org/officeDocument/2006/relationships/hyperlink" Target="https://seer.cancer.gov/statfacts/html/colorect.html" TargetMode="External"/><Relationship Id="rId1" Type="http://schemas.openxmlformats.org/officeDocument/2006/relationships/hyperlink" Target="https://www.canceraustralia.gov.au/cancer-types/bowel-cancer/statistics" TargetMode="External"/><Relationship Id="rId6" Type="http://schemas.openxmlformats.org/officeDocument/2006/relationships/hyperlink" Target="https://www.ebs.tga.gov.au/ebs/picmi/picmirepository.nsf/pdf?OpenAgent&amp;id=CP-2019-PI-01022-1" TargetMode="External"/><Relationship Id="rId11" Type="http://schemas.openxmlformats.org/officeDocument/2006/relationships/hyperlink" Target="https://www.ebs.tga.gov.au/ebs/picmi/picmirepository.nsf/pdf?OpenAgent&amp;id=CP-2013-PI-02451-1&amp;d=20240627172310101" TargetMode="External"/><Relationship Id="rId5" Type="http://schemas.openxmlformats.org/officeDocument/2006/relationships/hyperlink" Target="https://www.ebs.tga.gov.au/ebs/picmi/picmirepository.nsf/pdf?OpenAgent&amp;id=CP-2023-PI-01512-1" TargetMode="External"/><Relationship Id="rId10" Type="http://schemas.openxmlformats.org/officeDocument/2006/relationships/hyperlink" Target="https://www.ebs.tga.gov.au/" TargetMode="External"/><Relationship Id="rId4" Type="http://schemas.openxmlformats.org/officeDocument/2006/relationships/hyperlink" Target="https://www.eviq.org.au/medical-oncology/colorectal/metastatic" TargetMode="External"/><Relationship Id="rId9" Type="http://schemas.openxmlformats.org/officeDocument/2006/relationships/hyperlink" Target="https://www.tga.gov.au/resources/prescription-medicines-registrations/tukysa-merck-sharp-dohme-australia-pty-ltd" TargetMode="External"/><Relationship Id="rId14" Type="http://schemas.openxmlformats.org/officeDocument/2006/relationships/hyperlink" Target="https://www.accessdata.fda.gov/drugsatfda_docs/nda/2023/217564Orig1s000MultidisciplineR.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47</Pages>
  <Words>16689</Words>
  <Characters>95129</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Australian public assessment report for Fruzaqla</vt:lpstr>
    </vt:vector>
  </TitlesOfParts>
  <Company>Department of Health, Disability and Ageing</Company>
  <LinksUpToDate>false</LinksUpToDate>
  <CharactersWithSpaces>111595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Fruzaqla</dc:title>
  <dc:subject>Prescription medicines</dc:subject>
  <dc:creator>Therapeutic Goods Administration</dc:creator>
  <cp:keywords/>
  <dc:description/>
  <cp:lastModifiedBy>LACK, Janet</cp:lastModifiedBy>
  <cp:revision>4</cp:revision>
  <dcterms:created xsi:type="dcterms:W3CDTF">2025-08-19T23:24:00Z</dcterms:created>
  <dcterms:modified xsi:type="dcterms:W3CDTF">2025-08-21T02:57:00Z</dcterms:modified>
</cp:coreProperties>
</file>