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4703E268" w:rsidR="00F02AEC" w:rsidRPr="00215D48" w:rsidRDefault="00346EC2" w:rsidP="007452E8">
            <w:pPr>
              <w:pStyle w:val="Title"/>
            </w:pPr>
            <w:r w:rsidRPr="00346EC2">
              <w:t>Australian Public Assessment Report for</w:t>
            </w:r>
            <w:r w:rsidR="00207474">
              <w:t xml:space="preserve"> </w:t>
            </w:r>
            <w:r w:rsidR="00C9665E">
              <w:t>Elucirem</w:t>
            </w:r>
            <w:r w:rsidR="005237D3">
              <w:t xml:space="preserve"> </w:t>
            </w:r>
            <w:r w:rsidR="00BF17F9" w:rsidRPr="00BF17F9">
              <w:t>/</w:t>
            </w:r>
            <w:r w:rsidR="005237D3">
              <w:t xml:space="preserve"> </w:t>
            </w:r>
            <w:r w:rsidR="00C9665E">
              <w:t>Vueway</w:t>
            </w:r>
          </w:p>
        </w:tc>
      </w:tr>
      <w:tr w:rsidR="00F02AEC" w:rsidRPr="00215D48" w14:paraId="318A40A3" w14:textId="77777777" w:rsidTr="00346EC2">
        <w:trPr>
          <w:trHeight w:val="995"/>
        </w:trPr>
        <w:tc>
          <w:tcPr>
            <w:tcW w:w="8720" w:type="dxa"/>
          </w:tcPr>
          <w:p w14:paraId="1AA7C701" w14:textId="1141ECCF" w:rsidR="00F02AEC" w:rsidRPr="00215D48" w:rsidRDefault="00346EC2" w:rsidP="007452E8">
            <w:pPr>
              <w:pStyle w:val="Subtitle"/>
              <w:ind w:left="0"/>
            </w:pPr>
            <w:r w:rsidRPr="00346EC2">
              <w:t>Active ingredient:</w:t>
            </w:r>
            <w:r w:rsidR="00BF46DC">
              <w:t xml:space="preserve"> </w:t>
            </w:r>
            <w:r w:rsidR="00A0048C">
              <w:t>g</w:t>
            </w:r>
            <w:r w:rsidR="00A0048C" w:rsidRPr="00A1536C">
              <w:t>adopiclenol</w:t>
            </w:r>
          </w:p>
        </w:tc>
      </w:tr>
      <w:tr w:rsidR="00346EC2" w:rsidRPr="00215D48" w14:paraId="362CCAE4" w14:textId="77777777" w:rsidTr="007452E8">
        <w:trPr>
          <w:trHeight w:val="1916"/>
        </w:trPr>
        <w:tc>
          <w:tcPr>
            <w:tcW w:w="8720" w:type="dxa"/>
          </w:tcPr>
          <w:p w14:paraId="709C45C0" w14:textId="215B261E" w:rsidR="00346EC2" w:rsidRPr="00215D48" w:rsidRDefault="00346EC2" w:rsidP="007452E8">
            <w:pPr>
              <w:pStyle w:val="Subtitle"/>
              <w:ind w:left="0"/>
            </w:pPr>
            <w:r w:rsidRPr="00346EC2">
              <w:t>Sponsor:</w:t>
            </w:r>
            <w:r w:rsidR="00C77B19">
              <w:t xml:space="preserve"> </w:t>
            </w:r>
            <w:r w:rsidR="007C6895" w:rsidRPr="007C6895">
              <w:t>Guerbet Australia</w:t>
            </w:r>
          </w:p>
        </w:tc>
      </w:tr>
      <w:tr w:rsidR="00F02AEC" w:rsidRPr="00215D48" w14:paraId="37F2AA1F" w14:textId="77777777" w:rsidTr="007452E8">
        <w:tc>
          <w:tcPr>
            <w:tcW w:w="8720" w:type="dxa"/>
          </w:tcPr>
          <w:p w14:paraId="1FDE8DCD" w14:textId="7E4989B6" w:rsidR="00F02AEC" w:rsidRPr="00215D48" w:rsidRDefault="00BF17F9" w:rsidP="007452E8">
            <w:pPr>
              <w:pStyle w:val="Date"/>
            </w:pPr>
            <w:r>
              <w:t>July</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75ED26E4" w14:textId="42DBE94D" w:rsidR="00C3639D"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6677101" w:history="1">
            <w:r w:rsidR="00C3639D" w:rsidRPr="00BA57CE">
              <w:rPr>
                <w:rStyle w:val="Hyperlink"/>
                <w:noProof/>
              </w:rPr>
              <w:t>List of abbreviations</w:t>
            </w:r>
            <w:r w:rsidR="00C3639D">
              <w:rPr>
                <w:noProof/>
                <w:webHidden/>
              </w:rPr>
              <w:tab/>
            </w:r>
            <w:r w:rsidR="00C3639D">
              <w:rPr>
                <w:noProof/>
                <w:webHidden/>
              </w:rPr>
              <w:fldChar w:fldCharType="begin"/>
            </w:r>
            <w:r w:rsidR="00C3639D">
              <w:rPr>
                <w:noProof/>
                <w:webHidden/>
              </w:rPr>
              <w:instrText xml:space="preserve"> PAGEREF _Toc206677101 \h </w:instrText>
            </w:r>
            <w:r w:rsidR="00C3639D">
              <w:rPr>
                <w:noProof/>
                <w:webHidden/>
              </w:rPr>
            </w:r>
            <w:r w:rsidR="00C3639D">
              <w:rPr>
                <w:noProof/>
                <w:webHidden/>
              </w:rPr>
              <w:fldChar w:fldCharType="separate"/>
            </w:r>
            <w:r w:rsidR="00012132">
              <w:rPr>
                <w:noProof/>
                <w:webHidden/>
              </w:rPr>
              <w:t>4</w:t>
            </w:r>
            <w:r w:rsidR="00C3639D">
              <w:rPr>
                <w:noProof/>
                <w:webHidden/>
              </w:rPr>
              <w:fldChar w:fldCharType="end"/>
            </w:r>
          </w:hyperlink>
        </w:p>
        <w:p w14:paraId="25F9F0F1" w14:textId="41A28E28" w:rsidR="00C3639D" w:rsidRDefault="00C3639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677102" w:history="1">
            <w:r w:rsidRPr="00BA57CE">
              <w:rPr>
                <w:rStyle w:val="Hyperlink"/>
                <w:noProof/>
              </w:rPr>
              <w:t>Elucirem / Vueway (gadopiclenol) submission</w:t>
            </w:r>
            <w:r>
              <w:rPr>
                <w:noProof/>
                <w:webHidden/>
              </w:rPr>
              <w:tab/>
            </w:r>
            <w:r>
              <w:rPr>
                <w:noProof/>
                <w:webHidden/>
              </w:rPr>
              <w:fldChar w:fldCharType="begin"/>
            </w:r>
            <w:r>
              <w:rPr>
                <w:noProof/>
                <w:webHidden/>
              </w:rPr>
              <w:instrText xml:space="preserve"> PAGEREF _Toc206677102 \h </w:instrText>
            </w:r>
            <w:r>
              <w:rPr>
                <w:noProof/>
                <w:webHidden/>
              </w:rPr>
            </w:r>
            <w:r>
              <w:rPr>
                <w:noProof/>
                <w:webHidden/>
              </w:rPr>
              <w:fldChar w:fldCharType="separate"/>
            </w:r>
            <w:r w:rsidR="00012132">
              <w:rPr>
                <w:noProof/>
                <w:webHidden/>
              </w:rPr>
              <w:t>5</w:t>
            </w:r>
            <w:r>
              <w:rPr>
                <w:noProof/>
                <w:webHidden/>
              </w:rPr>
              <w:fldChar w:fldCharType="end"/>
            </w:r>
          </w:hyperlink>
        </w:p>
        <w:p w14:paraId="009D132A" w14:textId="3CC849AC"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3" w:history="1">
            <w:r w:rsidRPr="00BA57CE">
              <w:rPr>
                <w:rStyle w:val="Hyperlink"/>
                <w:noProof/>
              </w:rPr>
              <w:t>Proposed indication</w:t>
            </w:r>
            <w:r>
              <w:rPr>
                <w:noProof/>
                <w:webHidden/>
              </w:rPr>
              <w:tab/>
            </w:r>
            <w:r>
              <w:rPr>
                <w:noProof/>
                <w:webHidden/>
              </w:rPr>
              <w:fldChar w:fldCharType="begin"/>
            </w:r>
            <w:r>
              <w:rPr>
                <w:noProof/>
                <w:webHidden/>
              </w:rPr>
              <w:instrText xml:space="preserve"> PAGEREF _Toc206677103 \h </w:instrText>
            </w:r>
            <w:r>
              <w:rPr>
                <w:noProof/>
                <w:webHidden/>
              </w:rPr>
            </w:r>
            <w:r>
              <w:rPr>
                <w:noProof/>
                <w:webHidden/>
              </w:rPr>
              <w:fldChar w:fldCharType="separate"/>
            </w:r>
            <w:r w:rsidR="00012132">
              <w:rPr>
                <w:noProof/>
                <w:webHidden/>
              </w:rPr>
              <w:t>7</w:t>
            </w:r>
            <w:r>
              <w:rPr>
                <w:noProof/>
                <w:webHidden/>
              </w:rPr>
              <w:fldChar w:fldCharType="end"/>
            </w:r>
          </w:hyperlink>
        </w:p>
        <w:p w14:paraId="24F4DBEC" w14:textId="41D6D506"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4" w:history="1">
            <w:r w:rsidRPr="00BA57CE">
              <w:rPr>
                <w:rStyle w:val="Hyperlink"/>
                <w:noProof/>
              </w:rPr>
              <w:t>Regulatory status</w:t>
            </w:r>
            <w:r>
              <w:rPr>
                <w:noProof/>
                <w:webHidden/>
              </w:rPr>
              <w:tab/>
            </w:r>
            <w:r>
              <w:rPr>
                <w:noProof/>
                <w:webHidden/>
              </w:rPr>
              <w:fldChar w:fldCharType="begin"/>
            </w:r>
            <w:r>
              <w:rPr>
                <w:noProof/>
                <w:webHidden/>
              </w:rPr>
              <w:instrText xml:space="preserve"> PAGEREF _Toc206677104 \h </w:instrText>
            </w:r>
            <w:r>
              <w:rPr>
                <w:noProof/>
                <w:webHidden/>
              </w:rPr>
            </w:r>
            <w:r>
              <w:rPr>
                <w:noProof/>
                <w:webHidden/>
              </w:rPr>
              <w:fldChar w:fldCharType="separate"/>
            </w:r>
            <w:r w:rsidR="00012132">
              <w:rPr>
                <w:noProof/>
                <w:webHidden/>
              </w:rPr>
              <w:t>8</w:t>
            </w:r>
            <w:r>
              <w:rPr>
                <w:noProof/>
                <w:webHidden/>
              </w:rPr>
              <w:fldChar w:fldCharType="end"/>
            </w:r>
          </w:hyperlink>
        </w:p>
        <w:p w14:paraId="60A59FE9" w14:textId="30697AC7"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5" w:history="1">
            <w:r w:rsidRPr="00BA57CE">
              <w:rPr>
                <w:rStyle w:val="Hyperlink"/>
                <w:noProof/>
              </w:rPr>
              <w:t>Registration timeline</w:t>
            </w:r>
            <w:r>
              <w:rPr>
                <w:noProof/>
                <w:webHidden/>
              </w:rPr>
              <w:tab/>
            </w:r>
            <w:r>
              <w:rPr>
                <w:noProof/>
                <w:webHidden/>
              </w:rPr>
              <w:fldChar w:fldCharType="begin"/>
            </w:r>
            <w:r>
              <w:rPr>
                <w:noProof/>
                <w:webHidden/>
              </w:rPr>
              <w:instrText xml:space="preserve"> PAGEREF _Toc206677105 \h </w:instrText>
            </w:r>
            <w:r>
              <w:rPr>
                <w:noProof/>
                <w:webHidden/>
              </w:rPr>
            </w:r>
            <w:r>
              <w:rPr>
                <w:noProof/>
                <w:webHidden/>
              </w:rPr>
              <w:fldChar w:fldCharType="separate"/>
            </w:r>
            <w:r w:rsidR="00012132">
              <w:rPr>
                <w:noProof/>
                <w:webHidden/>
              </w:rPr>
              <w:t>10</w:t>
            </w:r>
            <w:r>
              <w:rPr>
                <w:noProof/>
                <w:webHidden/>
              </w:rPr>
              <w:fldChar w:fldCharType="end"/>
            </w:r>
          </w:hyperlink>
        </w:p>
        <w:p w14:paraId="4CF4954F" w14:textId="325A0570" w:rsidR="00C3639D" w:rsidRDefault="00C3639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677106" w:history="1">
            <w:r w:rsidRPr="00BA57CE">
              <w:rPr>
                <w:rStyle w:val="Hyperlink"/>
                <w:noProof/>
              </w:rPr>
              <w:t>Assessment overview</w:t>
            </w:r>
            <w:r>
              <w:rPr>
                <w:noProof/>
                <w:webHidden/>
              </w:rPr>
              <w:tab/>
            </w:r>
            <w:r>
              <w:rPr>
                <w:noProof/>
                <w:webHidden/>
              </w:rPr>
              <w:fldChar w:fldCharType="begin"/>
            </w:r>
            <w:r>
              <w:rPr>
                <w:noProof/>
                <w:webHidden/>
              </w:rPr>
              <w:instrText xml:space="preserve"> PAGEREF _Toc206677106 \h </w:instrText>
            </w:r>
            <w:r>
              <w:rPr>
                <w:noProof/>
                <w:webHidden/>
              </w:rPr>
            </w:r>
            <w:r>
              <w:rPr>
                <w:noProof/>
                <w:webHidden/>
              </w:rPr>
              <w:fldChar w:fldCharType="separate"/>
            </w:r>
            <w:r w:rsidR="00012132">
              <w:rPr>
                <w:noProof/>
                <w:webHidden/>
              </w:rPr>
              <w:t>11</w:t>
            </w:r>
            <w:r>
              <w:rPr>
                <w:noProof/>
                <w:webHidden/>
              </w:rPr>
              <w:fldChar w:fldCharType="end"/>
            </w:r>
          </w:hyperlink>
        </w:p>
        <w:p w14:paraId="5E10C9D2" w14:textId="10985E86"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7" w:history="1">
            <w:r w:rsidRPr="00BA57CE">
              <w:rPr>
                <w:rStyle w:val="Hyperlink"/>
                <w:noProof/>
              </w:rPr>
              <w:t>Quality evaluation summary</w:t>
            </w:r>
            <w:r>
              <w:rPr>
                <w:noProof/>
                <w:webHidden/>
              </w:rPr>
              <w:tab/>
            </w:r>
            <w:r>
              <w:rPr>
                <w:noProof/>
                <w:webHidden/>
              </w:rPr>
              <w:fldChar w:fldCharType="begin"/>
            </w:r>
            <w:r>
              <w:rPr>
                <w:noProof/>
                <w:webHidden/>
              </w:rPr>
              <w:instrText xml:space="preserve"> PAGEREF _Toc206677107 \h </w:instrText>
            </w:r>
            <w:r>
              <w:rPr>
                <w:noProof/>
                <w:webHidden/>
              </w:rPr>
            </w:r>
            <w:r>
              <w:rPr>
                <w:noProof/>
                <w:webHidden/>
              </w:rPr>
              <w:fldChar w:fldCharType="separate"/>
            </w:r>
            <w:r w:rsidR="00012132">
              <w:rPr>
                <w:noProof/>
                <w:webHidden/>
              </w:rPr>
              <w:t>11</w:t>
            </w:r>
            <w:r>
              <w:rPr>
                <w:noProof/>
                <w:webHidden/>
              </w:rPr>
              <w:fldChar w:fldCharType="end"/>
            </w:r>
          </w:hyperlink>
        </w:p>
        <w:p w14:paraId="451B5A20" w14:textId="7DD5421E"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8" w:history="1">
            <w:r w:rsidRPr="00BA57CE">
              <w:rPr>
                <w:rStyle w:val="Hyperlink"/>
                <w:noProof/>
              </w:rPr>
              <w:t>Nonclinical evaluation summary</w:t>
            </w:r>
            <w:r>
              <w:rPr>
                <w:noProof/>
                <w:webHidden/>
              </w:rPr>
              <w:tab/>
            </w:r>
            <w:r>
              <w:rPr>
                <w:noProof/>
                <w:webHidden/>
              </w:rPr>
              <w:fldChar w:fldCharType="begin"/>
            </w:r>
            <w:r>
              <w:rPr>
                <w:noProof/>
                <w:webHidden/>
              </w:rPr>
              <w:instrText xml:space="preserve"> PAGEREF _Toc206677108 \h </w:instrText>
            </w:r>
            <w:r>
              <w:rPr>
                <w:noProof/>
                <w:webHidden/>
              </w:rPr>
            </w:r>
            <w:r>
              <w:rPr>
                <w:noProof/>
                <w:webHidden/>
              </w:rPr>
              <w:fldChar w:fldCharType="separate"/>
            </w:r>
            <w:r w:rsidR="00012132">
              <w:rPr>
                <w:noProof/>
                <w:webHidden/>
              </w:rPr>
              <w:t>11</w:t>
            </w:r>
            <w:r>
              <w:rPr>
                <w:noProof/>
                <w:webHidden/>
              </w:rPr>
              <w:fldChar w:fldCharType="end"/>
            </w:r>
          </w:hyperlink>
        </w:p>
        <w:p w14:paraId="455D597D" w14:textId="058A8AF5"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09" w:history="1">
            <w:r w:rsidRPr="00BA57CE">
              <w:rPr>
                <w:rStyle w:val="Hyperlink"/>
                <w:noProof/>
              </w:rPr>
              <w:t>Clinical evaluation summary</w:t>
            </w:r>
            <w:r>
              <w:rPr>
                <w:noProof/>
                <w:webHidden/>
              </w:rPr>
              <w:tab/>
            </w:r>
            <w:r>
              <w:rPr>
                <w:noProof/>
                <w:webHidden/>
              </w:rPr>
              <w:fldChar w:fldCharType="begin"/>
            </w:r>
            <w:r>
              <w:rPr>
                <w:noProof/>
                <w:webHidden/>
              </w:rPr>
              <w:instrText xml:space="preserve"> PAGEREF _Toc206677109 \h </w:instrText>
            </w:r>
            <w:r>
              <w:rPr>
                <w:noProof/>
                <w:webHidden/>
              </w:rPr>
            </w:r>
            <w:r>
              <w:rPr>
                <w:noProof/>
                <w:webHidden/>
              </w:rPr>
              <w:fldChar w:fldCharType="separate"/>
            </w:r>
            <w:r w:rsidR="00012132">
              <w:rPr>
                <w:noProof/>
                <w:webHidden/>
              </w:rPr>
              <w:t>12</w:t>
            </w:r>
            <w:r>
              <w:rPr>
                <w:noProof/>
                <w:webHidden/>
              </w:rPr>
              <w:fldChar w:fldCharType="end"/>
            </w:r>
          </w:hyperlink>
        </w:p>
        <w:p w14:paraId="293EDE6A" w14:textId="69999ACD"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0" w:history="1">
            <w:r w:rsidRPr="00BA57CE">
              <w:rPr>
                <w:rStyle w:val="Hyperlink"/>
                <w:noProof/>
              </w:rPr>
              <w:t>Summary of clinical studies</w:t>
            </w:r>
            <w:r>
              <w:rPr>
                <w:noProof/>
                <w:webHidden/>
              </w:rPr>
              <w:tab/>
            </w:r>
            <w:r>
              <w:rPr>
                <w:noProof/>
                <w:webHidden/>
              </w:rPr>
              <w:fldChar w:fldCharType="begin"/>
            </w:r>
            <w:r>
              <w:rPr>
                <w:noProof/>
                <w:webHidden/>
              </w:rPr>
              <w:instrText xml:space="preserve"> PAGEREF _Toc206677110 \h </w:instrText>
            </w:r>
            <w:r>
              <w:rPr>
                <w:noProof/>
                <w:webHidden/>
              </w:rPr>
            </w:r>
            <w:r>
              <w:rPr>
                <w:noProof/>
                <w:webHidden/>
              </w:rPr>
              <w:fldChar w:fldCharType="separate"/>
            </w:r>
            <w:r w:rsidR="00012132">
              <w:rPr>
                <w:noProof/>
                <w:webHidden/>
              </w:rPr>
              <w:t>12</w:t>
            </w:r>
            <w:r>
              <w:rPr>
                <w:noProof/>
                <w:webHidden/>
              </w:rPr>
              <w:fldChar w:fldCharType="end"/>
            </w:r>
          </w:hyperlink>
        </w:p>
        <w:p w14:paraId="6BE73F5A" w14:textId="2BE9D470"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1" w:history="1">
            <w:r w:rsidRPr="00BA57CE">
              <w:rPr>
                <w:rStyle w:val="Hyperlink"/>
                <w:noProof/>
              </w:rPr>
              <w:t>Pharmacology</w:t>
            </w:r>
            <w:r>
              <w:rPr>
                <w:noProof/>
                <w:webHidden/>
              </w:rPr>
              <w:tab/>
            </w:r>
            <w:r>
              <w:rPr>
                <w:noProof/>
                <w:webHidden/>
              </w:rPr>
              <w:fldChar w:fldCharType="begin"/>
            </w:r>
            <w:r>
              <w:rPr>
                <w:noProof/>
                <w:webHidden/>
              </w:rPr>
              <w:instrText xml:space="preserve"> PAGEREF _Toc206677111 \h </w:instrText>
            </w:r>
            <w:r>
              <w:rPr>
                <w:noProof/>
                <w:webHidden/>
              </w:rPr>
            </w:r>
            <w:r>
              <w:rPr>
                <w:noProof/>
                <w:webHidden/>
              </w:rPr>
              <w:fldChar w:fldCharType="separate"/>
            </w:r>
            <w:r w:rsidR="00012132">
              <w:rPr>
                <w:noProof/>
                <w:webHidden/>
              </w:rPr>
              <w:t>12</w:t>
            </w:r>
            <w:r>
              <w:rPr>
                <w:noProof/>
                <w:webHidden/>
              </w:rPr>
              <w:fldChar w:fldCharType="end"/>
            </w:r>
          </w:hyperlink>
        </w:p>
        <w:p w14:paraId="21765E67" w14:textId="205A79C1"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2" w:history="1">
            <w:r w:rsidRPr="00BA57CE">
              <w:rPr>
                <w:rStyle w:val="Hyperlink"/>
                <w:noProof/>
              </w:rPr>
              <w:t>Efficacy</w:t>
            </w:r>
            <w:r>
              <w:rPr>
                <w:noProof/>
                <w:webHidden/>
              </w:rPr>
              <w:tab/>
            </w:r>
            <w:r>
              <w:rPr>
                <w:noProof/>
                <w:webHidden/>
              </w:rPr>
              <w:fldChar w:fldCharType="begin"/>
            </w:r>
            <w:r>
              <w:rPr>
                <w:noProof/>
                <w:webHidden/>
              </w:rPr>
              <w:instrText xml:space="preserve"> PAGEREF _Toc206677112 \h </w:instrText>
            </w:r>
            <w:r>
              <w:rPr>
                <w:noProof/>
                <w:webHidden/>
              </w:rPr>
            </w:r>
            <w:r>
              <w:rPr>
                <w:noProof/>
                <w:webHidden/>
              </w:rPr>
              <w:fldChar w:fldCharType="separate"/>
            </w:r>
            <w:r w:rsidR="00012132">
              <w:rPr>
                <w:noProof/>
                <w:webHidden/>
              </w:rPr>
              <w:t>14</w:t>
            </w:r>
            <w:r>
              <w:rPr>
                <w:noProof/>
                <w:webHidden/>
              </w:rPr>
              <w:fldChar w:fldCharType="end"/>
            </w:r>
          </w:hyperlink>
        </w:p>
        <w:p w14:paraId="55104EE3" w14:textId="24A6C393"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3" w:history="1">
            <w:r w:rsidRPr="00BA57CE">
              <w:rPr>
                <w:rStyle w:val="Hyperlink"/>
                <w:noProof/>
              </w:rPr>
              <w:t>Safety</w:t>
            </w:r>
            <w:r>
              <w:rPr>
                <w:noProof/>
                <w:webHidden/>
              </w:rPr>
              <w:tab/>
            </w:r>
            <w:r>
              <w:rPr>
                <w:noProof/>
                <w:webHidden/>
              </w:rPr>
              <w:fldChar w:fldCharType="begin"/>
            </w:r>
            <w:r>
              <w:rPr>
                <w:noProof/>
                <w:webHidden/>
              </w:rPr>
              <w:instrText xml:space="preserve"> PAGEREF _Toc206677113 \h </w:instrText>
            </w:r>
            <w:r>
              <w:rPr>
                <w:noProof/>
                <w:webHidden/>
              </w:rPr>
            </w:r>
            <w:r>
              <w:rPr>
                <w:noProof/>
                <w:webHidden/>
              </w:rPr>
              <w:fldChar w:fldCharType="separate"/>
            </w:r>
            <w:r w:rsidR="00012132">
              <w:rPr>
                <w:noProof/>
                <w:webHidden/>
              </w:rPr>
              <w:t>22</w:t>
            </w:r>
            <w:r>
              <w:rPr>
                <w:noProof/>
                <w:webHidden/>
              </w:rPr>
              <w:fldChar w:fldCharType="end"/>
            </w:r>
          </w:hyperlink>
        </w:p>
        <w:p w14:paraId="6DAF4084" w14:textId="041F8A71"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14" w:history="1">
            <w:r w:rsidRPr="00BA57CE">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_Toc206677114 \h </w:instrText>
            </w:r>
            <w:r>
              <w:rPr>
                <w:noProof/>
                <w:webHidden/>
              </w:rPr>
            </w:r>
            <w:r>
              <w:rPr>
                <w:noProof/>
                <w:webHidden/>
              </w:rPr>
              <w:fldChar w:fldCharType="separate"/>
            </w:r>
            <w:r w:rsidR="00012132">
              <w:rPr>
                <w:noProof/>
                <w:webHidden/>
              </w:rPr>
              <w:t>24</w:t>
            </w:r>
            <w:r>
              <w:rPr>
                <w:noProof/>
                <w:webHidden/>
              </w:rPr>
              <w:fldChar w:fldCharType="end"/>
            </w:r>
          </w:hyperlink>
        </w:p>
        <w:p w14:paraId="774AF0ED" w14:textId="594261EF" w:rsidR="00C3639D" w:rsidRDefault="00C3639D">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6677115" w:history="1">
            <w:r w:rsidRPr="00BA57CE">
              <w:rPr>
                <w:rStyle w:val="Hyperlink"/>
                <w:noProof/>
              </w:rPr>
              <w:t>Risk-benefit analysis</w:t>
            </w:r>
            <w:r>
              <w:rPr>
                <w:noProof/>
                <w:webHidden/>
              </w:rPr>
              <w:tab/>
            </w:r>
            <w:r>
              <w:rPr>
                <w:noProof/>
                <w:webHidden/>
              </w:rPr>
              <w:fldChar w:fldCharType="begin"/>
            </w:r>
            <w:r>
              <w:rPr>
                <w:noProof/>
                <w:webHidden/>
              </w:rPr>
              <w:instrText xml:space="preserve"> PAGEREF _Toc206677115 \h </w:instrText>
            </w:r>
            <w:r>
              <w:rPr>
                <w:noProof/>
                <w:webHidden/>
              </w:rPr>
            </w:r>
            <w:r>
              <w:rPr>
                <w:noProof/>
                <w:webHidden/>
              </w:rPr>
              <w:fldChar w:fldCharType="separate"/>
            </w:r>
            <w:r w:rsidR="00012132">
              <w:rPr>
                <w:noProof/>
                <w:webHidden/>
              </w:rPr>
              <w:t>24</w:t>
            </w:r>
            <w:r>
              <w:rPr>
                <w:noProof/>
                <w:webHidden/>
              </w:rPr>
              <w:fldChar w:fldCharType="end"/>
            </w:r>
          </w:hyperlink>
        </w:p>
        <w:p w14:paraId="1109A05F" w14:textId="2D381A7F"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6" w:history="1">
            <w:r w:rsidRPr="00BA57CE">
              <w:rPr>
                <w:rStyle w:val="Hyperlink"/>
                <w:noProof/>
              </w:rPr>
              <w:t>Advisory Committee considerations</w:t>
            </w:r>
            <w:r>
              <w:rPr>
                <w:noProof/>
                <w:webHidden/>
              </w:rPr>
              <w:tab/>
            </w:r>
            <w:r>
              <w:rPr>
                <w:noProof/>
                <w:webHidden/>
              </w:rPr>
              <w:fldChar w:fldCharType="begin"/>
            </w:r>
            <w:r>
              <w:rPr>
                <w:noProof/>
                <w:webHidden/>
              </w:rPr>
              <w:instrText xml:space="preserve"> PAGEREF _Toc206677116 \h </w:instrText>
            </w:r>
            <w:r>
              <w:rPr>
                <w:noProof/>
                <w:webHidden/>
              </w:rPr>
            </w:r>
            <w:r>
              <w:rPr>
                <w:noProof/>
                <w:webHidden/>
              </w:rPr>
              <w:fldChar w:fldCharType="separate"/>
            </w:r>
            <w:r w:rsidR="00012132">
              <w:rPr>
                <w:noProof/>
                <w:webHidden/>
              </w:rPr>
              <w:t>25</w:t>
            </w:r>
            <w:r>
              <w:rPr>
                <w:noProof/>
                <w:webHidden/>
              </w:rPr>
              <w:fldChar w:fldCharType="end"/>
            </w:r>
          </w:hyperlink>
        </w:p>
        <w:p w14:paraId="395A221F" w14:textId="022F3DB9" w:rsidR="00C3639D" w:rsidRDefault="00C3639D">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677117" w:history="1">
            <w:r w:rsidRPr="00BA57CE">
              <w:rPr>
                <w:rStyle w:val="Hyperlink"/>
                <w:noProof/>
              </w:rPr>
              <w:t>Assessment outcome</w:t>
            </w:r>
            <w:r>
              <w:rPr>
                <w:noProof/>
                <w:webHidden/>
              </w:rPr>
              <w:tab/>
            </w:r>
            <w:r>
              <w:rPr>
                <w:noProof/>
                <w:webHidden/>
              </w:rPr>
              <w:fldChar w:fldCharType="begin"/>
            </w:r>
            <w:r>
              <w:rPr>
                <w:noProof/>
                <w:webHidden/>
              </w:rPr>
              <w:instrText xml:space="preserve"> PAGEREF _Toc206677117 \h </w:instrText>
            </w:r>
            <w:r>
              <w:rPr>
                <w:noProof/>
                <w:webHidden/>
              </w:rPr>
            </w:r>
            <w:r>
              <w:rPr>
                <w:noProof/>
                <w:webHidden/>
              </w:rPr>
              <w:fldChar w:fldCharType="separate"/>
            </w:r>
            <w:r w:rsidR="00012132">
              <w:rPr>
                <w:noProof/>
                <w:webHidden/>
              </w:rPr>
              <w:t>26</w:t>
            </w:r>
            <w:r>
              <w:rPr>
                <w:noProof/>
                <w:webHidden/>
              </w:rPr>
              <w:fldChar w:fldCharType="end"/>
            </w:r>
          </w:hyperlink>
        </w:p>
        <w:p w14:paraId="51DBCF49" w14:textId="11DEB92F"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8" w:history="1">
            <w:r w:rsidRPr="00BA57CE">
              <w:rPr>
                <w:rStyle w:val="Hyperlink"/>
                <w:noProof/>
              </w:rPr>
              <w:t>Specific conditions of registration</w:t>
            </w:r>
            <w:r>
              <w:rPr>
                <w:noProof/>
                <w:webHidden/>
              </w:rPr>
              <w:tab/>
            </w:r>
            <w:r>
              <w:rPr>
                <w:noProof/>
                <w:webHidden/>
              </w:rPr>
              <w:fldChar w:fldCharType="begin"/>
            </w:r>
            <w:r>
              <w:rPr>
                <w:noProof/>
                <w:webHidden/>
              </w:rPr>
              <w:instrText xml:space="preserve"> PAGEREF _Toc206677118 \h </w:instrText>
            </w:r>
            <w:r>
              <w:rPr>
                <w:noProof/>
                <w:webHidden/>
              </w:rPr>
            </w:r>
            <w:r>
              <w:rPr>
                <w:noProof/>
                <w:webHidden/>
              </w:rPr>
              <w:fldChar w:fldCharType="separate"/>
            </w:r>
            <w:r w:rsidR="00012132">
              <w:rPr>
                <w:noProof/>
                <w:webHidden/>
              </w:rPr>
              <w:t>26</w:t>
            </w:r>
            <w:r>
              <w:rPr>
                <w:noProof/>
                <w:webHidden/>
              </w:rPr>
              <w:fldChar w:fldCharType="end"/>
            </w:r>
          </w:hyperlink>
        </w:p>
        <w:p w14:paraId="78ABFD0E" w14:textId="5EDC0409" w:rsidR="00C3639D" w:rsidRDefault="00C3639D">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6677119" w:history="1">
            <w:r w:rsidRPr="00BA57CE">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_Toc206677119 \h </w:instrText>
            </w:r>
            <w:r>
              <w:rPr>
                <w:noProof/>
                <w:webHidden/>
              </w:rPr>
            </w:r>
            <w:r>
              <w:rPr>
                <w:noProof/>
                <w:webHidden/>
              </w:rPr>
              <w:fldChar w:fldCharType="separate"/>
            </w:r>
            <w:r w:rsidR="00012132">
              <w:rPr>
                <w:noProof/>
                <w:webHidden/>
              </w:rPr>
              <w:t>27</w:t>
            </w:r>
            <w:r>
              <w:rPr>
                <w:noProof/>
                <w:webHidden/>
              </w:rPr>
              <w:fldChar w:fldCharType="end"/>
            </w:r>
          </w:hyperlink>
        </w:p>
        <w:p w14:paraId="77659F2D" w14:textId="7918049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0" w:name="_Toc98931917"/>
      <w:bookmarkStart w:id="1" w:name="_Toc103679287"/>
      <w:bookmarkStart w:id="2" w:name="_Toc206677101"/>
      <w:bookmarkStart w:id="3" w:name="_Toc323739589"/>
      <w:bookmarkStart w:id="4" w:name="_Toc356305216"/>
      <w:r>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45429C" w:rsidRPr="00D01DDB" w14:paraId="2DEDA9E8" w14:textId="77777777" w:rsidTr="0097522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5B0F4AEE" w14:textId="77777777" w:rsidR="0045429C" w:rsidRPr="00D01DDB" w:rsidRDefault="0045429C" w:rsidP="00975226">
            <w:pPr>
              <w:rPr>
                <w:szCs w:val="22"/>
              </w:rPr>
            </w:pPr>
            <w:r w:rsidRPr="00D01DDB">
              <w:rPr>
                <w:szCs w:val="22"/>
              </w:rPr>
              <w:t>Abbreviation</w:t>
            </w:r>
          </w:p>
        </w:tc>
        <w:tc>
          <w:tcPr>
            <w:tcW w:w="3800" w:type="pct"/>
          </w:tcPr>
          <w:p w14:paraId="74BA6626" w14:textId="77777777" w:rsidR="0045429C" w:rsidRPr="00D01DDB" w:rsidRDefault="0045429C" w:rsidP="00975226">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45429C" w:rsidRPr="00D01DDB" w14:paraId="06891FD4"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9BE48D" w14:textId="77777777" w:rsidR="0045429C" w:rsidRPr="00D01DDB" w:rsidRDefault="0045429C" w:rsidP="00975226">
            <w:pPr>
              <w:rPr>
                <w:szCs w:val="22"/>
              </w:rPr>
            </w:pPr>
            <w:r w:rsidRPr="00D01DDB">
              <w:rPr>
                <w:szCs w:val="22"/>
              </w:rPr>
              <w:t>ACM</w:t>
            </w:r>
          </w:p>
        </w:tc>
        <w:tc>
          <w:tcPr>
            <w:tcW w:w="3800" w:type="pct"/>
          </w:tcPr>
          <w:p w14:paraId="249BC2B3"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45429C" w:rsidRPr="00D01DDB" w14:paraId="582CFAE0"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96B07A" w14:textId="77777777" w:rsidR="0045429C" w:rsidRPr="00D01DDB" w:rsidRDefault="0045429C" w:rsidP="00975226">
            <w:pPr>
              <w:rPr>
                <w:szCs w:val="22"/>
              </w:rPr>
            </w:pPr>
            <w:r w:rsidRPr="00D01DDB">
              <w:rPr>
                <w:szCs w:val="22"/>
              </w:rPr>
              <w:t>ARTG</w:t>
            </w:r>
          </w:p>
        </w:tc>
        <w:tc>
          <w:tcPr>
            <w:tcW w:w="3800" w:type="pct"/>
          </w:tcPr>
          <w:p w14:paraId="10FD1576"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45429C" w:rsidRPr="00D01DDB" w14:paraId="2683A568"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A14741" w14:textId="77777777" w:rsidR="0045429C" w:rsidRPr="00D01DDB" w:rsidRDefault="0045429C" w:rsidP="00975226">
            <w:pPr>
              <w:rPr>
                <w:szCs w:val="22"/>
              </w:rPr>
            </w:pPr>
            <w:r>
              <w:rPr>
                <w:szCs w:val="22"/>
              </w:rPr>
              <w:t>AUC</w:t>
            </w:r>
          </w:p>
        </w:tc>
        <w:tc>
          <w:tcPr>
            <w:tcW w:w="3800" w:type="pct"/>
          </w:tcPr>
          <w:p w14:paraId="56376752"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area under the concentration-time curve </w:t>
            </w:r>
          </w:p>
        </w:tc>
      </w:tr>
      <w:tr w:rsidR="0045429C" w:rsidRPr="00D01DDB" w14:paraId="637F0A62"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6D60D9" w14:textId="77777777" w:rsidR="0045429C" w:rsidRDefault="0045429C" w:rsidP="00975226">
            <w:pPr>
              <w:rPr>
                <w:szCs w:val="22"/>
              </w:rPr>
            </w:pPr>
            <w:r w:rsidRPr="005B72A8">
              <w:t>EMA</w:t>
            </w:r>
          </w:p>
        </w:tc>
        <w:tc>
          <w:tcPr>
            <w:tcW w:w="3800" w:type="pct"/>
          </w:tcPr>
          <w:p w14:paraId="3629250C" w14:textId="77777777" w:rsidR="0045429C"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sidRPr="005B72A8">
              <w:t>European Medicines Agency</w:t>
            </w:r>
          </w:p>
        </w:tc>
      </w:tr>
      <w:tr w:rsidR="0045429C" w:rsidRPr="00D01DDB" w14:paraId="60D7F4EC"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BE4751" w14:textId="77777777" w:rsidR="0045429C" w:rsidRDefault="0045429C" w:rsidP="00975226">
            <w:pPr>
              <w:rPr>
                <w:szCs w:val="22"/>
              </w:rPr>
            </w:pPr>
            <w:r w:rsidRPr="00C45B29">
              <w:t xml:space="preserve">GBCA </w:t>
            </w:r>
          </w:p>
        </w:tc>
        <w:tc>
          <w:tcPr>
            <w:tcW w:w="3800" w:type="pct"/>
          </w:tcPr>
          <w:p w14:paraId="6DC2AF9C" w14:textId="77777777" w:rsidR="0045429C" w:rsidRPr="000F6D53"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t>g</w:t>
            </w:r>
            <w:r w:rsidRPr="00C45B29">
              <w:t>adolinium-based contrast agents</w:t>
            </w:r>
          </w:p>
        </w:tc>
      </w:tr>
      <w:tr w:rsidR="0045429C" w:rsidRPr="00D01DDB" w14:paraId="0EFECBB5"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DBE84F" w14:textId="77777777" w:rsidR="0045429C" w:rsidRPr="00C45B29" w:rsidRDefault="0045429C" w:rsidP="00975226">
            <w:r w:rsidRPr="00862BBB">
              <w:rPr>
                <w:szCs w:val="22"/>
              </w:rPr>
              <w:t>MRI</w:t>
            </w:r>
          </w:p>
        </w:tc>
        <w:tc>
          <w:tcPr>
            <w:tcW w:w="3800" w:type="pct"/>
          </w:tcPr>
          <w:p w14:paraId="2A6C1217" w14:textId="77777777" w:rsidR="0045429C" w:rsidRPr="00C45B29" w:rsidRDefault="0045429C" w:rsidP="00975226">
            <w:pPr>
              <w:cnfStyle w:val="000000000000" w:firstRow="0" w:lastRow="0" w:firstColumn="0" w:lastColumn="0" w:oddVBand="0" w:evenVBand="0" w:oddHBand="0" w:evenHBand="0" w:firstRowFirstColumn="0" w:firstRowLastColumn="0" w:lastRowFirstColumn="0" w:lastRowLastColumn="0"/>
            </w:pPr>
            <w:r w:rsidRPr="00862BBB">
              <w:rPr>
                <w:szCs w:val="22"/>
              </w:rPr>
              <w:t>magnetic resonance imaging</w:t>
            </w:r>
          </w:p>
        </w:tc>
      </w:tr>
      <w:tr w:rsidR="0045429C" w:rsidRPr="00D01DDB" w14:paraId="4DF89E30"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D99FF1" w14:textId="77777777" w:rsidR="0045429C" w:rsidRPr="00C45B29" w:rsidRDefault="0045429C" w:rsidP="00975226">
            <w:r w:rsidRPr="0084026F">
              <w:t>NSF</w:t>
            </w:r>
          </w:p>
        </w:tc>
        <w:tc>
          <w:tcPr>
            <w:tcW w:w="3800" w:type="pct"/>
          </w:tcPr>
          <w:p w14:paraId="3AD9BB70" w14:textId="77777777" w:rsidR="0045429C" w:rsidRPr="00C45B29" w:rsidRDefault="0045429C" w:rsidP="00975226">
            <w:pPr>
              <w:cnfStyle w:val="000000000000" w:firstRow="0" w:lastRow="0" w:firstColumn="0" w:lastColumn="0" w:oddVBand="0" w:evenVBand="0" w:oddHBand="0" w:evenHBand="0" w:firstRowFirstColumn="0" w:firstRowLastColumn="0" w:lastRowFirstColumn="0" w:lastRowLastColumn="0"/>
            </w:pPr>
            <w:r>
              <w:t>n</w:t>
            </w:r>
            <w:r w:rsidRPr="0084026F">
              <w:t>ephrogenic systemic fibrosis</w:t>
            </w:r>
          </w:p>
        </w:tc>
      </w:tr>
      <w:tr w:rsidR="0045429C" w:rsidRPr="00D01DDB" w14:paraId="015F7D82"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D983DC" w14:textId="77777777" w:rsidR="0045429C" w:rsidRPr="00D01DDB" w:rsidRDefault="0045429C" w:rsidP="00975226">
            <w:pPr>
              <w:rPr>
                <w:szCs w:val="22"/>
              </w:rPr>
            </w:pPr>
            <w:r w:rsidRPr="005F29C6">
              <w:t>PD</w:t>
            </w:r>
          </w:p>
        </w:tc>
        <w:tc>
          <w:tcPr>
            <w:tcW w:w="3800" w:type="pct"/>
          </w:tcPr>
          <w:p w14:paraId="14A46265"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t>p</w:t>
            </w:r>
            <w:r w:rsidRPr="005F29C6">
              <w:t>harmacodynamic</w:t>
            </w:r>
            <w:r>
              <w:t>(s)</w:t>
            </w:r>
          </w:p>
        </w:tc>
      </w:tr>
      <w:tr w:rsidR="0045429C" w:rsidRPr="00D01DDB" w14:paraId="2F2CD3FF"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5E9C46" w14:textId="77777777" w:rsidR="0045429C" w:rsidRPr="00D01DDB" w:rsidRDefault="0045429C" w:rsidP="00975226">
            <w:pPr>
              <w:rPr>
                <w:szCs w:val="22"/>
              </w:rPr>
            </w:pPr>
            <w:r w:rsidRPr="00D01DDB">
              <w:rPr>
                <w:szCs w:val="22"/>
              </w:rPr>
              <w:t>PI</w:t>
            </w:r>
          </w:p>
        </w:tc>
        <w:tc>
          <w:tcPr>
            <w:tcW w:w="3800" w:type="pct"/>
          </w:tcPr>
          <w:p w14:paraId="139DFE2E"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D01DDB">
              <w:rPr>
                <w:szCs w:val="22"/>
              </w:rPr>
              <w:t xml:space="preserve">roduct </w:t>
            </w:r>
            <w:r>
              <w:rPr>
                <w:szCs w:val="22"/>
              </w:rPr>
              <w:t>i</w:t>
            </w:r>
            <w:r w:rsidRPr="00D01DDB">
              <w:rPr>
                <w:szCs w:val="22"/>
              </w:rPr>
              <w:t>nformation</w:t>
            </w:r>
          </w:p>
        </w:tc>
      </w:tr>
      <w:tr w:rsidR="0045429C" w:rsidRPr="00D01DDB" w14:paraId="70A876F5"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CDBAB2" w14:textId="77777777" w:rsidR="0045429C" w:rsidRPr="00D01DDB" w:rsidRDefault="0045429C" w:rsidP="00975226">
            <w:pPr>
              <w:rPr>
                <w:szCs w:val="22"/>
              </w:rPr>
            </w:pPr>
            <w:r w:rsidRPr="005517F3">
              <w:t>PK</w:t>
            </w:r>
          </w:p>
        </w:tc>
        <w:tc>
          <w:tcPr>
            <w:tcW w:w="3800" w:type="pct"/>
          </w:tcPr>
          <w:p w14:paraId="20802F6F"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t>p</w:t>
            </w:r>
            <w:r w:rsidRPr="005517F3">
              <w:t>harmacokinetic</w:t>
            </w:r>
            <w:r>
              <w:t>(s)</w:t>
            </w:r>
          </w:p>
        </w:tc>
      </w:tr>
      <w:tr w:rsidR="0045429C" w:rsidRPr="00D01DDB" w14:paraId="07A885CD"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E899B5" w14:textId="77777777" w:rsidR="0045429C" w:rsidRPr="00D01DDB" w:rsidRDefault="0045429C" w:rsidP="00975226">
            <w:pPr>
              <w:rPr>
                <w:szCs w:val="22"/>
              </w:rPr>
            </w:pPr>
            <w:r w:rsidRPr="00D01DDB">
              <w:rPr>
                <w:szCs w:val="22"/>
              </w:rPr>
              <w:t>RMP</w:t>
            </w:r>
          </w:p>
        </w:tc>
        <w:tc>
          <w:tcPr>
            <w:tcW w:w="3800" w:type="pct"/>
          </w:tcPr>
          <w:p w14:paraId="3B5D5C3E"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Pr>
                <w:szCs w:val="22"/>
              </w:rPr>
              <w:t>r</w:t>
            </w:r>
            <w:r w:rsidRPr="00D01DDB">
              <w:rPr>
                <w:szCs w:val="22"/>
              </w:rPr>
              <w:t>isk management plan</w:t>
            </w:r>
          </w:p>
        </w:tc>
      </w:tr>
      <w:tr w:rsidR="0045429C" w:rsidRPr="00D01DDB" w14:paraId="34DF88D4" w14:textId="77777777" w:rsidTr="00975226">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21C3B1" w14:textId="77777777" w:rsidR="0045429C" w:rsidRPr="00D01DDB" w:rsidRDefault="0045429C" w:rsidP="00975226">
            <w:pPr>
              <w:rPr>
                <w:szCs w:val="22"/>
              </w:rPr>
            </w:pPr>
            <w:r w:rsidRPr="00D01DDB">
              <w:rPr>
                <w:szCs w:val="22"/>
              </w:rPr>
              <w:t>TGA</w:t>
            </w:r>
          </w:p>
        </w:tc>
        <w:tc>
          <w:tcPr>
            <w:tcW w:w="3800" w:type="pct"/>
          </w:tcPr>
          <w:p w14:paraId="155D3C50" w14:textId="77777777" w:rsidR="0045429C" w:rsidRPr="00D01DDB" w:rsidRDefault="0045429C" w:rsidP="00975226">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0007D679" w:rsidR="00324B33" w:rsidRDefault="00C9665E" w:rsidP="00324B33">
      <w:pPr>
        <w:pStyle w:val="Heading2"/>
      </w:pPr>
      <w:bookmarkStart w:id="5" w:name="_Toc206677102"/>
      <w:r>
        <w:lastRenderedPageBreak/>
        <w:t>Elucirem</w:t>
      </w:r>
      <w:r w:rsidR="00F42C3A" w:rsidRPr="00F42C3A">
        <w:t xml:space="preserve"> </w:t>
      </w:r>
      <w:r w:rsidR="00F42C3A">
        <w:t xml:space="preserve">/ </w:t>
      </w:r>
      <w:r>
        <w:t>Vueway</w:t>
      </w:r>
      <w:r w:rsidR="00F42C3A" w:rsidRPr="00F42C3A">
        <w:t xml:space="preserve"> </w:t>
      </w:r>
      <w:r w:rsidR="001B5CA6" w:rsidRPr="001B5CA6">
        <w:t>(</w:t>
      </w:r>
      <w:r w:rsidR="00795553">
        <w:t>g</w:t>
      </w:r>
      <w:r w:rsidR="00795553" w:rsidRPr="00795553">
        <w:t>adopicl</w:t>
      </w:r>
      <w:r w:rsidR="00A0048C">
        <w:t>e</w:t>
      </w:r>
      <w:r w:rsidR="00795553" w:rsidRPr="00795553">
        <w:t>nol</w:t>
      </w:r>
      <w:r w:rsidR="001B5CA6" w:rsidRPr="001B5CA6">
        <w:t>) submission</w:t>
      </w:r>
      <w:bookmarkEnd w:id="5"/>
    </w:p>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rsidP="00AB4EC2">
            <w:pPr>
              <w:rPr>
                <w:i/>
                <w:szCs w:val="22"/>
              </w:rPr>
            </w:pPr>
            <w:r w:rsidRPr="00BD5DBD">
              <w:rPr>
                <w:i/>
                <w:szCs w:val="22"/>
              </w:rPr>
              <w:t>Type of submission:</w:t>
            </w:r>
          </w:p>
        </w:tc>
        <w:tc>
          <w:tcPr>
            <w:tcW w:w="3422" w:type="pct"/>
          </w:tcPr>
          <w:p w14:paraId="7655CDA7" w14:textId="502893A1" w:rsidR="004C5054" w:rsidRPr="00BD5DBD" w:rsidRDefault="004C5054" w:rsidP="00AB4EC2">
            <w:pPr>
              <w:rPr>
                <w:szCs w:val="22"/>
              </w:rPr>
            </w:pPr>
            <w:r w:rsidRPr="00BD5DBD">
              <w:rPr>
                <w:szCs w:val="22"/>
              </w:rPr>
              <w:t>New chemical</w:t>
            </w:r>
            <w:r>
              <w:rPr>
                <w:szCs w:val="22"/>
              </w:rPr>
              <w:t xml:space="preserve"> </w:t>
            </w:r>
            <w:r w:rsidRPr="00BD5DBD">
              <w:rPr>
                <w:szCs w:val="22"/>
              </w:rPr>
              <w:t xml:space="preserve">entity </w:t>
            </w:r>
          </w:p>
        </w:tc>
      </w:tr>
      <w:tr w:rsidR="004C5054" w:rsidRPr="00BD5DBD" w14:paraId="6D006681" w14:textId="77777777" w:rsidTr="004C5054">
        <w:tc>
          <w:tcPr>
            <w:tcW w:w="1578" w:type="pct"/>
          </w:tcPr>
          <w:p w14:paraId="4E97026B" w14:textId="2FC76B24" w:rsidR="004C5054" w:rsidRPr="00BD5DBD" w:rsidRDefault="004C5054" w:rsidP="00AB4EC2">
            <w:pPr>
              <w:rPr>
                <w:i/>
                <w:szCs w:val="22"/>
              </w:rPr>
            </w:pPr>
            <w:r w:rsidRPr="00BD5DBD">
              <w:rPr>
                <w:i/>
                <w:szCs w:val="22"/>
              </w:rPr>
              <w:t>Product name</w:t>
            </w:r>
            <w:r w:rsidR="00825A0A">
              <w:rPr>
                <w:i/>
                <w:szCs w:val="22"/>
              </w:rPr>
              <w:t>:</w:t>
            </w:r>
          </w:p>
        </w:tc>
        <w:tc>
          <w:tcPr>
            <w:tcW w:w="3422" w:type="pct"/>
          </w:tcPr>
          <w:p w14:paraId="12449B24" w14:textId="03C3079A" w:rsidR="004C5054" w:rsidRPr="00BD5DBD" w:rsidRDefault="00C9665E" w:rsidP="00AB4EC2">
            <w:pPr>
              <w:rPr>
                <w:szCs w:val="22"/>
              </w:rPr>
            </w:pPr>
            <w:r>
              <w:rPr>
                <w:szCs w:val="22"/>
              </w:rPr>
              <w:t>Elucirem</w:t>
            </w:r>
            <w:r w:rsidR="00825A0A" w:rsidRPr="00825A0A">
              <w:rPr>
                <w:szCs w:val="22"/>
              </w:rPr>
              <w:t xml:space="preserve"> / </w:t>
            </w:r>
            <w:r>
              <w:rPr>
                <w:szCs w:val="22"/>
              </w:rPr>
              <w:t>Vueway</w:t>
            </w:r>
          </w:p>
        </w:tc>
      </w:tr>
      <w:tr w:rsidR="004C5054" w:rsidRPr="00BD5DBD" w14:paraId="1BF3CE8A" w14:textId="77777777" w:rsidTr="004C5054">
        <w:tc>
          <w:tcPr>
            <w:tcW w:w="1578" w:type="pct"/>
          </w:tcPr>
          <w:p w14:paraId="43694612" w14:textId="4A5C4790" w:rsidR="004C5054" w:rsidRPr="00BD5DBD" w:rsidRDefault="004C5054" w:rsidP="00AB4EC2">
            <w:pPr>
              <w:rPr>
                <w:i/>
                <w:szCs w:val="22"/>
              </w:rPr>
            </w:pPr>
            <w:r w:rsidRPr="00BD5DBD">
              <w:rPr>
                <w:i/>
                <w:szCs w:val="22"/>
              </w:rPr>
              <w:t>Active ingredient:</w:t>
            </w:r>
          </w:p>
        </w:tc>
        <w:tc>
          <w:tcPr>
            <w:tcW w:w="3422" w:type="pct"/>
          </w:tcPr>
          <w:p w14:paraId="38B1E6E6" w14:textId="46E8F965" w:rsidR="004C5054" w:rsidRPr="00BD5DBD" w:rsidRDefault="00A0048C" w:rsidP="00AB4EC2">
            <w:pPr>
              <w:rPr>
                <w:szCs w:val="22"/>
              </w:rPr>
            </w:pPr>
            <w:r w:rsidRPr="00825A0A">
              <w:rPr>
                <w:szCs w:val="22"/>
              </w:rPr>
              <w:t>gadopiclenol</w:t>
            </w:r>
          </w:p>
        </w:tc>
      </w:tr>
      <w:tr w:rsidR="004C5054" w:rsidRPr="00BD5DBD" w14:paraId="5EA402F3" w14:textId="77777777" w:rsidTr="004C5054">
        <w:tc>
          <w:tcPr>
            <w:tcW w:w="1578" w:type="pct"/>
          </w:tcPr>
          <w:p w14:paraId="73473475" w14:textId="77777777" w:rsidR="004C5054" w:rsidRPr="00BD5DBD" w:rsidRDefault="004C5054" w:rsidP="00AB4EC2">
            <w:pPr>
              <w:rPr>
                <w:i/>
                <w:szCs w:val="22"/>
              </w:rPr>
            </w:pPr>
            <w:r w:rsidRPr="00BD5DBD">
              <w:rPr>
                <w:i/>
                <w:szCs w:val="22"/>
              </w:rPr>
              <w:t>Decision:</w:t>
            </w:r>
          </w:p>
        </w:tc>
        <w:tc>
          <w:tcPr>
            <w:tcW w:w="3422" w:type="pct"/>
          </w:tcPr>
          <w:p w14:paraId="0DB472C7" w14:textId="742A25C8" w:rsidR="004C5054" w:rsidRPr="00BD5DBD" w:rsidRDefault="004C5054" w:rsidP="00AB4EC2">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sidP="00AB4EC2">
            <w:r w:rsidRPr="00BD5DBD">
              <w:rPr>
                <w:i/>
                <w:szCs w:val="22"/>
              </w:rPr>
              <w:t>Date of decision:</w:t>
            </w:r>
          </w:p>
        </w:tc>
        <w:tc>
          <w:tcPr>
            <w:tcW w:w="3422" w:type="pct"/>
          </w:tcPr>
          <w:p w14:paraId="2FF52390" w14:textId="3E269F9A" w:rsidR="004C5054" w:rsidRPr="00BD5DBD" w:rsidRDefault="007D0376" w:rsidP="00AB4EC2">
            <w:pPr>
              <w:rPr>
                <w:szCs w:val="22"/>
              </w:rPr>
            </w:pPr>
            <w:r w:rsidRPr="007D0376">
              <w:rPr>
                <w:szCs w:val="22"/>
              </w:rPr>
              <w:t>15 April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7D52C18E" w14:textId="7144FBA5" w:rsidR="000C4E28" w:rsidRPr="000C4E28" w:rsidRDefault="00C9665E" w:rsidP="000C4E28">
            <w:pPr>
              <w:rPr>
                <w:szCs w:val="22"/>
              </w:rPr>
            </w:pPr>
            <w:r>
              <w:rPr>
                <w:szCs w:val="22"/>
              </w:rPr>
              <w:t>Elucirem</w:t>
            </w:r>
            <w:r w:rsidR="000C4E28" w:rsidRPr="000C4E28">
              <w:rPr>
                <w:szCs w:val="22"/>
              </w:rPr>
              <w:t>/</w:t>
            </w:r>
            <w:r>
              <w:rPr>
                <w:szCs w:val="22"/>
              </w:rPr>
              <w:t>Vueway</w:t>
            </w:r>
            <w:r w:rsidR="000C4E28" w:rsidRPr="000C4E28">
              <w:rPr>
                <w:szCs w:val="22"/>
              </w:rPr>
              <w:t xml:space="preserve"> (gadopiclenol) is indicated in adults and children aged 2 years and older for contrast-enhanced magnetic resonance imaging (MRI) to detect and visualise lesions with abnormal blood brain barrier or abnormal vascularity in:</w:t>
            </w:r>
          </w:p>
          <w:p w14:paraId="6AD87220" w14:textId="279FFE4A" w:rsidR="000C4E28" w:rsidRPr="000C4E28" w:rsidRDefault="000C4E28" w:rsidP="000C4E28">
            <w:pPr>
              <w:pStyle w:val="ListBullet"/>
            </w:pPr>
            <w:r w:rsidRPr="000C4E28">
              <w:t>the central nervous system (brain, spine, and associated tissues);</w:t>
            </w:r>
          </w:p>
          <w:p w14:paraId="17539975" w14:textId="3B439B0A" w:rsidR="004C5054" w:rsidRPr="00BD5DBD" w:rsidRDefault="000C4E28" w:rsidP="000C4E28">
            <w:pPr>
              <w:pStyle w:val="ListBullet"/>
            </w:pPr>
            <w:r w:rsidRPr="000C4E28">
              <w:t>the body (head and neck, thorax, abdomen, pelvis and musculoskeletal system).</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042864FB" w:rsidR="004C5054" w:rsidRPr="00BD5DBD" w:rsidRDefault="006E2E0F" w:rsidP="004C5054">
            <w:pPr>
              <w:rPr>
                <w:szCs w:val="22"/>
              </w:rPr>
            </w:pPr>
            <w:r w:rsidRPr="006E2E0F">
              <w:rPr>
                <w:szCs w:val="22"/>
              </w:rPr>
              <w:t>22 April 2025</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6878A335" w14:textId="336B4940" w:rsidR="00123B5E" w:rsidRPr="00123B5E" w:rsidRDefault="00123B5E" w:rsidP="00123B5E">
            <w:pPr>
              <w:rPr>
                <w:szCs w:val="22"/>
              </w:rPr>
            </w:pPr>
            <w:r w:rsidRPr="00123B5E">
              <w:rPr>
                <w:szCs w:val="22"/>
              </w:rPr>
              <w:t xml:space="preserve">441270 - </w:t>
            </w:r>
            <w:r w:rsidR="00C9665E">
              <w:rPr>
                <w:szCs w:val="22"/>
              </w:rPr>
              <w:t>Elucirem</w:t>
            </w:r>
            <w:r w:rsidRPr="00123B5E">
              <w:rPr>
                <w:szCs w:val="22"/>
              </w:rPr>
              <w:t xml:space="preserve"> gadopiclenol 1.46 mg/3 mL injection solution vial</w:t>
            </w:r>
          </w:p>
          <w:p w14:paraId="771A1905" w14:textId="51FC2394" w:rsidR="00123B5E" w:rsidRPr="00123B5E" w:rsidRDefault="00123B5E" w:rsidP="00123B5E">
            <w:pPr>
              <w:rPr>
                <w:szCs w:val="22"/>
              </w:rPr>
            </w:pPr>
            <w:r w:rsidRPr="00123B5E">
              <w:rPr>
                <w:szCs w:val="22"/>
              </w:rPr>
              <w:t xml:space="preserve">444259 - </w:t>
            </w:r>
            <w:r w:rsidR="00C9665E">
              <w:rPr>
                <w:szCs w:val="22"/>
              </w:rPr>
              <w:t>Elucirem</w:t>
            </w:r>
            <w:r w:rsidRPr="00123B5E">
              <w:rPr>
                <w:szCs w:val="22"/>
              </w:rPr>
              <w:t xml:space="preserve"> gadopiclenol 3.64 mg/7.5 mL injection solution vial</w:t>
            </w:r>
          </w:p>
          <w:p w14:paraId="3F3EBCD1" w14:textId="4D4E3F9E" w:rsidR="00123B5E" w:rsidRPr="00123B5E" w:rsidRDefault="00123B5E" w:rsidP="00123B5E">
            <w:pPr>
              <w:rPr>
                <w:szCs w:val="22"/>
              </w:rPr>
            </w:pPr>
            <w:r w:rsidRPr="00123B5E">
              <w:rPr>
                <w:szCs w:val="22"/>
              </w:rPr>
              <w:t xml:space="preserve">444260 - </w:t>
            </w:r>
            <w:r w:rsidR="00C9665E">
              <w:rPr>
                <w:szCs w:val="22"/>
              </w:rPr>
              <w:t>Elucirem</w:t>
            </w:r>
            <w:r w:rsidRPr="00123B5E">
              <w:rPr>
                <w:szCs w:val="22"/>
              </w:rPr>
              <w:t xml:space="preserve"> gadopiclenol 4.85 mg/10 mL injection solution vial</w:t>
            </w:r>
          </w:p>
          <w:p w14:paraId="64DE7C42" w14:textId="59D0896B" w:rsidR="00123B5E" w:rsidRPr="00123B5E" w:rsidRDefault="00123B5E" w:rsidP="00123B5E">
            <w:pPr>
              <w:rPr>
                <w:szCs w:val="22"/>
              </w:rPr>
            </w:pPr>
            <w:r w:rsidRPr="00123B5E">
              <w:rPr>
                <w:szCs w:val="22"/>
              </w:rPr>
              <w:t xml:space="preserve">444261 - </w:t>
            </w:r>
            <w:r w:rsidR="00C9665E">
              <w:rPr>
                <w:szCs w:val="22"/>
              </w:rPr>
              <w:t>Elucirem</w:t>
            </w:r>
            <w:r w:rsidRPr="00123B5E">
              <w:rPr>
                <w:szCs w:val="22"/>
              </w:rPr>
              <w:t xml:space="preserve"> gadopiclenol 14.56 mg/30 mL injection solution vial</w:t>
            </w:r>
          </w:p>
          <w:p w14:paraId="4651E41E" w14:textId="72825B36" w:rsidR="00123B5E" w:rsidRPr="00123B5E" w:rsidRDefault="00123B5E" w:rsidP="00123B5E">
            <w:pPr>
              <w:rPr>
                <w:szCs w:val="22"/>
              </w:rPr>
            </w:pPr>
            <w:r w:rsidRPr="00123B5E">
              <w:rPr>
                <w:szCs w:val="22"/>
              </w:rPr>
              <w:t xml:space="preserve">444262 - </w:t>
            </w:r>
            <w:r w:rsidR="00C9665E">
              <w:rPr>
                <w:szCs w:val="22"/>
              </w:rPr>
              <w:t>Elucirem</w:t>
            </w:r>
            <w:r w:rsidRPr="00123B5E">
              <w:rPr>
                <w:szCs w:val="22"/>
              </w:rPr>
              <w:t xml:space="preserve"> gadopiclenol 24.26 mg/50 mL injection solution vial</w:t>
            </w:r>
          </w:p>
          <w:p w14:paraId="4EA91B34" w14:textId="1E749047" w:rsidR="00123B5E" w:rsidRPr="00123B5E" w:rsidRDefault="00123B5E" w:rsidP="00123B5E">
            <w:pPr>
              <w:rPr>
                <w:szCs w:val="22"/>
              </w:rPr>
            </w:pPr>
            <w:r w:rsidRPr="00123B5E">
              <w:rPr>
                <w:szCs w:val="22"/>
              </w:rPr>
              <w:t xml:space="preserve">444263 - </w:t>
            </w:r>
            <w:r w:rsidR="00C9665E">
              <w:rPr>
                <w:szCs w:val="22"/>
              </w:rPr>
              <w:t>Elucirem</w:t>
            </w:r>
            <w:r w:rsidRPr="00123B5E">
              <w:rPr>
                <w:szCs w:val="22"/>
              </w:rPr>
              <w:t xml:space="preserve"> gadopiclenol 48.1 mg/100 mL injection solution vial</w:t>
            </w:r>
          </w:p>
          <w:p w14:paraId="48857E98" w14:textId="2EE72FB6" w:rsidR="00123B5E" w:rsidRPr="00123B5E" w:rsidRDefault="00123B5E" w:rsidP="00123B5E">
            <w:pPr>
              <w:rPr>
                <w:szCs w:val="22"/>
              </w:rPr>
            </w:pPr>
            <w:r w:rsidRPr="00123B5E">
              <w:rPr>
                <w:szCs w:val="22"/>
              </w:rPr>
              <w:t xml:space="preserve">444264 - </w:t>
            </w:r>
            <w:r w:rsidR="00C9665E">
              <w:rPr>
                <w:szCs w:val="22"/>
              </w:rPr>
              <w:t>Vueway</w:t>
            </w:r>
            <w:r w:rsidRPr="00123B5E">
              <w:rPr>
                <w:szCs w:val="22"/>
              </w:rPr>
              <w:t xml:space="preserve"> gadopiclenol 1.46 mg/3 mL injection solution vial</w:t>
            </w:r>
          </w:p>
          <w:p w14:paraId="44566BDA" w14:textId="7F7EB3B5" w:rsidR="00123B5E" w:rsidRPr="00123B5E" w:rsidRDefault="00123B5E" w:rsidP="00123B5E">
            <w:pPr>
              <w:rPr>
                <w:szCs w:val="22"/>
              </w:rPr>
            </w:pPr>
            <w:r w:rsidRPr="00123B5E">
              <w:rPr>
                <w:szCs w:val="22"/>
              </w:rPr>
              <w:t xml:space="preserve">444265 - </w:t>
            </w:r>
            <w:r w:rsidR="00C9665E">
              <w:rPr>
                <w:szCs w:val="22"/>
              </w:rPr>
              <w:t>Vueway</w:t>
            </w:r>
            <w:r w:rsidRPr="00123B5E">
              <w:rPr>
                <w:szCs w:val="22"/>
              </w:rPr>
              <w:t xml:space="preserve"> gadopiclenol 3.64 mg/7.5 mL injection solution vial</w:t>
            </w:r>
          </w:p>
          <w:p w14:paraId="427473D8" w14:textId="1E25E095" w:rsidR="00123B5E" w:rsidRPr="00123B5E" w:rsidRDefault="00123B5E" w:rsidP="00123B5E">
            <w:pPr>
              <w:rPr>
                <w:szCs w:val="22"/>
              </w:rPr>
            </w:pPr>
            <w:r w:rsidRPr="00123B5E">
              <w:rPr>
                <w:szCs w:val="22"/>
              </w:rPr>
              <w:t xml:space="preserve">444266 - </w:t>
            </w:r>
            <w:r w:rsidR="00C9665E">
              <w:rPr>
                <w:szCs w:val="22"/>
              </w:rPr>
              <w:t>Vueway</w:t>
            </w:r>
            <w:r w:rsidRPr="00123B5E">
              <w:rPr>
                <w:szCs w:val="22"/>
              </w:rPr>
              <w:t xml:space="preserve"> gadopiclenol 4.85 mg/10 mL injection solution vial</w:t>
            </w:r>
          </w:p>
          <w:p w14:paraId="088D03A8" w14:textId="6DF000DD" w:rsidR="00123B5E" w:rsidRPr="00123B5E" w:rsidRDefault="00123B5E" w:rsidP="00123B5E">
            <w:pPr>
              <w:rPr>
                <w:szCs w:val="22"/>
              </w:rPr>
            </w:pPr>
            <w:r w:rsidRPr="00123B5E">
              <w:rPr>
                <w:szCs w:val="22"/>
              </w:rPr>
              <w:t xml:space="preserve">444267 - </w:t>
            </w:r>
            <w:r w:rsidR="00C9665E">
              <w:rPr>
                <w:szCs w:val="22"/>
              </w:rPr>
              <w:t>Vueway</w:t>
            </w:r>
            <w:r w:rsidRPr="00123B5E">
              <w:rPr>
                <w:szCs w:val="22"/>
              </w:rPr>
              <w:t xml:space="preserve"> gadopiclenol 14.56 mg/30 mL injection solution vial</w:t>
            </w:r>
          </w:p>
          <w:p w14:paraId="24D203DF" w14:textId="5293EC4D" w:rsidR="00123B5E" w:rsidRPr="00123B5E" w:rsidRDefault="00123B5E" w:rsidP="00123B5E">
            <w:pPr>
              <w:rPr>
                <w:szCs w:val="22"/>
              </w:rPr>
            </w:pPr>
            <w:r w:rsidRPr="00123B5E">
              <w:rPr>
                <w:szCs w:val="22"/>
              </w:rPr>
              <w:t xml:space="preserve">444268 - </w:t>
            </w:r>
            <w:r w:rsidR="00C9665E">
              <w:rPr>
                <w:szCs w:val="22"/>
              </w:rPr>
              <w:t>Vueway</w:t>
            </w:r>
            <w:r w:rsidRPr="00123B5E">
              <w:rPr>
                <w:szCs w:val="22"/>
              </w:rPr>
              <w:t xml:space="preserve"> gadopiclenol 24.26 mg/50 mL injection solution vial</w:t>
            </w:r>
          </w:p>
          <w:p w14:paraId="27EB5290" w14:textId="30BB6481" w:rsidR="00123B5E" w:rsidRPr="00123B5E" w:rsidRDefault="00123B5E" w:rsidP="00123B5E">
            <w:pPr>
              <w:rPr>
                <w:szCs w:val="22"/>
              </w:rPr>
            </w:pPr>
            <w:r w:rsidRPr="00123B5E">
              <w:rPr>
                <w:szCs w:val="22"/>
              </w:rPr>
              <w:t xml:space="preserve">444269 - </w:t>
            </w:r>
            <w:r w:rsidR="00C9665E">
              <w:rPr>
                <w:szCs w:val="22"/>
              </w:rPr>
              <w:t>Vueway</w:t>
            </w:r>
            <w:r w:rsidRPr="00123B5E">
              <w:rPr>
                <w:szCs w:val="22"/>
              </w:rPr>
              <w:t xml:space="preserve"> gadopiclenol 48.1 mg/100 mL injection solution vial</w:t>
            </w:r>
          </w:p>
          <w:p w14:paraId="09CB1BE8" w14:textId="557B43C2" w:rsidR="00123B5E" w:rsidRPr="00123B5E" w:rsidRDefault="00123B5E" w:rsidP="00123B5E">
            <w:pPr>
              <w:rPr>
                <w:szCs w:val="22"/>
              </w:rPr>
            </w:pPr>
            <w:r w:rsidRPr="00123B5E">
              <w:rPr>
                <w:szCs w:val="22"/>
              </w:rPr>
              <w:lastRenderedPageBreak/>
              <w:t xml:space="preserve">444270 - </w:t>
            </w:r>
            <w:r w:rsidR="00C9665E">
              <w:rPr>
                <w:szCs w:val="22"/>
              </w:rPr>
              <w:t>Elucirem</w:t>
            </w:r>
            <w:r w:rsidRPr="00123B5E">
              <w:rPr>
                <w:szCs w:val="22"/>
              </w:rPr>
              <w:t xml:space="preserve"> gadopiclenol 3.64 mg/7.5 mL injection solution prefilled syringe</w:t>
            </w:r>
          </w:p>
          <w:p w14:paraId="4FFA5298" w14:textId="4E63830B" w:rsidR="00123B5E" w:rsidRPr="00123B5E" w:rsidRDefault="00123B5E" w:rsidP="00123B5E">
            <w:pPr>
              <w:rPr>
                <w:szCs w:val="22"/>
              </w:rPr>
            </w:pPr>
            <w:r w:rsidRPr="00123B5E">
              <w:rPr>
                <w:szCs w:val="22"/>
              </w:rPr>
              <w:t xml:space="preserve">444271 - </w:t>
            </w:r>
            <w:r w:rsidR="00C9665E">
              <w:rPr>
                <w:szCs w:val="22"/>
              </w:rPr>
              <w:t>Elucirem</w:t>
            </w:r>
            <w:r w:rsidRPr="00123B5E">
              <w:rPr>
                <w:szCs w:val="22"/>
              </w:rPr>
              <w:t xml:space="preserve"> gadopiclenol 4.85 mg/10 mL injection solution prefilled syringe</w:t>
            </w:r>
          </w:p>
          <w:p w14:paraId="513F7DB7" w14:textId="59D5C260" w:rsidR="00123B5E" w:rsidRPr="00123B5E" w:rsidRDefault="00123B5E" w:rsidP="00123B5E">
            <w:pPr>
              <w:rPr>
                <w:szCs w:val="22"/>
              </w:rPr>
            </w:pPr>
            <w:r w:rsidRPr="00123B5E">
              <w:rPr>
                <w:szCs w:val="22"/>
              </w:rPr>
              <w:t xml:space="preserve">444290 - </w:t>
            </w:r>
            <w:r w:rsidR="00C9665E">
              <w:rPr>
                <w:szCs w:val="22"/>
              </w:rPr>
              <w:t>Elucirem</w:t>
            </w:r>
            <w:r w:rsidRPr="00123B5E">
              <w:rPr>
                <w:szCs w:val="22"/>
              </w:rPr>
              <w:t xml:space="preserve"> gadopiclenol 7.28 mg/15 mL injection solution prefilled syringe</w:t>
            </w:r>
          </w:p>
          <w:p w14:paraId="0BC6AFEC" w14:textId="17350E72" w:rsidR="00123B5E" w:rsidRPr="00123B5E" w:rsidRDefault="00123B5E" w:rsidP="00123B5E">
            <w:pPr>
              <w:rPr>
                <w:szCs w:val="22"/>
              </w:rPr>
            </w:pPr>
            <w:r w:rsidRPr="00123B5E">
              <w:rPr>
                <w:szCs w:val="22"/>
              </w:rPr>
              <w:t xml:space="preserve">444291 - </w:t>
            </w:r>
            <w:r w:rsidR="00C9665E">
              <w:rPr>
                <w:szCs w:val="22"/>
              </w:rPr>
              <w:t>Elucirem</w:t>
            </w:r>
            <w:r w:rsidRPr="00123B5E">
              <w:rPr>
                <w:szCs w:val="22"/>
              </w:rPr>
              <w:t xml:space="preserve"> gadopiclenol 7.28 mg/ 15 mL injection solution vial</w:t>
            </w:r>
          </w:p>
          <w:p w14:paraId="2549BF33" w14:textId="71F303F8" w:rsidR="004C5054" w:rsidRPr="00BD5DBD" w:rsidRDefault="00123B5E" w:rsidP="00123B5E">
            <w:pPr>
              <w:rPr>
                <w:szCs w:val="22"/>
              </w:rPr>
            </w:pPr>
            <w:r w:rsidRPr="00123B5E">
              <w:rPr>
                <w:szCs w:val="22"/>
              </w:rPr>
              <w:t xml:space="preserve">444292 - </w:t>
            </w:r>
            <w:r w:rsidR="00C9665E">
              <w:rPr>
                <w:szCs w:val="22"/>
              </w:rPr>
              <w:t>Vueway</w:t>
            </w:r>
            <w:r w:rsidRPr="00123B5E">
              <w:rPr>
                <w:szCs w:val="22"/>
              </w:rPr>
              <w:t xml:space="preserve"> gadopiclenol 7.28 mg/ 15 mL injection solution vial</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lastRenderedPageBreak/>
              <w:t></w:t>
            </w:r>
            <w:hyperlink r:id="rId20" w:history="1">
              <w:r w:rsidRPr="00BD5DBD">
                <w:rPr>
                  <w:rStyle w:val="Hyperlink"/>
                  <w:i/>
                  <w:szCs w:val="22"/>
                </w:rPr>
                <w:t>Black Triangle Scheme</w:t>
              </w:r>
            </w:hyperlink>
            <w:r w:rsidRPr="00BD5DBD">
              <w:rPr>
                <w:i/>
                <w:szCs w:val="22"/>
              </w:rPr>
              <w:t>:</w:t>
            </w:r>
          </w:p>
        </w:tc>
        <w:tc>
          <w:tcPr>
            <w:tcW w:w="3422" w:type="pct"/>
          </w:tcPr>
          <w:p w14:paraId="65273AE0" w14:textId="122F835E" w:rsidR="004C5054" w:rsidRPr="00BD5DBD" w:rsidRDefault="004C5054" w:rsidP="004C5054">
            <w:pPr>
              <w:rPr>
                <w:szCs w:val="22"/>
              </w:rPr>
            </w:pPr>
            <w:r w:rsidRPr="00BD5DBD">
              <w:rPr>
                <w:szCs w:val="22"/>
              </w:rPr>
              <w:t>Yes</w:t>
            </w:r>
          </w:p>
        </w:tc>
      </w:tr>
      <w:tr w:rsidR="004C5054" w:rsidRPr="00BD5DBD" w14:paraId="5F5F972F" w14:textId="77777777" w:rsidTr="004C5054">
        <w:tc>
          <w:tcPr>
            <w:tcW w:w="1578" w:type="pct"/>
          </w:tcPr>
          <w:p w14:paraId="0AF604AB" w14:textId="77777777" w:rsidR="004C5054" w:rsidRPr="00BD5DBD" w:rsidRDefault="004C5054" w:rsidP="004C5054">
            <w:pPr>
              <w:rPr>
                <w:i/>
                <w:szCs w:val="22"/>
              </w:rPr>
            </w:pPr>
            <w:r w:rsidRPr="00BD5DBD">
              <w:rPr>
                <w:i/>
                <w:szCs w:val="22"/>
              </w:rPr>
              <w:t>Sponsor’s name and address:</w:t>
            </w:r>
          </w:p>
        </w:tc>
        <w:tc>
          <w:tcPr>
            <w:tcW w:w="3422" w:type="pct"/>
          </w:tcPr>
          <w:p w14:paraId="1B1DC01B" w14:textId="456082C4" w:rsidR="004C5054" w:rsidRPr="00BD5DBD" w:rsidRDefault="00B1704B" w:rsidP="00B1704B">
            <w:pPr>
              <w:rPr>
                <w:szCs w:val="22"/>
              </w:rPr>
            </w:pPr>
            <w:r w:rsidRPr="00B1704B">
              <w:rPr>
                <w:szCs w:val="22"/>
              </w:rPr>
              <w:t>Guerbet Australia Pty Ltd Level 2, 166 Epping Road, Lane Cove, NSW, 2066</w:t>
            </w:r>
            <w:r>
              <w:rPr>
                <w:szCs w:val="22"/>
              </w:rPr>
              <w:t xml:space="preserve">, </w:t>
            </w:r>
            <w:r w:rsidRPr="00B1704B">
              <w:rPr>
                <w:szCs w:val="22"/>
              </w:rPr>
              <w:t>Australia</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1063A873" w:rsidR="004C5054" w:rsidRPr="00BD5DBD" w:rsidRDefault="00902797" w:rsidP="004C5054">
            <w:pPr>
              <w:rPr>
                <w:szCs w:val="22"/>
              </w:rPr>
            </w:pPr>
            <w:r w:rsidRPr="00902797">
              <w:rPr>
                <w:szCs w:val="22"/>
              </w:rPr>
              <w:t>Solution for injection</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1EB1637A" w:rsidR="004C5054" w:rsidRPr="00BD5DBD" w:rsidRDefault="00765984" w:rsidP="004C5054">
            <w:pPr>
              <w:rPr>
                <w:szCs w:val="22"/>
              </w:rPr>
            </w:pPr>
            <w:r w:rsidRPr="00765984">
              <w:rPr>
                <w:szCs w:val="22"/>
              </w:rPr>
              <w:t>gadopiclenol 485.1 mg/mL (equivalent to 0.5 mmol/mL of gadopiclenol and to 78.6 mg of gadolinium).</w:t>
            </w:r>
          </w:p>
        </w:tc>
      </w:tr>
      <w:tr w:rsidR="004C5054" w:rsidRPr="00BD5DBD" w14:paraId="52199EFA" w14:textId="77777777" w:rsidTr="004C5054">
        <w:tc>
          <w:tcPr>
            <w:tcW w:w="1578" w:type="pct"/>
          </w:tcPr>
          <w:p w14:paraId="03159FDE" w14:textId="1F9C2625" w:rsidR="004C5054" w:rsidRPr="00BD5DBD" w:rsidRDefault="004C5054" w:rsidP="004C5054">
            <w:pPr>
              <w:rPr>
                <w:i/>
                <w:szCs w:val="22"/>
              </w:rPr>
            </w:pPr>
            <w:r w:rsidRPr="00BD5DBD">
              <w:rPr>
                <w:i/>
                <w:szCs w:val="22"/>
              </w:rPr>
              <w:t>Container</w:t>
            </w:r>
            <w:r w:rsidR="00447E91">
              <w:rPr>
                <w:i/>
                <w:szCs w:val="22"/>
              </w:rPr>
              <w:t>/pack size</w:t>
            </w:r>
            <w:r w:rsidRPr="00BD5DBD">
              <w:rPr>
                <w:i/>
                <w:szCs w:val="22"/>
              </w:rPr>
              <w:t>:</w:t>
            </w:r>
          </w:p>
        </w:tc>
        <w:tc>
          <w:tcPr>
            <w:tcW w:w="3422" w:type="pct"/>
          </w:tcPr>
          <w:p w14:paraId="56270333" w14:textId="77777777" w:rsidR="00447E91" w:rsidRPr="00447E91" w:rsidRDefault="00447E91" w:rsidP="00447E91">
            <w:pPr>
              <w:rPr>
                <w:b/>
                <w:bCs/>
                <w:szCs w:val="22"/>
              </w:rPr>
            </w:pPr>
            <w:r w:rsidRPr="00447E91">
              <w:rPr>
                <w:b/>
                <w:bCs/>
                <w:szCs w:val="22"/>
              </w:rPr>
              <w:t>For vials</w:t>
            </w:r>
          </w:p>
          <w:p w14:paraId="31B28E66" w14:textId="77777777" w:rsidR="00447E91" w:rsidRPr="00447E91" w:rsidRDefault="00447E91" w:rsidP="00447E91">
            <w:pPr>
              <w:rPr>
                <w:szCs w:val="22"/>
              </w:rPr>
            </w:pPr>
            <w:r w:rsidRPr="00447E91">
              <w:rPr>
                <w:szCs w:val="22"/>
              </w:rPr>
              <w:t>3 mL, 7.5 mL, 10 mL and 15 mL vials in packs of 1 or 25.</w:t>
            </w:r>
          </w:p>
          <w:p w14:paraId="2A0DB4D9" w14:textId="77777777" w:rsidR="00447E91" w:rsidRPr="00447E91" w:rsidRDefault="00447E91" w:rsidP="00447E91">
            <w:pPr>
              <w:rPr>
                <w:szCs w:val="22"/>
              </w:rPr>
            </w:pPr>
            <w:r w:rsidRPr="00447E91">
              <w:rPr>
                <w:szCs w:val="22"/>
              </w:rPr>
              <w:t>30 mL, 50 mL and 100 mL in packs of 1.</w:t>
            </w:r>
          </w:p>
          <w:p w14:paraId="251C7395" w14:textId="6AD594C5" w:rsidR="00447E91" w:rsidRPr="00447E91" w:rsidRDefault="00447E91" w:rsidP="00447E91">
            <w:pPr>
              <w:rPr>
                <w:szCs w:val="22"/>
              </w:rPr>
            </w:pPr>
            <w:r w:rsidRPr="00447E91">
              <w:rPr>
                <w:szCs w:val="22"/>
              </w:rPr>
              <w:t>Type I clear glass vials sealed with an elastomeric chlorobutyl stopper and sealed with an aluminium crimped cap.</w:t>
            </w:r>
          </w:p>
          <w:p w14:paraId="4F8AD533" w14:textId="77777777" w:rsidR="00447E91" w:rsidRPr="00447E91" w:rsidRDefault="00447E91" w:rsidP="00447E91">
            <w:pPr>
              <w:rPr>
                <w:b/>
                <w:bCs/>
                <w:szCs w:val="22"/>
              </w:rPr>
            </w:pPr>
            <w:r w:rsidRPr="00447E91">
              <w:rPr>
                <w:b/>
                <w:bCs/>
                <w:szCs w:val="22"/>
              </w:rPr>
              <w:t>For pre-filled syringes</w:t>
            </w:r>
          </w:p>
          <w:p w14:paraId="1C21D69A" w14:textId="77777777" w:rsidR="00447E91" w:rsidRPr="00447E91" w:rsidRDefault="00447E91" w:rsidP="00447E91">
            <w:pPr>
              <w:rPr>
                <w:szCs w:val="22"/>
              </w:rPr>
            </w:pPr>
            <w:r w:rsidRPr="00447E91">
              <w:rPr>
                <w:szCs w:val="22"/>
              </w:rPr>
              <w:t>7.5 mL, 10 mL and 15 mL pre-filled syringes in packs of 1 and 10.</w:t>
            </w:r>
          </w:p>
          <w:p w14:paraId="6FA2C2D7" w14:textId="593299F3" w:rsidR="004C5054" w:rsidRPr="00BD5DBD" w:rsidRDefault="00447E91" w:rsidP="00447E91">
            <w:pPr>
              <w:rPr>
                <w:szCs w:val="22"/>
              </w:rPr>
            </w:pPr>
            <w:r w:rsidRPr="00447E91">
              <w:rPr>
                <w:szCs w:val="22"/>
              </w:rPr>
              <w:t>Plastic (polypropylene) pre-filled syringe, graduated every 0.5 mL, with an elastomeric bromobutyl plunger stopper and capped with an elastomeric bromobutyl tip cap.</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1162D465" w:rsidR="004C5054" w:rsidRPr="00BD5DBD" w:rsidRDefault="00C27D79" w:rsidP="004C5054">
            <w:pPr>
              <w:rPr>
                <w:szCs w:val="22"/>
              </w:rPr>
            </w:pPr>
            <w:r>
              <w:rPr>
                <w:szCs w:val="22"/>
              </w:rPr>
              <w:t>I</w:t>
            </w:r>
            <w:r w:rsidRPr="00C27D79">
              <w:rPr>
                <w:szCs w:val="22"/>
              </w:rPr>
              <w:t>ntravenous</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31CBE8AE" w14:textId="77777777" w:rsidR="002544A4" w:rsidRPr="002544A4" w:rsidRDefault="002544A4" w:rsidP="002544A4">
            <w:pPr>
              <w:rPr>
                <w:b/>
                <w:bCs/>
                <w:szCs w:val="22"/>
              </w:rPr>
            </w:pPr>
            <w:r w:rsidRPr="002544A4">
              <w:rPr>
                <w:b/>
                <w:bCs/>
                <w:szCs w:val="22"/>
              </w:rPr>
              <w:t>Adults (≥ 18 years)</w:t>
            </w:r>
          </w:p>
          <w:p w14:paraId="7C435DBE" w14:textId="3A23FAAB" w:rsidR="002544A4" w:rsidRDefault="002544A4" w:rsidP="002544A4">
            <w:pPr>
              <w:rPr>
                <w:szCs w:val="22"/>
              </w:rPr>
            </w:pPr>
            <w:r w:rsidRPr="002544A4">
              <w:rPr>
                <w:szCs w:val="22"/>
              </w:rPr>
              <w:t xml:space="preserve">The recommended dose of </w:t>
            </w:r>
            <w:r w:rsidR="00C9665E">
              <w:rPr>
                <w:szCs w:val="22"/>
              </w:rPr>
              <w:t>Elucirem</w:t>
            </w:r>
            <w:r w:rsidRPr="002544A4">
              <w:rPr>
                <w:szCs w:val="22"/>
              </w:rPr>
              <w:t xml:space="preserve"> is 0.1 mL/kg body weight (BW) (equivalent to</w:t>
            </w:r>
            <w:r>
              <w:rPr>
                <w:szCs w:val="22"/>
              </w:rPr>
              <w:t xml:space="preserve"> </w:t>
            </w:r>
            <w:r w:rsidRPr="002544A4">
              <w:rPr>
                <w:szCs w:val="22"/>
              </w:rPr>
              <w:t xml:space="preserve">0.05 mmol/kg BW) to provide diagnostically adequate contrast for all indications. </w:t>
            </w:r>
          </w:p>
          <w:p w14:paraId="7B37E017" w14:textId="34BE1BF5" w:rsidR="002544A4" w:rsidRPr="002544A4" w:rsidRDefault="002544A4" w:rsidP="002544A4">
            <w:pPr>
              <w:rPr>
                <w:b/>
                <w:bCs/>
                <w:szCs w:val="22"/>
              </w:rPr>
            </w:pPr>
            <w:r w:rsidRPr="002544A4">
              <w:rPr>
                <w:b/>
                <w:bCs/>
                <w:szCs w:val="22"/>
              </w:rPr>
              <w:t>Paediatrics (2 years and older)</w:t>
            </w:r>
          </w:p>
          <w:p w14:paraId="1B0BCDD1" w14:textId="69633481" w:rsidR="004C5054" w:rsidRPr="002544A4" w:rsidRDefault="002544A4" w:rsidP="002544A4">
            <w:pPr>
              <w:rPr>
                <w:b/>
                <w:bCs/>
                <w:szCs w:val="22"/>
              </w:rPr>
            </w:pPr>
            <w:r w:rsidRPr="002544A4">
              <w:rPr>
                <w:szCs w:val="22"/>
              </w:rPr>
              <w:t xml:space="preserve">The recommended and maximum dose of </w:t>
            </w:r>
            <w:r w:rsidR="00C9665E">
              <w:rPr>
                <w:szCs w:val="22"/>
              </w:rPr>
              <w:t>Elucirem</w:t>
            </w:r>
            <w:r w:rsidRPr="002544A4">
              <w:rPr>
                <w:szCs w:val="22"/>
              </w:rPr>
              <w:t xml:space="preserve"> is 0.1 mL/kg BW (equivalent to</w:t>
            </w:r>
            <w:r>
              <w:rPr>
                <w:szCs w:val="22"/>
              </w:rPr>
              <w:t xml:space="preserve"> </w:t>
            </w:r>
            <w:r w:rsidRPr="002544A4">
              <w:rPr>
                <w:szCs w:val="22"/>
              </w:rPr>
              <w:t>0.05 mmol/kg BW) for all indications. More than one dose should not be used during a scan.</w:t>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21" w:history="1">
              <w:r w:rsidRPr="004C5054">
                <w:rPr>
                  <w:rStyle w:val="Hyperlink"/>
                  <w:szCs w:val="22"/>
                </w:rPr>
                <w:t>Product Information</w:t>
              </w:r>
            </w:hyperlink>
            <w:r w:rsidRPr="00BD5DBD">
              <w:rPr>
                <w:szCs w:val="22"/>
              </w:rPr>
              <w:t>.</w:t>
            </w:r>
          </w:p>
        </w:tc>
      </w:tr>
    </w:tbl>
    <w:p w14:paraId="51F2479F" w14:textId="4B44F17A" w:rsidR="00324B33" w:rsidRDefault="00574BAB" w:rsidP="00C3639D">
      <w:pPr>
        <w:pStyle w:val="Heading3"/>
      </w:pPr>
      <w:bookmarkStart w:id="6" w:name="_Toc206677103"/>
      <w:r>
        <w:lastRenderedPageBreak/>
        <w:t>P</w:t>
      </w:r>
      <w:r w:rsidR="006D0E86" w:rsidRPr="006D0E86">
        <w:t>roposed indication</w:t>
      </w:r>
      <w:bookmarkEnd w:id="6"/>
    </w:p>
    <w:p w14:paraId="71A53451" w14:textId="0AA088CF" w:rsidR="004C5054" w:rsidRDefault="00324B33" w:rsidP="004C5054">
      <w:r w:rsidRPr="00065839">
        <w:t xml:space="preserve">This AusPAR describes the submission by </w:t>
      </w:r>
      <w:r w:rsidR="002C2934" w:rsidRPr="002C2934">
        <w:t>Guerbet Australia</w:t>
      </w:r>
      <w:r w:rsidR="002C2934">
        <w:t xml:space="preserve"> Pty Ltd</w:t>
      </w:r>
      <w:r w:rsidRPr="00065839">
        <w:t xml:space="preserve"> (the </w:t>
      </w:r>
      <w:r w:rsidR="00417D9A">
        <w:t>S</w:t>
      </w:r>
      <w:r w:rsidRPr="00065839">
        <w:t>ponsor)</w:t>
      </w:r>
      <w:r w:rsidR="007E50E2">
        <w:rPr>
          <w:rStyle w:val="FootnoteReference"/>
        </w:rPr>
        <w:footnoteReference w:id="1"/>
      </w:r>
      <w:r w:rsidRPr="00065839">
        <w:t xml:space="preserve"> to register </w:t>
      </w:r>
      <w:r w:rsidR="00C9665E">
        <w:t>Elucirem</w:t>
      </w:r>
      <w:r w:rsidR="002C2934" w:rsidRPr="002C2934">
        <w:t xml:space="preserve"> and </w:t>
      </w:r>
      <w:r w:rsidR="00C9665E">
        <w:t>Vueway</w:t>
      </w:r>
      <w:r w:rsidR="002C2934">
        <w:t xml:space="preserve"> (</w:t>
      </w:r>
      <w:r w:rsidR="002C2934" w:rsidRPr="002C2934">
        <w:t>gadopiclenol</w:t>
      </w:r>
      <w:r w:rsidR="002C2934">
        <w:t>)</w:t>
      </w:r>
      <w:r w:rsidR="002C2934" w:rsidRPr="002C2934">
        <w:t xml:space="preserve"> </w:t>
      </w:r>
      <w:r w:rsidRPr="00065839">
        <w:t>for the following proposed indication:</w:t>
      </w:r>
      <w:bookmarkStart w:id="7" w:name="_Toc314842485"/>
      <w:bookmarkStart w:id="8" w:name="_Toc247691504"/>
    </w:p>
    <w:p w14:paraId="34700CF0" w14:textId="77777777" w:rsidR="006A7451" w:rsidRPr="006A7451" w:rsidRDefault="002C2934" w:rsidP="006A7451">
      <w:pPr>
        <w:ind w:left="425"/>
        <w:rPr>
          <w:i/>
          <w:iCs/>
        </w:rPr>
      </w:pPr>
      <w:r w:rsidRPr="006A7451">
        <w:rPr>
          <w:i/>
          <w:iCs/>
        </w:rPr>
        <w:t xml:space="preserve">for the use in adults and children aged 2 years and older for contrast-enhanced magnetic resonance imaging (MRI) to detect and visualise lesions with abnormal blood brain barrier or abnormal vascularity in: </w:t>
      </w:r>
    </w:p>
    <w:p w14:paraId="1CB00E24" w14:textId="77777777" w:rsidR="006A7451" w:rsidRPr="006A7451" w:rsidRDefault="002C2934" w:rsidP="006A7451">
      <w:pPr>
        <w:pStyle w:val="ListBullet2"/>
        <w:ind w:left="1275"/>
        <w:rPr>
          <w:i/>
          <w:iCs/>
        </w:rPr>
      </w:pPr>
      <w:r w:rsidRPr="006A7451">
        <w:rPr>
          <w:i/>
          <w:iCs/>
        </w:rPr>
        <w:t>the central nervous system (CNS) (brain, spine, and associated tissues),</w:t>
      </w:r>
    </w:p>
    <w:p w14:paraId="3AE3179A" w14:textId="16E9A6C8" w:rsidR="002C2934" w:rsidRPr="006A7451" w:rsidRDefault="002C2934" w:rsidP="006A7451">
      <w:pPr>
        <w:pStyle w:val="ListBullet2"/>
        <w:ind w:left="1275"/>
        <w:rPr>
          <w:i/>
          <w:iCs/>
        </w:rPr>
      </w:pPr>
      <w:r w:rsidRPr="006A7451">
        <w:rPr>
          <w:i/>
          <w:iCs/>
        </w:rPr>
        <w:t>the body.</w:t>
      </w:r>
    </w:p>
    <w:p w14:paraId="4ABDE355" w14:textId="291B397F" w:rsidR="00C013A6" w:rsidRDefault="001C1331" w:rsidP="001C1331">
      <w:r>
        <w:t>G</w:t>
      </w:r>
      <w:r w:rsidRPr="001C1331">
        <w:t>adopiclenol is an MRI contrast agent based on the paramagnetic metal, gadolinium</w:t>
      </w:r>
      <w:r w:rsidR="00F14215">
        <w:t xml:space="preserve">. </w:t>
      </w:r>
      <w:r w:rsidR="00127C7A">
        <w:t xml:space="preserve">It is a new generation macrocyclic </w:t>
      </w:r>
      <w:r w:rsidR="00A35A0F" w:rsidRPr="001C1331">
        <w:t>Gadolinium</w:t>
      </w:r>
      <w:r w:rsidR="00A35A0F">
        <w:t>-b</w:t>
      </w:r>
      <w:r w:rsidR="00A35A0F" w:rsidRPr="001C1331">
        <w:t xml:space="preserve">ased </w:t>
      </w:r>
      <w:r w:rsidR="00A35A0F">
        <w:t>c</w:t>
      </w:r>
      <w:r w:rsidR="00A35A0F" w:rsidRPr="001C1331">
        <w:t xml:space="preserve">ontrast </w:t>
      </w:r>
      <w:r w:rsidR="00A35A0F">
        <w:t>a</w:t>
      </w:r>
      <w:r w:rsidR="00A35A0F" w:rsidRPr="001C1331">
        <w:t xml:space="preserve">gents </w:t>
      </w:r>
      <w:r w:rsidR="00A35A0F">
        <w:t>(</w:t>
      </w:r>
      <w:r w:rsidR="00127C7A">
        <w:t>GBCA</w:t>
      </w:r>
      <w:r w:rsidR="00A35A0F">
        <w:t>)</w:t>
      </w:r>
      <w:r w:rsidR="00127C7A">
        <w:t xml:space="preserve">. </w:t>
      </w:r>
      <w:r w:rsidR="00F14215">
        <w:t>Due to its high relaxivity</w:t>
      </w:r>
      <w:r w:rsidR="00EB4266">
        <w:t xml:space="preserve"> (2 </w:t>
      </w:r>
      <w:r w:rsidR="006F4426">
        <w:t xml:space="preserve">to 3 </w:t>
      </w:r>
      <w:r w:rsidR="0088260B">
        <w:t xml:space="preserve">times </w:t>
      </w:r>
      <w:r w:rsidR="006F4426">
        <w:t>higher than</w:t>
      </w:r>
      <w:r w:rsidR="0088260B">
        <w:t xml:space="preserve"> other GBCA)</w:t>
      </w:r>
      <w:r w:rsidR="00F14215">
        <w:t>, gadopiclenol</w:t>
      </w:r>
      <w:r w:rsidR="000C56E0">
        <w:t xml:space="preserve"> can be admi</w:t>
      </w:r>
      <w:r w:rsidR="00C40018">
        <w:t>nistered at half</w:t>
      </w:r>
      <w:r w:rsidR="00280B99">
        <w:t>-</w:t>
      </w:r>
      <w:r w:rsidR="00C40018">
        <w:t xml:space="preserve">dose </w:t>
      </w:r>
      <w:r w:rsidR="00280B99">
        <w:t>compared to</w:t>
      </w:r>
      <w:r w:rsidR="00C40018">
        <w:t xml:space="preserve"> conventional </w:t>
      </w:r>
      <w:r w:rsidR="00FF3ADB">
        <w:t>GBCA</w:t>
      </w:r>
      <w:r w:rsidR="002E0A5E">
        <w:t>,</w:t>
      </w:r>
      <w:r w:rsidR="00CF306F">
        <w:t xml:space="preserve"> w</w:t>
      </w:r>
      <w:r w:rsidR="00D930BB">
        <w:t>ithout compromising efficacy</w:t>
      </w:r>
      <w:r w:rsidRPr="001C1331">
        <w:t>.</w:t>
      </w:r>
    </w:p>
    <w:p w14:paraId="3F55C57F" w14:textId="1990B540" w:rsidR="00434024" w:rsidRDefault="001C1331" w:rsidP="001C1331">
      <w:r w:rsidRPr="001C1331">
        <w:t>GBCA</w:t>
      </w:r>
      <w:r w:rsidR="00D27CE5">
        <w:t>s</w:t>
      </w:r>
      <w:r w:rsidRPr="001C1331">
        <w:t xml:space="preserve"> are commonly used in present day clinical practice and comprise gadolinium complexed to a carrier molecule. In the case of </w:t>
      </w:r>
      <w:r w:rsidR="00A0048C" w:rsidRPr="001C1331">
        <w:t>gadopiclenol</w:t>
      </w:r>
      <w:r w:rsidRPr="001C1331">
        <w:t xml:space="preserve"> the carrier molecule is a non-ionic macrocyclic structure. This is intended to have a better safety profile and less chance of releasing free gadolinium than ionic linear carrier molecules. </w:t>
      </w:r>
      <w:r w:rsidR="009E7582">
        <w:t>G</w:t>
      </w:r>
      <w:r w:rsidR="009E7582" w:rsidRPr="001C1331">
        <w:t xml:space="preserve">adopiclenol </w:t>
      </w:r>
      <w:r w:rsidRPr="001C1331">
        <w:t xml:space="preserve">also binds more water in the macrocyclic structure, which increases the intensity of the MRI signal and so potentially improves the acquisition of images. Nephrogenic </w:t>
      </w:r>
      <w:r w:rsidR="002C4803">
        <w:t>s</w:t>
      </w:r>
      <w:r w:rsidRPr="001C1331">
        <w:t xml:space="preserve">ystemic </w:t>
      </w:r>
      <w:r w:rsidR="002C4803">
        <w:t>f</w:t>
      </w:r>
      <w:r w:rsidRPr="001C1331">
        <w:t>ibrosis (NSF) is a rare but potentially fatal adverse effect of gadolinium imaging</w:t>
      </w:r>
      <w:r w:rsidR="009E7582">
        <w:t>,</w:t>
      </w:r>
      <w:r w:rsidRPr="001C1331">
        <w:t xml:space="preserve"> which may potentially relate to the extent of gadolinium exposure, and so it is currently recommended that exposure be minimised.</w:t>
      </w:r>
    </w:p>
    <w:p w14:paraId="002EC072" w14:textId="14797C61" w:rsidR="00434024" w:rsidRDefault="00434024" w:rsidP="001C1331">
      <w:r w:rsidRPr="00434024">
        <w:t xml:space="preserve">Currently marketed GBCA are presented in Table </w:t>
      </w:r>
      <w:r>
        <w:t>1.</w:t>
      </w:r>
    </w:p>
    <w:p w14:paraId="3439FE10" w14:textId="312E3603" w:rsidR="00346C5D" w:rsidRPr="006A7451" w:rsidRDefault="00346C5D" w:rsidP="006A7451">
      <w:pPr>
        <w:pStyle w:val="TableTitle"/>
      </w:pPr>
      <w:r w:rsidRPr="00346C5D">
        <w:t>Table 1. Currently marketed GBCAs in Australia.</w:t>
      </w:r>
    </w:p>
    <w:tbl>
      <w:tblPr>
        <w:tblW w:w="9360" w:type="dxa"/>
        <w:tblInd w:w="-190"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507"/>
        <w:gridCol w:w="1522"/>
        <w:gridCol w:w="1346"/>
        <w:gridCol w:w="4985"/>
      </w:tblGrid>
      <w:tr w:rsidR="008A6503" w:rsidRPr="008A6503" w14:paraId="43ED6A50" w14:textId="77777777" w:rsidTr="00030570">
        <w:trPr>
          <w:trHeight w:val="755"/>
        </w:trPr>
        <w:tc>
          <w:tcPr>
            <w:tcW w:w="1507" w:type="dxa"/>
            <w:shd w:val="clear" w:color="auto" w:fill="DEEAF6"/>
          </w:tcPr>
          <w:p w14:paraId="6808741A" w14:textId="77777777" w:rsidR="008A6503" w:rsidRPr="007F4822" w:rsidRDefault="008A6503" w:rsidP="00975226">
            <w:pPr>
              <w:pStyle w:val="TableParagraph"/>
              <w:spacing w:before="119"/>
              <w:ind w:left="278" w:right="407"/>
              <w:rPr>
                <w:b/>
                <w:color w:val="263287"/>
              </w:rPr>
            </w:pPr>
            <w:r w:rsidRPr="007F4822">
              <w:rPr>
                <w:b/>
                <w:color w:val="263287"/>
                <w:spacing w:val="-2"/>
              </w:rPr>
              <w:t xml:space="preserve">Product </w:t>
            </w:r>
            <w:r w:rsidRPr="007F4822">
              <w:rPr>
                <w:b/>
                <w:color w:val="263287"/>
                <w:spacing w:val="-4"/>
              </w:rPr>
              <w:t>name</w:t>
            </w:r>
          </w:p>
        </w:tc>
        <w:tc>
          <w:tcPr>
            <w:tcW w:w="1522" w:type="dxa"/>
            <w:shd w:val="clear" w:color="auto" w:fill="DEEAF6"/>
          </w:tcPr>
          <w:p w14:paraId="275AE59C" w14:textId="77777777" w:rsidR="008A6503" w:rsidRPr="007F4822" w:rsidRDefault="008A6503" w:rsidP="00975226">
            <w:pPr>
              <w:pStyle w:val="TableParagraph"/>
              <w:spacing w:before="119"/>
              <w:ind w:right="112"/>
              <w:jc w:val="center"/>
              <w:rPr>
                <w:b/>
                <w:color w:val="263287"/>
              </w:rPr>
            </w:pPr>
            <w:r w:rsidRPr="007F4822">
              <w:rPr>
                <w:b/>
                <w:color w:val="263287"/>
                <w:spacing w:val="-2"/>
              </w:rPr>
              <w:t>Sponsor</w:t>
            </w:r>
          </w:p>
        </w:tc>
        <w:tc>
          <w:tcPr>
            <w:tcW w:w="1346" w:type="dxa"/>
            <w:shd w:val="clear" w:color="auto" w:fill="DEEAF6"/>
          </w:tcPr>
          <w:p w14:paraId="6527552E" w14:textId="77777777" w:rsidR="008A6503" w:rsidRPr="007F4822" w:rsidRDefault="008A6503" w:rsidP="00975226">
            <w:pPr>
              <w:pStyle w:val="TableParagraph"/>
              <w:spacing w:before="119"/>
              <w:ind w:left="288" w:right="466"/>
              <w:rPr>
                <w:b/>
                <w:color w:val="263287"/>
              </w:rPr>
            </w:pPr>
            <w:r w:rsidRPr="007F4822">
              <w:rPr>
                <w:b/>
                <w:color w:val="263287"/>
                <w:spacing w:val="-2"/>
              </w:rPr>
              <w:t xml:space="preserve">Agent </w:t>
            </w:r>
            <w:r w:rsidRPr="007F4822">
              <w:rPr>
                <w:b/>
                <w:color w:val="263287"/>
                <w:spacing w:val="-4"/>
              </w:rPr>
              <w:t>type</w:t>
            </w:r>
          </w:p>
        </w:tc>
        <w:tc>
          <w:tcPr>
            <w:tcW w:w="4985" w:type="dxa"/>
            <w:shd w:val="clear" w:color="auto" w:fill="DEEAF6"/>
          </w:tcPr>
          <w:p w14:paraId="30FBB8CD" w14:textId="77777777" w:rsidR="008A6503" w:rsidRPr="007F4822" w:rsidRDefault="008A6503" w:rsidP="00975226">
            <w:pPr>
              <w:pStyle w:val="TableParagraph"/>
              <w:spacing w:before="119"/>
              <w:ind w:left="288"/>
              <w:rPr>
                <w:b/>
                <w:color w:val="263287"/>
              </w:rPr>
            </w:pPr>
            <w:r w:rsidRPr="007F4822">
              <w:rPr>
                <w:b/>
                <w:color w:val="263287"/>
                <w:spacing w:val="-2"/>
              </w:rPr>
              <w:t>Indication(s)</w:t>
            </w:r>
          </w:p>
        </w:tc>
      </w:tr>
      <w:tr w:rsidR="008A6503" w:rsidRPr="008A6503" w14:paraId="2FF36A0F" w14:textId="77777777" w:rsidTr="00030570">
        <w:trPr>
          <w:trHeight w:val="1441"/>
        </w:trPr>
        <w:tc>
          <w:tcPr>
            <w:tcW w:w="1507" w:type="dxa"/>
          </w:tcPr>
          <w:p w14:paraId="061450BD" w14:textId="616DCA01" w:rsidR="008A6503" w:rsidRPr="008A6503" w:rsidRDefault="00030570" w:rsidP="00975226">
            <w:pPr>
              <w:pStyle w:val="TableParagraph"/>
              <w:spacing w:before="150"/>
              <w:ind w:left="107"/>
            </w:pPr>
            <w:r w:rsidRPr="001834E4">
              <w:rPr>
                <w:bCs/>
              </w:rPr>
              <w:t>DOTAREM</w:t>
            </w:r>
            <w:r w:rsidR="008A6503" w:rsidRPr="008A6503">
              <w:rPr>
                <w:b/>
                <w:spacing w:val="-4"/>
              </w:rPr>
              <w:t xml:space="preserve"> </w:t>
            </w:r>
            <w:r w:rsidR="008A6503" w:rsidRPr="008A6503">
              <w:rPr>
                <w:spacing w:val="-10"/>
              </w:rPr>
              <w:t>–</w:t>
            </w:r>
          </w:p>
          <w:p w14:paraId="546A15AF" w14:textId="77777777" w:rsidR="008A6503" w:rsidRPr="008A6503" w:rsidRDefault="008A6503" w:rsidP="00975226">
            <w:pPr>
              <w:pStyle w:val="TableParagraph"/>
              <w:spacing w:before="29"/>
              <w:ind w:left="107"/>
            </w:pPr>
            <w:r w:rsidRPr="008A6503">
              <w:t>gadoteric</w:t>
            </w:r>
            <w:r w:rsidRPr="008A6503">
              <w:rPr>
                <w:spacing w:val="-3"/>
              </w:rPr>
              <w:t xml:space="preserve"> </w:t>
            </w:r>
            <w:r w:rsidRPr="008A6503">
              <w:rPr>
                <w:spacing w:val="-4"/>
              </w:rPr>
              <w:t>acid</w:t>
            </w:r>
          </w:p>
        </w:tc>
        <w:tc>
          <w:tcPr>
            <w:tcW w:w="1522" w:type="dxa"/>
          </w:tcPr>
          <w:p w14:paraId="04CECF2B" w14:textId="77777777" w:rsidR="008A6503" w:rsidRPr="008A6503" w:rsidRDefault="008A6503" w:rsidP="00975226">
            <w:pPr>
              <w:pStyle w:val="TableParagraph"/>
              <w:spacing w:before="150" w:line="273" w:lineRule="auto"/>
              <w:ind w:left="107" w:right="392"/>
            </w:pPr>
            <w:r w:rsidRPr="008A6503">
              <w:rPr>
                <w:spacing w:val="-2"/>
              </w:rPr>
              <w:t>Guerbet</w:t>
            </w:r>
            <w:r w:rsidRPr="008A6503">
              <w:rPr>
                <w:spacing w:val="40"/>
              </w:rPr>
              <w:t xml:space="preserve"> </w:t>
            </w:r>
            <w:r w:rsidRPr="008A6503">
              <w:t>Australia</w:t>
            </w:r>
            <w:r w:rsidRPr="008A6503">
              <w:rPr>
                <w:spacing w:val="-10"/>
              </w:rPr>
              <w:t xml:space="preserve"> </w:t>
            </w:r>
            <w:r w:rsidRPr="008A6503">
              <w:t>Pty</w:t>
            </w:r>
            <w:r w:rsidRPr="008A6503">
              <w:rPr>
                <w:spacing w:val="40"/>
              </w:rPr>
              <w:t xml:space="preserve"> </w:t>
            </w:r>
            <w:r w:rsidRPr="008A6503">
              <w:rPr>
                <w:spacing w:val="-4"/>
              </w:rPr>
              <w:t>Ltd</w:t>
            </w:r>
          </w:p>
        </w:tc>
        <w:tc>
          <w:tcPr>
            <w:tcW w:w="1346" w:type="dxa"/>
          </w:tcPr>
          <w:p w14:paraId="0CEE4A04" w14:textId="77777777" w:rsidR="008A6503" w:rsidRPr="008A6503" w:rsidRDefault="008A6503" w:rsidP="00975226">
            <w:pPr>
              <w:pStyle w:val="TableParagraph"/>
              <w:spacing w:before="150"/>
              <w:ind w:left="107"/>
            </w:pPr>
            <w:r w:rsidRPr="008A6503">
              <w:rPr>
                <w:spacing w:val="-2"/>
              </w:rPr>
              <w:t>Macrocyclic</w:t>
            </w:r>
          </w:p>
        </w:tc>
        <w:tc>
          <w:tcPr>
            <w:tcW w:w="4985" w:type="dxa"/>
          </w:tcPr>
          <w:p w14:paraId="2C9A2112" w14:textId="1A6C338A" w:rsidR="008A6503" w:rsidRPr="008A6503" w:rsidRDefault="008A6503" w:rsidP="00975226">
            <w:pPr>
              <w:pStyle w:val="TableParagraph"/>
              <w:spacing w:before="150" w:line="273" w:lineRule="auto"/>
              <w:ind w:left="108" w:right="196"/>
            </w:pPr>
            <w:r w:rsidRPr="008A6503">
              <w:t>DOTAREM is indicated, in adults and children, for use</w:t>
            </w:r>
            <w:r w:rsidRPr="008A6503">
              <w:rPr>
                <w:spacing w:val="40"/>
              </w:rPr>
              <w:t xml:space="preserve"> </w:t>
            </w:r>
            <w:r w:rsidRPr="008A6503">
              <w:t>with magnetic resonance imaging to provide contrast</w:t>
            </w:r>
            <w:r w:rsidRPr="008A6503">
              <w:rPr>
                <w:spacing w:val="40"/>
              </w:rPr>
              <w:t xml:space="preserve"> </w:t>
            </w:r>
            <w:r w:rsidRPr="008A6503">
              <w:t>enhancement for intracranial and spinal lesions with</w:t>
            </w:r>
            <w:r w:rsidRPr="008A6503">
              <w:rPr>
                <w:spacing w:val="40"/>
              </w:rPr>
              <w:t xml:space="preserve"> </w:t>
            </w:r>
            <w:r w:rsidRPr="008A6503">
              <w:t>abnormal</w:t>
            </w:r>
            <w:r w:rsidRPr="008A6503">
              <w:rPr>
                <w:spacing w:val="-7"/>
              </w:rPr>
              <w:t xml:space="preserve"> </w:t>
            </w:r>
            <w:r w:rsidRPr="008A6503">
              <w:t>blood</w:t>
            </w:r>
            <w:r w:rsidR="00F8311A">
              <w:rPr>
                <w:spacing w:val="-7"/>
              </w:rPr>
              <w:t>-</w:t>
            </w:r>
            <w:r w:rsidRPr="008A6503">
              <w:t>brain</w:t>
            </w:r>
            <w:r w:rsidRPr="008A6503">
              <w:rPr>
                <w:spacing w:val="-7"/>
              </w:rPr>
              <w:t xml:space="preserve"> </w:t>
            </w:r>
            <w:r w:rsidRPr="008A6503">
              <w:t>barrier</w:t>
            </w:r>
            <w:r w:rsidRPr="008A6503">
              <w:rPr>
                <w:spacing w:val="-8"/>
              </w:rPr>
              <w:t xml:space="preserve"> </w:t>
            </w:r>
            <w:r w:rsidRPr="008A6503">
              <w:t>or</w:t>
            </w:r>
            <w:r w:rsidRPr="008A6503">
              <w:rPr>
                <w:spacing w:val="-7"/>
              </w:rPr>
              <w:t xml:space="preserve"> </w:t>
            </w:r>
            <w:r w:rsidRPr="008A6503">
              <w:t>abnormal</w:t>
            </w:r>
            <w:r w:rsidRPr="008A6503">
              <w:rPr>
                <w:spacing w:val="-4"/>
              </w:rPr>
              <w:t xml:space="preserve"> </w:t>
            </w:r>
            <w:r w:rsidRPr="008A6503">
              <w:t>vascularity,</w:t>
            </w:r>
            <w:r w:rsidRPr="008A6503">
              <w:rPr>
                <w:spacing w:val="40"/>
              </w:rPr>
              <w:t xml:space="preserve"> </w:t>
            </w:r>
            <w:r w:rsidRPr="008A6503">
              <w:t>and for whole body imaging</w:t>
            </w:r>
          </w:p>
        </w:tc>
      </w:tr>
      <w:tr w:rsidR="008A6503" w:rsidRPr="008A6503" w14:paraId="7F2C59CF" w14:textId="77777777" w:rsidTr="00030570">
        <w:trPr>
          <w:trHeight w:val="1439"/>
        </w:trPr>
        <w:tc>
          <w:tcPr>
            <w:tcW w:w="1507" w:type="dxa"/>
          </w:tcPr>
          <w:p w14:paraId="283895F8" w14:textId="630BF50A" w:rsidR="008A6503" w:rsidRPr="008A6503" w:rsidRDefault="00030570" w:rsidP="00975226">
            <w:pPr>
              <w:pStyle w:val="TableParagraph"/>
              <w:spacing w:before="147" w:line="273" w:lineRule="auto"/>
              <w:ind w:left="107"/>
            </w:pPr>
            <w:r w:rsidRPr="001834E4">
              <w:rPr>
                <w:bCs/>
              </w:rPr>
              <w:t>GADOVIST</w:t>
            </w:r>
            <w:r w:rsidR="008A6503" w:rsidRPr="008A6503">
              <w:rPr>
                <w:b/>
                <w:spacing w:val="-10"/>
              </w:rPr>
              <w:t xml:space="preserve"> </w:t>
            </w:r>
            <w:r w:rsidR="008A6503" w:rsidRPr="008A6503">
              <w:t>-</w:t>
            </w:r>
            <w:r w:rsidR="008A6503" w:rsidRPr="008A6503">
              <w:rPr>
                <w:spacing w:val="40"/>
              </w:rPr>
              <w:t xml:space="preserve"> </w:t>
            </w:r>
            <w:r w:rsidR="008A6503" w:rsidRPr="008A6503">
              <w:rPr>
                <w:spacing w:val="-2"/>
              </w:rPr>
              <w:t>gadobutrol</w:t>
            </w:r>
          </w:p>
        </w:tc>
        <w:tc>
          <w:tcPr>
            <w:tcW w:w="1522" w:type="dxa"/>
          </w:tcPr>
          <w:p w14:paraId="1DDE20BD" w14:textId="77777777" w:rsidR="008A6503" w:rsidRPr="008A6503" w:rsidRDefault="008A6503" w:rsidP="00975226">
            <w:pPr>
              <w:pStyle w:val="TableParagraph"/>
              <w:spacing w:before="147" w:line="273" w:lineRule="auto"/>
              <w:ind w:left="107" w:right="389"/>
            </w:pPr>
            <w:r w:rsidRPr="008A6503">
              <w:rPr>
                <w:spacing w:val="-2"/>
              </w:rPr>
              <w:t>Bayer</w:t>
            </w:r>
            <w:r w:rsidRPr="008A6503">
              <w:rPr>
                <w:spacing w:val="40"/>
              </w:rPr>
              <w:t xml:space="preserve"> </w:t>
            </w:r>
            <w:r w:rsidRPr="008A6503">
              <w:t>Australia</w:t>
            </w:r>
            <w:r w:rsidRPr="008A6503">
              <w:rPr>
                <w:spacing w:val="-10"/>
              </w:rPr>
              <w:t xml:space="preserve"> </w:t>
            </w:r>
            <w:r w:rsidRPr="008A6503">
              <w:t>Ltd</w:t>
            </w:r>
          </w:p>
        </w:tc>
        <w:tc>
          <w:tcPr>
            <w:tcW w:w="1346" w:type="dxa"/>
          </w:tcPr>
          <w:p w14:paraId="6D9ABDBC" w14:textId="77777777" w:rsidR="008A6503" w:rsidRPr="008A6503" w:rsidRDefault="008A6503" w:rsidP="00975226">
            <w:pPr>
              <w:pStyle w:val="TableParagraph"/>
              <w:spacing w:before="147"/>
              <w:ind w:left="107"/>
            </w:pPr>
            <w:r w:rsidRPr="008A6503">
              <w:rPr>
                <w:spacing w:val="-2"/>
              </w:rPr>
              <w:t>Macrocyclic</w:t>
            </w:r>
          </w:p>
        </w:tc>
        <w:tc>
          <w:tcPr>
            <w:tcW w:w="4985" w:type="dxa"/>
          </w:tcPr>
          <w:p w14:paraId="646DD5A6" w14:textId="03737FCF" w:rsidR="008A6503" w:rsidRPr="008A6503" w:rsidRDefault="00030570" w:rsidP="00975226">
            <w:pPr>
              <w:pStyle w:val="TableParagraph"/>
              <w:spacing w:before="147" w:line="273" w:lineRule="auto"/>
              <w:ind w:left="108" w:right="440"/>
            </w:pPr>
            <w:r w:rsidRPr="00030570">
              <w:t xml:space="preserve">GADOVIST </w:t>
            </w:r>
            <w:r w:rsidR="008A6503" w:rsidRPr="008A6503">
              <w:t>is</w:t>
            </w:r>
            <w:r w:rsidR="008A6503" w:rsidRPr="008A6503">
              <w:rPr>
                <w:spacing w:val="-6"/>
              </w:rPr>
              <w:t xml:space="preserve"> </w:t>
            </w:r>
            <w:r w:rsidR="008A6503" w:rsidRPr="008A6503">
              <w:t>indicated</w:t>
            </w:r>
            <w:r w:rsidR="008A6503" w:rsidRPr="008A6503">
              <w:rPr>
                <w:spacing w:val="-7"/>
              </w:rPr>
              <w:t xml:space="preserve"> </w:t>
            </w:r>
            <w:r w:rsidR="008A6503" w:rsidRPr="008A6503">
              <w:t>in</w:t>
            </w:r>
            <w:r w:rsidR="008A6503" w:rsidRPr="008A6503">
              <w:rPr>
                <w:spacing w:val="-7"/>
              </w:rPr>
              <w:t xml:space="preserve"> </w:t>
            </w:r>
            <w:r w:rsidR="008A6503" w:rsidRPr="008A6503">
              <w:t>adults</w:t>
            </w:r>
            <w:r w:rsidR="008A6503" w:rsidRPr="008A6503">
              <w:rPr>
                <w:spacing w:val="-6"/>
              </w:rPr>
              <w:t xml:space="preserve"> </w:t>
            </w:r>
            <w:r w:rsidR="008A6503" w:rsidRPr="008A6503">
              <w:t>and</w:t>
            </w:r>
            <w:r w:rsidR="008A6503" w:rsidRPr="008A6503">
              <w:rPr>
                <w:spacing w:val="-4"/>
              </w:rPr>
              <w:t xml:space="preserve"> </w:t>
            </w:r>
            <w:r w:rsidR="008A6503" w:rsidRPr="008A6503">
              <w:t>children</w:t>
            </w:r>
            <w:r w:rsidR="008A6503" w:rsidRPr="008A6503">
              <w:rPr>
                <w:spacing w:val="-7"/>
              </w:rPr>
              <w:t xml:space="preserve"> </w:t>
            </w:r>
            <w:r w:rsidR="008A6503" w:rsidRPr="008A6503">
              <w:t>including</w:t>
            </w:r>
            <w:r w:rsidR="008A6503" w:rsidRPr="008A6503">
              <w:rPr>
                <w:spacing w:val="40"/>
              </w:rPr>
              <w:t xml:space="preserve"> </w:t>
            </w:r>
            <w:r w:rsidR="008A6503" w:rsidRPr="008A6503">
              <w:t>full-term newborns for:</w:t>
            </w:r>
          </w:p>
          <w:p w14:paraId="6DC06206" w14:textId="6644E62F" w:rsidR="008A6503" w:rsidRPr="008A6503" w:rsidRDefault="008A6503" w:rsidP="004407FF">
            <w:pPr>
              <w:pStyle w:val="ListBullet"/>
            </w:pPr>
            <w:r w:rsidRPr="008A6503">
              <w:t>Contrast</w:t>
            </w:r>
            <w:r w:rsidRPr="001834E4">
              <w:rPr>
                <w:spacing w:val="-4"/>
              </w:rPr>
              <w:t xml:space="preserve"> </w:t>
            </w:r>
            <w:r w:rsidRPr="008A6503">
              <w:t>enhancement</w:t>
            </w:r>
            <w:r w:rsidRPr="001834E4">
              <w:rPr>
                <w:spacing w:val="-5"/>
              </w:rPr>
              <w:t xml:space="preserve"> </w:t>
            </w:r>
            <w:r w:rsidRPr="008A6503">
              <w:t>in</w:t>
            </w:r>
            <w:r w:rsidRPr="001834E4">
              <w:rPr>
                <w:spacing w:val="-2"/>
              </w:rPr>
              <w:t xml:space="preserve"> </w:t>
            </w:r>
            <w:r w:rsidRPr="008A6503">
              <w:t>cranial</w:t>
            </w:r>
            <w:r w:rsidRPr="001834E4">
              <w:rPr>
                <w:spacing w:val="-4"/>
              </w:rPr>
              <w:t xml:space="preserve"> </w:t>
            </w:r>
            <w:r w:rsidRPr="008A6503">
              <w:t>and</w:t>
            </w:r>
            <w:r w:rsidRPr="001834E4">
              <w:rPr>
                <w:spacing w:val="-2"/>
              </w:rPr>
              <w:t xml:space="preserve"> </w:t>
            </w:r>
            <w:r w:rsidRPr="008A6503">
              <w:t>spinal</w:t>
            </w:r>
            <w:r w:rsidRPr="001834E4">
              <w:rPr>
                <w:spacing w:val="-3"/>
              </w:rPr>
              <w:t xml:space="preserve"> </w:t>
            </w:r>
            <w:r w:rsidRPr="001834E4">
              <w:rPr>
                <w:spacing w:val="-2"/>
              </w:rPr>
              <w:t>magnetic</w:t>
            </w:r>
            <w:r w:rsidR="001834E4">
              <w:rPr>
                <w:spacing w:val="-2"/>
              </w:rPr>
              <w:t xml:space="preserve"> </w:t>
            </w:r>
            <w:r w:rsidRPr="008A6503">
              <w:t>resonance</w:t>
            </w:r>
            <w:r w:rsidRPr="001834E4">
              <w:rPr>
                <w:spacing w:val="-4"/>
              </w:rPr>
              <w:t xml:space="preserve"> </w:t>
            </w:r>
            <w:r w:rsidRPr="008A6503">
              <w:t>imaging</w:t>
            </w:r>
            <w:r w:rsidRPr="001834E4">
              <w:rPr>
                <w:spacing w:val="-4"/>
              </w:rPr>
              <w:t xml:space="preserve"> (MRI)</w:t>
            </w:r>
          </w:p>
          <w:p w14:paraId="087D7166" w14:textId="77777777" w:rsidR="008A6503" w:rsidRPr="008A6503" w:rsidRDefault="008A6503" w:rsidP="00870F82">
            <w:pPr>
              <w:pStyle w:val="ListBullet"/>
            </w:pPr>
            <w:r w:rsidRPr="008A6503">
              <w:t>Contrast enhancement in whole body MRI including</w:t>
            </w:r>
            <w:r w:rsidRPr="008A6503">
              <w:rPr>
                <w:spacing w:val="40"/>
              </w:rPr>
              <w:t xml:space="preserve"> </w:t>
            </w:r>
            <w:r w:rsidRPr="008A6503">
              <w:t>head</w:t>
            </w:r>
            <w:r w:rsidRPr="008A6503">
              <w:rPr>
                <w:spacing w:val="-6"/>
              </w:rPr>
              <w:t xml:space="preserve"> </w:t>
            </w:r>
            <w:r w:rsidRPr="008A6503">
              <w:t>and</w:t>
            </w:r>
            <w:r w:rsidRPr="008A6503">
              <w:rPr>
                <w:spacing w:val="-6"/>
              </w:rPr>
              <w:t xml:space="preserve"> </w:t>
            </w:r>
            <w:r w:rsidRPr="008A6503">
              <w:t>neck</w:t>
            </w:r>
            <w:r w:rsidRPr="008A6503">
              <w:rPr>
                <w:spacing w:val="-6"/>
              </w:rPr>
              <w:t xml:space="preserve"> </w:t>
            </w:r>
            <w:r w:rsidRPr="008A6503">
              <w:t>region,</w:t>
            </w:r>
            <w:r w:rsidRPr="008A6503">
              <w:rPr>
                <w:spacing w:val="-6"/>
              </w:rPr>
              <w:t xml:space="preserve"> </w:t>
            </w:r>
            <w:r w:rsidRPr="008A6503">
              <w:t>thoracic</w:t>
            </w:r>
            <w:r w:rsidRPr="008A6503">
              <w:rPr>
                <w:spacing w:val="-9"/>
              </w:rPr>
              <w:t xml:space="preserve"> </w:t>
            </w:r>
            <w:r w:rsidRPr="008A6503">
              <w:t>space,</w:t>
            </w:r>
            <w:r w:rsidRPr="008A6503">
              <w:rPr>
                <w:spacing w:val="-6"/>
              </w:rPr>
              <w:t xml:space="preserve"> </w:t>
            </w:r>
            <w:r w:rsidRPr="008A6503">
              <w:t>breast,</w:t>
            </w:r>
            <w:r w:rsidRPr="008A6503">
              <w:rPr>
                <w:spacing w:val="-6"/>
              </w:rPr>
              <w:t xml:space="preserve"> </w:t>
            </w:r>
            <w:r w:rsidRPr="008A6503">
              <w:t>abdomen</w:t>
            </w:r>
            <w:r w:rsidRPr="008A6503">
              <w:rPr>
                <w:spacing w:val="40"/>
              </w:rPr>
              <w:t xml:space="preserve"> </w:t>
            </w:r>
            <w:r w:rsidRPr="008A6503">
              <w:t>(pancreas, liver and spleen), pelvis (prostate, bladder</w:t>
            </w:r>
            <w:r w:rsidRPr="008A6503">
              <w:rPr>
                <w:spacing w:val="40"/>
              </w:rPr>
              <w:t xml:space="preserve"> </w:t>
            </w:r>
            <w:r w:rsidRPr="008A6503">
              <w:t>and uterus), retroperitoneal space (kidney),</w:t>
            </w:r>
            <w:r w:rsidRPr="008A6503">
              <w:rPr>
                <w:spacing w:val="40"/>
              </w:rPr>
              <w:t xml:space="preserve"> </w:t>
            </w:r>
            <w:r w:rsidRPr="008A6503">
              <w:t>extremities and musculoskeletal system</w:t>
            </w:r>
          </w:p>
          <w:p w14:paraId="4F741B36" w14:textId="77777777" w:rsidR="008A6503" w:rsidRPr="008A6503" w:rsidRDefault="008A6503" w:rsidP="00870F82">
            <w:pPr>
              <w:pStyle w:val="ListBullet"/>
            </w:pPr>
            <w:r w:rsidRPr="008A6503">
              <w:lastRenderedPageBreak/>
              <w:t>Use</w:t>
            </w:r>
            <w:r w:rsidRPr="008A6503">
              <w:rPr>
                <w:spacing w:val="-2"/>
              </w:rPr>
              <w:t xml:space="preserve"> </w:t>
            </w:r>
            <w:r w:rsidRPr="008A6503">
              <w:t>in</w:t>
            </w:r>
            <w:r w:rsidRPr="008A6503">
              <w:rPr>
                <w:spacing w:val="-1"/>
              </w:rPr>
              <w:t xml:space="preserve"> </w:t>
            </w:r>
            <w:r w:rsidRPr="008A6503">
              <w:t>first–pass</w:t>
            </w:r>
            <w:r w:rsidRPr="008A6503">
              <w:rPr>
                <w:spacing w:val="-3"/>
              </w:rPr>
              <w:t xml:space="preserve"> </w:t>
            </w:r>
            <w:r w:rsidRPr="008A6503">
              <w:t>MRI</w:t>
            </w:r>
            <w:r w:rsidRPr="008A6503">
              <w:rPr>
                <w:spacing w:val="-5"/>
              </w:rPr>
              <w:t xml:space="preserve"> </w:t>
            </w:r>
            <w:r w:rsidRPr="008A6503">
              <w:t>studies</w:t>
            </w:r>
            <w:r w:rsidRPr="008A6503">
              <w:rPr>
                <w:spacing w:val="-4"/>
              </w:rPr>
              <w:t xml:space="preserve"> </w:t>
            </w:r>
            <w:r w:rsidRPr="008A6503">
              <w:t>of</w:t>
            </w:r>
            <w:r w:rsidRPr="008A6503">
              <w:rPr>
                <w:spacing w:val="-1"/>
              </w:rPr>
              <w:t xml:space="preserve"> </w:t>
            </w:r>
            <w:r w:rsidRPr="008A6503">
              <w:t>cerebral</w:t>
            </w:r>
            <w:r w:rsidRPr="008A6503">
              <w:rPr>
                <w:spacing w:val="-2"/>
              </w:rPr>
              <w:t xml:space="preserve"> perfusion</w:t>
            </w:r>
          </w:p>
          <w:p w14:paraId="3444D98F" w14:textId="77777777" w:rsidR="008A6503" w:rsidRPr="008A6503" w:rsidRDefault="008A6503" w:rsidP="00870F82">
            <w:pPr>
              <w:pStyle w:val="ListBullet"/>
            </w:pPr>
            <w:r w:rsidRPr="008A6503">
              <w:t>Contrast</w:t>
            </w:r>
            <w:r w:rsidRPr="008A6503">
              <w:rPr>
                <w:spacing w:val="-4"/>
              </w:rPr>
              <w:t xml:space="preserve"> </w:t>
            </w:r>
            <w:r w:rsidRPr="008A6503">
              <w:t>enhancement</w:t>
            </w:r>
            <w:r w:rsidRPr="008A6503">
              <w:rPr>
                <w:spacing w:val="-5"/>
              </w:rPr>
              <w:t xml:space="preserve"> </w:t>
            </w:r>
            <w:r w:rsidRPr="008A6503">
              <w:t>in</w:t>
            </w:r>
            <w:r w:rsidRPr="008A6503">
              <w:rPr>
                <w:spacing w:val="-2"/>
              </w:rPr>
              <w:t xml:space="preserve"> </w:t>
            </w:r>
            <w:r w:rsidRPr="008A6503">
              <w:t>magnetic</w:t>
            </w:r>
            <w:r w:rsidRPr="008A6503">
              <w:rPr>
                <w:spacing w:val="-2"/>
              </w:rPr>
              <w:t xml:space="preserve"> resonance</w:t>
            </w:r>
          </w:p>
          <w:p w14:paraId="505B0EDA" w14:textId="77777777" w:rsidR="008A6503" w:rsidRPr="008A6503" w:rsidRDefault="008A6503" w:rsidP="00870F82">
            <w:pPr>
              <w:pStyle w:val="ListBullet"/>
            </w:pPr>
            <w:r w:rsidRPr="008A6503">
              <w:rPr>
                <w:spacing w:val="-2"/>
              </w:rPr>
              <w:t>angiography</w:t>
            </w:r>
          </w:p>
          <w:p w14:paraId="50559B1C" w14:textId="77777777" w:rsidR="008A6503" w:rsidRPr="008A6503" w:rsidRDefault="008A6503" w:rsidP="00870F82">
            <w:pPr>
              <w:pStyle w:val="ListBullet"/>
            </w:pPr>
            <w:r w:rsidRPr="008A6503">
              <w:t>Contrast</w:t>
            </w:r>
            <w:r w:rsidRPr="008A6503">
              <w:rPr>
                <w:spacing w:val="-8"/>
              </w:rPr>
              <w:t xml:space="preserve"> </w:t>
            </w:r>
            <w:r w:rsidRPr="008A6503">
              <w:t>enhancement</w:t>
            </w:r>
            <w:r w:rsidRPr="008A6503">
              <w:rPr>
                <w:spacing w:val="-9"/>
              </w:rPr>
              <w:t xml:space="preserve"> </w:t>
            </w:r>
            <w:r w:rsidRPr="008A6503">
              <w:t>in</w:t>
            </w:r>
            <w:r w:rsidRPr="008A6503">
              <w:rPr>
                <w:spacing w:val="-7"/>
              </w:rPr>
              <w:t xml:space="preserve"> </w:t>
            </w:r>
            <w:r w:rsidRPr="008A6503">
              <w:t>cardiac</w:t>
            </w:r>
            <w:r w:rsidRPr="008A6503">
              <w:rPr>
                <w:spacing w:val="-8"/>
              </w:rPr>
              <w:t xml:space="preserve"> </w:t>
            </w:r>
            <w:r w:rsidRPr="008A6503">
              <w:t>MRI</w:t>
            </w:r>
            <w:r w:rsidRPr="008A6503">
              <w:rPr>
                <w:spacing w:val="-10"/>
              </w:rPr>
              <w:t xml:space="preserve"> </w:t>
            </w:r>
            <w:r w:rsidRPr="008A6503">
              <w:t>including</w:t>
            </w:r>
            <w:r w:rsidRPr="008A6503">
              <w:rPr>
                <w:spacing w:val="40"/>
              </w:rPr>
              <w:t xml:space="preserve"> </w:t>
            </w:r>
            <w:r w:rsidRPr="008A6503">
              <w:t>assessment of rest and pharmacological stress</w:t>
            </w:r>
            <w:r w:rsidRPr="008A6503">
              <w:rPr>
                <w:spacing w:val="40"/>
              </w:rPr>
              <w:t xml:space="preserve"> </w:t>
            </w:r>
            <w:r w:rsidRPr="008A6503">
              <w:t>perfusion and delayed enhancement.</w:t>
            </w:r>
          </w:p>
        </w:tc>
      </w:tr>
      <w:tr w:rsidR="008A6503" w:rsidRPr="008A6503" w14:paraId="4B80E84C" w14:textId="77777777" w:rsidTr="00030570">
        <w:trPr>
          <w:trHeight w:val="1681"/>
        </w:trPr>
        <w:tc>
          <w:tcPr>
            <w:tcW w:w="1507" w:type="dxa"/>
          </w:tcPr>
          <w:p w14:paraId="637E55D4" w14:textId="0D971534" w:rsidR="008A6503" w:rsidRPr="008A6503" w:rsidRDefault="008A6503" w:rsidP="00030570">
            <w:pPr>
              <w:pStyle w:val="TableParagraph"/>
              <w:spacing w:before="148" w:line="273" w:lineRule="auto"/>
              <w:ind w:left="107" w:right="150"/>
            </w:pPr>
            <w:r w:rsidRPr="001834E4">
              <w:rPr>
                <w:bCs/>
              </w:rPr>
              <w:lastRenderedPageBreak/>
              <w:t>P</w:t>
            </w:r>
            <w:r w:rsidR="00030570" w:rsidRPr="001834E4">
              <w:rPr>
                <w:bCs/>
              </w:rPr>
              <w:t>ROHANCE</w:t>
            </w:r>
            <w:r w:rsidRPr="008A6503">
              <w:t>-</w:t>
            </w:r>
            <w:r w:rsidRPr="008A6503">
              <w:rPr>
                <w:spacing w:val="40"/>
              </w:rPr>
              <w:t xml:space="preserve"> </w:t>
            </w:r>
            <w:r w:rsidRPr="008A6503">
              <w:rPr>
                <w:spacing w:val="-2"/>
              </w:rPr>
              <w:t>gadoteridol</w:t>
            </w:r>
          </w:p>
        </w:tc>
        <w:tc>
          <w:tcPr>
            <w:tcW w:w="1522" w:type="dxa"/>
          </w:tcPr>
          <w:p w14:paraId="00AF9B22" w14:textId="77777777" w:rsidR="008A6503" w:rsidRPr="008A6503" w:rsidRDefault="008A6503" w:rsidP="00870F82">
            <w:pPr>
              <w:pStyle w:val="TableParagraph"/>
              <w:spacing w:before="148"/>
              <w:ind w:right="168"/>
            </w:pPr>
            <w:r w:rsidRPr="008A6503">
              <w:t>Bracco</w:t>
            </w:r>
            <w:r w:rsidRPr="008A6503">
              <w:rPr>
                <w:spacing w:val="-1"/>
              </w:rPr>
              <w:t xml:space="preserve"> </w:t>
            </w:r>
            <w:r w:rsidRPr="008A6503">
              <w:t>Pty</w:t>
            </w:r>
            <w:r w:rsidRPr="008A6503">
              <w:rPr>
                <w:spacing w:val="-1"/>
              </w:rPr>
              <w:t xml:space="preserve"> </w:t>
            </w:r>
            <w:r w:rsidRPr="008A6503">
              <w:rPr>
                <w:spacing w:val="-5"/>
              </w:rPr>
              <w:t>Ltd</w:t>
            </w:r>
          </w:p>
        </w:tc>
        <w:tc>
          <w:tcPr>
            <w:tcW w:w="1346" w:type="dxa"/>
          </w:tcPr>
          <w:p w14:paraId="6BDF1727" w14:textId="77777777" w:rsidR="008A6503" w:rsidRPr="008A6503" w:rsidRDefault="008A6503" w:rsidP="00975226">
            <w:pPr>
              <w:pStyle w:val="TableParagraph"/>
              <w:spacing w:before="148"/>
              <w:ind w:left="107"/>
            </w:pPr>
            <w:r w:rsidRPr="008A6503">
              <w:rPr>
                <w:spacing w:val="-2"/>
              </w:rPr>
              <w:t>Macrocyclic</w:t>
            </w:r>
          </w:p>
        </w:tc>
        <w:tc>
          <w:tcPr>
            <w:tcW w:w="4985" w:type="dxa"/>
          </w:tcPr>
          <w:p w14:paraId="68882F06" w14:textId="66A6BAB4" w:rsidR="008A6503" w:rsidRPr="008A6503" w:rsidRDefault="00030570" w:rsidP="00975226">
            <w:pPr>
              <w:pStyle w:val="TableParagraph"/>
              <w:spacing w:before="148" w:line="273" w:lineRule="auto"/>
              <w:ind w:left="108" w:right="196"/>
            </w:pPr>
            <w:r w:rsidRPr="00030570">
              <w:t xml:space="preserve">PROHANCE </w:t>
            </w:r>
            <w:r w:rsidR="008A6503" w:rsidRPr="008A6503">
              <w:t>is indicated for use in adults and children</w:t>
            </w:r>
            <w:r w:rsidR="008A6503" w:rsidRPr="008A6503">
              <w:rPr>
                <w:spacing w:val="40"/>
              </w:rPr>
              <w:t xml:space="preserve"> </w:t>
            </w:r>
            <w:r w:rsidR="008A6503" w:rsidRPr="008A6503">
              <w:t>from 2 years of age for enhancement of magnetic</w:t>
            </w:r>
            <w:r w:rsidR="008A6503" w:rsidRPr="008A6503">
              <w:rPr>
                <w:spacing w:val="40"/>
              </w:rPr>
              <w:t xml:space="preserve"> </w:t>
            </w:r>
            <w:r w:rsidR="008A6503" w:rsidRPr="008A6503">
              <w:t>resonance images of intracranial and spinal lesions</w:t>
            </w:r>
            <w:r w:rsidR="008A6503" w:rsidRPr="008A6503">
              <w:rPr>
                <w:spacing w:val="40"/>
              </w:rPr>
              <w:t xml:space="preserve"> </w:t>
            </w:r>
            <w:r w:rsidR="008A6503" w:rsidRPr="008A6503">
              <w:t>where there is an abnormal blood-brain barrier or</w:t>
            </w:r>
            <w:r w:rsidR="008A6503" w:rsidRPr="008A6503">
              <w:rPr>
                <w:spacing w:val="40"/>
              </w:rPr>
              <w:t xml:space="preserve"> </w:t>
            </w:r>
            <w:r w:rsidR="008A6503" w:rsidRPr="008A6503">
              <w:t>abnormal</w:t>
            </w:r>
            <w:r w:rsidR="008A6503" w:rsidRPr="008A6503">
              <w:rPr>
                <w:spacing w:val="-6"/>
              </w:rPr>
              <w:t xml:space="preserve"> </w:t>
            </w:r>
            <w:r w:rsidR="008A6503" w:rsidRPr="008A6503">
              <w:t>vascularity.</w:t>
            </w:r>
            <w:r w:rsidR="008A6503" w:rsidRPr="008A6503">
              <w:rPr>
                <w:spacing w:val="-6"/>
              </w:rPr>
              <w:t xml:space="preserve"> </w:t>
            </w:r>
            <w:r w:rsidRPr="00030570">
              <w:t xml:space="preserve">PROHANCE </w:t>
            </w:r>
            <w:r w:rsidR="008A6503" w:rsidRPr="008A6503">
              <w:t>can</w:t>
            </w:r>
            <w:r w:rsidR="008A6503" w:rsidRPr="008A6503">
              <w:rPr>
                <w:spacing w:val="-7"/>
              </w:rPr>
              <w:t xml:space="preserve"> </w:t>
            </w:r>
            <w:r w:rsidR="008A6503" w:rsidRPr="008A6503">
              <w:t>also</w:t>
            </w:r>
            <w:r w:rsidR="008A6503" w:rsidRPr="008A6503">
              <w:rPr>
                <w:spacing w:val="-5"/>
              </w:rPr>
              <w:t xml:space="preserve"> </w:t>
            </w:r>
            <w:r w:rsidR="008A6503" w:rsidRPr="008A6503">
              <w:t>be</w:t>
            </w:r>
            <w:r w:rsidR="008A6503" w:rsidRPr="008A6503">
              <w:rPr>
                <w:spacing w:val="-5"/>
              </w:rPr>
              <w:t xml:space="preserve"> </w:t>
            </w:r>
            <w:r w:rsidR="008A6503" w:rsidRPr="008A6503">
              <w:t>used</w:t>
            </w:r>
            <w:r w:rsidR="008A6503" w:rsidRPr="008A6503">
              <w:rPr>
                <w:spacing w:val="-7"/>
              </w:rPr>
              <w:t xml:space="preserve"> </w:t>
            </w:r>
            <w:r w:rsidR="008A6503" w:rsidRPr="008A6503">
              <w:t>for</w:t>
            </w:r>
            <w:r w:rsidR="008A6503" w:rsidRPr="008A6503">
              <w:rPr>
                <w:spacing w:val="40"/>
              </w:rPr>
              <w:t xml:space="preserve"> </w:t>
            </w:r>
            <w:r w:rsidR="008A6503" w:rsidRPr="008A6503">
              <w:t>whole body MRI.</w:t>
            </w:r>
          </w:p>
        </w:tc>
      </w:tr>
    </w:tbl>
    <w:p w14:paraId="0D615854" w14:textId="77777777" w:rsidR="00324B33" w:rsidRPr="003F31A2" w:rsidRDefault="00324B33" w:rsidP="009C1E47">
      <w:pPr>
        <w:pStyle w:val="Heading3"/>
      </w:pPr>
      <w:bookmarkStart w:id="9" w:name="_Toc103679291"/>
      <w:bookmarkStart w:id="10" w:name="_Toc206677104"/>
      <w:r>
        <w:t>Regulatory status</w:t>
      </w:r>
      <w:bookmarkEnd w:id="7"/>
      <w:bookmarkEnd w:id="8"/>
      <w:bookmarkEnd w:id="9"/>
      <w:bookmarkEnd w:id="10"/>
    </w:p>
    <w:p w14:paraId="72C889D6" w14:textId="7E200950" w:rsidR="0017005C" w:rsidRPr="00BD5DBD" w:rsidRDefault="0017005C" w:rsidP="00843288">
      <w:pPr>
        <w:pStyle w:val="Heading4"/>
      </w:pPr>
      <w:r w:rsidRPr="00BD5DBD">
        <w:t>Australian regulatory</w:t>
      </w:r>
      <w:r>
        <w:t xml:space="preserve"> sta</w:t>
      </w:r>
      <w:r w:rsidR="0025785B">
        <w:t>t</w:t>
      </w:r>
      <w:r>
        <w:t>us</w:t>
      </w:r>
    </w:p>
    <w:p w14:paraId="6A8633FA" w14:textId="6B96CCAA" w:rsidR="00324B33" w:rsidRDefault="00324B33" w:rsidP="00324B33">
      <w:pPr>
        <w:rPr>
          <w:szCs w:val="22"/>
        </w:rPr>
      </w:pPr>
      <w:r w:rsidRPr="00BD5DBD">
        <w:rPr>
          <w:szCs w:val="22"/>
        </w:rPr>
        <w:t>This product is a new chemical</w:t>
      </w:r>
      <w:r w:rsidR="008C754C" w:rsidRPr="00BD5DBD">
        <w:rPr>
          <w:szCs w:val="22"/>
        </w:rPr>
        <w:t xml:space="preserve"> entity</w:t>
      </w:r>
      <w:r w:rsidRPr="00BD5DBD">
        <w:rPr>
          <w:szCs w:val="22"/>
        </w:rPr>
        <w:t xml:space="preserve"> for Australian regulatory purposes.</w:t>
      </w:r>
    </w:p>
    <w:p w14:paraId="546C1031" w14:textId="4EF98FA1" w:rsidR="0017005C" w:rsidRDefault="00131B1B" w:rsidP="00843288">
      <w:pPr>
        <w:pStyle w:val="Heading4"/>
      </w:pPr>
      <w:r>
        <w:t xml:space="preserve">International </w:t>
      </w:r>
      <w:r w:rsidR="0017005C" w:rsidRPr="00BD5DBD">
        <w:t>regulatory</w:t>
      </w:r>
      <w:r w:rsidR="0017005C">
        <w:t xml:space="preserve"> status</w:t>
      </w:r>
    </w:p>
    <w:p w14:paraId="7FDF4A0B" w14:textId="6DC325D8"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5E288A">
        <w:rPr>
          <w:szCs w:val="22"/>
        </w:rPr>
        <w:t>Table 2</w:t>
      </w:r>
      <w:r w:rsidRPr="00BD5DBD">
        <w:rPr>
          <w:szCs w:val="22"/>
        </w:rPr>
        <w:t xml:space="preserve"> summarises these submissions and provides the indications where approved.</w:t>
      </w:r>
      <w:r>
        <w:rPr>
          <w:szCs w:val="22"/>
        </w:rPr>
        <w:t xml:space="preserve"> </w:t>
      </w:r>
    </w:p>
    <w:p w14:paraId="19B9E0AC" w14:textId="4B6C82C9" w:rsidR="00324B33" w:rsidRPr="006A7451" w:rsidRDefault="00324B33" w:rsidP="006A7451">
      <w:pPr>
        <w:pStyle w:val="TableTitle"/>
      </w:pPr>
      <w:bookmarkStart w:id="11" w:name="_Ref99705479"/>
      <w:r>
        <w:t xml:space="preserve">Table </w:t>
      </w:r>
      <w:bookmarkEnd w:id="11"/>
      <w:r w:rsidR="00281A44">
        <w:t>2</w:t>
      </w:r>
      <w:r w:rsidR="000B2260">
        <w:t>.</w:t>
      </w:r>
      <w:r>
        <w:t xml:space="preserve"> International regulatory status</w:t>
      </w:r>
      <w:r w:rsidR="005042C7">
        <w:t xml:space="preserve"> for </w:t>
      </w:r>
      <w:r w:rsidR="00C9665E">
        <w:t>Elucirem</w:t>
      </w:r>
      <w:r w:rsidR="007426E6">
        <w:t>/</w:t>
      </w:r>
      <w:r w:rsidR="00C9665E">
        <w:t>Vueway</w:t>
      </w:r>
      <w:r w:rsidR="007426E6">
        <w:t xml:space="preserve"> (</w:t>
      </w:r>
      <w:r w:rsidR="007426E6" w:rsidRPr="007426E6">
        <w:t>gadopiclenol</w:t>
      </w:r>
      <w:r w:rsidR="007426E6">
        <w:t>)</w:t>
      </w:r>
    </w:p>
    <w:tbl>
      <w:tblPr>
        <w:tblStyle w:val="TableTGAblue2023"/>
        <w:tblW w:w="5268" w:type="pct"/>
        <w:tblInd w:w="-185" w:type="dxa"/>
        <w:tblLayout w:type="fixed"/>
        <w:tblLook w:val="04A0" w:firstRow="1" w:lastRow="0" w:firstColumn="1" w:lastColumn="0" w:noHBand="0" w:noVBand="1"/>
      </w:tblPr>
      <w:tblGrid>
        <w:gridCol w:w="1439"/>
        <w:gridCol w:w="1482"/>
        <w:gridCol w:w="1331"/>
        <w:gridCol w:w="3360"/>
        <w:gridCol w:w="1934"/>
      </w:tblGrid>
      <w:tr w:rsidR="00D2512B" w:rsidRPr="00D2512B" w14:paraId="405E5D78" w14:textId="16839333" w:rsidTr="007426E6">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754" w:type="pct"/>
          </w:tcPr>
          <w:p w14:paraId="185B099B" w14:textId="7DC272B9" w:rsidR="000D5284" w:rsidRPr="00D2512B" w:rsidRDefault="000D5284" w:rsidP="000D5284">
            <w:pPr>
              <w:rPr>
                <w:szCs w:val="22"/>
              </w:rPr>
            </w:pPr>
            <w:r w:rsidRPr="00D2512B">
              <w:rPr>
                <w:spacing w:val="-2"/>
                <w:szCs w:val="22"/>
              </w:rPr>
              <w:t>Country/ Region</w:t>
            </w:r>
          </w:p>
        </w:tc>
        <w:tc>
          <w:tcPr>
            <w:tcW w:w="776" w:type="pct"/>
          </w:tcPr>
          <w:p w14:paraId="61ACAE5A" w14:textId="27B82B34" w:rsidR="000D5284" w:rsidRPr="00D2512B" w:rsidRDefault="000D5284" w:rsidP="000D5284">
            <w:pPr>
              <w:cnfStyle w:val="100000000000" w:firstRow="1" w:lastRow="0" w:firstColumn="0" w:lastColumn="0" w:oddVBand="0" w:evenVBand="0" w:oddHBand="0" w:evenHBand="0" w:firstRowFirstColumn="0" w:firstRowLastColumn="0" w:lastRowFirstColumn="0" w:lastRowLastColumn="0"/>
              <w:rPr>
                <w:szCs w:val="22"/>
              </w:rPr>
            </w:pPr>
            <w:r w:rsidRPr="00D2512B">
              <w:rPr>
                <w:spacing w:val="-2"/>
                <w:szCs w:val="22"/>
              </w:rPr>
              <w:t xml:space="preserve">Submission </w:t>
            </w:r>
            <w:r w:rsidRPr="00D2512B">
              <w:rPr>
                <w:spacing w:val="-4"/>
                <w:szCs w:val="22"/>
              </w:rPr>
              <w:t>date</w:t>
            </w:r>
          </w:p>
        </w:tc>
        <w:tc>
          <w:tcPr>
            <w:tcW w:w="697" w:type="pct"/>
          </w:tcPr>
          <w:p w14:paraId="778C35C7" w14:textId="3C81C3D1" w:rsidR="000D5284" w:rsidRPr="00D2512B" w:rsidRDefault="000D5284" w:rsidP="000D5284">
            <w:pPr>
              <w:cnfStyle w:val="100000000000" w:firstRow="1" w:lastRow="0" w:firstColumn="0" w:lastColumn="0" w:oddVBand="0" w:evenVBand="0" w:oddHBand="0" w:evenHBand="0" w:firstRowFirstColumn="0" w:firstRowLastColumn="0" w:lastRowFirstColumn="0" w:lastRowLastColumn="0"/>
              <w:rPr>
                <w:szCs w:val="22"/>
              </w:rPr>
            </w:pPr>
            <w:r w:rsidRPr="00D2512B">
              <w:rPr>
                <w:spacing w:val="-2"/>
                <w:szCs w:val="22"/>
              </w:rPr>
              <w:t>Status</w:t>
            </w:r>
          </w:p>
        </w:tc>
        <w:tc>
          <w:tcPr>
            <w:tcW w:w="1760" w:type="pct"/>
          </w:tcPr>
          <w:p w14:paraId="58F81584" w14:textId="522C44FF" w:rsidR="000D5284" w:rsidRPr="00D2512B" w:rsidRDefault="000D5284" w:rsidP="000D5284">
            <w:pPr>
              <w:cnfStyle w:val="100000000000" w:firstRow="1" w:lastRow="0" w:firstColumn="0" w:lastColumn="0" w:oddVBand="0" w:evenVBand="0" w:oddHBand="0" w:evenHBand="0" w:firstRowFirstColumn="0" w:firstRowLastColumn="0" w:lastRowFirstColumn="0" w:lastRowLastColumn="0"/>
              <w:rPr>
                <w:szCs w:val="22"/>
              </w:rPr>
            </w:pPr>
            <w:r w:rsidRPr="00D2512B">
              <w:rPr>
                <w:spacing w:val="-2"/>
                <w:szCs w:val="22"/>
              </w:rPr>
              <w:t>Indications</w:t>
            </w:r>
            <w:r w:rsidRPr="00D2512B">
              <w:rPr>
                <w:spacing w:val="-4"/>
                <w:szCs w:val="22"/>
              </w:rPr>
              <w:t xml:space="preserve"> </w:t>
            </w:r>
            <w:r w:rsidRPr="00D2512B">
              <w:rPr>
                <w:spacing w:val="-2"/>
                <w:szCs w:val="22"/>
              </w:rPr>
              <w:t>(approved or</w:t>
            </w:r>
            <w:r w:rsidRPr="00D2512B">
              <w:rPr>
                <w:spacing w:val="-1"/>
                <w:szCs w:val="22"/>
              </w:rPr>
              <w:t xml:space="preserve"> </w:t>
            </w:r>
            <w:r w:rsidRPr="00D2512B">
              <w:rPr>
                <w:spacing w:val="-2"/>
                <w:szCs w:val="22"/>
              </w:rPr>
              <w:t>requested)</w:t>
            </w:r>
          </w:p>
        </w:tc>
        <w:tc>
          <w:tcPr>
            <w:tcW w:w="1013" w:type="pct"/>
          </w:tcPr>
          <w:p w14:paraId="50B2D435" w14:textId="03F52079" w:rsidR="000D5284" w:rsidRPr="00D2512B" w:rsidRDefault="000D5284" w:rsidP="000D5284">
            <w:pPr>
              <w:cnfStyle w:val="100000000000" w:firstRow="1" w:lastRow="0" w:firstColumn="0" w:lastColumn="0" w:oddVBand="0" w:evenVBand="0" w:oddHBand="0" w:evenHBand="0" w:firstRowFirstColumn="0" w:firstRowLastColumn="0" w:lastRowFirstColumn="0" w:lastRowLastColumn="0"/>
              <w:rPr>
                <w:szCs w:val="22"/>
              </w:rPr>
            </w:pPr>
            <w:r w:rsidRPr="00D2512B">
              <w:rPr>
                <w:spacing w:val="-2"/>
                <w:szCs w:val="22"/>
              </w:rPr>
              <w:t>Other</w:t>
            </w:r>
            <w:r w:rsidRPr="00D2512B">
              <w:rPr>
                <w:spacing w:val="-12"/>
                <w:szCs w:val="22"/>
              </w:rPr>
              <w:t xml:space="preserve"> </w:t>
            </w:r>
            <w:r w:rsidRPr="00D2512B">
              <w:rPr>
                <w:spacing w:val="-2"/>
                <w:szCs w:val="22"/>
              </w:rPr>
              <w:t>relevant information</w:t>
            </w:r>
          </w:p>
        </w:tc>
      </w:tr>
      <w:tr w:rsidR="00D2512B" w:rsidRPr="00D2512B" w14:paraId="38D24E86" w14:textId="77777777" w:rsidTr="007426E6">
        <w:trPr>
          <w:cantSplit w:val="0"/>
        </w:trPr>
        <w:tc>
          <w:tcPr>
            <w:cnfStyle w:val="001000000000" w:firstRow="0" w:lastRow="0" w:firstColumn="1" w:lastColumn="0" w:oddVBand="0" w:evenVBand="0" w:oddHBand="0" w:evenHBand="0" w:firstRowFirstColumn="0" w:firstRowLastColumn="0" w:lastRowFirstColumn="0" w:lastRowLastColumn="0"/>
            <w:tcW w:w="754" w:type="pct"/>
          </w:tcPr>
          <w:p w14:paraId="4C540DE5" w14:textId="776D8B49" w:rsidR="00987C7A" w:rsidRPr="00D2512B" w:rsidRDefault="00987C7A" w:rsidP="00987C7A">
            <w:pPr>
              <w:rPr>
                <w:szCs w:val="22"/>
              </w:rPr>
            </w:pPr>
            <w:r w:rsidRPr="00D2512B">
              <w:rPr>
                <w:spacing w:val="-5"/>
                <w:szCs w:val="22"/>
              </w:rPr>
              <w:t>USA</w:t>
            </w:r>
          </w:p>
        </w:tc>
        <w:tc>
          <w:tcPr>
            <w:tcW w:w="776" w:type="pct"/>
          </w:tcPr>
          <w:p w14:paraId="40856F33" w14:textId="77777777" w:rsidR="00987C7A" w:rsidRPr="00D2512B" w:rsidRDefault="00987C7A" w:rsidP="00987C7A">
            <w:pPr>
              <w:pStyle w:val="TableParagraph"/>
              <w:spacing w:line="229" w:lineRule="exact"/>
              <w:cnfStyle w:val="000000000000" w:firstRow="0" w:lastRow="0" w:firstColumn="0" w:lastColumn="0" w:oddVBand="0" w:evenVBand="0" w:oddHBand="0" w:evenHBand="0" w:firstRowFirstColumn="0" w:firstRowLastColumn="0" w:lastRowFirstColumn="0" w:lastRowLastColumn="0"/>
            </w:pPr>
            <w:r w:rsidRPr="00D2512B">
              <w:t>21</w:t>
            </w:r>
            <w:r w:rsidRPr="00D2512B">
              <w:rPr>
                <w:spacing w:val="-5"/>
              </w:rPr>
              <w:t xml:space="preserve"> </w:t>
            </w:r>
            <w:r w:rsidRPr="00D2512B">
              <w:rPr>
                <w:spacing w:val="-2"/>
              </w:rPr>
              <w:t>January</w:t>
            </w:r>
          </w:p>
          <w:p w14:paraId="681D65F1" w14:textId="5A07BEC8" w:rsidR="00987C7A" w:rsidRPr="00D2512B" w:rsidRDefault="00987C7A" w:rsidP="00987C7A">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2022</w:t>
            </w:r>
          </w:p>
        </w:tc>
        <w:tc>
          <w:tcPr>
            <w:tcW w:w="697" w:type="pct"/>
          </w:tcPr>
          <w:p w14:paraId="762EF4E4" w14:textId="77777777" w:rsidR="00987C7A" w:rsidRPr="00D2512B" w:rsidRDefault="00987C7A" w:rsidP="00987C7A">
            <w:pPr>
              <w:pStyle w:val="TableParagraph"/>
              <w:spacing w:line="229" w:lineRule="exact"/>
              <w:ind w:left="110"/>
              <w:cnfStyle w:val="000000000000" w:firstRow="0" w:lastRow="0" w:firstColumn="0" w:lastColumn="0" w:oddVBand="0" w:evenVBand="0" w:oddHBand="0" w:evenHBand="0" w:firstRowFirstColumn="0" w:firstRowLastColumn="0" w:lastRowFirstColumn="0" w:lastRowLastColumn="0"/>
            </w:pPr>
            <w:r w:rsidRPr="00D2512B">
              <w:rPr>
                <w:spacing w:val="-2"/>
              </w:rPr>
              <w:t>Approved</w:t>
            </w:r>
          </w:p>
          <w:p w14:paraId="0275C0CC" w14:textId="77777777" w:rsidR="00987C7A" w:rsidRPr="00D2512B" w:rsidRDefault="00987C7A" w:rsidP="00987C7A">
            <w:pPr>
              <w:pStyle w:val="TableParagraph"/>
              <w:ind w:left="110"/>
              <w:cnfStyle w:val="000000000000" w:firstRow="0" w:lastRow="0" w:firstColumn="0" w:lastColumn="0" w:oddVBand="0" w:evenVBand="0" w:oddHBand="0" w:evenHBand="0" w:firstRowFirstColumn="0" w:firstRowLastColumn="0" w:lastRowFirstColumn="0" w:lastRowLastColumn="0"/>
            </w:pPr>
            <w:r w:rsidRPr="00D2512B">
              <w:t>21</w:t>
            </w:r>
            <w:r w:rsidRPr="00D2512B">
              <w:rPr>
                <w:spacing w:val="-5"/>
              </w:rPr>
              <w:t xml:space="preserve"> </w:t>
            </w:r>
            <w:r w:rsidRPr="00D2512B">
              <w:rPr>
                <w:spacing w:val="-2"/>
              </w:rPr>
              <w:t>September</w:t>
            </w:r>
          </w:p>
          <w:p w14:paraId="4FA5DDA9" w14:textId="7A721039" w:rsidR="00987C7A" w:rsidRPr="00D2512B" w:rsidRDefault="00987C7A" w:rsidP="00987C7A">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2022</w:t>
            </w:r>
          </w:p>
        </w:tc>
        <w:tc>
          <w:tcPr>
            <w:tcW w:w="1760" w:type="pct"/>
          </w:tcPr>
          <w:p w14:paraId="6B738132" w14:textId="013B8C6F" w:rsidR="00987C7A" w:rsidRPr="00D2512B" w:rsidRDefault="00C9665E" w:rsidP="00987C7A">
            <w:pPr>
              <w:pStyle w:val="TableParagraph"/>
              <w:ind w:right="89"/>
              <w:cnfStyle w:val="000000000000" w:firstRow="0" w:lastRow="0" w:firstColumn="0" w:lastColumn="0" w:oddVBand="0" w:evenVBand="0" w:oddHBand="0" w:evenHBand="0" w:firstRowFirstColumn="0" w:firstRowLastColumn="0" w:lastRowFirstColumn="0" w:lastRowLastColumn="0"/>
            </w:pPr>
            <w:r>
              <w:t>Elucirem</w:t>
            </w:r>
            <w:r w:rsidR="00987C7A" w:rsidRPr="00D2512B">
              <w:t xml:space="preserve"> is a gadolinium-based contrast agent indicated in adult and pediatric patients</w:t>
            </w:r>
            <w:r w:rsidR="00987C7A" w:rsidRPr="00D2512B">
              <w:rPr>
                <w:spacing w:val="-3"/>
              </w:rPr>
              <w:t xml:space="preserve"> </w:t>
            </w:r>
            <w:r w:rsidR="00987C7A" w:rsidRPr="00D2512B">
              <w:t>aged</w:t>
            </w:r>
            <w:r w:rsidR="00987C7A" w:rsidRPr="00D2512B">
              <w:rPr>
                <w:spacing w:val="-2"/>
              </w:rPr>
              <w:t xml:space="preserve"> </w:t>
            </w:r>
            <w:r w:rsidR="00987C7A" w:rsidRPr="00D2512B">
              <w:t>2</w:t>
            </w:r>
            <w:r w:rsidR="00987C7A" w:rsidRPr="00D2512B">
              <w:rPr>
                <w:spacing w:val="-5"/>
              </w:rPr>
              <w:t xml:space="preserve"> </w:t>
            </w:r>
            <w:r w:rsidR="00987C7A" w:rsidRPr="00D2512B">
              <w:t>years</w:t>
            </w:r>
            <w:r w:rsidR="00987C7A" w:rsidRPr="00D2512B">
              <w:rPr>
                <w:spacing w:val="-1"/>
              </w:rPr>
              <w:t xml:space="preserve"> </w:t>
            </w:r>
            <w:r w:rsidR="00987C7A" w:rsidRPr="00D2512B">
              <w:t>and</w:t>
            </w:r>
            <w:r w:rsidR="00987C7A" w:rsidRPr="00D2512B">
              <w:rPr>
                <w:spacing w:val="-5"/>
              </w:rPr>
              <w:t xml:space="preserve"> </w:t>
            </w:r>
            <w:r w:rsidR="00987C7A" w:rsidRPr="00D2512B">
              <w:t>older</w:t>
            </w:r>
            <w:r w:rsidR="00987C7A" w:rsidRPr="00D2512B">
              <w:rPr>
                <w:spacing w:val="-1"/>
              </w:rPr>
              <w:t xml:space="preserve"> </w:t>
            </w:r>
            <w:r w:rsidR="00987C7A" w:rsidRPr="00D2512B">
              <w:t>for</w:t>
            </w:r>
            <w:r w:rsidR="00987C7A" w:rsidRPr="00D2512B">
              <w:rPr>
                <w:spacing w:val="-1"/>
              </w:rPr>
              <w:t xml:space="preserve"> </w:t>
            </w:r>
            <w:r w:rsidR="00987C7A" w:rsidRPr="00D2512B">
              <w:t>use</w:t>
            </w:r>
            <w:r w:rsidR="00987C7A" w:rsidRPr="00D2512B">
              <w:rPr>
                <w:spacing w:val="-5"/>
              </w:rPr>
              <w:t xml:space="preserve"> </w:t>
            </w:r>
            <w:r w:rsidR="00987C7A" w:rsidRPr="00D2512B">
              <w:t>with magnetic</w:t>
            </w:r>
            <w:r w:rsidR="00987C7A" w:rsidRPr="00D2512B">
              <w:rPr>
                <w:spacing w:val="-14"/>
              </w:rPr>
              <w:t xml:space="preserve"> </w:t>
            </w:r>
            <w:r w:rsidR="00987C7A" w:rsidRPr="00D2512B">
              <w:t>resonance</w:t>
            </w:r>
            <w:r w:rsidR="00987C7A" w:rsidRPr="00D2512B">
              <w:rPr>
                <w:spacing w:val="-14"/>
              </w:rPr>
              <w:t xml:space="preserve"> </w:t>
            </w:r>
            <w:r w:rsidR="00987C7A" w:rsidRPr="00D2512B">
              <w:t>imaging</w:t>
            </w:r>
            <w:r w:rsidR="00987C7A" w:rsidRPr="00D2512B">
              <w:rPr>
                <w:spacing w:val="-14"/>
              </w:rPr>
              <w:t xml:space="preserve"> </w:t>
            </w:r>
            <w:r w:rsidR="00987C7A" w:rsidRPr="00D2512B">
              <w:t>(MRI)</w:t>
            </w:r>
            <w:r w:rsidR="00987C7A" w:rsidRPr="00D2512B">
              <w:rPr>
                <w:spacing w:val="-14"/>
              </w:rPr>
              <w:t xml:space="preserve"> </w:t>
            </w:r>
            <w:r w:rsidR="00987C7A" w:rsidRPr="00D2512B">
              <w:t>to</w:t>
            </w:r>
            <w:r w:rsidR="00987C7A" w:rsidRPr="00D2512B">
              <w:rPr>
                <w:spacing w:val="-14"/>
              </w:rPr>
              <w:t xml:space="preserve"> </w:t>
            </w:r>
            <w:r w:rsidR="00987C7A" w:rsidRPr="00D2512B">
              <w:t>detect and visualize lesions with abnormal vascularity in:</w:t>
            </w:r>
          </w:p>
          <w:p w14:paraId="49305C7D" w14:textId="77777777" w:rsidR="00987C7A" w:rsidRPr="00D2512B" w:rsidRDefault="00987C7A" w:rsidP="000D5284">
            <w:pPr>
              <w:pStyle w:val="ListBullet"/>
              <w:cnfStyle w:val="000000000000" w:firstRow="0" w:lastRow="0" w:firstColumn="0" w:lastColumn="0" w:oddVBand="0" w:evenVBand="0" w:oddHBand="0" w:evenHBand="0" w:firstRowFirstColumn="0" w:firstRowLastColumn="0" w:lastRowFirstColumn="0" w:lastRowLastColumn="0"/>
              <w:rPr>
                <w:szCs w:val="22"/>
              </w:rPr>
            </w:pPr>
            <w:r w:rsidRPr="00D2512B">
              <w:rPr>
                <w:szCs w:val="22"/>
              </w:rPr>
              <w:t>the</w:t>
            </w:r>
            <w:r w:rsidRPr="00D2512B">
              <w:rPr>
                <w:spacing w:val="-14"/>
                <w:szCs w:val="22"/>
              </w:rPr>
              <w:t xml:space="preserve"> </w:t>
            </w:r>
            <w:r w:rsidRPr="00D2512B">
              <w:rPr>
                <w:szCs w:val="22"/>
              </w:rPr>
              <w:t>central</w:t>
            </w:r>
            <w:r w:rsidRPr="00D2512B">
              <w:rPr>
                <w:spacing w:val="-14"/>
                <w:szCs w:val="22"/>
              </w:rPr>
              <w:t xml:space="preserve"> </w:t>
            </w:r>
            <w:r w:rsidRPr="00D2512B">
              <w:rPr>
                <w:szCs w:val="22"/>
              </w:rPr>
              <w:t>nervous</w:t>
            </w:r>
            <w:r w:rsidRPr="00D2512B">
              <w:rPr>
                <w:spacing w:val="-14"/>
                <w:szCs w:val="22"/>
              </w:rPr>
              <w:t xml:space="preserve"> </w:t>
            </w:r>
            <w:r w:rsidRPr="00D2512B">
              <w:rPr>
                <w:szCs w:val="22"/>
              </w:rPr>
              <w:t>system</w:t>
            </w:r>
            <w:r w:rsidRPr="00D2512B">
              <w:rPr>
                <w:spacing w:val="-14"/>
                <w:szCs w:val="22"/>
              </w:rPr>
              <w:t xml:space="preserve"> </w:t>
            </w:r>
            <w:r w:rsidRPr="00D2512B">
              <w:rPr>
                <w:szCs w:val="22"/>
              </w:rPr>
              <w:t>(brain,</w:t>
            </w:r>
            <w:r w:rsidRPr="00D2512B">
              <w:rPr>
                <w:spacing w:val="-14"/>
                <w:szCs w:val="22"/>
              </w:rPr>
              <w:t xml:space="preserve"> </w:t>
            </w:r>
            <w:r w:rsidRPr="00D2512B">
              <w:rPr>
                <w:szCs w:val="22"/>
              </w:rPr>
              <w:t>spine, and associated tissues),</w:t>
            </w:r>
          </w:p>
          <w:p w14:paraId="29358393" w14:textId="5F591507" w:rsidR="00987C7A" w:rsidRPr="00D2512B" w:rsidRDefault="00987C7A" w:rsidP="000D5284">
            <w:pPr>
              <w:pStyle w:val="ListBullet"/>
              <w:cnfStyle w:val="000000000000" w:firstRow="0" w:lastRow="0" w:firstColumn="0" w:lastColumn="0" w:oddVBand="0" w:evenVBand="0" w:oddHBand="0" w:evenHBand="0" w:firstRowFirstColumn="0" w:firstRowLastColumn="0" w:lastRowFirstColumn="0" w:lastRowLastColumn="0"/>
              <w:rPr>
                <w:szCs w:val="22"/>
              </w:rPr>
            </w:pPr>
            <w:r w:rsidRPr="00D2512B">
              <w:rPr>
                <w:szCs w:val="22"/>
              </w:rPr>
              <w:t>the body (head and neck, thorax, abdomen,</w:t>
            </w:r>
            <w:r w:rsidRPr="00D2512B">
              <w:rPr>
                <w:spacing w:val="-14"/>
                <w:szCs w:val="22"/>
              </w:rPr>
              <w:t xml:space="preserve"> </w:t>
            </w:r>
            <w:r w:rsidRPr="00D2512B">
              <w:rPr>
                <w:szCs w:val="22"/>
              </w:rPr>
              <w:t>pelvis,</w:t>
            </w:r>
            <w:r w:rsidRPr="00D2512B">
              <w:rPr>
                <w:spacing w:val="-14"/>
                <w:szCs w:val="22"/>
              </w:rPr>
              <w:t xml:space="preserve"> </w:t>
            </w:r>
            <w:r w:rsidRPr="00D2512B">
              <w:rPr>
                <w:szCs w:val="22"/>
              </w:rPr>
              <w:t>and</w:t>
            </w:r>
            <w:r w:rsidRPr="00D2512B">
              <w:rPr>
                <w:spacing w:val="-14"/>
                <w:szCs w:val="22"/>
              </w:rPr>
              <w:t xml:space="preserve"> </w:t>
            </w:r>
            <w:r w:rsidRPr="00D2512B">
              <w:rPr>
                <w:szCs w:val="22"/>
              </w:rPr>
              <w:t xml:space="preserve">musculoskeletal </w:t>
            </w:r>
            <w:r w:rsidRPr="00D2512B">
              <w:rPr>
                <w:spacing w:val="-2"/>
                <w:szCs w:val="22"/>
              </w:rPr>
              <w:t>system).</w:t>
            </w:r>
          </w:p>
        </w:tc>
        <w:tc>
          <w:tcPr>
            <w:tcW w:w="1013" w:type="pct"/>
          </w:tcPr>
          <w:p w14:paraId="05055674" w14:textId="7788A3C7" w:rsidR="00987C7A" w:rsidRPr="00D2512B" w:rsidRDefault="00987C7A" w:rsidP="00987C7A">
            <w:pPr>
              <w:cnfStyle w:val="000000000000" w:firstRow="0" w:lastRow="0" w:firstColumn="0" w:lastColumn="0" w:oddVBand="0" w:evenVBand="0" w:oddHBand="0" w:evenHBand="0" w:firstRowFirstColumn="0" w:firstRowLastColumn="0" w:lastRowFirstColumn="0" w:lastRowLastColumn="0"/>
              <w:rPr>
                <w:szCs w:val="22"/>
              </w:rPr>
            </w:pPr>
            <w:r w:rsidRPr="00D2512B">
              <w:rPr>
                <w:spacing w:val="-2"/>
                <w:szCs w:val="22"/>
              </w:rPr>
              <w:t>Priority</w:t>
            </w:r>
            <w:r w:rsidRPr="00D2512B">
              <w:rPr>
                <w:spacing w:val="-1"/>
                <w:szCs w:val="22"/>
              </w:rPr>
              <w:t xml:space="preserve"> </w:t>
            </w:r>
            <w:r w:rsidRPr="00D2512B">
              <w:rPr>
                <w:spacing w:val="-2"/>
                <w:szCs w:val="22"/>
              </w:rPr>
              <w:t>review</w:t>
            </w:r>
          </w:p>
        </w:tc>
      </w:tr>
      <w:tr w:rsidR="00D2512B" w:rsidRPr="00D2512B" w14:paraId="06DEF9BB" w14:textId="77777777" w:rsidTr="007426E6">
        <w:trPr>
          <w:cantSplit w:val="0"/>
        </w:trPr>
        <w:tc>
          <w:tcPr>
            <w:cnfStyle w:val="001000000000" w:firstRow="0" w:lastRow="0" w:firstColumn="1" w:lastColumn="0" w:oddVBand="0" w:evenVBand="0" w:oddHBand="0" w:evenHBand="0" w:firstRowFirstColumn="0" w:firstRowLastColumn="0" w:lastRowFirstColumn="0" w:lastRowLastColumn="0"/>
            <w:tcW w:w="754" w:type="pct"/>
          </w:tcPr>
          <w:p w14:paraId="47E18E60" w14:textId="6038B550" w:rsidR="00390310" w:rsidRPr="00D2512B" w:rsidRDefault="00390310" w:rsidP="00390310">
            <w:pPr>
              <w:rPr>
                <w:szCs w:val="22"/>
              </w:rPr>
            </w:pPr>
            <w:r w:rsidRPr="00D2512B">
              <w:rPr>
                <w:spacing w:val="-2"/>
                <w:szCs w:val="22"/>
              </w:rPr>
              <w:t xml:space="preserve">European Union </w:t>
            </w:r>
            <w:r w:rsidRPr="00D2512B">
              <w:rPr>
                <w:spacing w:val="-2"/>
                <w:szCs w:val="22"/>
              </w:rPr>
              <w:lastRenderedPageBreak/>
              <w:t xml:space="preserve">(including </w:t>
            </w:r>
            <w:r w:rsidRPr="00D2512B">
              <w:rPr>
                <w:szCs w:val="22"/>
              </w:rPr>
              <w:t>Norway</w:t>
            </w:r>
            <w:r w:rsidRPr="00D2512B">
              <w:rPr>
                <w:spacing w:val="-14"/>
                <w:szCs w:val="22"/>
              </w:rPr>
              <w:t xml:space="preserve"> </w:t>
            </w:r>
            <w:r w:rsidRPr="00D2512B">
              <w:rPr>
                <w:szCs w:val="22"/>
              </w:rPr>
              <w:t xml:space="preserve">and </w:t>
            </w:r>
            <w:r w:rsidRPr="00D2512B">
              <w:rPr>
                <w:spacing w:val="-2"/>
                <w:szCs w:val="22"/>
              </w:rPr>
              <w:t>Iceland)</w:t>
            </w:r>
          </w:p>
        </w:tc>
        <w:tc>
          <w:tcPr>
            <w:tcW w:w="776" w:type="pct"/>
          </w:tcPr>
          <w:p w14:paraId="7A9099EC" w14:textId="77777777" w:rsidR="00390310" w:rsidRPr="00D2512B" w:rsidRDefault="00390310" w:rsidP="00390310">
            <w:pPr>
              <w:pStyle w:val="TableParagraph"/>
              <w:spacing w:line="229" w:lineRule="exact"/>
              <w:cnfStyle w:val="000000000000" w:firstRow="0" w:lastRow="0" w:firstColumn="0" w:lastColumn="0" w:oddVBand="0" w:evenVBand="0" w:oddHBand="0" w:evenHBand="0" w:firstRowFirstColumn="0" w:firstRowLastColumn="0" w:lastRowFirstColumn="0" w:lastRowLastColumn="0"/>
            </w:pPr>
            <w:r w:rsidRPr="00D2512B">
              <w:lastRenderedPageBreak/>
              <w:t>26</w:t>
            </w:r>
            <w:r w:rsidRPr="00D2512B">
              <w:rPr>
                <w:spacing w:val="-5"/>
              </w:rPr>
              <w:t xml:space="preserve"> </w:t>
            </w:r>
            <w:r w:rsidRPr="00D2512B">
              <w:rPr>
                <w:spacing w:val="-2"/>
              </w:rPr>
              <w:t>January</w:t>
            </w:r>
          </w:p>
          <w:p w14:paraId="78A7812F" w14:textId="186DE71A" w:rsidR="00390310" w:rsidRPr="00D2512B" w:rsidRDefault="00390310" w:rsidP="00390310">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2022</w:t>
            </w:r>
          </w:p>
        </w:tc>
        <w:tc>
          <w:tcPr>
            <w:tcW w:w="697" w:type="pct"/>
          </w:tcPr>
          <w:p w14:paraId="4B47875E" w14:textId="77777777" w:rsidR="00390310" w:rsidRPr="00D2512B" w:rsidRDefault="00390310" w:rsidP="00390310">
            <w:pPr>
              <w:pStyle w:val="TableParagraph"/>
              <w:spacing w:line="229" w:lineRule="exact"/>
              <w:ind w:left="110"/>
              <w:cnfStyle w:val="000000000000" w:firstRow="0" w:lastRow="0" w:firstColumn="0" w:lastColumn="0" w:oddVBand="0" w:evenVBand="0" w:oddHBand="0" w:evenHBand="0" w:firstRowFirstColumn="0" w:firstRowLastColumn="0" w:lastRowFirstColumn="0" w:lastRowLastColumn="0"/>
            </w:pPr>
            <w:r w:rsidRPr="00D2512B">
              <w:rPr>
                <w:spacing w:val="-2"/>
              </w:rPr>
              <w:t>Approved</w:t>
            </w:r>
          </w:p>
          <w:p w14:paraId="12210076" w14:textId="77777777" w:rsidR="00390310" w:rsidRPr="00D2512B" w:rsidRDefault="00390310" w:rsidP="00390310">
            <w:pPr>
              <w:pStyle w:val="TableParagraph"/>
              <w:ind w:left="110"/>
              <w:cnfStyle w:val="000000000000" w:firstRow="0" w:lastRow="0" w:firstColumn="0" w:lastColumn="0" w:oddVBand="0" w:evenVBand="0" w:oddHBand="0" w:evenHBand="0" w:firstRowFirstColumn="0" w:firstRowLastColumn="0" w:lastRowFirstColumn="0" w:lastRowLastColumn="0"/>
            </w:pPr>
            <w:r w:rsidRPr="00D2512B">
              <w:t>07</w:t>
            </w:r>
            <w:r w:rsidRPr="00D2512B">
              <w:rPr>
                <w:spacing w:val="-5"/>
              </w:rPr>
              <w:t xml:space="preserve"> </w:t>
            </w:r>
            <w:r w:rsidRPr="00D2512B">
              <w:rPr>
                <w:spacing w:val="-2"/>
              </w:rPr>
              <w:t>December</w:t>
            </w:r>
          </w:p>
          <w:p w14:paraId="331FE1B3" w14:textId="171B6425" w:rsidR="00390310" w:rsidRPr="00D2512B" w:rsidRDefault="00390310" w:rsidP="00390310">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lastRenderedPageBreak/>
              <w:t>2023</w:t>
            </w:r>
          </w:p>
        </w:tc>
        <w:tc>
          <w:tcPr>
            <w:tcW w:w="1760" w:type="pct"/>
          </w:tcPr>
          <w:p w14:paraId="10DD988A" w14:textId="77777777" w:rsidR="00390310" w:rsidRPr="00D2512B" w:rsidRDefault="00390310" w:rsidP="00390310">
            <w:pPr>
              <w:pStyle w:val="TableParagraph"/>
              <w:cnfStyle w:val="000000000000" w:firstRow="0" w:lastRow="0" w:firstColumn="0" w:lastColumn="0" w:oddVBand="0" w:evenVBand="0" w:oddHBand="0" w:evenHBand="0" w:firstRowFirstColumn="0" w:firstRowLastColumn="0" w:lastRowFirstColumn="0" w:lastRowLastColumn="0"/>
            </w:pPr>
            <w:r w:rsidRPr="00D2512B">
              <w:lastRenderedPageBreak/>
              <w:t>This</w:t>
            </w:r>
            <w:r w:rsidRPr="00D2512B">
              <w:rPr>
                <w:spacing w:val="-6"/>
              </w:rPr>
              <w:t xml:space="preserve"> </w:t>
            </w:r>
            <w:r w:rsidRPr="00D2512B">
              <w:t>medicinal</w:t>
            </w:r>
            <w:r w:rsidRPr="00D2512B">
              <w:rPr>
                <w:spacing w:val="-8"/>
              </w:rPr>
              <w:t xml:space="preserve"> </w:t>
            </w:r>
            <w:r w:rsidRPr="00D2512B">
              <w:t>product</w:t>
            </w:r>
            <w:r w:rsidRPr="00D2512B">
              <w:rPr>
                <w:spacing w:val="-7"/>
              </w:rPr>
              <w:t xml:space="preserve"> </w:t>
            </w:r>
            <w:r w:rsidRPr="00D2512B">
              <w:t>is</w:t>
            </w:r>
            <w:r w:rsidRPr="00D2512B">
              <w:rPr>
                <w:spacing w:val="-6"/>
              </w:rPr>
              <w:t xml:space="preserve"> </w:t>
            </w:r>
            <w:r w:rsidRPr="00D2512B">
              <w:t>for</w:t>
            </w:r>
            <w:r w:rsidRPr="00D2512B">
              <w:rPr>
                <w:spacing w:val="-6"/>
              </w:rPr>
              <w:t xml:space="preserve"> </w:t>
            </w:r>
            <w:r w:rsidRPr="00D2512B">
              <w:t>diagnostic</w:t>
            </w:r>
            <w:r w:rsidRPr="00D2512B">
              <w:rPr>
                <w:spacing w:val="-6"/>
              </w:rPr>
              <w:t xml:space="preserve"> </w:t>
            </w:r>
            <w:r w:rsidRPr="00D2512B">
              <w:t xml:space="preserve">use </w:t>
            </w:r>
            <w:r w:rsidRPr="00D2512B">
              <w:rPr>
                <w:spacing w:val="-2"/>
              </w:rPr>
              <w:t>only.</w:t>
            </w:r>
          </w:p>
          <w:p w14:paraId="2031A959" w14:textId="77777777" w:rsidR="00390310" w:rsidRPr="00D2512B" w:rsidRDefault="00390310" w:rsidP="00390310">
            <w:pPr>
              <w:pStyle w:val="TableParagraph"/>
              <w:ind w:left="0"/>
              <w:cnfStyle w:val="000000000000" w:firstRow="0" w:lastRow="0" w:firstColumn="0" w:lastColumn="0" w:oddVBand="0" w:evenVBand="0" w:oddHBand="0" w:evenHBand="0" w:firstRowFirstColumn="0" w:firstRowLastColumn="0" w:lastRowFirstColumn="0" w:lastRowLastColumn="0"/>
              <w:rPr>
                <w:b/>
              </w:rPr>
            </w:pPr>
          </w:p>
          <w:p w14:paraId="2C3A6C30" w14:textId="32858C06" w:rsidR="00390310" w:rsidRPr="00D2512B" w:rsidRDefault="00C9665E" w:rsidP="00390310">
            <w:pPr>
              <w:pStyle w:val="TableParagraph"/>
              <w:ind w:right="268"/>
              <w:cnfStyle w:val="000000000000" w:firstRow="0" w:lastRow="0" w:firstColumn="0" w:lastColumn="0" w:oddVBand="0" w:evenVBand="0" w:oddHBand="0" w:evenHBand="0" w:firstRowFirstColumn="0" w:firstRowLastColumn="0" w:lastRowFirstColumn="0" w:lastRowLastColumn="0"/>
            </w:pPr>
            <w:r>
              <w:t>Elucirem</w:t>
            </w:r>
            <w:r w:rsidR="00390310" w:rsidRPr="00D2512B">
              <w:t xml:space="preserve"> is indicated in adults and children aged 2 years and older for contrast-enhanced magnetic resonance imaging (MRI) to improve detection and visualization</w:t>
            </w:r>
            <w:r w:rsidR="00390310" w:rsidRPr="00D2512B">
              <w:rPr>
                <w:spacing w:val="-11"/>
              </w:rPr>
              <w:t xml:space="preserve"> </w:t>
            </w:r>
            <w:r w:rsidR="00390310" w:rsidRPr="00D2512B">
              <w:t>of</w:t>
            </w:r>
            <w:r w:rsidR="00390310" w:rsidRPr="00D2512B">
              <w:rPr>
                <w:spacing w:val="-11"/>
              </w:rPr>
              <w:t xml:space="preserve"> </w:t>
            </w:r>
            <w:r w:rsidR="00390310" w:rsidRPr="00D2512B">
              <w:t>pathologies</w:t>
            </w:r>
            <w:r w:rsidR="00390310" w:rsidRPr="00D2512B">
              <w:rPr>
                <w:spacing w:val="-8"/>
              </w:rPr>
              <w:t xml:space="preserve"> </w:t>
            </w:r>
            <w:r w:rsidR="00390310" w:rsidRPr="00D2512B">
              <w:t>with</w:t>
            </w:r>
            <w:r w:rsidR="00390310" w:rsidRPr="00D2512B">
              <w:rPr>
                <w:spacing w:val="-10"/>
              </w:rPr>
              <w:t xml:space="preserve"> </w:t>
            </w:r>
            <w:r w:rsidR="00390310" w:rsidRPr="00D2512B">
              <w:t>disruption of the blood-brain-barrier (BBB) and/or abnormal vascularity of:</w:t>
            </w:r>
          </w:p>
          <w:p w14:paraId="58553165" w14:textId="77777777" w:rsidR="00390310" w:rsidRPr="00D2512B" w:rsidRDefault="00390310" w:rsidP="00390310">
            <w:pPr>
              <w:pStyle w:val="ListBullet"/>
              <w:cnfStyle w:val="000000000000" w:firstRow="0" w:lastRow="0" w:firstColumn="0" w:lastColumn="0" w:oddVBand="0" w:evenVBand="0" w:oddHBand="0" w:evenHBand="0" w:firstRowFirstColumn="0" w:firstRowLastColumn="0" w:lastRowFirstColumn="0" w:lastRowLastColumn="0"/>
              <w:rPr>
                <w:szCs w:val="22"/>
              </w:rPr>
            </w:pPr>
            <w:r w:rsidRPr="00D2512B">
              <w:rPr>
                <w:szCs w:val="22"/>
              </w:rPr>
              <w:t>the</w:t>
            </w:r>
            <w:r w:rsidRPr="00D2512B">
              <w:rPr>
                <w:spacing w:val="-10"/>
                <w:szCs w:val="22"/>
              </w:rPr>
              <w:t xml:space="preserve"> </w:t>
            </w:r>
            <w:r w:rsidRPr="00D2512B">
              <w:rPr>
                <w:szCs w:val="22"/>
              </w:rPr>
              <w:t>brain,</w:t>
            </w:r>
            <w:r w:rsidRPr="00D2512B">
              <w:rPr>
                <w:spacing w:val="-8"/>
                <w:szCs w:val="22"/>
              </w:rPr>
              <w:t xml:space="preserve"> </w:t>
            </w:r>
            <w:r w:rsidRPr="00D2512B">
              <w:rPr>
                <w:szCs w:val="22"/>
              </w:rPr>
              <w:t>spine,</w:t>
            </w:r>
            <w:r w:rsidRPr="00D2512B">
              <w:rPr>
                <w:spacing w:val="-8"/>
                <w:szCs w:val="22"/>
              </w:rPr>
              <w:t xml:space="preserve"> </w:t>
            </w:r>
            <w:r w:rsidRPr="00D2512B">
              <w:rPr>
                <w:szCs w:val="22"/>
              </w:rPr>
              <w:t>and</w:t>
            </w:r>
            <w:r w:rsidRPr="00D2512B">
              <w:rPr>
                <w:spacing w:val="-8"/>
                <w:szCs w:val="22"/>
              </w:rPr>
              <w:t xml:space="preserve"> </w:t>
            </w:r>
            <w:r w:rsidRPr="00D2512B">
              <w:rPr>
                <w:szCs w:val="22"/>
              </w:rPr>
              <w:t>associated</w:t>
            </w:r>
            <w:r w:rsidRPr="00D2512B">
              <w:rPr>
                <w:spacing w:val="-8"/>
                <w:szCs w:val="22"/>
              </w:rPr>
              <w:t xml:space="preserve"> </w:t>
            </w:r>
            <w:r w:rsidRPr="00D2512B">
              <w:rPr>
                <w:szCs w:val="22"/>
              </w:rPr>
              <w:t>tissues of the central nervous system (CNS);</w:t>
            </w:r>
          </w:p>
          <w:p w14:paraId="5754E63A" w14:textId="77777777" w:rsidR="00390310" w:rsidRPr="00D2512B" w:rsidRDefault="00390310" w:rsidP="00390310">
            <w:pPr>
              <w:pStyle w:val="ListBullet"/>
              <w:cnfStyle w:val="000000000000" w:firstRow="0" w:lastRow="0" w:firstColumn="0" w:lastColumn="0" w:oddVBand="0" w:evenVBand="0" w:oddHBand="0" w:evenHBand="0" w:firstRowFirstColumn="0" w:firstRowLastColumn="0" w:lastRowFirstColumn="0" w:lastRowLastColumn="0"/>
              <w:rPr>
                <w:szCs w:val="22"/>
              </w:rPr>
            </w:pPr>
            <w:r w:rsidRPr="00D2512B">
              <w:rPr>
                <w:szCs w:val="22"/>
              </w:rPr>
              <w:t>the liver, kidney, pancreas, breast, lung,</w:t>
            </w:r>
            <w:r w:rsidRPr="00D2512B">
              <w:rPr>
                <w:spacing w:val="-14"/>
                <w:szCs w:val="22"/>
              </w:rPr>
              <w:t xml:space="preserve"> </w:t>
            </w:r>
            <w:r w:rsidRPr="00D2512B">
              <w:rPr>
                <w:szCs w:val="22"/>
              </w:rPr>
              <w:t>prostate,</w:t>
            </w:r>
            <w:r w:rsidRPr="00D2512B">
              <w:rPr>
                <w:spacing w:val="-14"/>
                <w:szCs w:val="22"/>
              </w:rPr>
              <w:t xml:space="preserve"> </w:t>
            </w:r>
            <w:r w:rsidRPr="00D2512B">
              <w:rPr>
                <w:szCs w:val="22"/>
              </w:rPr>
              <w:t>and</w:t>
            </w:r>
            <w:r w:rsidRPr="00D2512B">
              <w:rPr>
                <w:spacing w:val="-13"/>
                <w:szCs w:val="22"/>
              </w:rPr>
              <w:t xml:space="preserve"> </w:t>
            </w:r>
            <w:r w:rsidRPr="00D2512B">
              <w:rPr>
                <w:szCs w:val="22"/>
              </w:rPr>
              <w:t xml:space="preserve">musculoskeletal </w:t>
            </w:r>
            <w:r w:rsidRPr="00D2512B">
              <w:rPr>
                <w:spacing w:val="-2"/>
                <w:szCs w:val="22"/>
              </w:rPr>
              <w:t>system.</w:t>
            </w:r>
          </w:p>
          <w:p w14:paraId="69226E49" w14:textId="6F11268B" w:rsidR="00390310" w:rsidRPr="00D2512B" w:rsidRDefault="00390310" w:rsidP="00390310">
            <w:pPr>
              <w:cnfStyle w:val="000000000000" w:firstRow="0" w:lastRow="0" w:firstColumn="0" w:lastColumn="0" w:oddVBand="0" w:evenVBand="0" w:oddHBand="0" w:evenHBand="0" w:firstRowFirstColumn="0" w:firstRowLastColumn="0" w:lastRowFirstColumn="0" w:lastRowLastColumn="0"/>
              <w:rPr>
                <w:szCs w:val="22"/>
              </w:rPr>
            </w:pPr>
            <w:r w:rsidRPr="00D2512B">
              <w:rPr>
                <w:szCs w:val="22"/>
              </w:rPr>
              <w:t>It should be used only when diagnostic information</w:t>
            </w:r>
            <w:r w:rsidRPr="00D2512B">
              <w:rPr>
                <w:spacing w:val="-8"/>
                <w:szCs w:val="22"/>
              </w:rPr>
              <w:t xml:space="preserve"> </w:t>
            </w:r>
            <w:r w:rsidRPr="00D2512B">
              <w:rPr>
                <w:szCs w:val="22"/>
              </w:rPr>
              <w:t>is</w:t>
            </w:r>
            <w:r w:rsidRPr="00D2512B">
              <w:rPr>
                <w:spacing w:val="-9"/>
                <w:szCs w:val="22"/>
              </w:rPr>
              <w:t xml:space="preserve"> </w:t>
            </w:r>
            <w:r w:rsidRPr="00D2512B">
              <w:rPr>
                <w:szCs w:val="22"/>
              </w:rPr>
              <w:t>essential</w:t>
            </w:r>
            <w:r w:rsidRPr="00D2512B">
              <w:rPr>
                <w:spacing w:val="-10"/>
                <w:szCs w:val="22"/>
              </w:rPr>
              <w:t xml:space="preserve"> </w:t>
            </w:r>
            <w:r w:rsidRPr="00D2512B">
              <w:rPr>
                <w:szCs w:val="22"/>
              </w:rPr>
              <w:t>and</w:t>
            </w:r>
            <w:r w:rsidRPr="00D2512B">
              <w:rPr>
                <w:spacing w:val="-8"/>
                <w:szCs w:val="22"/>
              </w:rPr>
              <w:t xml:space="preserve"> </w:t>
            </w:r>
            <w:r w:rsidRPr="00D2512B">
              <w:rPr>
                <w:szCs w:val="22"/>
              </w:rPr>
              <w:t>not</w:t>
            </w:r>
            <w:r w:rsidRPr="00D2512B">
              <w:rPr>
                <w:spacing w:val="-8"/>
                <w:szCs w:val="22"/>
              </w:rPr>
              <w:t xml:space="preserve"> </w:t>
            </w:r>
            <w:r w:rsidRPr="00D2512B">
              <w:rPr>
                <w:szCs w:val="22"/>
              </w:rPr>
              <w:t>available with unenhanced MRI.</w:t>
            </w:r>
          </w:p>
        </w:tc>
        <w:tc>
          <w:tcPr>
            <w:tcW w:w="1013" w:type="pct"/>
          </w:tcPr>
          <w:p w14:paraId="00009CC9" w14:textId="77777777" w:rsidR="00390310" w:rsidRPr="00D2512B" w:rsidRDefault="00390310" w:rsidP="00390310">
            <w:pPr>
              <w:pStyle w:val="TableParagraph"/>
              <w:ind w:left="110"/>
              <w:cnfStyle w:val="000000000000" w:firstRow="0" w:lastRow="0" w:firstColumn="0" w:lastColumn="0" w:oddVBand="0" w:evenVBand="0" w:oddHBand="0" w:evenHBand="0" w:firstRowFirstColumn="0" w:firstRowLastColumn="0" w:lastRowFirstColumn="0" w:lastRowLastColumn="0"/>
            </w:pPr>
            <w:r w:rsidRPr="00D2512B">
              <w:rPr>
                <w:spacing w:val="-2"/>
              </w:rPr>
              <w:lastRenderedPageBreak/>
              <w:t>Application</w:t>
            </w:r>
            <w:r w:rsidRPr="00D2512B">
              <w:rPr>
                <w:spacing w:val="-12"/>
              </w:rPr>
              <w:t xml:space="preserve"> </w:t>
            </w:r>
            <w:r w:rsidRPr="00D2512B">
              <w:rPr>
                <w:spacing w:val="-2"/>
              </w:rPr>
              <w:t>type: centralised</w:t>
            </w:r>
          </w:p>
          <w:p w14:paraId="328B68EB" w14:textId="77777777" w:rsidR="00390310" w:rsidRPr="00D2512B" w:rsidRDefault="00390310" w:rsidP="00390310">
            <w:pPr>
              <w:pStyle w:val="TableParagraph"/>
              <w:ind w:left="0"/>
              <w:cnfStyle w:val="000000000000" w:firstRow="0" w:lastRow="0" w:firstColumn="0" w:lastColumn="0" w:oddVBand="0" w:evenVBand="0" w:oddHBand="0" w:evenHBand="0" w:firstRowFirstColumn="0" w:firstRowLastColumn="0" w:lastRowFirstColumn="0" w:lastRowLastColumn="0"/>
              <w:rPr>
                <w:b/>
              </w:rPr>
            </w:pPr>
          </w:p>
          <w:p w14:paraId="2944C50F" w14:textId="77777777" w:rsidR="00390310" w:rsidRPr="00D2512B" w:rsidRDefault="00390310" w:rsidP="00390310">
            <w:pPr>
              <w:pStyle w:val="TableParagraph"/>
              <w:ind w:left="110"/>
              <w:cnfStyle w:val="000000000000" w:firstRow="0" w:lastRow="0" w:firstColumn="0" w:lastColumn="0" w:oddVBand="0" w:evenVBand="0" w:oddHBand="0" w:evenHBand="0" w:firstRowFirstColumn="0" w:firstRowLastColumn="0" w:lastRowFirstColumn="0" w:lastRowLastColumn="0"/>
            </w:pPr>
            <w:r w:rsidRPr="00D2512B">
              <w:rPr>
                <w:spacing w:val="-2"/>
              </w:rPr>
              <w:t>Rapporteur country:</w:t>
            </w:r>
            <w:r w:rsidRPr="00D2512B">
              <w:rPr>
                <w:spacing w:val="-12"/>
              </w:rPr>
              <w:t xml:space="preserve"> </w:t>
            </w:r>
            <w:r w:rsidRPr="00D2512B">
              <w:rPr>
                <w:spacing w:val="-2"/>
              </w:rPr>
              <w:t>The Netherlands</w:t>
            </w:r>
          </w:p>
          <w:p w14:paraId="4E488EDD" w14:textId="77777777" w:rsidR="00390310" w:rsidRPr="00D2512B" w:rsidRDefault="00390310" w:rsidP="00390310">
            <w:pPr>
              <w:pStyle w:val="TableParagraph"/>
              <w:ind w:left="0"/>
              <w:cnfStyle w:val="000000000000" w:firstRow="0" w:lastRow="0" w:firstColumn="0" w:lastColumn="0" w:oddVBand="0" w:evenVBand="0" w:oddHBand="0" w:evenHBand="0" w:firstRowFirstColumn="0" w:firstRowLastColumn="0" w:lastRowFirstColumn="0" w:lastRowLastColumn="0"/>
              <w:rPr>
                <w:b/>
              </w:rPr>
            </w:pPr>
          </w:p>
          <w:p w14:paraId="68EDD3B0" w14:textId="509D99E3" w:rsidR="00390310" w:rsidRPr="00D2512B" w:rsidRDefault="00390310" w:rsidP="00390310">
            <w:pPr>
              <w:cnfStyle w:val="000000000000" w:firstRow="0" w:lastRow="0" w:firstColumn="0" w:lastColumn="0" w:oddVBand="0" w:evenVBand="0" w:oddHBand="0" w:evenHBand="0" w:firstRowFirstColumn="0" w:firstRowLastColumn="0" w:lastRowFirstColumn="0" w:lastRowLastColumn="0"/>
              <w:rPr>
                <w:szCs w:val="22"/>
              </w:rPr>
            </w:pPr>
            <w:r w:rsidRPr="00D2512B">
              <w:rPr>
                <w:spacing w:val="-2"/>
                <w:szCs w:val="22"/>
              </w:rPr>
              <w:t>Co-rapporteur country:</w:t>
            </w:r>
            <w:r w:rsidRPr="00D2512B">
              <w:rPr>
                <w:spacing w:val="-12"/>
                <w:szCs w:val="22"/>
              </w:rPr>
              <w:t xml:space="preserve"> </w:t>
            </w:r>
            <w:r w:rsidRPr="00D2512B">
              <w:rPr>
                <w:spacing w:val="-2"/>
                <w:szCs w:val="22"/>
              </w:rPr>
              <w:t>Ireland</w:t>
            </w:r>
          </w:p>
        </w:tc>
      </w:tr>
      <w:tr w:rsidR="00D2512B" w:rsidRPr="00D2512B" w14:paraId="18B6E2AA" w14:textId="7783D66F" w:rsidTr="007426E6">
        <w:trPr>
          <w:cantSplit w:val="0"/>
        </w:trPr>
        <w:tc>
          <w:tcPr>
            <w:cnfStyle w:val="001000000000" w:firstRow="0" w:lastRow="0" w:firstColumn="1" w:lastColumn="0" w:oddVBand="0" w:evenVBand="0" w:oddHBand="0" w:evenHBand="0" w:firstRowFirstColumn="0" w:firstRowLastColumn="0" w:lastRowFirstColumn="0" w:lastRowLastColumn="0"/>
            <w:tcW w:w="754" w:type="pct"/>
          </w:tcPr>
          <w:p w14:paraId="7F348960" w14:textId="0DDBA85A" w:rsidR="00920084" w:rsidRPr="00D2512B" w:rsidRDefault="00920084" w:rsidP="00920084">
            <w:pPr>
              <w:rPr>
                <w:szCs w:val="22"/>
              </w:rPr>
            </w:pPr>
            <w:r w:rsidRPr="00D2512B">
              <w:rPr>
                <w:spacing w:val="-4"/>
                <w:szCs w:val="22"/>
              </w:rPr>
              <w:lastRenderedPageBreak/>
              <w:t xml:space="preserve">Great </w:t>
            </w:r>
            <w:r w:rsidRPr="00D2512B">
              <w:rPr>
                <w:spacing w:val="-2"/>
                <w:szCs w:val="22"/>
              </w:rPr>
              <w:t>Britain</w:t>
            </w:r>
          </w:p>
        </w:tc>
        <w:tc>
          <w:tcPr>
            <w:tcW w:w="776" w:type="pct"/>
          </w:tcPr>
          <w:p w14:paraId="3ED64C2D" w14:textId="77777777" w:rsidR="00920084" w:rsidRPr="00D2512B" w:rsidRDefault="00920084" w:rsidP="00920084">
            <w:pPr>
              <w:pStyle w:val="TableParagraph"/>
              <w:spacing w:line="229" w:lineRule="exact"/>
              <w:cnfStyle w:val="000000000000" w:firstRow="0" w:lastRow="0" w:firstColumn="0" w:lastColumn="0" w:oddVBand="0" w:evenVBand="0" w:oddHBand="0" w:evenHBand="0" w:firstRowFirstColumn="0" w:firstRowLastColumn="0" w:lastRowFirstColumn="0" w:lastRowLastColumn="0"/>
            </w:pPr>
            <w:r w:rsidRPr="00D2512B">
              <w:t>17</w:t>
            </w:r>
            <w:r w:rsidRPr="00D2512B">
              <w:rPr>
                <w:spacing w:val="-5"/>
              </w:rPr>
              <w:t xml:space="preserve"> </w:t>
            </w:r>
            <w:r w:rsidRPr="00D2512B">
              <w:rPr>
                <w:spacing w:val="-2"/>
              </w:rPr>
              <w:t>October</w:t>
            </w:r>
          </w:p>
          <w:p w14:paraId="29D7CDEE" w14:textId="3E353F20"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2023</w:t>
            </w:r>
          </w:p>
        </w:tc>
        <w:tc>
          <w:tcPr>
            <w:tcW w:w="697" w:type="pct"/>
          </w:tcPr>
          <w:p w14:paraId="1BC3943B" w14:textId="77777777" w:rsidR="00920084" w:rsidRPr="00D2512B" w:rsidRDefault="00920084" w:rsidP="00920084">
            <w:pPr>
              <w:pStyle w:val="TableParagraph"/>
              <w:spacing w:line="229" w:lineRule="exact"/>
              <w:cnfStyle w:val="000000000000" w:firstRow="0" w:lastRow="0" w:firstColumn="0" w:lastColumn="0" w:oddVBand="0" w:evenVBand="0" w:oddHBand="0" w:evenHBand="0" w:firstRowFirstColumn="0" w:firstRowLastColumn="0" w:lastRowFirstColumn="0" w:lastRowLastColumn="0"/>
            </w:pPr>
            <w:r w:rsidRPr="00D2512B">
              <w:rPr>
                <w:spacing w:val="-2"/>
              </w:rPr>
              <w:t>Approved</w:t>
            </w:r>
          </w:p>
          <w:p w14:paraId="391A5A99" w14:textId="77777777" w:rsidR="00920084" w:rsidRPr="00D2512B" w:rsidRDefault="00920084" w:rsidP="00920084">
            <w:pPr>
              <w:pStyle w:val="TableParagraph"/>
              <w:cnfStyle w:val="000000000000" w:firstRow="0" w:lastRow="0" w:firstColumn="0" w:lastColumn="0" w:oddVBand="0" w:evenVBand="0" w:oddHBand="0" w:evenHBand="0" w:firstRowFirstColumn="0" w:firstRowLastColumn="0" w:lastRowFirstColumn="0" w:lastRowLastColumn="0"/>
            </w:pPr>
            <w:r w:rsidRPr="00D2512B">
              <w:t>12</w:t>
            </w:r>
            <w:r w:rsidRPr="00D2512B">
              <w:rPr>
                <w:spacing w:val="-5"/>
              </w:rPr>
              <w:t xml:space="preserve"> </w:t>
            </w:r>
            <w:r w:rsidRPr="00D2512B">
              <w:rPr>
                <w:spacing w:val="-2"/>
              </w:rPr>
              <w:t>December</w:t>
            </w:r>
          </w:p>
          <w:p w14:paraId="1D871E57" w14:textId="43127E24"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2023</w:t>
            </w:r>
          </w:p>
        </w:tc>
        <w:tc>
          <w:tcPr>
            <w:tcW w:w="1760" w:type="pct"/>
          </w:tcPr>
          <w:p w14:paraId="79E2ADC7" w14:textId="77777777" w:rsidR="00920084" w:rsidRPr="00D2512B" w:rsidRDefault="00920084" w:rsidP="00920084">
            <w:pPr>
              <w:pStyle w:val="TableParagraph"/>
              <w:ind w:left="108" w:right="217"/>
              <w:cnfStyle w:val="000000000000" w:firstRow="0" w:lastRow="0" w:firstColumn="0" w:lastColumn="0" w:oddVBand="0" w:evenVBand="0" w:oddHBand="0" w:evenHBand="0" w:firstRowFirstColumn="0" w:firstRowLastColumn="0" w:lastRowFirstColumn="0" w:lastRowLastColumn="0"/>
            </w:pPr>
            <w:r w:rsidRPr="00D2512B">
              <w:t>This</w:t>
            </w:r>
            <w:r w:rsidRPr="00D2512B">
              <w:rPr>
                <w:spacing w:val="-8"/>
              </w:rPr>
              <w:t xml:space="preserve"> </w:t>
            </w:r>
            <w:r w:rsidRPr="00D2512B">
              <w:t>medicinal</w:t>
            </w:r>
            <w:r w:rsidRPr="00D2512B">
              <w:rPr>
                <w:spacing w:val="-10"/>
              </w:rPr>
              <w:t xml:space="preserve"> </w:t>
            </w:r>
            <w:r w:rsidRPr="00D2512B">
              <w:t>product</w:t>
            </w:r>
            <w:r w:rsidRPr="00D2512B">
              <w:rPr>
                <w:spacing w:val="-9"/>
              </w:rPr>
              <w:t xml:space="preserve"> </w:t>
            </w:r>
            <w:r w:rsidRPr="00D2512B">
              <w:t>is</w:t>
            </w:r>
            <w:r w:rsidRPr="00D2512B">
              <w:rPr>
                <w:spacing w:val="-8"/>
              </w:rPr>
              <w:t xml:space="preserve"> </w:t>
            </w:r>
            <w:r w:rsidRPr="00D2512B">
              <w:t>for</w:t>
            </w:r>
            <w:r w:rsidRPr="00D2512B">
              <w:rPr>
                <w:spacing w:val="-8"/>
              </w:rPr>
              <w:t xml:space="preserve"> </w:t>
            </w:r>
            <w:r w:rsidRPr="00D2512B">
              <w:t>diagnostic use only.</w:t>
            </w:r>
          </w:p>
          <w:p w14:paraId="7658E430" w14:textId="310B1A42" w:rsidR="00920084" w:rsidRDefault="00C9665E" w:rsidP="00920084">
            <w:pPr>
              <w:pStyle w:val="TableParagraph"/>
              <w:ind w:right="198"/>
              <w:cnfStyle w:val="000000000000" w:firstRow="0" w:lastRow="0" w:firstColumn="0" w:lastColumn="0" w:oddVBand="0" w:evenVBand="0" w:oddHBand="0" w:evenHBand="0" w:firstRowFirstColumn="0" w:firstRowLastColumn="0" w:lastRowFirstColumn="0" w:lastRowLastColumn="0"/>
            </w:pPr>
            <w:r>
              <w:t>Elucirem</w:t>
            </w:r>
            <w:r w:rsidR="00920084" w:rsidRPr="00D2512B">
              <w:t xml:space="preserve"> is indicated in adults and children aged 2 years and older for contrast-enhanced magnetic resonance imaging (MRI) to improve detection and visualization</w:t>
            </w:r>
            <w:r w:rsidR="00920084" w:rsidRPr="00D2512B">
              <w:rPr>
                <w:spacing w:val="-11"/>
              </w:rPr>
              <w:t xml:space="preserve"> </w:t>
            </w:r>
            <w:r w:rsidR="00920084" w:rsidRPr="00D2512B">
              <w:t>of</w:t>
            </w:r>
            <w:r w:rsidR="00920084" w:rsidRPr="00D2512B">
              <w:rPr>
                <w:spacing w:val="-11"/>
              </w:rPr>
              <w:t xml:space="preserve"> </w:t>
            </w:r>
            <w:r w:rsidR="00920084" w:rsidRPr="00D2512B">
              <w:t>pathologies</w:t>
            </w:r>
            <w:r w:rsidR="00920084" w:rsidRPr="00D2512B">
              <w:rPr>
                <w:spacing w:val="-8"/>
              </w:rPr>
              <w:t xml:space="preserve"> </w:t>
            </w:r>
            <w:r w:rsidR="00920084" w:rsidRPr="00D2512B">
              <w:t>with</w:t>
            </w:r>
            <w:r w:rsidR="00920084" w:rsidRPr="00D2512B">
              <w:rPr>
                <w:spacing w:val="-10"/>
              </w:rPr>
              <w:t xml:space="preserve"> </w:t>
            </w:r>
            <w:r w:rsidR="00920084" w:rsidRPr="00D2512B">
              <w:t>disruption of the blood-brain-barrier (BBB) and/or abnormal vascularity of:</w:t>
            </w:r>
          </w:p>
          <w:p w14:paraId="60B9777F" w14:textId="77777777" w:rsidR="00D2512B" w:rsidRPr="00D2512B" w:rsidRDefault="00D2512B" w:rsidP="00920084">
            <w:pPr>
              <w:pStyle w:val="TableParagraph"/>
              <w:ind w:right="198"/>
              <w:cnfStyle w:val="000000000000" w:firstRow="0" w:lastRow="0" w:firstColumn="0" w:lastColumn="0" w:oddVBand="0" w:evenVBand="0" w:oddHBand="0" w:evenHBand="0" w:firstRowFirstColumn="0" w:firstRowLastColumn="0" w:lastRowFirstColumn="0" w:lastRowLastColumn="0"/>
            </w:pPr>
          </w:p>
          <w:p w14:paraId="4B3704F7" w14:textId="77777777" w:rsidR="00920084" w:rsidRPr="00D2512B" w:rsidRDefault="00920084" w:rsidP="00920084">
            <w:pPr>
              <w:pStyle w:val="TableParagraph"/>
              <w:numPr>
                <w:ilvl w:val="0"/>
                <w:numId w:val="18"/>
              </w:numPr>
              <w:tabs>
                <w:tab w:val="left" w:pos="467"/>
              </w:tabs>
              <w:spacing w:before="4" w:line="237" w:lineRule="auto"/>
              <w:ind w:right="271"/>
              <w:cnfStyle w:val="000000000000" w:firstRow="0" w:lastRow="0" w:firstColumn="0" w:lastColumn="0" w:oddVBand="0" w:evenVBand="0" w:oddHBand="0" w:evenHBand="0" w:firstRowFirstColumn="0" w:firstRowLastColumn="0" w:lastRowFirstColumn="0" w:lastRowLastColumn="0"/>
            </w:pPr>
            <w:r w:rsidRPr="00D2512B">
              <w:t>the brain, spine, and associated tissues</w:t>
            </w:r>
            <w:r w:rsidRPr="00D2512B">
              <w:rPr>
                <w:spacing w:val="-8"/>
              </w:rPr>
              <w:t xml:space="preserve"> </w:t>
            </w:r>
            <w:r w:rsidRPr="00D2512B">
              <w:t>of</w:t>
            </w:r>
            <w:r w:rsidRPr="00D2512B">
              <w:rPr>
                <w:spacing w:val="-9"/>
              </w:rPr>
              <w:t xml:space="preserve"> </w:t>
            </w:r>
            <w:r w:rsidRPr="00D2512B">
              <w:t>the</w:t>
            </w:r>
            <w:r w:rsidRPr="00D2512B">
              <w:rPr>
                <w:spacing w:val="-9"/>
              </w:rPr>
              <w:t xml:space="preserve"> </w:t>
            </w:r>
            <w:r w:rsidRPr="00D2512B">
              <w:t>central</w:t>
            </w:r>
            <w:r w:rsidRPr="00D2512B">
              <w:rPr>
                <w:spacing w:val="-8"/>
              </w:rPr>
              <w:t xml:space="preserve"> </w:t>
            </w:r>
            <w:r w:rsidRPr="00D2512B">
              <w:t>nervous</w:t>
            </w:r>
            <w:r w:rsidRPr="00D2512B">
              <w:rPr>
                <w:spacing w:val="-8"/>
              </w:rPr>
              <w:t xml:space="preserve"> </w:t>
            </w:r>
            <w:r w:rsidRPr="00D2512B">
              <w:t xml:space="preserve">system </w:t>
            </w:r>
            <w:r w:rsidRPr="00D2512B">
              <w:rPr>
                <w:spacing w:val="-2"/>
              </w:rPr>
              <w:t>(CNS);</w:t>
            </w:r>
          </w:p>
          <w:p w14:paraId="18C65791" w14:textId="77777777" w:rsidR="00920084" w:rsidRPr="00D2512B" w:rsidRDefault="00920084" w:rsidP="00920084">
            <w:pPr>
              <w:pStyle w:val="TableParagraph"/>
              <w:numPr>
                <w:ilvl w:val="0"/>
                <w:numId w:val="18"/>
              </w:numPr>
              <w:tabs>
                <w:tab w:val="left" w:pos="467"/>
              </w:tabs>
              <w:spacing w:before="6" w:line="237" w:lineRule="auto"/>
              <w:ind w:right="428"/>
              <w:cnfStyle w:val="000000000000" w:firstRow="0" w:lastRow="0" w:firstColumn="0" w:lastColumn="0" w:oddVBand="0" w:evenVBand="0" w:oddHBand="0" w:evenHBand="0" w:firstRowFirstColumn="0" w:firstRowLastColumn="0" w:lastRowFirstColumn="0" w:lastRowLastColumn="0"/>
            </w:pPr>
            <w:r w:rsidRPr="00D2512B">
              <w:t>the liver, kidney, pancreas, breast, lung,</w:t>
            </w:r>
            <w:r w:rsidRPr="00D2512B">
              <w:rPr>
                <w:spacing w:val="-14"/>
              </w:rPr>
              <w:t xml:space="preserve"> </w:t>
            </w:r>
            <w:r w:rsidRPr="00D2512B">
              <w:t>prostate,</w:t>
            </w:r>
            <w:r w:rsidRPr="00D2512B">
              <w:rPr>
                <w:spacing w:val="-13"/>
              </w:rPr>
              <w:t xml:space="preserve"> </w:t>
            </w:r>
            <w:r w:rsidRPr="00D2512B">
              <w:t>and</w:t>
            </w:r>
            <w:r w:rsidRPr="00D2512B">
              <w:rPr>
                <w:spacing w:val="-13"/>
              </w:rPr>
              <w:t xml:space="preserve"> </w:t>
            </w:r>
            <w:r w:rsidRPr="00D2512B">
              <w:t xml:space="preserve">musculoskeletal </w:t>
            </w:r>
            <w:r w:rsidRPr="00D2512B">
              <w:rPr>
                <w:spacing w:val="-2"/>
              </w:rPr>
              <w:t>system.</w:t>
            </w:r>
          </w:p>
          <w:p w14:paraId="63A3A9D3" w14:textId="0C1A155E"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zCs w:val="22"/>
              </w:rPr>
              <w:t>It should be used only when diagnostic information</w:t>
            </w:r>
            <w:r w:rsidRPr="00D2512B">
              <w:rPr>
                <w:spacing w:val="-8"/>
                <w:szCs w:val="22"/>
              </w:rPr>
              <w:t xml:space="preserve"> </w:t>
            </w:r>
            <w:r w:rsidRPr="00D2512B">
              <w:rPr>
                <w:szCs w:val="22"/>
              </w:rPr>
              <w:t>is</w:t>
            </w:r>
            <w:r w:rsidRPr="00D2512B">
              <w:rPr>
                <w:spacing w:val="-9"/>
                <w:szCs w:val="22"/>
              </w:rPr>
              <w:t xml:space="preserve"> </w:t>
            </w:r>
            <w:r w:rsidRPr="00D2512B">
              <w:rPr>
                <w:szCs w:val="22"/>
              </w:rPr>
              <w:t>essential</w:t>
            </w:r>
            <w:r w:rsidRPr="00D2512B">
              <w:rPr>
                <w:spacing w:val="-10"/>
                <w:szCs w:val="22"/>
              </w:rPr>
              <w:t xml:space="preserve"> </w:t>
            </w:r>
            <w:r w:rsidRPr="00D2512B">
              <w:rPr>
                <w:szCs w:val="22"/>
              </w:rPr>
              <w:t>and</w:t>
            </w:r>
            <w:r w:rsidRPr="00D2512B">
              <w:rPr>
                <w:spacing w:val="-8"/>
                <w:szCs w:val="22"/>
              </w:rPr>
              <w:t xml:space="preserve"> </w:t>
            </w:r>
            <w:r w:rsidRPr="00D2512B">
              <w:rPr>
                <w:szCs w:val="22"/>
              </w:rPr>
              <w:t>not</w:t>
            </w:r>
            <w:r w:rsidRPr="00D2512B">
              <w:rPr>
                <w:spacing w:val="-8"/>
                <w:szCs w:val="22"/>
              </w:rPr>
              <w:t xml:space="preserve"> </w:t>
            </w:r>
            <w:r w:rsidRPr="00D2512B">
              <w:rPr>
                <w:szCs w:val="22"/>
              </w:rPr>
              <w:t>available with unenhanced MRI.</w:t>
            </w:r>
          </w:p>
        </w:tc>
        <w:tc>
          <w:tcPr>
            <w:tcW w:w="1013" w:type="pct"/>
          </w:tcPr>
          <w:p w14:paraId="5CF5F3AC" w14:textId="77777777" w:rsidR="00920084" w:rsidRPr="00D2512B" w:rsidRDefault="00920084" w:rsidP="001834E4">
            <w:pPr>
              <w:pStyle w:val="TableParagraph"/>
              <w:ind w:left="111" w:right="72"/>
              <w:cnfStyle w:val="000000000000" w:firstRow="0" w:lastRow="0" w:firstColumn="0" w:lastColumn="0" w:oddVBand="0" w:evenVBand="0" w:oddHBand="0" w:evenHBand="0" w:firstRowFirstColumn="0" w:firstRowLastColumn="0" w:lastRowFirstColumn="0" w:lastRowLastColumn="0"/>
            </w:pPr>
            <w:r w:rsidRPr="00D2512B">
              <w:rPr>
                <w:spacing w:val="-2"/>
              </w:rPr>
              <w:t>Application type: ECDRP</w:t>
            </w:r>
          </w:p>
          <w:p w14:paraId="140D99B0" w14:textId="101AC5F5" w:rsidR="00920084" w:rsidRPr="006A7451" w:rsidRDefault="00920084" w:rsidP="006A7451">
            <w:pPr>
              <w:pStyle w:val="TableParagraph"/>
              <w:ind w:left="111" w:right="426"/>
              <w:cnfStyle w:val="000000000000" w:firstRow="0" w:lastRow="0" w:firstColumn="0" w:lastColumn="0" w:oddVBand="0" w:evenVBand="0" w:oddHBand="0" w:evenHBand="0" w:firstRowFirstColumn="0" w:firstRowLastColumn="0" w:lastRowFirstColumn="0" w:lastRowLastColumn="0"/>
            </w:pPr>
            <w:r w:rsidRPr="00D2512B">
              <w:rPr>
                <w:spacing w:val="-2"/>
              </w:rPr>
              <w:t>(European Commission Decision Reliance Procedure)</w:t>
            </w:r>
          </w:p>
          <w:p w14:paraId="17C650B8" w14:textId="68CDABDC"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pacing w:val="-2"/>
                <w:szCs w:val="22"/>
              </w:rPr>
              <w:t>Same</w:t>
            </w:r>
            <w:r w:rsidRPr="00D2512B">
              <w:rPr>
                <w:spacing w:val="-12"/>
                <w:szCs w:val="22"/>
              </w:rPr>
              <w:t xml:space="preserve"> </w:t>
            </w:r>
            <w:r w:rsidRPr="00D2512B">
              <w:rPr>
                <w:spacing w:val="-2"/>
                <w:szCs w:val="22"/>
              </w:rPr>
              <w:t xml:space="preserve">dossier </w:t>
            </w:r>
            <w:r w:rsidRPr="00D2512B">
              <w:rPr>
                <w:szCs w:val="22"/>
              </w:rPr>
              <w:t>as</w:t>
            </w:r>
            <w:r w:rsidRPr="00D2512B">
              <w:rPr>
                <w:spacing w:val="-4"/>
                <w:szCs w:val="22"/>
              </w:rPr>
              <w:t xml:space="preserve"> </w:t>
            </w:r>
            <w:r w:rsidRPr="00D2512B">
              <w:rPr>
                <w:szCs w:val="22"/>
              </w:rPr>
              <w:t>EU</w:t>
            </w:r>
            <w:r w:rsidRPr="00D2512B">
              <w:rPr>
                <w:spacing w:val="-4"/>
                <w:szCs w:val="22"/>
              </w:rPr>
              <w:t xml:space="preserve"> </w:t>
            </w:r>
            <w:r w:rsidRPr="00D2512B">
              <w:rPr>
                <w:spacing w:val="-2"/>
                <w:szCs w:val="22"/>
              </w:rPr>
              <w:t>eCTD.</w:t>
            </w:r>
          </w:p>
        </w:tc>
      </w:tr>
      <w:tr w:rsidR="00D2512B" w:rsidRPr="00D2512B" w14:paraId="101E3829" w14:textId="77777777" w:rsidTr="007426E6">
        <w:trPr>
          <w:cantSplit w:val="0"/>
        </w:trPr>
        <w:tc>
          <w:tcPr>
            <w:cnfStyle w:val="001000000000" w:firstRow="0" w:lastRow="0" w:firstColumn="1" w:lastColumn="0" w:oddVBand="0" w:evenVBand="0" w:oddHBand="0" w:evenHBand="0" w:firstRowFirstColumn="0" w:firstRowLastColumn="0" w:lastRowFirstColumn="0" w:lastRowLastColumn="0"/>
            <w:tcW w:w="754" w:type="pct"/>
          </w:tcPr>
          <w:p w14:paraId="620B3914" w14:textId="62B637D5" w:rsidR="00920084" w:rsidRPr="00D2512B" w:rsidRDefault="00920084" w:rsidP="00920084">
            <w:pPr>
              <w:rPr>
                <w:szCs w:val="22"/>
              </w:rPr>
            </w:pPr>
            <w:r w:rsidRPr="00D2512B">
              <w:rPr>
                <w:spacing w:val="-2"/>
                <w:szCs w:val="22"/>
              </w:rPr>
              <w:lastRenderedPageBreak/>
              <w:t>Switzerland</w:t>
            </w:r>
          </w:p>
        </w:tc>
        <w:tc>
          <w:tcPr>
            <w:tcW w:w="776" w:type="pct"/>
          </w:tcPr>
          <w:p w14:paraId="23B51126" w14:textId="0388CDEF"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zCs w:val="22"/>
              </w:rPr>
              <w:t>12</w:t>
            </w:r>
            <w:r w:rsidRPr="00D2512B">
              <w:rPr>
                <w:spacing w:val="-6"/>
                <w:szCs w:val="22"/>
              </w:rPr>
              <w:t xml:space="preserve"> </w:t>
            </w:r>
            <w:r w:rsidRPr="00D2512B">
              <w:rPr>
                <w:szCs w:val="22"/>
              </w:rPr>
              <w:t>May</w:t>
            </w:r>
            <w:r w:rsidRPr="00D2512B">
              <w:rPr>
                <w:spacing w:val="-3"/>
                <w:szCs w:val="22"/>
              </w:rPr>
              <w:t xml:space="preserve"> </w:t>
            </w:r>
            <w:r w:rsidRPr="00D2512B">
              <w:rPr>
                <w:spacing w:val="-4"/>
                <w:szCs w:val="22"/>
              </w:rPr>
              <w:t>2022</w:t>
            </w:r>
          </w:p>
        </w:tc>
        <w:tc>
          <w:tcPr>
            <w:tcW w:w="697" w:type="pct"/>
          </w:tcPr>
          <w:p w14:paraId="3250FE5A" w14:textId="77777777" w:rsidR="00920084" w:rsidRPr="00D2512B" w:rsidRDefault="00920084" w:rsidP="00920084">
            <w:pPr>
              <w:pStyle w:val="TableParagraph"/>
              <w:spacing w:line="229" w:lineRule="exact"/>
              <w:ind w:left="110"/>
              <w:cnfStyle w:val="000000000000" w:firstRow="0" w:lastRow="0" w:firstColumn="0" w:lastColumn="0" w:oddVBand="0" w:evenVBand="0" w:oddHBand="0" w:evenHBand="0" w:firstRowFirstColumn="0" w:firstRowLastColumn="0" w:lastRowFirstColumn="0" w:lastRowLastColumn="0"/>
            </w:pPr>
            <w:r w:rsidRPr="00D2512B">
              <w:rPr>
                <w:spacing w:val="-2"/>
              </w:rPr>
              <w:t>Approved</w:t>
            </w:r>
          </w:p>
          <w:p w14:paraId="683A82D5" w14:textId="77777777" w:rsidR="00920084" w:rsidRPr="00D2512B" w:rsidRDefault="00920084" w:rsidP="00920084">
            <w:pPr>
              <w:pStyle w:val="TableParagraph"/>
              <w:ind w:left="110"/>
              <w:cnfStyle w:val="000000000000" w:firstRow="0" w:lastRow="0" w:firstColumn="0" w:lastColumn="0" w:oddVBand="0" w:evenVBand="0" w:oddHBand="0" w:evenHBand="0" w:firstRowFirstColumn="0" w:firstRowLastColumn="0" w:lastRowFirstColumn="0" w:lastRowLastColumn="0"/>
            </w:pPr>
            <w:r w:rsidRPr="00D2512B">
              <w:t>21</w:t>
            </w:r>
            <w:r w:rsidRPr="00D2512B">
              <w:rPr>
                <w:spacing w:val="-5"/>
              </w:rPr>
              <w:t xml:space="preserve"> </w:t>
            </w:r>
            <w:r w:rsidRPr="00D2512B">
              <w:rPr>
                <w:spacing w:val="-2"/>
              </w:rPr>
              <w:t>December</w:t>
            </w:r>
          </w:p>
          <w:p w14:paraId="63999F1D" w14:textId="27BA11CD"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2023</w:t>
            </w:r>
          </w:p>
        </w:tc>
        <w:tc>
          <w:tcPr>
            <w:tcW w:w="1760" w:type="pct"/>
          </w:tcPr>
          <w:p w14:paraId="1948A9FC" w14:textId="686404C4" w:rsidR="00920084" w:rsidRPr="00D2512B" w:rsidRDefault="00C9665E" w:rsidP="00920084">
            <w:pPr>
              <w:pStyle w:val="TableParagraph"/>
              <w:spacing w:before="1"/>
              <w:ind w:right="134"/>
              <w:cnfStyle w:val="000000000000" w:firstRow="0" w:lastRow="0" w:firstColumn="0" w:lastColumn="0" w:oddVBand="0" w:evenVBand="0" w:oddHBand="0" w:evenHBand="0" w:firstRowFirstColumn="0" w:firstRowLastColumn="0" w:lastRowFirstColumn="0" w:lastRowLastColumn="0"/>
            </w:pPr>
            <w:r>
              <w:t>Elucirem</w:t>
            </w:r>
            <w:r w:rsidR="00920084" w:rsidRPr="00D2512B">
              <w:rPr>
                <w:spacing w:val="-11"/>
              </w:rPr>
              <w:t xml:space="preserve"> </w:t>
            </w:r>
            <w:r w:rsidR="00920084" w:rsidRPr="00D2512B">
              <w:t>is</w:t>
            </w:r>
            <w:r w:rsidR="00920084" w:rsidRPr="00D2512B">
              <w:rPr>
                <w:spacing w:val="-7"/>
              </w:rPr>
              <w:t xml:space="preserve"> </w:t>
            </w:r>
            <w:r w:rsidR="00920084" w:rsidRPr="00D2512B">
              <w:t>a</w:t>
            </w:r>
            <w:r w:rsidR="00920084" w:rsidRPr="00D2512B">
              <w:rPr>
                <w:spacing w:val="-11"/>
              </w:rPr>
              <w:t xml:space="preserve"> </w:t>
            </w:r>
            <w:r w:rsidR="00920084" w:rsidRPr="00D2512B">
              <w:t>gadolinium-based</w:t>
            </w:r>
            <w:r w:rsidR="00920084" w:rsidRPr="00D2512B">
              <w:rPr>
                <w:spacing w:val="-11"/>
              </w:rPr>
              <w:t xml:space="preserve"> </w:t>
            </w:r>
            <w:r w:rsidR="00920084" w:rsidRPr="00D2512B">
              <w:t xml:space="preserve">contrast agent indicated in adults for use with magnetic resonance imaging (MRI) to detect and visualise lesions with abnormal </w:t>
            </w:r>
            <w:r w:rsidR="00920084" w:rsidRPr="00D2512B">
              <w:rPr>
                <w:spacing w:val="-2"/>
              </w:rPr>
              <w:t>vascularity</w:t>
            </w:r>
          </w:p>
          <w:p w14:paraId="13ADD6EE" w14:textId="77777777" w:rsidR="00920084" w:rsidRPr="00D2512B" w:rsidRDefault="00920084" w:rsidP="00D2512B">
            <w:pPr>
              <w:pStyle w:val="ListBullet"/>
              <w:cnfStyle w:val="000000000000" w:firstRow="0" w:lastRow="0" w:firstColumn="0" w:lastColumn="0" w:oddVBand="0" w:evenVBand="0" w:oddHBand="0" w:evenHBand="0" w:firstRowFirstColumn="0" w:firstRowLastColumn="0" w:lastRowFirstColumn="0" w:lastRowLastColumn="0"/>
            </w:pPr>
            <w:r w:rsidRPr="00D2512B">
              <w:t>in</w:t>
            </w:r>
            <w:r w:rsidRPr="00D2512B">
              <w:rPr>
                <w:spacing w:val="-7"/>
              </w:rPr>
              <w:t xml:space="preserve"> </w:t>
            </w:r>
            <w:r w:rsidRPr="00D2512B">
              <w:t>the</w:t>
            </w:r>
            <w:r w:rsidRPr="00D2512B">
              <w:rPr>
                <w:spacing w:val="-7"/>
              </w:rPr>
              <w:t xml:space="preserve"> </w:t>
            </w:r>
            <w:r w:rsidRPr="00D2512B">
              <w:t>CNS</w:t>
            </w:r>
            <w:r w:rsidRPr="00D2512B">
              <w:rPr>
                <w:spacing w:val="-8"/>
              </w:rPr>
              <w:t xml:space="preserve"> </w:t>
            </w:r>
            <w:r w:rsidRPr="00D2512B">
              <w:t>area</w:t>
            </w:r>
            <w:r w:rsidRPr="00D2512B">
              <w:rPr>
                <w:spacing w:val="-7"/>
              </w:rPr>
              <w:t xml:space="preserve"> </w:t>
            </w:r>
            <w:r w:rsidRPr="00D2512B">
              <w:t>(see</w:t>
            </w:r>
            <w:r w:rsidRPr="00D2512B">
              <w:rPr>
                <w:spacing w:val="-5"/>
              </w:rPr>
              <w:t xml:space="preserve"> </w:t>
            </w:r>
            <w:r w:rsidRPr="00D2512B">
              <w:t>warnings</w:t>
            </w:r>
            <w:r w:rsidRPr="00D2512B">
              <w:rPr>
                <w:spacing w:val="-6"/>
              </w:rPr>
              <w:t xml:space="preserve"> </w:t>
            </w:r>
            <w:r w:rsidRPr="00D2512B">
              <w:t>and precautions</w:t>
            </w:r>
            <w:r w:rsidRPr="00D2512B">
              <w:rPr>
                <w:spacing w:val="-3"/>
              </w:rPr>
              <w:t xml:space="preserve"> </w:t>
            </w:r>
            <w:r w:rsidRPr="00D2512B">
              <w:t>and</w:t>
            </w:r>
            <w:r w:rsidRPr="00D2512B">
              <w:rPr>
                <w:spacing w:val="-2"/>
              </w:rPr>
              <w:t xml:space="preserve"> </w:t>
            </w:r>
            <w:r w:rsidRPr="00D2512B">
              <w:t>properties/effects)</w:t>
            </w:r>
          </w:p>
          <w:p w14:paraId="0F1B2CA6" w14:textId="77777777" w:rsidR="00920084" w:rsidRPr="00D2512B" w:rsidRDefault="00920084" w:rsidP="00D2512B">
            <w:pPr>
              <w:pStyle w:val="ListBullet"/>
              <w:cnfStyle w:val="000000000000" w:firstRow="0" w:lastRow="0" w:firstColumn="0" w:lastColumn="0" w:oddVBand="0" w:evenVBand="0" w:oddHBand="0" w:evenHBand="0" w:firstRowFirstColumn="0" w:firstRowLastColumn="0" w:lastRowFirstColumn="0" w:lastRowLastColumn="0"/>
            </w:pPr>
            <w:r w:rsidRPr="00D2512B">
              <w:t>in</w:t>
            </w:r>
            <w:r w:rsidRPr="00D2512B">
              <w:rPr>
                <w:spacing w:val="-8"/>
              </w:rPr>
              <w:t xml:space="preserve"> </w:t>
            </w:r>
            <w:r w:rsidRPr="00D2512B">
              <w:t>other</w:t>
            </w:r>
            <w:r w:rsidRPr="00D2512B">
              <w:rPr>
                <w:spacing w:val="-7"/>
              </w:rPr>
              <w:t xml:space="preserve"> </w:t>
            </w:r>
            <w:r w:rsidRPr="00D2512B">
              <w:t>areas</w:t>
            </w:r>
            <w:r w:rsidRPr="00D2512B">
              <w:rPr>
                <w:spacing w:val="-7"/>
              </w:rPr>
              <w:t xml:space="preserve"> </w:t>
            </w:r>
            <w:r w:rsidRPr="00D2512B">
              <w:t>of</w:t>
            </w:r>
            <w:r w:rsidRPr="00D2512B">
              <w:rPr>
                <w:spacing w:val="-6"/>
              </w:rPr>
              <w:t xml:space="preserve"> </w:t>
            </w:r>
            <w:r w:rsidRPr="00D2512B">
              <w:t>the</w:t>
            </w:r>
            <w:r w:rsidRPr="00D2512B">
              <w:rPr>
                <w:spacing w:val="-6"/>
              </w:rPr>
              <w:t xml:space="preserve"> </w:t>
            </w:r>
            <w:r w:rsidRPr="00D2512B">
              <w:t>body</w:t>
            </w:r>
            <w:r w:rsidRPr="00D2512B">
              <w:rPr>
                <w:spacing w:val="-7"/>
              </w:rPr>
              <w:t xml:space="preserve"> </w:t>
            </w:r>
            <w:r w:rsidRPr="00D2512B">
              <w:t xml:space="preserve">(see warnings and precautions and </w:t>
            </w:r>
            <w:r w:rsidRPr="00D2512B">
              <w:rPr>
                <w:spacing w:val="-2"/>
              </w:rPr>
              <w:t>properties/effects)</w:t>
            </w:r>
          </w:p>
          <w:p w14:paraId="1779F620" w14:textId="09479A4C" w:rsidR="00920084" w:rsidRPr="00D2512B" w:rsidRDefault="00C9665E" w:rsidP="00920084">
            <w:pPr>
              <w:cnfStyle w:val="000000000000" w:firstRow="0" w:lastRow="0" w:firstColumn="0" w:lastColumn="0" w:oddVBand="0" w:evenVBand="0" w:oddHBand="0" w:evenHBand="0" w:firstRowFirstColumn="0" w:firstRowLastColumn="0" w:lastRowFirstColumn="0" w:lastRowLastColumn="0"/>
              <w:rPr>
                <w:szCs w:val="22"/>
              </w:rPr>
            </w:pPr>
            <w:r>
              <w:rPr>
                <w:szCs w:val="22"/>
              </w:rPr>
              <w:t>Elucirem</w:t>
            </w:r>
            <w:r w:rsidR="00920084" w:rsidRPr="00D2512B">
              <w:rPr>
                <w:szCs w:val="22"/>
              </w:rPr>
              <w:t xml:space="preserve"> should be used only if diagnostic</w:t>
            </w:r>
            <w:r w:rsidR="00920084" w:rsidRPr="00D2512B">
              <w:rPr>
                <w:spacing w:val="-8"/>
                <w:szCs w:val="22"/>
              </w:rPr>
              <w:t xml:space="preserve"> </w:t>
            </w:r>
            <w:r w:rsidR="00920084" w:rsidRPr="00D2512B">
              <w:rPr>
                <w:szCs w:val="22"/>
              </w:rPr>
              <w:t>information</w:t>
            </w:r>
            <w:r w:rsidR="00920084" w:rsidRPr="00D2512B">
              <w:rPr>
                <w:spacing w:val="-9"/>
                <w:szCs w:val="22"/>
              </w:rPr>
              <w:t xml:space="preserve"> </w:t>
            </w:r>
            <w:r w:rsidR="00920084" w:rsidRPr="00D2512B">
              <w:rPr>
                <w:szCs w:val="22"/>
              </w:rPr>
              <w:t>is</w:t>
            </w:r>
            <w:r w:rsidR="00920084" w:rsidRPr="00D2512B">
              <w:rPr>
                <w:spacing w:val="-8"/>
                <w:szCs w:val="22"/>
              </w:rPr>
              <w:t xml:space="preserve"> </w:t>
            </w:r>
            <w:r w:rsidR="00920084" w:rsidRPr="00D2512B">
              <w:rPr>
                <w:szCs w:val="22"/>
              </w:rPr>
              <w:t>significant</w:t>
            </w:r>
            <w:r w:rsidR="00920084" w:rsidRPr="00D2512B">
              <w:rPr>
                <w:spacing w:val="-7"/>
                <w:szCs w:val="22"/>
              </w:rPr>
              <w:t xml:space="preserve"> </w:t>
            </w:r>
            <w:r w:rsidR="00920084" w:rsidRPr="00D2512B">
              <w:rPr>
                <w:szCs w:val="22"/>
              </w:rPr>
              <w:t>and cannot be obtained by non-contrast- enhanced</w:t>
            </w:r>
            <w:r w:rsidR="00920084" w:rsidRPr="00D2512B">
              <w:rPr>
                <w:spacing w:val="-14"/>
                <w:szCs w:val="22"/>
              </w:rPr>
              <w:t xml:space="preserve"> </w:t>
            </w:r>
            <w:r w:rsidR="00920084" w:rsidRPr="00D2512B">
              <w:rPr>
                <w:szCs w:val="22"/>
              </w:rPr>
              <w:t>magnetic</w:t>
            </w:r>
            <w:r w:rsidR="00920084" w:rsidRPr="00D2512B">
              <w:rPr>
                <w:spacing w:val="-14"/>
                <w:szCs w:val="22"/>
              </w:rPr>
              <w:t xml:space="preserve"> </w:t>
            </w:r>
            <w:r w:rsidR="00920084" w:rsidRPr="00D2512B">
              <w:rPr>
                <w:szCs w:val="22"/>
              </w:rPr>
              <w:t>resonance</w:t>
            </w:r>
            <w:r w:rsidR="00920084" w:rsidRPr="00D2512B">
              <w:rPr>
                <w:spacing w:val="-14"/>
                <w:szCs w:val="22"/>
              </w:rPr>
              <w:t xml:space="preserve"> </w:t>
            </w:r>
            <w:r w:rsidR="00920084" w:rsidRPr="00D2512B">
              <w:rPr>
                <w:szCs w:val="22"/>
              </w:rPr>
              <w:t xml:space="preserve">imaging </w:t>
            </w:r>
            <w:r w:rsidR="00920084" w:rsidRPr="00D2512B">
              <w:rPr>
                <w:spacing w:val="-2"/>
                <w:szCs w:val="22"/>
              </w:rPr>
              <w:t>(MRI).</w:t>
            </w:r>
          </w:p>
        </w:tc>
        <w:tc>
          <w:tcPr>
            <w:tcW w:w="1013" w:type="pct"/>
          </w:tcPr>
          <w:p w14:paraId="3CE3F441" w14:textId="75D22480" w:rsidR="00920084" w:rsidRPr="00D2512B" w:rsidRDefault="00920084" w:rsidP="00920084">
            <w:pPr>
              <w:cnfStyle w:val="000000000000" w:firstRow="0" w:lastRow="0" w:firstColumn="0" w:lastColumn="0" w:oddVBand="0" w:evenVBand="0" w:oddHBand="0" w:evenHBand="0" w:firstRowFirstColumn="0" w:firstRowLastColumn="0" w:lastRowFirstColumn="0" w:lastRowLastColumn="0"/>
              <w:rPr>
                <w:szCs w:val="22"/>
              </w:rPr>
            </w:pPr>
            <w:r w:rsidRPr="00D2512B">
              <w:rPr>
                <w:spacing w:val="-2"/>
                <w:szCs w:val="22"/>
              </w:rPr>
              <w:t>Paediatric indication</w:t>
            </w:r>
            <w:r w:rsidRPr="00D2512B">
              <w:rPr>
                <w:spacing w:val="-12"/>
                <w:szCs w:val="22"/>
              </w:rPr>
              <w:t xml:space="preserve"> </w:t>
            </w:r>
            <w:r w:rsidRPr="00D2512B">
              <w:rPr>
                <w:spacing w:val="-2"/>
                <w:szCs w:val="22"/>
              </w:rPr>
              <w:t>not included.</w:t>
            </w:r>
          </w:p>
        </w:tc>
      </w:tr>
      <w:tr w:rsidR="00D2512B" w:rsidRPr="00D2512B" w14:paraId="568FF946" w14:textId="77777777" w:rsidTr="007426E6">
        <w:trPr>
          <w:cantSplit w:val="0"/>
        </w:trPr>
        <w:tc>
          <w:tcPr>
            <w:cnfStyle w:val="001000000000" w:firstRow="0" w:lastRow="0" w:firstColumn="1" w:lastColumn="0" w:oddVBand="0" w:evenVBand="0" w:oddHBand="0" w:evenHBand="0" w:firstRowFirstColumn="0" w:firstRowLastColumn="0" w:lastRowFirstColumn="0" w:lastRowLastColumn="0"/>
            <w:tcW w:w="754" w:type="pct"/>
          </w:tcPr>
          <w:p w14:paraId="725D2880" w14:textId="4B954A27" w:rsidR="00D2512B" w:rsidRPr="00D2512B" w:rsidRDefault="00D2512B" w:rsidP="00D2512B">
            <w:pPr>
              <w:rPr>
                <w:szCs w:val="22"/>
              </w:rPr>
            </w:pPr>
            <w:r w:rsidRPr="00D2512B">
              <w:rPr>
                <w:spacing w:val="-2"/>
                <w:szCs w:val="22"/>
              </w:rPr>
              <w:t>South Korea</w:t>
            </w:r>
          </w:p>
        </w:tc>
        <w:tc>
          <w:tcPr>
            <w:tcW w:w="776" w:type="pct"/>
          </w:tcPr>
          <w:p w14:paraId="394A9D4D" w14:textId="77777777" w:rsidR="00D2512B" w:rsidRPr="00D2512B" w:rsidRDefault="00D2512B" w:rsidP="00D2512B">
            <w:pPr>
              <w:pStyle w:val="TableParagraph"/>
              <w:spacing w:line="229" w:lineRule="exact"/>
              <w:cnfStyle w:val="000000000000" w:firstRow="0" w:lastRow="0" w:firstColumn="0" w:lastColumn="0" w:oddVBand="0" w:evenVBand="0" w:oddHBand="0" w:evenHBand="0" w:firstRowFirstColumn="0" w:firstRowLastColumn="0" w:lastRowFirstColumn="0" w:lastRowLastColumn="0"/>
            </w:pPr>
            <w:r w:rsidRPr="00D2512B">
              <w:t>31</w:t>
            </w:r>
            <w:r w:rsidRPr="00D2512B">
              <w:rPr>
                <w:spacing w:val="-5"/>
              </w:rPr>
              <w:t xml:space="preserve"> </w:t>
            </w:r>
            <w:r w:rsidRPr="00D2512B">
              <w:rPr>
                <w:spacing w:val="-2"/>
              </w:rPr>
              <w:t>October</w:t>
            </w:r>
          </w:p>
          <w:p w14:paraId="5F08ED52" w14:textId="7E81525C" w:rsidR="00D2512B" w:rsidRPr="00D2512B" w:rsidRDefault="00D2512B" w:rsidP="00D2512B">
            <w:pPr>
              <w:cnfStyle w:val="000000000000" w:firstRow="0" w:lastRow="0" w:firstColumn="0" w:lastColumn="0" w:oddVBand="0" w:evenVBand="0" w:oddHBand="0" w:evenHBand="0" w:firstRowFirstColumn="0" w:firstRowLastColumn="0" w:lastRowFirstColumn="0" w:lastRowLastColumn="0"/>
              <w:rPr>
                <w:szCs w:val="22"/>
              </w:rPr>
            </w:pPr>
            <w:r w:rsidRPr="00D2512B">
              <w:rPr>
                <w:spacing w:val="-4"/>
                <w:szCs w:val="22"/>
              </w:rPr>
              <w:t>2023</w:t>
            </w:r>
          </w:p>
        </w:tc>
        <w:tc>
          <w:tcPr>
            <w:tcW w:w="697" w:type="pct"/>
          </w:tcPr>
          <w:p w14:paraId="7AE7ABC2" w14:textId="424186E3" w:rsidR="00D2512B" w:rsidRPr="00D2512B" w:rsidRDefault="00D2512B" w:rsidP="00D2512B">
            <w:pPr>
              <w:cnfStyle w:val="000000000000" w:firstRow="0" w:lastRow="0" w:firstColumn="0" w:lastColumn="0" w:oddVBand="0" w:evenVBand="0" w:oddHBand="0" w:evenHBand="0" w:firstRowFirstColumn="0" w:firstRowLastColumn="0" w:lastRowFirstColumn="0" w:lastRowLastColumn="0"/>
              <w:rPr>
                <w:szCs w:val="22"/>
              </w:rPr>
            </w:pPr>
            <w:r w:rsidRPr="00D2512B">
              <w:rPr>
                <w:szCs w:val="22"/>
              </w:rPr>
              <w:t>Under</w:t>
            </w:r>
            <w:r w:rsidRPr="00D2512B">
              <w:rPr>
                <w:spacing w:val="-9"/>
                <w:szCs w:val="22"/>
              </w:rPr>
              <w:t xml:space="preserve"> </w:t>
            </w:r>
            <w:r w:rsidRPr="00D2512B">
              <w:rPr>
                <w:spacing w:val="-2"/>
                <w:szCs w:val="22"/>
              </w:rPr>
              <w:t>review</w:t>
            </w:r>
          </w:p>
        </w:tc>
        <w:tc>
          <w:tcPr>
            <w:tcW w:w="1760" w:type="pct"/>
          </w:tcPr>
          <w:p w14:paraId="47434525" w14:textId="147767E6" w:rsidR="00D2512B" w:rsidRPr="00D2512B" w:rsidRDefault="00C9665E" w:rsidP="00D2512B">
            <w:pPr>
              <w:pStyle w:val="TableParagraph"/>
              <w:spacing w:before="1"/>
              <w:ind w:right="217"/>
              <w:cnfStyle w:val="000000000000" w:firstRow="0" w:lastRow="0" w:firstColumn="0" w:lastColumn="0" w:oddVBand="0" w:evenVBand="0" w:oddHBand="0" w:evenHBand="0" w:firstRowFirstColumn="0" w:firstRowLastColumn="0" w:lastRowFirstColumn="0" w:lastRowLastColumn="0"/>
            </w:pPr>
            <w:r>
              <w:t>Elucirem</w:t>
            </w:r>
            <w:r w:rsidR="00D2512B" w:rsidRPr="00D2512B">
              <w:t xml:space="preserve"> is a gadolinium-based contrast agent indicated in adult and pediatric</w:t>
            </w:r>
            <w:r w:rsidR="00D2512B" w:rsidRPr="00D2512B">
              <w:rPr>
                <w:spacing w:val="-1"/>
              </w:rPr>
              <w:t xml:space="preserve"> </w:t>
            </w:r>
            <w:r w:rsidR="00D2512B" w:rsidRPr="00D2512B">
              <w:t>patients</w:t>
            </w:r>
            <w:r w:rsidR="00D2512B" w:rsidRPr="00D2512B">
              <w:rPr>
                <w:spacing w:val="-1"/>
              </w:rPr>
              <w:t xml:space="preserve"> </w:t>
            </w:r>
            <w:r w:rsidR="00D2512B" w:rsidRPr="00D2512B">
              <w:t>aged</w:t>
            </w:r>
            <w:r w:rsidR="00D2512B" w:rsidRPr="00D2512B">
              <w:rPr>
                <w:spacing w:val="-5"/>
              </w:rPr>
              <w:t xml:space="preserve"> </w:t>
            </w:r>
            <w:r w:rsidR="00D2512B" w:rsidRPr="00D2512B">
              <w:t>2</w:t>
            </w:r>
            <w:r w:rsidR="00D2512B" w:rsidRPr="00D2512B">
              <w:rPr>
                <w:spacing w:val="-5"/>
              </w:rPr>
              <w:t xml:space="preserve"> </w:t>
            </w:r>
            <w:r w:rsidR="00D2512B" w:rsidRPr="00D2512B">
              <w:t>years</w:t>
            </w:r>
            <w:r w:rsidR="00D2512B" w:rsidRPr="00D2512B">
              <w:rPr>
                <w:spacing w:val="-4"/>
              </w:rPr>
              <w:t xml:space="preserve"> </w:t>
            </w:r>
            <w:r w:rsidR="00D2512B" w:rsidRPr="00D2512B">
              <w:t>and</w:t>
            </w:r>
            <w:r w:rsidR="00D2512B" w:rsidRPr="00D2512B">
              <w:rPr>
                <w:spacing w:val="-5"/>
              </w:rPr>
              <w:t xml:space="preserve"> </w:t>
            </w:r>
            <w:r w:rsidR="00D2512B" w:rsidRPr="00D2512B">
              <w:t>older for</w:t>
            </w:r>
            <w:r w:rsidR="00D2512B" w:rsidRPr="00D2512B">
              <w:rPr>
                <w:spacing w:val="-8"/>
              </w:rPr>
              <w:t xml:space="preserve"> </w:t>
            </w:r>
            <w:r w:rsidR="00D2512B" w:rsidRPr="00D2512B">
              <w:t>use</w:t>
            </w:r>
            <w:r w:rsidR="00D2512B" w:rsidRPr="00D2512B">
              <w:rPr>
                <w:spacing w:val="-9"/>
              </w:rPr>
              <w:t xml:space="preserve"> </w:t>
            </w:r>
            <w:r w:rsidR="00D2512B" w:rsidRPr="00D2512B">
              <w:t>with</w:t>
            </w:r>
            <w:r w:rsidR="00D2512B" w:rsidRPr="00D2512B">
              <w:rPr>
                <w:spacing w:val="-7"/>
              </w:rPr>
              <w:t xml:space="preserve"> </w:t>
            </w:r>
            <w:r w:rsidR="00D2512B" w:rsidRPr="00D2512B">
              <w:t>magnetic</w:t>
            </w:r>
            <w:r w:rsidR="00D2512B" w:rsidRPr="00D2512B">
              <w:rPr>
                <w:spacing w:val="-8"/>
              </w:rPr>
              <w:t xml:space="preserve"> </w:t>
            </w:r>
            <w:r w:rsidR="00D2512B" w:rsidRPr="00D2512B">
              <w:t>resonance</w:t>
            </w:r>
            <w:r w:rsidR="00D2512B" w:rsidRPr="00D2512B">
              <w:rPr>
                <w:spacing w:val="-9"/>
              </w:rPr>
              <w:t xml:space="preserve"> </w:t>
            </w:r>
            <w:r w:rsidR="00D2512B" w:rsidRPr="00D2512B">
              <w:t>imaging (MRI)</w:t>
            </w:r>
            <w:r w:rsidR="00D2512B" w:rsidRPr="00D2512B">
              <w:rPr>
                <w:spacing w:val="-5"/>
              </w:rPr>
              <w:t xml:space="preserve"> </w:t>
            </w:r>
            <w:r w:rsidR="00D2512B" w:rsidRPr="00D2512B">
              <w:t>to</w:t>
            </w:r>
            <w:r w:rsidR="00D2512B" w:rsidRPr="00D2512B">
              <w:rPr>
                <w:spacing w:val="-6"/>
              </w:rPr>
              <w:t xml:space="preserve"> </w:t>
            </w:r>
            <w:r w:rsidR="00D2512B" w:rsidRPr="00D2512B">
              <w:t>detect</w:t>
            </w:r>
            <w:r w:rsidR="00D2512B" w:rsidRPr="00D2512B">
              <w:rPr>
                <w:spacing w:val="-4"/>
              </w:rPr>
              <w:t xml:space="preserve"> </w:t>
            </w:r>
            <w:r w:rsidR="00D2512B" w:rsidRPr="00D2512B">
              <w:t>and</w:t>
            </w:r>
            <w:r w:rsidR="00D2512B" w:rsidRPr="00D2512B">
              <w:rPr>
                <w:spacing w:val="-6"/>
              </w:rPr>
              <w:t xml:space="preserve"> </w:t>
            </w:r>
            <w:r w:rsidR="00D2512B" w:rsidRPr="00D2512B">
              <w:t>visualize</w:t>
            </w:r>
            <w:r w:rsidR="00D2512B" w:rsidRPr="00D2512B">
              <w:rPr>
                <w:spacing w:val="-6"/>
              </w:rPr>
              <w:t xml:space="preserve"> </w:t>
            </w:r>
            <w:r w:rsidR="00D2512B" w:rsidRPr="00D2512B">
              <w:t>lesions</w:t>
            </w:r>
            <w:r w:rsidR="00D2512B" w:rsidRPr="00D2512B">
              <w:rPr>
                <w:spacing w:val="-5"/>
              </w:rPr>
              <w:t xml:space="preserve"> </w:t>
            </w:r>
            <w:r w:rsidR="00D2512B" w:rsidRPr="00D2512B">
              <w:t>with abnormal vascularity in:</w:t>
            </w:r>
          </w:p>
          <w:p w14:paraId="7AC07FCB" w14:textId="77777777" w:rsidR="00D2512B" w:rsidRPr="00D2512B" w:rsidRDefault="00D2512B" w:rsidP="00D2512B">
            <w:pPr>
              <w:pStyle w:val="ListBullet"/>
              <w:cnfStyle w:val="000000000000" w:firstRow="0" w:lastRow="0" w:firstColumn="0" w:lastColumn="0" w:oddVBand="0" w:evenVBand="0" w:oddHBand="0" w:evenHBand="0" w:firstRowFirstColumn="0" w:firstRowLastColumn="0" w:lastRowFirstColumn="0" w:lastRowLastColumn="0"/>
            </w:pPr>
            <w:r w:rsidRPr="00D2512B">
              <w:t>the</w:t>
            </w:r>
            <w:r w:rsidRPr="00D2512B">
              <w:rPr>
                <w:spacing w:val="-8"/>
              </w:rPr>
              <w:t xml:space="preserve"> </w:t>
            </w:r>
            <w:r w:rsidRPr="00D2512B">
              <w:t>central</w:t>
            </w:r>
            <w:r w:rsidRPr="00D2512B">
              <w:rPr>
                <w:spacing w:val="-7"/>
              </w:rPr>
              <w:t xml:space="preserve"> </w:t>
            </w:r>
            <w:r w:rsidRPr="00D2512B">
              <w:t>nervous</w:t>
            </w:r>
            <w:r w:rsidRPr="00D2512B">
              <w:rPr>
                <w:spacing w:val="-7"/>
              </w:rPr>
              <w:t xml:space="preserve"> </w:t>
            </w:r>
            <w:r w:rsidRPr="00D2512B">
              <w:rPr>
                <w:spacing w:val="-2"/>
              </w:rPr>
              <w:t>system</w:t>
            </w:r>
          </w:p>
          <w:p w14:paraId="24B53C05" w14:textId="45F38967" w:rsidR="00D2512B" w:rsidRPr="00D2512B" w:rsidRDefault="00D2512B" w:rsidP="00D2512B">
            <w:pPr>
              <w:pStyle w:val="ListBullet"/>
              <w:cnfStyle w:val="000000000000" w:firstRow="0" w:lastRow="0" w:firstColumn="0" w:lastColumn="0" w:oddVBand="0" w:evenVBand="0" w:oddHBand="0" w:evenHBand="0" w:firstRowFirstColumn="0" w:firstRowLastColumn="0" w:lastRowFirstColumn="0" w:lastRowLastColumn="0"/>
            </w:pPr>
            <w:r w:rsidRPr="00D2512B">
              <w:t>the</w:t>
            </w:r>
            <w:r w:rsidRPr="00D2512B">
              <w:rPr>
                <w:spacing w:val="-6"/>
              </w:rPr>
              <w:t xml:space="preserve"> </w:t>
            </w:r>
            <w:r w:rsidRPr="00D2512B">
              <w:rPr>
                <w:spacing w:val="-4"/>
              </w:rPr>
              <w:t>body</w:t>
            </w:r>
          </w:p>
        </w:tc>
        <w:tc>
          <w:tcPr>
            <w:tcW w:w="1013" w:type="pct"/>
          </w:tcPr>
          <w:p w14:paraId="57CC601C" w14:textId="2AEB1B99" w:rsidR="00D2512B" w:rsidRPr="00D2512B" w:rsidRDefault="00D2512B" w:rsidP="00D2512B">
            <w:pPr>
              <w:cnfStyle w:val="000000000000" w:firstRow="0" w:lastRow="0" w:firstColumn="0" w:lastColumn="0" w:oddVBand="0" w:evenVBand="0" w:oddHBand="0" w:evenHBand="0" w:firstRowFirstColumn="0" w:firstRowLastColumn="0" w:lastRowFirstColumn="0" w:lastRowLastColumn="0"/>
              <w:rPr>
                <w:szCs w:val="22"/>
              </w:rPr>
            </w:pPr>
            <w:r w:rsidRPr="00D2512B">
              <w:rPr>
                <w:spacing w:val="-10"/>
                <w:szCs w:val="22"/>
              </w:rPr>
              <w:t>-</w:t>
            </w:r>
          </w:p>
        </w:tc>
      </w:tr>
    </w:tbl>
    <w:p w14:paraId="6D92589C" w14:textId="09786CEF" w:rsidR="00324B33" w:rsidRDefault="00324B33" w:rsidP="009C1E47">
      <w:pPr>
        <w:pStyle w:val="Heading3"/>
      </w:pPr>
      <w:bookmarkStart w:id="12" w:name="_Toc504480011"/>
      <w:bookmarkStart w:id="13" w:name="_Toc103679293"/>
      <w:bookmarkStart w:id="14" w:name="_Toc206677105"/>
      <w:r>
        <w:t>Registration timeline</w:t>
      </w:r>
      <w:bookmarkEnd w:id="12"/>
      <w:bookmarkEnd w:id="13"/>
      <w:bookmarkEnd w:id="14"/>
    </w:p>
    <w:p w14:paraId="225E3D87" w14:textId="299CBE83" w:rsidR="00324B33" w:rsidRPr="00BD5DBD" w:rsidRDefault="00BB25A3" w:rsidP="00324B33">
      <w:pPr>
        <w:rPr>
          <w:szCs w:val="22"/>
        </w:rPr>
      </w:pPr>
      <w:r>
        <w:rPr>
          <w:szCs w:val="22"/>
        </w:rPr>
        <w:t>T</w:t>
      </w:r>
      <w:r w:rsidR="00324B33" w:rsidRPr="00BD5DBD">
        <w:rPr>
          <w:szCs w:val="22"/>
        </w:rPr>
        <w:t>able</w:t>
      </w:r>
      <w:r>
        <w:rPr>
          <w:szCs w:val="22"/>
        </w:rPr>
        <w:t xml:space="preserve"> </w:t>
      </w:r>
      <w:r w:rsidR="00281A44">
        <w:rPr>
          <w:szCs w:val="22"/>
        </w:rPr>
        <w:t>3</w:t>
      </w:r>
      <w:r w:rsidR="00324B33" w:rsidRPr="00BD5DBD">
        <w:rPr>
          <w:szCs w:val="22"/>
        </w:rPr>
        <w:t xml:space="preserv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2" w:history="1">
        <w:r w:rsidRPr="00BD5DBD">
          <w:rPr>
            <w:rStyle w:val="Hyperlink"/>
            <w:szCs w:val="22"/>
          </w:rPr>
          <w:t>standard prescription medicines registration process</w:t>
        </w:r>
      </w:hyperlink>
      <w:r w:rsidRPr="00BD5DBD">
        <w:rPr>
          <w:szCs w:val="22"/>
        </w:rPr>
        <w:t>.</w:t>
      </w:r>
    </w:p>
    <w:p w14:paraId="44628C5F" w14:textId="2FD6B04A" w:rsidR="00324B33" w:rsidRDefault="00324B33" w:rsidP="002C1232">
      <w:pPr>
        <w:pStyle w:val="TableTitle"/>
      </w:pPr>
      <w:r w:rsidRPr="002C1232">
        <w:t xml:space="preserve">Table </w:t>
      </w:r>
      <w:r w:rsidR="00281A44">
        <w:t>3.</w:t>
      </w:r>
      <w:r w:rsidRPr="002C1232">
        <w:t xml:space="preserve"> </w:t>
      </w:r>
      <w:r w:rsidR="001A716C" w:rsidRPr="001A716C">
        <w:t>Registration timeline for</w:t>
      </w:r>
      <w:r w:rsidR="001A716C">
        <w:t xml:space="preserve"> </w:t>
      </w:r>
      <w:r w:rsidR="00C9665E">
        <w:t>Elucirem</w:t>
      </w:r>
      <w:r w:rsidR="007426E6" w:rsidRPr="007426E6">
        <w:t xml:space="preserve"> and </w:t>
      </w:r>
      <w:r w:rsidR="00C9665E">
        <w:t>Vueway</w:t>
      </w:r>
      <w:r w:rsidR="007426E6" w:rsidRPr="007426E6">
        <w:t xml:space="preserve"> </w:t>
      </w:r>
      <w:r w:rsidR="007426E6">
        <w:t>(</w:t>
      </w:r>
      <w:r w:rsidR="007426E6" w:rsidRPr="007426E6">
        <w:t>gadopiclenol</w:t>
      </w:r>
      <w:r w:rsidR="007426E6">
        <w:t>)</w:t>
      </w:r>
    </w:p>
    <w:tbl>
      <w:tblPr>
        <w:tblStyle w:val="TableTGAblue2023"/>
        <w:tblW w:w="8642" w:type="dxa"/>
        <w:tblLook w:val="04A0" w:firstRow="1" w:lastRow="0" w:firstColumn="1" w:lastColumn="0" w:noHBand="0" w:noVBand="1"/>
      </w:tblPr>
      <w:tblGrid>
        <w:gridCol w:w="5665"/>
        <w:gridCol w:w="2977"/>
      </w:tblGrid>
      <w:tr w:rsidR="00324B33" w:rsidRPr="00D01DDB" w14:paraId="6C59BE9C" w14:textId="77777777" w:rsidTr="000D7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D80E78" w14:textId="3EC0CCAF" w:rsidR="00324B33" w:rsidRPr="00D01DDB" w:rsidRDefault="00324B33" w:rsidP="00324B33">
            <w:pPr>
              <w:rPr>
                <w:szCs w:val="22"/>
              </w:rPr>
            </w:pPr>
            <w:r w:rsidRPr="00D01DDB">
              <w:rPr>
                <w:szCs w:val="22"/>
              </w:rPr>
              <w:t>Description</w:t>
            </w:r>
          </w:p>
        </w:tc>
        <w:tc>
          <w:tcPr>
            <w:tcW w:w="2977"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59D2A12" w14:textId="4F4E722F" w:rsidR="00324B33" w:rsidRPr="00E679D1" w:rsidRDefault="00324B33" w:rsidP="00133F91">
            <w:pPr>
              <w:ind w:left="71"/>
            </w:pPr>
            <w:r w:rsidRPr="00E679D1">
              <w:t>Submission dossier accepted and evaluation commenced</w:t>
            </w:r>
          </w:p>
        </w:tc>
        <w:tc>
          <w:tcPr>
            <w:tcW w:w="2977" w:type="dxa"/>
          </w:tcPr>
          <w:p w14:paraId="2963D9D8" w14:textId="2D8FBF70" w:rsidR="00324B33" w:rsidRPr="00D01DDB" w:rsidRDefault="00FF1F5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April 2024</w:t>
            </w:r>
          </w:p>
        </w:tc>
      </w:tr>
      <w:tr w:rsidR="00803926" w:rsidRPr="00D01DDB" w14:paraId="16D13F79"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6858B45A" w14:textId="4A6E19A0" w:rsidR="00803926" w:rsidRPr="00E679D1" w:rsidDel="00C62B1C" w:rsidRDefault="00803926" w:rsidP="00133F91">
            <w:pPr>
              <w:ind w:left="71"/>
            </w:pPr>
            <w:r>
              <w:t>Evaluation completed</w:t>
            </w:r>
          </w:p>
        </w:tc>
        <w:tc>
          <w:tcPr>
            <w:tcW w:w="2977" w:type="dxa"/>
          </w:tcPr>
          <w:p w14:paraId="2E0BD403" w14:textId="37FC726D" w:rsidR="00803926" w:rsidRPr="00D01DDB" w:rsidRDefault="00131F2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2025</w:t>
            </w:r>
          </w:p>
        </w:tc>
      </w:tr>
      <w:tr w:rsidR="00324B33" w:rsidRPr="00D01DDB" w14:paraId="5754F7AC"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977" w:type="dxa"/>
          </w:tcPr>
          <w:p w14:paraId="5BE1EDE7" w14:textId="2C24E44F" w:rsidR="00324B33" w:rsidRPr="00D01DDB" w:rsidRDefault="0082158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2025</w:t>
            </w:r>
          </w:p>
        </w:tc>
      </w:tr>
      <w:tr w:rsidR="00324B33" w:rsidRPr="00D01DDB" w14:paraId="6E5D32FE"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4E95C44C" w14:textId="7A91C710" w:rsidR="00324B33" w:rsidRPr="00E679D1" w:rsidRDefault="00324B33" w:rsidP="00133F91">
            <w:pPr>
              <w:ind w:left="71"/>
            </w:pPr>
            <w:r w:rsidRPr="00E679D1">
              <w:t>Registration decision (Outcome)</w:t>
            </w:r>
          </w:p>
        </w:tc>
        <w:tc>
          <w:tcPr>
            <w:tcW w:w="2977" w:type="dxa"/>
          </w:tcPr>
          <w:p w14:paraId="62987ABD" w14:textId="5FBB24ED" w:rsidR="00324B33" w:rsidRPr="00D01DDB" w:rsidRDefault="001834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15 April 2025</w:t>
            </w:r>
          </w:p>
        </w:tc>
      </w:tr>
      <w:tr w:rsidR="00324B33" w:rsidRPr="00D01DDB" w14:paraId="6DDCDDA4"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977" w:type="dxa"/>
          </w:tcPr>
          <w:p w14:paraId="5A8923FD" w14:textId="5D4C7168" w:rsidR="00324B33" w:rsidRPr="00D01DDB" w:rsidRDefault="001834E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22 April 2025</w:t>
            </w:r>
          </w:p>
        </w:tc>
      </w:tr>
      <w:tr w:rsidR="00324B33" w:rsidRPr="00D01DDB" w14:paraId="56D922E2" w14:textId="77777777" w:rsidTr="000D78EC">
        <w:tc>
          <w:tcPr>
            <w:cnfStyle w:val="001000000000" w:firstRow="0" w:lastRow="0" w:firstColumn="1" w:lastColumn="0" w:oddVBand="0" w:evenVBand="0" w:oddHBand="0" w:evenHBand="0" w:firstRowFirstColumn="0" w:firstRowLastColumn="0" w:lastRowFirstColumn="0" w:lastRowLastColumn="0"/>
            <w:tcW w:w="5665" w:type="dxa"/>
          </w:tcPr>
          <w:p w14:paraId="787FD8DD" w14:textId="0E0CF97F" w:rsidR="00324B33" w:rsidRPr="00E679D1" w:rsidRDefault="00324B33" w:rsidP="00133F91">
            <w:pPr>
              <w:ind w:left="71"/>
            </w:pPr>
            <w:r w:rsidRPr="00E679D1">
              <w:lastRenderedPageBreak/>
              <w:t>Number of working days from submission dossier acceptance to registration decision*</w:t>
            </w:r>
          </w:p>
        </w:tc>
        <w:tc>
          <w:tcPr>
            <w:tcW w:w="2977" w:type="dxa"/>
          </w:tcPr>
          <w:p w14:paraId="5BAF9FA1" w14:textId="24561EA0" w:rsidR="00324B33" w:rsidRPr="00D01DDB" w:rsidRDefault="007B18D1" w:rsidP="00324B33">
            <w:pPr>
              <w:cnfStyle w:val="000000000000" w:firstRow="0" w:lastRow="0" w:firstColumn="0" w:lastColumn="0" w:oddVBand="0" w:evenVBand="0" w:oddHBand="0" w:evenHBand="0" w:firstRowFirstColumn="0" w:firstRowLastColumn="0" w:lastRowFirstColumn="0" w:lastRowLastColumn="0"/>
              <w:rPr>
                <w:szCs w:val="22"/>
              </w:rPr>
            </w:pPr>
            <w:r w:rsidRPr="007B18D1">
              <w:rPr>
                <w:szCs w:val="22"/>
              </w:rPr>
              <w:t>266 days</w:t>
            </w:r>
          </w:p>
        </w:tc>
      </w:tr>
    </w:tbl>
    <w:p w14:paraId="7B02554C" w14:textId="77777777" w:rsidR="00433318" w:rsidRPr="006A7451" w:rsidRDefault="00433318" w:rsidP="006A7451">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15" w:name="_Toc206677106"/>
      <w:bookmarkStart w:id="16" w:name="_Toc196046504"/>
      <w:bookmarkStart w:id="17" w:name="_Toc247691527"/>
      <w:bookmarkStart w:id="18" w:name="_Toc314842510"/>
      <w:bookmarkStart w:id="19" w:name="_Toc103679294"/>
      <w:r>
        <w:t xml:space="preserve">Assessment </w:t>
      </w:r>
      <w:r w:rsidR="00C22214" w:rsidRPr="00006FAB">
        <w:t>overview</w:t>
      </w:r>
      <w:bookmarkEnd w:id="15"/>
      <w:r w:rsidR="00C22214" w:rsidRPr="00006FAB">
        <w:t xml:space="preserve"> </w:t>
      </w:r>
      <w:bookmarkEnd w:id="16"/>
      <w:bookmarkEnd w:id="17"/>
      <w:bookmarkEnd w:id="18"/>
      <w:bookmarkEnd w:id="19"/>
    </w:p>
    <w:p w14:paraId="37F5A1C0" w14:textId="24C35B4E" w:rsidR="00C22214" w:rsidRDefault="00095C6A" w:rsidP="00C22214">
      <w:pPr>
        <w:pStyle w:val="Heading3"/>
      </w:pPr>
      <w:bookmarkStart w:id="20" w:name="_Toc247691528"/>
      <w:bookmarkStart w:id="21" w:name="_Toc314842511"/>
      <w:bookmarkStart w:id="22" w:name="_Toc103679295"/>
      <w:bookmarkStart w:id="23" w:name="_Toc206677107"/>
      <w:r>
        <w:t>Q</w:t>
      </w:r>
      <w:r w:rsidR="00C22214">
        <w:t>uality</w:t>
      </w:r>
      <w:bookmarkEnd w:id="20"/>
      <w:bookmarkEnd w:id="21"/>
      <w:bookmarkEnd w:id="22"/>
      <w:r w:rsidR="007E6443">
        <w:t xml:space="preserve"> evaluation</w:t>
      </w:r>
      <w:r>
        <w:t xml:space="preserve"> summary</w:t>
      </w:r>
      <w:bookmarkEnd w:id="23"/>
    </w:p>
    <w:p w14:paraId="10BF98D0" w14:textId="4AE2F7FF" w:rsidR="00317CE3" w:rsidRPr="00317CE3" w:rsidRDefault="00317CE3" w:rsidP="00A46265">
      <w:r w:rsidRPr="00317CE3">
        <w:t xml:space="preserve">There were no significant issues identified from the quality evaluation of the submitted data that would indicate the product should not be registered on the basis of quality, or safety-related issues arising from the quality of the product. </w:t>
      </w:r>
      <w:r w:rsidR="00A46265">
        <w:t>T</w:t>
      </w:r>
      <w:r w:rsidRPr="00317CE3">
        <w:t>he Sponsor ha</w:t>
      </w:r>
      <w:r w:rsidR="00A46265">
        <w:t>s</w:t>
      </w:r>
      <w:r w:rsidRPr="00317CE3">
        <w:t xml:space="preserve"> satisfied all </w:t>
      </w:r>
      <w:r w:rsidR="00A46265">
        <w:t xml:space="preserve">drug substance/product quality </w:t>
      </w:r>
      <w:r w:rsidRPr="00317CE3">
        <w:t>requirements</w:t>
      </w:r>
      <w:r w:rsidR="00A46265">
        <w:t>.</w:t>
      </w:r>
    </w:p>
    <w:p w14:paraId="2BE90AAE" w14:textId="35796FD3" w:rsidR="00C22214" w:rsidRDefault="00C22214" w:rsidP="00C22214">
      <w:pPr>
        <w:pStyle w:val="Heading3"/>
      </w:pPr>
      <w:bookmarkStart w:id="24" w:name="_Toc314842512"/>
      <w:bookmarkStart w:id="25" w:name="_Toc103679296"/>
      <w:bookmarkStart w:id="26" w:name="_Toc206677108"/>
      <w:r>
        <w:t>Nonclinical</w:t>
      </w:r>
      <w:bookmarkEnd w:id="24"/>
      <w:bookmarkEnd w:id="25"/>
      <w:r w:rsidR="007E6443">
        <w:t xml:space="preserve"> evaluation</w:t>
      </w:r>
      <w:r w:rsidR="00095C6A">
        <w:t xml:space="preserve"> summary</w:t>
      </w:r>
      <w:bookmarkEnd w:id="26"/>
    </w:p>
    <w:p w14:paraId="08031767" w14:textId="29F57D2E" w:rsidR="009C40A5" w:rsidRDefault="009C40A5" w:rsidP="009C40A5">
      <w:r>
        <w:t>The submitted nonclinical dossier was of good quality, with the package of studies conducted in accordance with ICH M3 (R2).</w:t>
      </w:r>
      <w:r>
        <w:rPr>
          <w:rStyle w:val="FootnoteReference"/>
        </w:rPr>
        <w:footnoteReference w:id="2"/>
      </w:r>
      <w:r>
        <w:t xml:space="preserve"> All pivotal safety-related studies were GLP-compliant.</w:t>
      </w:r>
    </w:p>
    <w:p w14:paraId="79A57C78" w14:textId="6E7ABF67" w:rsidR="009C40A5" w:rsidRDefault="009C40A5" w:rsidP="009C40A5">
      <w:r>
        <w:t>Gadopiclenol showed ≥ 2-fold higher relaxivity than currently approved linear and macrocyclic GBCAs in vitro. For a range of in vivo imaging applications (brain tumour and metastatic lesion imaging in C6 glioma rats, brain perfusion imaging in healthy rats and rat brain tumour model), gadopiclenol performed significantly better (contrast-to-noise ratio and lesion detection) than current approved GBCAs at the same dose. Gadopiclenol performance was comparable to that of current approved GBCAs when administered at half the dose recommended for these products.</w:t>
      </w:r>
    </w:p>
    <w:p w14:paraId="5CA4EE52" w14:textId="6F0343C5" w:rsidR="009C40A5" w:rsidRDefault="009C40A5" w:rsidP="009C40A5">
      <w:r>
        <w:t>No secondary pharmacodynamic studies were submitted. This is acceptable, since gadopiclenol is proposed to be used as a diagnostic agent.</w:t>
      </w:r>
    </w:p>
    <w:p w14:paraId="3E579AD4" w14:textId="6B4BC829" w:rsidR="009C40A5" w:rsidRDefault="009C40A5" w:rsidP="009C40A5">
      <w:r>
        <w:t>Safety pharmacology studies assessed effects on the central nervous, respiratory, renal, and cardiovascular systems. No clinically relevant adverse effects were seen on CNS function in rats, respiratory function in rats or guinea pigs, renal function in rats, or cardiovascular function in rats and dogs.  Although gadopiclenol dose-dependently inhibited hERG K+ channel tail current in vitro, this was artifactual; gadopiclenol had no effect on action potentials in isolated rabbit Purkinje fibres. Gadopiclenol is not predicted to prolong the QT interval in patients.</w:t>
      </w:r>
    </w:p>
    <w:p w14:paraId="41DB8517" w14:textId="554AC6CD" w:rsidR="009C40A5" w:rsidRDefault="009C40A5" w:rsidP="009C40A5">
      <w:r>
        <w:t>Overall, the pharmacokinetic profile in animals was qualitatively similar to that of humans. Half-life values were similar in rats and dogs but longer in humans. Plasma protein binding of gadopiclenol was minimal in all animal species and humans. Tissue distribution of gadopiclenol was rapid and wide, with highest concentration in the kidney. Gadopiclenol was not metabolised and was excreted unmodified in urine, with minor excretion via faeces.</w:t>
      </w:r>
    </w:p>
    <w:p w14:paraId="1D8DA789" w14:textId="30B994B2" w:rsidR="009C40A5" w:rsidRDefault="009C40A5" w:rsidP="009C40A5">
      <w:r>
        <w:t>Gadopiclenol had a low order of acute oral toxicity in mice, rats, and dogs.</w:t>
      </w:r>
    </w:p>
    <w:p w14:paraId="5E6106FD" w14:textId="3CCB8FF5" w:rsidR="009C40A5" w:rsidRDefault="009C40A5" w:rsidP="009C40A5">
      <w:r>
        <w:t>Repeat-dose toxicity studies by the IV route were conducted in rats and dogs (up to 4 weeks), Maximum exposures (</w:t>
      </w:r>
      <w:r w:rsidR="007B18D1">
        <w:t>area under the curve</w:t>
      </w:r>
      <w:r w:rsidR="002D04FE">
        <w:t>; AUC</w:t>
      </w:r>
      <w:r>
        <w:t xml:space="preserve">) were high in both species. The main target </w:t>
      </w:r>
      <w:r>
        <w:lastRenderedPageBreak/>
        <w:t>organ for toxicity was the kidney (increase in weight, accompanied by partially reversible tubular vacuolation). This is a class effect of GBCAs.</w:t>
      </w:r>
    </w:p>
    <w:p w14:paraId="4B55F80B" w14:textId="5940325E" w:rsidR="009C40A5" w:rsidRDefault="009C40A5" w:rsidP="009C40A5">
      <w:r>
        <w:t>Gadopiclenol was not mutagenic in the bacterial mutation assay or clastogenic in vitro (in human lymphocytes) or in vivo (in the rat micronucleus test). No carcinogenicity studies were conducted, which is considered acceptable.</w:t>
      </w:r>
    </w:p>
    <w:p w14:paraId="3C19998F" w14:textId="0ED91B7D" w:rsidR="009C40A5" w:rsidRDefault="009C40A5" w:rsidP="009C40A5">
      <w:r>
        <w:t>Fertility was unaffected in male and female rats treated with gadopiclenol at exposure levels ≥60 times the clinical AUC. Decreased fetal weight (rabbits) were seen in embryofetal development studies, but only in the context of maternotoxicity. Lower birth weight occurred in pups of rats treated with gadopiclenol during pregnancy and lactation. Findings in juvenile rats were similar to those in adults (reversible renal tubular vacuolation).</w:t>
      </w:r>
    </w:p>
    <w:p w14:paraId="3D24DB71" w14:textId="3A004DFF" w:rsidR="009C40A5" w:rsidRDefault="009C40A5" w:rsidP="009C40A5">
      <w:r>
        <w:t>Gadopiclenol was well tolerated by the IV route (rabbits), did not induce hypersensitivity in guinea pigs, and did not induce fibrosis in renally-impaired rats.</w:t>
      </w:r>
    </w:p>
    <w:p w14:paraId="4A034562" w14:textId="38BD0355" w:rsidR="009C40A5" w:rsidRDefault="009C40A5" w:rsidP="009C40A5">
      <w:r>
        <w:t>The proposed limit for five impurities in the drug substance and product have been adequately qualified by submitted toxicity data.</w:t>
      </w:r>
    </w:p>
    <w:p w14:paraId="127C2A8C" w14:textId="72E1D0B5" w:rsidR="009C40A5" w:rsidRPr="009C40A5" w:rsidRDefault="009C40A5" w:rsidP="009C40A5">
      <w:r>
        <w:t>There are no nonclinical objections to registration of gadopiclenol.</w:t>
      </w:r>
    </w:p>
    <w:p w14:paraId="35B580A5" w14:textId="40B226DC" w:rsidR="00C22214" w:rsidRPr="006A7451" w:rsidRDefault="00C22214" w:rsidP="006A7451">
      <w:pPr>
        <w:pStyle w:val="Heading3"/>
      </w:pPr>
      <w:bookmarkStart w:id="27" w:name="_Toc247691530"/>
      <w:bookmarkStart w:id="28" w:name="_Toc314842513"/>
      <w:bookmarkStart w:id="29" w:name="_Toc103679297"/>
      <w:bookmarkStart w:id="30" w:name="_Toc206677109"/>
      <w:r>
        <w:t>Clinical</w:t>
      </w:r>
      <w:bookmarkEnd w:id="27"/>
      <w:bookmarkEnd w:id="28"/>
      <w:bookmarkEnd w:id="29"/>
      <w:r w:rsidR="00095C6A">
        <w:t xml:space="preserve"> evaluation summary</w:t>
      </w:r>
      <w:bookmarkEnd w:id="30"/>
    </w:p>
    <w:p w14:paraId="32B0DEDA" w14:textId="77777777" w:rsidR="00C22214" w:rsidRDefault="00C22214" w:rsidP="00433318">
      <w:pPr>
        <w:pStyle w:val="Heading4"/>
      </w:pPr>
      <w:bookmarkStart w:id="31" w:name="_Toc98931928"/>
      <w:bookmarkStart w:id="32" w:name="_Toc206677110"/>
      <w:r>
        <w:t>Summary of clinical studies</w:t>
      </w:r>
      <w:bookmarkEnd w:id="31"/>
      <w:bookmarkEnd w:id="32"/>
    </w:p>
    <w:p w14:paraId="77606D35" w14:textId="7A68CA7D" w:rsidR="00E77BDD" w:rsidRDefault="00E77BDD" w:rsidP="00E77BDD">
      <w:r>
        <w:t>The clinical dossier contain pharmacokinetics data in patients and volunteers, including those with renal impairment and paediatric patients aged 2-17 years.</w:t>
      </w:r>
    </w:p>
    <w:p w14:paraId="5D5C6E31" w14:textId="494A7481" w:rsidR="00E77BDD" w:rsidRDefault="00E77BDD" w:rsidP="00E77BDD">
      <w:r>
        <w:t>The clinical efficacy dossier comprised studies in CNS imaging (PICTURE study) and whole of body scanning (PROMISE study).</w:t>
      </w:r>
    </w:p>
    <w:p w14:paraId="2CC216BA" w14:textId="77777777" w:rsidR="00E77BDD" w:rsidRDefault="00E77BDD" w:rsidP="00E77BDD">
      <w:pPr>
        <w:pStyle w:val="Heading4"/>
      </w:pPr>
      <w:bookmarkStart w:id="33" w:name="_Toc206677111"/>
      <w:r>
        <w:t>Pharmacology</w:t>
      </w:r>
      <w:bookmarkEnd w:id="33"/>
    </w:p>
    <w:p w14:paraId="2CEE9C53" w14:textId="635D9D4E" w:rsidR="00E77BDD" w:rsidRDefault="00E77BDD" w:rsidP="008765F0">
      <w:pPr>
        <w:pStyle w:val="Heading5"/>
      </w:pPr>
      <w:r>
        <w:t>Pharmacokinetics</w:t>
      </w:r>
    </w:p>
    <w:p w14:paraId="06938BD8" w14:textId="38E9C314" w:rsidR="00E77BDD" w:rsidRDefault="00A0048C" w:rsidP="00E77BDD">
      <w:r>
        <w:t>Gadopiclenol</w:t>
      </w:r>
      <w:r w:rsidR="00E77BDD">
        <w:t xml:space="preserve"> has 100% bioavailability with a rapidly achieved C</w:t>
      </w:r>
      <w:r w:rsidR="00E77BDD" w:rsidRPr="00310E73">
        <w:rPr>
          <w:vertAlign w:val="subscript"/>
        </w:rPr>
        <w:t xml:space="preserve">max </w:t>
      </w:r>
      <w:r w:rsidR="00E77BDD">
        <w:t xml:space="preserve">of 525µg/mL. Contrast is distributed rapidly into extracellular fluid with negligible protein or red-cell binding, giving a VD at steady state of 12.9±1.7L in adults. This corresponds to a </w:t>
      </w:r>
      <w:r w:rsidR="00D1530F">
        <w:t>volume of distribution (</w:t>
      </w:r>
      <w:r w:rsidR="00E77BDD">
        <w:t>V</w:t>
      </w:r>
      <w:r w:rsidR="00E77BDD" w:rsidRPr="00727739">
        <w:rPr>
          <w:vertAlign w:val="subscript"/>
        </w:rPr>
        <w:t>D</w:t>
      </w:r>
      <w:r w:rsidR="00D1530F" w:rsidRPr="00D1530F">
        <w:t>)</w:t>
      </w:r>
      <w:r w:rsidR="00E77BDD">
        <w:t xml:space="preserve"> of 0.11L/kg across the indicated age range using a population PK model.</w:t>
      </w:r>
    </w:p>
    <w:p w14:paraId="65689750" w14:textId="57D36D0E" w:rsidR="00E77BDD" w:rsidRDefault="00A0048C" w:rsidP="00E77BDD">
      <w:r>
        <w:t>Gadopiclenol</w:t>
      </w:r>
      <w:r w:rsidR="00E77BDD">
        <w:t xml:space="preserve"> is not metabolised and 98% of drug is recovered unchanged within 48 hours from urine. The elimination half-life in healthy adults was 1.5 hours with a clearance of 100mL/min.</w:t>
      </w:r>
    </w:p>
    <w:p w14:paraId="7881BA97" w14:textId="0DE91C27" w:rsidR="00E77BDD" w:rsidRDefault="00E77BDD" w:rsidP="00E77BDD">
      <w:r>
        <w:t xml:space="preserve">There is low inter-individual variability in the pharmacokinetics of </w:t>
      </w:r>
      <w:r w:rsidR="00A0048C">
        <w:t>gadopiclenol</w:t>
      </w:r>
      <w:r>
        <w:t xml:space="preserve">, and the </w:t>
      </w:r>
      <w:r w:rsidR="008765F0">
        <w:t>pharmacokinet</w:t>
      </w:r>
      <w:r w:rsidR="00914A83">
        <w:t>i</w:t>
      </w:r>
      <w:r w:rsidR="008765F0">
        <w:t xml:space="preserve">c </w:t>
      </w:r>
      <w:r w:rsidR="002D04FE">
        <w:t>(</w:t>
      </w:r>
      <w:r>
        <w:t>PK</w:t>
      </w:r>
      <w:r w:rsidR="002D04FE">
        <w:t>)</w:t>
      </w:r>
      <w:r>
        <w:t xml:space="preserve"> parameters are similar between patients with brain lesions compared to healthy volunteers. There is, however, an increased variability in </w:t>
      </w:r>
      <w:r w:rsidR="00A0048C">
        <w:t>gadopiclenol</w:t>
      </w:r>
      <w:r>
        <w:t xml:space="preserve"> concentrations is paediatric populations for unknown reasons</w:t>
      </w:r>
      <w:r w:rsidR="00AB4864">
        <w:t xml:space="preserve"> (</w:t>
      </w:r>
      <w:r>
        <w:t>this may be due to difficulties in sampling in this population</w:t>
      </w:r>
      <w:r w:rsidR="00AB4864">
        <w:t>)</w:t>
      </w:r>
      <w:r>
        <w:t>.</w:t>
      </w:r>
    </w:p>
    <w:p w14:paraId="6A41C1B6" w14:textId="076EF889" w:rsidR="00E77BDD" w:rsidRDefault="00E77BDD" w:rsidP="00E77BDD">
      <w:r>
        <w:t xml:space="preserve">In patients with renal impairment </w:t>
      </w:r>
      <w:r w:rsidR="00A0048C">
        <w:t>gadopiclenol</w:t>
      </w:r>
      <w:r>
        <w:t xml:space="preserve"> clearance was lower and resulting </w:t>
      </w:r>
      <w:r w:rsidR="003330EC">
        <w:t xml:space="preserve">in </w:t>
      </w:r>
      <w:r w:rsidR="000F2A6F">
        <w:t>longer</w:t>
      </w:r>
      <w:r w:rsidR="009E7582">
        <w:t xml:space="preserve"> </w:t>
      </w:r>
      <w:r>
        <w:t xml:space="preserve">half-life and </w:t>
      </w:r>
      <w:r w:rsidR="000F2A6F">
        <w:t xml:space="preserve">higher </w:t>
      </w:r>
      <w:r>
        <w:t xml:space="preserve">AUC. AUC increased proportionally to the severity of renal impairment (2.5- </w:t>
      </w:r>
      <w:r w:rsidR="003A0634">
        <w:t>8.7</w:t>
      </w:r>
      <w:r w:rsidR="00FB3FB0">
        <w:t xml:space="preserve"> </w:t>
      </w:r>
      <w:r>
        <w:t xml:space="preserve">fold increases in moderate and severe impairment respectively). This is considered relevant as increased exposure may pose an increased risk of </w:t>
      </w:r>
      <w:r w:rsidR="008765F0" w:rsidRPr="008765F0">
        <w:t>NSF</w:t>
      </w:r>
      <w:r>
        <w:t>.</w:t>
      </w:r>
    </w:p>
    <w:p w14:paraId="77B1445F" w14:textId="153D6B9E" w:rsidR="00E77BDD" w:rsidRDefault="00E77BDD" w:rsidP="00E77BDD">
      <w:r>
        <w:lastRenderedPageBreak/>
        <w:t xml:space="preserve">It was noted that 4 hours of haemodialysis was effective in removing 95-98% of </w:t>
      </w:r>
      <w:r w:rsidR="00A0048C">
        <w:t>gadopiclenol</w:t>
      </w:r>
      <w:r>
        <w:t xml:space="preserve"> from the circulation, and levels below the limit of quantification were achieved after 1.5 hours of the second dialysis session.</w:t>
      </w:r>
    </w:p>
    <w:p w14:paraId="17144272" w14:textId="271C2659" w:rsidR="00E77BDD" w:rsidRDefault="00E77BDD" w:rsidP="00E77BDD">
      <w:r>
        <w:t>In children</w:t>
      </w:r>
      <w:r w:rsidR="008765F0">
        <w:t>,</w:t>
      </w:r>
      <w:r>
        <w:t xml:space="preserve"> the PK parameters were estimated to be comparable to adults when adjusted for body weight</w:t>
      </w:r>
      <w:r w:rsidR="00EF3FED">
        <w:t xml:space="preserve"> (Table </w:t>
      </w:r>
      <w:r w:rsidR="00281A44">
        <w:t>4</w:t>
      </w:r>
      <w:r w:rsidR="00EF3FED">
        <w:t>)</w:t>
      </w:r>
      <w:r>
        <w:t>.</w:t>
      </w:r>
    </w:p>
    <w:p w14:paraId="63360DC6" w14:textId="2AC83339" w:rsidR="00EF3FED" w:rsidRPr="006A7451" w:rsidRDefault="00EF3FED" w:rsidP="006A7451">
      <w:pPr>
        <w:pStyle w:val="TableTitle"/>
      </w:pPr>
      <w:r>
        <w:t xml:space="preserve">Table </w:t>
      </w:r>
      <w:r w:rsidR="00281A44">
        <w:t>4</w:t>
      </w:r>
      <w:r>
        <w:t>. G</w:t>
      </w:r>
      <w:r w:rsidRPr="00EF3FED">
        <w:t>adopicl</w:t>
      </w:r>
      <w:r>
        <w:t>e</w:t>
      </w:r>
      <w:r w:rsidRPr="00EF3FED">
        <w:t>nol</w:t>
      </w:r>
      <w:r>
        <w:t xml:space="preserve"> </w:t>
      </w:r>
      <w:r w:rsidRPr="00EF3FED">
        <w:t>PK parameters</w:t>
      </w:r>
      <w:r>
        <w:t xml:space="preserve"> in children</w:t>
      </w:r>
      <w:r w:rsidR="00CE6D13">
        <w:t xml:space="preserve"> stratified by age</w:t>
      </w:r>
    </w:p>
    <w:tbl>
      <w:tblPr>
        <w:tblW w:w="9270" w:type="dxa"/>
        <w:tblInd w:w="-10"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802"/>
        <w:gridCol w:w="1800"/>
        <w:gridCol w:w="1800"/>
        <w:gridCol w:w="1802"/>
        <w:gridCol w:w="2066"/>
      </w:tblGrid>
      <w:tr w:rsidR="00932C00" w14:paraId="4D59CB57" w14:textId="77777777" w:rsidTr="0061569B">
        <w:trPr>
          <w:trHeight w:val="498"/>
        </w:trPr>
        <w:tc>
          <w:tcPr>
            <w:tcW w:w="1802" w:type="dxa"/>
            <w:shd w:val="clear" w:color="auto" w:fill="DEEAF6"/>
          </w:tcPr>
          <w:p w14:paraId="1615F143" w14:textId="77777777" w:rsidR="00932C00" w:rsidRPr="00652442" w:rsidRDefault="00932C00" w:rsidP="00975226">
            <w:pPr>
              <w:pStyle w:val="TableParagraph"/>
              <w:spacing w:before="121"/>
              <w:ind w:left="278"/>
              <w:rPr>
                <w:b/>
                <w:spacing w:val="-2"/>
              </w:rPr>
            </w:pPr>
          </w:p>
        </w:tc>
        <w:tc>
          <w:tcPr>
            <w:tcW w:w="7468" w:type="dxa"/>
            <w:gridSpan w:val="4"/>
            <w:shd w:val="clear" w:color="auto" w:fill="DEEAF6"/>
          </w:tcPr>
          <w:p w14:paraId="06AD9C82" w14:textId="6429405E" w:rsidR="00932C00" w:rsidRPr="00652442" w:rsidRDefault="00932C00" w:rsidP="00932C00">
            <w:pPr>
              <w:pStyle w:val="TableParagraph"/>
              <w:spacing w:before="121"/>
              <w:ind w:left="-90"/>
              <w:jc w:val="center"/>
              <w:rPr>
                <w:b/>
                <w:color w:val="263287"/>
              </w:rPr>
            </w:pPr>
            <w:r w:rsidRPr="00932C00">
              <w:rPr>
                <w:b/>
                <w:color w:val="263287"/>
              </w:rPr>
              <w:t>Age</w:t>
            </w:r>
          </w:p>
        </w:tc>
      </w:tr>
      <w:tr w:rsidR="00652442" w14:paraId="452A3EC6" w14:textId="77777777" w:rsidTr="00652442">
        <w:trPr>
          <w:trHeight w:val="498"/>
        </w:trPr>
        <w:tc>
          <w:tcPr>
            <w:tcW w:w="1802" w:type="dxa"/>
            <w:shd w:val="clear" w:color="auto" w:fill="DEEAF6"/>
          </w:tcPr>
          <w:p w14:paraId="67A364D8" w14:textId="77777777" w:rsidR="00652442" w:rsidRPr="00652442" w:rsidRDefault="00652442" w:rsidP="00975226">
            <w:pPr>
              <w:pStyle w:val="TableParagraph"/>
              <w:spacing w:before="121"/>
              <w:ind w:left="278"/>
              <w:rPr>
                <w:b/>
                <w:color w:val="263287"/>
              </w:rPr>
            </w:pPr>
            <w:r w:rsidRPr="00652442">
              <w:rPr>
                <w:b/>
                <w:spacing w:val="-2"/>
              </w:rPr>
              <w:t>Parameter</w:t>
            </w:r>
          </w:p>
        </w:tc>
        <w:tc>
          <w:tcPr>
            <w:tcW w:w="1800" w:type="dxa"/>
            <w:shd w:val="clear" w:color="auto" w:fill="DEEAF6"/>
          </w:tcPr>
          <w:p w14:paraId="0260AB68" w14:textId="77777777" w:rsidR="00652442" w:rsidRPr="00652442" w:rsidRDefault="00652442" w:rsidP="00975226">
            <w:pPr>
              <w:pStyle w:val="TableParagraph"/>
              <w:spacing w:before="121"/>
              <w:ind w:left="278"/>
              <w:rPr>
                <w:b/>
                <w:color w:val="263287"/>
              </w:rPr>
            </w:pPr>
            <w:r w:rsidRPr="00652442">
              <w:rPr>
                <w:b/>
                <w:color w:val="263287"/>
              </w:rPr>
              <w:t>2-6</w:t>
            </w:r>
            <w:r w:rsidRPr="00652442">
              <w:rPr>
                <w:b/>
                <w:color w:val="263287"/>
                <w:spacing w:val="-1"/>
              </w:rPr>
              <w:t xml:space="preserve"> </w:t>
            </w:r>
            <w:r w:rsidRPr="00652442">
              <w:rPr>
                <w:b/>
                <w:color w:val="263287"/>
                <w:spacing w:val="-2"/>
              </w:rPr>
              <w:t>years</w:t>
            </w:r>
          </w:p>
        </w:tc>
        <w:tc>
          <w:tcPr>
            <w:tcW w:w="1800" w:type="dxa"/>
            <w:shd w:val="clear" w:color="auto" w:fill="DEEAF6"/>
          </w:tcPr>
          <w:p w14:paraId="519C6EB3" w14:textId="77777777" w:rsidR="00652442" w:rsidRPr="00652442" w:rsidRDefault="00652442" w:rsidP="00975226">
            <w:pPr>
              <w:pStyle w:val="TableParagraph"/>
              <w:spacing w:before="121"/>
              <w:ind w:left="278"/>
              <w:rPr>
                <w:b/>
                <w:color w:val="263287"/>
              </w:rPr>
            </w:pPr>
            <w:r w:rsidRPr="00652442">
              <w:rPr>
                <w:b/>
                <w:color w:val="263287"/>
              </w:rPr>
              <w:t xml:space="preserve">7-11 </w:t>
            </w:r>
            <w:r w:rsidRPr="00652442">
              <w:rPr>
                <w:b/>
                <w:color w:val="263287"/>
                <w:spacing w:val="-2"/>
              </w:rPr>
              <w:t>years</w:t>
            </w:r>
          </w:p>
        </w:tc>
        <w:tc>
          <w:tcPr>
            <w:tcW w:w="1802" w:type="dxa"/>
            <w:shd w:val="clear" w:color="auto" w:fill="DEEAF6"/>
          </w:tcPr>
          <w:p w14:paraId="794FB287" w14:textId="77777777" w:rsidR="00652442" w:rsidRPr="00652442" w:rsidRDefault="00652442" w:rsidP="00975226">
            <w:pPr>
              <w:pStyle w:val="TableParagraph"/>
              <w:spacing w:before="121"/>
              <w:ind w:left="22" w:right="43"/>
              <w:jc w:val="center"/>
              <w:rPr>
                <w:b/>
                <w:color w:val="263287"/>
              </w:rPr>
            </w:pPr>
            <w:r w:rsidRPr="00652442">
              <w:rPr>
                <w:b/>
                <w:color w:val="263287"/>
              </w:rPr>
              <w:t>12-17</w:t>
            </w:r>
            <w:r w:rsidRPr="00652442">
              <w:rPr>
                <w:b/>
                <w:color w:val="263287"/>
                <w:spacing w:val="-2"/>
              </w:rPr>
              <w:t xml:space="preserve"> years</w:t>
            </w:r>
          </w:p>
        </w:tc>
        <w:tc>
          <w:tcPr>
            <w:tcW w:w="2066" w:type="dxa"/>
            <w:shd w:val="clear" w:color="auto" w:fill="DEEAF6"/>
          </w:tcPr>
          <w:p w14:paraId="0180CC4C" w14:textId="77777777" w:rsidR="00652442" w:rsidRPr="00652442" w:rsidRDefault="00652442" w:rsidP="00975226">
            <w:pPr>
              <w:pStyle w:val="TableParagraph"/>
              <w:spacing w:before="121"/>
              <w:ind w:left="279"/>
              <w:rPr>
                <w:b/>
                <w:color w:val="263287"/>
              </w:rPr>
            </w:pPr>
            <w:r w:rsidRPr="00652442">
              <w:rPr>
                <w:b/>
                <w:color w:val="263287"/>
              </w:rPr>
              <w:t xml:space="preserve">≥18 </w:t>
            </w:r>
            <w:r w:rsidRPr="00652442">
              <w:rPr>
                <w:b/>
                <w:color w:val="263287"/>
                <w:spacing w:val="-2"/>
              </w:rPr>
              <w:t>years</w:t>
            </w:r>
          </w:p>
        </w:tc>
      </w:tr>
      <w:tr w:rsidR="00652442" w14:paraId="6891F964" w14:textId="77777777" w:rsidTr="00652442">
        <w:trPr>
          <w:trHeight w:val="719"/>
        </w:trPr>
        <w:tc>
          <w:tcPr>
            <w:tcW w:w="1802" w:type="dxa"/>
          </w:tcPr>
          <w:p w14:paraId="00B7107F" w14:textId="77777777" w:rsidR="00652442" w:rsidRPr="00652442" w:rsidRDefault="00652442" w:rsidP="00975226">
            <w:pPr>
              <w:pStyle w:val="TableParagraph"/>
              <w:spacing w:before="119"/>
              <w:ind w:left="278"/>
              <w:rPr>
                <w:b/>
                <w:bCs/>
              </w:rPr>
            </w:pPr>
            <w:r w:rsidRPr="00652442">
              <w:rPr>
                <w:b/>
                <w:bCs/>
              </w:rPr>
              <w:t>CL</w:t>
            </w:r>
            <w:r w:rsidRPr="00652442">
              <w:rPr>
                <w:b/>
                <w:bCs/>
                <w:spacing w:val="-1"/>
              </w:rPr>
              <w:t xml:space="preserve"> </w:t>
            </w:r>
            <w:r w:rsidRPr="00652442">
              <w:rPr>
                <w:b/>
                <w:bCs/>
                <w:spacing w:val="-2"/>
              </w:rPr>
              <w:t>(L/h/kg)</w:t>
            </w:r>
          </w:p>
        </w:tc>
        <w:tc>
          <w:tcPr>
            <w:tcW w:w="1800" w:type="dxa"/>
          </w:tcPr>
          <w:p w14:paraId="0A00798F" w14:textId="77777777" w:rsidR="00652442" w:rsidRDefault="00652442" w:rsidP="00975226">
            <w:pPr>
              <w:pStyle w:val="TableParagraph"/>
              <w:spacing w:before="124"/>
              <w:ind w:left="23" w:right="1"/>
              <w:jc w:val="center"/>
              <w:rPr>
                <w:sz w:val="20"/>
              </w:rPr>
            </w:pPr>
            <w:r>
              <w:rPr>
                <w:spacing w:val="-4"/>
                <w:sz w:val="20"/>
              </w:rPr>
              <w:t>0.12</w:t>
            </w:r>
          </w:p>
          <w:p w14:paraId="4F4416E0" w14:textId="77777777" w:rsidR="00652442" w:rsidRDefault="00652442" w:rsidP="00975226">
            <w:pPr>
              <w:pStyle w:val="TableParagraph"/>
              <w:spacing w:before="5"/>
              <w:ind w:left="23" w:right="5"/>
              <w:jc w:val="center"/>
              <w:rPr>
                <w:sz w:val="20"/>
              </w:rPr>
            </w:pPr>
            <w:r>
              <w:rPr>
                <w:spacing w:val="-2"/>
                <w:sz w:val="20"/>
              </w:rPr>
              <w:t>(0.05;0.28)</w:t>
            </w:r>
          </w:p>
        </w:tc>
        <w:tc>
          <w:tcPr>
            <w:tcW w:w="1800" w:type="dxa"/>
          </w:tcPr>
          <w:p w14:paraId="022E7000" w14:textId="77777777" w:rsidR="00652442" w:rsidRDefault="00652442" w:rsidP="00975226">
            <w:pPr>
              <w:pStyle w:val="TableParagraph"/>
              <w:spacing w:before="124"/>
              <w:ind w:left="23"/>
              <w:jc w:val="center"/>
              <w:rPr>
                <w:sz w:val="20"/>
              </w:rPr>
            </w:pPr>
            <w:r>
              <w:rPr>
                <w:spacing w:val="-4"/>
                <w:sz w:val="20"/>
              </w:rPr>
              <w:t>0.10</w:t>
            </w:r>
          </w:p>
          <w:p w14:paraId="4A8B58E9" w14:textId="77777777" w:rsidR="00652442" w:rsidRDefault="00652442" w:rsidP="00975226">
            <w:pPr>
              <w:pStyle w:val="TableParagraph"/>
              <w:spacing w:before="5"/>
              <w:ind w:left="23" w:right="4"/>
              <w:jc w:val="center"/>
              <w:rPr>
                <w:sz w:val="20"/>
              </w:rPr>
            </w:pPr>
            <w:r>
              <w:rPr>
                <w:spacing w:val="-2"/>
                <w:sz w:val="20"/>
              </w:rPr>
              <w:t>(0.04;0.24)</w:t>
            </w:r>
          </w:p>
        </w:tc>
        <w:tc>
          <w:tcPr>
            <w:tcW w:w="1802" w:type="dxa"/>
          </w:tcPr>
          <w:p w14:paraId="5EDEC33A" w14:textId="77777777" w:rsidR="00652442" w:rsidRDefault="00652442" w:rsidP="00975226">
            <w:pPr>
              <w:pStyle w:val="TableParagraph"/>
              <w:spacing w:before="124"/>
              <w:ind w:left="43" w:right="21"/>
              <w:jc w:val="center"/>
              <w:rPr>
                <w:sz w:val="20"/>
              </w:rPr>
            </w:pPr>
            <w:r>
              <w:rPr>
                <w:spacing w:val="-4"/>
                <w:sz w:val="20"/>
              </w:rPr>
              <w:t>0.08</w:t>
            </w:r>
          </w:p>
          <w:p w14:paraId="22F47E16" w14:textId="77777777" w:rsidR="00652442" w:rsidRDefault="00652442" w:rsidP="00975226">
            <w:pPr>
              <w:pStyle w:val="TableParagraph"/>
              <w:spacing w:before="5"/>
              <w:ind w:left="39" w:right="21"/>
              <w:jc w:val="center"/>
              <w:rPr>
                <w:sz w:val="20"/>
              </w:rPr>
            </w:pPr>
            <w:r>
              <w:rPr>
                <w:spacing w:val="-2"/>
                <w:sz w:val="20"/>
              </w:rPr>
              <w:t>(0.04;0.20)</w:t>
            </w:r>
          </w:p>
        </w:tc>
        <w:tc>
          <w:tcPr>
            <w:tcW w:w="2066" w:type="dxa"/>
          </w:tcPr>
          <w:p w14:paraId="1895C8B1" w14:textId="77777777" w:rsidR="00652442" w:rsidRDefault="00652442" w:rsidP="00975226">
            <w:pPr>
              <w:pStyle w:val="TableParagraph"/>
              <w:spacing w:before="124"/>
              <w:ind w:left="23"/>
              <w:jc w:val="center"/>
              <w:rPr>
                <w:sz w:val="20"/>
              </w:rPr>
            </w:pPr>
            <w:r>
              <w:rPr>
                <w:spacing w:val="-4"/>
                <w:sz w:val="20"/>
              </w:rPr>
              <w:t>0.08</w:t>
            </w:r>
          </w:p>
          <w:p w14:paraId="4540F8B4" w14:textId="77777777" w:rsidR="00652442" w:rsidRDefault="00652442" w:rsidP="00975226">
            <w:pPr>
              <w:pStyle w:val="TableParagraph"/>
              <w:spacing w:before="5"/>
              <w:ind w:left="23" w:right="5"/>
              <w:jc w:val="center"/>
              <w:rPr>
                <w:sz w:val="20"/>
              </w:rPr>
            </w:pPr>
            <w:r>
              <w:rPr>
                <w:spacing w:val="-2"/>
                <w:sz w:val="20"/>
              </w:rPr>
              <w:t>(0.05;0.14)</w:t>
            </w:r>
          </w:p>
        </w:tc>
      </w:tr>
      <w:tr w:rsidR="00652442" w14:paraId="092BCE34" w14:textId="77777777" w:rsidTr="00652442">
        <w:trPr>
          <w:trHeight w:val="499"/>
        </w:trPr>
        <w:tc>
          <w:tcPr>
            <w:tcW w:w="1802" w:type="dxa"/>
          </w:tcPr>
          <w:p w14:paraId="43194FAA" w14:textId="77777777" w:rsidR="00652442" w:rsidRPr="00652442" w:rsidRDefault="00652442" w:rsidP="00975226">
            <w:pPr>
              <w:pStyle w:val="TableParagraph"/>
              <w:spacing w:before="121"/>
              <w:ind w:left="278"/>
              <w:rPr>
                <w:b/>
                <w:bCs/>
              </w:rPr>
            </w:pPr>
            <w:r w:rsidRPr="00652442">
              <w:rPr>
                <w:b/>
                <w:bCs/>
                <w:position w:val="2"/>
              </w:rPr>
              <w:t>t</w:t>
            </w:r>
            <w:r w:rsidRPr="00652442">
              <w:rPr>
                <w:b/>
                <w:bCs/>
                <w:sz w:val="14"/>
              </w:rPr>
              <w:t>1/2</w:t>
            </w:r>
            <w:r w:rsidRPr="00652442">
              <w:rPr>
                <w:b/>
                <w:bCs/>
                <w:spacing w:val="-7"/>
                <w:sz w:val="14"/>
              </w:rPr>
              <w:t xml:space="preserve"> </w:t>
            </w:r>
            <w:r w:rsidRPr="00652442">
              <w:rPr>
                <w:b/>
                <w:bCs/>
                <w:spacing w:val="-5"/>
                <w:position w:val="2"/>
              </w:rPr>
              <w:t>(h)</w:t>
            </w:r>
          </w:p>
        </w:tc>
        <w:tc>
          <w:tcPr>
            <w:tcW w:w="1800" w:type="dxa"/>
          </w:tcPr>
          <w:p w14:paraId="3D11FA89" w14:textId="77777777" w:rsidR="00652442" w:rsidRDefault="00652442" w:rsidP="00975226">
            <w:pPr>
              <w:pStyle w:val="TableParagraph"/>
              <w:spacing w:before="134"/>
              <w:ind w:left="381"/>
              <w:rPr>
                <w:sz w:val="20"/>
              </w:rPr>
            </w:pPr>
            <w:r>
              <w:rPr>
                <w:sz w:val="20"/>
              </w:rPr>
              <w:t>1.3</w:t>
            </w:r>
            <w:r>
              <w:rPr>
                <w:spacing w:val="-4"/>
                <w:sz w:val="20"/>
              </w:rPr>
              <w:t xml:space="preserve"> </w:t>
            </w:r>
            <w:r>
              <w:rPr>
                <w:spacing w:val="-2"/>
                <w:sz w:val="20"/>
              </w:rPr>
              <w:t>(0.7;3.4)</w:t>
            </w:r>
          </w:p>
        </w:tc>
        <w:tc>
          <w:tcPr>
            <w:tcW w:w="1800" w:type="dxa"/>
          </w:tcPr>
          <w:p w14:paraId="75C52213" w14:textId="77C9B7EF" w:rsidR="00652442" w:rsidRDefault="00652442" w:rsidP="00975226">
            <w:pPr>
              <w:pStyle w:val="TableParagraph"/>
              <w:spacing w:before="134"/>
              <w:ind w:left="278"/>
              <w:rPr>
                <w:sz w:val="20"/>
              </w:rPr>
            </w:pPr>
            <w:r>
              <w:rPr>
                <w:sz w:val="20"/>
              </w:rPr>
              <w:t>1.5</w:t>
            </w:r>
            <w:r>
              <w:rPr>
                <w:spacing w:val="-4"/>
                <w:sz w:val="20"/>
              </w:rPr>
              <w:t xml:space="preserve"> </w:t>
            </w:r>
            <w:r>
              <w:rPr>
                <w:spacing w:val="-2"/>
                <w:sz w:val="20"/>
              </w:rPr>
              <w:t>(</w:t>
            </w:r>
            <w:r w:rsidR="006C3917">
              <w:rPr>
                <w:spacing w:val="-2"/>
                <w:sz w:val="20"/>
              </w:rPr>
              <w:t>0.8</w:t>
            </w:r>
            <w:r>
              <w:rPr>
                <w:spacing w:val="-2"/>
                <w:sz w:val="20"/>
              </w:rPr>
              <w:t>;</w:t>
            </w:r>
            <w:r w:rsidR="00F43FB6">
              <w:rPr>
                <w:spacing w:val="-2"/>
                <w:sz w:val="20"/>
              </w:rPr>
              <w:t>3.2</w:t>
            </w:r>
            <w:r>
              <w:rPr>
                <w:spacing w:val="-2"/>
                <w:sz w:val="20"/>
              </w:rPr>
              <w:t>)</w:t>
            </w:r>
          </w:p>
        </w:tc>
        <w:tc>
          <w:tcPr>
            <w:tcW w:w="1802" w:type="dxa"/>
          </w:tcPr>
          <w:p w14:paraId="26B9179C" w14:textId="77777777" w:rsidR="00652442" w:rsidRDefault="00652442" w:rsidP="00975226">
            <w:pPr>
              <w:pStyle w:val="TableParagraph"/>
              <w:spacing w:before="134"/>
              <w:ind w:left="382"/>
              <w:rPr>
                <w:sz w:val="20"/>
              </w:rPr>
            </w:pPr>
            <w:r>
              <w:rPr>
                <w:sz w:val="20"/>
              </w:rPr>
              <w:t>1.8</w:t>
            </w:r>
            <w:r>
              <w:rPr>
                <w:spacing w:val="-4"/>
                <w:sz w:val="20"/>
              </w:rPr>
              <w:t xml:space="preserve"> </w:t>
            </w:r>
            <w:r>
              <w:rPr>
                <w:spacing w:val="-2"/>
                <w:sz w:val="20"/>
              </w:rPr>
              <w:t>(1.0;3.6)</w:t>
            </w:r>
          </w:p>
        </w:tc>
        <w:tc>
          <w:tcPr>
            <w:tcW w:w="2066" w:type="dxa"/>
          </w:tcPr>
          <w:p w14:paraId="25CB73F2" w14:textId="77777777" w:rsidR="00652442" w:rsidRDefault="00652442" w:rsidP="00975226">
            <w:pPr>
              <w:pStyle w:val="TableParagraph"/>
              <w:spacing w:before="134"/>
              <w:ind w:left="382"/>
              <w:rPr>
                <w:sz w:val="20"/>
              </w:rPr>
            </w:pPr>
            <w:r>
              <w:rPr>
                <w:sz w:val="20"/>
              </w:rPr>
              <w:t>1.8</w:t>
            </w:r>
            <w:r>
              <w:rPr>
                <w:spacing w:val="-4"/>
                <w:sz w:val="20"/>
              </w:rPr>
              <w:t xml:space="preserve"> </w:t>
            </w:r>
            <w:r>
              <w:rPr>
                <w:spacing w:val="-2"/>
                <w:sz w:val="20"/>
              </w:rPr>
              <w:t>(0.9;3.7)</w:t>
            </w:r>
          </w:p>
        </w:tc>
      </w:tr>
      <w:tr w:rsidR="00652442" w14:paraId="7BFFAA38" w14:textId="77777777" w:rsidTr="00652442">
        <w:trPr>
          <w:trHeight w:val="755"/>
        </w:trPr>
        <w:tc>
          <w:tcPr>
            <w:tcW w:w="1802" w:type="dxa"/>
          </w:tcPr>
          <w:p w14:paraId="709258B6" w14:textId="77777777" w:rsidR="00652442" w:rsidRPr="00652442" w:rsidRDefault="00652442" w:rsidP="00975226">
            <w:pPr>
              <w:pStyle w:val="TableParagraph"/>
              <w:spacing w:before="123" w:line="237" w:lineRule="auto"/>
              <w:ind w:left="278" w:right="137"/>
              <w:rPr>
                <w:b/>
                <w:bCs/>
              </w:rPr>
            </w:pPr>
            <w:r w:rsidRPr="00652442">
              <w:rPr>
                <w:b/>
                <w:bCs/>
                <w:spacing w:val="-2"/>
                <w:position w:val="2"/>
              </w:rPr>
              <w:t>AUC</w:t>
            </w:r>
            <w:r w:rsidRPr="00652442">
              <w:rPr>
                <w:b/>
                <w:bCs/>
                <w:spacing w:val="-2"/>
                <w:sz w:val="14"/>
              </w:rPr>
              <w:t>inf</w:t>
            </w:r>
            <w:r w:rsidRPr="00652442">
              <w:rPr>
                <w:b/>
                <w:bCs/>
                <w:spacing w:val="40"/>
                <w:sz w:val="14"/>
              </w:rPr>
              <w:t xml:space="preserve"> </w:t>
            </w:r>
            <w:r w:rsidRPr="00652442">
              <w:rPr>
                <w:b/>
                <w:bCs/>
                <w:spacing w:val="-2"/>
              </w:rPr>
              <w:t>(mg.h/L)</w:t>
            </w:r>
          </w:p>
        </w:tc>
        <w:tc>
          <w:tcPr>
            <w:tcW w:w="1800" w:type="dxa"/>
          </w:tcPr>
          <w:p w14:paraId="39622452" w14:textId="77777777" w:rsidR="00652442" w:rsidRDefault="00652442" w:rsidP="00975226">
            <w:pPr>
              <w:pStyle w:val="TableParagraph"/>
              <w:spacing w:before="143"/>
              <w:ind w:left="23" w:right="4"/>
              <w:jc w:val="center"/>
              <w:rPr>
                <w:sz w:val="20"/>
              </w:rPr>
            </w:pPr>
            <w:r>
              <w:rPr>
                <w:spacing w:val="-5"/>
                <w:sz w:val="20"/>
              </w:rPr>
              <w:t>403</w:t>
            </w:r>
          </w:p>
          <w:p w14:paraId="05182E57" w14:textId="77777777" w:rsidR="00652442" w:rsidRDefault="00652442" w:rsidP="00975226">
            <w:pPr>
              <w:pStyle w:val="TableParagraph"/>
              <w:spacing w:before="5"/>
              <w:ind w:left="23" w:right="5"/>
              <w:jc w:val="center"/>
              <w:rPr>
                <w:sz w:val="20"/>
              </w:rPr>
            </w:pPr>
            <w:r>
              <w:rPr>
                <w:spacing w:val="-2"/>
                <w:sz w:val="20"/>
              </w:rPr>
              <w:t>(169;964)</w:t>
            </w:r>
          </w:p>
        </w:tc>
        <w:tc>
          <w:tcPr>
            <w:tcW w:w="1800" w:type="dxa"/>
          </w:tcPr>
          <w:p w14:paraId="0BB67D33" w14:textId="77777777" w:rsidR="00652442" w:rsidRDefault="00652442" w:rsidP="00975226">
            <w:pPr>
              <w:pStyle w:val="TableParagraph"/>
              <w:spacing w:before="143"/>
              <w:ind w:left="23" w:right="2"/>
              <w:jc w:val="center"/>
              <w:rPr>
                <w:sz w:val="20"/>
              </w:rPr>
            </w:pPr>
            <w:r>
              <w:rPr>
                <w:spacing w:val="-5"/>
                <w:sz w:val="20"/>
              </w:rPr>
              <w:t>478</w:t>
            </w:r>
          </w:p>
          <w:p w14:paraId="72EDCCD7" w14:textId="77777777" w:rsidR="00652442" w:rsidRDefault="00652442" w:rsidP="00975226">
            <w:pPr>
              <w:pStyle w:val="TableParagraph"/>
              <w:spacing w:before="5"/>
              <w:ind w:left="23" w:right="4"/>
              <w:jc w:val="center"/>
              <w:rPr>
                <w:sz w:val="20"/>
              </w:rPr>
            </w:pPr>
            <w:r>
              <w:rPr>
                <w:spacing w:val="-2"/>
                <w:sz w:val="20"/>
              </w:rPr>
              <w:t>(183;1077)</w:t>
            </w:r>
          </w:p>
        </w:tc>
        <w:tc>
          <w:tcPr>
            <w:tcW w:w="1802" w:type="dxa"/>
          </w:tcPr>
          <w:p w14:paraId="27D8409A" w14:textId="77777777" w:rsidR="00652442" w:rsidRDefault="00652442" w:rsidP="00975226">
            <w:pPr>
              <w:pStyle w:val="TableParagraph"/>
              <w:spacing w:before="143"/>
              <w:ind w:left="40" w:right="21"/>
              <w:jc w:val="center"/>
              <w:rPr>
                <w:sz w:val="20"/>
              </w:rPr>
            </w:pPr>
            <w:r>
              <w:rPr>
                <w:spacing w:val="-5"/>
                <w:sz w:val="20"/>
              </w:rPr>
              <w:t>582</w:t>
            </w:r>
          </w:p>
          <w:p w14:paraId="2E332E63" w14:textId="77777777" w:rsidR="00652442" w:rsidRDefault="00652442" w:rsidP="00975226">
            <w:pPr>
              <w:pStyle w:val="TableParagraph"/>
              <w:spacing w:before="5"/>
              <w:ind w:left="39" w:right="21"/>
              <w:jc w:val="center"/>
              <w:rPr>
                <w:sz w:val="20"/>
              </w:rPr>
            </w:pPr>
            <w:r>
              <w:rPr>
                <w:spacing w:val="-2"/>
                <w:sz w:val="20"/>
              </w:rPr>
              <w:t>(267;1291)</w:t>
            </w:r>
          </w:p>
        </w:tc>
        <w:tc>
          <w:tcPr>
            <w:tcW w:w="2066" w:type="dxa"/>
          </w:tcPr>
          <w:p w14:paraId="7C8748A7" w14:textId="77777777" w:rsidR="00652442" w:rsidRDefault="00652442" w:rsidP="00975226">
            <w:pPr>
              <w:pStyle w:val="TableParagraph"/>
              <w:spacing w:before="143"/>
              <w:ind w:left="23" w:right="3"/>
              <w:jc w:val="center"/>
              <w:rPr>
                <w:sz w:val="20"/>
              </w:rPr>
            </w:pPr>
            <w:r>
              <w:rPr>
                <w:spacing w:val="-5"/>
                <w:sz w:val="20"/>
              </w:rPr>
              <w:t>590</w:t>
            </w:r>
          </w:p>
          <w:p w14:paraId="6CFB33D0" w14:textId="77777777" w:rsidR="00652442" w:rsidRDefault="00652442" w:rsidP="00975226">
            <w:pPr>
              <w:pStyle w:val="TableParagraph"/>
              <w:spacing w:before="5"/>
              <w:ind w:left="23" w:right="5"/>
              <w:jc w:val="center"/>
              <w:rPr>
                <w:sz w:val="20"/>
              </w:rPr>
            </w:pPr>
            <w:r>
              <w:rPr>
                <w:spacing w:val="-2"/>
                <w:sz w:val="20"/>
              </w:rPr>
              <w:t>(353;937)</w:t>
            </w:r>
          </w:p>
        </w:tc>
      </w:tr>
      <w:tr w:rsidR="00652442" w14:paraId="355FB54F" w14:textId="77777777" w:rsidTr="00652442">
        <w:trPr>
          <w:trHeight w:val="721"/>
        </w:trPr>
        <w:tc>
          <w:tcPr>
            <w:tcW w:w="1802" w:type="dxa"/>
          </w:tcPr>
          <w:p w14:paraId="1A3229B2" w14:textId="77777777" w:rsidR="00652442" w:rsidRPr="00652442" w:rsidRDefault="00652442" w:rsidP="00975226">
            <w:pPr>
              <w:pStyle w:val="TableParagraph"/>
              <w:spacing w:before="121"/>
              <w:ind w:left="278"/>
              <w:rPr>
                <w:b/>
                <w:bCs/>
              </w:rPr>
            </w:pPr>
            <w:r w:rsidRPr="00652442">
              <w:rPr>
                <w:b/>
                <w:bCs/>
              </w:rPr>
              <w:t>C10</w:t>
            </w:r>
            <w:r w:rsidRPr="00652442">
              <w:rPr>
                <w:b/>
                <w:bCs/>
                <w:spacing w:val="-2"/>
              </w:rPr>
              <w:t xml:space="preserve"> (mg/L)</w:t>
            </w:r>
          </w:p>
        </w:tc>
        <w:tc>
          <w:tcPr>
            <w:tcW w:w="1800" w:type="dxa"/>
          </w:tcPr>
          <w:p w14:paraId="1176552D" w14:textId="77777777" w:rsidR="00652442" w:rsidRDefault="00652442" w:rsidP="00975226">
            <w:pPr>
              <w:pStyle w:val="TableParagraph"/>
              <w:spacing w:before="126"/>
              <w:ind w:left="23" w:right="4"/>
              <w:jc w:val="center"/>
              <w:rPr>
                <w:sz w:val="20"/>
              </w:rPr>
            </w:pPr>
            <w:r>
              <w:rPr>
                <w:spacing w:val="-5"/>
                <w:sz w:val="20"/>
              </w:rPr>
              <w:t>303</w:t>
            </w:r>
          </w:p>
          <w:p w14:paraId="03AE6C14" w14:textId="77777777" w:rsidR="00652442" w:rsidRDefault="00652442" w:rsidP="00975226">
            <w:pPr>
              <w:pStyle w:val="TableParagraph"/>
              <w:spacing w:before="6"/>
              <w:ind w:left="23" w:right="5"/>
              <w:jc w:val="center"/>
              <w:rPr>
                <w:sz w:val="20"/>
              </w:rPr>
            </w:pPr>
            <w:r>
              <w:rPr>
                <w:spacing w:val="-2"/>
                <w:sz w:val="20"/>
              </w:rPr>
              <w:t>(167;544)</w:t>
            </w:r>
          </w:p>
        </w:tc>
        <w:tc>
          <w:tcPr>
            <w:tcW w:w="1800" w:type="dxa"/>
          </w:tcPr>
          <w:p w14:paraId="5574EEBE" w14:textId="77777777" w:rsidR="00652442" w:rsidRDefault="00652442" w:rsidP="00975226">
            <w:pPr>
              <w:pStyle w:val="TableParagraph"/>
              <w:spacing w:before="126"/>
              <w:ind w:left="23" w:right="2"/>
              <w:jc w:val="center"/>
              <w:rPr>
                <w:sz w:val="20"/>
              </w:rPr>
            </w:pPr>
            <w:r>
              <w:rPr>
                <w:spacing w:val="-5"/>
                <w:sz w:val="20"/>
              </w:rPr>
              <w:t>328</w:t>
            </w:r>
          </w:p>
          <w:p w14:paraId="01F7C0B3" w14:textId="77777777" w:rsidR="00652442" w:rsidRDefault="00652442" w:rsidP="00975226">
            <w:pPr>
              <w:pStyle w:val="TableParagraph"/>
              <w:spacing w:before="6"/>
              <w:ind w:left="23" w:right="4"/>
              <w:jc w:val="center"/>
              <w:rPr>
                <w:sz w:val="20"/>
              </w:rPr>
            </w:pPr>
            <w:r>
              <w:rPr>
                <w:spacing w:val="-2"/>
                <w:sz w:val="20"/>
              </w:rPr>
              <w:t>(174;612)</w:t>
            </w:r>
          </w:p>
        </w:tc>
        <w:tc>
          <w:tcPr>
            <w:tcW w:w="1802" w:type="dxa"/>
          </w:tcPr>
          <w:p w14:paraId="18A8460E" w14:textId="77777777" w:rsidR="00652442" w:rsidRDefault="00652442" w:rsidP="00975226">
            <w:pPr>
              <w:pStyle w:val="TableParagraph"/>
              <w:spacing w:before="126"/>
              <w:ind w:left="40" w:right="21"/>
              <w:jc w:val="center"/>
              <w:rPr>
                <w:sz w:val="20"/>
              </w:rPr>
            </w:pPr>
            <w:r>
              <w:rPr>
                <w:spacing w:val="-5"/>
                <w:sz w:val="20"/>
              </w:rPr>
              <w:t>350</w:t>
            </w:r>
          </w:p>
          <w:p w14:paraId="0A945551" w14:textId="77777777" w:rsidR="00652442" w:rsidRDefault="00652442" w:rsidP="00975226">
            <w:pPr>
              <w:pStyle w:val="TableParagraph"/>
              <w:spacing w:before="6"/>
              <w:ind w:left="39" w:right="21"/>
              <w:jc w:val="center"/>
              <w:rPr>
                <w:sz w:val="20"/>
              </w:rPr>
            </w:pPr>
            <w:r>
              <w:rPr>
                <w:spacing w:val="-2"/>
                <w:sz w:val="20"/>
              </w:rPr>
              <w:t>(174;607)</w:t>
            </w:r>
          </w:p>
        </w:tc>
        <w:tc>
          <w:tcPr>
            <w:tcW w:w="2066" w:type="dxa"/>
          </w:tcPr>
          <w:p w14:paraId="7799C0D1" w14:textId="77777777" w:rsidR="00652442" w:rsidRDefault="00652442" w:rsidP="00975226">
            <w:pPr>
              <w:pStyle w:val="TableParagraph"/>
              <w:spacing w:before="126"/>
              <w:ind w:left="23" w:right="3"/>
              <w:jc w:val="center"/>
              <w:rPr>
                <w:sz w:val="20"/>
              </w:rPr>
            </w:pPr>
            <w:r>
              <w:rPr>
                <w:spacing w:val="-5"/>
                <w:sz w:val="20"/>
              </w:rPr>
              <w:t>363</w:t>
            </w:r>
          </w:p>
          <w:p w14:paraId="6086FB33" w14:textId="77777777" w:rsidR="00652442" w:rsidRDefault="00652442" w:rsidP="00975226">
            <w:pPr>
              <w:pStyle w:val="TableParagraph"/>
              <w:spacing w:before="6"/>
              <w:ind w:left="23" w:right="5"/>
              <w:jc w:val="center"/>
              <w:rPr>
                <w:sz w:val="20"/>
              </w:rPr>
            </w:pPr>
            <w:r>
              <w:rPr>
                <w:spacing w:val="-2"/>
                <w:sz w:val="20"/>
              </w:rPr>
              <w:t>(180;710)</w:t>
            </w:r>
          </w:p>
        </w:tc>
      </w:tr>
      <w:tr w:rsidR="00652442" w14:paraId="6F847B0A" w14:textId="77777777" w:rsidTr="00652442">
        <w:trPr>
          <w:trHeight w:val="719"/>
        </w:trPr>
        <w:tc>
          <w:tcPr>
            <w:tcW w:w="1802" w:type="dxa"/>
          </w:tcPr>
          <w:p w14:paraId="33BB731D" w14:textId="77777777" w:rsidR="00652442" w:rsidRPr="00652442" w:rsidRDefault="00652442" w:rsidP="00975226">
            <w:pPr>
              <w:pStyle w:val="TableParagraph"/>
              <w:spacing w:before="119"/>
              <w:ind w:left="278"/>
              <w:rPr>
                <w:b/>
                <w:bCs/>
              </w:rPr>
            </w:pPr>
            <w:r w:rsidRPr="00652442">
              <w:rPr>
                <w:b/>
                <w:bCs/>
              </w:rPr>
              <w:t>C20</w:t>
            </w:r>
            <w:r w:rsidRPr="00652442">
              <w:rPr>
                <w:b/>
                <w:bCs/>
                <w:spacing w:val="-2"/>
              </w:rPr>
              <w:t xml:space="preserve"> (mg/L)</w:t>
            </w:r>
          </w:p>
        </w:tc>
        <w:tc>
          <w:tcPr>
            <w:tcW w:w="1800" w:type="dxa"/>
          </w:tcPr>
          <w:p w14:paraId="393BEA17" w14:textId="77777777" w:rsidR="00652442" w:rsidRDefault="00652442" w:rsidP="00975226">
            <w:pPr>
              <w:pStyle w:val="TableParagraph"/>
              <w:spacing w:before="124"/>
              <w:ind w:left="23" w:right="4"/>
              <w:jc w:val="center"/>
              <w:rPr>
                <w:sz w:val="20"/>
              </w:rPr>
            </w:pPr>
            <w:r>
              <w:rPr>
                <w:spacing w:val="-5"/>
                <w:sz w:val="20"/>
              </w:rPr>
              <w:t>236</w:t>
            </w:r>
          </w:p>
          <w:p w14:paraId="4A9043EE" w14:textId="77777777" w:rsidR="00652442" w:rsidRDefault="00652442" w:rsidP="00975226">
            <w:pPr>
              <w:pStyle w:val="TableParagraph"/>
              <w:spacing w:before="5"/>
              <w:ind w:left="23" w:right="5"/>
              <w:jc w:val="center"/>
              <w:rPr>
                <w:sz w:val="20"/>
              </w:rPr>
            </w:pPr>
            <w:r>
              <w:rPr>
                <w:spacing w:val="-2"/>
                <w:sz w:val="20"/>
              </w:rPr>
              <w:t>(136;387)</w:t>
            </w:r>
          </w:p>
        </w:tc>
        <w:tc>
          <w:tcPr>
            <w:tcW w:w="1800" w:type="dxa"/>
          </w:tcPr>
          <w:p w14:paraId="1B8AD78E" w14:textId="77777777" w:rsidR="00652442" w:rsidRDefault="00652442" w:rsidP="00975226">
            <w:pPr>
              <w:pStyle w:val="TableParagraph"/>
              <w:spacing w:before="124"/>
              <w:ind w:left="23" w:right="2"/>
              <w:jc w:val="center"/>
              <w:rPr>
                <w:sz w:val="20"/>
              </w:rPr>
            </w:pPr>
            <w:r>
              <w:rPr>
                <w:spacing w:val="-5"/>
                <w:sz w:val="20"/>
              </w:rPr>
              <w:t>260</w:t>
            </w:r>
          </w:p>
          <w:p w14:paraId="387C311D" w14:textId="77777777" w:rsidR="00652442" w:rsidRDefault="00652442" w:rsidP="00975226">
            <w:pPr>
              <w:pStyle w:val="TableParagraph"/>
              <w:spacing w:before="5"/>
              <w:ind w:left="23" w:right="4"/>
              <w:jc w:val="center"/>
              <w:rPr>
                <w:sz w:val="20"/>
              </w:rPr>
            </w:pPr>
            <w:r>
              <w:rPr>
                <w:spacing w:val="-2"/>
                <w:sz w:val="20"/>
              </w:rPr>
              <w:t>(151;401)</w:t>
            </w:r>
          </w:p>
        </w:tc>
        <w:tc>
          <w:tcPr>
            <w:tcW w:w="1802" w:type="dxa"/>
          </w:tcPr>
          <w:p w14:paraId="0F74E6CD" w14:textId="77777777" w:rsidR="00652442" w:rsidRDefault="00652442" w:rsidP="00975226">
            <w:pPr>
              <w:pStyle w:val="TableParagraph"/>
              <w:spacing w:before="124"/>
              <w:ind w:left="40" w:right="21"/>
              <w:jc w:val="center"/>
              <w:rPr>
                <w:sz w:val="20"/>
              </w:rPr>
            </w:pPr>
            <w:r>
              <w:rPr>
                <w:spacing w:val="-5"/>
                <w:sz w:val="20"/>
              </w:rPr>
              <w:t>286</w:t>
            </w:r>
          </w:p>
          <w:p w14:paraId="12C701F8" w14:textId="77777777" w:rsidR="00652442" w:rsidRDefault="00652442" w:rsidP="00975226">
            <w:pPr>
              <w:pStyle w:val="TableParagraph"/>
              <w:spacing w:before="5"/>
              <w:ind w:left="39" w:right="21"/>
              <w:jc w:val="center"/>
              <w:rPr>
                <w:sz w:val="20"/>
              </w:rPr>
            </w:pPr>
            <w:r>
              <w:rPr>
                <w:spacing w:val="-2"/>
                <w:sz w:val="20"/>
              </w:rPr>
              <w:t>(155;441)</w:t>
            </w:r>
          </w:p>
        </w:tc>
        <w:tc>
          <w:tcPr>
            <w:tcW w:w="2066" w:type="dxa"/>
          </w:tcPr>
          <w:p w14:paraId="77A3431C" w14:textId="77777777" w:rsidR="00652442" w:rsidRDefault="00652442" w:rsidP="00975226">
            <w:pPr>
              <w:pStyle w:val="TableParagraph"/>
              <w:spacing w:before="124"/>
              <w:ind w:left="23" w:right="3"/>
              <w:jc w:val="center"/>
              <w:rPr>
                <w:sz w:val="20"/>
              </w:rPr>
            </w:pPr>
            <w:r>
              <w:rPr>
                <w:spacing w:val="-5"/>
                <w:sz w:val="20"/>
              </w:rPr>
              <w:t>296</w:t>
            </w:r>
          </w:p>
          <w:p w14:paraId="4D5275F8" w14:textId="77777777" w:rsidR="00652442" w:rsidRDefault="00652442" w:rsidP="00975226">
            <w:pPr>
              <w:pStyle w:val="TableParagraph"/>
              <w:spacing w:before="5"/>
              <w:ind w:left="23" w:right="5"/>
              <w:jc w:val="center"/>
              <w:rPr>
                <w:sz w:val="20"/>
              </w:rPr>
            </w:pPr>
            <w:r>
              <w:rPr>
                <w:spacing w:val="-2"/>
                <w:sz w:val="20"/>
              </w:rPr>
              <w:t>(166;485)</w:t>
            </w:r>
          </w:p>
        </w:tc>
      </w:tr>
      <w:tr w:rsidR="00652442" w14:paraId="2554A270" w14:textId="77777777" w:rsidTr="00652442">
        <w:trPr>
          <w:trHeight w:val="721"/>
        </w:trPr>
        <w:tc>
          <w:tcPr>
            <w:tcW w:w="1802" w:type="dxa"/>
          </w:tcPr>
          <w:p w14:paraId="48712791" w14:textId="77777777" w:rsidR="00652442" w:rsidRPr="00652442" w:rsidRDefault="00652442" w:rsidP="00975226">
            <w:pPr>
              <w:pStyle w:val="TableParagraph"/>
              <w:spacing w:before="119"/>
              <w:ind w:left="278"/>
              <w:rPr>
                <w:b/>
                <w:bCs/>
              </w:rPr>
            </w:pPr>
            <w:r w:rsidRPr="00652442">
              <w:rPr>
                <w:b/>
                <w:bCs/>
              </w:rPr>
              <w:t>C30</w:t>
            </w:r>
            <w:r w:rsidRPr="00652442">
              <w:rPr>
                <w:b/>
                <w:bCs/>
                <w:spacing w:val="-2"/>
              </w:rPr>
              <w:t xml:space="preserve"> (mg/L)</w:t>
            </w:r>
          </w:p>
        </w:tc>
        <w:tc>
          <w:tcPr>
            <w:tcW w:w="1800" w:type="dxa"/>
          </w:tcPr>
          <w:p w14:paraId="3807C61C" w14:textId="77777777" w:rsidR="00652442" w:rsidRDefault="00652442" w:rsidP="00975226">
            <w:pPr>
              <w:pStyle w:val="TableParagraph"/>
              <w:spacing w:before="124"/>
              <w:ind w:left="23" w:right="4"/>
              <w:jc w:val="center"/>
              <w:rPr>
                <w:sz w:val="20"/>
              </w:rPr>
            </w:pPr>
            <w:r>
              <w:rPr>
                <w:spacing w:val="-5"/>
                <w:sz w:val="20"/>
              </w:rPr>
              <w:t>189</w:t>
            </w:r>
          </w:p>
          <w:p w14:paraId="1D47F13F" w14:textId="77777777" w:rsidR="00652442" w:rsidRDefault="00652442" w:rsidP="00975226">
            <w:pPr>
              <w:pStyle w:val="TableParagraph"/>
              <w:spacing w:before="5"/>
              <w:ind w:left="23" w:right="5"/>
              <w:jc w:val="center"/>
              <w:rPr>
                <w:sz w:val="20"/>
              </w:rPr>
            </w:pPr>
            <w:r>
              <w:rPr>
                <w:spacing w:val="-2"/>
                <w:sz w:val="20"/>
              </w:rPr>
              <w:t>(103;300)</w:t>
            </w:r>
          </w:p>
        </w:tc>
        <w:tc>
          <w:tcPr>
            <w:tcW w:w="1800" w:type="dxa"/>
          </w:tcPr>
          <w:p w14:paraId="6BFEC5E4" w14:textId="77777777" w:rsidR="00652442" w:rsidRDefault="00652442" w:rsidP="00975226">
            <w:pPr>
              <w:pStyle w:val="TableParagraph"/>
              <w:spacing w:before="124"/>
              <w:ind w:left="23" w:right="2"/>
              <w:jc w:val="center"/>
              <w:rPr>
                <w:sz w:val="20"/>
              </w:rPr>
            </w:pPr>
            <w:r>
              <w:rPr>
                <w:spacing w:val="-5"/>
                <w:sz w:val="20"/>
              </w:rPr>
              <w:t>212</w:t>
            </w:r>
          </w:p>
          <w:p w14:paraId="27FAAB06" w14:textId="77777777" w:rsidR="00652442" w:rsidRDefault="00652442" w:rsidP="00975226">
            <w:pPr>
              <w:pStyle w:val="TableParagraph"/>
              <w:spacing w:before="5"/>
              <w:ind w:left="23" w:right="4"/>
              <w:jc w:val="center"/>
              <w:rPr>
                <w:sz w:val="20"/>
              </w:rPr>
            </w:pPr>
            <w:r>
              <w:rPr>
                <w:spacing w:val="-2"/>
                <w:sz w:val="20"/>
              </w:rPr>
              <w:t>(100;320)</w:t>
            </w:r>
          </w:p>
        </w:tc>
        <w:tc>
          <w:tcPr>
            <w:tcW w:w="1802" w:type="dxa"/>
          </w:tcPr>
          <w:p w14:paraId="567FCDEF" w14:textId="77777777" w:rsidR="00652442" w:rsidRDefault="00652442" w:rsidP="00975226">
            <w:pPr>
              <w:pStyle w:val="TableParagraph"/>
              <w:spacing w:before="124"/>
              <w:ind w:left="40" w:right="21"/>
              <w:jc w:val="center"/>
              <w:rPr>
                <w:sz w:val="20"/>
              </w:rPr>
            </w:pPr>
            <w:r>
              <w:rPr>
                <w:spacing w:val="-5"/>
                <w:sz w:val="20"/>
              </w:rPr>
              <w:t>238</w:t>
            </w:r>
          </w:p>
          <w:p w14:paraId="000C31FB" w14:textId="77777777" w:rsidR="00652442" w:rsidRDefault="00652442" w:rsidP="00975226">
            <w:pPr>
              <w:pStyle w:val="TableParagraph"/>
              <w:spacing w:before="5"/>
              <w:ind w:left="39" w:right="21"/>
              <w:jc w:val="center"/>
              <w:rPr>
                <w:sz w:val="20"/>
              </w:rPr>
            </w:pPr>
            <w:r>
              <w:rPr>
                <w:spacing w:val="-2"/>
                <w:sz w:val="20"/>
              </w:rPr>
              <w:t>(139;355)</w:t>
            </w:r>
          </w:p>
        </w:tc>
        <w:tc>
          <w:tcPr>
            <w:tcW w:w="2066" w:type="dxa"/>
          </w:tcPr>
          <w:p w14:paraId="6EE609BA" w14:textId="77777777" w:rsidR="00652442" w:rsidRDefault="00652442" w:rsidP="00975226">
            <w:pPr>
              <w:pStyle w:val="TableParagraph"/>
              <w:spacing w:before="124"/>
              <w:ind w:left="23" w:right="3"/>
              <w:jc w:val="center"/>
              <w:rPr>
                <w:sz w:val="20"/>
              </w:rPr>
            </w:pPr>
            <w:r>
              <w:rPr>
                <w:spacing w:val="-5"/>
                <w:sz w:val="20"/>
              </w:rPr>
              <w:t>244</w:t>
            </w:r>
          </w:p>
          <w:p w14:paraId="0A101079" w14:textId="77777777" w:rsidR="00652442" w:rsidRDefault="00652442" w:rsidP="00975226">
            <w:pPr>
              <w:pStyle w:val="TableParagraph"/>
              <w:spacing w:before="5"/>
              <w:ind w:left="23" w:right="5"/>
              <w:jc w:val="center"/>
              <w:rPr>
                <w:sz w:val="20"/>
              </w:rPr>
            </w:pPr>
            <w:r>
              <w:rPr>
                <w:spacing w:val="-2"/>
                <w:sz w:val="20"/>
              </w:rPr>
              <w:t>(151;356)</w:t>
            </w:r>
          </w:p>
        </w:tc>
      </w:tr>
    </w:tbl>
    <w:p w14:paraId="3A3E28FF" w14:textId="6A728BBB" w:rsidR="002E0A54" w:rsidRPr="006A7451" w:rsidRDefault="008B3788" w:rsidP="006A7451">
      <w:pPr>
        <w:pStyle w:val="TableDescription"/>
      </w:pPr>
      <w:r>
        <w:t>Values are presented as m</w:t>
      </w:r>
      <w:r w:rsidR="00E959C7">
        <w:t>edian (min;max)</w:t>
      </w:r>
    </w:p>
    <w:p w14:paraId="2A29090C" w14:textId="5C761CDD" w:rsidR="0018274F" w:rsidRDefault="0018274F" w:rsidP="0018274F">
      <w:r>
        <w:t xml:space="preserve">No effect of age on PK was noted but the average age of patients in the PK study was 56 years (range 18-71 years). The Sponsor has recommended renal impairment be considered as a comorbidity when </w:t>
      </w:r>
      <w:r w:rsidR="00A0048C">
        <w:t>gadopiclenol</w:t>
      </w:r>
      <w:r>
        <w:t xml:space="preserve"> is used in patients 65 years and older.</w:t>
      </w:r>
    </w:p>
    <w:p w14:paraId="034CD3AD" w14:textId="354B57C7" w:rsidR="0018274F" w:rsidRPr="006A7451" w:rsidRDefault="0018274F" w:rsidP="006A7451">
      <w:pPr>
        <w:pStyle w:val="Heading5"/>
      </w:pPr>
      <w:r>
        <w:t>Population PK data</w:t>
      </w:r>
    </w:p>
    <w:p w14:paraId="6E8CFD40" w14:textId="0D2F41CD" w:rsidR="0018274F" w:rsidRDefault="0018274F" w:rsidP="0018274F">
      <w:r>
        <w:t xml:space="preserve">A population PK analysis was performed including the studies in adolescents/children and patients with renal impairment. No additional variables affecting PK were identified other than weight. Age was not a factor in the pharmacokinetic of </w:t>
      </w:r>
      <w:r w:rsidR="00A0048C">
        <w:t>gadopiclenol</w:t>
      </w:r>
      <w:r>
        <w:t xml:space="preserve"> other than through reduced weight in young patients.</w:t>
      </w:r>
    </w:p>
    <w:p w14:paraId="31DC62EF" w14:textId="0DB78F48" w:rsidR="0018274F" w:rsidRDefault="0018274F" w:rsidP="0018274F">
      <w:pPr>
        <w:pStyle w:val="Heading5"/>
      </w:pPr>
      <w:r>
        <w:t>Pharmacodynamics</w:t>
      </w:r>
    </w:p>
    <w:p w14:paraId="6ECC26D7" w14:textId="736FA589" w:rsidR="0018274F" w:rsidRDefault="00573F6B" w:rsidP="0018274F">
      <w:r>
        <w:t>Gadopiclenol</w:t>
      </w:r>
      <w:r w:rsidR="0018274F">
        <w:t xml:space="preserve"> does not exert a pharmacological action and its effects are mediated by the physical characteristics of gadolinium interacting with the magnetic field of an MRI scanner. It is believed that this agent acts similarly to other GBCAs when used as a contrast agent for MRI scanning.</w:t>
      </w:r>
    </w:p>
    <w:p w14:paraId="50E9EEA0" w14:textId="61B2E14A" w:rsidR="0018274F" w:rsidRDefault="0024124C" w:rsidP="0018274F">
      <w:r w:rsidRPr="0024124C">
        <w:t xml:space="preserve">Study GDX-44-003 assessed contrast-to-noise ratio and signal-to-noise ratio for choroid plexus, nasal membrane and pituitary gland scans and showed a positive variation between pre- and post-contrast images with gadopiclenol at 0.05, 0.075, and 0.1 mmol/kg. </w:t>
      </w:r>
      <w:r w:rsidR="0018274F">
        <w:t xml:space="preserve">The </w:t>
      </w:r>
      <w:r w:rsidR="00A0048C">
        <w:t>gadopiclenol</w:t>
      </w:r>
      <w:r w:rsidR="0018274F">
        <w:t xml:space="preserve"> dose recommended for use in Australia is 0.05 mmol/kg. However, for other </w:t>
      </w:r>
      <w:r w:rsidR="00573F6B">
        <w:t>macrocyclic</w:t>
      </w:r>
      <w:r w:rsidR="0018274F">
        <w:t xml:space="preserve"> GBCA available in Australia the recommended dose is 0.1 mmol/kg.</w:t>
      </w:r>
    </w:p>
    <w:p w14:paraId="3F9F1F60" w14:textId="77777777" w:rsidR="0018274F" w:rsidRDefault="0018274F" w:rsidP="0018274F">
      <w:pPr>
        <w:pStyle w:val="Heading4"/>
      </w:pPr>
      <w:bookmarkStart w:id="34" w:name="_Toc206677112"/>
      <w:r>
        <w:lastRenderedPageBreak/>
        <w:t>Efficacy</w:t>
      </w:r>
      <w:bookmarkEnd w:id="34"/>
    </w:p>
    <w:p w14:paraId="56836DF4" w14:textId="77777777" w:rsidR="0018274F" w:rsidRDefault="0018274F" w:rsidP="0018274F">
      <w:pPr>
        <w:pStyle w:val="Heading5"/>
      </w:pPr>
      <w:r>
        <w:t>Study GDX-44-010 (CNS imaging)</w:t>
      </w:r>
    </w:p>
    <w:p w14:paraId="0B1E1FCE" w14:textId="5AE00FEC" w:rsidR="0018274F" w:rsidRDefault="00295085" w:rsidP="0018274F">
      <w:r>
        <w:t xml:space="preserve">Study </w:t>
      </w:r>
      <w:r w:rsidR="0018274F">
        <w:t xml:space="preserve">GDX-44-010 </w:t>
      </w:r>
      <w:r>
        <w:t xml:space="preserve">(Figure 1) </w:t>
      </w:r>
      <w:r w:rsidR="0018274F">
        <w:t xml:space="preserve">was randomised, blinded, cross-over phase III study which examined the safety and efficacy of </w:t>
      </w:r>
      <w:r w:rsidR="00A0048C">
        <w:t>gadopiclenol</w:t>
      </w:r>
      <w:r w:rsidR="0018274F">
        <w:t xml:space="preserve"> 0.05 mmol/kg compared to gadobutrol at 0.1 mmol/kg in imaging CNS and spinal lesions in adult patients (n=256).</w:t>
      </w:r>
    </w:p>
    <w:p w14:paraId="12F6C814" w14:textId="29716104" w:rsidR="00652442" w:rsidRDefault="0018274F" w:rsidP="0018274F">
      <w:r>
        <w:t>Included patients had at least one known or highly suspected brain or spine lesion with focal areas of blood-brain disruption identified within 12 months of enrolment, and were scheduled to undergo a clinically indicated CNS MRI. Patients with severe renal impairment (e</w:t>
      </w:r>
      <w:r w:rsidR="004A7A06">
        <w:t>stimated glomerular filtration rate</w:t>
      </w:r>
      <w:r>
        <w:t>&lt;30ml/min/1.73m</w:t>
      </w:r>
      <w:r w:rsidRPr="004A7A06">
        <w:rPr>
          <w:vertAlign w:val="superscript"/>
        </w:rPr>
        <w:t>2</w:t>
      </w:r>
      <w:r>
        <w:t>), patients with extracranial lesions</w:t>
      </w:r>
      <w:r w:rsidR="00033215">
        <w:t xml:space="preserve"> or</w:t>
      </w:r>
      <w:r>
        <w:t xml:space="preserve"> relapses of </w:t>
      </w:r>
      <w:r w:rsidR="00976722">
        <w:t>multiple sclerosis</w:t>
      </w:r>
      <w:r>
        <w:t xml:space="preserve"> were excluded (due to the rapid change in these lesions)</w:t>
      </w:r>
      <w:r w:rsidR="00976722">
        <w:t>.</w:t>
      </w:r>
    </w:p>
    <w:p w14:paraId="0FDF755A" w14:textId="5F87C66A" w:rsidR="00E77BDD" w:rsidRPr="00E77BDD" w:rsidRDefault="00D17FA6" w:rsidP="002D0C3D">
      <w:pPr>
        <w:pStyle w:val="FigureTitle"/>
      </w:pPr>
      <w:r w:rsidRPr="00D17FA6">
        <w:t>Figure 1</w:t>
      </w:r>
      <w:r>
        <w:t>.</w:t>
      </w:r>
      <w:r w:rsidRPr="00D17FA6">
        <w:t xml:space="preserve"> Trial design of study GDX-44-010</w:t>
      </w:r>
      <w:r w:rsidR="00295085">
        <w:rPr>
          <w:noProof/>
        </w:rPr>
        <mc:AlternateContent>
          <mc:Choice Requires="wpg">
            <w:drawing>
              <wp:anchor distT="0" distB="0" distL="0" distR="0" simplePos="0" relativeHeight="251659264" behindDoc="1" locked="0" layoutInCell="1" allowOverlap="1" wp14:anchorId="023C04E0" wp14:editId="70EDB595">
                <wp:simplePos x="0" y="0"/>
                <wp:positionH relativeFrom="page">
                  <wp:posOffset>900430</wp:posOffset>
                </wp:positionH>
                <wp:positionV relativeFrom="paragraph">
                  <wp:posOffset>250825</wp:posOffset>
                </wp:positionV>
                <wp:extent cx="5750560" cy="362648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626485"/>
                          <a:chOff x="0" y="0"/>
                          <a:chExt cx="5750560" cy="3626485"/>
                        </a:xfrm>
                      </wpg:grpSpPr>
                      <pic:pic xmlns:pic="http://schemas.openxmlformats.org/drawingml/2006/picture">
                        <pic:nvPicPr>
                          <pic:cNvPr id="8" name="Image 8"/>
                          <pic:cNvPicPr/>
                        </pic:nvPicPr>
                        <pic:blipFill>
                          <a:blip r:embed="rId23" cstate="print"/>
                          <a:stretch>
                            <a:fillRect/>
                          </a:stretch>
                        </pic:blipFill>
                        <pic:spPr>
                          <a:xfrm>
                            <a:off x="212195" y="317512"/>
                            <a:ext cx="5415344" cy="3266957"/>
                          </a:xfrm>
                          <a:prstGeom prst="rect">
                            <a:avLst/>
                          </a:prstGeom>
                          <a:ln>
                            <a:noFill/>
                          </a:ln>
                        </pic:spPr>
                      </pic:pic>
                      <wps:wsp>
                        <wps:cNvPr id="9" name="Graphic 9"/>
                        <wps:cNvSpPr/>
                        <wps:spPr>
                          <a:xfrm>
                            <a:off x="4762" y="4762"/>
                            <a:ext cx="5741035" cy="3616960"/>
                          </a:xfrm>
                          <a:custGeom>
                            <a:avLst/>
                            <a:gdLst/>
                            <a:ahLst/>
                            <a:cxnLst/>
                            <a:rect l="l" t="t" r="r" b="b"/>
                            <a:pathLst>
                              <a:path w="5741035" h="3616960">
                                <a:moveTo>
                                  <a:pt x="0" y="3616960"/>
                                </a:moveTo>
                                <a:lnTo>
                                  <a:pt x="5741034" y="3616960"/>
                                </a:lnTo>
                                <a:lnTo>
                                  <a:pt x="5741034" y="0"/>
                                </a:lnTo>
                                <a:lnTo>
                                  <a:pt x="0" y="0"/>
                                </a:lnTo>
                                <a:lnTo>
                                  <a:pt x="0" y="3616960"/>
                                </a:lnTo>
                                <a:close/>
                              </a:path>
                            </a:pathLst>
                          </a:custGeom>
                          <a:ln w="9525">
                            <a:noFill/>
                            <a:prstDash val="solid"/>
                          </a:ln>
                        </wps:spPr>
                        <wps:bodyPr wrap="square" lIns="0" tIns="0" rIns="0" bIns="0" rtlCol="0">
                          <a:prstTxWarp prst="textNoShape">
                            <a:avLst/>
                          </a:prstTxWarp>
                          <a:noAutofit/>
                        </wps:bodyPr>
                      </wps:wsp>
                    </wpg:wgp>
                  </a:graphicData>
                </a:graphic>
              </wp:anchor>
            </w:drawing>
          </mc:Choice>
          <mc:Fallback>
            <w:pict>
              <v:group w14:anchorId="09086558" id="Group 7" o:spid="_x0000_s1026" style="position:absolute;margin-left:70.9pt;margin-top:19.75pt;width:452.8pt;height:285.55pt;z-index:-251657216;mso-wrap-distance-left:0;mso-wrap-distance-right:0;mso-position-horizontal-relative:page" coordsize="57505,36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121;top:3175;width:54154;height:3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">
                  <v:imagedata r:id="rId26" o:title=""/>
                </v:shape>
                <v:shape id="Graphic 9" o:spid="_x0000_s1028" style="position:absolute;left:47;top:47;width:57410;height:36170;visibility:visible;mso-wrap-style:square;v-text-anchor:top" coordsize="5741035,36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" path="m,3616960r5741034,l5741034,,,,,3616960xe" filled="f" stroked="f">
                  <v:path arrowok="t"/>
                </v:shape>
                <w10:wrap type="topAndBottom" anchorx="page"/>
              </v:group>
            </w:pict>
          </mc:Fallback>
        </mc:AlternateContent>
      </w:r>
    </w:p>
    <w:p w14:paraId="1DC11081" w14:textId="31FCE611" w:rsidR="000A7DD1" w:rsidRDefault="000A7DD1" w:rsidP="006A7451">
      <w:bookmarkStart w:id="35" w:name="_Toc314842514"/>
      <w:r>
        <w:t>The primary objectives were</w:t>
      </w:r>
    </w:p>
    <w:p w14:paraId="12A2E501" w14:textId="1A4295E7" w:rsidR="000A7DD1" w:rsidRDefault="000A7DD1" w:rsidP="006A7451">
      <w:pPr>
        <w:pStyle w:val="Numberbullet0"/>
      </w:pPr>
      <w:r>
        <w:t xml:space="preserve">superiority of </w:t>
      </w:r>
      <w:r w:rsidR="00A0048C">
        <w:t>gadopiclenol</w:t>
      </w:r>
      <w:r>
        <w:t xml:space="preserve"> enhanced images to pre-contrast images</w:t>
      </w:r>
    </w:p>
    <w:p w14:paraId="0E381D6D" w14:textId="2F6DB94B" w:rsidR="000A7DD1" w:rsidRDefault="000A7DD1" w:rsidP="00991DC9">
      <w:pPr>
        <w:pStyle w:val="Numberbullet0"/>
      </w:pPr>
      <w:r>
        <w:t xml:space="preserve">non-inferiority of </w:t>
      </w:r>
      <w:r w:rsidR="00A0048C">
        <w:t>gadopiclenol</w:t>
      </w:r>
      <w:r>
        <w:t xml:space="preserve"> enhanced MRI to </w:t>
      </w:r>
      <w:r w:rsidR="004A5C3E">
        <w:t xml:space="preserve">gadobutrol </w:t>
      </w:r>
      <w:r>
        <w:t>enhanced images.</w:t>
      </w:r>
    </w:p>
    <w:p w14:paraId="19CD8BB5" w14:textId="77777777" w:rsidR="000A7DD1" w:rsidRDefault="000A7DD1" w:rsidP="000A7DD1">
      <w:r>
        <w:t>For each patient up to 3 of the largest, potentially enhancing lesions were chosen for study from the pre-contrast images.</w:t>
      </w:r>
    </w:p>
    <w:p w14:paraId="22A24CBD" w14:textId="633DF2CF" w:rsidR="000A7DD1" w:rsidRDefault="000A7DD1" w:rsidP="000A7DD1">
      <w:r>
        <w:t>For each site an experienced radiologist was appointed to read all the images for patients included at the site (on-site read) while blinded to the contrast medium used. Image evaluations were also conducted by 3 independent readers off-site (off-site read) blinded to the contrast medium used.</w:t>
      </w:r>
    </w:p>
    <w:p w14:paraId="21EEAB72" w14:textId="0355F9F2" w:rsidR="000A7DD1" w:rsidRDefault="000A7DD1" w:rsidP="000A7DD1">
      <w:r>
        <w:t>Imaging of chosen lesions was scored on a 4 point scale for border delineation, internal morphology and degree of contrast enhancement. Images were compared pre and post contrast (primary objective 1).</w:t>
      </w:r>
    </w:p>
    <w:p w14:paraId="54A30F4C" w14:textId="77777777" w:rsidR="00CE00DB" w:rsidRDefault="00991DC9" w:rsidP="006A7451">
      <w:pPr>
        <w:pStyle w:val="TableTitle"/>
        <w:rPr>
          <w:noProof/>
        </w:rPr>
      </w:pPr>
      <w:r w:rsidRPr="00991DC9">
        <w:lastRenderedPageBreak/>
        <w:t xml:space="preserve">Table </w:t>
      </w:r>
      <w:r w:rsidR="00281A44">
        <w:t>5</w:t>
      </w:r>
      <w:r>
        <w:t>.</w:t>
      </w:r>
      <w:r w:rsidRPr="00991DC9">
        <w:t xml:space="preserve"> GDX-44-010: Primary objective 1 (paired vs pre readings, FAS1, N=239)</w:t>
      </w:r>
    </w:p>
    <w:p w14:paraId="121B83D7" w14:textId="5688AEB4" w:rsidR="00971A98" w:rsidRDefault="00A55CCA" w:rsidP="006A7451">
      <w:pPr>
        <w:pStyle w:val="TableTitle"/>
      </w:pPr>
      <w:r>
        <w:rPr>
          <w:noProof/>
        </w:rPr>
        <w:drawing>
          <wp:inline distT="0" distB="0" distL="0" distR="0" wp14:anchorId="1B44287C" wp14:editId="66C986E5">
            <wp:extent cx="5759450" cy="2479040"/>
            <wp:effectExtent l="0" t="0" r="0" b="0"/>
            <wp:docPr id="162030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9297" name=""/>
                    <pic:cNvPicPr/>
                  </pic:nvPicPr>
                  <pic:blipFill>
                    <a:blip r:embed="rId27"/>
                    <a:stretch>
                      <a:fillRect/>
                    </a:stretch>
                  </pic:blipFill>
                  <pic:spPr>
                    <a:xfrm>
                      <a:off x="0" y="0"/>
                      <a:ext cx="5759450" cy="2479040"/>
                    </a:xfrm>
                    <a:prstGeom prst="rect">
                      <a:avLst/>
                    </a:prstGeom>
                  </pic:spPr>
                </pic:pic>
              </a:graphicData>
            </a:graphic>
          </wp:inline>
        </w:drawing>
      </w:r>
    </w:p>
    <w:p w14:paraId="0EAD5E4D" w14:textId="11C5476E" w:rsidR="00B55157" w:rsidRDefault="00B55157" w:rsidP="00B55157">
      <w:r>
        <w:t xml:space="preserve">The superiority of </w:t>
      </w:r>
      <w:r w:rsidR="00A0048C">
        <w:t>gadopiclenol</w:t>
      </w:r>
      <w:r>
        <w:t xml:space="preserve"> enhanced over non-enhanced images was demonstrated for all criteria.</w:t>
      </w:r>
    </w:p>
    <w:p w14:paraId="50818E69" w14:textId="0EA1A05C" w:rsidR="000A7DD1" w:rsidRDefault="00B55157" w:rsidP="006A7451">
      <w:r>
        <w:t>While not analysed as a trial objective, the similar analysis demonstrated the superiority of gadobutrol enhanced to pre-contrast images.</w:t>
      </w:r>
    </w:p>
    <w:p w14:paraId="77EE9B28" w14:textId="45F504AC" w:rsidR="00343E81" w:rsidRPr="006A7451" w:rsidRDefault="00343E81" w:rsidP="006A7451">
      <w:pPr>
        <w:pStyle w:val="TableTitle"/>
      </w:pPr>
      <w:r w:rsidRPr="00343E81">
        <w:t xml:space="preserve">Table </w:t>
      </w:r>
      <w:r w:rsidR="00281A44">
        <w:t>6</w:t>
      </w:r>
      <w:r w:rsidRPr="00343E81">
        <w:t>. GDX-44-010</w:t>
      </w:r>
      <w:r>
        <w:t xml:space="preserve"> p</w:t>
      </w:r>
      <w:r w:rsidRPr="00343E81">
        <w:t>rimary objective 2 (paired images, PPS 2, N=236)</w:t>
      </w:r>
    </w:p>
    <w:p w14:paraId="26649754" w14:textId="6731EF24" w:rsidR="00C76537" w:rsidRDefault="00C76537" w:rsidP="00C76537">
      <w:r>
        <w:rPr>
          <w:noProof/>
        </w:rPr>
        <w:drawing>
          <wp:inline distT="0" distB="0" distL="0" distR="0" wp14:anchorId="01B01C09" wp14:editId="6F2C8D02">
            <wp:extent cx="5759450" cy="2943225"/>
            <wp:effectExtent l="0" t="0" r="0" b="9525"/>
            <wp:docPr id="1081991247"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91247" name="Picture 1" descr="A table with numbers and symbols&#10;&#10;AI-generated content may be incorrect."/>
                    <pic:cNvPicPr/>
                  </pic:nvPicPr>
                  <pic:blipFill>
                    <a:blip r:embed="rId28"/>
                    <a:stretch>
                      <a:fillRect/>
                    </a:stretch>
                  </pic:blipFill>
                  <pic:spPr>
                    <a:xfrm>
                      <a:off x="0" y="0"/>
                      <a:ext cx="5759450" cy="2943225"/>
                    </a:xfrm>
                    <a:prstGeom prst="rect">
                      <a:avLst/>
                    </a:prstGeom>
                  </pic:spPr>
                </pic:pic>
              </a:graphicData>
            </a:graphic>
          </wp:inline>
        </w:drawing>
      </w:r>
    </w:p>
    <w:p w14:paraId="3C743596" w14:textId="7BAC2E59" w:rsidR="00D510A9" w:rsidRDefault="00D510A9" w:rsidP="00D510A9">
      <w:r>
        <w:t xml:space="preserve">Visualisation with </w:t>
      </w:r>
      <w:r w:rsidR="00A0048C">
        <w:t>gadopiclenol</w:t>
      </w:r>
      <w:r>
        <w:t xml:space="preserve"> contrast enhancement was shown to be non-inferior to gadobutrol enhancement for all three criteria, applying a non-inferiority margin </w:t>
      </w:r>
      <w:r w:rsidRPr="00BA3C9D">
        <w:t xml:space="preserve">of -0.06 </w:t>
      </w:r>
      <w:r w:rsidR="00327A09" w:rsidRPr="00BA3C9D">
        <w:t xml:space="preserve">at the most </w:t>
      </w:r>
      <w:r w:rsidRPr="00BA3C9D">
        <w:t>in the mean score for each criteria</w:t>
      </w:r>
      <w:r w:rsidR="00327A09" w:rsidRPr="00BA3C9D">
        <w:t>, much lower than the pre-defined non-inferiority margin of 0.35</w:t>
      </w:r>
      <w:r w:rsidRPr="00BA3C9D">
        <w:t>.</w:t>
      </w:r>
      <w:r>
        <w:t xml:space="preserve"> The observed difference between the scores achieved for the two contrast agents was close to zero.</w:t>
      </w:r>
    </w:p>
    <w:p w14:paraId="5138927C" w14:textId="77777777" w:rsidR="00D510A9" w:rsidRDefault="00D510A9" w:rsidP="00D510A9">
      <w:r>
        <w:t>Inter-reader variability was assessed for a random 10% of images, and correlation on the assessment scores was between 0.89 and 0.98 for the three parameters.</w:t>
      </w:r>
    </w:p>
    <w:p w14:paraId="2850435C" w14:textId="4AE1157C" w:rsidR="00D510A9" w:rsidRDefault="00D510A9" w:rsidP="00D510A9">
      <w:r>
        <w:t>No difference in the scoring of images was observed when results were stratified for lesion size (&lt;1cm, 1-2cm and &gt;2cm)</w:t>
      </w:r>
      <w:r w:rsidR="00B356EA">
        <w:t>.</w:t>
      </w:r>
    </w:p>
    <w:p w14:paraId="3FFAA23A" w14:textId="7F471C11" w:rsidR="00B356EA" w:rsidRPr="006A7451" w:rsidRDefault="00B356EA" w:rsidP="006A7451">
      <w:pPr>
        <w:pStyle w:val="TableTitle"/>
      </w:pPr>
      <w:r w:rsidRPr="00B356EA">
        <w:lastRenderedPageBreak/>
        <w:t xml:space="preserve">Table </w:t>
      </w:r>
      <w:r w:rsidR="00281A44">
        <w:t>7</w:t>
      </w:r>
      <w:r w:rsidRPr="00B356EA">
        <w:t>. GDX-44-010: Number of lesions detected with gadopiclenol vs gadobutrol enhanced images (extended FAS 2, N=241).</w:t>
      </w:r>
    </w:p>
    <w:p w14:paraId="7C08337C" w14:textId="6FCFF9A8" w:rsidR="009870CB" w:rsidRDefault="00824128" w:rsidP="00C76537">
      <w:r>
        <w:rPr>
          <w:noProof/>
        </w:rPr>
        <w:drawing>
          <wp:inline distT="0" distB="0" distL="0" distR="0" wp14:anchorId="18A99ABE" wp14:editId="64836970">
            <wp:extent cx="5759450" cy="2298700"/>
            <wp:effectExtent l="0" t="0" r="0" b="6350"/>
            <wp:docPr id="961538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38398"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759450" cy="2298700"/>
                    </a:xfrm>
                    <a:prstGeom prst="rect">
                      <a:avLst/>
                    </a:prstGeom>
                  </pic:spPr>
                </pic:pic>
              </a:graphicData>
            </a:graphic>
          </wp:inline>
        </w:drawing>
      </w:r>
    </w:p>
    <w:p w14:paraId="3CABB4AC" w14:textId="73A4F168" w:rsidR="00C740A0" w:rsidRPr="00C740A0" w:rsidRDefault="00C740A0" w:rsidP="006A7451">
      <w:pPr>
        <w:pStyle w:val="TableTitle"/>
      </w:pPr>
      <w:r w:rsidRPr="00C740A0">
        <w:t xml:space="preserve">Table </w:t>
      </w:r>
      <w:r>
        <w:t>8</w:t>
      </w:r>
      <w:r w:rsidRPr="00C740A0">
        <w:t>. GDX-44-01</w:t>
      </w:r>
      <w:r>
        <w:t>0</w:t>
      </w:r>
      <w:r w:rsidRPr="00C740A0">
        <w:t>: concordance of patients with lesions detected with each GBCA (EMA analysis).</w:t>
      </w:r>
    </w:p>
    <w:p w14:paraId="28D98618" w14:textId="77777777" w:rsidR="00C740A0" w:rsidRPr="00C740A0" w:rsidRDefault="00C740A0" w:rsidP="00C740A0">
      <w:pPr>
        <w:kinsoku w:val="0"/>
        <w:overflowPunct w:val="0"/>
        <w:autoSpaceDE w:val="0"/>
        <w:autoSpaceDN w:val="0"/>
        <w:adjustRightInd w:val="0"/>
        <w:spacing w:before="5" w:after="1" w:line="240" w:lineRule="auto"/>
        <w:rPr>
          <w:rFonts w:ascii="Times New Roman" w:hAnsi="Times New Roman" w:cs="Times New Roman"/>
          <w:sz w:val="7"/>
          <w:szCs w:val="7"/>
          <w:lang w:val="en-US"/>
        </w:rPr>
      </w:pPr>
      <w:bookmarkStart w:id="36" w:name="GDX-44-010_(CNS)"/>
      <w:bookmarkEnd w:id="36"/>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0"/>
        <w:gridCol w:w="1001"/>
        <w:gridCol w:w="710"/>
        <w:gridCol w:w="1274"/>
        <w:gridCol w:w="1416"/>
        <w:gridCol w:w="1416"/>
        <w:gridCol w:w="1693"/>
      </w:tblGrid>
      <w:tr w:rsidR="00C740A0" w:rsidRPr="00C740A0" w14:paraId="10FB89A0" w14:textId="77777777" w:rsidTr="00937171">
        <w:trPr>
          <w:trHeight w:val="1624"/>
        </w:trPr>
        <w:tc>
          <w:tcPr>
            <w:tcW w:w="2551" w:type="dxa"/>
            <w:gridSpan w:val="2"/>
          </w:tcPr>
          <w:p w14:paraId="3BFA1791" w14:textId="77777777" w:rsidR="00C740A0" w:rsidRPr="00C740A0" w:rsidRDefault="00C740A0" w:rsidP="00C740A0">
            <w:pPr>
              <w:kinsoku w:val="0"/>
              <w:overflowPunct w:val="0"/>
              <w:autoSpaceDE w:val="0"/>
              <w:autoSpaceDN w:val="0"/>
              <w:adjustRightInd w:val="0"/>
              <w:spacing w:after="0" w:line="240" w:lineRule="auto"/>
              <w:rPr>
                <w:rFonts w:ascii="Times New Roman" w:hAnsi="Times New Roman" w:cs="Times New Roman"/>
                <w:sz w:val="18"/>
                <w:szCs w:val="18"/>
                <w:lang w:val="en-US"/>
              </w:rPr>
            </w:pPr>
          </w:p>
        </w:tc>
        <w:tc>
          <w:tcPr>
            <w:tcW w:w="710" w:type="dxa"/>
          </w:tcPr>
          <w:p w14:paraId="0466EF25" w14:textId="77777777" w:rsidR="00C740A0" w:rsidRPr="00C740A0" w:rsidRDefault="00C740A0" w:rsidP="00C740A0">
            <w:pPr>
              <w:kinsoku w:val="0"/>
              <w:overflowPunct w:val="0"/>
              <w:autoSpaceDE w:val="0"/>
              <w:autoSpaceDN w:val="0"/>
              <w:adjustRightInd w:val="0"/>
              <w:spacing w:before="14" w:after="0" w:line="240" w:lineRule="auto"/>
              <w:ind w:left="9"/>
              <w:rPr>
                <w:rFonts w:ascii="Times New Roman" w:hAnsi="Times New Roman" w:cs="Times New Roman"/>
                <w:b/>
                <w:bCs/>
                <w:spacing w:val="-10"/>
                <w:sz w:val="20"/>
                <w:lang w:val="en-US"/>
              </w:rPr>
            </w:pPr>
            <w:bookmarkStart w:id="37" w:name="_bookmark0"/>
            <w:bookmarkEnd w:id="37"/>
            <w:r w:rsidRPr="00C740A0">
              <w:rPr>
                <w:rFonts w:ascii="Times New Roman" w:hAnsi="Times New Roman" w:cs="Times New Roman"/>
                <w:b/>
                <w:bCs/>
                <w:spacing w:val="-10"/>
                <w:sz w:val="20"/>
                <w:lang w:val="en-US"/>
              </w:rPr>
              <w:t>N</w:t>
            </w:r>
          </w:p>
          <w:p w14:paraId="7BF10D45" w14:textId="77777777" w:rsidR="00C740A0" w:rsidRPr="00C740A0" w:rsidRDefault="00C740A0" w:rsidP="00C740A0">
            <w:pPr>
              <w:kinsoku w:val="0"/>
              <w:overflowPunct w:val="0"/>
              <w:autoSpaceDE w:val="0"/>
              <w:autoSpaceDN w:val="0"/>
              <w:adjustRightInd w:val="0"/>
              <w:spacing w:before="1" w:after="0" w:line="240" w:lineRule="auto"/>
              <w:ind w:left="9"/>
              <w:rPr>
                <w:rFonts w:ascii="Times New Roman" w:hAnsi="Times New Roman" w:cs="Times New Roman"/>
                <w:b/>
                <w:bCs/>
                <w:spacing w:val="-2"/>
                <w:sz w:val="20"/>
                <w:lang w:val="en-US"/>
              </w:rPr>
            </w:pPr>
            <w:r w:rsidRPr="00C740A0">
              <w:rPr>
                <w:rFonts w:ascii="Times New Roman" w:hAnsi="Times New Roman" w:cs="Times New Roman"/>
                <w:b/>
                <w:bCs/>
                <w:spacing w:val="-2"/>
                <w:sz w:val="20"/>
                <w:lang w:val="en-US"/>
              </w:rPr>
              <w:t>patients</w:t>
            </w:r>
          </w:p>
        </w:tc>
        <w:tc>
          <w:tcPr>
            <w:tcW w:w="1274" w:type="dxa"/>
          </w:tcPr>
          <w:p w14:paraId="6996FE0F" w14:textId="77777777" w:rsidR="00C740A0" w:rsidRPr="00C740A0" w:rsidRDefault="00C740A0" w:rsidP="00C740A0">
            <w:pPr>
              <w:kinsoku w:val="0"/>
              <w:overflowPunct w:val="0"/>
              <w:autoSpaceDE w:val="0"/>
              <w:autoSpaceDN w:val="0"/>
              <w:adjustRightInd w:val="0"/>
              <w:spacing w:before="14" w:after="0" w:line="240" w:lineRule="auto"/>
              <w:ind w:left="108" w:right="100"/>
              <w:rPr>
                <w:rFonts w:ascii="Times New Roman" w:hAnsi="Times New Roman" w:cs="Times New Roman"/>
                <w:b/>
                <w:bCs/>
                <w:spacing w:val="-2"/>
                <w:sz w:val="20"/>
                <w:lang w:val="en-US"/>
              </w:rPr>
            </w:pPr>
            <w:r w:rsidRPr="00C740A0">
              <w:rPr>
                <w:rFonts w:ascii="Times New Roman" w:hAnsi="Times New Roman" w:cs="Times New Roman"/>
                <w:b/>
                <w:bCs/>
                <w:sz w:val="20"/>
                <w:lang w:val="en-US"/>
              </w:rPr>
              <w:t>#</w:t>
            </w:r>
            <w:r w:rsidRPr="00C740A0">
              <w:rPr>
                <w:rFonts w:ascii="Times New Roman" w:hAnsi="Times New Roman" w:cs="Times New Roman"/>
                <w:b/>
                <w:bCs/>
                <w:spacing w:val="-13"/>
                <w:sz w:val="20"/>
                <w:lang w:val="en-US"/>
              </w:rPr>
              <w:t xml:space="preserve"> </w:t>
            </w:r>
            <w:r w:rsidRPr="00C740A0">
              <w:rPr>
                <w:rFonts w:ascii="Times New Roman" w:hAnsi="Times New Roman" w:cs="Times New Roman"/>
                <w:b/>
                <w:bCs/>
                <w:sz w:val="20"/>
                <w:lang w:val="en-US"/>
              </w:rPr>
              <w:t>patients</w:t>
            </w:r>
            <w:r w:rsidRPr="00C740A0">
              <w:rPr>
                <w:rFonts w:ascii="Times New Roman" w:hAnsi="Times New Roman" w:cs="Times New Roman"/>
                <w:b/>
                <w:bCs/>
                <w:spacing w:val="-12"/>
                <w:sz w:val="20"/>
                <w:lang w:val="en-US"/>
              </w:rPr>
              <w:t xml:space="preserve"> </w:t>
            </w:r>
            <w:r w:rsidRPr="00C740A0">
              <w:rPr>
                <w:rFonts w:ascii="Times New Roman" w:hAnsi="Times New Roman" w:cs="Times New Roman"/>
                <w:b/>
                <w:bCs/>
                <w:sz w:val="20"/>
                <w:lang w:val="en-US"/>
              </w:rPr>
              <w:t xml:space="preserve">in which more </w:t>
            </w:r>
            <w:r w:rsidRPr="00C740A0">
              <w:rPr>
                <w:rFonts w:ascii="Times New Roman" w:hAnsi="Times New Roman" w:cs="Times New Roman"/>
                <w:b/>
                <w:bCs/>
                <w:spacing w:val="-2"/>
                <w:sz w:val="20"/>
                <w:lang w:val="en-US"/>
              </w:rPr>
              <w:t xml:space="preserve">lesions </w:t>
            </w:r>
            <w:r w:rsidRPr="00C740A0">
              <w:rPr>
                <w:rFonts w:ascii="Times New Roman" w:hAnsi="Times New Roman" w:cs="Times New Roman"/>
                <w:b/>
                <w:bCs/>
                <w:sz w:val="20"/>
                <w:lang w:val="en-US"/>
              </w:rPr>
              <w:t xml:space="preserve">detected by </w:t>
            </w:r>
            <w:r w:rsidRPr="00C740A0">
              <w:rPr>
                <w:rFonts w:ascii="Times New Roman" w:hAnsi="Times New Roman" w:cs="Times New Roman"/>
                <w:b/>
                <w:bCs/>
                <w:spacing w:val="-2"/>
                <w:sz w:val="20"/>
                <w:lang w:val="en-US"/>
              </w:rPr>
              <w:t>gadobutrol</w:t>
            </w:r>
          </w:p>
        </w:tc>
        <w:tc>
          <w:tcPr>
            <w:tcW w:w="1416" w:type="dxa"/>
          </w:tcPr>
          <w:p w14:paraId="609D782A" w14:textId="77777777" w:rsidR="00C740A0" w:rsidRPr="00C740A0" w:rsidRDefault="00C740A0" w:rsidP="00C740A0">
            <w:pPr>
              <w:kinsoku w:val="0"/>
              <w:overflowPunct w:val="0"/>
              <w:autoSpaceDE w:val="0"/>
              <w:autoSpaceDN w:val="0"/>
              <w:adjustRightInd w:val="0"/>
              <w:spacing w:before="14" w:after="0" w:line="240" w:lineRule="auto"/>
              <w:ind w:left="106" w:right="118"/>
              <w:rPr>
                <w:rFonts w:ascii="Times New Roman" w:hAnsi="Times New Roman" w:cs="Times New Roman"/>
                <w:b/>
                <w:bCs/>
                <w:spacing w:val="-2"/>
                <w:sz w:val="20"/>
                <w:lang w:val="en-US"/>
              </w:rPr>
            </w:pPr>
            <w:r w:rsidRPr="00C740A0">
              <w:rPr>
                <w:rFonts w:ascii="Times New Roman" w:hAnsi="Times New Roman" w:cs="Times New Roman"/>
                <w:b/>
                <w:bCs/>
                <w:sz w:val="20"/>
                <w:lang w:val="en-US"/>
              </w:rPr>
              <w:t>#</w:t>
            </w:r>
            <w:r w:rsidRPr="00C740A0">
              <w:rPr>
                <w:rFonts w:ascii="Times New Roman" w:hAnsi="Times New Roman" w:cs="Times New Roman"/>
                <w:b/>
                <w:bCs/>
                <w:spacing w:val="-2"/>
                <w:sz w:val="20"/>
                <w:lang w:val="en-US"/>
              </w:rPr>
              <w:t xml:space="preserve"> </w:t>
            </w:r>
            <w:r w:rsidRPr="00C740A0">
              <w:rPr>
                <w:rFonts w:ascii="Times New Roman" w:hAnsi="Times New Roman" w:cs="Times New Roman"/>
                <w:b/>
                <w:bCs/>
                <w:sz w:val="20"/>
                <w:lang w:val="en-US"/>
              </w:rPr>
              <w:t>patients</w:t>
            </w:r>
            <w:r w:rsidRPr="00C740A0">
              <w:rPr>
                <w:rFonts w:ascii="Times New Roman" w:hAnsi="Times New Roman" w:cs="Times New Roman"/>
                <w:b/>
                <w:bCs/>
                <w:spacing w:val="-4"/>
                <w:sz w:val="20"/>
                <w:lang w:val="en-US"/>
              </w:rPr>
              <w:t xml:space="preserve"> </w:t>
            </w:r>
            <w:r w:rsidRPr="00C740A0">
              <w:rPr>
                <w:rFonts w:ascii="Times New Roman" w:hAnsi="Times New Roman" w:cs="Times New Roman"/>
                <w:b/>
                <w:bCs/>
                <w:sz w:val="20"/>
                <w:lang w:val="en-US"/>
              </w:rPr>
              <w:t xml:space="preserve">in which more </w:t>
            </w:r>
            <w:r w:rsidRPr="00C740A0">
              <w:rPr>
                <w:rFonts w:ascii="Times New Roman" w:hAnsi="Times New Roman" w:cs="Times New Roman"/>
                <w:b/>
                <w:bCs/>
                <w:spacing w:val="-2"/>
                <w:sz w:val="20"/>
                <w:lang w:val="en-US"/>
              </w:rPr>
              <w:t xml:space="preserve">lesions </w:t>
            </w:r>
            <w:r w:rsidRPr="00C740A0">
              <w:rPr>
                <w:rFonts w:ascii="Times New Roman" w:hAnsi="Times New Roman" w:cs="Times New Roman"/>
                <w:b/>
                <w:bCs/>
                <w:sz w:val="20"/>
                <w:lang w:val="en-US"/>
              </w:rPr>
              <w:t xml:space="preserve">detected by </w:t>
            </w:r>
            <w:r w:rsidRPr="00C740A0">
              <w:rPr>
                <w:rFonts w:ascii="Times New Roman" w:hAnsi="Times New Roman" w:cs="Times New Roman"/>
                <w:b/>
                <w:bCs/>
                <w:spacing w:val="-2"/>
                <w:sz w:val="20"/>
                <w:lang w:val="en-US"/>
              </w:rPr>
              <w:t>gadopiclenol</w:t>
            </w:r>
          </w:p>
        </w:tc>
        <w:tc>
          <w:tcPr>
            <w:tcW w:w="1416" w:type="dxa"/>
          </w:tcPr>
          <w:p w14:paraId="1417C09F" w14:textId="77777777" w:rsidR="00C740A0" w:rsidRPr="00C740A0" w:rsidRDefault="00C740A0" w:rsidP="00C740A0">
            <w:pPr>
              <w:kinsoku w:val="0"/>
              <w:overflowPunct w:val="0"/>
              <w:autoSpaceDE w:val="0"/>
              <w:autoSpaceDN w:val="0"/>
              <w:adjustRightInd w:val="0"/>
              <w:spacing w:before="14" w:after="0" w:line="240" w:lineRule="auto"/>
              <w:ind w:left="109" w:right="118"/>
              <w:rPr>
                <w:rFonts w:ascii="Times New Roman" w:hAnsi="Times New Roman" w:cs="Times New Roman"/>
                <w:b/>
                <w:bCs/>
                <w:spacing w:val="-4"/>
                <w:sz w:val="20"/>
                <w:lang w:val="en-US"/>
              </w:rPr>
            </w:pPr>
            <w:r w:rsidRPr="00C740A0">
              <w:rPr>
                <w:rFonts w:ascii="Times New Roman" w:hAnsi="Times New Roman" w:cs="Times New Roman"/>
                <w:b/>
                <w:bCs/>
                <w:sz w:val="20"/>
                <w:lang w:val="en-US"/>
              </w:rPr>
              <w:t>#</w:t>
            </w:r>
            <w:r w:rsidRPr="00C740A0">
              <w:rPr>
                <w:rFonts w:ascii="Times New Roman" w:hAnsi="Times New Roman" w:cs="Times New Roman"/>
                <w:b/>
                <w:bCs/>
                <w:spacing w:val="-13"/>
                <w:sz w:val="20"/>
                <w:lang w:val="en-US"/>
              </w:rPr>
              <w:t xml:space="preserve"> </w:t>
            </w:r>
            <w:r w:rsidRPr="00C740A0">
              <w:rPr>
                <w:rFonts w:ascii="Times New Roman" w:hAnsi="Times New Roman" w:cs="Times New Roman"/>
                <w:b/>
                <w:bCs/>
                <w:sz w:val="20"/>
                <w:lang w:val="en-US"/>
              </w:rPr>
              <w:t>patients</w:t>
            </w:r>
            <w:r w:rsidRPr="00C740A0">
              <w:rPr>
                <w:rFonts w:ascii="Times New Roman" w:hAnsi="Times New Roman" w:cs="Times New Roman"/>
                <w:b/>
                <w:bCs/>
                <w:spacing w:val="-12"/>
                <w:sz w:val="20"/>
                <w:lang w:val="en-US"/>
              </w:rPr>
              <w:t xml:space="preserve"> </w:t>
            </w:r>
            <w:r w:rsidRPr="00C740A0">
              <w:rPr>
                <w:rFonts w:ascii="Times New Roman" w:hAnsi="Times New Roman" w:cs="Times New Roman"/>
                <w:b/>
                <w:bCs/>
                <w:sz w:val="20"/>
                <w:lang w:val="en-US"/>
              </w:rPr>
              <w:t xml:space="preserve">in which each </w:t>
            </w:r>
            <w:r w:rsidRPr="00C740A0">
              <w:rPr>
                <w:rFonts w:ascii="Times New Roman" w:hAnsi="Times New Roman" w:cs="Times New Roman"/>
                <w:b/>
                <w:bCs/>
                <w:spacing w:val="-4"/>
                <w:sz w:val="20"/>
                <w:lang w:val="en-US"/>
              </w:rPr>
              <w:t>GBCA</w:t>
            </w:r>
          </w:p>
          <w:p w14:paraId="6E4553AC" w14:textId="77777777" w:rsidR="00C740A0" w:rsidRPr="00C740A0" w:rsidRDefault="00C740A0" w:rsidP="00C740A0">
            <w:pPr>
              <w:kinsoku w:val="0"/>
              <w:overflowPunct w:val="0"/>
              <w:autoSpaceDE w:val="0"/>
              <w:autoSpaceDN w:val="0"/>
              <w:adjustRightInd w:val="0"/>
              <w:spacing w:before="1" w:after="0" w:line="240" w:lineRule="auto"/>
              <w:ind w:left="109" w:right="118"/>
              <w:rPr>
                <w:rFonts w:ascii="Times New Roman" w:hAnsi="Times New Roman" w:cs="Times New Roman"/>
                <w:b/>
                <w:bCs/>
                <w:sz w:val="20"/>
                <w:lang w:val="en-US"/>
              </w:rPr>
            </w:pPr>
            <w:r w:rsidRPr="00C740A0">
              <w:rPr>
                <w:rFonts w:ascii="Times New Roman" w:hAnsi="Times New Roman" w:cs="Times New Roman"/>
                <w:b/>
                <w:bCs/>
                <w:sz w:val="20"/>
                <w:lang w:val="en-US"/>
              </w:rPr>
              <w:t>detected the same</w:t>
            </w:r>
            <w:r w:rsidRPr="00C740A0">
              <w:rPr>
                <w:rFonts w:ascii="Times New Roman" w:hAnsi="Times New Roman" w:cs="Times New Roman"/>
                <w:b/>
                <w:bCs/>
                <w:spacing w:val="-13"/>
                <w:sz w:val="20"/>
                <w:lang w:val="en-US"/>
              </w:rPr>
              <w:t xml:space="preserve"> </w:t>
            </w:r>
            <w:r w:rsidRPr="00C740A0">
              <w:rPr>
                <w:rFonts w:ascii="Times New Roman" w:hAnsi="Times New Roman" w:cs="Times New Roman"/>
                <w:b/>
                <w:bCs/>
                <w:sz w:val="20"/>
                <w:lang w:val="en-US"/>
              </w:rPr>
              <w:t>number and set of</w:t>
            </w:r>
          </w:p>
          <w:p w14:paraId="74A7EB5C" w14:textId="77777777" w:rsidR="00C740A0" w:rsidRPr="00C740A0" w:rsidRDefault="00C740A0" w:rsidP="00C740A0">
            <w:pPr>
              <w:kinsoku w:val="0"/>
              <w:overflowPunct w:val="0"/>
              <w:autoSpaceDE w:val="0"/>
              <w:autoSpaceDN w:val="0"/>
              <w:adjustRightInd w:val="0"/>
              <w:spacing w:after="0" w:line="209" w:lineRule="exact"/>
              <w:ind w:left="109"/>
              <w:rPr>
                <w:rFonts w:ascii="Times New Roman" w:hAnsi="Times New Roman" w:cs="Times New Roman"/>
                <w:b/>
                <w:bCs/>
                <w:spacing w:val="-2"/>
                <w:sz w:val="20"/>
                <w:lang w:val="en-US"/>
              </w:rPr>
            </w:pPr>
            <w:r w:rsidRPr="00C740A0">
              <w:rPr>
                <w:rFonts w:ascii="Times New Roman" w:hAnsi="Times New Roman" w:cs="Times New Roman"/>
                <w:b/>
                <w:bCs/>
                <w:spacing w:val="-2"/>
                <w:sz w:val="20"/>
                <w:lang w:val="en-US"/>
              </w:rPr>
              <w:t>lesions</w:t>
            </w:r>
          </w:p>
        </w:tc>
        <w:tc>
          <w:tcPr>
            <w:tcW w:w="1693" w:type="dxa"/>
          </w:tcPr>
          <w:p w14:paraId="68FD2E9E" w14:textId="77777777" w:rsidR="00C740A0" w:rsidRPr="00C740A0" w:rsidRDefault="00C740A0" w:rsidP="00C740A0">
            <w:pPr>
              <w:kinsoku w:val="0"/>
              <w:overflowPunct w:val="0"/>
              <w:autoSpaceDE w:val="0"/>
              <w:autoSpaceDN w:val="0"/>
              <w:adjustRightInd w:val="0"/>
              <w:spacing w:before="14" w:after="0" w:line="240" w:lineRule="auto"/>
              <w:ind w:left="109" w:right="218"/>
              <w:rPr>
                <w:rFonts w:ascii="Times New Roman" w:hAnsi="Times New Roman" w:cs="Times New Roman"/>
                <w:b/>
                <w:bCs/>
                <w:sz w:val="20"/>
                <w:lang w:val="en-US"/>
              </w:rPr>
            </w:pPr>
            <w:r w:rsidRPr="00C740A0">
              <w:rPr>
                <w:rFonts w:ascii="Times New Roman" w:hAnsi="Times New Roman" w:cs="Times New Roman"/>
                <w:b/>
                <w:bCs/>
                <w:sz w:val="20"/>
                <w:lang w:val="en-US"/>
              </w:rPr>
              <w:t># patients in which each GBCA</w:t>
            </w:r>
            <w:r w:rsidRPr="00C740A0">
              <w:rPr>
                <w:rFonts w:ascii="Times New Roman" w:hAnsi="Times New Roman" w:cs="Times New Roman"/>
                <w:b/>
                <w:bCs/>
                <w:spacing w:val="-13"/>
                <w:sz w:val="20"/>
                <w:lang w:val="en-US"/>
              </w:rPr>
              <w:t xml:space="preserve"> </w:t>
            </w:r>
            <w:r w:rsidRPr="00C740A0">
              <w:rPr>
                <w:rFonts w:ascii="Times New Roman" w:hAnsi="Times New Roman" w:cs="Times New Roman"/>
                <w:b/>
                <w:bCs/>
                <w:sz w:val="20"/>
                <w:lang w:val="en-US"/>
              </w:rPr>
              <w:t>detected the same number but a different set of</w:t>
            </w:r>
          </w:p>
          <w:p w14:paraId="53F24986" w14:textId="77777777" w:rsidR="00C740A0" w:rsidRPr="00C740A0" w:rsidRDefault="00C740A0" w:rsidP="00C740A0">
            <w:pPr>
              <w:kinsoku w:val="0"/>
              <w:overflowPunct w:val="0"/>
              <w:autoSpaceDE w:val="0"/>
              <w:autoSpaceDN w:val="0"/>
              <w:adjustRightInd w:val="0"/>
              <w:spacing w:after="0" w:line="210" w:lineRule="exact"/>
              <w:ind w:left="109"/>
              <w:rPr>
                <w:rFonts w:ascii="Times New Roman" w:hAnsi="Times New Roman" w:cs="Times New Roman"/>
                <w:b/>
                <w:bCs/>
                <w:spacing w:val="-2"/>
                <w:sz w:val="20"/>
                <w:lang w:val="en-US"/>
              </w:rPr>
            </w:pPr>
            <w:r w:rsidRPr="00C740A0">
              <w:rPr>
                <w:rFonts w:ascii="Times New Roman" w:hAnsi="Times New Roman" w:cs="Times New Roman"/>
                <w:b/>
                <w:bCs/>
                <w:spacing w:val="-2"/>
                <w:sz w:val="20"/>
                <w:lang w:val="en-US"/>
              </w:rPr>
              <w:t>lesions</w:t>
            </w:r>
          </w:p>
        </w:tc>
      </w:tr>
      <w:tr w:rsidR="00C740A0" w:rsidRPr="00C740A0" w14:paraId="40D1EED4" w14:textId="77777777" w:rsidTr="00937171">
        <w:trPr>
          <w:trHeight w:val="354"/>
        </w:trPr>
        <w:tc>
          <w:tcPr>
            <w:tcW w:w="1550" w:type="dxa"/>
            <w:vMerge w:val="restart"/>
          </w:tcPr>
          <w:p w14:paraId="1CDB80D7" w14:textId="77777777" w:rsidR="00C740A0" w:rsidRPr="00C740A0" w:rsidRDefault="00C740A0" w:rsidP="00C740A0">
            <w:pPr>
              <w:kinsoku w:val="0"/>
              <w:overflowPunct w:val="0"/>
              <w:autoSpaceDE w:val="0"/>
              <w:autoSpaceDN w:val="0"/>
              <w:adjustRightInd w:val="0"/>
              <w:spacing w:before="89" w:after="0" w:line="240" w:lineRule="auto"/>
              <w:rPr>
                <w:rFonts w:ascii="Times New Roman" w:hAnsi="Times New Roman" w:cs="Times New Roman"/>
                <w:sz w:val="20"/>
                <w:lang w:val="en-US"/>
              </w:rPr>
            </w:pPr>
          </w:p>
          <w:p w14:paraId="2BEA770C" w14:textId="77777777" w:rsidR="00C740A0" w:rsidRPr="00C740A0" w:rsidRDefault="00C740A0" w:rsidP="00C740A0">
            <w:pPr>
              <w:kinsoku w:val="0"/>
              <w:overflowPunct w:val="0"/>
              <w:autoSpaceDE w:val="0"/>
              <w:autoSpaceDN w:val="0"/>
              <w:adjustRightInd w:val="0"/>
              <w:spacing w:after="0" w:line="240" w:lineRule="auto"/>
              <w:ind w:left="172" w:right="150" w:firstLine="405"/>
              <w:rPr>
                <w:rFonts w:ascii="Times New Roman" w:hAnsi="Times New Roman" w:cs="Times New Roman"/>
                <w:b/>
                <w:bCs/>
                <w:spacing w:val="-2"/>
                <w:sz w:val="20"/>
                <w:lang w:val="en-US"/>
              </w:rPr>
            </w:pPr>
            <w:r w:rsidRPr="00C740A0">
              <w:rPr>
                <w:rFonts w:ascii="Times New Roman" w:hAnsi="Times New Roman" w:cs="Times New Roman"/>
                <w:b/>
                <w:bCs/>
                <w:spacing w:val="-4"/>
                <w:sz w:val="20"/>
                <w:lang w:val="en-US"/>
              </w:rPr>
              <w:t xml:space="preserve">CNS </w:t>
            </w:r>
            <w:r w:rsidRPr="00C740A0">
              <w:rPr>
                <w:rFonts w:ascii="Times New Roman" w:hAnsi="Times New Roman" w:cs="Times New Roman"/>
                <w:b/>
                <w:bCs/>
                <w:spacing w:val="-2"/>
                <w:sz w:val="20"/>
                <w:lang w:val="en-US"/>
              </w:rPr>
              <w:t>(GDX-44-010)</w:t>
            </w:r>
          </w:p>
        </w:tc>
        <w:tc>
          <w:tcPr>
            <w:tcW w:w="1001" w:type="dxa"/>
          </w:tcPr>
          <w:p w14:paraId="5CE5D103" w14:textId="77777777" w:rsidR="00C740A0" w:rsidRPr="00C740A0" w:rsidRDefault="00C740A0" w:rsidP="00C740A0">
            <w:pPr>
              <w:kinsoku w:val="0"/>
              <w:overflowPunct w:val="0"/>
              <w:autoSpaceDE w:val="0"/>
              <w:autoSpaceDN w:val="0"/>
              <w:adjustRightInd w:val="0"/>
              <w:spacing w:before="14" w:after="0" w:line="240" w:lineRule="auto"/>
              <w:ind w:left="6"/>
              <w:jc w:val="center"/>
              <w:rPr>
                <w:rFonts w:ascii="Times New Roman" w:hAnsi="Times New Roman" w:cs="Times New Roman"/>
                <w:b/>
                <w:bCs/>
                <w:sz w:val="20"/>
                <w:lang w:val="en-US"/>
              </w:rPr>
            </w:pPr>
            <w:r w:rsidRPr="00C740A0">
              <w:rPr>
                <w:rFonts w:ascii="Times New Roman" w:hAnsi="Times New Roman" w:cs="Times New Roman"/>
                <w:b/>
                <w:bCs/>
                <w:sz w:val="20"/>
                <w:lang w:val="en-US"/>
              </w:rPr>
              <w:t>Reader 1</w:t>
            </w:r>
          </w:p>
        </w:tc>
        <w:tc>
          <w:tcPr>
            <w:tcW w:w="710" w:type="dxa"/>
          </w:tcPr>
          <w:p w14:paraId="77904F21" w14:textId="77777777" w:rsidR="00C740A0" w:rsidRPr="00C740A0" w:rsidRDefault="00C740A0" w:rsidP="00C740A0">
            <w:pPr>
              <w:kinsoku w:val="0"/>
              <w:overflowPunct w:val="0"/>
              <w:autoSpaceDE w:val="0"/>
              <w:autoSpaceDN w:val="0"/>
              <w:adjustRightInd w:val="0"/>
              <w:spacing w:before="14" w:after="0" w:line="240" w:lineRule="auto"/>
              <w:ind w:left="21"/>
              <w:jc w:val="center"/>
              <w:rPr>
                <w:rFonts w:ascii="Times New Roman" w:hAnsi="Times New Roman" w:cs="Times New Roman"/>
                <w:spacing w:val="-4"/>
                <w:sz w:val="20"/>
                <w:lang w:val="en-US"/>
              </w:rPr>
            </w:pPr>
            <w:r w:rsidRPr="00C740A0">
              <w:rPr>
                <w:rFonts w:ascii="Times New Roman" w:hAnsi="Times New Roman" w:cs="Times New Roman"/>
                <w:spacing w:val="-4"/>
                <w:sz w:val="20"/>
                <w:lang w:val="en-US"/>
              </w:rPr>
              <w:t>235</w:t>
            </w:r>
          </w:p>
        </w:tc>
        <w:tc>
          <w:tcPr>
            <w:tcW w:w="1274" w:type="dxa"/>
          </w:tcPr>
          <w:p w14:paraId="7638AC88" w14:textId="77777777" w:rsidR="00C740A0" w:rsidRPr="00C740A0" w:rsidRDefault="00C740A0" w:rsidP="00C740A0">
            <w:pPr>
              <w:kinsoku w:val="0"/>
              <w:overflowPunct w:val="0"/>
              <w:autoSpaceDE w:val="0"/>
              <w:autoSpaceDN w:val="0"/>
              <w:adjustRightInd w:val="0"/>
              <w:spacing w:before="14" w:after="0" w:line="240" w:lineRule="auto"/>
              <w:ind w:left="22"/>
              <w:jc w:val="center"/>
              <w:rPr>
                <w:rFonts w:ascii="Times New Roman" w:hAnsi="Times New Roman" w:cs="Times New Roman"/>
                <w:sz w:val="20"/>
                <w:lang w:val="en-US"/>
              </w:rPr>
            </w:pPr>
            <w:r w:rsidRPr="00C740A0">
              <w:rPr>
                <w:rFonts w:ascii="Times New Roman" w:hAnsi="Times New Roman" w:cs="Times New Roman"/>
                <w:sz w:val="20"/>
                <w:lang w:val="en-US"/>
              </w:rPr>
              <w:t>13 (5.5%)</w:t>
            </w:r>
          </w:p>
        </w:tc>
        <w:tc>
          <w:tcPr>
            <w:tcW w:w="1416" w:type="dxa"/>
          </w:tcPr>
          <w:p w14:paraId="773FCDDF" w14:textId="77777777" w:rsidR="00C740A0" w:rsidRPr="00C740A0" w:rsidRDefault="00C740A0" w:rsidP="00C740A0">
            <w:pPr>
              <w:kinsoku w:val="0"/>
              <w:overflowPunct w:val="0"/>
              <w:autoSpaceDE w:val="0"/>
              <w:autoSpaceDN w:val="0"/>
              <w:adjustRightInd w:val="0"/>
              <w:spacing w:before="14" w:after="0" w:line="240" w:lineRule="auto"/>
              <w:ind w:left="18" w:right="3"/>
              <w:jc w:val="center"/>
              <w:rPr>
                <w:rFonts w:ascii="Times New Roman" w:hAnsi="Times New Roman" w:cs="Times New Roman"/>
                <w:sz w:val="20"/>
                <w:lang w:val="en-US"/>
              </w:rPr>
            </w:pPr>
            <w:r w:rsidRPr="00C740A0">
              <w:rPr>
                <w:rFonts w:ascii="Times New Roman" w:hAnsi="Times New Roman" w:cs="Times New Roman"/>
                <w:sz w:val="20"/>
                <w:lang w:val="en-US"/>
              </w:rPr>
              <w:t>10 (4.3%)</w:t>
            </w:r>
          </w:p>
        </w:tc>
        <w:tc>
          <w:tcPr>
            <w:tcW w:w="1416" w:type="dxa"/>
          </w:tcPr>
          <w:p w14:paraId="65C9D693" w14:textId="77777777" w:rsidR="00C740A0" w:rsidRPr="00C740A0" w:rsidRDefault="00C740A0" w:rsidP="00C740A0">
            <w:pPr>
              <w:kinsoku w:val="0"/>
              <w:overflowPunct w:val="0"/>
              <w:autoSpaceDE w:val="0"/>
              <w:autoSpaceDN w:val="0"/>
              <w:adjustRightInd w:val="0"/>
              <w:spacing w:before="14" w:after="0" w:line="240" w:lineRule="auto"/>
              <w:ind w:left="18"/>
              <w:jc w:val="center"/>
              <w:rPr>
                <w:rFonts w:ascii="Times New Roman" w:hAnsi="Times New Roman" w:cs="Times New Roman"/>
                <w:sz w:val="20"/>
                <w:lang w:val="en-US"/>
              </w:rPr>
            </w:pPr>
            <w:r w:rsidRPr="00C740A0">
              <w:rPr>
                <w:rFonts w:ascii="Times New Roman" w:hAnsi="Times New Roman" w:cs="Times New Roman"/>
                <w:sz w:val="20"/>
                <w:lang w:val="en-US"/>
              </w:rPr>
              <w:t>202 (86.0%)</w:t>
            </w:r>
          </w:p>
        </w:tc>
        <w:tc>
          <w:tcPr>
            <w:tcW w:w="1693" w:type="dxa"/>
          </w:tcPr>
          <w:p w14:paraId="0B39BB45" w14:textId="77777777" w:rsidR="00C740A0" w:rsidRPr="00C740A0" w:rsidRDefault="00C740A0" w:rsidP="00C740A0">
            <w:pPr>
              <w:kinsoku w:val="0"/>
              <w:overflowPunct w:val="0"/>
              <w:autoSpaceDE w:val="0"/>
              <w:autoSpaceDN w:val="0"/>
              <w:adjustRightInd w:val="0"/>
              <w:spacing w:before="14" w:after="0" w:line="240" w:lineRule="auto"/>
              <w:ind w:left="23"/>
              <w:jc w:val="center"/>
              <w:rPr>
                <w:rFonts w:ascii="Times New Roman" w:hAnsi="Times New Roman" w:cs="Times New Roman"/>
                <w:sz w:val="20"/>
                <w:lang w:val="en-US"/>
              </w:rPr>
            </w:pPr>
            <w:r w:rsidRPr="00C740A0">
              <w:rPr>
                <w:rFonts w:ascii="Times New Roman" w:hAnsi="Times New Roman" w:cs="Times New Roman"/>
                <w:sz w:val="20"/>
                <w:lang w:val="en-US"/>
              </w:rPr>
              <w:t>10 (4.3%)</w:t>
            </w:r>
          </w:p>
        </w:tc>
      </w:tr>
      <w:tr w:rsidR="00C740A0" w:rsidRPr="00C740A0" w14:paraId="57149FC0" w14:textId="77777777" w:rsidTr="00937171">
        <w:trPr>
          <w:trHeight w:val="354"/>
        </w:trPr>
        <w:tc>
          <w:tcPr>
            <w:tcW w:w="1550" w:type="dxa"/>
            <w:vMerge/>
          </w:tcPr>
          <w:p w14:paraId="50C40DA9" w14:textId="77777777" w:rsidR="00C740A0" w:rsidRPr="00C740A0" w:rsidRDefault="00C740A0" w:rsidP="00C740A0">
            <w:pPr>
              <w:kinsoku w:val="0"/>
              <w:overflowPunct w:val="0"/>
              <w:autoSpaceDE w:val="0"/>
              <w:autoSpaceDN w:val="0"/>
              <w:adjustRightInd w:val="0"/>
              <w:spacing w:before="5" w:after="1" w:line="240" w:lineRule="auto"/>
              <w:rPr>
                <w:rFonts w:ascii="Times New Roman" w:hAnsi="Times New Roman" w:cs="Times New Roman"/>
                <w:sz w:val="2"/>
                <w:szCs w:val="2"/>
                <w:lang w:val="en-US"/>
              </w:rPr>
            </w:pPr>
          </w:p>
        </w:tc>
        <w:tc>
          <w:tcPr>
            <w:tcW w:w="1001" w:type="dxa"/>
          </w:tcPr>
          <w:p w14:paraId="0C4CF3A6" w14:textId="77777777" w:rsidR="00C740A0" w:rsidRPr="00C740A0" w:rsidRDefault="00C740A0" w:rsidP="00C740A0">
            <w:pPr>
              <w:kinsoku w:val="0"/>
              <w:overflowPunct w:val="0"/>
              <w:autoSpaceDE w:val="0"/>
              <w:autoSpaceDN w:val="0"/>
              <w:adjustRightInd w:val="0"/>
              <w:spacing w:before="14" w:after="0" w:line="240" w:lineRule="auto"/>
              <w:ind w:left="6"/>
              <w:jc w:val="center"/>
              <w:rPr>
                <w:rFonts w:ascii="Times New Roman" w:hAnsi="Times New Roman" w:cs="Times New Roman"/>
                <w:b/>
                <w:bCs/>
                <w:sz w:val="20"/>
                <w:lang w:val="en-US"/>
              </w:rPr>
            </w:pPr>
            <w:r w:rsidRPr="00C740A0">
              <w:rPr>
                <w:rFonts w:ascii="Times New Roman" w:hAnsi="Times New Roman" w:cs="Times New Roman"/>
                <w:b/>
                <w:bCs/>
                <w:sz w:val="20"/>
                <w:lang w:val="en-US"/>
              </w:rPr>
              <w:t>Reader 2</w:t>
            </w:r>
          </w:p>
        </w:tc>
        <w:tc>
          <w:tcPr>
            <w:tcW w:w="710" w:type="dxa"/>
          </w:tcPr>
          <w:p w14:paraId="7F2BE651" w14:textId="77777777" w:rsidR="00C740A0" w:rsidRPr="00C740A0" w:rsidRDefault="00C740A0" w:rsidP="00C740A0">
            <w:pPr>
              <w:kinsoku w:val="0"/>
              <w:overflowPunct w:val="0"/>
              <w:autoSpaceDE w:val="0"/>
              <w:autoSpaceDN w:val="0"/>
              <w:adjustRightInd w:val="0"/>
              <w:spacing w:before="14" w:after="0" w:line="240" w:lineRule="auto"/>
              <w:ind w:left="21"/>
              <w:jc w:val="center"/>
              <w:rPr>
                <w:rFonts w:ascii="Times New Roman" w:hAnsi="Times New Roman" w:cs="Times New Roman"/>
                <w:spacing w:val="-4"/>
                <w:sz w:val="20"/>
                <w:lang w:val="en-US"/>
              </w:rPr>
            </w:pPr>
            <w:r w:rsidRPr="00C740A0">
              <w:rPr>
                <w:rFonts w:ascii="Times New Roman" w:hAnsi="Times New Roman" w:cs="Times New Roman"/>
                <w:spacing w:val="-4"/>
                <w:sz w:val="20"/>
                <w:lang w:val="en-US"/>
              </w:rPr>
              <w:t>235</w:t>
            </w:r>
          </w:p>
        </w:tc>
        <w:tc>
          <w:tcPr>
            <w:tcW w:w="1274" w:type="dxa"/>
          </w:tcPr>
          <w:p w14:paraId="522FA869" w14:textId="77777777" w:rsidR="00C740A0" w:rsidRPr="00C740A0" w:rsidRDefault="00C740A0" w:rsidP="00C740A0">
            <w:pPr>
              <w:kinsoku w:val="0"/>
              <w:overflowPunct w:val="0"/>
              <w:autoSpaceDE w:val="0"/>
              <w:autoSpaceDN w:val="0"/>
              <w:adjustRightInd w:val="0"/>
              <w:spacing w:before="14" w:after="0" w:line="240" w:lineRule="auto"/>
              <w:ind w:left="22" w:right="5"/>
              <w:jc w:val="center"/>
              <w:rPr>
                <w:rFonts w:ascii="Times New Roman" w:hAnsi="Times New Roman" w:cs="Times New Roman"/>
                <w:sz w:val="20"/>
                <w:lang w:val="en-US"/>
              </w:rPr>
            </w:pPr>
            <w:r w:rsidRPr="00C740A0">
              <w:rPr>
                <w:rFonts w:ascii="Times New Roman" w:hAnsi="Times New Roman" w:cs="Times New Roman"/>
                <w:sz w:val="20"/>
                <w:lang w:val="en-US"/>
              </w:rPr>
              <w:t>7 (3.0%)</w:t>
            </w:r>
          </w:p>
        </w:tc>
        <w:tc>
          <w:tcPr>
            <w:tcW w:w="1416" w:type="dxa"/>
          </w:tcPr>
          <w:p w14:paraId="095CAF12" w14:textId="77777777" w:rsidR="00C740A0" w:rsidRPr="00C740A0" w:rsidRDefault="00C740A0" w:rsidP="00C740A0">
            <w:pPr>
              <w:kinsoku w:val="0"/>
              <w:overflowPunct w:val="0"/>
              <w:autoSpaceDE w:val="0"/>
              <w:autoSpaceDN w:val="0"/>
              <w:adjustRightInd w:val="0"/>
              <w:spacing w:before="14" w:after="0" w:line="240" w:lineRule="auto"/>
              <w:ind w:left="18" w:right="3"/>
              <w:jc w:val="center"/>
              <w:rPr>
                <w:rFonts w:ascii="Times New Roman" w:hAnsi="Times New Roman" w:cs="Times New Roman"/>
                <w:sz w:val="20"/>
                <w:lang w:val="en-US"/>
              </w:rPr>
            </w:pPr>
            <w:r w:rsidRPr="00C740A0">
              <w:rPr>
                <w:rFonts w:ascii="Times New Roman" w:hAnsi="Times New Roman" w:cs="Times New Roman"/>
                <w:sz w:val="20"/>
                <w:lang w:val="en-US"/>
              </w:rPr>
              <w:t>15 (6.4%)</w:t>
            </w:r>
          </w:p>
        </w:tc>
        <w:tc>
          <w:tcPr>
            <w:tcW w:w="1416" w:type="dxa"/>
          </w:tcPr>
          <w:p w14:paraId="43B500BC" w14:textId="77777777" w:rsidR="00C740A0" w:rsidRPr="00C740A0" w:rsidRDefault="00C740A0" w:rsidP="00C740A0">
            <w:pPr>
              <w:kinsoku w:val="0"/>
              <w:overflowPunct w:val="0"/>
              <w:autoSpaceDE w:val="0"/>
              <w:autoSpaceDN w:val="0"/>
              <w:adjustRightInd w:val="0"/>
              <w:spacing w:before="14" w:after="0" w:line="240" w:lineRule="auto"/>
              <w:ind w:left="18"/>
              <w:jc w:val="center"/>
              <w:rPr>
                <w:rFonts w:ascii="Times New Roman" w:hAnsi="Times New Roman" w:cs="Times New Roman"/>
                <w:sz w:val="20"/>
                <w:lang w:val="en-US"/>
              </w:rPr>
            </w:pPr>
            <w:r w:rsidRPr="00C740A0">
              <w:rPr>
                <w:rFonts w:ascii="Times New Roman" w:hAnsi="Times New Roman" w:cs="Times New Roman"/>
                <w:sz w:val="20"/>
                <w:lang w:val="en-US"/>
              </w:rPr>
              <w:t>198 (84.3%)</w:t>
            </w:r>
          </w:p>
        </w:tc>
        <w:tc>
          <w:tcPr>
            <w:tcW w:w="1693" w:type="dxa"/>
          </w:tcPr>
          <w:p w14:paraId="11E9F2CF" w14:textId="77777777" w:rsidR="00C740A0" w:rsidRPr="00C740A0" w:rsidRDefault="00C740A0" w:rsidP="00C740A0">
            <w:pPr>
              <w:kinsoku w:val="0"/>
              <w:overflowPunct w:val="0"/>
              <w:autoSpaceDE w:val="0"/>
              <w:autoSpaceDN w:val="0"/>
              <w:adjustRightInd w:val="0"/>
              <w:spacing w:before="14" w:after="0" w:line="240" w:lineRule="auto"/>
              <w:ind w:left="23"/>
              <w:jc w:val="center"/>
              <w:rPr>
                <w:rFonts w:ascii="Times New Roman" w:hAnsi="Times New Roman" w:cs="Times New Roman"/>
                <w:sz w:val="20"/>
                <w:lang w:val="en-US"/>
              </w:rPr>
            </w:pPr>
            <w:r w:rsidRPr="00C740A0">
              <w:rPr>
                <w:rFonts w:ascii="Times New Roman" w:hAnsi="Times New Roman" w:cs="Times New Roman"/>
                <w:sz w:val="20"/>
                <w:lang w:val="en-US"/>
              </w:rPr>
              <w:t>15 (6.4%)</w:t>
            </w:r>
          </w:p>
        </w:tc>
      </w:tr>
      <w:tr w:rsidR="00C740A0" w:rsidRPr="00C740A0" w14:paraId="6645091C" w14:textId="77777777" w:rsidTr="00937171">
        <w:trPr>
          <w:trHeight w:val="353"/>
        </w:trPr>
        <w:tc>
          <w:tcPr>
            <w:tcW w:w="1550" w:type="dxa"/>
            <w:vMerge/>
          </w:tcPr>
          <w:p w14:paraId="4D417D90" w14:textId="77777777" w:rsidR="00C740A0" w:rsidRPr="00C740A0" w:rsidRDefault="00C740A0" w:rsidP="00C740A0">
            <w:pPr>
              <w:kinsoku w:val="0"/>
              <w:overflowPunct w:val="0"/>
              <w:autoSpaceDE w:val="0"/>
              <w:autoSpaceDN w:val="0"/>
              <w:adjustRightInd w:val="0"/>
              <w:spacing w:before="5" w:after="1" w:line="240" w:lineRule="auto"/>
              <w:rPr>
                <w:rFonts w:ascii="Times New Roman" w:hAnsi="Times New Roman" w:cs="Times New Roman"/>
                <w:sz w:val="2"/>
                <w:szCs w:val="2"/>
                <w:lang w:val="en-US"/>
              </w:rPr>
            </w:pPr>
          </w:p>
        </w:tc>
        <w:tc>
          <w:tcPr>
            <w:tcW w:w="1001" w:type="dxa"/>
          </w:tcPr>
          <w:p w14:paraId="647ADDF8" w14:textId="77777777" w:rsidR="00C740A0" w:rsidRPr="00C740A0" w:rsidRDefault="00C740A0" w:rsidP="00C740A0">
            <w:pPr>
              <w:kinsoku w:val="0"/>
              <w:overflowPunct w:val="0"/>
              <w:autoSpaceDE w:val="0"/>
              <w:autoSpaceDN w:val="0"/>
              <w:adjustRightInd w:val="0"/>
              <w:spacing w:before="14" w:after="0" w:line="240" w:lineRule="auto"/>
              <w:ind w:left="6"/>
              <w:jc w:val="center"/>
              <w:rPr>
                <w:rFonts w:ascii="Times New Roman" w:hAnsi="Times New Roman" w:cs="Times New Roman"/>
                <w:b/>
                <w:bCs/>
                <w:sz w:val="20"/>
                <w:lang w:val="en-US"/>
              </w:rPr>
            </w:pPr>
            <w:r w:rsidRPr="00C740A0">
              <w:rPr>
                <w:rFonts w:ascii="Times New Roman" w:hAnsi="Times New Roman" w:cs="Times New Roman"/>
                <w:b/>
                <w:bCs/>
                <w:sz w:val="20"/>
                <w:lang w:val="en-US"/>
              </w:rPr>
              <w:t>Reader 3</w:t>
            </w:r>
          </w:p>
        </w:tc>
        <w:tc>
          <w:tcPr>
            <w:tcW w:w="710" w:type="dxa"/>
          </w:tcPr>
          <w:p w14:paraId="58A25912" w14:textId="77777777" w:rsidR="00C740A0" w:rsidRPr="00C740A0" w:rsidRDefault="00C740A0" w:rsidP="00C740A0">
            <w:pPr>
              <w:kinsoku w:val="0"/>
              <w:overflowPunct w:val="0"/>
              <w:autoSpaceDE w:val="0"/>
              <w:autoSpaceDN w:val="0"/>
              <w:adjustRightInd w:val="0"/>
              <w:spacing w:before="14" w:after="0" w:line="240" w:lineRule="auto"/>
              <w:ind w:left="21"/>
              <w:jc w:val="center"/>
              <w:rPr>
                <w:rFonts w:ascii="Times New Roman" w:hAnsi="Times New Roman" w:cs="Times New Roman"/>
                <w:spacing w:val="-4"/>
                <w:sz w:val="20"/>
                <w:lang w:val="en-US"/>
              </w:rPr>
            </w:pPr>
            <w:r w:rsidRPr="00C740A0">
              <w:rPr>
                <w:rFonts w:ascii="Times New Roman" w:hAnsi="Times New Roman" w:cs="Times New Roman"/>
                <w:spacing w:val="-4"/>
                <w:sz w:val="20"/>
                <w:lang w:val="en-US"/>
              </w:rPr>
              <w:t>235</w:t>
            </w:r>
          </w:p>
        </w:tc>
        <w:tc>
          <w:tcPr>
            <w:tcW w:w="1274" w:type="dxa"/>
          </w:tcPr>
          <w:p w14:paraId="673FE98B" w14:textId="77777777" w:rsidR="00C740A0" w:rsidRPr="00C740A0" w:rsidRDefault="00C740A0" w:rsidP="00C740A0">
            <w:pPr>
              <w:kinsoku w:val="0"/>
              <w:overflowPunct w:val="0"/>
              <w:autoSpaceDE w:val="0"/>
              <w:autoSpaceDN w:val="0"/>
              <w:adjustRightInd w:val="0"/>
              <w:spacing w:before="14" w:after="0" w:line="240" w:lineRule="auto"/>
              <w:ind w:left="22"/>
              <w:jc w:val="center"/>
              <w:rPr>
                <w:rFonts w:ascii="Times New Roman" w:hAnsi="Times New Roman" w:cs="Times New Roman"/>
                <w:sz w:val="20"/>
                <w:lang w:val="en-US"/>
              </w:rPr>
            </w:pPr>
            <w:r w:rsidRPr="00C740A0">
              <w:rPr>
                <w:rFonts w:ascii="Times New Roman" w:hAnsi="Times New Roman" w:cs="Times New Roman"/>
                <w:sz w:val="20"/>
                <w:lang w:val="en-US"/>
              </w:rPr>
              <w:t>16 (6.8%)</w:t>
            </w:r>
          </w:p>
        </w:tc>
        <w:tc>
          <w:tcPr>
            <w:tcW w:w="1416" w:type="dxa"/>
          </w:tcPr>
          <w:p w14:paraId="19EF69D1" w14:textId="77777777" w:rsidR="00C740A0" w:rsidRPr="00C740A0" w:rsidRDefault="00C740A0" w:rsidP="00C740A0">
            <w:pPr>
              <w:kinsoku w:val="0"/>
              <w:overflowPunct w:val="0"/>
              <w:autoSpaceDE w:val="0"/>
              <w:autoSpaceDN w:val="0"/>
              <w:adjustRightInd w:val="0"/>
              <w:spacing w:before="14" w:after="0" w:line="240" w:lineRule="auto"/>
              <w:ind w:left="18" w:right="3"/>
              <w:jc w:val="center"/>
              <w:rPr>
                <w:rFonts w:ascii="Times New Roman" w:hAnsi="Times New Roman" w:cs="Times New Roman"/>
                <w:sz w:val="20"/>
                <w:lang w:val="en-US"/>
              </w:rPr>
            </w:pPr>
            <w:r w:rsidRPr="00C740A0">
              <w:rPr>
                <w:rFonts w:ascii="Times New Roman" w:hAnsi="Times New Roman" w:cs="Times New Roman"/>
                <w:sz w:val="20"/>
                <w:lang w:val="en-US"/>
              </w:rPr>
              <w:t>16 (6.8%)</w:t>
            </w:r>
          </w:p>
        </w:tc>
        <w:tc>
          <w:tcPr>
            <w:tcW w:w="1416" w:type="dxa"/>
          </w:tcPr>
          <w:p w14:paraId="10BB351F" w14:textId="77777777" w:rsidR="00C740A0" w:rsidRPr="00C740A0" w:rsidRDefault="00C740A0" w:rsidP="00C740A0">
            <w:pPr>
              <w:kinsoku w:val="0"/>
              <w:overflowPunct w:val="0"/>
              <w:autoSpaceDE w:val="0"/>
              <w:autoSpaceDN w:val="0"/>
              <w:adjustRightInd w:val="0"/>
              <w:spacing w:before="14" w:after="0" w:line="240" w:lineRule="auto"/>
              <w:ind w:left="18"/>
              <w:jc w:val="center"/>
              <w:rPr>
                <w:rFonts w:ascii="Times New Roman" w:hAnsi="Times New Roman" w:cs="Times New Roman"/>
                <w:sz w:val="20"/>
                <w:lang w:val="en-US"/>
              </w:rPr>
            </w:pPr>
            <w:r w:rsidRPr="00C740A0">
              <w:rPr>
                <w:rFonts w:ascii="Times New Roman" w:hAnsi="Times New Roman" w:cs="Times New Roman"/>
                <w:sz w:val="20"/>
                <w:lang w:val="en-US"/>
              </w:rPr>
              <w:t>199 (84.7%)</w:t>
            </w:r>
          </w:p>
        </w:tc>
        <w:tc>
          <w:tcPr>
            <w:tcW w:w="1693" w:type="dxa"/>
          </w:tcPr>
          <w:p w14:paraId="78F19098" w14:textId="77777777" w:rsidR="00C740A0" w:rsidRPr="00C740A0" w:rsidRDefault="00C740A0" w:rsidP="00C740A0">
            <w:pPr>
              <w:kinsoku w:val="0"/>
              <w:overflowPunct w:val="0"/>
              <w:autoSpaceDE w:val="0"/>
              <w:autoSpaceDN w:val="0"/>
              <w:adjustRightInd w:val="0"/>
              <w:spacing w:before="14" w:after="0" w:line="240" w:lineRule="auto"/>
              <w:ind w:left="23" w:right="4"/>
              <w:jc w:val="center"/>
              <w:rPr>
                <w:rFonts w:ascii="Times New Roman" w:hAnsi="Times New Roman" w:cs="Times New Roman"/>
                <w:sz w:val="20"/>
                <w:lang w:val="en-US"/>
              </w:rPr>
            </w:pPr>
            <w:r w:rsidRPr="00C740A0">
              <w:rPr>
                <w:rFonts w:ascii="Times New Roman" w:hAnsi="Times New Roman" w:cs="Times New Roman"/>
                <w:sz w:val="20"/>
                <w:lang w:val="en-US"/>
              </w:rPr>
              <w:t>4 (1.7%)</w:t>
            </w:r>
          </w:p>
        </w:tc>
      </w:tr>
    </w:tbl>
    <w:p w14:paraId="60D04EB8" w14:textId="26974A6D" w:rsidR="0064429B" w:rsidRDefault="0064429B" w:rsidP="002C2142">
      <w:r>
        <w:t xml:space="preserve">The overall number of lesions detected with </w:t>
      </w:r>
      <w:r w:rsidR="00A0048C">
        <w:t>gadopiclenol</w:t>
      </w:r>
      <w:r>
        <w:t xml:space="preserve"> and gadobutrol was similar</w:t>
      </w:r>
      <w:r w:rsidR="00C740A0">
        <w:t xml:space="preserve"> and in 84% to 86% </w:t>
      </w:r>
      <w:r>
        <w:t>of patients</w:t>
      </w:r>
      <w:r w:rsidR="00C740A0">
        <w:t>,</w:t>
      </w:r>
      <w:r>
        <w:t xml:space="preserve"> was the same number </w:t>
      </w:r>
      <w:r w:rsidR="00C740A0">
        <w:t xml:space="preserve">and set </w:t>
      </w:r>
      <w:r>
        <w:t>of lesions detected using both agents.</w:t>
      </w:r>
    </w:p>
    <w:p w14:paraId="7EF9C641" w14:textId="76D80D84" w:rsidR="0064429B" w:rsidRDefault="0064429B" w:rsidP="0064429B">
      <w:r>
        <w:t xml:space="preserve">The </w:t>
      </w:r>
      <w:r w:rsidR="004A7A06">
        <w:t>European Medicines Agency (</w:t>
      </w:r>
      <w:r>
        <w:t>EMA</w:t>
      </w:r>
      <w:r w:rsidR="004A7A06">
        <w:t>)</w:t>
      </w:r>
      <w:r>
        <w:t xml:space="preserve"> noted that among the 60 patients with discordant lesions for at least one reader, no potential clinical impact was identified in 40 patients. The main reason was that the lesions were in patients with multiple metastases, </w:t>
      </w:r>
      <w:r w:rsidR="002F65DE">
        <w:t>where</w:t>
      </w:r>
      <w:r>
        <w:t xml:space="preserve"> additionally defined lesions had little diagnostic impact (Table </w:t>
      </w:r>
      <w:r w:rsidR="00281A44">
        <w:t>9</w:t>
      </w:r>
      <w:r>
        <w:t>).</w:t>
      </w:r>
    </w:p>
    <w:p w14:paraId="44A6C241" w14:textId="2AA51DD0" w:rsidR="00A56E09" w:rsidRPr="002C2142" w:rsidRDefault="00A56E09" w:rsidP="002C2142">
      <w:pPr>
        <w:pStyle w:val="TableTitle"/>
      </w:pPr>
      <w:r w:rsidRPr="00A56E09">
        <w:lastRenderedPageBreak/>
        <w:t xml:space="preserve">Table </w:t>
      </w:r>
      <w:r w:rsidR="00281A44">
        <w:t>9</w:t>
      </w:r>
      <w:r>
        <w:t>.</w:t>
      </w:r>
      <w:r w:rsidRPr="00A56E09">
        <w:t xml:space="preserve"> Study GDX-44-010 Assessment of potential clinical impact at patient level</w:t>
      </w:r>
    </w:p>
    <w:p w14:paraId="1D04534F" w14:textId="7028BF6B" w:rsidR="00DE7AD0" w:rsidRDefault="00DE7AD0" w:rsidP="002C2142">
      <w:r>
        <w:rPr>
          <w:noProof/>
        </w:rPr>
        <w:drawing>
          <wp:inline distT="0" distB="0" distL="0" distR="0" wp14:anchorId="664451B2" wp14:editId="69AFB08D">
            <wp:extent cx="5759450" cy="5905500"/>
            <wp:effectExtent l="0" t="0" r="0" b="0"/>
            <wp:docPr id="1679410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10336"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5759450" cy="5905500"/>
                    </a:xfrm>
                    <a:prstGeom prst="rect">
                      <a:avLst/>
                    </a:prstGeom>
                  </pic:spPr>
                </pic:pic>
              </a:graphicData>
            </a:graphic>
          </wp:inline>
        </w:drawing>
      </w:r>
    </w:p>
    <w:p w14:paraId="5A208FA3" w14:textId="7B6C0967" w:rsidR="00763117" w:rsidRDefault="00763117" w:rsidP="00763117">
      <w:pPr>
        <w:pStyle w:val="Heading5"/>
      </w:pPr>
      <w:r>
        <w:t>Study GDX-44-011 (Body imaging)</w:t>
      </w:r>
    </w:p>
    <w:p w14:paraId="2E334C7D" w14:textId="583040A4" w:rsidR="00763117" w:rsidRDefault="00763117" w:rsidP="00763117">
      <w:r>
        <w:t xml:space="preserve">This was a randomised double blinded phase III cross-over study that compared the efficacy and safety of </w:t>
      </w:r>
      <w:r w:rsidR="00A0048C">
        <w:t>gadopiclenol</w:t>
      </w:r>
      <w:r>
        <w:t xml:space="preserve"> 0.05 mmol/kg with </w:t>
      </w:r>
      <w:r w:rsidR="004A5C3E">
        <w:t xml:space="preserve">gadobutrol </w:t>
      </w:r>
      <w:r>
        <w:t>0.1 mmol/kg in MRI imaging of adults (n=</w:t>
      </w:r>
      <w:r w:rsidR="00D056B2">
        <w:t>304</w:t>
      </w:r>
      <w:r>
        <w:t>) with known or suspected lesions of at least one body region.</w:t>
      </w:r>
    </w:p>
    <w:p w14:paraId="010A1CF3" w14:textId="77777777" w:rsidR="00763117" w:rsidRDefault="00763117" w:rsidP="00763117">
      <w:r>
        <w:t>The trial methodology was almost identical to GDX-44-010 other than the enrolled population.</w:t>
      </w:r>
    </w:p>
    <w:p w14:paraId="0E5D7C34" w14:textId="7C0538F7" w:rsidR="0064429B" w:rsidRDefault="00763117" w:rsidP="00763117">
      <w:r>
        <w:t>Included patients had known or suspected lesions of at least one body region: head and neck, thorax, abdomen, pelvis or musculoskeletal. Head and spine lesions were allowed but had to be extradural/extracranial (matching the exclusion criteria for GDX-44-010). Patients with severe renal impairment were excluded from the study.</w:t>
      </w:r>
    </w:p>
    <w:p w14:paraId="566A7242" w14:textId="67F749BE" w:rsidR="00A67EC9" w:rsidRPr="002C2142" w:rsidRDefault="00A67EC9" w:rsidP="002C2142">
      <w:pPr>
        <w:pStyle w:val="TableTitle"/>
      </w:pPr>
      <w:r w:rsidRPr="00A67EC9">
        <w:lastRenderedPageBreak/>
        <w:t xml:space="preserve">Table </w:t>
      </w:r>
      <w:r w:rsidR="00281A44">
        <w:t>10</w:t>
      </w:r>
      <w:r>
        <w:t>.</w:t>
      </w:r>
      <w:r w:rsidRPr="00A67EC9">
        <w:t xml:space="preserve"> Baseline demographics of included patients by body region</w:t>
      </w:r>
    </w:p>
    <w:p w14:paraId="3FAC144A" w14:textId="538DC790" w:rsidR="009D4CE6" w:rsidRDefault="009D4CE6" w:rsidP="002C2142">
      <w:r>
        <w:rPr>
          <w:noProof/>
        </w:rPr>
        <w:drawing>
          <wp:inline distT="0" distB="0" distL="0" distR="0" wp14:anchorId="012DBE53" wp14:editId="7882A7A0">
            <wp:extent cx="5759450" cy="2945130"/>
            <wp:effectExtent l="0" t="0" r="0" b="7620"/>
            <wp:docPr id="83207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74140"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5759450" cy="2945130"/>
                    </a:xfrm>
                    <a:prstGeom prst="rect">
                      <a:avLst/>
                    </a:prstGeom>
                  </pic:spPr>
                </pic:pic>
              </a:graphicData>
            </a:graphic>
          </wp:inline>
        </w:drawing>
      </w:r>
    </w:p>
    <w:p w14:paraId="2CAE24AF" w14:textId="3F942F00" w:rsidR="00A67EC9" w:rsidRDefault="00B02162" w:rsidP="00763117">
      <w:r w:rsidRPr="00B02162">
        <w:t>The most frequent diseases included for examination were metastases to liver (9.4-9.5%), and breast cancer (8.6-9.2%).</w:t>
      </w:r>
    </w:p>
    <w:p w14:paraId="6A95AEAD" w14:textId="4A5D866A" w:rsidR="00B02162" w:rsidRPr="002C2142" w:rsidRDefault="001E2A6C" w:rsidP="002C2142">
      <w:pPr>
        <w:pStyle w:val="TableTitle"/>
      </w:pPr>
      <w:r w:rsidRPr="001E2A6C">
        <w:t xml:space="preserve">Table </w:t>
      </w:r>
      <w:r>
        <w:t>1</w:t>
      </w:r>
      <w:r w:rsidR="00281A44">
        <w:t>1</w:t>
      </w:r>
      <w:r w:rsidRPr="001E2A6C">
        <w:t>. GDX-44-011: Primary objective 1 (paired vs pre readings, FAS 1, N=278)</w:t>
      </w:r>
    </w:p>
    <w:p w14:paraId="22CB6A65" w14:textId="5CFF3D11" w:rsidR="00824128" w:rsidRDefault="00A30590" w:rsidP="002C2142">
      <w:r>
        <w:rPr>
          <w:noProof/>
        </w:rPr>
        <w:drawing>
          <wp:inline distT="0" distB="0" distL="0" distR="0" wp14:anchorId="46D6A724" wp14:editId="559D9F41">
            <wp:extent cx="5759450" cy="2688590"/>
            <wp:effectExtent l="0" t="0" r="0" b="0"/>
            <wp:docPr id="195867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79629" name=""/>
                    <pic:cNvPicPr/>
                  </pic:nvPicPr>
                  <pic:blipFill>
                    <a:blip r:embed="rId35"/>
                    <a:stretch>
                      <a:fillRect/>
                    </a:stretch>
                  </pic:blipFill>
                  <pic:spPr>
                    <a:xfrm>
                      <a:off x="0" y="0"/>
                      <a:ext cx="5759450" cy="2688590"/>
                    </a:xfrm>
                    <a:prstGeom prst="rect">
                      <a:avLst/>
                    </a:prstGeom>
                  </pic:spPr>
                </pic:pic>
              </a:graphicData>
            </a:graphic>
          </wp:inline>
        </w:drawing>
      </w:r>
    </w:p>
    <w:p w14:paraId="3E2A3E25" w14:textId="13959328" w:rsidR="00E82A53" w:rsidRDefault="00DA5DCF" w:rsidP="00DA5DCF">
      <w:r>
        <w:t>The superiority of gadopiclenol enhanced over non-enhanced images was demonstrated for all criteria.</w:t>
      </w:r>
    </w:p>
    <w:p w14:paraId="2AA17E7F" w14:textId="2DDD8010" w:rsidR="00E82A53" w:rsidRPr="002C2142" w:rsidRDefault="00E82A53" w:rsidP="002C2142">
      <w:pPr>
        <w:pStyle w:val="TableTitle"/>
      </w:pPr>
      <w:r w:rsidRPr="00343E81">
        <w:lastRenderedPageBreak/>
        <w:t xml:space="preserve">Table </w:t>
      </w:r>
      <w:r>
        <w:t>12</w:t>
      </w:r>
      <w:r w:rsidRPr="00343E81">
        <w:t>. GDX-44-01</w:t>
      </w:r>
      <w:r>
        <w:t>1 p</w:t>
      </w:r>
      <w:r w:rsidRPr="00343E81">
        <w:t>rimary objective 2 (paired images, PPS 2, N=2</w:t>
      </w:r>
      <w:r w:rsidR="00DD48D9">
        <w:t>60</w:t>
      </w:r>
      <w:r w:rsidRPr="00343E81">
        <w:t>)</w:t>
      </w:r>
    </w:p>
    <w:p w14:paraId="36033194" w14:textId="69097628" w:rsidR="00DA5DCF" w:rsidRDefault="00E82A53" w:rsidP="002C2142">
      <w:r w:rsidRPr="00E82A53">
        <w:rPr>
          <w:noProof/>
        </w:rPr>
        <w:drawing>
          <wp:inline distT="0" distB="0" distL="0" distR="0" wp14:anchorId="0E74D48B" wp14:editId="16C40AA0">
            <wp:extent cx="5759450" cy="2798377"/>
            <wp:effectExtent l="0" t="0" r="0" b="2540"/>
            <wp:docPr id="378570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4074" cy="2805482"/>
                    </a:xfrm>
                    <a:prstGeom prst="rect">
                      <a:avLst/>
                    </a:prstGeom>
                    <a:noFill/>
                    <a:ln>
                      <a:noFill/>
                    </a:ln>
                  </pic:spPr>
                </pic:pic>
              </a:graphicData>
            </a:graphic>
          </wp:inline>
        </w:drawing>
      </w:r>
      <w:r w:rsidR="00DA5DCF" w:rsidRPr="00DA5DCF">
        <w:t>Visualisation with gadopiclenol contrast enhancement was shown to be non-inferior to gadobutrol enhancement for all three criteria, applying a non-inferiority margin of -0</w:t>
      </w:r>
      <w:r w:rsidR="002A7B47">
        <w:t>.35</w:t>
      </w:r>
      <w:r w:rsidR="00DA5DCF" w:rsidRPr="00DA5DCF">
        <w:t xml:space="preserve"> in the mean score for each criteria. The observed difference between the scores achieved for the two contrast agents was close to zero.</w:t>
      </w:r>
    </w:p>
    <w:p w14:paraId="2FA4F48C" w14:textId="27D1C870" w:rsidR="005022A4" w:rsidRDefault="005022A4" w:rsidP="005022A4">
      <w:r>
        <w:t xml:space="preserve">The number of lesions detected was, overall, similar between </w:t>
      </w:r>
      <w:r w:rsidR="00A0048C">
        <w:t>gadopiclenol</w:t>
      </w:r>
      <w:r>
        <w:t xml:space="preserve"> and gadabutrol, but with a concordance in the number of lesions detected of about 60%. Of all the lesions examined, 18.9-20.3% were observed only on </w:t>
      </w:r>
      <w:r w:rsidR="00A0048C">
        <w:t>gadopiclenol</w:t>
      </w:r>
      <w:r>
        <w:t xml:space="preserve"> enhanced images and 17.7-19.2% were observed only with gadobutrol enhanced images. The rate of concordance was very high for musculoskeletal lesions.</w:t>
      </w:r>
    </w:p>
    <w:p w14:paraId="55CDB92B" w14:textId="73D2E51C" w:rsidR="001E2A6C" w:rsidRDefault="005022A4" w:rsidP="005022A4">
      <w:r>
        <w:t xml:space="preserve">The EMA conducted a review of the data with paired </w:t>
      </w:r>
      <w:r w:rsidR="00A0048C">
        <w:t>gadopiclenol</w:t>
      </w:r>
      <w:r>
        <w:t xml:space="preserve"> and </w:t>
      </w:r>
      <w:r w:rsidR="004A5C3E">
        <w:t xml:space="preserve">gadobutrol </w:t>
      </w:r>
      <w:r>
        <w:t xml:space="preserve">images. There was a non-trivial number of patients in whom more lesions were observed with one agent over another but there was no clear trend to </w:t>
      </w:r>
      <w:r w:rsidR="00A0048C">
        <w:t>gadopiclenol</w:t>
      </w:r>
      <w:r>
        <w:t xml:space="preserve"> or </w:t>
      </w:r>
      <w:r w:rsidR="004A5C3E">
        <w:t xml:space="preserve">gadobutrol </w:t>
      </w:r>
      <w:r>
        <w:t>detecting more or fewer lesions.</w:t>
      </w:r>
    </w:p>
    <w:p w14:paraId="169FB117" w14:textId="47236078" w:rsidR="006A18D2" w:rsidRPr="002C2142" w:rsidRDefault="00F6142D" w:rsidP="002C2142">
      <w:pPr>
        <w:pStyle w:val="TableTitle"/>
      </w:pPr>
      <w:bookmarkStart w:id="38" w:name="_Hlk205540880"/>
      <w:r>
        <w:lastRenderedPageBreak/>
        <w:t xml:space="preserve">Table </w:t>
      </w:r>
      <w:r w:rsidR="0005010C">
        <w:t>13</w:t>
      </w:r>
      <w:r>
        <w:t xml:space="preserve">. </w:t>
      </w:r>
      <w:r w:rsidRPr="00F6142D">
        <w:t xml:space="preserve">GDX-44-011: </w:t>
      </w:r>
      <w:r>
        <w:t>c</w:t>
      </w:r>
      <w:r w:rsidRPr="00F6142D">
        <w:t>oncordance of patients with lesions detected with each GBCA by body region (EMA analysis).</w:t>
      </w:r>
    </w:p>
    <w:bookmarkEnd w:id="38"/>
    <w:p w14:paraId="33B86AFA" w14:textId="01168B64" w:rsidR="006A18D2" w:rsidRDefault="00F6142D" w:rsidP="005022A4">
      <w:r>
        <w:rPr>
          <w:noProof/>
        </w:rPr>
        <w:drawing>
          <wp:inline distT="0" distB="0" distL="0" distR="0" wp14:anchorId="58EE218A" wp14:editId="1E9695D9">
            <wp:extent cx="5576604" cy="4008413"/>
            <wp:effectExtent l="0" t="0" r="508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76604" cy="4008413"/>
                    </a:xfrm>
                    <a:prstGeom prst="rect">
                      <a:avLst/>
                    </a:prstGeom>
                    <a:noFill/>
                    <a:ln>
                      <a:noFill/>
                    </a:ln>
                  </pic:spPr>
                </pic:pic>
              </a:graphicData>
            </a:graphic>
          </wp:inline>
        </w:drawing>
      </w:r>
    </w:p>
    <w:p w14:paraId="10F4651E" w14:textId="61D2E280" w:rsidR="00F6142D" w:rsidRDefault="00301C39" w:rsidP="00301C39">
      <w:r>
        <w:t xml:space="preserve">The EMA analysis of discordance indicated that in 75/84 cases where there was different reporting for at least one reader between the two contrast agents there was no impact on patient management. In these </w:t>
      </w:r>
      <w:r w:rsidR="00163242">
        <w:t>cases,</w:t>
      </w:r>
      <w:r>
        <w:t xml:space="preserve"> the reasons included ‘malignant lesion where number of lesions no longer matter’ or ‘potentially non-malignant lesion to be left untouched’. In the</w:t>
      </w:r>
      <w:r w:rsidR="006B0A56">
        <w:t xml:space="preserve"> </w:t>
      </w:r>
      <w:r>
        <w:t>remaining 9 cases, the lesion detected by one contrast agent but not the other was considered to be a potential target of therapy or to modify treatment plans.</w:t>
      </w:r>
    </w:p>
    <w:p w14:paraId="05436075" w14:textId="77777777" w:rsidR="00A25C0F" w:rsidRDefault="00A25C0F" w:rsidP="00A25C0F">
      <w:pPr>
        <w:pStyle w:val="Heading5"/>
      </w:pPr>
      <w:r>
        <w:t>Non-pivotal study GDX-44-007 (children and adolescents)</w:t>
      </w:r>
    </w:p>
    <w:p w14:paraId="04D82BF1" w14:textId="4E410C35" w:rsidR="00A25C0F" w:rsidRDefault="00A25C0F" w:rsidP="00A25C0F">
      <w:r>
        <w:t xml:space="preserve">This was an open-label study that examined a single dose of 0.05mmol/kg </w:t>
      </w:r>
      <w:r w:rsidR="00A0048C">
        <w:t>gadopiclenol</w:t>
      </w:r>
      <w:r>
        <w:t xml:space="preserve"> in 80 patients 2-17 years of age undergoing either CNS (n=60) or body (n=20) MRI scanning. The study assessed primarily PK endpoints but image quality was assessed by a single unblinded reader using the same criteria as in GDX-44-010.</w:t>
      </w:r>
    </w:p>
    <w:p w14:paraId="741A824E" w14:textId="77777777" w:rsidR="00A25C0F" w:rsidRDefault="00A25C0F" w:rsidP="00A25C0F">
      <w:r>
        <w:t>In the CNS and body-imaging cohorts there were 45 patients in whom a lesion was detected and who received contrast enhanced MRI and had paired pre- and post- contrast images.</w:t>
      </w:r>
    </w:p>
    <w:p w14:paraId="3805EEA9" w14:textId="3EBD2D00" w:rsidR="00A25C0F" w:rsidRDefault="00A25C0F" w:rsidP="00A25C0F">
      <w:r>
        <w:t xml:space="preserve">Lesion border delineation and internal morphology were not different between pre- and post- contrast images, although there was an increase in contrast enhancement with </w:t>
      </w:r>
      <w:r w:rsidR="00A0048C">
        <w:t>gadopiclenol</w:t>
      </w:r>
      <w:r>
        <w:t>.</w:t>
      </w:r>
    </w:p>
    <w:p w14:paraId="50A1E242" w14:textId="56A19AD7" w:rsidR="00A25C0F" w:rsidRDefault="00A25C0F" w:rsidP="00A25C0F">
      <w:r>
        <w:t>The investigator considered that their diagnostic confidence had increased in 55.6% of patients and remained unchanged in 44.4% of patients.</w:t>
      </w:r>
    </w:p>
    <w:p w14:paraId="69BADB4D" w14:textId="5B1883D3" w:rsidR="006E2582" w:rsidRPr="00FB26D0" w:rsidRDefault="006E2582" w:rsidP="00FB26D0">
      <w:pPr>
        <w:pStyle w:val="TableTitle"/>
      </w:pPr>
      <w:r w:rsidRPr="006E2582">
        <w:lastRenderedPageBreak/>
        <w:t xml:space="preserve">Table </w:t>
      </w:r>
      <w:r w:rsidR="0005010C">
        <w:t>14</w:t>
      </w:r>
      <w:r w:rsidRPr="006E2582">
        <w:t>. GDX-44-007: Sum of lesion scores (FAS, N=80).</w:t>
      </w:r>
    </w:p>
    <w:p w14:paraId="380E91F1" w14:textId="22019FE5" w:rsidR="00F24B1E" w:rsidRDefault="00F24B1E" w:rsidP="00FB26D0">
      <w:r>
        <w:rPr>
          <w:noProof/>
        </w:rPr>
        <w:drawing>
          <wp:inline distT="0" distB="0" distL="0" distR="0" wp14:anchorId="335FE9C3" wp14:editId="0197A1F4">
            <wp:extent cx="5668422" cy="3173729"/>
            <wp:effectExtent l="0" t="0" r="0" b="0"/>
            <wp:docPr id="35" name="Image 35" descr="A table with numbers and lett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table with numbers and letters  Description automatically generated"/>
                    <pic:cNvPicPr/>
                  </pic:nvPicPr>
                  <pic:blipFill>
                    <a:blip r:embed="rId39" cstate="print"/>
                    <a:stretch>
                      <a:fillRect/>
                    </a:stretch>
                  </pic:blipFill>
                  <pic:spPr>
                    <a:xfrm>
                      <a:off x="0" y="0"/>
                      <a:ext cx="5668422" cy="3173729"/>
                    </a:xfrm>
                    <a:prstGeom prst="rect">
                      <a:avLst/>
                    </a:prstGeom>
                  </pic:spPr>
                </pic:pic>
              </a:graphicData>
            </a:graphic>
          </wp:inline>
        </w:drawing>
      </w:r>
    </w:p>
    <w:p w14:paraId="1FD5B3A5" w14:textId="1CCD15EA" w:rsidR="001716DC" w:rsidRDefault="001716DC" w:rsidP="001716DC">
      <w:r>
        <w:t xml:space="preserve">The relatively small numbers in this study, lack of a comparator and unblinded analysis in this study limit the conclusions which can be drawn. However, it does support extrapolation of the findings from the two pivotal studies conducted in adults and indicates that </w:t>
      </w:r>
      <w:r w:rsidR="00A0048C">
        <w:t>gadopiclenol</w:t>
      </w:r>
      <w:r>
        <w:t xml:space="preserve"> is likely to act similarly in younger patients.</w:t>
      </w:r>
    </w:p>
    <w:p w14:paraId="64598E0A" w14:textId="77777777" w:rsidR="001716DC" w:rsidRPr="00FB26D0" w:rsidRDefault="001716DC" w:rsidP="00FB26D0">
      <w:pPr>
        <w:pStyle w:val="Heading5"/>
      </w:pPr>
      <w:r w:rsidRPr="00A34942">
        <w:t>Pooled analysis of data GDX-44-010 and GDX-44-011</w:t>
      </w:r>
    </w:p>
    <w:p w14:paraId="5AAB1250" w14:textId="77777777" w:rsidR="001716DC" w:rsidRDefault="001716DC" w:rsidP="001716DC">
      <w:r>
        <w:t>The Sponsor pooled the data from the two pivotal trials to provide an analysis of 551 patients between the ages of 18 and 86 (mean 56±13 years) receiving a contrast enhanced scan. The CE has noted that this pooling is appropriate given the near identical protocols of the two studies, but increases the heterogeneity of the study population.</w:t>
      </w:r>
    </w:p>
    <w:p w14:paraId="6FEA6A7D" w14:textId="63804E9D" w:rsidR="001716DC" w:rsidRDefault="001716DC" w:rsidP="001716DC">
      <w:r>
        <w:t xml:space="preserve">The Sponsor conducted a post-hoc analysis of ‘lesion detectability’ using 9 ‘blinded readers’, 3 being assigned to the CNS, Thorax and other body regions respectively. The blinded readers reviewed the MRI images from the pivotal trials in a random order, blinded to both the contrast agent used and patient’s clinical details. Three additional ‘concordance readers’ (one for each region) then tracked the lesions identified by each blinded reader, assigning a unique numbered identifier to each lesion. This allowed it to be confirmed when a lesion was detected by one contrast agent, but not another. The percentage of lesions detected with </w:t>
      </w:r>
      <w:r w:rsidR="00A0048C">
        <w:t>gadopiclenol</w:t>
      </w:r>
      <w:r>
        <w:t xml:space="preserve"> that were also detected with </w:t>
      </w:r>
      <w:r w:rsidR="00CE3529">
        <w:t xml:space="preserve">gadobutrol </w:t>
      </w:r>
      <w:r>
        <w:t xml:space="preserve">was calculated, as well as concordance in the number of lesions detected with </w:t>
      </w:r>
      <w:r w:rsidR="00A0048C">
        <w:t>gadopiclenol</w:t>
      </w:r>
      <w:r>
        <w:t xml:space="preserve"> and </w:t>
      </w:r>
      <w:r w:rsidR="00CE3529">
        <w:t xml:space="preserve">gadobutrol </w:t>
      </w:r>
      <w:r>
        <w:t xml:space="preserve">in each patient. Each blinded readers concordance was calculated, giving a range of results as presented in the </w:t>
      </w:r>
      <w:r w:rsidR="00281A44">
        <w:t>Table 1</w:t>
      </w:r>
      <w:r w:rsidR="00656DB3">
        <w:t>5</w:t>
      </w:r>
      <w:r>
        <w:t>.</w:t>
      </w:r>
    </w:p>
    <w:p w14:paraId="5DF81762" w14:textId="4618FB2D" w:rsidR="00CB34F6" w:rsidRPr="00FB26D0" w:rsidRDefault="00CB34F6" w:rsidP="00FB26D0">
      <w:pPr>
        <w:pStyle w:val="TableTitle"/>
      </w:pPr>
      <w:r w:rsidRPr="00CB34F6">
        <w:lastRenderedPageBreak/>
        <w:t xml:space="preserve">Table </w:t>
      </w:r>
      <w:r w:rsidR="0005010C">
        <w:t>15</w:t>
      </w:r>
      <w:r w:rsidRPr="00CB34F6">
        <w:t>. Pooled data: Summary of concordance in lesion detectability between gadopiclenol and gadobutrol (from EMA evaluation report).</w:t>
      </w:r>
    </w:p>
    <w:p w14:paraId="679F2CFE" w14:textId="68D6EA92" w:rsidR="007C702B" w:rsidRDefault="007C702B" w:rsidP="001716DC">
      <w:r>
        <w:rPr>
          <w:noProof/>
        </w:rPr>
        <w:drawing>
          <wp:inline distT="0" distB="0" distL="0" distR="0" wp14:anchorId="17F1E1E5" wp14:editId="5DA360B8">
            <wp:extent cx="5759450" cy="2087880"/>
            <wp:effectExtent l="0" t="0" r="0" b="7620"/>
            <wp:docPr id="198910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09402" name=""/>
                    <pic:cNvPicPr/>
                  </pic:nvPicPr>
                  <pic:blipFill rotWithShape="1">
                    <a:blip r:embed="rId40"/>
                    <a:srcRect b="7301"/>
                    <a:stretch/>
                  </pic:blipFill>
                  <pic:spPr bwMode="auto">
                    <a:xfrm>
                      <a:off x="0" y="0"/>
                      <a:ext cx="5759450" cy="2087880"/>
                    </a:xfrm>
                    <a:prstGeom prst="rect">
                      <a:avLst/>
                    </a:prstGeom>
                    <a:ln>
                      <a:noFill/>
                    </a:ln>
                    <a:extLst>
                      <a:ext uri="{53640926-AAD7-44D8-BBD7-CCE9431645EC}">
                        <a14:shadowObscured xmlns:a14="http://schemas.microsoft.com/office/drawing/2010/main"/>
                      </a:ext>
                    </a:extLst>
                  </pic:spPr>
                </pic:pic>
              </a:graphicData>
            </a:graphic>
          </wp:inline>
        </w:drawing>
      </w:r>
    </w:p>
    <w:p w14:paraId="791ED33B" w14:textId="77777777" w:rsidR="00CE420D" w:rsidRPr="00FB26D0" w:rsidRDefault="00CE420D" w:rsidP="00FB26D0">
      <w:pPr>
        <w:pStyle w:val="Heading4"/>
      </w:pPr>
      <w:bookmarkStart w:id="39" w:name="_Toc206677113"/>
      <w:r w:rsidRPr="00FF3EAB">
        <w:t>Safety</w:t>
      </w:r>
      <w:bookmarkEnd w:id="39"/>
    </w:p>
    <w:p w14:paraId="2E9A8887" w14:textId="77777777" w:rsidR="00CE420D" w:rsidRDefault="00CE420D" w:rsidP="00CE420D">
      <w:r>
        <w:t>The majority of the safety data from clinical trials is provided by the pivotal studies. However, these were short term studies run over about 14 days in order to provide two scanning visits in the cross-over trial design. GDX-44-007 provided information on exposure in children and adolescents.</w:t>
      </w:r>
    </w:p>
    <w:p w14:paraId="22E14390" w14:textId="797473E3" w:rsidR="006E2582" w:rsidRDefault="00CE420D" w:rsidP="00CE420D">
      <w:r>
        <w:t>No post-marketing data was provided initially in the dossier.</w:t>
      </w:r>
    </w:p>
    <w:p w14:paraId="08DD4295" w14:textId="74DAE922" w:rsidR="00EA6242" w:rsidRPr="00FB26D0" w:rsidRDefault="00EA6242" w:rsidP="00FB26D0">
      <w:pPr>
        <w:pStyle w:val="TableTitle"/>
      </w:pPr>
      <w:r w:rsidRPr="00EA6242">
        <w:t xml:space="preserve">Table </w:t>
      </w:r>
      <w:r w:rsidR="00B10CD0">
        <w:t>16</w:t>
      </w:r>
      <w:r>
        <w:t>.</w:t>
      </w:r>
      <w:r w:rsidRPr="00EA6242">
        <w:t xml:space="preserve"> Exposure to gadopicl</w:t>
      </w:r>
      <w:r>
        <w:t>e</w:t>
      </w:r>
      <w:r w:rsidRPr="00EA6242">
        <w:t>nol and comparators in clinical studies.</w:t>
      </w:r>
    </w:p>
    <w:p w14:paraId="6309103A" w14:textId="5F52ACF4" w:rsidR="00852A88" w:rsidRDefault="00852A88" w:rsidP="00FB26D0">
      <w:r>
        <w:rPr>
          <w:noProof/>
        </w:rPr>
        <w:drawing>
          <wp:inline distT="0" distB="0" distL="0" distR="0" wp14:anchorId="01C1ED74" wp14:editId="72D2C64A">
            <wp:extent cx="5759450" cy="3164840"/>
            <wp:effectExtent l="0" t="0" r="0" b="0"/>
            <wp:docPr id="1764811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11853"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759450" cy="3164840"/>
                    </a:xfrm>
                    <a:prstGeom prst="rect">
                      <a:avLst/>
                    </a:prstGeom>
                  </pic:spPr>
                </pic:pic>
              </a:graphicData>
            </a:graphic>
          </wp:inline>
        </w:drawing>
      </w:r>
    </w:p>
    <w:p w14:paraId="6EA04402" w14:textId="4E7CF79D" w:rsidR="001D0AA7" w:rsidRDefault="00163242" w:rsidP="00CE420D">
      <w:r w:rsidRPr="001D0AA7">
        <w:t>Overall,</w:t>
      </w:r>
      <w:r w:rsidR="001D0AA7" w:rsidRPr="001D0AA7">
        <w:t xml:space="preserve"> 23.6% of patients receiving </w:t>
      </w:r>
      <w:r w:rsidR="00A0048C" w:rsidRPr="001D0AA7">
        <w:t>gadopiclenol</w:t>
      </w:r>
      <w:r w:rsidR="001D0AA7" w:rsidRPr="001D0AA7">
        <w:t xml:space="preserve"> experienced at least 1 adverse event, but serious adverse events occurred in only 1.1% of patients. Reported adverse events were mostly mild (84.8%) or moderate (12.3%) intensity with a small proportion (2.7%) of severe intensity. Overall, 96.1% of adverse events had resolved by the end of the study with the remaining mostly being unresolved laboratory values, worsening pre-existin</w:t>
      </w:r>
      <w:r w:rsidR="001D0AA7">
        <w:t>g</w:t>
      </w:r>
      <w:r w:rsidR="001D0AA7" w:rsidRPr="001D0AA7">
        <w:t xml:space="preserve"> disease or local reactions.</w:t>
      </w:r>
    </w:p>
    <w:p w14:paraId="77F9F95D" w14:textId="4A85BB6D" w:rsidR="00660F78" w:rsidRPr="00FB26D0" w:rsidRDefault="00660F78" w:rsidP="00FB26D0">
      <w:pPr>
        <w:pStyle w:val="TableTitle"/>
      </w:pPr>
      <w:r w:rsidRPr="00660F78">
        <w:lastRenderedPageBreak/>
        <w:t xml:space="preserve">Table </w:t>
      </w:r>
      <w:r w:rsidR="00B10CD0">
        <w:t>17</w:t>
      </w:r>
      <w:r>
        <w:t>.</w:t>
      </w:r>
      <w:r w:rsidRPr="00660F78">
        <w:t xml:space="preserve"> Pooled data: most frequent </w:t>
      </w:r>
      <w:r w:rsidR="009C615D">
        <w:t>treatment-emergent adverse events</w:t>
      </w:r>
      <w:r w:rsidRPr="00660F78">
        <w:t xml:space="preserve"> (occurring in at least 5 subjects)</w:t>
      </w:r>
    </w:p>
    <w:p w14:paraId="03283747" w14:textId="13BBA3A4" w:rsidR="00852A88" w:rsidRPr="00C76537" w:rsidRDefault="00D0410A" w:rsidP="00FB26D0">
      <w:r>
        <w:rPr>
          <w:noProof/>
        </w:rPr>
        <w:drawing>
          <wp:inline distT="0" distB="0" distL="0" distR="0" wp14:anchorId="20818D44" wp14:editId="349E63BE">
            <wp:extent cx="5759450" cy="4137660"/>
            <wp:effectExtent l="0" t="0" r="0" b="0"/>
            <wp:docPr id="1589012850" name="Picture 1" descr="A table of inform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12850" name="Picture 1" descr="A table of information with numbers and symbols&#10;&#10;AI-generated content may be incorrect."/>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Lst>
                    </a:blip>
                    <a:srcRect b="1002"/>
                    <a:stretch/>
                  </pic:blipFill>
                  <pic:spPr bwMode="auto">
                    <a:xfrm>
                      <a:off x="0" y="0"/>
                      <a:ext cx="5759450" cy="4137660"/>
                    </a:xfrm>
                    <a:prstGeom prst="rect">
                      <a:avLst/>
                    </a:prstGeom>
                    <a:ln>
                      <a:noFill/>
                    </a:ln>
                    <a:extLst>
                      <a:ext uri="{53640926-AAD7-44D8-BBD7-CCE9431645EC}">
                        <a14:shadowObscured xmlns:a14="http://schemas.microsoft.com/office/drawing/2010/main"/>
                      </a:ext>
                    </a:extLst>
                  </pic:spPr>
                </pic:pic>
              </a:graphicData>
            </a:graphic>
          </wp:inline>
        </w:drawing>
      </w:r>
    </w:p>
    <w:p w14:paraId="2E73101C" w14:textId="77777777" w:rsidR="00AC5732" w:rsidRDefault="00AC5732" w:rsidP="00AC5732">
      <w:r>
        <w:t>The most commonly reported adverse events were headache (3.9%), nausea (1.4%), dizziness (1.0%) and injection site reactions such as pain (3.0%), haematoma (1.1%) and bruising (0.7%).</w:t>
      </w:r>
    </w:p>
    <w:p w14:paraId="0F3DCDDA" w14:textId="3C6BE6C7" w:rsidR="00AC5732" w:rsidRDefault="00253F6E" w:rsidP="00AC5732">
      <w:r>
        <w:t xml:space="preserve">Overall, </w:t>
      </w:r>
      <w:r w:rsidR="00AC5732">
        <w:t xml:space="preserve">8.5% of subjects in the trials had a treatment related adverse event, the ones most frequently reported as related to </w:t>
      </w:r>
      <w:r w:rsidR="00A0048C">
        <w:t>gadopiclenol</w:t>
      </w:r>
      <w:r w:rsidR="00AC5732">
        <w:t xml:space="preserve"> being injection site reactions (pain, coldness, oedema, haematoma, erythema), gastrointestinal disorders (nausea, diarrhoea, vomiting, abdominal pain), headache, fatigue or dizziness.</w:t>
      </w:r>
    </w:p>
    <w:p w14:paraId="510EE934" w14:textId="7E6BD908" w:rsidR="00AC5732" w:rsidRDefault="00AC5732" w:rsidP="00AC5732">
      <w:r>
        <w:t xml:space="preserve">Two deaths were reported in the pooled safety analysis, both of which were not related to </w:t>
      </w:r>
      <w:r w:rsidR="00A0048C">
        <w:t>gadopiclenol</w:t>
      </w:r>
      <w:r>
        <w:t>.</w:t>
      </w:r>
    </w:p>
    <w:p w14:paraId="441554E5" w14:textId="033A6E69" w:rsidR="00AC5732" w:rsidRDefault="00AC5732" w:rsidP="00AC5732">
      <w:r>
        <w:t>Serious adverse e</w:t>
      </w:r>
      <w:r w:rsidR="00A43EF6">
        <w:t>vents</w:t>
      </w:r>
      <w:r>
        <w:t xml:space="preserve"> were reported in 11 patients after </w:t>
      </w:r>
      <w:r w:rsidR="00A0048C">
        <w:t>gadopiclenol</w:t>
      </w:r>
      <w:r>
        <w:t xml:space="preserve"> . One, raised creatinine, was thought to be related to </w:t>
      </w:r>
      <w:r w:rsidR="00A0048C">
        <w:t>gadopiclenol</w:t>
      </w:r>
      <w:r>
        <w:t>.</w:t>
      </w:r>
    </w:p>
    <w:p w14:paraId="0166A957" w14:textId="2DBE0D7F" w:rsidR="00AC5732" w:rsidRDefault="00A43EF6" w:rsidP="00AC5732">
      <w:r>
        <w:t>S</w:t>
      </w:r>
      <w:r w:rsidR="00AC5732">
        <w:t xml:space="preserve">eizures are a recognised risk of GBCA contrast agents as a class, mostly with intrathecal administration. One seizure was noted in a patient 65 days post </w:t>
      </w:r>
      <w:r w:rsidR="00A0048C">
        <w:t>gadopiclenol</w:t>
      </w:r>
      <w:r w:rsidR="00AC5732">
        <w:t xml:space="preserve"> but was considered unrelated.</w:t>
      </w:r>
    </w:p>
    <w:p w14:paraId="5A7B2168" w14:textId="10982C80" w:rsidR="00AC5732" w:rsidRDefault="00AC5732" w:rsidP="00AC5732">
      <w:r>
        <w:t>In the pooled safety analysis, increased creatinine was reported in 4 patients, leukocyturia was reported in 5 patients, proteinuria was reported in 3 patients and bilirubinaemia was reported in 2 patients. A total of six of these AEs were considered related to gadopiclenol, including blood creatinine increased (n=3, 0.3%), Cystatin C increased, renal failure, and hyperkalaemia (n=1 each, 0.1%). These occurred in the same frequency as the comparator GBCAs.</w:t>
      </w:r>
    </w:p>
    <w:p w14:paraId="40BD7277" w14:textId="77777777" w:rsidR="00AC5732" w:rsidRDefault="00AC5732" w:rsidP="00AC5732">
      <w:r>
        <w:t>No cases of NSF were reported.</w:t>
      </w:r>
    </w:p>
    <w:p w14:paraId="448D4866" w14:textId="41A2575E" w:rsidR="00AC5732" w:rsidRDefault="00AC5732" w:rsidP="00AC5732">
      <w:r>
        <w:t xml:space="preserve">It was concluded that </w:t>
      </w:r>
      <w:r w:rsidR="00163242">
        <w:t>overall,</w:t>
      </w:r>
      <w:r>
        <w:t xml:space="preserve"> no new safety signals were detected for </w:t>
      </w:r>
      <w:r w:rsidR="00A0048C">
        <w:t>gadopiclenol</w:t>
      </w:r>
      <w:r>
        <w:t xml:space="preserve"> as compared to the known adverse events of </w:t>
      </w:r>
      <w:r w:rsidR="00EA246E">
        <w:t xml:space="preserve">macrocyclic </w:t>
      </w:r>
      <w:r>
        <w:t>GBCAs.</w:t>
      </w:r>
    </w:p>
    <w:p w14:paraId="2858B006" w14:textId="5C62703D" w:rsidR="00C22214" w:rsidRDefault="00C22214" w:rsidP="00C22214">
      <w:pPr>
        <w:pStyle w:val="Heading3"/>
        <w:rPr>
          <w:lang w:eastAsia="en-AU"/>
        </w:rPr>
      </w:pPr>
      <w:bookmarkStart w:id="40" w:name="_Toc103679298"/>
      <w:bookmarkStart w:id="41" w:name="_Toc206677114"/>
      <w:r>
        <w:rPr>
          <w:lang w:eastAsia="en-AU"/>
        </w:rPr>
        <w:lastRenderedPageBreak/>
        <w:t>Risk management plan</w:t>
      </w:r>
      <w:bookmarkEnd w:id="35"/>
      <w:bookmarkEnd w:id="40"/>
      <w:r w:rsidR="00F520F3">
        <w:rPr>
          <w:lang w:eastAsia="en-AU"/>
        </w:rPr>
        <w:t xml:space="preserve"> evaluation summary</w:t>
      </w:r>
      <w:bookmarkEnd w:id="41"/>
    </w:p>
    <w:p w14:paraId="29E07D39" w14:textId="216EA649" w:rsidR="00C665D9" w:rsidRDefault="00C665D9" w:rsidP="00C22214">
      <w:pPr>
        <w:rPr>
          <w:szCs w:val="22"/>
        </w:rPr>
      </w:pPr>
      <w:bookmarkStart w:id="42" w:name="_Toc247691531"/>
      <w:bookmarkStart w:id="43" w:name="_Toc314842515"/>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4A1431">
        <w:rPr>
          <w:szCs w:val="22"/>
        </w:rPr>
        <w:t xml:space="preserve"> 1</w:t>
      </w:r>
      <w:r w:rsidR="00B07076">
        <w:rPr>
          <w:szCs w:val="22"/>
        </w:rPr>
        <w:t>8</w:t>
      </w:r>
      <w:r w:rsidR="008C49C6" w:rsidRPr="003B149C">
        <w:rPr>
          <w:szCs w:val="22"/>
        </w:rPr>
        <w:t>.</w:t>
      </w:r>
    </w:p>
    <w:p w14:paraId="075E14AE" w14:textId="078F452E" w:rsidR="00702D4A" w:rsidRDefault="00702D4A" w:rsidP="00C22214">
      <w:pPr>
        <w:rPr>
          <w:szCs w:val="22"/>
        </w:rPr>
      </w:pPr>
      <w:r w:rsidRPr="00702D4A">
        <w:rPr>
          <w:szCs w:val="22"/>
        </w:rPr>
        <w:t>The Gadopiclenol (</w:t>
      </w:r>
      <w:r w:rsidR="00C9665E">
        <w:rPr>
          <w:szCs w:val="22"/>
        </w:rPr>
        <w:t>Elucirem</w:t>
      </w:r>
      <w:r w:rsidRPr="00702D4A">
        <w:rPr>
          <w:szCs w:val="22"/>
        </w:rPr>
        <w:t>/</w:t>
      </w:r>
      <w:r w:rsidR="00C9665E">
        <w:rPr>
          <w:szCs w:val="22"/>
        </w:rPr>
        <w:t>Vueway</w:t>
      </w:r>
      <w:r w:rsidRPr="00702D4A">
        <w:rPr>
          <w:szCs w:val="22"/>
        </w:rPr>
        <w:t>) EU-Risk Management Plan (RMP) (version 0.3, dated 19 April 2023; DLP 18 November 2021), with Australian Specific Annex (version 1.1, dated 23 October 2024), included with submission PM- 2023-06087-1-2, and any subsequent revisions, as agreed with the TGA will be implemented in Australia.</w:t>
      </w:r>
    </w:p>
    <w:p w14:paraId="56B51A93" w14:textId="2FCA0994" w:rsidR="006A277A" w:rsidRPr="00FB26D0" w:rsidRDefault="00C22214" w:rsidP="00FB26D0">
      <w:pPr>
        <w:pStyle w:val="TableTitle"/>
      </w:pPr>
      <w:bookmarkStart w:id="44" w:name="_Ref97629131"/>
      <w:r>
        <w:t>Table</w:t>
      </w:r>
      <w:bookmarkEnd w:id="44"/>
      <w:r w:rsidR="00DF6EC5">
        <w:t xml:space="preserve"> </w:t>
      </w:r>
      <w:r w:rsidR="00B10CD0">
        <w:t>18</w:t>
      </w:r>
      <w:r w:rsidR="00DF6EC5">
        <w:t>.</w:t>
      </w:r>
      <w:r>
        <w:t xml:space="preserve"> Summary of safety concerns</w:t>
      </w:r>
    </w:p>
    <w:tbl>
      <w:tblPr>
        <w:tblStyle w:val="TableGrid"/>
        <w:tblW w:w="9464" w:type="dxa"/>
        <w:jc w:val="center"/>
        <w:tblBorders>
          <w:top w:val="single" w:sz="8" w:space="0" w:color="auto"/>
          <w:left w:val="single" w:sz="8" w:space="0" w:color="auto"/>
          <w:bottom w:val="single" w:sz="8" w:space="0" w:color="auto"/>
          <w:right w:val="single" w:sz="8" w:space="0" w:color="auto"/>
        </w:tblBorders>
        <w:tblLayout w:type="fixed"/>
        <w:tblCellMar>
          <w:left w:w="85" w:type="dxa"/>
          <w:right w:w="85" w:type="dxa"/>
        </w:tblCellMar>
        <w:tblLook w:val="04A0" w:firstRow="1" w:lastRow="0" w:firstColumn="1" w:lastColumn="0" w:noHBand="0" w:noVBand="1"/>
      </w:tblPr>
      <w:tblGrid>
        <w:gridCol w:w="1430"/>
        <w:gridCol w:w="3523"/>
        <w:gridCol w:w="11"/>
        <w:gridCol w:w="1069"/>
        <w:gridCol w:w="11"/>
        <w:gridCol w:w="1159"/>
        <w:gridCol w:w="11"/>
        <w:gridCol w:w="979"/>
        <w:gridCol w:w="11"/>
        <w:gridCol w:w="1249"/>
        <w:gridCol w:w="11"/>
      </w:tblGrid>
      <w:tr w:rsidR="00AF5086" w:rsidRPr="00AF5086" w14:paraId="2FAD911A" w14:textId="77777777" w:rsidTr="004A1431">
        <w:trPr>
          <w:trHeight w:val="131"/>
          <w:jc w:val="center"/>
        </w:trPr>
        <w:tc>
          <w:tcPr>
            <w:tcW w:w="4964" w:type="dxa"/>
            <w:gridSpan w:val="3"/>
            <w:vMerge w:val="restart"/>
            <w:tcBorders>
              <w:top w:val="single" w:sz="8" w:space="0" w:color="auto"/>
              <w:right w:val="single" w:sz="4" w:space="0" w:color="auto"/>
            </w:tcBorders>
            <w:shd w:val="clear" w:color="auto" w:fill="DEEAF6"/>
          </w:tcPr>
          <w:p w14:paraId="24CC569E" w14:textId="77777777" w:rsidR="00AF5086" w:rsidRPr="00AF5086" w:rsidRDefault="00AF5086" w:rsidP="00975226">
            <w:pPr>
              <w:pStyle w:val="Tabletext0"/>
              <w:rPr>
                <w:b/>
                <w:color w:val="263287"/>
                <w:kern w:val="0"/>
                <w:sz w:val="22"/>
                <w:szCs w:val="22"/>
              </w:rPr>
            </w:pPr>
            <w:r w:rsidRPr="00AF5086">
              <w:rPr>
                <w:b/>
                <w:color w:val="263287"/>
                <w:kern w:val="0"/>
                <w:sz w:val="22"/>
                <w:szCs w:val="22"/>
              </w:rPr>
              <w:t>Summary of safety concerns</w:t>
            </w:r>
          </w:p>
        </w:tc>
        <w:tc>
          <w:tcPr>
            <w:tcW w:w="2250" w:type="dxa"/>
            <w:gridSpan w:val="4"/>
            <w:tcBorders>
              <w:top w:val="single" w:sz="8" w:space="0" w:color="auto"/>
              <w:left w:val="single" w:sz="4" w:space="0" w:color="auto"/>
              <w:bottom w:val="single" w:sz="4" w:space="0" w:color="auto"/>
            </w:tcBorders>
            <w:shd w:val="clear" w:color="auto" w:fill="DEEAF6"/>
          </w:tcPr>
          <w:p w14:paraId="4E23ADB6" w14:textId="77777777" w:rsidR="00AF5086" w:rsidRPr="00AF5086" w:rsidRDefault="00AF5086" w:rsidP="00975226">
            <w:pPr>
              <w:pStyle w:val="Tabletext0"/>
              <w:rPr>
                <w:b/>
                <w:color w:val="263287"/>
                <w:kern w:val="0"/>
                <w:sz w:val="22"/>
                <w:szCs w:val="22"/>
              </w:rPr>
            </w:pPr>
            <w:r w:rsidRPr="00AF5086">
              <w:rPr>
                <w:b/>
                <w:color w:val="263287"/>
                <w:kern w:val="0"/>
                <w:sz w:val="22"/>
                <w:szCs w:val="22"/>
              </w:rPr>
              <w:t>Pharmacovigilance</w:t>
            </w:r>
          </w:p>
        </w:tc>
        <w:tc>
          <w:tcPr>
            <w:tcW w:w="2250" w:type="dxa"/>
            <w:gridSpan w:val="4"/>
            <w:tcBorders>
              <w:top w:val="single" w:sz="8" w:space="0" w:color="auto"/>
              <w:left w:val="single" w:sz="4" w:space="0" w:color="auto"/>
              <w:bottom w:val="single" w:sz="4" w:space="0" w:color="auto"/>
            </w:tcBorders>
            <w:shd w:val="clear" w:color="auto" w:fill="DEEAF6"/>
          </w:tcPr>
          <w:p w14:paraId="49CBEF71" w14:textId="77777777" w:rsidR="00AF5086" w:rsidRPr="00AF5086" w:rsidRDefault="00AF5086" w:rsidP="00975226">
            <w:pPr>
              <w:pStyle w:val="Tabletext0"/>
              <w:rPr>
                <w:b/>
                <w:color w:val="263287"/>
                <w:kern w:val="0"/>
                <w:sz w:val="22"/>
                <w:szCs w:val="22"/>
              </w:rPr>
            </w:pPr>
            <w:r w:rsidRPr="00AF5086">
              <w:rPr>
                <w:b/>
                <w:color w:val="263287"/>
                <w:kern w:val="0"/>
                <w:sz w:val="22"/>
                <w:szCs w:val="22"/>
              </w:rPr>
              <w:t>Risk Minimisation</w:t>
            </w:r>
          </w:p>
        </w:tc>
      </w:tr>
      <w:tr w:rsidR="004A1431" w:rsidRPr="00AF5086" w14:paraId="54386B6B" w14:textId="77777777" w:rsidTr="004A1431">
        <w:trPr>
          <w:trHeight w:val="150"/>
          <w:jc w:val="center"/>
        </w:trPr>
        <w:tc>
          <w:tcPr>
            <w:tcW w:w="4964" w:type="dxa"/>
            <w:gridSpan w:val="3"/>
            <w:vMerge/>
            <w:tcBorders>
              <w:bottom w:val="single" w:sz="8" w:space="0" w:color="auto"/>
              <w:right w:val="single" w:sz="4" w:space="0" w:color="auto"/>
            </w:tcBorders>
            <w:shd w:val="clear" w:color="auto" w:fill="DEEAF6"/>
          </w:tcPr>
          <w:p w14:paraId="30A45E20" w14:textId="77777777" w:rsidR="00AF5086" w:rsidRPr="00AF5086" w:rsidRDefault="00AF5086" w:rsidP="00975226">
            <w:pPr>
              <w:pStyle w:val="Tabletext0"/>
              <w:rPr>
                <w:b/>
                <w:color w:val="263287"/>
                <w:kern w:val="0"/>
                <w:sz w:val="22"/>
                <w:szCs w:val="22"/>
              </w:rPr>
            </w:pPr>
          </w:p>
        </w:tc>
        <w:tc>
          <w:tcPr>
            <w:tcW w:w="1080" w:type="dxa"/>
            <w:gridSpan w:val="2"/>
            <w:tcBorders>
              <w:top w:val="single" w:sz="4" w:space="0" w:color="auto"/>
              <w:left w:val="single" w:sz="4" w:space="0" w:color="auto"/>
              <w:bottom w:val="single" w:sz="8" w:space="0" w:color="auto"/>
              <w:right w:val="dotted" w:sz="2" w:space="0" w:color="auto"/>
            </w:tcBorders>
            <w:shd w:val="clear" w:color="auto" w:fill="DEEAF6"/>
          </w:tcPr>
          <w:p w14:paraId="2CBBB6A3" w14:textId="77777777" w:rsidR="00AF5086" w:rsidRPr="00AF5086" w:rsidRDefault="00AF5086" w:rsidP="00975226">
            <w:pPr>
              <w:pStyle w:val="Tabletext0"/>
              <w:rPr>
                <w:color w:val="263287"/>
                <w:kern w:val="0"/>
                <w:sz w:val="22"/>
                <w:szCs w:val="22"/>
              </w:rPr>
            </w:pPr>
            <w:r w:rsidRPr="00AF5086">
              <w:rPr>
                <w:color w:val="263287"/>
                <w:kern w:val="0"/>
                <w:sz w:val="22"/>
                <w:szCs w:val="22"/>
              </w:rPr>
              <w:t>Routine</w:t>
            </w:r>
          </w:p>
        </w:tc>
        <w:tc>
          <w:tcPr>
            <w:tcW w:w="1170" w:type="dxa"/>
            <w:gridSpan w:val="2"/>
            <w:tcBorders>
              <w:top w:val="single" w:sz="4" w:space="0" w:color="auto"/>
              <w:left w:val="dotted" w:sz="2" w:space="0" w:color="auto"/>
              <w:bottom w:val="single" w:sz="8" w:space="0" w:color="auto"/>
            </w:tcBorders>
            <w:shd w:val="clear" w:color="auto" w:fill="DEEAF6"/>
          </w:tcPr>
          <w:p w14:paraId="385A49DB" w14:textId="77777777" w:rsidR="00AF5086" w:rsidRPr="00AF5086" w:rsidRDefault="00AF5086" w:rsidP="00975226">
            <w:pPr>
              <w:pStyle w:val="Tabletext0"/>
              <w:rPr>
                <w:color w:val="263287"/>
                <w:kern w:val="0"/>
                <w:sz w:val="22"/>
                <w:szCs w:val="22"/>
              </w:rPr>
            </w:pPr>
            <w:r w:rsidRPr="00AF5086">
              <w:rPr>
                <w:color w:val="263287"/>
                <w:kern w:val="0"/>
                <w:sz w:val="22"/>
                <w:szCs w:val="22"/>
              </w:rPr>
              <w:t>Additional</w:t>
            </w:r>
          </w:p>
        </w:tc>
        <w:tc>
          <w:tcPr>
            <w:tcW w:w="990" w:type="dxa"/>
            <w:gridSpan w:val="2"/>
            <w:tcBorders>
              <w:top w:val="single" w:sz="4" w:space="0" w:color="auto"/>
              <w:left w:val="single" w:sz="4" w:space="0" w:color="auto"/>
              <w:bottom w:val="single" w:sz="8" w:space="0" w:color="auto"/>
              <w:right w:val="dotted" w:sz="2" w:space="0" w:color="auto"/>
            </w:tcBorders>
            <w:shd w:val="clear" w:color="auto" w:fill="DEEAF6"/>
          </w:tcPr>
          <w:p w14:paraId="7AD02AB3" w14:textId="77777777" w:rsidR="00AF5086" w:rsidRPr="00AF5086" w:rsidRDefault="00AF5086" w:rsidP="00975226">
            <w:pPr>
              <w:pStyle w:val="Tabletext0"/>
              <w:rPr>
                <w:color w:val="263287"/>
                <w:kern w:val="0"/>
                <w:sz w:val="22"/>
                <w:szCs w:val="22"/>
              </w:rPr>
            </w:pPr>
            <w:r w:rsidRPr="00AF5086">
              <w:rPr>
                <w:color w:val="263287"/>
                <w:kern w:val="0"/>
                <w:sz w:val="22"/>
                <w:szCs w:val="22"/>
              </w:rPr>
              <w:t>Routine</w:t>
            </w:r>
          </w:p>
        </w:tc>
        <w:tc>
          <w:tcPr>
            <w:tcW w:w="1260" w:type="dxa"/>
            <w:gridSpan w:val="2"/>
            <w:tcBorders>
              <w:top w:val="single" w:sz="4" w:space="0" w:color="auto"/>
              <w:left w:val="dotted" w:sz="2" w:space="0" w:color="auto"/>
              <w:bottom w:val="single" w:sz="8" w:space="0" w:color="auto"/>
            </w:tcBorders>
            <w:shd w:val="clear" w:color="auto" w:fill="DEEAF6"/>
          </w:tcPr>
          <w:p w14:paraId="1F03148F" w14:textId="77777777" w:rsidR="00AF5086" w:rsidRPr="00AF5086" w:rsidRDefault="00AF5086" w:rsidP="00975226">
            <w:pPr>
              <w:pStyle w:val="Tabletext0"/>
              <w:rPr>
                <w:color w:val="263287"/>
                <w:kern w:val="0"/>
                <w:sz w:val="22"/>
                <w:szCs w:val="22"/>
              </w:rPr>
            </w:pPr>
            <w:r w:rsidRPr="00AF5086">
              <w:rPr>
                <w:color w:val="263287"/>
                <w:kern w:val="0"/>
                <w:sz w:val="22"/>
                <w:szCs w:val="22"/>
              </w:rPr>
              <w:t>Additional</w:t>
            </w:r>
          </w:p>
        </w:tc>
      </w:tr>
      <w:tr w:rsidR="00AF5086" w:rsidRPr="00AF5086" w14:paraId="4A432C45" w14:textId="77777777" w:rsidTr="004A1431">
        <w:trPr>
          <w:gridAfter w:val="1"/>
          <w:wAfter w:w="11" w:type="dxa"/>
          <w:trHeight w:val="137"/>
          <w:jc w:val="center"/>
        </w:trPr>
        <w:tc>
          <w:tcPr>
            <w:tcW w:w="1430" w:type="dxa"/>
            <w:tcBorders>
              <w:top w:val="single" w:sz="8" w:space="0" w:color="auto"/>
            </w:tcBorders>
          </w:tcPr>
          <w:p w14:paraId="137DCDED" w14:textId="77777777" w:rsidR="00AF5086" w:rsidRPr="00AF5086" w:rsidRDefault="00AF5086" w:rsidP="00975226">
            <w:pPr>
              <w:pStyle w:val="Tabletext0"/>
              <w:rPr>
                <w:b/>
                <w:kern w:val="0"/>
                <w:sz w:val="22"/>
                <w:szCs w:val="22"/>
              </w:rPr>
            </w:pPr>
            <w:r w:rsidRPr="00AF5086">
              <w:rPr>
                <w:b/>
                <w:kern w:val="0"/>
                <w:sz w:val="22"/>
                <w:szCs w:val="22"/>
              </w:rPr>
              <w:t>Important identified risks</w:t>
            </w:r>
          </w:p>
        </w:tc>
        <w:tc>
          <w:tcPr>
            <w:tcW w:w="3523" w:type="dxa"/>
            <w:tcBorders>
              <w:top w:val="single" w:sz="8" w:space="0" w:color="auto"/>
              <w:bottom w:val="dotted" w:sz="2" w:space="0" w:color="auto"/>
              <w:right w:val="single" w:sz="4" w:space="0" w:color="auto"/>
            </w:tcBorders>
          </w:tcPr>
          <w:p w14:paraId="5C51BFB5" w14:textId="77777777" w:rsidR="00AF5086" w:rsidRPr="00AF5086" w:rsidRDefault="00AF5086" w:rsidP="00975226">
            <w:pPr>
              <w:pStyle w:val="Tabletext0"/>
              <w:rPr>
                <w:kern w:val="0"/>
                <w:sz w:val="22"/>
                <w:szCs w:val="22"/>
              </w:rPr>
            </w:pPr>
            <w:r w:rsidRPr="00AF5086">
              <w:rPr>
                <w:kern w:val="0"/>
                <w:sz w:val="22"/>
                <w:szCs w:val="22"/>
              </w:rPr>
              <w:t>Nephrogenic Systemic Fibrosis (NSF)</w:t>
            </w:r>
          </w:p>
        </w:tc>
        <w:tc>
          <w:tcPr>
            <w:tcW w:w="1080" w:type="dxa"/>
            <w:gridSpan w:val="2"/>
            <w:tcBorders>
              <w:top w:val="single" w:sz="8" w:space="0" w:color="auto"/>
              <w:left w:val="single" w:sz="4" w:space="0" w:color="auto"/>
              <w:bottom w:val="dotted" w:sz="2" w:space="0" w:color="auto"/>
              <w:right w:val="dotted" w:sz="2" w:space="0" w:color="auto"/>
            </w:tcBorders>
            <w:vAlign w:val="center"/>
          </w:tcPr>
          <w:p w14:paraId="47346EF3"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top w:val="single" w:sz="8" w:space="0" w:color="auto"/>
              <w:left w:val="dotted" w:sz="2" w:space="0" w:color="auto"/>
              <w:bottom w:val="dotted" w:sz="2" w:space="0" w:color="auto"/>
            </w:tcBorders>
            <w:vAlign w:val="center"/>
          </w:tcPr>
          <w:p w14:paraId="41914535" w14:textId="77777777" w:rsidR="00AF5086" w:rsidRPr="00AF5086" w:rsidRDefault="00AF5086" w:rsidP="00975226">
            <w:pPr>
              <w:pStyle w:val="Tabletext0"/>
              <w:jc w:val="center"/>
              <w:rPr>
                <w:kern w:val="0"/>
                <w:sz w:val="22"/>
                <w:szCs w:val="22"/>
              </w:rPr>
            </w:pPr>
            <w:r w:rsidRPr="00AF5086">
              <w:rPr>
                <w:kern w:val="0"/>
                <w:sz w:val="22"/>
                <w:szCs w:val="22"/>
              </w:rPr>
              <w:t>–</w:t>
            </w:r>
          </w:p>
        </w:tc>
        <w:tc>
          <w:tcPr>
            <w:tcW w:w="990" w:type="dxa"/>
            <w:gridSpan w:val="2"/>
            <w:tcBorders>
              <w:top w:val="single" w:sz="8" w:space="0" w:color="auto"/>
              <w:left w:val="single" w:sz="4" w:space="0" w:color="auto"/>
              <w:bottom w:val="dotted" w:sz="2" w:space="0" w:color="auto"/>
              <w:right w:val="dotted" w:sz="2" w:space="0" w:color="auto"/>
            </w:tcBorders>
            <w:vAlign w:val="center"/>
          </w:tcPr>
          <w:p w14:paraId="7D18CF6D"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top w:val="single" w:sz="8" w:space="0" w:color="auto"/>
              <w:left w:val="dotted" w:sz="2" w:space="0" w:color="auto"/>
              <w:bottom w:val="dotted" w:sz="2" w:space="0" w:color="auto"/>
            </w:tcBorders>
            <w:vAlign w:val="center"/>
          </w:tcPr>
          <w:p w14:paraId="3BDA8C3F" w14:textId="77777777" w:rsidR="00AF5086" w:rsidRPr="00AF5086" w:rsidRDefault="00AF5086" w:rsidP="00975226">
            <w:pPr>
              <w:pStyle w:val="Tabletext0"/>
              <w:jc w:val="center"/>
              <w:rPr>
                <w:kern w:val="0"/>
                <w:sz w:val="22"/>
                <w:szCs w:val="22"/>
              </w:rPr>
            </w:pPr>
            <w:r w:rsidRPr="00AF5086">
              <w:rPr>
                <w:kern w:val="0"/>
                <w:sz w:val="22"/>
                <w:szCs w:val="22"/>
              </w:rPr>
              <w:t>–</w:t>
            </w:r>
          </w:p>
        </w:tc>
      </w:tr>
      <w:tr w:rsidR="00AF5086" w:rsidRPr="00AF5086" w14:paraId="03EDBCFA" w14:textId="77777777" w:rsidTr="004A1431">
        <w:trPr>
          <w:gridAfter w:val="1"/>
          <w:wAfter w:w="11" w:type="dxa"/>
          <w:trHeight w:val="159"/>
          <w:jc w:val="center"/>
        </w:trPr>
        <w:tc>
          <w:tcPr>
            <w:tcW w:w="1430" w:type="dxa"/>
            <w:vMerge w:val="restart"/>
          </w:tcPr>
          <w:p w14:paraId="0E0635AD" w14:textId="77777777" w:rsidR="00AF5086" w:rsidRPr="00AF5086" w:rsidRDefault="00AF5086" w:rsidP="00975226">
            <w:pPr>
              <w:pStyle w:val="Tabletext0"/>
              <w:rPr>
                <w:b/>
                <w:kern w:val="0"/>
                <w:sz w:val="22"/>
                <w:szCs w:val="22"/>
              </w:rPr>
            </w:pPr>
            <w:r w:rsidRPr="00AF5086">
              <w:rPr>
                <w:b/>
                <w:kern w:val="0"/>
                <w:sz w:val="22"/>
                <w:szCs w:val="22"/>
              </w:rPr>
              <w:t>Important potential risks</w:t>
            </w:r>
          </w:p>
        </w:tc>
        <w:tc>
          <w:tcPr>
            <w:tcW w:w="3523" w:type="dxa"/>
            <w:tcBorders>
              <w:bottom w:val="dotted" w:sz="2" w:space="0" w:color="auto"/>
              <w:right w:val="single" w:sz="4" w:space="0" w:color="auto"/>
            </w:tcBorders>
          </w:tcPr>
          <w:p w14:paraId="1F45E2D3" w14:textId="77777777" w:rsidR="00AF5086" w:rsidRPr="00AF5086" w:rsidRDefault="00AF5086" w:rsidP="00975226">
            <w:pPr>
              <w:pStyle w:val="Tabletext0"/>
              <w:rPr>
                <w:kern w:val="0"/>
                <w:sz w:val="22"/>
                <w:szCs w:val="22"/>
              </w:rPr>
            </w:pPr>
            <w:r w:rsidRPr="00AF5086">
              <w:rPr>
                <w:kern w:val="0"/>
                <w:sz w:val="22"/>
                <w:szCs w:val="22"/>
              </w:rPr>
              <w:t>Adverse clinical effects of accumulation and retention of gadolinium in organs and tissues other than brain tissues</w:t>
            </w:r>
          </w:p>
        </w:tc>
        <w:tc>
          <w:tcPr>
            <w:tcW w:w="1080" w:type="dxa"/>
            <w:gridSpan w:val="2"/>
            <w:tcBorders>
              <w:left w:val="single" w:sz="4" w:space="0" w:color="auto"/>
              <w:bottom w:val="dotted" w:sz="2" w:space="0" w:color="auto"/>
              <w:right w:val="dotted" w:sz="2" w:space="0" w:color="auto"/>
            </w:tcBorders>
            <w:vAlign w:val="center"/>
          </w:tcPr>
          <w:p w14:paraId="571B7C3D"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left w:val="dotted" w:sz="2" w:space="0" w:color="auto"/>
              <w:bottom w:val="dotted" w:sz="2" w:space="0" w:color="auto"/>
            </w:tcBorders>
            <w:vAlign w:val="center"/>
          </w:tcPr>
          <w:p w14:paraId="547A03DB"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vertAlign w:val="superscript"/>
              </w:rPr>
              <w:t>#</w:t>
            </w:r>
          </w:p>
        </w:tc>
        <w:tc>
          <w:tcPr>
            <w:tcW w:w="990" w:type="dxa"/>
            <w:gridSpan w:val="2"/>
            <w:tcBorders>
              <w:left w:val="single" w:sz="4" w:space="0" w:color="auto"/>
              <w:bottom w:val="dotted" w:sz="2" w:space="0" w:color="auto"/>
              <w:right w:val="dotted" w:sz="2" w:space="0" w:color="auto"/>
            </w:tcBorders>
            <w:vAlign w:val="center"/>
          </w:tcPr>
          <w:p w14:paraId="67F2BE46"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left w:val="dotted" w:sz="2" w:space="0" w:color="auto"/>
              <w:bottom w:val="dotted" w:sz="2" w:space="0" w:color="auto"/>
            </w:tcBorders>
            <w:vAlign w:val="center"/>
          </w:tcPr>
          <w:p w14:paraId="667A7BD6" w14:textId="77777777" w:rsidR="00AF5086" w:rsidRPr="00AF5086" w:rsidRDefault="00AF5086" w:rsidP="00975226">
            <w:pPr>
              <w:pStyle w:val="Tabletext0"/>
              <w:jc w:val="center"/>
              <w:rPr>
                <w:kern w:val="0"/>
                <w:sz w:val="22"/>
                <w:szCs w:val="22"/>
              </w:rPr>
            </w:pPr>
            <w:r w:rsidRPr="00AF5086">
              <w:rPr>
                <w:kern w:val="0"/>
                <w:sz w:val="22"/>
                <w:szCs w:val="22"/>
              </w:rPr>
              <w:t>–</w:t>
            </w:r>
          </w:p>
        </w:tc>
      </w:tr>
      <w:tr w:rsidR="00AF5086" w:rsidRPr="00AF5086" w14:paraId="3BBCE255" w14:textId="77777777" w:rsidTr="004A1431">
        <w:trPr>
          <w:gridAfter w:val="1"/>
          <w:wAfter w:w="11" w:type="dxa"/>
          <w:trHeight w:val="112"/>
          <w:jc w:val="center"/>
        </w:trPr>
        <w:tc>
          <w:tcPr>
            <w:tcW w:w="1430" w:type="dxa"/>
            <w:vMerge/>
          </w:tcPr>
          <w:p w14:paraId="52777C70" w14:textId="77777777" w:rsidR="00AF5086" w:rsidRPr="00AF5086" w:rsidRDefault="00AF5086" w:rsidP="00975226">
            <w:pPr>
              <w:pStyle w:val="Tabletext0"/>
              <w:rPr>
                <w:b/>
                <w:kern w:val="0"/>
                <w:sz w:val="22"/>
                <w:szCs w:val="22"/>
              </w:rPr>
            </w:pPr>
          </w:p>
        </w:tc>
        <w:tc>
          <w:tcPr>
            <w:tcW w:w="3523" w:type="dxa"/>
            <w:tcBorders>
              <w:top w:val="dotted" w:sz="2" w:space="0" w:color="auto"/>
              <w:right w:val="single" w:sz="4" w:space="0" w:color="auto"/>
            </w:tcBorders>
          </w:tcPr>
          <w:p w14:paraId="4CEDC8AD" w14:textId="77777777" w:rsidR="00AF5086" w:rsidRPr="00AF5086" w:rsidRDefault="00AF5086" w:rsidP="00975226">
            <w:pPr>
              <w:pStyle w:val="Tabletext0"/>
              <w:rPr>
                <w:kern w:val="0"/>
                <w:sz w:val="22"/>
                <w:szCs w:val="22"/>
              </w:rPr>
            </w:pPr>
            <w:r w:rsidRPr="00AF5086">
              <w:rPr>
                <w:kern w:val="0"/>
                <w:sz w:val="22"/>
                <w:szCs w:val="22"/>
              </w:rPr>
              <w:t>Adverse clinical effects of accumulation and retention of gadolinium in the brain</w:t>
            </w:r>
          </w:p>
        </w:tc>
        <w:tc>
          <w:tcPr>
            <w:tcW w:w="1080" w:type="dxa"/>
            <w:gridSpan w:val="2"/>
            <w:tcBorders>
              <w:top w:val="dotted" w:sz="2" w:space="0" w:color="auto"/>
              <w:left w:val="single" w:sz="4" w:space="0" w:color="auto"/>
              <w:right w:val="dotted" w:sz="2" w:space="0" w:color="auto"/>
            </w:tcBorders>
            <w:vAlign w:val="center"/>
          </w:tcPr>
          <w:p w14:paraId="59387594"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top w:val="dotted" w:sz="2" w:space="0" w:color="auto"/>
              <w:left w:val="dotted" w:sz="2" w:space="0" w:color="auto"/>
            </w:tcBorders>
            <w:vAlign w:val="center"/>
          </w:tcPr>
          <w:p w14:paraId="66039BB6"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vertAlign w:val="superscript"/>
              </w:rPr>
              <w:t>#</w:t>
            </w:r>
          </w:p>
        </w:tc>
        <w:tc>
          <w:tcPr>
            <w:tcW w:w="990" w:type="dxa"/>
            <w:gridSpan w:val="2"/>
            <w:tcBorders>
              <w:top w:val="dotted" w:sz="2" w:space="0" w:color="auto"/>
              <w:left w:val="single" w:sz="4" w:space="0" w:color="auto"/>
              <w:right w:val="dotted" w:sz="2" w:space="0" w:color="auto"/>
            </w:tcBorders>
            <w:vAlign w:val="center"/>
          </w:tcPr>
          <w:p w14:paraId="33797301"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top w:val="dotted" w:sz="2" w:space="0" w:color="auto"/>
              <w:left w:val="dotted" w:sz="2" w:space="0" w:color="auto"/>
            </w:tcBorders>
            <w:vAlign w:val="center"/>
          </w:tcPr>
          <w:p w14:paraId="553DB7B1" w14:textId="77777777" w:rsidR="00AF5086" w:rsidRPr="00AF5086" w:rsidRDefault="00AF5086" w:rsidP="00975226">
            <w:pPr>
              <w:pStyle w:val="Tabletext0"/>
              <w:jc w:val="center"/>
              <w:rPr>
                <w:kern w:val="0"/>
                <w:sz w:val="22"/>
                <w:szCs w:val="22"/>
              </w:rPr>
            </w:pPr>
            <w:r w:rsidRPr="00AF5086">
              <w:rPr>
                <w:kern w:val="0"/>
                <w:sz w:val="22"/>
                <w:szCs w:val="22"/>
              </w:rPr>
              <w:t>–</w:t>
            </w:r>
          </w:p>
        </w:tc>
      </w:tr>
      <w:tr w:rsidR="00AF5086" w:rsidRPr="00AF5086" w14:paraId="03EF1BFB" w14:textId="77777777" w:rsidTr="004A1431">
        <w:trPr>
          <w:gridAfter w:val="1"/>
          <w:wAfter w:w="11" w:type="dxa"/>
          <w:trHeight w:val="178"/>
          <w:jc w:val="center"/>
        </w:trPr>
        <w:tc>
          <w:tcPr>
            <w:tcW w:w="1430" w:type="dxa"/>
            <w:vMerge w:val="restart"/>
          </w:tcPr>
          <w:p w14:paraId="5843B955" w14:textId="77777777" w:rsidR="00AF5086" w:rsidRPr="00AF5086" w:rsidRDefault="00AF5086" w:rsidP="00975226">
            <w:pPr>
              <w:pStyle w:val="Tabletext0"/>
              <w:rPr>
                <w:b/>
                <w:kern w:val="0"/>
                <w:sz w:val="22"/>
                <w:szCs w:val="22"/>
              </w:rPr>
            </w:pPr>
            <w:r w:rsidRPr="00AF5086">
              <w:rPr>
                <w:b/>
                <w:kern w:val="0"/>
                <w:sz w:val="22"/>
                <w:szCs w:val="22"/>
              </w:rPr>
              <w:t>Missing information</w:t>
            </w:r>
          </w:p>
        </w:tc>
        <w:tc>
          <w:tcPr>
            <w:tcW w:w="3523" w:type="dxa"/>
            <w:tcBorders>
              <w:bottom w:val="dotted" w:sz="2" w:space="0" w:color="auto"/>
              <w:right w:val="single" w:sz="4" w:space="0" w:color="auto"/>
            </w:tcBorders>
          </w:tcPr>
          <w:p w14:paraId="3929E5A5" w14:textId="77777777" w:rsidR="00AF5086" w:rsidRPr="00AF5086" w:rsidRDefault="00AF5086" w:rsidP="00975226">
            <w:pPr>
              <w:pStyle w:val="Tabletext0"/>
              <w:rPr>
                <w:kern w:val="0"/>
                <w:sz w:val="22"/>
                <w:szCs w:val="22"/>
              </w:rPr>
            </w:pPr>
            <w:r w:rsidRPr="00AF5086">
              <w:rPr>
                <w:kern w:val="0"/>
                <w:sz w:val="22"/>
                <w:szCs w:val="22"/>
              </w:rPr>
              <w:t>Safety in pregnancy and lactation</w:t>
            </w:r>
          </w:p>
        </w:tc>
        <w:tc>
          <w:tcPr>
            <w:tcW w:w="1080" w:type="dxa"/>
            <w:gridSpan w:val="2"/>
            <w:tcBorders>
              <w:left w:val="single" w:sz="4" w:space="0" w:color="auto"/>
              <w:bottom w:val="dotted" w:sz="2" w:space="0" w:color="auto"/>
              <w:right w:val="dotted" w:sz="2" w:space="0" w:color="auto"/>
            </w:tcBorders>
            <w:vAlign w:val="center"/>
          </w:tcPr>
          <w:p w14:paraId="175BB6C6"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left w:val="dotted" w:sz="2" w:space="0" w:color="auto"/>
              <w:bottom w:val="dotted" w:sz="2" w:space="0" w:color="auto"/>
            </w:tcBorders>
            <w:vAlign w:val="center"/>
          </w:tcPr>
          <w:p w14:paraId="347F7683" w14:textId="77777777" w:rsidR="00AF5086" w:rsidRPr="00AF5086" w:rsidRDefault="00AF5086" w:rsidP="00975226">
            <w:pPr>
              <w:pStyle w:val="Tabletext0"/>
              <w:jc w:val="center"/>
              <w:rPr>
                <w:kern w:val="0"/>
                <w:sz w:val="22"/>
                <w:szCs w:val="22"/>
              </w:rPr>
            </w:pPr>
            <w:r w:rsidRPr="00AF5086">
              <w:rPr>
                <w:kern w:val="0"/>
                <w:sz w:val="22"/>
                <w:szCs w:val="22"/>
              </w:rPr>
              <w:t>–</w:t>
            </w:r>
          </w:p>
        </w:tc>
        <w:tc>
          <w:tcPr>
            <w:tcW w:w="990" w:type="dxa"/>
            <w:gridSpan w:val="2"/>
            <w:tcBorders>
              <w:left w:val="single" w:sz="4" w:space="0" w:color="auto"/>
              <w:bottom w:val="dotted" w:sz="2" w:space="0" w:color="auto"/>
              <w:right w:val="dotted" w:sz="2" w:space="0" w:color="auto"/>
            </w:tcBorders>
            <w:vAlign w:val="center"/>
          </w:tcPr>
          <w:p w14:paraId="18F25C5B"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left w:val="dotted" w:sz="2" w:space="0" w:color="auto"/>
              <w:bottom w:val="dotted" w:sz="2" w:space="0" w:color="auto"/>
            </w:tcBorders>
            <w:vAlign w:val="center"/>
          </w:tcPr>
          <w:p w14:paraId="24CDBD97" w14:textId="77777777" w:rsidR="00AF5086" w:rsidRPr="00AF5086" w:rsidRDefault="00AF5086" w:rsidP="00975226">
            <w:pPr>
              <w:pStyle w:val="Tabletext0"/>
              <w:jc w:val="center"/>
              <w:rPr>
                <w:kern w:val="0"/>
                <w:sz w:val="22"/>
                <w:szCs w:val="22"/>
              </w:rPr>
            </w:pPr>
            <w:r w:rsidRPr="00AF5086">
              <w:rPr>
                <w:kern w:val="0"/>
                <w:sz w:val="22"/>
                <w:szCs w:val="22"/>
              </w:rPr>
              <w:t>–</w:t>
            </w:r>
          </w:p>
        </w:tc>
      </w:tr>
      <w:tr w:rsidR="00AF5086" w:rsidRPr="00AF5086" w14:paraId="20437614" w14:textId="77777777" w:rsidTr="004A1431">
        <w:trPr>
          <w:gridAfter w:val="1"/>
          <w:wAfter w:w="11" w:type="dxa"/>
          <w:trHeight w:val="103"/>
          <w:jc w:val="center"/>
        </w:trPr>
        <w:tc>
          <w:tcPr>
            <w:tcW w:w="1430" w:type="dxa"/>
            <w:vMerge/>
          </w:tcPr>
          <w:p w14:paraId="071122A9" w14:textId="77777777" w:rsidR="00AF5086" w:rsidRPr="00AF5086" w:rsidRDefault="00AF5086" w:rsidP="00975226">
            <w:pPr>
              <w:pStyle w:val="Tabletext0"/>
              <w:rPr>
                <w:kern w:val="0"/>
                <w:sz w:val="22"/>
                <w:szCs w:val="22"/>
              </w:rPr>
            </w:pPr>
          </w:p>
        </w:tc>
        <w:tc>
          <w:tcPr>
            <w:tcW w:w="3523" w:type="dxa"/>
            <w:tcBorders>
              <w:top w:val="dotted" w:sz="2" w:space="0" w:color="auto"/>
              <w:bottom w:val="dotted" w:sz="2" w:space="0" w:color="auto"/>
              <w:right w:val="single" w:sz="4" w:space="0" w:color="auto"/>
            </w:tcBorders>
          </w:tcPr>
          <w:p w14:paraId="376B62E5" w14:textId="77777777" w:rsidR="00AF5086" w:rsidRPr="00AF5086" w:rsidRDefault="00AF5086" w:rsidP="00975226">
            <w:pPr>
              <w:pStyle w:val="Tabletext0"/>
              <w:rPr>
                <w:kern w:val="0"/>
                <w:sz w:val="22"/>
                <w:szCs w:val="22"/>
              </w:rPr>
            </w:pPr>
            <w:r w:rsidRPr="00AF5086">
              <w:rPr>
                <w:kern w:val="0"/>
                <w:sz w:val="22"/>
                <w:szCs w:val="22"/>
              </w:rPr>
              <w:t>Clinical significance of gadolinium accumulation and retention in organs and tissues other than brain tissues</w:t>
            </w:r>
          </w:p>
        </w:tc>
        <w:tc>
          <w:tcPr>
            <w:tcW w:w="1080" w:type="dxa"/>
            <w:gridSpan w:val="2"/>
            <w:tcBorders>
              <w:top w:val="dotted" w:sz="2" w:space="0" w:color="auto"/>
              <w:left w:val="single" w:sz="4" w:space="0" w:color="auto"/>
              <w:bottom w:val="dotted" w:sz="2" w:space="0" w:color="auto"/>
              <w:right w:val="dotted" w:sz="2" w:space="0" w:color="auto"/>
            </w:tcBorders>
            <w:vAlign w:val="center"/>
          </w:tcPr>
          <w:p w14:paraId="2DBDB931"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top w:val="dotted" w:sz="2" w:space="0" w:color="auto"/>
              <w:left w:val="dotted" w:sz="2" w:space="0" w:color="auto"/>
              <w:bottom w:val="dotted" w:sz="2" w:space="0" w:color="auto"/>
            </w:tcBorders>
            <w:vAlign w:val="center"/>
          </w:tcPr>
          <w:p w14:paraId="62766A03"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vertAlign w:val="superscript"/>
              </w:rPr>
              <w:t>#</w:t>
            </w:r>
          </w:p>
        </w:tc>
        <w:tc>
          <w:tcPr>
            <w:tcW w:w="990" w:type="dxa"/>
            <w:gridSpan w:val="2"/>
            <w:tcBorders>
              <w:top w:val="dotted" w:sz="2" w:space="0" w:color="auto"/>
              <w:left w:val="single" w:sz="4" w:space="0" w:color="auto"/>
              <w:bottom w:val="dotted" w:sz="2" w:space="0" w:color="auto"/>
              <w:right w:val="dotted" w:sz="2" w:space="0" w:color="auto"/>
            </w:tcBorders>
            <w:vAlign w:val="center"/>
          </w:tcPr>
          <w:p w14:paraId="73CDCD6D"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top w:val="dotted" w:sz="2" w:space="0" w:color="auto"/>
              <w:left w:val="dotted" w:sz="2" w:space="0" w:color="auto"/>
              <w:bottom w:val="dotted" w:sz="2" w:space="0" w:color="auto"/>
            </w:tcBorders>
            <w:vAlign w:val="center"/>
          </w:tcPr>
          <w:p w14:paraId="394ED4B8" w14:textId="77777777" w:rsidR="00AF5086" w:rsidRPr="00AF5086" w:rsidRDefault="00AF5086" w:rsidP="00975226">
            <w:pPr>
              <w:pStyle w:val="Tabletext0"/>
              <w:jc w:val="center"/>
              <w:rPr>
                <w:kern w:val="0"/>
                <w:sz w:val="22"/>
                <w:szCs w:val="22"/>
              </w:rPr>
            </w:pPr>
            <w:r w:rsidRPr="00AF5086">
              <w:rPr>
                <w:kern w:val="0"/>
                <w:sz w:val="22"/>
                <w:szCs w:val="22"/>
              </w:rPr>
              <w:t>–</w:t>
            </w:r>
          </w:p>
        </w:tc>
      </w:tr>
      <w:tr w:rsidR="00AF5086" w:rsidRPr="00AF5086" w14:paraId="4A270F39" w14:textId="77777777" w:rsidTr="004A1431">
        <w:trPr>
          <w:gridAfter w:val="1"/>
          <w:wAfter w:w="11" w:type="dxa"/>
          <w:trHeight w:val="140"/>
          <w:jc w:val="center"/>
        </w:trPr>
        <w:tc>
          <w:tcPr>
            <w:tcW w:w="1430" w:type="dxa"/>
            <w:vMerge/>
          </w:tcPr>
          <w:p w14:paraId="5715B1EF" w14:textId="77777777" w:rsidR="00AF5086" w:rsidRPr="00AF5086" w:rsidRDefault="00AF5086" w:rsidP="00975226">
            <w:pPr>
              <w:pStyle w:val="Tabletext0"/>
              <w:rPr>
                <w:kern w:val="0"/>
                <w:sz w:val="22"/>
                <w:szCs w:val="22"/>
              </w:rPr>
            </w:pPr>
          </w:p>
        </w:tc>
        <w:tc>
          <w:tcPr>
            <w:tcW w:w="3523" w:type="dxa"/>
            <w:tcBorders>
              <w:top w:val="dotted" w:sz="2" w:space="0" w:color="auto"/>
              <w:right w:val="single" w:sz="4" w:space="0" w:color="auto"/>
            </w:tcBorders>
          </w:tcPr>
          <w:p w14:paraId="76580167" w14:textId="77777777" w:rsidR="00AF5086" w:rsidRPr="00AF5086" w:rsidRDefault="00AF5086" w:rsidP="00975226">
            <w:pPr>
              <w:pStyle w:val="Tabletext0"/>
              <w:rPr>
                <w:kern w:val="0"/>
                <w:sz w:val="22"/>
                <w:szCs w:val="22"/>
              </w:rPr>
            </w:pPr>
            <w:r w:rsidRPr="00AF5086">
              <w:rPr>
                <w:kern w:val="0"/>
                <w:sz w:val="22"/>
                <w:szCs w:val="22"/>
              </w:rPr>
              <w:t>Clinical significance of gadolinium accumulation and retention in the brain</w:t>
            </w:r>
          </w:p>
        </w:tc>
        <w:tc>
          <w:tcPr>
            <w:tcW w:w="1080" w:type="dxa"/>
            <w:gridSpan w:val="2"/>
            <w:tcBorders>
              <w:top w:val="dotted" w:sz="2" w:space="0" w:color="auto"/>
              <w:left w:val="single" w:sz="4" w:space="0" w:color="auto"/>
              <w:right w:val="dotted" w:sz="2" w:space="0" w:color="auto"/>
            </w:tcBorders>
            <w:vAlign w:val="center"/>
          </w:tcPr>
          <w:p w14:paraId="293AB59E"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rPr>
              <w:t>*</w:t>
            </w:r>
          </w:p>
        </w:tc>
        <w:tc>
          <w:tcPr>
            <w:tcW w:w="1170" w:type="dxa"/>
            <w:gridSpan w:val="2"/>
            <w:tcBorders>
              <w:top w:val="dotted" w:sz="2" w:space="0" w:color="auto"/>
              <w:left w:val="dotted" w:sz="2" w:space="0" w:color="auto"/>
            </w:tcBorders>
            <w:vAlign w:val="center"/>
          </w:tcPr>
          <w:p w14:paraId="4C564923"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r w:rsidRPr="00AF5086">
              <w:rPr>
                <w:rFonts w:eastAsia="Cambria"/>
                <w:kern w:val="0"/>
                <w:sz w:val="22"/>
                <w:szCs w:val="22"/>
                <w:vertAlign w:val="superscript"/>
              </w:rPr>
              <w:t>#</w:t>
            </w:r>
          </w:p>
        </w:tc>
        <w:tc>
          <w:tcPr>
            <w:tcW w:w="990" w:type="dxa"/>
            <w:gridSpan w:val="2"/>
            <w:tcBorders>
              <w:top w:val="dotted" w:sz="2" w:space="0" w:color="auto"/>
              <w:left w:val="single" w:sz="4" w:space="0" w:color="auto"/>
              <w:right w:val="dotted" w:sz="2" w:space="0" w:color="auto"/>
            </w:tcBorders>
            <w:vAlign w:val="center"/>
          </w:tcPr>
          <w:p w14:paraId="25409C48" w14:textId="77777777" w:rsidR="00AF5086" w:rsidRPr="00AF5086" w:rsidRDefault="00AF5086" w:rsidP="00975226">
            <w:pPr>
              <w:pStyle w:val="Tabletext0"/>
              <w:jc w:val="center"/>
              <w:rPr>
                <w:kern w:val="0"/>
                <w:sz w:val="22"/>
                <w:szCs w:val="22"/>
              </w:rPr>
            </w:pPr>
            <w:r w:rsidRPr="00AF5086">
              <w:rPr>
                <w:rFonts w:eastAsia="Cambria"/>
                <w:kern w:val="0"/>
                <w:sz w:val="22"/>
                <w:szCs w:val="22"/>
              </w:rPr>
              <w:sym w:font="Wingdings" w:char="F0FC"/>
            </w:r>
          </w:p>
        </w:tc>
        <w:tc>
          <w:tcPr>
            <w:tcW w:w="1260" w:type="dxa"/>
            <w:gridSpan w:val="2"/>
            <w:tcBorders>
              <w:top w:val="dotted" w:sz="2" w:space="0" w:color="auto"/>
              <w:left w:val="dotted" w:sz="2" w:space="0" w:color="auto"/>
            </w:tcBorders>
            <w:vAlign w:val="center"/>
          </w:tcPr>
          <w:p w14:paraId="3AB84475" w14:textId="77777777" w:rsidR="00AF5086" w:rsidRPr="00AF5086" w:rsidRDefault="00AF5086" w:rsidP="00975226">
            <w:pPr>
              <w:pStyle w:val="Tabletext0"/>
              <w:jc w:val="center"/>
              <w:rPr>
                <w:kern w:val="0"/>
                <w:sz w:val="22"/>
                <w:szCs w:val="22"/>
              </w:rPr>
            </w:pPr>
            <w:r w:rsidRPr="00AF5086">
              <w:rPr>
                <w:kern w:val="0"/>
                <w:sz w:val="22"/>
                <w:szCs w:val="22"/>
              </w:rPr>
              <w:t>–</w:t>
            </w:r>
          </w:p>
        </w:tc>
      </w:tr>
    </w:tbl>
    <w:p w14:paraId="36990171" w14:textId="77777777" w:rsidR="004A1431" w:rsidRPr="00FB26D0" w:rsidRDefault="004A1431" w:rsidP="00FB26D0">
      <w:pPr>
        <w:pStyle w:val="TableDescription"/>
      </w:pPr>
      <w:r w:rsidRPr="00FB26D0">
        <w:t>*Follow-up forms</w:t>
      </w:r>
    </w:p>
    <w:p w14:paraId="08769CCC" w14:textId="26D927FD" w:rsidR="00AF5086" w:rsidRPr="00FB26D0" w:rsidRDefault="004A1431" w:rsidP="00FB26D0">
      <w:pPr>
        <w:pStyle w:val="TableDescription"/>
      </w:pPr>
      <w:r w:rsidRPr="00FB26D0">
        <w:t>#Preclinical and clinical studies</w:t>
      </w:r>
    </w:p>
    <w:p w14:paraId="74A4F87F" w14:textId="77777777" w:rsidR="00C22214" w:rsidRPr="00FB26D0" w:rsidRDefault="00C22214" w:rsidP="00FB26D0">
      <w:pPr>
        <w:pStyle w:val="Heading3"/>
      </w:pPr>
      <w:bookmarkStart w:id="45" w:name="_Toc103679299"/>
      <w:bookmarkStart w:id="46" w:name="_Toc206677115"/>
      <w:r>
        <w:t>Risk-benefit analysis</w:t>
      </w:r>
      <w:bookmarkEnd w:id="42"/>
      <w:bookmarkEnd w:id="43"/>
      <w:bookmarkEnd w:id="45"/>
      <w:bookmarkEnd w:id="46"/>
    </w:p>
    <w:p w14:paraId="1DF535CE" w14:textId="3041EA43" w:rsidR="007479DC" w:rsidRDefault="007479DC" w:rsidP="007479DC">
      <w:r>
        <w:t xml:space="preserve">The submitted studies demonstrate that </w:t>
      </w:r>
      <w:r w:rsidR="00A0048C">
        <w:t>gadopiclenol</w:t>
      </w:r>
      <w:r>
        <w:t xml:space="preserve"> is a potential useful contrast agent for use in MRI scanning. It has the theoretical advantage of higher </w:t>
      </w:r>
      <w:r w:rsidR="003B73E7">
        <w:t xml:space="preserve">relaxivity </w:t>
      </w:r>
      <w:r>
        <w:t xml:space="preserve"> over existing GBCAs due to more water being retained by the cyclic carrier molecule. Efficacy and safety </w:t>
      </w:r>
      <w:r w:rsidR="00010093">
        <w:t xml:space="preserve">have </w:t>
      </w:r>
      <w:r>
        <w:t xml:space="preserve">been directly examined for imaging CNS and somatic lesions, which were predominantly tumours of various sorts. The Delegate feels this is appropriate within the indications proposed by the Sponsor. There is no direct demonstration of </w:t>
      </w:r>
      <w:r w:rsidR="00573F6B">
        <w:t>gadopiclenol</w:t>
      </w:r>
      <w:r w:rsidR="00163242">
        <w:t>’s</w:t>
      </w:r>
      <w:r>
        <w:t xml:space="preserve"> comparative performance in broader imaging tasks.</w:t>
      </w:r>
    </w:p>
    <w:p w14:paraId="631DD4CE" w14:textId="3B81FFE2" w:rsidR="007479DC" w:rsidRDefault="007479DC" w:rsidP="007479DC">
      <w:r>
        <w:t xml:space="preserve">The proposed dose contains less gadolinium than the comparator GBCA, gadobutrol. The Delegate notes that the dose finding studies may suggest this is not the optimal dose of </w:t>
      </w:r>
      <w:r w:rsidR="00163242">
        <w:t>gadobutrol</w:t>
      </w:r>
      <w:r>
        <w:t xml:space="preserve"> for imaging performance, but acknowledges that sparing gadolinium </w:t>
      </w:r>
      <w:r w:rsidR="00DA4ED5">
        <w:t xml:space="preserve">exposure </w:t>
      </w:r>
      <w:r>
        <w:t xml:space="preserve">is also an important clinical consideration. The safety profile of </w:t>
      </w:r>
      <w:r w:rsidR="00A0048C">
        <w:t>gadopiclenol</w:t>
      </w:r>
      <w:r>
        <w:t xml:space="preserve"> appears very similar to other </w:t>
      </w:r>
      <w:r w:rsidR="005630D6">
        <w:t xml:space="preserve">macrocyclic </w:t>
      </w:r>
      <w:r>
        <w:t xml:space="preserve">GBCA’s in clinical studies. As expected given the condition’s rarity, there was no direct evidence of a reduced rate of NSF with </w:t>
      </w:r>
      <w:r w:rsidR="00A0048C">
        <w:t>gadopiclenol</w:t>
      </w:r>
      <w:r>
        <w:t>.</w:t>
      </w:r>
    </w:p>
    <w:p w14:paraId="345351F7" w14:textId="07F83542" w:rsidR="007479DC" w:rsidRPr="007479DC" w:rsidRDefault="007479DC" w:rsidP="007479DC">
      <w:r>
        <w:lastRenderedPageBreak/>
        <w:t xml:space="preserve">The Delegate notes that while </w:t>
      </w:r>
      <w:r w:rsidR="00A0048C">
        <w:t>gadopiclenol</w:t>
      </w:r>
      <w:r>
        <w:t xml:space="preserve"> enhanced images had a high rate of diagnostic concordance with </w:t>
      </w:r>
      <w:r w:rsidR="00560867">
        <w:t xml:space="preserve">gadobutrol </w:t>
      </w:r>
      <w:r>
        <w:t xml:space="preserve">enhanced images, particularly in post-hoc examination conducted on pooled data from the pivotal studies, the rate of discordance was still significant. This included lesions detected with gadobutrol but not with </w:t>
      </w:r>
      <w:r w:rsidR="00A0048C">
        <w:t>gadopiclenol</w:t>
      </w:r>
      <w:r>
        <w:t xml:space="preserve"> and vice versa. The Delegate has concluded (and the FDA and EMA reports both noted) that this is unavoidable in assessing a contrast agent since there is no ‘absolute truth’ in the trial design. What can be concluded is that </w:t>
      </w:r>
      <w:r w:rsidR="00A0048C">
        <w:t>gadopiclenol</w:t>
      </w:r>
      <w:r>
        <w:t xml:space="preserve"> is as good as the existing standard, and the rate at which lesions are misidentified by the existing standard is not objectively known. </w:t>
      </w:r>
      <w:r w:rsidR="00163242">
        <w:t>However,</w:t>
      </w:r>
      <w:r>
        <w:t xml:space="preserve"> the Sponsor has made an effort to clarify the rate at which discordant reading of images was likely to be clinically relevant, and in the majority of cases it appears that the differences were not likely to change patient management or diagnosis.</w:t>
      </w:r>
    </w:p>
    <w:p w14:paraId="318CFABC" w14:textId="77777777" w:rsidR="00C22214" w:rsidRPr="00FB26D0" w:rsidRDefault="00C22214" w:rsidP="00FB26D0">
      <w:pPr>
        <w:pStyle w:val="Heading4"/>
      </w:pPr>
      <w:bookmarkStart w:id="47" w:name="_Toc98931936"/>
      <w:bookmarkStart w:id="48" w:name="_Toc206677116"/>
      <w:bookmarkStart w:id="49" w:name="_Toc247691532"/>
      <w:bookmarkStart w:id="50" w:name="_Toc314842516"/>
      <w:r w:rsidRPr="00F73346">
        <w:t>Advisory Committee considerations</w:t>
      </w:r>
      <w:bookmarkEnd w:id="47"/>
      <w:bookmarkEnd w:id="48"/>
    </w:p>
    <w:p w14:paraId="087BB9CB" w14:textId="3166D2A9" w:rsidR="00C22214" w:rsidRDefault="00C22214" w:rsidP="00C22214">
      <w:pPr>
        <w:rPr>
          <w:bCs/>
          <w:szCs w:val="22"/>
        </w:rPr>
      </w:pPr>
      <w:r w:rsidRPr="00BD5DBD">
        <w:rPr>
          <w:bCs/>
          <w:szCs w:val="22"/>
        </w:rPr>
        <w:t xml:space="preserve">The </w:t>
      </w:r>
      <w:hyperlink r:id="rId4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r w:rsidR="000A78E8">
        <w:rPr>
          <w:bCs/>
          <w:szCs w:val="22"/>
        </w:rPr>
        <w:t>:</w:t>
      </w:r>
    </w:p>
    <w:p w14:paraId="3DD1D8C8" w14:textId="5B007A43" w:rsidR="00AA4290" w:rsidRPr="00AA4290" w:rsidRDefault="00AA4290" w:rsidP="00AA4290">
      <w:pPr>
        <w:rPr>
          <w:b/>
          <w:bCs/>
          <w:i/>
          <w:iCs/>
        </w:rPr>
      </w:pPr>
      <w:r w:rsidRPr="00AA4290">
        <w:rPr>
          <w:b/>
          <w:bCs/>
          <w:i/>
          <w:iCs/>
        </w:rPr>
        <w:t>Is the gadopiclenol imaging as demonstrated in the clinical trials sufficient compared to existing agents?</w:t>
      </w:r>
    </w:p>
    <w:p w14:paraId="36764075" w14:textId="77777777" w:rsidR="00AA4290" w:rsidRPr="00AA4290" w:rsidRDefault="00AA4290" w:rsidP="00AA4290">
      <w:pPr>
        <w:rPr>
          <w:bCs/>
          <w:szCs w:val="22"/>
        </w:rPr>
      </w:pPr>
      <w:r w:rsidRPr="00AA4290">
        <w:rPr>
          <w:bCs/>
          <w:szCs w:val="22"/>
        </w:rPr>
        <w:t>The ACM discussed whether the 0.35 non-inferiority margin was appropriate, noting that while the FDA had questioned the clinical significance of this target on a 4-point scale, the EMA considered this acceptable. The ACM noted the subjective nature of the target margin and advised that a smaller noninferiority margin would require larger numbers of observations. Additionally, the ACM noted that achieving an exact equivalence margin would theoretically require an infinite sample size.</w:t>
      </w:r>
    </w:p>
    <w:p w14:paraId="71938D23" w14:textId="77777777" w:rsidR="00AA4290" w:rsidRPr="00AA4290" w:rsidRDefault="00AA4290" w:rsidP="00AA4290">
      <w:pPr>
        <w:rPr>
          <w:bCs/>
          <w:szCs w:val="22"/>
        </w:rPr>
      </w:pPr>
      <w:r w:rsidRPr="00AA4290">
        <w:rPr>
          <w:bCs/>
          <w:szCs w:val="22"/>
        </w:rPr>
        <w:t>The ACM noted that additional lesion detectability analysis by both the FDA and EMA showed an increased number of lesions with gadopiclenol in most patients. Notably, only one patient was identified where clinical management could potentially be impacted by the failure to detect a lesion.</w:t>
      </w:r>
    </w:p>
    <w:p w14:paraId="449A603D" w14:textId="77777777" w:rsidR="00AA4290" w:rsidRPr="00AA4290" w:rsidRDefault="00AA4290" w:rsidP="00AA4290">
      <w:pPr>
        <w:rPr>
          <w:bCs/>
          <w:szCs w:val="22"/>
        </w:rPr>
      </w:pPr>
      <w:r w:rsidRPr="00AA4290">
        <w:rPr>
          <w:bCs/>
          <w:szCs w:val="22"/>
        </w:rPr>
        <w:t>The ACM considered the potential for discordance in the clinical study data, advising that discrepancies can arise due to the very small size of lesions and the imaging techniques used. The ACM also advised that it is a common phenomenon for 1-2 mm nodules, which may be clinically significant, to result in inconsistencies in the data.</w:t>
      </w:r>
    </w:p>
    <w:p w14:paraId="716AECFB" w14:textId="77777777" w:rsidR="00AA4290" w:rsidRPr="00AA4290" w:rsidRDefault="00AA4290" w:rsidP="00AA4290">
      <w:pPr>
        <w:rPr>
          <w:bCs/>
          <w:szCs w:val="22"/>
        </w:rPr>
      </w:pPr>
      <w:r w:rsidRPr="00AA4290">
        <w:rPr>
          <w:bCs/>
          <w:szCs w:val="22"/>
        </w:rPr>
        <w:t>Additionally, the ACM considered the potential limitations of the patient groups included in the pivotal phase III studies. The ACM noted that both studies primarily included patients with neoplasms, and study GDX-44-010 excluded patients with multiple sclerosis (MS). The ACM advised that the crossover design of study GDX-44-010 and study GDX-44-011 required patients with a high likelihood of lesions that exhibit relatively stable enhancement over time. The ACM also advised that CNS contrast studies typically include patients with neoplasms due to challenges identifying patients with a high yield of enhancing inflammatory lesions.</w:t>
      </w:r>
    </w:p>
    <w:p w14:paraId="2E125DCF" w14:textId="77777777" w:rsidR="00AA4290" w:rsidRPr="00AA4290" w:rsidRDefault="00AA4290" w:rsidP="00AA4290">
      <w:pPr>
        <w:rPr>
          <w:bCs/>
          <w:szCs w:val="22"/>
        </w:rPr>
      </w:pPr>
      <w:r w:rsidRPr="00AA4290">
        <w:rPr>
          <w:bCs/>
          <w:szCs w:val="22"/>
        </w:rPr>
        <w:t>Additionally, the ACM advised that MS patients were likely excluded from GDX-44-010 due to their younger age and the higher likelihood of requiring more contrast investigations, which increases their risk of over exposure.</w:t>
      </w:r>
    </w:p>
    <w:p w14:paraId="11A59529" w14:textId="2AFDBB42" w:rsidR="00AA4290" w:rsidRPr="00AA4290" w:rsidRDefault="00AA4290" w:rsidP="00AA4290">
      <w:pPr>
        <w:rPr>
          <w:bCs/>
          <w:szCs w:val="22"/>
        </w:rPr>
      </w:pPr>
      <w:r w:rsidRPr="00AA4290">
        <w:rPr>
          <w:bCs/>
          <w:szCs w:val="22"/>
        </w:rPr>
        <w:t xml:space="preserve">The ACM advised that the evidence presented sufficiently demonstrates that </w:t>
      </w:r>
      <w:r w:rsidR="00163242" w:rsidRPr="00AA4290">
        <w:rPr>
          <w:bCs/>
          <w:szCs w:val="22"/>
        </w:rPr>
        <w:t>gadopiclenol</w:t>
      </w:r>
      <w:r w:rsidRPr="00AA4290">
        <w:rPr>
          <w:bCs/>
          <w:szCs w:val="22"/>
        </w:rPr>
        <w:t xml:space="preserve"> performance is comparable to existing GBCAs, at </w:t>
      </w:r>
      <w:r w:rsidR="004751B4">
        <w:rPr>
          <w:bCs/>
          <w:szCs w:val="22"/>
        </w:rPr>
        <w:t>half-</w:t>
      </w:r>
      <w:r w:rsidRPr="00AA4290">
        <w:rPr>
          <w:bCs/>
          <w:szCs w:val="22"/>
        </w:rPr>
        <w:t>dose. The ACM noted that gadopiclenol's high relaxivity accounts for its efficacy at a lower dose compared to other GBCAs.</w:t>
      </w:r>
    </w:p>
    <w:p w14:paraId="1F1A83E1" w14:textId="1A22E2A5" w:rsidR="00AA4290" w:rsidRPr="00AA4290" w:rsidRDefault="00AA4290" w:rsidP="00AA4290">
      <w:pPr>
        <w:rPr>
          <w:bCs/>
          <w:szCs w:val="22"/>
        </w:rPr>
      </w:pPr>
      <w:r w:rsidRPr="00AA4290">
        <w:rPr>
          <w:bCs/>
          <w:szCs w:val="22"/>
        </w:rPr>
        <w:t xml:space="preserve">The ACM was of the view that the lower dose of gadopiclenol is beneficial from risk management/toxicological and environmental perspectives. The ACM acknowledged concerns </w:t>
      </w:r>
      <w:r w:rsidRPr="00AA4290">
        <w:rPr>
          <w:bCs/>
          <w:szCs w:val="22"/>
        </w:rPr>
        <w:lastRenderedPageBreak/>
        <w:t>regarding gadolinium accumulation in the environmental water cycle, where it is not</w:t>
      </w:r>
      <w:r>
        <w:rPr>
          <w:bCs/>
          <w:szCs w:val="22"/>
        </w:rPr>
        <w:t xml:space="preserve"> </w:t>
      </w:r>
      <w:r w:rsidRPr="00AA4290">
        <w:rPr>
          <w:bCs/>
          <w:szCs w:val="22"/>
        </w:rPr>
        <w:t>naturally found. The ACM agreed that less gadopiclenol accumulating in the water supply is an important environmental consideration.</w:t>
      </w:r>
    </w:p>
    <w:p w14:paraId="1DBFE299" w14:textId="717F7E4E" w:rsidR="00AA4290" w:rsidRPr="00AA4290" w:rsidRDefault="00AA4290" w:rsidP="00AA4290">
      <w:pPr>
        <w:rPr>
          <w:bCs/>
          <w:szCs w:val="22"/>
        </w:rPr>
      </w:pPr>
      <w:r w:rsidRPr="00AA4290">
        <w:rPr>
          <w:bCs/>
          <w:szCs w:val="22"/>
        </w:rPr>
        <w:t>The ACM advised that the sponsor’s proposed wording of the indication appears appropriate and is similar to the US FDA-approved indication.</w:t>
      </w:r>
    </w:p>
    <w:p w14:paraId="6564D009" w14:textId="77777777" w:rsidR="00AA4290" w:rsidRPr="00FB26D0" w:rsidRDefault="00AA4290" w:rsidP="00FB26D0">
      <w:pPr>
        <w:pStyle w:val="Heading5"/>
      </w:pPr>
      <w:r w:rsidRPr="00AA4290">
        <w:t>ACM conclusion</w:t>
      </w:r>
    </w:p>
    <w:p w14:paraId="678DDBE8" w14:textId="77777777" w:rsidR="00AA4290" w:rsidRPr="00AA4290" w:rsidRDefault="00AA4290" w:rsidP="00AA4290">
      <w:pPr>
        <w:rPr>
          <w:bCs/>
          <w:szCs w:val="22"/>
        </w:rPr>
      </w:pPr>
      <w:r w:rsidRPr="00AA4290">
        <w:rPr>
          <w:bCs/>
          <w:szCs w:val="22"/>
        </w:rPr>
        <w:t>The ACM considered this product to have an overall positive benefit-risk profile for the indication:</w:t>
      </w:r>
    </w:p>
    <w:p w14:paraId="483A5009" w14:textId="77777777" w:rsidR="00AA4290" w:rsidRPr="00FB26D0" w:rsidRDefault="00AA4290" w:rsidP="00FB26D0">
      <w:pPr>
        <w:ind w:left="720"/>
        <w:rPr>
          <w:i/>
          <w:iCs/>
        </w:rPr>
      </w:pPr>
      <w:r w:rsidRPr="00FB26D0">
        <w:rPr>
          <w:i/>
          <w:iCs/>
        </w:rPr>
        <w:t>This medicinal product is for diagnostic use only.</w:t>
      </w:r>
    </w:p>
    <w:p w14:paraId="538109C9" w14:textId="77777777" w:rsidR="00FB26D0" w:rsidRPr="00FB26D0" w:rsidRDefault="00C9665E" w:rsidP="00FB26D0">
      <w:pPr>
        <w:ind w:left="720"/>
        <w:rPr>
          <w:i/>
          <w:iCs/>
        </w:rPr>
      </w:pPr>
      <w:r w:rsidRPr="00FB26D0">
        <w:rPr>
          <w:i/>
          <w:iCs/>
        </w:rPr>
        <w:t>Elucirem</w:t>
      </w:r>
      <w:r w:rsidR="00AA4290" w:rsidRPr="00FB26D0">
        <w:rPr>
          <w:i/>
          <w:iCs/>
        </w:rPr>
        <w:t>/</w:t>
      </w:r>
      <w:r w:rsidRPr="00FB26D0">
        <w:rPr>
          <w:i/>
          <w:iCs/>
        </w:rPr>
        <w:t>Vueway</w:t>
      </w:r>
      <w:r w:rsidR="00AA4290" w:rsidRPr="00FB26D0">
        <w:rPr>
          <w:i/>
          <w:iCs/>
        </w:rPr>
        <w:t xml:space="preserve"> (gadopiclenol) is indicated in adults and children aged 2 years and older for contrast-enhanced magnetic resonance imaging (MRI) to detect and visualise lesions with abnormal blood brain barrier or abnormal vascularity in:</w:t>
      </w:r>
    </w:p>
    <w:p w14:paraId="46BD9F07" w14:textId="77777777" w:rsidR="00FB26D0" w:rsidRPr="00FB26D0" w:rsidRDefault="00AA4290" w:rsidP="00FB26D0">
      <w:pPr>
        <w:pStyle w:val="ListBullet2"/>
        <w:ind w:left="1570"/>
        <w:rPr>
          <w:i/>
          <w:iCs/>
        </w:rPr>
      </w:pPr>
      <w:r w:rsidRPr="00FB26D0">
        <w:rPr>
          <w:i/>
          <w:iCs/>
        </w:rPr>
        <w:t>the central nervous system (brain, spine, and associated tissues);</w:t>
      </w:r>
    </w:p>
    <w:p w14:paraId="429CA65B" w14:textId="0897E876" w:rsidR="00AA4290" w:rsidRPr="00FB26D0" w:rsidRDefault="00AA4290" w:rsidP="00FB26D0">
      <w:pPr>
        <w:pStyle w:val="ListBullet2"/>
        <w:ind w:left="1570"/>
        <w:rPr>
          <w:i/>
          <w:iCs/>
        </w:rPr>
      </w:pPr>
      <w:r w:rsidRPr="00FB26D0">
        <w:rPr>
          <w:i/>
          <w:iCs/>
        </w:rPr>
        <w:t>the body.</w:t>
      </w:r>
    </w:p>
    <w:p w14:paraId="307F236C" w14:textId="5BA0D35D" w:rsidR="00C22214" w:rsidRPr="00FB26D0" w:rsidRDefault="0046285C" w:rsidP="00FB26D0">
      <w:pPr>
        <w:pStyle w:val="Heading2"/>
      </w:pPr>
      <w:bookmarkStart w:id="51" w:name="_Toc103679300"/>
      <w:bookmarkStart w:id="52" w:name="_Toc206677117"/>
      <w:r>
        <w:t>Assessment</w:t>
      </w:r>
      <w:r w:rsidR="00190853">
        <w:t xml:space="preserve"> </w:t>
      </w:r>
      <w:r>
        <w:t>o</w:t>
      </w:r>
      <w:r w:rsidR="00C22214">
        <w:t>utcome</w:t>
      </w:r>
      <w:bookmarkEnd w:id="49"/>
      <w:bookmarkEnd w:id="50"/>
      <w:bookmarkEnd w:id="51"/>
      <w:bookmarkEnd w:id="52"/>
    </w:p>
    <w:p w14:paraId="3AEF65FB" w14:textId="77777777" w:rsidR="00891653" w:rsidRDefault="00C22214" w:rsidP="00891653">
      <w:r w:rsidRPr="00891653">
        <w:t xml:space="preserve">Based on a review of quality, safety, and efficacy, the TGA </w:t>
      </w:r>
      <w:r w:rsidR="00B46DFB" w:rsidRPr="00891653">
        <w:t>decided to</w:t>
      </w:r>
      <w:r w:rsidRPr="00891653">
        <w:t xml:space="preserve"> regist</w:t>
      </w:r>
      <w:r w:rsidR="00B46DFB" w:rsidRPr="00891653">
        <w:t>er</w:t>
      </w:r>
      <w:r w:rsidRPr="00891653">
        <w:t xml:space="preserve"> </w:t>
      </w:r>
      <w:r w:rsidR="00C9665E" w:rsidRPr="00891653">
        <w:t>Elucirem</w:t>
      </w:r>
      <w:r w:rsidR="00AA3D01" w:rsidRPr="00891653">
        <w:t>/</w:t>
      </w:r>
      <w:r w:rsidR="00C9665E" w:rsidRPr="00891653">
        <w:t>Vueway</w:t>
      </w:r>
      <w:r w:rsidRPr="00891653">
        <w:t xml:space="preserve"> for the following indication</w:t>
      </w:r>
      <w:r w:rsidR="00D23D3E" w:rsidRPr="00891653">
        <w:t>:</w:t>
      </w:r>
    </w:p>
    <w:p w14:paraId="059AEEC2" w14:textId="38BCB819" w:rsidR="000A6F5A" w:rsidRPr="00891653" w:rsidRDefault="00C9665E" w:rsidP="00891653">
      <w:pPr>
        <w:ind w:left="720"/>
        <w:rPr>
          <w:i/>
          <w:iCs/>
        </w:rPr>
      </w:pPr>
      <w:r w:rsidRPr="00891653">
        <w:rPr>
          <w:i/>
          <w:iCs/>
        </w:rPr>
        <w:t>Elucirem</w:t>
      </w:r>
      <w:r w:rsidR="000A6F5A" w:rsidRPr="00891653">
        <w:rPr>
          <w:i/>
          <w:iCs/>
        </w:rPr>
        <w:t>/</w:t>
      </w:r>
      <w:r w:rsidRPr="00891653">
        <w:rPr>
          <w:i/>
          <w:iCs/>
        </w:rPr>
        <w:t>Vueway</w:t>
      </w:r>
      <w:r w:rsidR="000A6F5A" w:rsidRPr="00891653">
        <w:rPr>
          <w:i/>
          <w:iCs/>
        </w:rPr>
        <w:t xml:space="preserve"> (gadopiclenol) is indicated in adults and children aged 2 years and older for contrast-enhanced magnetic resonance imaging (MRI) to detect and visualise lesions with abnormal blood brain barrier or abnormal vascularity in:</w:t>
      </w:r>
    </w:p>
    <w:p w14:paraId="23C63CC7" w14:textId="1DE05662" w:rsidR="000A6F5A" w:rsidRPr="00891653" w:rsidRDefault="000A6F5A" w:rsidP="00891653">
      <w:pPr>
        <w:pStyle w:val="ListBullet2"/>
        <w:ind w:left="1275"/>
        <w:rPr>
          <w:i/>
          <w:iCs/>
        </w:rPr>
      </w:pPr>
      <w:r w:rsidRPr="00891653">
        <w:rPr>
          <w:i/>
          <w:iCs/>
        </w:rPr>
        <w:t>the central nervous system (brain, spine, and associated tissues);</w:t>
      </w:r>
    </w:p>
    <w:p w14:paraId="4EF22939" w14:textId="425EA1D4" w:rsidR="00C22214" w:rsidRPr="00891653" w:rsidRDefault="000A6F5A" w:rsidP="00891653">
      <w:pPr>
        <w:pStyle w:val="ListBullet2"/>
        <w:ind w:left="1275"/>
        <w:rPr>
          <w:i/>
          <w:iCs/>
        </w:rPr>
      </w:pPr>
      <w:r w:rsidRPr="00891653">
        <w:rPr>
          <w:i/>
          <w:iCs/>
        </w:rPr>
        <w:t>the body (head and neck, thorax, abdomen, pelvis and musculoskeletal system).</w:t>
      </w:r>
    </w:p>
    <w:p w14:paraId="5CB74664" w14:textId="77777777" w:rsidR="00F873AE" w:rsidRDefault="00854D98" w:rsidP="00891653">
      <w:pPr>
        <w:pStyle w:val="Heading3"/>
      </w:pPr>
      <w:bookmarkStart w:id="53" w:name="_Toc206677118"/>
      <w:bookmarkStart w:id="54" w:name="_Toc103679301"/>
      <w:r w:rsidRPr="00D23139">
        <w:t>Specific conditions of registration</w:t>
      </w:r>
      <w:bookmarkEnd w:id="53"/>
    </w:p>
    <w:p w14:paraId="04185FCF" w14:textId="23960C1A" w:rsidR="00F873AE" w:rsidRDefault="00C9665E" w:rsidP="00F873AE">
      <w:r>
        <w:t>Elucirem</w:t>
      </w:r>
      <w:r w:rsidR="00F873AE">
        <w:t>/</w:t>
      </w:r>
      <w:r>
        <w:t>Vueway</w:t>
      </w:r>
      <w:r w:rsidR="00F873AE">
        <w:t xml:space="preserve"> (gadopiclenol) is to be included in the Black Triangle Scheme. The PI and CMI for </w:t>
      </w:r>
      <w:r>
        <w:t>Elucirem</w:t>
      </w:r>
      <w:r w:rsidR="00F873AE">
        <w:t>/</w:t>
      </w:r>
      <w:r>
        <w:t>Vueway</w:t>
      </w:r>
      <w:r w:rsidR="00F873AE">
        <w:t xml:space="preserve"> must include the black triangle symbol and mandatory accompanying text for five years, which starts from the date of first supply of the product.</w:t>
      </w:r>
    </w:p>
    <w:p w14:paraId="0E81434E" w14:textId="129DF178" w:rsidR="00F873AE" w:rsidRDefault="00F873AE" w:rsidP="00F873AE">
      <w:r>
        <w:t>The Gadopiclenol (</w:t>
      </w:r>
      <w:r w:rsidR="00C9665E">
        <w:t>Elucirem</w:t>
      </w:r>
      <w:r>
        <w:t>/</w:t>
      </w:r>
      <w:r w:rsidR="00C9665E">
        <w:t>Vueway</w:t>
      </w:r>
      <w:r>
        <w:t>) EU-Risk Management Plan (RMP) (version 0.3, dated 19 April 2023; DLP 18 November 2021), with Australian Specific Annex (version 1.1, dated 23 October 2024), included with submission PM-2023-06087-1-2, and any subsequent revisions, as agreed with the TGA will be implemented in Australia.</w:t>
      </w:r>
    </w:p>
    <w:p w14:paraId="7255D285" w14:textId="174995DC" w:rsidR="00F873AE" w:rsidRDefault="00F873AE" w:rsidP="00F873AE">
      <w:r>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0D732DA4" w14:textId="183BB97A" w:rsidR="00854D98" w:rsidRPr="00D23139" w:rsidRDefault="00F873AE" w:rsidP="00F873AE">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bookmarkEnd w:id="54"/>
    </w:p>
    <w:p w14:paraId="0F9C1952" w14:textId="597561E2" w:rsidR="00BA657C" w:rsidRPr="00BA657C" w:rsidRDefault="00BA657C" w:rsidP="00891653">
      <w:pPr>
        <w:pStyle w:val="Heading2"/>
      </w:pPr>
      <w:bookmarkStart w:id="55" w:name="_Toc196738290"/>
      <w:bookmarkStart w:id="56" w:name="_Toc206677119"/>
      <w:r w:rsidRPr="00BA657C">
        <w:lastRenderedPageBreak/>
        <w:t>Product Information and Consumer Medicines Information</w:t>
      </w:r>
      <w:bookmarkEnd w:id="55"/>
      <w:bookmarkEnd w:id="56"/>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46"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7"/>
          <w:footerReference w:type="default" r:id="rId4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863263" w14:paraId="3C0C07BF" w14:textId="77777777" w:rsidTr="007452E8">
        <w:trPr>
          <w:trHeight w:hRule="exact" w:val="565"/>
          <w:jc w:val="center"/>
        </w:trPr>
        <w:tc>
          <w:tcPr>
            <w:tcW w:w="9145" w:type="dxa"/>
          </w:tcPr>
          <w:bookmarkEnd w:id="3"/>
          <w:bookmarkEnd w:id="4"/>
          <w:p w14:paraId="7E090B86" w14:textId="77777777" w:rsidR="00F02AEC" w:rsidRPr="00863263" w:rsidRDefault="00F02AEC" w:rsidP="007452E8">
            <w:pPr>
              <w:pStyle w:val="TGASignoff"/>
              <w:rPr>
                <w:rFonts w:cs="Arial"/>
              </w:rPr>
            </w:pPr>
            <w:r w:rsidRPr="00863263">
              <w:rPr>
                <w:rFonts w:cs="Arial"/>
              </w:rPr>
              <w:lastRenderedPageBreak/>
              <w:t>Therapeutic Goods Administration</w:t>
            </w:r>
          </w:p>
        </w:tc>
      </w:tr>
      <w:tr w:rsidR="00F02AEC" w:rsidRPr="00FF11DE" w14:paraId="70F47EA1" w14:textId="77777777" w:rsidTr="007452E8">
        <w:trPr>
          <w:trHeight w:val="963"/>
          <w:jc w:val="center"/>
        </w:trPr>
        <w:tc>
          <w:tcPr>
            <w:tcW w:w="9145" w:type="dxa"/>
            <w:tcMar>
              <w:top w:w="28" w:type="dxa"/>
            </w:tcMar>
          </w:tcPr>
          <w:p w14:paraId="3491EBCD" w14:textId="77777777" w:rsidR="00F02AEC" w:rsidRPr="00863263" w:rsidRDefault="00F02AEC" w:rsidP="007452E8">
            <w:pPr>
              <w:pStyle w:val="Address"/>
              <w:jc w:val="center"/>
              <w:rPr>
                <w:rFonts w:cs="Arial"/>
              </w:rPr>
            </w:pPr>
            <w:r w:rsidRPr="00863263">
              <w:rPr>
                <w:rFonts w:cs="Arial"/>
              </w:rPr>
              <w:t>PO Box 100 Woden ACT 2606 Australia</w:t>
            </w:r>
          </w:p>
          <w:p w14:paraId="5D0FE0E7" w14:textId="53CB9479" w:rsidR="00F02AEC" w:rsidRPr="00972C68" w:rsidRDefault="00F02AEC">
            <w:pPr>
              <w:pStyle w:val="Address"/>
              <w:jc w:val="center"/>
              <w:rPr>
                <w:rFonts w:cs="Arial"/>
                <w:sz w:val="22"/>
                <w:szCs w:val="22"/>
                <w:lang w:val="fr-FR"/>
              </w:rPr>
            </w:pPr>
            <w:r w:rsidRPr="00972C68">
              <w:rPr>
                <w:rFonts w:cs="Arial"/>
                <w:lang w:val="fr-FR"/>
              </w:rPr>
              <w:t xml:space="preserve">Email: </w:t>
            </w:r>
            <w:hyperlink r:id="rId49" w:history="1">
              <w:r w:rsidRPr="00972C68">
                <w:rPr>
                  <w:rStyle w:val="Hyperlink"/>
                  <w:rFonts w:ascii="Arial" w:hAnsi="Arial" w:cs="Arial"/>
                  <w:lang w:val="fr-FR"/>
                </w:rPr>
                <w:t>info@tga.gov.au</w:t>
              </w:r>
            </w:hyperlink>
            <w:r w:rsidRPr="00972C68">
              <w:rPr>
                <w:rFonts w:cs="Arial"/>
                <w:lang w:val="fr-FR"/>
              </w:rPr>
              <w:t xml:space="preserve">  Phone: 1800 020 653  Fax: 02 6203 1605</w:t>
            </w:r>
          </w:p>
          <w:p w14:paraId="4533D80F" w14:textId="1519D7A3" w:rsidR="00F02AEC" w:rsidRPr="00972C68" w:rsidRDefault="00F02AEC">
            <w:pPr>
              <w:pStyle w:val="Address"/>
              <w:jc w:val="center"/>
              <w:rPr>
                <w:rStyle w:val="Hyperlink"/>
                <w:rFonts w:ascii="Arial" w:hAnsi="Arial" w:cs="Arial"/>
                <w:b/>
                <w:color w:val="auto"/>
                <w:sz w:val="22"/>
                <w:lang w:val="fr-FR"/>
              </w:rPr>
            </w:pPr>
            <w:hyperlink r:id="rId50" w:history="1">
              <w:r w:rsidRPr="00972C68">
                <w:rPr>
                  <w:rStyle w:val="Hyperlink"/>
                  <w:rFonts w:ascii="Arial" w:hAnsi="Arial" w:cs="Arial"/>
                  <w:b/>
                  <w:lang w:val="fr-FR"/>
                </w:rPr>
                <w:t>https://www.tga.gov.au</w:t>
              </w:r>
            </w:hyperlink>
          </w:p>
        </w:tc>
      </w:tr>
    </w:tbl>
    <w:p w14:paraId="788B80FD" w14:textId="77777777" w:rsidR="007452E8" w:rsidRPr="00972C68" w:rsidRDefault="007452E8">
      <w:pPr>
        <w:rPr>
          <w:lang w:val="fr-FR"/>
        </w:rPr>
      </w:pPr>
    </w:p>
    <w:sectPr w:rsidR="007452E8" w:rsidRPr="00972C68" w:rsidSect="007452E8">
      <w:headerReference w:type="first" r:id="rId51"/>
      <w:footerReference w:type="first" r:id="rId5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9C9B8" w14:textId="77777777" w:rsidR="00FB3DD9" w:rsidRDefault="00FB3DD9" w:rsidP="00F02AEC">
      <w:pPr>
        <w:spacing w:after="0" w:line="240" w:lineRule="auto"/>
      </w:pPr>
      <w:r>
        <w:separator/>
      </w:r>
    </w:p>
  </w:endnote>
  <w:endnote w:type="continuationSeparator" w:id="0">
    <w:p w14:paraId="74AE5E08" w14:textId="77777777" w:rsidR="00FB3DD9" w:rsidRDefault="00FB3DD9"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8296" w14:textId="77777777" w:rsidR="00013F4C" w:rsidRDefault="00013F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8721B4">
      <w:trPr>
        <w:trHeight w:val="423"/>
      </w:trPr>
      <w:tc>
        <w:tcPr>
          <w:tcW w:w="8280" w:type="dxa"/>
        </w:tcPr>
        <w:p w14:paraId="3C421323" w14:textId="7F30BC23" w:rsidR="007452E8" w:rsidRPr="00972C68" w:rsidRDefault="00D217B7" w:rsidP="007452E8">
          <w:pPr>
            <w:pStyle w:val="Footer"/>
          </w:pPr>
          <w:r w:rsidRPr="00972C68">
            <w:t>AusPAR - ELUCIREM and VUEWAY - gadopiclenol - PM-2023-06087-1-2 - Guerbet Australia - Type A</w:t>
          </w:r>
          <w:r w:rsidR="007452E8" w:rsidRPr="00972C68">
            <w:br/>
            <w:t>Date of Finalisation</w:t>
          </w:r>
          <w:r w:rsidR="00972C68" w:rsidRPr="00972C68">
            <w:t>: 21 August 2025</w:t>
          </w:r>
        </w:p>
      </w:tc>
      <w:tc>
        <w:tcPr>
          <w:tcW w:w="1734" w:type="dxa"/>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972C68">
                <w:t xml:space="preserve">Page </w:t>
              </w:r>
              <w:r w:rsidRPr="00972C68">
                <w:fldChar w:fldCharType="begin"/>
              </w:r>
              <w:r w:rsidRPr="00972C68">
                <w:instrText xml:space="preserve"> PAGE </w:instrText>
              </w:r>
              <w:r w:rsidRPr="00972C68">
                <w:fldChar w:fldCharType="separate"/>
              </w:r>
              <w:r w:rsidR="006D6B44" w:rsidRPr="00972C68">
                <w:rPr>
                  <w:noProof/>
                </w:rPr>
                <w:t>13</w:t>
              </w:r>
              <w:r w:rsidRPr="00972C68">
                <w:rPr>
                  <w:noProof/>
                </w:rPr>
                <w:fldChar w:fldCharType="end"/>
              </w:r>
              <w:r w:rsidRPr="00972C68">
                <w:t xml:space="preserve"> of </w:t>
              </w:r>
              <w:r w:rsidR="007F1E37" w:rsidRPr="00972C68">
                <w:fldChar w:fldCharType="begin"/>
              </w:r>
              <w:r w:rsidR="007F1E37" w:rsidRPr="00972C68">
                <w:instrText xml:space="preserve"> NUMPAGES  </w:instrText>
              </w:r>
              <w:r w:rsidR="007F1E37" w:rsidRPr="00972C68">
                <w:fldChar w:fldCharType="separate"/>
              </w:r>
              <w:r w:rsidR="006D6B44" w:rsidRPr="00972C68">
                <w:rPr>
                  <w:noProof/>
                </w:rPr>
                <w:t>17</w:t>
              </w:r>
              <w:r w:rsidR="007F1E37" w:rsidRPr="00972C68">
                <w:rPr>
                  <w:noProof/>
                </w:rPr>
                <w:fldChar w:fldCharType="end"/>
              </w:r>
            </w:p>
          </w:sdtContent>
        </w:sdt>
      </w:tc>
    </w:tr>
  </w:tbl>
  <w:p w14:paraId="1A4EDE60" w14:textId="6523A9E7" w:rsidR="007452E8" w:rsidRPr="00826007" w:rsidRDefault="007452E8" w:rsidP="008139E6">
    <w:pPr>
      <w:pStyle w:val="Footer"/>
      <w:tabs>
        <w:tab w:val="clear" w:pos="4513"/>
        <w:tab w:val="clear" w:pos="9026"/>
        <w:tab w:val="left" w:pos="1500"/>
      </w:tabs>
      <w:contextualSpaci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E3005" w14:textId="77777777" w:rsidR="00FB3DD9" w:rsidRDefault="00FB3DD9" w:rsidP="00F02AEC">
      <w:pPr>
        <w:spacing w:after="0" w:line="240" w:lineRule="auto"/>
      </w:pPr>
      <w:r>
        <w:separator/>
      </w:r>
    </w:p>
  </w:footnote>
  <w:footnote w:type="continuationSeparator" w:id="0">
    <w:p w14:paraId="6E564E3C" w14:textId="77777777" w:rsidR="00FB3DD9" w:rsidRDefault="00FB3DD9" w:rsidP="00F02AEC">
      <w:pPr>
        <w:spacing w:after="0" w:line="240" w:lineRule="auto"/>
      </w:pPr>
      <w:r>
        <w:continuationSeparator/>
      </w:r>
    </w:p>
  </w:footnote>
  <w:footnote w:id="1">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0A3D6070" w14:textId="77777777" w:rsidR="009C40A5" w:rsidRPr="009C40A5" w:rsidRDefault="009C40A5" w:rsidP="009C40A5">
      <w:pPr>
        <w:pStyle w:val="FootnoteText"/>
      </w:pPr>
      <w:r>
        <w:rPr>
          <w:rStyle w:val="FootnoteReference"/>
        </w:rPr>
        <w:footnoteRef/>
      </w:r>
      <w:r>
        <w:t xml:space="preserve"> </w:t>
      </w:r>
      <w:r w:rsidRPr="009C40A5">
        <w:t xml:space="preserve">International Council for Harmonisation of Technical Requirements for Pharmaceuticals for Human Us. </w:t>
      </w:r>
      <w:hyperlink r:id="rId1" w:history="1">
        <w:r w:rsidRPr="009C40A5">
          <w:rPr>
            <w:rStyle w:val="Hyperlink"/>
          </w:rPr>
          <w:t>ICH M3 (R2) Non-clinical safety studies for the conduct of human clinical trials for pharmaceuticals - Scientific guideline</w:t>
        </w:r>
      </w:hyperlink>
      <w:r w:rsidRPr="009C40A5">
        <w:t>. 2013.</w:t>
      </w:r>
    </w:p>
    <w:p w14:paraId="49D02441" w14:textId="6FA94F93" w:rsidR="009C40A5" w:rsidRDefault="009C40A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5E1E" w14:textId="77777777" w:rsidR="00013F4C" w:rsidRDefault="00013F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000000" w:rsidP="007452E8">
          <w:pPr>
            <w:ind w:left="-57"/>
            <w:rPr>
              <w:noProof/>
            </w:rPr>
          </w:pP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416BC"/>
    <w:multiLevelType w:val="hybridMultilevel"/>
    <w:tmpl w:val="C9765E7A"/>
    <w:lvl w:ilvl="0" w:tplc="020E41D4">
      <w:numFmt w:val="bullet"/>
      <w:lvlText w:val="•"/>
      <w:lvlJc w:val="left"/>
      <w:pPr>
        <w:ind w:left="419" w:hanging="312"/>
      </w:pPr>
      <w:rPr>
        <w:rFonts w:ascii="Arial" w:eastAsia="Arial" w:hAnsi="Arial" w:cs="Arial" w:hint="default"/>
        <w:b w:val="0"/>
        <w:bCs w:val="0"/>
        <w:i w:val="0"/>
        <w:iCs w:val="0"/>
        <w:spacing w:val="0"/>
        <w:w w:val="99"/>
        <w:sz w:val="20"/>
        <w:szCs w:val="20"/>
        <w:lang w:val="en-US" w:eastAsia="en-US" w:bidi="ar-SA"/>
      </w:rPr>
    </w:lvl>
    <w:lvl w:ilvl="1" w:tplc="DDE8A92A">
      <w:numFmt w:val="bullet"/>
      <w:lvlText w:val="•"/>
      <w:lvlJc w:val="left"/>
      <w:pPr>
        <w:ind w:left="788" w:hanging="312"/>
      </w:pPr>
      <w:rPr>
        <w:rFonts w:hint="default"/>
        <w:lang w:val="en-US" w:eastAsia="en-US" w:bidi="ar-SA"/>
      </w:rPr>
    </w:lvl>
    <w:lvl w:ilvl="2" w:tplc="53D45786">
      <w:numFmt w:val="bullet"/>
      <w:lvlText w:val="•"/>
      <w:lvlJc w:val="left"/>
      <w:pPr>
        <w:ind w:left="1156" w:hanging="312"/>
      </w:pPr>
      <w:rPr>
        <w:rFonts w:hint="default"/>
        <w:lang w:val="en-US" w:eastAsia="en-US" w:bidi="ar-SA"/>
      </w:rPr>
    </w:lvl>
    <w:lvl w:ilvl="3" w:tplc="46D49B08">
      <w:numFmt w:val="bullet"/>
      <w:lvlText w:val="•"/>
      <w:lvlJc w:val="left"/>
      <w:pPr>
        <w:ind w:left="1524" w:hanging="312"/>
      </w:pPr>
      <w:rPr>
        <w:rFonts w:hint="default"/>
        <w:lang w:val="en-US" w:eastAsia="en-US" w:bidi="ar-SA"/>
      </w:rPr>
    </w:lvl>
    <w:lvl w:ilvl="4" w:tplc="256ABAE6">
      <w:numFmt w:val="bullet"/>
      <w:lvlText w:val="•"/>
      <w:lvlJc w:val="left"/>
      <w:pPr>
        <w:ind w:left="1892" w:hanging="312"/>
      </w:pPr>
      <w:rPr>
        <w:rFonts w:hint="default"/>
        <w:lang w:val="en-US" w:eastAsia="en-US" w:bidi="ar-SA"/>
      </w:rPr>
    </w:lvl>
    <w:lvl w:ilvl="5" w:tplc="BF6E664E">
      <w:numFmt w:val="bullet"/>
      <w:lvlText w:val="•"/>
      <w:lvlJc w:val="left"/>
      <w:pPr>
        <w:ind w:left="2260" w:hanging="312"/>
      </w:pPr>
      <w:rPr>
        <w:rFonts w:hint="default"/>
        <w:lang w:val="en-US" w:eastAsia="en-US" w:bidi="ar-SA"/>
      </w:rPr>
    </w:lvl>
    <w:lvl w:ilvl="6" w:tplc="38161A98">
      <w:numFmt w:val="bullet"/>
      <w:lvlText w:val="•"/>
      <w:lvlJc w:val="left"/>
      <w:pPr>
        <w:ind w:left="2628" w:hanging="312"/>
      </w:pPr>
      <w:rPr>
        <w:rFonts w:hint="default"/>
        <w:lang w:val="en-US" w:eastAsia="en-US" w:bidi="ar-SA"/>
      </w:rPr>
    </w:lvl>
    <w:lvl w:ilvl="7" w:tplc="83E80130">
      <w:numFmt w:val="bullet"/>
      <w:lvlText w:val="•"/>
      <w:lvlJc w:val="left"/>
      <w:pPr>
        <w:ind w:left="2996" w:hanging="312"/>
      </w:pPr>
      <w:rPr>
        <w:rFonts w:hint="default"/>
        <w:lang w:val="en-US" w:eastAsia="en-US" w:bidi="ar-SA"/>
      </w:rPr>
    </w:lvl>
    <w:lvl w:ilvl="8" w:tplc="DF648EC8">
      <w:numFmt w:val="bullet"/>
      <w:lvlText w:val="•"/>
      <w:lvlJc w:val="left"/>
      <w:pPr>
        <w:ind w:left="3364" w:hanging="312"/>
      </w:pPr>
      <w:rPr>
        <w:rFonts w:hint="default"/>
        <w:lang w:val="en-US" w:eastAsia="en-US" w:bidi="ar-SA"/>
      </w:rPr>
    </w:lvl>
  </w:abstractNum>
  <w:abstractNum w:abstractNumId="1" w15:restartNumberingAfterBreak="0">
    <w:nsid w:val="0E547045"/>
    <w:multiLevelType w:val="hybridMultilevel"/>
    <w:tmpl w:val="90B26DF4"/>
    <w:lvl w:ilvl="0" w:tplc="C68C9E46">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8CB6C79C">
      <w:numFmt w:val="bullet"/>
      <w:lvlText w:val="•"/>
      <w:lvlJc w:val="left"/>
      <w:pPr>
        <w:ind w:left="817" w:hanging="360"/>
      </w:pPr>
      <w:rPr>
        <w:rFonts w:hint="default"/>
        <w:lang w:val="en-US" w:eastAsia="en-US" w:bidi="ar-SA"/>
      </w:rPr>
    </w:lvl>
    <w:lvl w:ilvl="2" w:tplc="5F0EFCA2">
      <w:numFmt w:val="bullet"/>
      <w:lvlText w:val="•"/>
      <w:lvlJc w:val="left"/>
      <w:pPr>
        <w:ind w:left="1174" w:hanging="360"/>
      </w:pPr>
      <w:rPr>
        <w:rFonts w:hint="default"/>
        <w:lang w:val="en-US" w:eastAsia="en-US" w:bidi="ar-SA"/>
      </w:rPr>
    </w:lvl>
    <w:lvl w:ilvl="3" w:tplc="66B4842A">
      <w:numFmt w:val="bullet"/>
      <w:lvlText w:val="•"/>
      <w:lvlJc w:val="left"/>
      <w:pPr>
        <w:ind w:left="1531" w:hanging="360"/>
      </w:pPr>
      <w:rPr>
        <w:rFonts w:hint="default"/>
        <w:lang w:val="en-US" w:eastAsia="en-US" w:bidi="ar-SA"/>
      </w:rPr>
    </w:lvl>
    <w:lvl w:ilvl="4" w:tplc="E4EA7AFA">
      <w:numFmt w:val="bullet"/>
      <w:lvlText w:val="•"/>
      <w:lvlJc w:val="left"/>
      <w:pPr>
        <w:ind w:left="1888" w:hanging="360"/>
      </w:pPr>
      <w:rPr>
        <w:rFonts w:hint="default"/>
        <w:lang w:val="en-US" w:eastAsia="en-US" w:bidi="ar-SA"/>
      </w:rPr>
    </w:lvl>
    <w:lvl w:ilvl="5" w:tplc="52DA0DFE">
      <w:numFmt w:val="bullet"/>
      <w:lvlText w:val="•"/>
      <w:lvlJc w:val="left"/>
      <w:pPr>
        <w:ind w:left="2245" w:hanging="360"/>
      </w:pPr>
      <w:rPr>
        <w:rFonts w:hint="default"/>
        <w:lang w:val="en-US" w:eastAsia="en-US" w:bidi="ar-SA"/>
      </w:rPr>
    </w:lvl>
    <w:lvl w:ilvl="6" w:tplc="3AD218BE">
      <w:numFmt w:val="bullet"/>
      <w:lvlText w:val="•"/>
      <w:lvlJc w:val="left"/>
      <w:pPr>
        <w:ind w:left="2602" w:hanging="360"/>
      </w:pPr>
      <w:rPr>
        <w:rFonts w:hint="default"/>
        <w:lang w:val="en-US" w:eastAsia="en-US" w:bidi="ar-SA"/>
      </w:rPr>
    </w:lvl>
    <w:lvl w:ilvl="7" w:tplc="B5E6EFE4">
      <w:numFmt w:val="bullet"/>
      <w:lvlText w:val="•"/>
      <w:lvlJc w:val="left"/>
      <w:pPr>
        <w:ind w:left="2959" w:hanging="360"/>
      </w:pPr>
      <w:rPr>
        <w:rFonts w:hint="default"/>
        <w:lang w:val="en-US" w:eastAsia="en-US" w:bidi="ar-SA"/>
      </w:rPr>
    </w:lvl>
    <w:lvl w:ilvl="8" w:tplc="B9C8B53E">
      <w:numFmt w:val="bullet"/>
      <w:lvlText w:val="•"/>
      <w:lvlJc w:val="left"/>
      <w:pPr>
        <w:ind w:left="3316" w:hanging="360"/>
      </w:pPr>
      <w:rPr>
        <w:rFonts w:hint="default"/>
        <w:lang w:val="en-US" w:eastAsia="en-US" w:bidi="ar-SA"/>
      </w:rPr>
    </w:lvl>
  </w:abstractNum>
  <w:abstractNum w:abstractNumId="2"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4" w15:restartNumberingAfterBreak="0">
    <w:nsid w:val="14E67069"/>
    <w:multiLevelType w:val="hybridMultilevel"/>
    <w:tmpl w:val="66B47346"/>
    <w:lvl w:ilvl="0" w:tplc="E434207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2FD8ECF2">
      <w:numFmt w:val="bullet"/>
      <w:lvlText w:val="•"/>
      <w:lvlJc w:val="left"/>
      <w:pPr>
        <w:ind w:left="824" w:hanging="360"/>
      </w:pPr>
      <w:rPr>
        <w:rFonts w:hint="default"/>
        <w:lang w:val="en-US" w:eastAsia="en-US" w:bidi="ar-SA"/>
      </w:rPr>
    </w:lvl>
    <w:lvl w:ilvl="2" w:tplc="C29A0FC2">
      <w:numFmt w:val="bullet"/>
      <w:lvlText w:val="•"/>
      <w:lvlJc w:val="left"/>
      <w:pPr>
        <w:ind w:left="1188" w:hanging="360"/>
      </w:pPr>
      <w:rPr>
        <w:rFonts w:hint="default"/>
        <w:lang w:val="en-US" w:eastAsia="en-US" w:bidi="ar-SA"/>
      </w:rPr>
    </w:lvl>
    <w:lvl w:ilvl="3" w:tplc="C51C34F0">
      <w:numFmt w:val="bullet"/>
      <w:lvlText w:val="•"/>
      <w:lvlJc w:val="left"/>
      <w:pPr>
        <w:ind w:left="1552" w:hanging="360"/>
      </w:pPr>
      <w:rPr>
        <w:rFonts w:hint="default"/>
        <w:lang w:val="en-US" w:eastAsia="en-US" w:bidi="ar-SA"/>
      </w:rPr>
    </w:lvl>
    <w:lvl w:ilvl="4" w:tplc="6BEA6AFE">
      <w:numFmt w:val="bullet"/>
      <w:lvlText w:val="•"/>
      <w:lvlJc w:val="left"/>
      <w:pPr>
        <w:ind w:left="1916" w:hanging="360"/>
      </w:pPr>
      <w:rPr>
        <w:rFonts w:hint="default"/>
        <w:lang w:val="en-US" w:eastAsia="en-US" w:bidi="ar-SA"/>
      </w:rPr>
    </w:lvl>
    <w:lvl w:ilvl="5" w:tplc="0CDA617C">
      <w:numFmt w:val="bullet"/>
      <w:lvlText w:val="•"/>
      <w:lvlJc w:val="left"/>
      <w:pPr>
        <w:ind w:left="2280" w:hanging="360"/>
      </w:pPr>
      <w:rPr>
        <w:rFonts w:hint="default"/>
        <w:lang w:val="en-US" w:eastAsia="en-US" w:bidi="ar-SA"/>
      </w:rPr>
    </w:lvl>
    <w:lvl w:ilvl="6" w:tplc="343EB5FC">
      <w:numFmt w:val="bullet"/>
      <w:lvlText w:val="•"/>
      <w:lvlJc w:val="left"/>
      <w:pPr>
        <w:ind w:left="2644" w:hanging="360"/>
      </w:pPr>
      <w:rPr>
        <w:rFonts w:hint="default"/>
        <w:lang w:val="en-US" w:eastAsia="en-US" w:bidi="ar-SA"/>
      </w:rPr>
    </w:lvl>
    <w:lvl w:ilvl="7" w:tplc="121CFC40">
      <w:numFmt w:val="bullet"/>
      <w:lvlText w:val="•"/>
      <w:lvlJc w:val="left"/>
      <w:pPr>
        <w:ind w:left="3008" w:hanging="360"/>
      </w:pPr>
      <w:rPr>
        <w:rFonts w:hint="default"/>
        <w:lang w:val="en-US" w:eastAsia="en-US" w:bidi="ar-SA"/>
      </w:rPr>
    </w:lvl>
    <w:lvl w:ilvl="8" w:tplc="CC186C20">
      <w:numFmt w:val="bullet"/>
      <w:lvlText w:val="•"/>
      <w:lvlJc w:val="left"/>
      <w:pPr>
        <w:ind w:left="3372" w:hanging="360"/>
      </w:pPr>
      <w:rPr>
        <w:rFonts w:hint="default"/>
        <w:lang w:val="en-US" w:eastAsia="en-US" w:bidi="ar-SA"/>
      </w:rPr>
    </w:lvl>
  </w:abstractNum>
  <w:abstractNum w:abstractNumId="5" w15:restartNumberingAfterBreak="0">
    <w:nsid w:val="155347B3"/>
    <w:multiLevelType w:val="hybridMultilevel"/>
    <w:tmpl w:val="AC886B3C"/>
    <w:lvl w:ilvl="0" w:tplc="72F82084">
      <w:numFmt w:val="bullet"/>
      <w:lvlText w:val="•"/>
      <w:lvlJc w:val="left"/>
      <w:pPr>
        <w:ind w:left="108" w:hanging="120"/>
      </w:pPr>
      <w:rPr>
        <w:rFonts w:ascii="Cambria" w:eastAsia="Cambria" w:hAnsi="Cambria" w:cs="Cambria" w:hint="default"/>
        <w:b w:val="0"/>
        <w:bCs w:val="0"/>
        <w:i w:val="0"/>
        <w:iCs w:val="0"/>
        <w:spacing w:val="0"/>
        <w:w w:val="100"/>
        <w:sz w:val="18"/>
        <w:szCs w:val="18"/>
        <w:lang w:val="en-US" w:eastAsia="en-US" w:bidi="ar-SA"/>
      </w:rPr>
    </w:lvl>
    <w:lvl w:ilvl="1" w:tplc="F2F0A1D6">
      <w:numFmt w:val="bullet"/>
      <w:lvlText w:val="•"/>
      <w:lvlJc w:val="left"/>
      <w:pPr>
        <w:ind w:left="551" w:hanging="120"/>
      </w:pPr>
      <w:rPr>
        <w:rFonts w:hint="default"/>
        <w:lang w:val="en-US" w:eastAsia="en-US" w:bidi="ar-SA"/>
      </w:rPr>
    </w:lvl>
    <w:lvl w:ilvl="2" w:tplc="291C94B8">
      <w:numFmt w:val="bullet"/>
      <w:lvlText w:val="•"/>
      <w:lvlJc w:val="left"/>
      <w:pPr>
        <w:ind w:left="1002" w:hanging="120"/>
      </w:pPr>
      <w:rPr>
        <w:rFonts w:hint="default"/>
        <w:lang w:val="en-US" w:eastAsia="en-US" w:bidi="ar-SA"/>
      </w:rPr>
    </w:lvl>
    <w:lvl w:ilvl="3" w:tplc="DFEC14F6">
      <w:numFmt w:val="bullet"/>
      <w:lvlText w:val="•"/>
      <w:lvlJc w:val="left"/>
      <w:pPr>
        <w:ind w:left="1453" w:hanging="120"/>
      </w:pPr>
      <w:rPr>
        <w:rFonts w:hint="default"/>
        <w:lang w:val="en-US" w:eastAsia="en-US" w:bidi="ar-SA"/>
      </w:rPr>
    </w:lvl>
    <w:lvl w:ilvl="4" w:tplc="6910F0C0">
      <w:numFmt w:val="bullet"/>
      <w:lvlText w:val="•"/>
      <w:lvlJc w:val="left"/>
      <w:pPr>
        <w:ind w:left="1905" w:hanging="120"/>
      </w:pPr>
      <w:rPr>
        <w:rFonts w:hint="default"/>
        <w:lang w:val="en-US" w:eastAsia="en-US" w:bidi="ar-SA"/>
      </w:rPr>
    </w:lvl>
    <w:lvl w:ilvl="5" w:tplc="A63A926C">
      <w:numFmt w:val="bullet"/>
      <w:lvlText w:val="•"/>
      <w:lvlJc w:val="left"/>
      <w:pPr>
        <w:ind w:left="2356" w:hanging="120"/>
      </w:pPr>
      <w:rPr>
        <w:rFonts w:hint="default"/>
        <w:lang w:val="en-US" w:eastAsia="en-US" w:bidi="ar-SA"/>
      </w:rPr>
    </w:lvl>
    <w:lvl w:ilvl="6" w:tplc="D1204978">
      <w:numFmt w:val="bullet"/>
      <w:lvlText w:val="•"/>
      <w:lvlJc w:val="left"/>
      <w:pPr>
        <w:ind w:left="2807" w:hanging="120"/>
      </w:pPr>
      <w:rPr>
        <w:rFonts w:hint="default"/>
        <w:lang w:val="en-US" w:eastAsia="en-US" w:bidi="ar-SA"/>
      </w:rPr>
    </w:lvl>
    <w:lvl w:ilvl="7" w:tplc="0FEE6098">
      <w:numFmt w:val="bullet"/>
      <w:lvlText w:val="•"/>
      <w:lvlJc w:val="left"/>
      <w:pPr>
        <w:ind w:left="3259" w:hanging="120"/>
      </w:pPr>
      <w:rPr>
        <w:rFonts w:hint="default"/>
        <w:lang w:val="en-US" w:eastAsia="en-US" w:bidi="ar-SA"/>
      </w:rPr>
    </w:lvl>
    <w:lvl w:ilvl="8" w:tplc="0D5CD138">
      <w:numFmt w:val="bullet"/>
      <w:lvlText w:val="•"/>
      <w:lvlJc w:val="left"/>
      <w:pPr>
        <w:ind w:left="3710" w:hanging="120"/>
      </w:pPr>
      <w:rPr>
        <w:rFonts w:hint="default"/>
        <w:lang w:val="en-US" w:eastAsia="en-US" w:bidi="ar-SA"/>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1" w15:restartNumberingAfterBreak="0">
    <w:nsid w:val="4AEF7B2E"/>
    <w:multiLevelType w:val="hybridMultilevel"/>
    <w:tmpl w:val="C08087C2"/>
    <w:lvl w:ilvl="0" w:tplc="BCEAFF5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A5F8A9A6">
      <w:numFmt w:val="bullet"/>
      <w:lvlText w:val="•"/>
      <w:lvlJc w:val="left"/>
      <w:pPr>
        <w:ind w:left="824" w:hanging="360"/>
      </w:pPr>
      <w:rPr>
        <w:rFonts w:hint="default"/>
        <w:lang w:val="en-US" w:eastAsia="en-US" w:bidi="ar-SA"/>
      </w:rPr>
    </w:lvl>
    <w:lvl w:ilvl="2" w:tplc="B4D4DA04">
      <w:numFmt w:val="bullet"/>
      <w:lvlText w:val="•"/>
      <w:lvlJc w:val="left"/>
      <w:pPr>
        <w:ind w:left="1188" w:hanging="360"/>
      </w:pPr>
      <w:rPr>
        <w:rFonts w:hint="default"/>
        <w:lang w:val="en-US" w:eastAsia="en-US" w:bidi="ar-SA"/>
      </w:rPr>
    </w:lvl>
    <w:lvl w:ilvl="3" w:tplc="6D88945A">
      <w:numFmt w:val="bullet"/>
      <w:lvlText w:val="•"/>
      <w:lvlJc w:val="left"/>
      <w:pPr>
        <w:ind w:left="1552" w:hanging="360"/>
      </w:pPr>
      <w:rPr>
        <w:rFonts w:hint="default"/>
        <w:lang w:val="en-US" w:eastAsia="en-US" w:bidi="ar-SA"/>
      </w:rPr>
    </w:lvl>
    <w:lvl w:ilvl="4" w:tplc="B12214B0">
      <w:numFmt w:val="bullet"/>
      <w:lvlText w:val="•"/>
      <w:lvlJc w:val="left"/>
      <w:pPr>
        <w:ind w:left="1916" w:hanging="360"/>
      </w:pPr>
      <w:rPr>
        <w:rFonts w:hint="default"/>
        <w:lang w:val="en-US" w:eastAsia="en-US" w:bidi="ar-SA"/>
      </w:rPr>
    </w:lvl>
    <w:lvl w:ilvl="5" w:tplc="27069E66">
      <w:numFmt w:val="bullet"/>
      <w:lvlText w:val="•"/>
      <w:lvlJc w:val="left"/>
      <w:pPr>
        <w:ind w:left="2280" w:hanging="360"/>
      </w:pPr>
      <w:rPr>
        <w:rFonts w:hint="default"/>
        <w:lang w:val="en-US" w:eastAsia="en-US" w:bidi="ar-SA"/>
      </w:rPr>
    </w:lvl>
    <w:lvl w:ilvl="6" w:tplc="5D9CC5C0">
      <w:numFmt w:val="bullet"/>
      <w:lvlText w:val="•"/>
      <w:lvlJc w:val="left"/>
      <w:pPr>
        <w:ind w:left="2644" w:hanging="360"/>
      </w:pPr>
      <w:rPr>
        <w:rFonts w:hint="default"/>
        <w:lang w:val="en-US" w:eastAsia="en-US" w:bidi="ar-SA"/>
      </w:rPr>
    </w:lvl>
    <w:lvl w:ilvl="7" w:tplc="039CC2D2">
      <w:numFmt w:val="bullet"/>
      <w:lvlText w:val="•"/>
      <w:lvlJc w:val="left"/>
      <w:pPr>
        <w:ind w:left="3008" w:hanging="360"/>
      </w:pPr>
      <w:rPr>
        <w:rFonts w:hint="default"/>
        <w:lang w:val="en-US" w:eastAsia="en-US" w:bidi="ar-SA"/>
      </w:rPr>
    </w:lvl>
    <w:lvl w:ilvl="8" w:tplc="A7B2FA84">
      <w:numFmt w:val="bullet"/>
      <w:lvlText w:val="•"/>
      <w:lvlJc w:val="left"/>
      <w:pPr>
        <w:ind w:left="3372" w:hanging="360"/>
      </w:pPr>
      <w:rPr>
        <w:rFonts w:hint="default"/>
        <w:lang w:val="en-US" w:eastAsia="en-US" w:bidi="ar-SA"/>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761604DC"/>
    <w:multiLevelType w:val="hybridMultilevel"/>
    <w:tmpl w:val="1CD81270"/>
    <w:lvl w:ilvl="0" w:tplc="C602EFD8">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BC6E6566">
      <w:numFmt w:val="bullet"/>
      <w:lvlText w:val="•"/>
      <w:lvlJc w:val="left"/>
      <w:pPr>
        <w:ind w:left="817" w:hanging="360"/>
      </w:pPr>
      <w:rPr>
        <w:rFonts w:hint="default"/>
        <w:lang w:val="en-US" w:eastAsia="en-US" w:bidi="ar-SA"/>
      </w:rPr>
    </w:lvl>
    <w:lvl w:ilvl="2" w:tplc="589EFEFC">
      <w:numFmt w:val="bullet"/>
      <w:lvlText w:val="•"/>
      <w:lvlJc w:val="left"/>
      <w:pPr>
        <w:ind w:left="1174" w:hanging="360"/>
      </w:pPr>
      <w:rPr>
        <w:rFonts w:hint="default"/>
        <w:lang w:val="en-US" w:eastAsia="en-US" w:bidi="ar-SA"/>
      </w:rPr>
    </w:lvl>
    <w:lvl w:ilvl="3" w:tplc="8D1E1FD2">
      <w:numFmt w:val="bullet"/>
      <w:lvlText w:val="•"/>
      <w:lvlJc w:val="left"/>
      <w:pPr>
        <w:ind w:left="1531" w:hanging="360"/>
      </w:pPr>
      <w:rPr>
        <w:rFonts w:hint="default"/>
        <w:lang w:val="en-US" w:eastAsia="en-US" w:bidi="ar-SA"/>
      </w:rPr>
    </w:lvl>
    <w:lvl w:ilvl="4" w:tplc="0FE4E774">
      <w:numFmt w:val="bullet"/>
      <w:lvlText w:val="•"/>
      <w:lvlJc w:val="left"/>
      <w:pPr>
        <w:ind w:left="1888" w:hanging="360"/>
      </w:pPr>
      <w:rPr>
        <w:rFonts w:hint="default"/>
        <w:lang w:val="en-US" w:eastAsia="en-US" w:bidi="ar-SA"/>
      </w:rPr>
    </w:lvl>
    <w:lvl w:ilvl="5" w:tplc="F74CC6FE">
      <w:numFmt w:val="bullet"/>
      <w:lvlText w:val="•"/>
      <w:lvlJc w:val="left"/>
      <w:pPr>
        <w:ind w:left="2245" w:hanging="360"/>
      </w:pPr>
      <w:rPr>
        <w:rFonts w:hint="default"/>
        <w:lang w:val="en-US" w:eastAsia="en-US" w:bidi="ar-SA"/>
      </w:rPr>
    </w:lvl>
    <w:lvl w:ilvl="6" w:tplc="BB204E80">
      <w:numFmt w:val="bullet"/>
      <w:lvlText w:val="•"/>
      <w:lvlJc w:val="left"/>
      <w:pPr>
        <w:ind w:left="2602" w:hanging="360"/>
      </w:pPr>
      <w:rPr>
        <w:rFonts w:hint="default"/>
        <w:lang w:val="en-US" w:eastAsia="en-US" w:bidi="ar-SA"/>
      </w:rPr>
    </w:lvl>
    <w:lvl w:ilvl="7" w:tplc="E3BAE806">
      <w:numFmt w:val="bullet"/>
      <w:lvlText w:val="•"/>
      <w:lvlJc w:val="left"/>
      <w:pPr>
        <w:ind w:left="2959" w:hanging="360"/>
      </w:pPr>
      <w:rPr>
        <w:rFonts w:hint="default"/>
        <w:lang w:val="en-US" w:eastAsia="en-US" w:bidi="ar-SA"/>
      </w:rPr>
    </w:lvl>
    <w:lvl w:ilvl="8" w:tplc="E446D7B8">
      <w:numFmt w:val="bullet"/>
      <w:lvlText w:val="•"/>
      <w:lvlJc w:val="left"/>
      <w:pPr>
        <w:ind w:left="3316" w:hanging="360"/>
      </w:pPr>
      <w:rPr>
        <w:rFonts w:hint="default"/>
        <w:lang w:val="en-US" w:eastAsia="en-US" w:bidi="ar-SA"/>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7"/>
  </w:num>
  <w:num w:numId="2" w16cid:durableId="1856573705">
    <w:abstractNumId w:val="2"/>
  </w:num>
  <w:num w:numId="3" w16cid:durableId="357703499">
    <w:abstractNumId w:val="6"/>
  </w:num>
  <w:num w:numId="4" w16cid:durableId="1869176708">
    <w:abstractNumId w:val="14"/>
  </w:num>
  <w:num w:numId="5" w16cid:durableId="1652950129">
    <w:abstractNumId w:val="9"/>
  </w:num>
  <w:num w:numId="6" w16cid:durableId="1053193207">
    <w:abstractNumId w:val="12"/>
  </w:num>
  <w:num w:numId="7" w16cid:durableId="2011359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3"/>
  </w:num>
  <w:num w:numId="10" w16cid:durableId="2108043357">
    <w:abstractNumId w:val="8"/>
  </w:num>
  <w:num w:numId="11" w16cid:durableId="1725904230">
    <w:abstractNumId w:val="10"/>
  </w:num>
  <w:num w:numId="12" w16cid:durableId="141579354">
    <w:abstractNumId w:val="15"/>
  </w:num>
  <w:num w:numId="13" w16cid:durableId="283735081">
    <w:abstractNumId w:val="17"/>
  </w:num>
  <w:num w:numId="14" w16cid:durableId="108359280">
    <w:abstractNumId w:val="5"/>
  </w:num>
  <w:num w:numId="15" w16cid:durableId="1555044588">
    <w:abstractNumId w:val="0"/>
  </w:num>
  <w:num w:numId="16" w16cid:durableId="662928319">
    <w:abstractNumId w:val="11"/>
  </w:num>
  <w:num w:numId="17" w16cid:durableId="344744179">
    <w:abstractNumId w:val="4"/>
  </w:num>
  <w:num w:numId="18" w16cid:durableId="1068768606">
    <w:abstractNumId w:val="1"/>
  </w:num>
  <w:num w:numId="19" w16cid:durableId="1214579520">
    <w:abstractNumId w:val="16"/>
  </w:num>
  <w:num w:numId="20" w16cid:durableId="9917186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46463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05748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F16"/>
    <w:rsid w:val="00004431"/>
    <w:rsid w:val="00005062"/>
    <w:rsid w:val="00010093"/>
    <w:rsid w:val="000103E3"/>
    <w:rsid w:val="0001064C"/>
    <w:rsid w:val="00012132"/>
    <w:rsid w:val="0001384A"/>
    <w:rsid w:val="00013F4C"/>
    <w:rsid w:val="00021C13"/>
    <w:rsid w:val="00030570"/>
    <w:rsid w:val="00032A0F"/>
    <w:rsid w:val="00033215"/>
    <w:rsid w:val="000354EC"/>
    <w:rsid w:val="00040D8D"/>
    <w:rsid w:val="00046423"/>
    <w:rsid w:val="000477F5"/>
    <w:rsid w:val="0005010C"/>
    <w:rsid w:val="00053465"/>
    <w:rsid w:val="00055381"/>
    <w:rsid w:val="000572EB"/>
    <w:rsid w:val="0006104E"/>
    <w:rsid w:val="000640BD"/>
    <w:rsid w:val="00064481"/>
    <w:rsid w:val="00065839"/>
    <w:rsid w:val="00065FDF"/>
    <w:rsid w:val="0006693A"/>
    <w:rsid w:val="00067420"/>
    <w:rsid w:val="00071E94"/>
    <w:rsid w:val="00077844"/>
    <w:rsid w:val="00082E98"/>
    <w:rsid w:val="00083763"/>
    <w:rsid w:val="000837B6"/>
    <w:rsid w:val="00090510"/>
    <w:rsid w:val="00090FDF"/>
    <w:rsid w:val="000917AE"/>
    <w:rsid w:val="00094B81"/>
    <w:rsid w:val="00095C6A"/>
    <w:rsid w:val="000975AA"/>
    <w:rsid w:val="000A6F5A"/>
    <w:rsid w:val="000A78E8"/>
    <w:rsid w:val="000A7DD1"/>
    <w:rsid w:val="000B2260"/>
    <w:rsid w:val="000B47F8"/>
    <w:rsid w:val="000B6B15"/>
    <w:rsid w:val="000B7CFB"/>
    <w:rsid w:val="000C25A7"/>
    <w:rsid w:val="000C4E28"/>
    <w:rsid w:val="000C56E0"/>
    <w:rsid w:val="000D0A3E"/>
    <w:rsid w:val="000D229E"/>
    <w:rsid w:val="000D5284"/>
    <w:rsid w:val="000D78EC"/>
    <w:rsid w:val="000D7934"/>
    <w:rsid w:val="000E2434"/>
    <w:rsid w:val="000E2597"/>
    <w:rsid w:val="000E504E"/>
    <w:rsid w:val="000E5D64"/>
    <w:rsid w:val="000E6746"/>
    <w:rsid w:val="000F2A6F"/>
    <w:rsid w:val="000F63DC"/>
    <w:rsid w:val="000F6D53"/>
    <w:rsid w:val="000F7B51"/>
    <w:rsid w:val="00101BEE"/>
    <w:rsid w:val="00101CE6"/>
    <w:rsid w:val="00101FB1"/>
    <w:rsid w:val="0010558A"/>
    <w:rsid w:val="001101FF"/>
    <w:rsid w:val="00111989"/>
    <w:rsid w:val="00113F9F"/>
    <w:rsid w:val="00114025"/>
    <w:rsid w:val="00122109"/>
    <w:rsid w:val="00123B5E"/>
    <w:rsid w:val="0012473C"/>
    <w:rsid w:val="00127A74"/>
    <w:rsid w:val="00127C7A"/>
    <w:rsid w:val="0013132F"/>
    <w:rsid w:val="00131B1B"/>
    <w:rsid w:val="00131F21"/>
    <w:rsid w:val="0013306D"/>
    <w:rsid w:val="00133F91"/>
    <w:rsid w:val="0013528C"/>
    <w:rsid w:val="001442A2"/>
    <w:rsid w:val="001468CA"/>
    <w:rsid w:val="001500A8"/>
    <w:rsid w:val="00155D85"/>
    <w:rsid w:val="00161FAD"/>
    <w:rsid w:val="00163242"/>
    <w:rsid w:val="001659BE"/>
    <w:rsid w:val="00165D28"/>
    <w:rsid w:val="0017005C"/>
    <w:rsid w:val="001716DC"/>
    <w:rsid w:val="00174763"/>
    <w:rsid w:val="00175CD8"/>
    <w:rsid w:val="00175FEA"/>
    <w:rsid w:val="001768BE"/>
    <w:rsid w:val="00177DBB"/>
    <w:rsid w:val="0018274F"/>
    <w:rsid w:val="00182BD8"/>
    <w:rsid w:val="001834E4"/>
    <w:rsid w:val="00183A66"/>
    <w:rsid w:val="00184E11"/>
    <w:rsid w:val="0018553E"/>
    <w:rsid w:val="00185646"/>
    <w:rsid w:val="00190853"/>
    <w:rsid w:val="001A4208"/>
    <w:rsid w:val="001A716C"/>
    <w:rsid w:val="001A76F9"/>
    <w:rsid w:val="001B06FF"/>
    <w:rsid w:val="001B1703"/>
    <w:rsid w:val="001B5CA6"/>
    <w:rsid w:val="001C1331"/>
    <w:rsid w:val="001C1C2E"/>
    <w:rsid w:val="001C2521"/>
    <w:rsid w:val="001C31A1"/>
    <w:rsid w:val="001C3FA2"/>
    <w:rsid w:val="001C58A3"/>
    <w:rsid w:val="001C5EE2"/>
    <w:rsid w:val="001C641C"/>
    <w:rsid w:val="001C7CC0"/>
    <w:rsid w:val="001D0077"/>
    <w:rsid w:val="001D0AA7"/>
    <w:rsid w:val="001D353A"/>
    <w:rsid w:val="001E2A6C"/>
    <w:rsid w:val="001E407B"/>
    <w:rsid w:val="001E7FC6"/>
    <w:rsid w:val="001F2502"/>
    <w:rsid w:val="001F56FA"/>
    <w:rsid w:val="001F6EE3"/>
    <w:rsid w:val="001F70A5"/>
    <w:rsid w:val="0020235D"/>
    <w:rsid w:val="0020369B"/>
    <w:rsid w:val="00207474"/>
    <w:rsid w:val="00207B4D"/>
    <w:rsid w:val="0021007C"/>
    <w:rsid w:val="00210F9B"/>
    <w:rsid w:val="002117B1"/>
    <w:rsid w:val="00217CCE"/>
    <w:rsid w:val="002203B1"/>
    <w:rsid w:val="002227C6"/>
    <w:rsid w:val="00224CCD"/>
    <w:rsid w:val="002250C2"/>
    <w:rsid w:val="00226F39"/>
    <w:rsid w:val="002334AD"/>
    <w:rsid w:val="00236CCC"/>
    <w:rsid w:val="0024124C"/>
    <w:rsid w:val="00241B60"/>
    <w:rsid w:val="00245502"/>
    <w:rsid w:val="0024675F"/>
    <w:rsid w:val="00253F6E"/>
    <w:rsid w:val="002544A4"/>
    <w:rsid w:val="00256193"/>
    <w:rsid w:val="0025785B"/>
    <w:rsid w:val="00257969"/>
    <w:rsid w:val="002617AC"/>
    <w:rsid w:val="00261A6D"/>
    <w:rsid w:val="00264B66"/>
    <w:rsid w:val="00265CD1"/>
    <w:rsid w:val="00280048"/>
    <w:rsid w:val="00280B99"/>
    <w:rsid w:val="00280E52"/>
    <w:rsid w:val="00281A44"/>
    <w:rsid w:val="00282689"/>
    <w:rsid w:val="0028489E"/>
    <w:rsid w:val="002848DE"/>
    <w:rsid w:val="00286C95"/>
    <w:rsid w:val="0028794E"/>
    <w:rsid w:val="00295085"/>
    <w:rsid w:val="0029733B"/>
    <w:rsid w:val="002A253F"/>
    <w:rsid w:val="002A2F93"/>
    <w:rsid w:val="002A44FC"/>
    <w:rsid w:val="002A4C33"/>
    <w:rsid w:val="002A5841"/>
    <w:rsid w:val="002A7B47"/>
    <w:rsid w:val="002B1A37"/>
    <w:rsid w:val="002B1EDF"/>
    <w:rsid w:val="002B2061"/>
    <w:rsid w:val="002B20F3"/>
    <w:rsid w:val="002B4D05"/>
    <w:rsid w:val="002C0D26"/>
    <w:rsid w:val="002C1232"/>
    <w:rsid w:val="002C1E44"/>
    <w:rsid w:val="002C2142"/>
    <w:rsid w:val="002C2934"/>
    <w:rsid w:val="002C3528"/>
    <w:rsid w:val="002C4803"/>
    <w:rsid w:val="002C5C92"/>
    <w:rsid w:val="002C5E29"/>
    <w:rsid w:val="002D0478"/>
    <w:rsid w:val="002D04FE"/>
    <w:rsid w:val="002D0C3D"/>
    <w:rsid w:val="002D7127"/>
    <w:rsid w:val="002E0A54"/>
    <w:rsid w:val="002E0A5E"/>
    <w:rsid w:val="002E1226"/>
    <w:rsid w:val="002E1F0D"/>
    <w:rsid w:val="002F116C"/>
    <w:rsid w:val="002F2905"/>
    <w:rsid w:val="002F3C5A"/>
    <w:rsid w:val="002F4A70"/>
    <w:rsid w:val="002F599E"/>
    <w:rsid w:val="002F65DE"/>
    <w:rsid w:val="002F6F56"/>
    <w:rsid w:val="003008D8"/>
    <w:rsid w:val="00301C39"/>
    <w:rsid w:val="00301D9A"/>
    <w:rsid w:val="00303959"/>
    <w:rsid w:val="003055B6"/>
    <w:rsid w:val="00306E72"/>
    <w:rsid w:val="00307984"/>
    <w:rsid w:val="003100D1"/>
    <w:rsid w:val="00310E73"/>
    <w:rsid w:val="00312AC3"/>
    <w:rsid w:val="00314430"/>
    <w:rsid w:val="00315B70"/>
    <w:rsid w:val="003163BC"/>
    <w:rsid w:val="00317CE3"/>
    <w:rsid w:val="003212D9"/>
    <w:rsid w:val="00321C25"/>
    <w:rsid w:val="0032351A"/>
    <w:rsid w:val="00324B33"/>
    <w:rsid w:val="00325949"/>
    <w:rsid w:val="0032671F"/>
    <w:rsid w:val="00327488"/>
    <w:rsid w:val="00327A09"/>
    <w:rsid w:val="0033169F"/>
    <w:rsid w:val="003330EC"/>
    <w:rsid w:val="00334D9B"/>
    <w:rsid w:val="00336FE1"/>
    <w:rsid w:val="00342D56"/>
    <w:rsid w:val="00343E81"/>
    <w:rsid w:val="003456E7"/>
    <w:rsid w:val="00346C5D"/>
    <w:rsid w:val="00346EC2"/>
    <w:rsid w:val="003477F9"/>
    <w:rsid w:val="0035444D"/>
    <w:rsid w:val="00356D62"/>
    <w:rsid w:val="003571C2"/>
    <w:rsid w:val="00363EE3"/>
    <w:rsid w:val="003735F3"/>
    <w:rsid w:val="00374729"/>
    <w:rsid w:val="00381038"/>
    <w:rsid w:val="00387298"/>
    <w:rsid w:val="00387984"/>
    <w:rsid w:val="00390310"/>
    <w:rsid w:val="003933CB"/>
    <w:rsid w:val="00395140"/>
    <w:rsid w:val="003A0634"/>
    <w:rsid w:val="003A2422"/>
    <w:rsid w:val="003B149C"/>
    <w:rsid w:val="003B31FB"/>
    <w:rsid w:val="003B6493"/>
    <w:rsid w:val="003B73E7"/>
    <w:rsid w:val="003C0FDB"/>
    <w:rsid w:val="003C1192"/>
    <w:rsid w:val="003C1E6E"/>
    <w:rsid w:val="003C24E5"/>
    <w:rsid w:val="003C32BE"/>
    <w:rsid w:val="003C55E2"/>
    <w:rsid w:val="003C63D5"/>
    <w:rsid w:val="003C7AA8"/>
    <w:rsid w:val="003D41BA"/>
    <w:rsid w:val="003D71A1"/>
    <w:rsid w:val="003E4C3A"/>
    <w:rsid w:val="003E4FBE"/>
    <w:rsid w:val="0041688F"/>
    <w:rsid w:val="00416B24"/>
    <w:rsid w:val="00417D9A"/>
    <w:rsid w:val="00421D79"/>
    <w:rsid w:val="0042376F"/>
    <w:rsid w:val="004246B8"/>
    <w:rsid w:val="004248F1"/>
    <w:rsid w:val="00427E5A"/>
    <w:rsid w:val="00433318"/>
    <w:rsid w:val="00434024"/>
    <w:rsid w:val="0043668F"/>
    <w:rsid w:val="004411D9"/>
    <w:rsid w:val="00442A56"/>
    <w:rsid w:val="00442C3E"/>
    <w:rsid w:val="004444B0"/>
    <w:rsid w:val="00446321"/>
    <w:rsid w:val="00446390"/>
    <w:rsid w:val="0044709A"/>
    <w:rsid w:val="00447E91"/>
    <w:rsid w:val="00450315"/>
    <w:rsid w:val="0045060B"/>
    <w:rsid w:val="0045429C"/>
    <w:rsid w:val="00456362"/>
    <w:rsid w:val="00460C52"/>
    <w:rsid w:val="004626FF"/>
    <w:rsid w:val="0046285C"/>
    <w:rsid w:val="00470A52"/>
    <w:rsid w:val="00471BD5"/>
    <w:rsid w:val="00472696"/>
    <w:rsid w:val="004751B4"/>
    <w:rsid w:val="00477C4E"/>
    <w:rsid w:val="00477F07"/>
    <w:rsid w:val="00480A4C"/>
    <w:rsid w:val="00481503"/>
    <w:rsid w:val="00481D12"/>
    <w:rsid w:val="0048333F"/>
    <w:rsid w:val="004854A6"/>
    <w:rsid w:val="00491A55"/>
    <w:rsid w:val="00494C3E"/>
    <w:rsid w:val="004960BD"/>
    <w:rsid w:val="00497DF1"/>
    <w:rsid w:val="004A1431"/>
    <w:rsid w:val="004A224E"/>
    <w:rsid w:val="004A318E"/>
    <w:rsid w:val="004A45D4"/>
    <w:rsid w:val="004A57E8"/>
    <w:rsid w:val="004A5A16"/>
    <w:rsid w:val="004A5C3E"/>
    <w:rsid w:val="004A7A06"/>
    <w:rsid w:val="004B3081"/>
    <w:rsid w:val="004B4A09"/>
    <w:rsid w:val="004B5D82"/>
    <w:rsid w:val="004C41CE"/>
    <w:rsid w:val="004C5054"/>
    <w:rsid w:val="004C631B"/>
    <w:rsid w:val="004C66E9"/>
    <w:rsid w:val="004D0933"/>
    <w:rsid w:val="004D2F00"/>
    <w:rsid w:val="004D31D8"/>
    <w:rsid w:val="004D35D1"/>
    <w:rsid w:val="004D5388"/>
    <w:rsid w:val="004E4655"/>
    <w:rsid w:val="004E7F16"/>
    <w:rsid w:val="004F18EC"/>
    <w:rsid w:val="004F2D87"/>
    <w:rsid w:val="00500D68"/>
    <w:rsid w:val="005022A4"/>
    <w:rsid w:val="005042C7"/>
    <w:rsid w:val="00505BBD"/>
    <w:rsid w:val="00512176"/>
    <w:rsid w:val="00522375"/>
    <w:rsid w:val="005237D3"/>
    <w:rsid w:val="0053377D"/>
    <w:rsid w:val="00535DFE"/>
    <w:rsid w:val="00536E14"/>
    <w:rsid w:val="005373B5"/>
    <w:rsid w:val="00537AB7"/>
    <w:rsid w:val="00541FEF"/>
    <w:rsid w:val="00543610"/>
    <w:rsid w:val="0054669B"/>
    <w:rsid w:val="00555D33"/>
    <w:rsid w:val="00557684"/>
    <w:rsid w:val="00557E83"/>
    <w:rsid w:val="00560867"/>
    <w:rsid w:val="005610D1"/>
    <w:rsid w:val="00562F42"/>
    <w:rsid w:val="005630D6"/>
    <w:rsid w:val="0056532B"/>
    <w:rsid w:val="00565739"/>
    <w:rsid w:val="00566A78"/>
    <w:rsid w:val="0056766D"/>
    <w:rsid w:val="00573F6B"/>
    <w:rsid w:val="00574BAB"/>
    <w:rsid w:val="00575215"/>
    <w:rsid w:val="005775D0"/>
    <w:rsid w:val="00580394"/>
    <w:rsid w:val="00581138"/>
    <w:rsid w:val="0058575E"/>
    <w:rsid w:val="0058783C"/>
    <w:rsid w:val="005911AE"/>
    <w:rsid w:val="005926E2"/>
    <w:rsid w:val="0059313A"/>
    <w:rsid w:val="005A54EA"/>
    <w:rsid w:val="005B023F"/>
    <w:rsid w:val="005B02A2"/>
    <w:rsid w:val="005B1417"/>
    <w:rsid w:val="005B69CF"/>
    <w:rsid w:val="005C0AC3"/>
    <w:rsid w:val="005C3F07"/>
    <w:rsid w:val="005C4B46"/>
    <w:rsid w:val="005C5DC5"/>
    <w:rsid w:val="005D2089"/>
    <w:rsid w:val="005D5F54"/>
    <w:rsid w:val="005D7514"/>
    <w:rsid w:val="005E0FC6"/>
    <w:rsid w:val="005E1A7B"/>
    <w:rsid w:val="005E231F"/>
    <w:rsid w:val="005E288A"/>
    <w:rsid w:val="005E6F79"/>
    <w:rsid w:val="005F4A1A"/>
    <w:rsid w:val="00602D6E"/>
    <w:rsid w:val="00605C05"/>
    <w:rsid w:val="00611351"/>
    <w:rsid w:val="0061217D"/>
    <w:rsid w:val="006129AE"/>
    <w:rsid w:val="00622DF9"/>
    <w:rsid w:val="006277A1"/>
    <w:rsid w:val="00633BD7"/>
    <w:rsid w:val="00634580"/>
    <w:rsid w:val="00634884"/>
    <w:rsid w:val="006351D9"/>
    <w:rsid w:val="00637130"/>
    <w:rsid w:val="00637F0E"/>
    <w:rsid w:val="00641EB6"/>
    <w:rsid w:val="006423F2"/>
    <w:rsid w:val="006428C5"/>
    <w:rsid w:val="0064429B"/>
    <w:rsid w:val="00650234"/>
    <w:rsid w:val="0065147E"/>
    <w:rsid w:val="00651E23"/>
    <w:rsid w:val="00652442"/>
    <w:rsid w:val="00654177"/>
    <w:rsid w:val="00656DB3"/>
    <w:rsid w:val="0066044B"/>
    <w:rsid w:val="00660F78"/>
    <w:rsid w:val="006630AA"/>
    <w:rsid w:val="00663544"/>
    <w:rsid w:val="00666539"/>
    <w:rsid w:val="00666911"/>
    <w:rsid w:val="00671305"/>
    <w:rsid w:val="00675F81"/>
    <w:rsid w:val="0068143E"/>
    <w:rsid w:val="00681945"/>
    <w:rsid w:val="00684C2B"/>
    <w:rsid w:val="0068507D"/>
    <w:rsid w:val="00690286"/>
    <w:rsid w:val="00691AF2"/>
    <w:rsid w:val="0069243D"/>
    <w:rsid w:val="00692B80"/>
    <w:rsid w:val="00692CCD"/>
    <w:rsid w:val="00692D51"/>
    <w:rsid w:val="00694DD7"/>
    <w:rsid w:val="0069636B"/>
    <w:rsid w:val="006A0E0B"/>
    <w:rsid w:val="006A1762"/>
    <w:rsid w:val="006A18D2"/>
    <w:rsid w:val="006A19CE"/>
    <w:rsid w:val="006A1F0B"/>
    <w:rsid w:val="006A24AB"/>
    <w:rsid w:val="006A277A"/>
    <w:rsid w:val="006A364D"/>
    <w:rsid w:val="006A5973"/>
    <w:rsid w:val="006A7451"/>
    <w:rsid w:val="006B04F3"/>
    <w:rsid w:val="006B0A56"/>
    <w:rsid w:val="006B1B6E"/>
    <w:rsid w:val="006B4A03"/>
    <w:rsid w:val="006B7126"/>
    <w:rsid w:val="006C170D"/>
    <w:rsid w:val="006C3917"/>
    <w:rsid w:val="006C6B86"/>
    <w:rsid w:val="006D0E86"/>
    <w:rsid w:val="006D1D75"/>
    <w:rsid w:val="006D4553"/>
    <w:rsid w:val="006D4A35"/>
    <w:rsid w:val="006D5F31"/>
    <w:rsid w:val="006D6B44"/>
    <w:rsid w:val="006D755D"/>
    <w:rsid w:val="006E0F71"/>
    <w:rsid w:val="006E1BB4"/>
    <w:rsid w:val="006E2582"/>
    <w:rsid w:val="006E27FE"/>
    <w:rsid w:val="006E2E0F"/>
    <w:rsid w:val="006F4426"/>
    <w:rsid w:val="006F7EC4"/>
    <w:rsid w:val="00701110"/>
    <w:rsid w:val="00702078"/>
    <w:rsid w:val="00702D4A"/>
    <w:rsid w:val="00702E91"/>
    <w:rsid w:val="0070330F"/>
    <w:rsid w:val="00703624"/>
    <w:rsid w:val="007046ED"/>
    <w:rsid w:val="007072A1"/>
    <w:rsid w:val="0071060C"/>
    <w:rsid w:val="00710BC5"/>
    <w:rsid w:val="007121CA"/>
    <w:rsid w:val="00716A96"/>
    <w:rsid w:val="00717D35"/>
    <w:rsid w:val="0072003B"/>
    <w:rsid w:val="00721059"/>
    <w:rsid w:val="007211E6"/>
    <w:rsid w:val="007220C4"/>
    <w:rsid w:val="00727739"/>
    <w:rsid w:val="007305ED"/>
    <w:rsid w:val="00732361"/>
    <w:rsid w:val="007357B9"/>
    <w:rsid w:val="00736E5C"/>
    <w:rsid w:val="00741AB9"/>
    <w:rsid w:val="007426E6"/>
    <w:rsid w:val="00742D03"/>
    <w:rsid w:val="00744216"/>
    <w:rsid w:val="007452E8"/>
    <w:rsid w:val="00746990"/>
    <w:rsid w:val="00747093"/>
    <w:rsid w:val="007479DC"/>
    <w:rsid w:val="00750D70"/>
    <w:rsid w:val="007575D0"/>
    <w:rsid w:val="00763117"/>
    <w:rsid w:val="00765984"/>
    <w:rsid w:val="007662E0"/>
    <w:rsid w:val="00767873"/>
    <w:rsid w:val="00772EFC"/>
    <w:rsid w:val="00773400"/>
    <w:rsid w:val="00776E9C"/>
    <w:rsid w:val="00780EDC"/>
    <w:rsid w:val="007816D8"/>
    <w:rsid w:val="00784150"/>
    <w:rsid w:val="007853B8"/>
    <w:rsid w:val="00785FFE"/>
    <w:rsid w:val="00793272"/>
    <w:rsid w:val="0079499A"/>
    <w:rsid w:val="00794B64"/>
    <w:rsid w:val="00795553"/>
    <w:rsid w:val="007967C3"/>
    <w:rsid w:val="007A0A33"/>
    <w:rsid w:val="007A5FFF"/>
    <w:rsid w:val="007B04DE"/>
    <w:rsid w:val="007B0AE6"/>
    <w:rsid w:val="007B18D1"/>
    <w:rsid w:val="007B4A42"/>
    <w:rsid w:val="007B6EE2"/>
    <w:rsid w:val="007B7097"/>
    <w:rsid w:val="007C0F0B"/>
    <w:rsid w:val="007C153A"/>
    <w:rsid w:val="007C57BC"/>
    <w:rsid w:val="007C6895"/>
    <w:rsid w:val="007C702B"/>
    <w:rsid w:val="007C71F6"/>
    <w:rsid w:val="007C7B9A"/>
    <w:rsid w:val="007D0376"/>
    <w:rsid w:val="007D04CA"/>
    <w:rsid w:val="007D0A2B"/>
    <w:rsid w:val="007D12A1"/>
    <w:rsid w:val="007D40E5"/>
    <w:rsid w:val="007D4138"/>
    <w:rsid w:val="007E4178"/>
    <w:rsid w:val="007E50E2"/>
    <w:rsid w:val="007E6443"/>
    <w:rsid w:val="007F028E"/>
    <w:rsid w:val="007F0A77"/>
    <w:rsid w:val="007F1E37"/>
    <w:rsid w:val="007F4822"/>
    <w:rsid w:val="007F50D3"/>
    <w:rsid w:val="007F6B1F"/>
    <w:rsid w:val="008013F0"/>
    <w:rsid w:val="008015E2"/>
    <w:rsid w:val="00802B51"/>
    <w:rsid w:val="00803926"/>
    <w:rsid w:val="00804897"/>
    <w:rsid w:val="00811476"/>
    <w:rsid w:val="008139E6"/>
    <w:rsid w:val="00821582"/>
    <w:rsid w:val="00824128"/>
    <w:rsid w:val="00825A0A"/>
    <w:rsid w:val="008329DB"/>
    <w:rsid w:val="00832BC7"/>
    <w:rsid w:val="008350B3"/>
    <w:rsid w:val="008361C5"/>
    <w:rsid w:val="0083628F"/>
    <w:rsid w:val="00837AB9"/>
    <w:rsid w:val="00843288"/>
    <w:rsid w:val="00850637"/>
    <w:rsid w:val="00852A88"/>
    <w:rsid w:val="00854D98"/>
    <w:rsid w:val="008565C8"/>
    <w:rsid w:val="0085751E"/>
    <w:rsid w:val="00860B29"/>
    <w:rsid w:val="00861F13"/>
    <w:rsid w:val="008622E8"/>
    <w:rsid w:val="00863263"/>
    <w:rsid w:val="008645EE"/>
    <w:rsid w:val="00870144"/>
    <w:rsid w:val="0087072C"/>
    <w:rsid w:val="00870F82"/>
    <w:rsid w:val="00871312"/>
    <w:rsid w:val="008721B4"/>
    <w:rsid w:val="00873D7A"/>
    <w:rsid w:val="008765F0"/>
    <w:rsid w:val="00877CB3"/>
    <w:rsid w:val="008804CF"/>
    <w:rsid w:val="0088260B"/>
    <w:rsid w:val="00882D58"/>
    <w:rsid w:val="00882F19"/>
    <w:rsid w:val="00883D35"/>
    <w:rsid w:val="00884569"/>
    <w:rsid w:val="00887A51"/>
    <w:rsid w:val="0089038A"/>
    <w:rsid w:val="00890D9B"/>
    <w:rsid w:val="00891653"/>
    <w:rsid w:val="00891C6C"/>
    <w:rsid w:val="008928A2"/>
    <w:rsid w:val="00893CCD"/>
    <w:rsid w:val="0089530A"/>
    <w:rsid w:val="008964B3"/>
    <w:rsid w:val="008A27D6"/>
    <w:rsid w:val="008A374E"/>
    <w:rsid w:val="008A5E08"/>
    <w:rsid w:val="008A6503"/>
    <w:rsid w:val="008B1CB5"/>
    <w:rsid w:val="008B3788"/>
    <w:rsid w:val="008B48B2"/>
    <w:rsid w:val="008C2D69"/>
    <w:rsid w:val="008C3C34"/>
    <w:rsid w:val="008C49C6"/>
    <w:rsid w:val="008C754C"/>
    <w:rsid w:val="008D56C9"/>
    <w:rsid w:val="008D56CA"/>
    <w:rsid w:val="008D636A"/>
    <w:rsid w:val="008D693D"/>
    <w:rsid w:val="008D6A54"/>
    <w:rsid w:val="008E2585"/>
    <w:rsid w:val="008E2D7A"/>
    <w:rsid w:val="008F30ED"/>
    <w:rsid w:val="008F3215"/>
    <w:rsid w:val="008F44CF"/>
    <w:rsid w:val="008F4A62"/>
    <w:rsid w:val="008F7256"/>
    <w:rsid w:val="00900A3D"/>
    <w:rsid w:val="00902797"/>
    <w:rsid w:val="0090424C"/>
    <w:rsid w:val="0090605E"/>
    <w:rsid w:val="009108CE"/>
    <w:rsid w:val="00914A83"/>
    <w:rsid w:val="00915A9F"/>
    <w:rsid w:val="00920084"/>
    <w:rsid w:val="00930D58"/>
    <w:rsid w:val="00932C00"/>
    <w:rsid w:val="00933400"/>
    <w:rsid w:val="00935AAA"/>
    <w:rsid w:val="00935B82"/>
    <w:rsid w:val="00936928"/>
    <w:rsid w:val="00937171"/>
    <w:rsid w:val="00940231"/>
    <w:rsid w:val="00943AE7"/>
    <w:rsid w:val="0095031E"/>
    <w:rsid w:val="0095315E"/>
    <w:rsid w:val="00954297"/>
    <w:rsid w:val="00957281"/>
    <w:rsid w:val="00960A56"/>
    <w:rsid w:val="00966EF1"/>
    <w:rsid w:val="00967223"/>
    <w:rsid w:val="00971A98"/>
    <w:rsid w:val="00972C68"/>
    <w:rsid w:val="009751F7"/>
    <w:rsid w:val="00976722"/>
    <w:rsid w:val="0098350E"/>
    <w:rsid w:val="009870CB"/>
    <w:rsid w:val="00987C7A"/>
    <w:rsid w:val="00990C12"/>
    <w:rsid w:val="00991B61"/>
    <w:rsid w:val="00991DC9"/>
    <w:rsid w:val="0099404F"/>
    <w:rsid w:val="00996FA5"/>
    <w:rsid w:val="009B40A9"/>
    <w:rsid w:val="009B5662"/>
    <w:rsid w:val="009B6C49"/>
    <w:rsid w:val="009C1E47"/>
    <w:rsid w:val="009C2211"/>
    <w:rsid w:val="009C40A5"/>
    <w:rsid w:val="009C40E8"/>
    <w:rsid w:val="009C45C5"/>
    <w:rsid w:val="009C615D"/>
    <w:rsid w:val="009D36E7"/>
    <w:rsid w:val="009D4CE6"/>
    <w:rsid w:val="009D4E63"/>
    <w:rsid w:val="009E6858"/>
    <w:rsid w:val="009E6F8C"/>
    <w:rsid w:val="009E7582"/>
    <w:rsid w:val="009F405F"/>
    <w:rsid w:val="009F5F16"/>
    <w:rsid w:val="00A0048C"/>
    <w:rsid w:val="00A01149"/>
    <w:rsid w:val="00A01C56"/>
    <w:rsid w:val="00A0453B"/>
    <w:rsid w:val="00A104AC"/>
    <w:rsid w:val="00A14A0E"/>
    <w:rsid w:val="00A1536C"/>
    <w:rsid w:val="00A15E36"/>
    <w:rsid w:val="00A25C0F"/>
    <w:rsid w:val="00A30590"/>
    <w:rsid w:val="00A32C50"/>
    <w:rsid w:val="00A33458"/>
    <w:rsid w:val="00A34942"/>
    <w:rsid w:val="00A358E7"/>
    <w:rsid w:val="00A35A0F"/>
    <w:rsid w:val="00A36D61"/>
    <w:rsid w:val="00A42D1C"/>
    <w:rsid w:val="00A4380B"/>
    <w:rsid w:val="00A43EF6"/>
    <w:rsid w:val="00A452E4"/>
    <w:rsid w:val="00A46265"/>
    <w:rsid w:val="00A51A2D"/>
    <w:rsid w:val="00A53E37"/>
    <w:rsid w:val="00A5596B"/>
    <w:rsid w:val="00A55CCA"/>
    <w:rsid w:val="00A56E09"/>
    <w:rsid w:val="00A632FA"/>
    <w:rsid w:val="00A63C07"/>
    <w:rsid w:val="00A63D9B"/>
    <w:rsid w:val="00A67BE0"/>
    <w:rsid w:val="00A67EC9"/>
    <w:rsid w:val="00A704DC"/>
    <w:rsid w:val="00A756AF"/>
    <w:rsid w:val="00A85177"/>
    <w:rsid w:val="00A87E88"/>
    <w:rsid w:val="00A91F9E"/>
    <w:rsid w:val="00A93DC6"/>
    <w:rsid w:val="00A9411A"/>
    <w:rsid w:val="00A948FA"/>
    <w:rsid w:val="00A94B5F"/>
    <w:rsid w:val="00AA3D01"/>
    <w:rsid w:val="00AA4290"/>
    <w:rsid w:val="00AA4A4B"/>
    <w:rsid w:val="00AA6682"/>
    <w:rsid w:val="00AA7003"/>
    <w:rsid w:val="00AA7396"/>
    <w:rsid w:val="00AB0613"/>
    <w:rsid w:val="00AB4864"/>
    <w:rsid w:val="00AB4D59"/>
    <w:rsid w:val="00AB4E34"/>
    <w:rsid w:val="00AB710A"/>
    <w:rsid w:val="00AB7C5C"/>
    <w:rsid w:val="00AB7CBF"/>
    <w:rsid w:val="00AC2E0C"/>
    <w:rsid w:val="00AC42C8"/>
    <w:rsid w:val="00AC5732"/>
    <w:rsid w:val="00AC605C"/>
    <w:rsid w:val="00AD0111"/>
    <w:rsid w:val="00AD0B68"/>
    <w:rsid w:val="00AD4C72"/>
    <w:rsid w:val="00AD4D92"/>
    <w:rsid w:val="00AD5451"/>
    <w:rsid w:val="00AD7951"/>
    <w:rsid w:val="00AE07F9"/>
    <w:rsid w:val="00AE1112"/>
    <w:rsid w:val="00AE1947"/>
    <w:rsid w:val="00AE261E"/>
    <w:rsid w:val="00AF1C8B"/>
    <w:rsid w:val="00AF299B"/>
    <w:rsid w:val="00AF4F4B"/>
    <w:rsid w:val="00AF5086"/>
    <w:rsid w:val="00AF7E43"/>
    <w:rsid w:val="00B02162"/>
    <w:rsid w:val="00B02AE0"/>
    <w:rsid w:val="00B035BA"/>
    <w:rsid w:val="00B03F25"/>
    <w:rsid w:val="00B05326"/>
    <w:rsid w:val="00B07076"/>
    <w:rsid w:val="00B10CD0"/>
    <w:rsid w:val="00B12C58"/>
    <w:rsid w:val="00B14545"/>
    <w:rsid w:val="00B14E60"/>
    <w:rsid w:val="00B1704B"/>
    <w:rsid w:val="00B17BA2"/>
    <w:rsid w:val="00B269FE"/>
    <w:rsid w:val="00B26DC3"/>
    <w:rsid w:val="00B27E5F"/>
    <w:rsid w:val="00B30B9D"/>
    <w:rsid w:val="00B356EA"/>
    <w:rsid w:val="00B415D2"/>
    <w:rsid w:val="00B4520D"/>
    <w:rsid w:val="00B4574D"/>
    <w:rsid w:val="00B468E1"/>
    <w:rsid w:val="00B46BC0"/>
    <w:rsid w:val="00B46DFB"/>
    <w:rsid w:val="00B5141B"/>
    <w:rsid w:val="00B54394"/>
    <w:rsid w:val="00B55157"/>
    <w:rsid w:val="00B55681"/>
    <w:rsid w:val="00B57AAD"/>
    <w:rsid w:val="00B62D6F"/>
    <w:rsid w:val="00B6374E"/>
    <w:rsid w:val="00B72B16"/>
    <w:rsid w:val="00B7532F"/>
    <w:rsid w:val="00B80408"/>
    <w:rsid w:val="00B81397"/>
    <w:rsid w:val="00B90D67"/>
    <w:rsid w:val="00B92554"/>
    <w:rsid w:val="00B925DB"/>
    <w:rsid w:val="00B967FF"/>
    <w:rsid w:val="00B974B9"/>
    <w:rsid w:val="00BA22B7"/>
    <w:rsid w:val="00BA3C9D"/>
    <w:rsid w:val="00BA3F6D"/>
    <w:rsid w:val="00BA4BE6"/>
    <w:rsid w:val="00BA4FC0"/>
    <w:rsid w:val="00BA531F"/>
    <w:rsid w:val="00BA59AB"/>
    <w:rsid w:val="00BA61E0"/>
    <w:rsid w:val="00BA657C"/>
    <w:rsid w:val="00BA6909"/>
    <w:rsid w:val="00BA7E42"/>
    <w:rsid w:val="00BA7F7D"/>
    <w:rsid w:val="00BB1C14"/>
    <w:rsid w:val="00BB25A3"/>
    <w:rsid w:val="00BB6847"/>
    <w:rsid w:val="00BB7F8F"/>
    <w:rsid w:val="00BC5C31"/>
    <w:rsid w:val="00BC716A"/>
    <w:rsid w:val="00BD07DF"/>
    <w:rsid w:val="00BD26F4"/>
    <w:rsid w:val="00BD5DBD"/>
    <w:rsid w:val="00BD5DF6"/>
    <w:rsid w:val="00BD7FFE"/>
    <w:rsid w:val="00BE0041"/>
    <w:rsid w:val="00BE640F"/>
    <w:rsid w:val="00BE6D2A"/>
    <w:rsid w:val="00BE77E1"/>
    <w:rsid w:val="00BF17F9"/>
    <w:rsid w:val="00BF25D5"/>
    <w:rsid w:val="00BF4638"/>
    <w:rsid w:val="00BF46DC"/>
    <w:rsid w:val="00BF5130"/>
    <w:rsid w:val="00BF5761"/>
    <w:rsid w:val="00C00844"/>
    <w:rsid w:val="00C00B29"/>
    <w:rsid w:val="00C013A6"/>
    <w:rsid w:val="00C059D0"/>
    <w:rsid w:val="00C07551"/>
    <w:rsid w:val="00C1109F"/>
    <w:rsid w:val="00C116E7"/>
    <w:rsid w:val="00C1211C"/>
    <w:rsid w:val="00C12D65"/>
    <w:rsid w:val="00C133AB"/>
    <w:rsid w:val="00C168CD"/>
    <w:rsid w:val="00C17759"/>
    <w:rsid w:val="00C20B56"/>
    <w:rsid w:val="00C22214"/>
    <w:rsid w:val="00C2494B"/>
    <w:rsid w:val="00C26F72"/>
    <w:rsid w:val="00C27D79"/>
    <w:rsid w:val="00C309A7"/>
    <w:rsid w:val="00C31EFF"/>
    <w:rsid w:val="00C335AB"/>
    <w:rsid w:val="00C3639D"/>
    <w:rsid w:val="00C40018"/>
    <w:rsid w:val="00C407AB"/>
    <w:rsid w:val="00C46ECF"/>
    <w:rsid w:val="00C52B3A"/>
    <w:rsid w:val="00C52B7B"/>
    <w:rsid w:val="00C547CD"/>
    <w:rsid w:val="00C570FF"/>
    <w:rsid w:val="00C57CEA"/>
    <w:rsid w:val="00C60E97"/>
    <w:rsid w:val="00C60FEC"/>
    <w:rsid w:val="00C61C01"/>
    <w:rsid w:val="00C61D69"/>
    <w:rsid w:val="00C62B1C"/>
    <w:rsid w:val="00C652CF"/>
    <w:rsid w:val="00C6574E"/>
    <w:rsid w:val="00C663D1"/>
    <w:rsid w:val="00C665D9"/>
    <w:rsid w:val="00C66F94"/>
    <w:rsid w:val="00C707FD"/>
    <w:rsid w:val="00C740A0"/>
    <w:rsid w:val="00C76537"/>
    <w:rsid w:val="00C76DEB"/>
    <w:rsid w:val="00C77B19"/>
    <w:rsid w:val="00C816C6"/>
    <w:rsid w:val="00C8405E"/>
    <w:rsid w:val="00C863A7"/>
    <w:rsid w:val="00C912F4"/>
    <w:rsid w:val="00C9156F"/>
    <w:rsid w:val="00C9581A"/>
    <w:rsid w:val="00C9665E"/>
    <w:rsid w:val="00C96AC5"/>
    <w:rsid w:val="00C97D29"/>
    <w:rsid w:val="00CA449C"/>
    <w:rsid w:val="00CB0550"/>
    <w:rsid w:val="00CB2F70"/>
    <w:rsid w:val="00CB34F6"/>
    <w:rsid w:val="00CB365D"/>
    <w:rsid w:val="00CB6813"/>
    <w:rsid w:val="00CD7E49"/>
    <w:rsid w:val="00CE00DB"/>
    <w:rsid w:val="00CE3529"/>
    <w:rsid w:val="00CE420D"/>
    <w:rsid w:val="00CE6D13"/>
    <w:rsid w:val="00CE7335"/>
    <w:rsid w:val="00CF306F"/>
    <w:rsid w:val="00CF6A55"/>
    <w:rsid w:val="00CF6DC6"/>
    <w:rsid w:val="00CF6DCF"/>
    <w:rsid w:val="00D01552"/>
    <w:rsid w:val="00D01979"/>
    <w:rsid w:val="00D01DDB"/>
    <w:rsid w:val="00D03A13"/>
    <w:rsid w:val="00D0410A"/>
    <w:rsid w:val="00D056B2"/>
    <w:rsid w:val="00D0692F"/>
    <w:rsid w:val="00D069D7"/>
    <w:rsid w:val="00D078BE"/>
    <w:rsid w:val="00D13F8A"/>
    <w:rsid w:val="00D1530F"/>
    <w:rsid w:val="00D16F60"/>
    <w:rsid w:val="00D17FA6"/>
    <w:rsid w:val="00D217B7"/>
    <w:rsid w:val="00D21F24"/>
    <w:rsid w:val="00D22981"/>
    <w:rsid w:val="00D23D3E"/>
    <w:rsid w:val="00D2512B"/>
    <w:rsid w:val="00D26E17"/>
    <w:rsid w:val="00D27CE5"/>
    <w:rsid w:val="00D3349B"/>
    <w:rsid w:val="00D33B9B"/>
    <w:rsid w:val="00D424A8"/>
    <w:rsid w:val="00D510A9"/>
    <w:rsid w:val="00D56B21"/>
    <w:rsid w:val="00D6036F"/>
    <w:rsid w:val="00D62877"/>
    <w:rsid w:val="00D62B19"/>
    <w:rsid w:val="00D63760"/>
    <w:rsid w:val="00D64CD2"/>
    <w:rsid w:val="00D6585B"/>
    <w:rsid w:val="00D66E12"/>
    <w:rsid w:val="00D6703F"/>
    <w:rsid w:val="00D7155B"/>
    <w:rsid w:val="00D734EB"/>
    <w:rsid w:val="00D82713"/>
    <w:rsid w:val="00D8506B"/>
    <w:rsid w:val="00D86F00"/>
    <w:rsid w:val="00D918D5"/>
    <w:rsid w:val="00D930BB"/>
    <w:rsid w:val="00D94290"/>
    <w:rsid w:val="00D94C8E"/>
    <w:rsid w:val="00D957F4"/>
    <w:rsid w:val="00DA4ED5"/>
    <w:rsid w:val="00DA5142"/>
    <w:rsid w:val="00DA5DCF"/>
    <w:rsid w:val="00DB1372"/>
    <w:rsid w:val="00DB192C"/>
    <w:rsid w:val="00DB1CF3"/>
    <w:rsid w:val="00DB43BD"/>
    <w:rsid w:val="00DB5425"/>
    <w:rsid w:val="00DB72A6"/>
    <w:rsid w:val="00DC1793"/>
    <w:rsid w:val="00DC6611"/>
    <w:rsid w:val="00DD48D9"/>
    <w:rsid w:val="00DD5AFB"/>
    <w:rsid w:val="00DD7E46"/>
    <w:rsid w:val="00DE1344"/>
    <w:rsid w:val="00DE476E"/>
    <w:rsid w:val="00DE4F22"/>
    <w:rsid w:val="00DE63F9"/>
    <w:rsid w:val="00DE7AD0"/>
    <w:rsid w:val="00DF5BFE"/>
    <w:rsid w:val="00DF6EC5"/>
    <w:rsid w:val="00E032E1"/>
    <w:rsid w:val="00E0523F"/>
    <w:rsid w:val="00E22701"/>
    <w:rsid w:val="00E232B2"/>
    <w:rsid w:val="00E23E50"/>
    <w:rsid w:val="00E26213"/>
    <w:rsid w:val="00E274DF"/>
    <w:rsid w:val="00E34D66"/>
    <w:rsid w:val="00E362C4"/>
    <w:rsid w:val="00E44813"/>
    <w:rsid w:val="00E46CC2"/>
    <w:rsid w:val="00E473C7"/>
    <w:rsid w:val="00E47E0C"/>
    <w:rsid w:val="00E51813"/>
    <w:rsid w:val="00E52C0B"/>
    <w:rsid w:val="00E53D3F"/>
    <w:rsid w:val="00E5579B"/>
    <w:rsid w:val="00E57FF4"/>
    <w:rsid w:val="00E6535E"/>
    <w:rsid w:val="00E679D1"/>
    <w:rsid w:val="00E67C1C"/>
    <w:rsid w:val="00E704D3"/>
    <w:rsid w:val="00E74ADB"/>
    <w:rsid w:val="00E77BDD"/>
    <w:rsid w:val="00E82A53"/>
    <w:rsid w:val="00E918F0"/>
    <w:rsid w:val="00E91F11"/>
    <w:rsid w:val="00E920BB"/>
    <w:rsid w:val="00E959C7"/>
    <w:rsid w:val="00E9706D"/>
    <w:rsid w:val="00EA137A"/>
    <w:rsid w:val="00EA228E"/>
    <w:rsid w:val="00EA246E"/>
    <w:rsid w:val="00EA3AF4"/>
    <w:rsid w:val="00EA6242"/>
    <w:rsid w:val="00EA6592"/>
    <w:rsid w:val="00EB0EBE"/>
    <w:rsid w:val="00EB18E1"/>
    <w:rsid w:val="00EB4266"/>
    <w:rsid w:val="00EC0179"/>
    <w:rsid w:val="00ED5E87"/>
    <w:rsid w:val="00EE4B01"/>
    <w:rsid w:val="00EE7F95"/>
    <w:rsid w:val="00EF1DBF"/>
    <w:rsid w:val="00EF3F0B"/>
    <w:rsid w:val="00EF3FED"/>
    <w:rsid w:val="00EF49EF"/>
    <w:rsid w:val="00EF5583"/>
    <w:rsid w:val="00F008F8"/>
    <w:rsid w:val="00F0289D"/>
    <w:rsid w:val="00F02AEC"/>
    <w:rsid w:val="00F06C6B"/>
    <w:rsid w:val="00F07572"/>
    <w:rsid w:val="00F14215"/>
    <w:rsid w:val="00F157FC"/>
    <w:rsid w:val="00F17799"/>
    <w:rsid w:val="00F244B2"/>
    <w:rsid w:val="00F24B1E"/>
    <w:rsid w:val="00F302DB"/>
    <w:rsid w:val="00F30AF3"/>
    <w:rsid w:val="00F3144D"/>
    <w:rsid w:val="00F33F57"/>
    <w:rsid w:val="00F35456"/>
    <w:rsid w:val="00F36B7A"/>
    <w:rsid w:val="00F40754"/>
    <w:rsid w:val="00F42C3A"/>
    <w:rsid w:val="00F43CD1"/>
    <w:rsid w:val="00F43FB6"/>
    <w:rsid w:val="00F45AE0"/>
    <w:rsid w:val="00F47150"/>
    <w:rsid w:val="00F50B59"/>
    <w:rsid w:val="00F520F3"/>
    <w:rsid w:val="00F54BCC"/>
    <w:rsid w:val="00F5794B"/>
    <w:rsid w:val="00F600B6"/>
    <w:rsid w:val="00F60CF2"/>
    <w:rsid w:val="00F6142D"/>
    <w:rsid w:val="00F61DB3"/>
    <w:rsid w:val="00F637FA"/>
    <w:rsid w:val="00F657B4"/>
    <w:rsid w:val="00F65C15"/>
    <w:rsid w:val="00F71064"/>
    <w:rsid w:val="00F72F32"/>
    <w:rsid w:val="00F74561"/>
    <w:rsid w:val="00F7649F"/>
    <w:rsid w:val="00F7789A"/>
    <w:rsid w:val="00F8083B"/>
    <w:rsid w:val="00F82D1B"/>
    <w:rsid w:val="00F8311A"/>
    <w:rsid w:val="00F8568E"/>
    <w:rsid w:val="00F865A7"/>
    <w:rsid w:val="00F873AE"/>
    <w:rsid w:val="00FA0754"/>
    <w:rsid w:val="00FA1BC9"/>
    <w:rsid w:val="00FA1C1E"/>
    <w:rsid w:val="00FA46FA"/>
    <w:rsid w:val="00FA49C3"/>
    <w:rsid w:val="00FB236E"/>
    <w:rsid w:val="00FB26D0"/>
    <w:rsid w:val="00FB3DD9"/>
    <w:rsid w:val="00FB3F7B"/>
    <w:rsid w:val="00FB3FB0"/>
    <w:rsid w:val="00FB4C2A"/>
    <w:rsid w:val="00FC2107"/>
    <w:rsid w:val="00FC48FE"/>
    <w:rsid w:val="00FC6F56"/>
    <w:rsid w:val="00FD3AB7"/>
    <w:rsid w:val="00FD41B4"/>
    <w:rsid w:val="00FD62CD"/>
    <w:rsid w:val="00FE087C"/>
    <w:rsid w:val="00FE1ED5"/>
    <w:rsid w:val="00FE79A0"/>
    <w:rsid w:val="00FF0939"/>
    <w:rsid w:val="00FF11DE"/>
    <w:rsid w:val="00FF1F5B"/>
    <w:rsid w:val="00FF3ADB"/>
    <w:rsid w:val="00FF3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8A6503"/>
    <w:pPr>
      <w:widowControl w:val="0"/>
      <w:autoSpaceDE w:val="0"/>
      <w:autoSpaceDN w:val="0"/>
      <w:spacing w:after="0" w:line="240" w:lineRule="auto"/>
    </w:pPr>
    <w:rPr>
      <w:rFonts w:eastAsia="Cambria" w:cs="Cambria"/>
      <w:szCs w:val="22"/>
      <w:lang w:val="en-US"/>
    </w:rPr>
  </w:style>
  <w:style w:type="paragraph" w:customStyle="1" w:styleId="Tabletext0">
    <w:name w:val="Table text"/>
    <w:basedOn w:val="Normal"/>
    <w:link w:val="TabletextChar"/>
    <w:qFormat/>
    <w:rsid w:val="00AF5086"/>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AF5086"/>
    <w:rPr>
      <w:rFonts w:ascii="Cambria" w:eastAsia="Times New Roman" w:hAnsi="Cambria" w:cs="Times New Roman"/>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861624541">
      <w:bodyDiv w:val="1"/>
      <w:marLeft w:val="0"/>
      <w:marRight w:val="0"/>
      <w:marTop w:val="0"/>
      <w:marBottom w:val="0"/>
      <w:divBdr>
        <w:top w:val="none" w:sz="0" w:space="0" w:color="auto"/>
        <w:left w:val="none" w:sz="0" w:space="0" w:color="auto"/>
        <w:bottom w:val="none" w:sz="0" w:space="0" w:color="auto"/>
        <w:right w:val="none" w:sz="0" w:space="0" w:color="auto"/>
      </w:divBdr>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5.jpeg"/><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ebs.tga.gov.au/" TargetMode="External"/><Relationship Id="rId34" Type="http://schemas.microsoft.com/office/2007/relationships/hdphoto" Target="media/hdphoto3.wdp"/><Relationship Id="rId42" Type="http://schemas.microsoft.com/office/2007/relationships/hdphoto" Target="media/hdphoto5.wdp"/><Relationship Id="rId47" Type="http://schemas.openxmlformats.org/officeDocument/2006/relationships/header" Target="header4.xml"/><Relationship Id="rId50" Type="http://schemas.openxmlformats.org/officeDocument/2006/relationships/hyperlink" Target="https://www.tga.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tga.gov.au/" TargetMode="External"/><Relationship Id="rId33" Type="http://schemas.openxmlformats.org/officeDocument/2006/relationships/image" Target="media/image9.png"/><Relationship Id="rId38" Type="http://schemas.microsoft.com/office/2007/relationships/hdphoto" Target="media/hdphoto4.wdp"/><Relationship Id="rId46" Type="http://schemas.openxmlformats.org/officeDocument/2006/relationships/hyperlink" Target="https://www.ebs.tga.gov.au/"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ga.gov.au/black-triangle-scheme" TargetMode="External"/><Relationship Id="rId29"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32" Type="http://schemas.microsoft.com/office/2007/relationships/hdphoto" Target="media/hdphoto2.wdp"/><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hyperlink" Target="https://www.tga.gov.au/committee/advisory-committee-medicines-acm"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image" Target="media/image11.emf"/><Relationship Id="rId49"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8.png"/><Relationship Id="rId44" Type="http://schemas.microsoft.com/office/2007/relationships/hdphoto" Target="media/hdphoto6.wdp"/><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5.png"/><Relationship Id="rId30" Type="http://schemas.microsoft.com/office/2007/relationships/hdphoto" Target="media/hdphoto1.wdp"/><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s://www.ema.europa.eu/en/ich-m3-r2-non-clinical-safety-studies-conduct-human-clinical-trials-pharmaceuticals-scientific-guideline"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31132AD29788428B9CE3736B94308A" ma:contentTypeVersion="4" ma:contentTypeDescription="Crée un document." ma:contentTypeScope="" ma:versionID="dabb148d607fcd8dafc8ada53a3b77a2">
  <xsd:schema xmlns:xsd="http://www.w3.org/2001/XMLSchema" xmlns:xs="http://www.w3.org/2001/XMLSchema" xmlns:p="http://schemas.microsoft.com/office/2006/metadata/properties" xmlns:ns2="fbde3026-77f2-4010-b922-9f7f23a60623" targetNamespace="http://schemas.microsoft.com/office/2006/metadata/properties" ma:root="true" ma:fieldsID="2e1ed0d5126b195fe93d46d96dbabe37" ns2:_="">
    <xsd:import namespace="fbde3026-77f2-4010-b922-9f7f23a606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e3026-77f2-4010-b922-9f7f23a60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2F5AC8-EF31-40BE-B627-A55FF2106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e3026-77f2-4010-b922-9f7f23a606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CC4F71-EABE-4763-B720-029CD14F6DF9}">
  <ds:schemaRefs>
    <ds:schemaRef ds:uri="http://schemas.microsoft.com/sharepoint/v3/contenttype/forms"/>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8BC07CC4-66BA-4DAA-B517-6E8D692923C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152178ca-dac4-4066-8a31-806d8e21b17d}" enabled="0" method="" siteId="{152178ca-dac4-4066-8a31-806d8e21b17d}" removed="1"/>
</clbl:labelList>
</file>

<file path=docProps/app.xml><?xml version="1.0" encoding="utf-8"?>
<Properties xmlns="http://schemas.openxmlformats.org/officeDocument/2006/extended-properties" xmlns:vt="http://schemas.openxmlformats.org/officeDocument/2006/docPropsVTypes">
  <Template>Normal.dotm</Template>
  <TotalTime>367</TotalTime>
  <Pages>28</Pages>
  <Words>6687</Words>
  <Characters>38119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Elucirem and Vueway</dc:title>
  <dc:subject>Prescription medicines</dc:subject>
  <dc:creator>Therapeutic Goods Administration</dc:creator>
  <cp:keywords/>
  <dc:description/>
  <cp:lastModifiedBy>MANNY, Kristy</cp:lastModifiedBy>
  <cp:revision>29</cp:revision>
  <cp:lastPrinted>2025-08-22T03:49:00Z</cp:lastPrinted>
  <dcterms:created xsi:type="dcterms:W3CDTF">2025-08-21T00:18:00Z</dcterms:created>
  <dcterms:modified xsi:type="dcterms:W3CDTF">2025-08-22T04:37:00Z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0x010100E131132AD29788428B9CE3736B94308A</vt:lpwstr>
  </property>
</Properties>
</file>