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131F3B8" w14:textId="77777777" w:rsidR="00F02AEC" w:rsidRDefault="00346EC2" w:rsidP="007452E8">
            <w:pPr>
              <w:pStyle w:val="Title"/>
            </w:pPr>
            <w:r w:rsidRPr="00346EC2">
              <w:t xml:space="preserve">Australian Public Assessment Report for </w:t>
            </w:r>
            <w:r w:rsidR="000707E8">
              <w:t>Cap</w:t>
            </w:r>
            <w:r w:rsidR="004C3A5A">
              <w:t>vaxive</w:t>
            </w:r>
          </w:p>
          <w:p w14:paraId="2538A211" w14:textId="7961A1C0" w:rsidR="00AF779D" w:rsidRPr="00215D48" w:rsidRDefault="00AF779D" w:rsidP="007452E8">
            <w:pPr>
              <w:pStyle w:val="Title"/>
            </w:pPr>
          </w:p>
        </w:tc>
      </w:tr>
      <w:tr w:rsidR="00F02AEC" w:rsidRPr="00215D48" w14:paraId="318A40A3" w14:textId="77777777" w:rsidTr="00346EC2">
        <w:trPr>
          <w:trHeight w:val="995"/>
        </w:trPr>
        <w:tc>
          <w:tcPr>
            <w:tcW w:w="8720" w:type="dxa"/>
          </w:tcPr>
          <w:p w14:paraId="4EC3F1F6" w14:textId="77777777" w:rsidR="00487098" w:rsidRDefault="00346EC2" w:rsidP="0052636A">
            <w:pPr>
              <w:pStyle w:val="Subtitle"/>
              <w:ind w:left="0"/>
            </w:pPr>
            <w:r w:rsidRPr="00346EC2">
              <w:t xml:space="preserve">Active ingredient: </w:t>
            </w:r>
            <w:r w:rsidR="00487098">
              <w:t>Pneumococcal 21-valent Conjugate Vaccine</w:t>
            </w:r>
          </w:p>
          <w:p w14:paraId="1AA7C701" w14:textId="0C5BA709" w:rsidR="0052636A" w:rsidRPr="00215D48" w:rsidRDefault="0052636A" w:rsidP="0052636A">
            <w:pPr>
              <w:pStyle w:val="Subtitle"/>
              <w:ind w:left="0"/>
            </w:pPr>
          </w:p>
        </w:tc>
      </w:tr>
      <w:tr w:rsidR="00346EC2" w:rsidRPr="00215D48" w14:paraId="362CCAE4" w14:textId="77777777" w:rsidTr="007452E8">
        <w:trPr>
          <w:trHeight w:val="1916"/>
        </w:trPr>
        <w:tc>
          <w:tcPr>
            <w:tcW w:w="8720" w:type="dxa"/>
          </w:tcPr>
          <w:p w14:paraId="709C45C0" w14:textId="387F279C" w:rsidR="00346EC2" w:rsidRPr="00C11E95" w:rsidRDefault="00346EC2" w:rsidP="007A5D3D">
            <w:pPr>
              <w:pStyle w:val="Subtitle"/>
              <w:ind w:left="0"/>
              <w:rPr>
                <w:sz w:val="36"/>
                <w:szCs w:val="36"/>
              </w:rPr>
            </w:pPr>
            <w:r w:rsidRPr="00C11E95">
              <w:rPr>
                <w:sz w:val="36"/>
                <w:szCs w:val="36"/>
              </w:rPr>
              <w:t>Sponsor:</w:t>
            </w:r>
            <w:r w:rsidR="00487098" w:rsidRPr="00C11E95">
              <w:rPr>
                <w:sz w:val="36"/>
                <w:szCs w:val="36"/>
              </w:rPr>
              <w:t xml:space="preserve"> Merck Sha</w:t>
            </w:r>
            <w:r w:rsidR="007A5D3D" w:rsidRPr="00C11E95">
              <w:rPr>
                <w:sz w:val="36"/>
                <w:szCs w:val="36"/>
              </w:rPr>
              <w:t>rp &amp; Dohme (Australia) Pty Ltd</w:t>
            </w:r>
          </w:p>
        </w:tc>
      </w:tr>
      <w:tr w:rsidR="00F02AEC" w:rsidRPr="00215D48" w14:paraId="37F2AA1F" w14:textId="77777777" w:rsidTr="007452E8">
        <w:tc>
          <w:tcPr>
            <w:tcW w:w="8720" w:type="dxa"/>
          </w:tcPr>
          <w:p w14:paraId="1FDE8DCD" w14:textId="3CC209BD" w:rsidR="00F02AEC" w:rsidRPr="00215D48" w:rsidRDefault="008975A8" w:rsidP="007452E8">
            <w:pPr>
              <w:pStyle w:val="Date"/>
            </w:pPr>
            <w:r>
              <w:t xml:space="preserve">August </w:t>
            </w:r>
            <w:r w:rsidR="00B660FD">
              <w:t>2025</w:t>
            </w:r>
          </w:p>
        </w:tc>
      </w:tr>
    </w:tbl>
    <w:p w14:paraId="35DEF95C" w14:textId="77777777" w:rsidR="00F02AEC" w:rsidRDefault="00F02AEC" w:rsidP="007452E8">
      <w:pPr>
        <w:pStyle w:val="ListBullet"/>
        <w:numPr>
          <w:ilvl w:val="0"/>
          <w:numId w:val="0"/>
        </w:numPr>
      </w:pPr>
    </w:p>
    <w:p w14:paraId="73752706" w14:textId="77777777" w:rsidR="00AF779D" w:rsidRPr="00215D48" w:rsidRDefault="00AF779D" w:rsidP="007452E8">
      <w:pPr>
        <w:pStyle w:val="ListBullet"/>
        <w:numPr>
          <w:ilvl w:val="0"/>
          <w:numId w:val="0"/>
        </w:numPr>
        <w:sectPr w:rsidR="00AF779D"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486C872"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546DFF">
        <w:t xml:space="preserve">, Disability and </w:t>
      </w:r>
      <w:r w:rsidR="005C41EB">
        <w:t>Ageing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9DB7DA6" w:rsidR="00175CD8" w:rsidRPr="00346EC2" w:rsidRDefault="00F02AEC" w:rsidP="00346EC2">
      <w:pPr>
        <w:pStyle w:val="LegalCopy"/>
        <w:rPr>
          <w:rFonts w:cs="Arial"/>
        </w:rPr>
      </w:pPr>
      <w:r w:rsidRPr="00215D48">
        <w:rPr>
          <w:rFonts w:cs="Arial"/>
        </w:rPr>
        <w:t>© Commonwealth of Australia 20</w:t>
      </w:r>
      <w:r>
        <w:rPr>
          <w:rFonts w:cs="Arial"/>
        </w:rPr>
        <w:t>2</w:t>
      </w:r>
      <w:r w:rsidR="00AF779D">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w:t>
      </w:r>
      <w:r w:rsidR="00CB3D6C">
        <w:rPr>
          <w:rFonts w:cs="Arial"/>
        </w:rPr>
        <w:t>,</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25DCA358" w14:textId="5674F44F" w:rsidR="007517F5"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7110429" w:history="1">
            <w:r w:rsidR="007517F5" w:rsidRPr="00A07C83">
              <w:rPr>
                <w:rStyle w:val="Hyperlink"/>
                <w:noProof/>
              </w:rPr>
              <w:t>List of abbreviations</w:t>
            </w:r>
            <w:r w:rsidR="007517F5">
              <w:rPr>
                <w:noProof/>
                <w:webHidden/>
              </w:rPr>
              <w:tab/>
            </w:r>
            <w:r w:rsidR="007517F5">
              <w:rPr>
                <w:noProof/>
                <w:webHidden/>
              </w:rPr>
              <w:fldChar w:fldCharType="begin"/>
            </w:r>
            <w:r w:rsidR="007517F5">
              <w:rPr>
                <w:noProof/>
                <w:webHidden/>
              </w:rPr>
              <w:instrText xml:space="preserve"> PAGEREF _Toc207110429 \h </w:instrText>
            </w:r>
            <w:r w:rsidR="007517F5">
              <w:rPr>
                <w:noProof/>
                <w:webHidden/>
              </w:rPr>
            </w:r>
            <w:r w:rsidR="007517F5">
              <w:rPr>
                <w:noProof/>
                <w:webHidden/>
              </w:rPr>
              <w:fldChar w:fldCharType="separate"/>
            </w:r>
            <w:r w:rsidR="007517F5">
              <w:rPr>
                <w:noProof/>
                <w:webHidden/>
              </w:rPr>
              <w:t>4</w:t>
            </w:r>
            <w:r w:rsidR="007517F5">
              <w:rPr>
                <w:noProof/>
                <w:webHidden/>
              </w:rPr>
              <w:fldChar w:fldCharType="end"/>
            </w:r>
          </w:hyperlink>
        </w:p>
        <w:p w14:paraId="1C732815" w14:textId="623CAECC" w:rsidR="007517F5" w:rsidRDefault="007517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10430" w:history="1">
            <w:r w:rsidRPr="00A07C83">
              <w:rPr>
                <w:rStyle w:val="Hyperlink"/>
                <w:noProof/>
              </w:rPr>
              <w:t>Product submission</w:t>
            </w:r>
            <w:r>
              <w:rPr>
                <w:noProof/>
                <w:webHidden/>
              </w:rPr>
              <w:tab/>
            </w:r>
            <w:r>
              <w:rPr>
                <w:noProof/>
                <w:webHidden/>
              </w:rPr>
              <w:fldChar w:fldCharType="begin"/>
            </w:r>
            <w:r>
              <w:rPr>
                <w:noProof/>
                <w:webHidden/>
              </w:rPr>
              <w:instrText xml:space="preserve"> PAGEREF _Toc207110430 \h </w:instrText>
            </w:r>
            <w:r>
              <w:rPr>
                <w:noProof/>
                <w:webHidden/>
              </w:rPr>
            </w:r>
            <w:r>
              <w:rPr>
                <w:noProof/>
                <w:webHidden/>
              </w:rPr>
              <w:fldChar w:fldCharType="separate"/>
            </w:r>
            <w:r>
              <w:rPr>
                <w:noProof/>
                <w:webHidden/>
              </w:rPr>
              <w:t>6</w:t>
            </w:r>
            <w:r>
              <w:rPr>
                <w:noProof/>
                <w:webHidden/>
              </w:rPr>
              <w:fldChar w:fldCharType="end"/>
            </w:r>
          </w:hyperlink>
        </w:p>
        <w:p w14:paraId="08D5818D" w14:textId="2CA31110"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31" w:history="1">
            <w:r w:rsidRPr="00A07C83">
              <w:rPr>
                <w:rStyle w:val="Hyperlink"/>
                <w:noProof/>
                <w:lang w:eastAsia="en-AU"/>
              </w:rPr>
              <w:t>Submission details</w:t>
            </w:r>
            <w:r>
              <w:rPr>
                <w:noProof/>
                <w:webHidden/>
              </w:rPr>
              <w:tab/>
            </w:r>
            <w:r>
              <w:rPr>
                <w:noProof/>
                <w:webHidden/>
              </w:rPr>
              <w:fldChar w:fldCharType="begin"/>
            </w:r>
            <w:r>
              <w:rPr>
                <w:noProof/>
                <w:webHidden/>
              </w:rPr>
              <w:instrText xml:space="preserve"> PAGEREF _Toc207110431 \h </w:instrText>
            </w:r>
            <w:r>
              <w:rPr>
                <w:noProof/>
                <w:webHidden/>
              </w:rPr>
            </w:r>
            <w:r>
              <w:rPr>
                <w:noProof/>
                <w:webHidden/>
              </w:rPr>
              <w:fldChar w:fldCharType="separate"/>
            </w:r>
            <w:r>
              <w:rPr>
                <w:noProof/>
                <w:webHidden/>
              </w:rPr>
              <w:t>6</w:t>
            </w:r>
            <w:r>
              <w:rPr>
                <w:noProof/>
                <w:webHidden/>
              </w:rPr>
              <w:fldChar w:fldCharType="end"/>
            </w:r>
          </w:hyperlink>
        </w:p>
        <w:p w14:paraId="01D7C27D" w14:textId="4E6059B7"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32" w:history="1">
            <w:r w:rsidRPr="00A07C83">
              <w:rPr>
                <w:rStyle w:val="Hyperlink"/>
                <w:noProof/>
              </w:rPr>
              <w:t>Product background</w:t>
            </w:r>
            <w:r>
              <w:rPr>
                <w:noProof/>
                <w:webHidden/>
              </w:rPr>
              <w:tab/>
            </w:r>
            <w:r>
              <w:rPr>
                <w:noProof/>
                <w:webHidden/>
              </w:rPr>
              <w:fldChar w:fldCharType="begin"/>
            </w:r>
            <w:r>
              <w:rPr>
                <w:noProof/>
                <w:webHidden/>
              </w:rPr>
              <w:instrText xml:space="preserve"> PAGEREF _Toc207110432 \h </w:instrText>
            </w:r>
            <w:r>
              <w:rPr>
                <w:noProof/>
                <w:webHidden/>
              </w:rPr>
            </w:r>
            <w:r>
              <w:rPr>
                <w:noProof/>
                <w:webHidden/>
              </w:rPr>
              <w:fldChar w:fldCharType="separate"/>
            </w:r>
            <w:r>
              <w:rPr>
                <w:noProof/>
                <w:webHidden/>
              </w:rPr>
              <w:t>7</w:t>
            </w:r>
            <w:r>
              <w:rPr>
                <w:noProof/>
                <w:webHidden/>
              </w:rPr>
              <w:fldChar w:fldCharType="end"/>
            </w:r>
          </w:hyperlink>
        </w:p>
        <w:p w14:paraId="4D4CD4BB" w14:textId="05AA4844"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33" w:history="1">
            <w:r w:rsidRPr="00A07C83">
              <w:rPr>
                <w:rStyle w:val="Hyperlink"/>
                <w:noProof/>
              </w:rPr>
              <w:t>Disease or condition</w:t>
            </w:r>
            <w:r>
              <w:rPr>
                <w:noProof/>
                <w:webHidden/>
              </w:rPr>
              <w:tab/>
            </w:r>
            <w:r>
              <w:rPr>
                <w:noProof/>
                <w:webHidden/>
              </w:rPr>
              <w:fldChar w:fldCharType="begin"/>
            </w:r>
            <w:r>
              <w:rPr>
                <w:noProof/>
                <w:webHidden/>
              </w:rPr>
              <w:instrText xml:space="preserve"> PAGEREF _Toc207110433 \h </w:instrText>
            </w:r>
            <w:r>
              <w:rPr>
                <w:noProof/>
                <w:webHidden/>
              </w:rPr>
            </w:r>
            <w:r>
              <w:rPr>
                <w:noProof/>
                <w:webHidden/>
              </w:rPr>
              <w:fldChar w:fldCharType="separate"/>
            </w:r>
            <w:r>
              <w:rPr>
                <w:noProof/>
                <w:webHidden/>
              </w:rPr>
              <w:t>7</w:t>
            </w:r>
            <w:r>
              <w:rPr>
                <w:noProof/>
                <w:webHidden/>
              </w:rPr>
              <w:fldChar w:fldCharType="end"/>
            </w:r>
          </w:hyperlink>
        </w:p>
        <w:p w14:paraId="1789E0EE" w14:textId="3B05A7A6"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34" w:history="1">
            <w:r w:rsidRPr="00A07C83">
              <w:rPr>
                <w:rStyle w:val="Hyperlink"/>
                <w:noProof/>
              </w:rPr>
              <w:t>Current treatment options</w:t>
            </w:r>
            <w:r>
              <w:rPr>
                <w:noProof/>
                <w:webHidden/>
              </w:rPr>
              <w:tab/>
            </w:r>
            <w:r>
              <w:rPr>
                <w:noProof/>
                <w:webHidden/>
              </w:rPr>
              <w:fldChar w:fldCharType="begin"/>
            </w:r>
            <w:r>
              <w:rPr>
                <w:noProof/>
                <w:webHidden/>
              </w:rPr>
              <w:instrText xml:space="preserve"> PAGEREF _Toc207110434 \h </w:instrText>
            </w:r>
            <w:r>
              <w:rPr>
                <w:noProof/>
                <w:webHidden/>
              </w:rPr>
            </w:r>
            <w:r>
              <w:rPr>
                <w:noProof/>
                <w:webHidden/>
              </w:rPr>
              <w:fldChar w:fldCharType="separate"/>
            </w:r>
            <w:r>
              <w:rPr>
                <w:noProof/>
                <w:webHidden/>
              </w:rPr>
              <w:t>8</w:t>
            </w:r>
            <w:r>
              <w:rPr>
                <w:noProof/>
                <w:webHidden/>
              </w:rPr>
              <w:fldChar w:fldCharType="end"/>
            </w:r>
          </w:hyperlink>
        </w:p>
        <w:p w14:paraId="1F86D085" w14:textId="2E8B4933"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35" w:history="1">
            <w:r w:rsidRPr="00A07C83">
              <w:rPr>
                <w:rStyle w:val="Hyperlink"/>
                <w:noProof/>
              </w:rPr>
              <w:t>Clinical rationale</w:t>
            </w:r>
            <w:r>
              <w:rPr>
                <w:noProof/>
                <w:webHidden/>
              </w:rPr>
              <w:tab/>
            </w:r>
            <w:r>
              <w:rPr>
                <w:noProof/>
                <w:webHidden/>
              </w:rPr>
              <w:fldChar w:fldCharType="begin"/>
            </w:r>
            <w:r>
              <w:rPr>
                <w:noProof/>
                <w:webHidden/>
              </w:rPr>
              <w:instrText xml:space="preserve"> PAGEREF _Toc207110435 \h </w:instrText>
            </w:r>
            <w:r>
              <w:rPr>
                <w:noProof/>
                <w:webHidden/>
              </w:rPr>
            </w:r>
            <w:r>
              <w:rPr>
                <w:noProof/>
                <w:webHidden/>
              </w:rPr>
              <w:fldChar w:fldCharType="separate"/>
            </w:r>
            <w:r>
              <w:rPr>
                <w:noProof/>
                <w:webHidden/>
              </w:rPr>
              <w:t>8</w:t>
            </w:r>
            <w:r>
              <w:rPr>
                <w:noProof/>
                <w:webHidden/>
              </w:rPr>
              <w:fldChar w:fldCharType="end"/>
            </w:r>
          </w:hyperlink>
        </w:p>
        <w:p w14:paraId="11FA51CA" w14:textId="52F80507"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36" w:history="1">
            <w:r w:rsidRPr="00A07C83">
              <w:rPr>
                <w:rStyle w:val="Hyperlink"/>
                <w:noProof/>
              </w:rPr>
              <w:t>Regulatory status</w:t>
            </w:r>
            <w:r>
              <w:rPr>
                <w:noProof/>
                <w:webHidden/>
              </w:rPr>
              <w:tab/>
            </w:r>
            <w:r>
              <w:rPr>
                <w:noProof/>
                <w:webHidden/>
              </w:rPr>
              <w:fldChar w:fldCharType="begin"/>
            </w:r>
            <w:r>
              <w:rPr>
                <w:noProof/>
                <w:webHidden/>
              </w:rPr>
              <w:instrText xml:space="preserve"> PAGEREF _Toc207110436 \h </w:instrText>
            </w:r>
            <w:r>
              <w:rPr>
                <w:noProof/>
                <w:webHidden/>
              </w:rPr>
            </w:r>
            <w:r>
              <w:rPr>
                <w:noProof/>
                <w:webHidden/>
              </w:rPr>
              <w:fldChar w:fldCharType="separate"/>
            </w:r>
            <w:r>
              <w:rPr>
                <w:noProof/>
                <w:webHidden/>
              </w:rPr>
              <w:t>10</w:t>
            </w:r>
            <w:r>
              <w:rPr>
                <w:noProof/>
                <w:webHidden/>
              </w:rPr>
              <w:fldChar w:fldCharType="end"/>
            </w:r>
          </w:hyperlink>
        </w:p>
        <w:p w14:paraId="4B207332" w14:textId="7B8DB2B3"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37" w:history="1">
            <w:r w:rsidRPr="00A07C83">
              <w:rPr>
                <w:rStyle w:val="Hyperlink"/>
                <w:noProof/>
              </w:rPr>
              <w:t>Australian regulatory status</w:t>
            </w:r>
            <w:r>
              <w:rPr>
                <w:noProof/>
                <w:webHidden/>
              </w:rPr>
              <w:tab/>
            </w:r>
            <w:r>
              <w:rPr>
                <w:noProof/>
                <w:webHidden/>
              </w:rPr>
              <w:fldChar w:fldCharType="begin"/>
            </w:r>
            <w:r>
              <w:rPr>
                <w:noProof/>
                <w:webHidden/>
              </w:rPr>
              <w:instrText xml:space="preserve"> PAGEREF _Toc207110437 \h </w:instrText>
            </w:r>
            <w:r>
              <w:rPr>
                <w:noProof/>
                <w:webHidden/>
              </w:rPr>
            </w:r>
            <w:r>
              <w:rPr>
                <w:noProof/>
                <w:webHidden/>
              </w:rPr>
              <w:fldChar w:fldCharType="separate"/>
            </w:r>
            <w:r>
              <w:rPr>
                <w:noProof/>
                <w:webHidden/>
              </w:rPr>
              <w:t>10</w:t>
            </w:r>
            <w:r>
              <w:rPr>
                <w:noProof/>
                <w:webHidden/>
              </w:rPr>
              <w:fldChar w:fldCharType="end"/>
            </w:r>
          </w:hyperlink>
        </w:p>
        <w:p w14:paraId="36F02393" w14:textId="4EC38F98"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38" w:history="1">
            <w:r w:rsidRPr="00A07C83">
              <w:rPr>
                <w:rStyle w:val="Hyperlink"/>
                <w:noProof/>
              </w:rPr>
              <w:t>International regulatory status</w:t>
            </w:r>
            <w:r>
              <w:rPr>
                <w:noProof/>
                <w:webHidden/>
              </w:rPr>
              <w:tab/>
            </w:r>
            <w:r>
              <w:rPr>
                <w:noProof/>
                <w:webHidden/>
              </w:rPr>
              <w:fldChar w:fldCharType="begin"/>
            </w:r>
            <w:r>
              <w:rPr>
                <w:noProof/>
                <w:webHidden/>
              </w:rPr>
              <w:instrText xml:space="preserve"> PAGEREF _Toc207110438 \h </w:instrText>
            </w:r>
            <w:r>
              <w:rPr>
                <w:noProof/>
                <w:webHidden/>
              </w:rPr>
            </w:r>
            <w:r>
              <w:rPr>
                <w:noProof/>
                <w:webHidden/>
              </w:rPr>
              <w:fldChar w:fldCharType="separate"/>
            </w:r>
            <w:r>
              <w:rPr>
                <w:noProof/>
                <w:webHidden/>
              </w:rPr>
              <w:t>10</w:t>
            </w:r>
            <w:r>
              <w:rPr>
                <w:noProof/>
                <w:webHidden/>
              </w:rPr>
              <w:fldChar w:fldCharType="end"/>
            </w:r>
          </w:hyperlink>
        </w:p>
        <w:p w14:paraId="35919326" w14:textId="2A2473B3" w:rsidR="007517F5" w:rsidRDefault="007517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10439" w:history="1">
            <w:r w:rsidRPr="00A07C83">
              <w:rPr>
                <w:rStyle w:val="Hyperlink"/>
                <w:noProof/>
              </w:rPr>
              <w:t>Registration timeline</w:t>
            </w:r>
            <w:r>
              <w:rPr>
                <w:noProof/>
                <w:webHidden/>
              </w:rPr>
              <w:tab/>
            </w:r>
            <w:r>
              <w:rPr>
                <w:noProof/>
                <w:webHidden/>
              </w:rPr>
              <w:fldChar w:fldCharType="begin"/>
            </w:r>
            <w:r>
              <w:rPr>
                <w:noProof/>
                <w:webHidden/>
              </w:rPr>
              <w:instrText xml:space="preserve"> PAGEREF _Toc207110439 \h </w:instrText>
            </w:r>
            <w:r>
              <w:rPr>
                <w:noProof/>
                <w:webHidden/>
              </w:rPr>
            </w:r>
            <w:r>
              <w:rPr>
                <w:noProof/>
                <w:webHidden/>
              </w:rPr>
              <w:fldChar w:fldCharType="separate"/>
            </w:r>
            <w:r>
              <w:rPr>
                <w:noProof/>
                <w:webHidden/>
              </w:rPr>
              <w:t>11</w:t>
            </w:r>
            <w:r>
              <w:rPr>
                <w:noProof/>
                <w:webHidden/>
              </w:rPr>
              <w:fldChar w:fldCharType="end"/>
            </w:r>
          </w:hyperlink>
        </w:p>
        <w:p w14:paraId="2CC6DCFE" w14:textId="27884A20" w:rsidR="007517F5" w:rsidRDefault="007517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10440" w:history="1">
            <w:r w:rsidRPr="00A07C83">
              <w:rPr>
                <w:rStyle w:val="Hyperlink"/>
                <w:noProof/>
              </w:rPr>
              <w:t>Assessment overview</w:t>
            </w:r>
            <w:r>
              <w:rPr>
                <w:noProof/>
                <w:webHidden/>
              </w:rPr>
              <w:tab/>
            </w:r>
            <w:r>
              <w:rPr>
                <w:noProof/>
                <w:webHidden/>
              </w:rPr>
              <w:fldChar w:fldCharType="begin"/>
            </w:r>
            <w:r>
              <w:rPr>
                <w:noProof/>
                <w:webHidden/>
              </w:rPr>
              <w:instrText xml:space="preserve"> PAGEREF _Toc207110440 \h </w:instrText>
            </w:r>
            <w:r>
              <w:rPr>
                <w:noProof/>
                <w:webHidden/>
              </w:rPr>
            </w:r>
            <w:r>
              <w:rPr>
                <w:noProof/>
                <w:webHidden/>
              </w:rPr>
              <w:fldChar w:fldCharType="separate"/>
            </w:r>
            <w:r>
              <w:rPr>
                <w:noProof/>
                <w:webHidden/>
              </w:rPr>
              <w:t>11</w:t>
            </w:r>
            <w:r>
              <w:rPr>
                <w:noProof/>
                <w:webHidden/>
              </w:rPr>
              <w:fldChar w:fldCharType="end"/>
            </w:r>
          </w:hyperlink>
        </w:p>
        <w:p w14:paraId="6418BAFD" w14:textId="6B7EEADC"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41" w:history="1">
            <w:r w:rsidRPr="00A07C83">
              <w:rPr>
                <w:rStyle w:val="Hyperlink"/>
                <w:noProof/>
              </w:rPr>
              <w:t>Quality evaluation summary</w:t>
            </w:r>
            <w:r>
              <w:rPr>
                <w:noProof/>
                <w:webHidden/>
              </w:rPr>
              <w:tab/>
            </w:r>
            <w:r>
              <w:rPr>
                <w:noProof/>
                <w:webHidden/>
              </w:rPr>
              <w:fldChar w:fldCharType="begin"/>
            </w:r>
            <w:r>
              <w:rPr>
                <w:noProof/>
                <w:webHidden/>
              </w:rPr>
              <w:instrText xml:space="preserve"> PAGEREF _Toc207110441 \h </w:instrText>
            </w:r>
            <w:r>
              <w:rPr>
                <w:noProof/>
                <w:webHidden/>
              </w:rPr>
            </w:r>
            <w:r>
              <w:rPr>
                <w:noProof/>
                <w:webHidden/>
              </w:rPr>
              <w:fldChar w:fldCharType="separate"/>
            </w:r>
            <w:r>
              <w:rPr>
                <w:noProof/>
                <w:webHidden/>
              </w:rPr>
              <w:t>12</w:t>
            </w:r>
            <w:r>
              <w:rPr>
                <w:noProof/>
                <w:webHidden/>
              </w:rPr>
              <w:fldChar w:fldCharType="end"/>
            </w:r>
          </w:hyperlink>
        </w:p>
        <w:p w14:paraId="23CA5706" w14:textId="7B6161CA"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42" w:history="1">
            <w:r w:rsidRPr="00A07C83">
              <w:rPr>
                <w:rStyle w:val="Hyperlink"/>
                <w:noProof/>
              </w:rPr>
              <w:t>Nonclinical evaluation summary</w:t>
            </w:r>
            <w:r>
              <w:rPr>
                <w:noProof/>
                <w:webHidden/>
              </w:rPr>
              <w:tab/>
            </w:r>
            <w:r>
              <w:rPr>
                <w:noProof/>
                <w:webHidden/>
              </w:rPr>
              <w:fldChar w:fldCharType="begin"/>
            </w:r>
            <w:r>
              <w:rPr>
                <w:noProof/>
                <w:webHidden/>
              </w:rPr>
              <w:instrText xml:space="preserve"> PAGEREF _Toc207110442 \h </w:instrText>
            </w:r>
            <w:r>
              <w:rPr>
                <w:noProof/>
                <w:webHidden/>
              </w:rPr>
            </w:r>
            <w:r>
              <w:rPr>
                <w:noProof/>
                <w:webHidden/>
              </w:rPr>
              <w:fldChar w:fldCharType="separate"/>
            </w:r>
            <w:r>
              <w:rPr>
                <w:noProof/>
                <w:webHidden/>
              </w:rPr>
              <w:t>12</w:t>
            </w:r>
            <w:r>
              <w:rPr>
                <w:noProof/>
                <w:webHidden/>
              </w:rPr>
              <w:fldChar w:fldCharType="end"/>
            </w:r>
          </w:hyperlink>
        </w:p>
        <w:p w14:paraId="2479563A" w14:textId="0571312E"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43" w:history="1">
            <w:r w:rsidRPr="00A07C83">
              <w:rPr>
                <w:rStyle w:val="Hyperlink"/>
                <w:noProof/>
              </w:rPr>
              <w:t>Clinical evaluation summary</w:t>
            </w:r>
            <w:r>
              <w:rPr>
                <w:noProof/>
                <w:webHidden/>
              </w:rPr>
              <w:tab/>
            </w:r>
            <w:r>
              <w:rPr>
                <w:noProof/>
                <w:webHidden/>
              </w:rPr>
              <w:fldChar w:fldCharType="begin"/>
            </w:r>
            <w:r>
              <w:rPr>
                <w:noProof/>
                <w:webHidden/>
              </w:rPr>
              <w:instrText xml:space="preserve"> PAGEREF _Toc207110443 \h </w:instrText>
            </w:r>
            <w:r>
              <w:rPr>
                <w:noProof/>
                <w:webHidden/>
              </w:rPr>
            </w:r>
            <w:r>
              <w:rPr>
                <w:noProof/>
                <w:webHidden/>
              </w:rPr>
              <w:fldChar w:fldCharType="separate"/>
            </w:r>
            <w:r>
              <w:rPr>
                <w:noProof/>
                <w:webHidden/>
              </w:rPr>
              <w:t>13</w:t>
            </w:r>
            <w:r>
              <w:rPr>
                <w:noProof/>
                <w:webHidden/>
              </w:rPr>
              <w:fldChar w:fldCharType="end"/>
            </w:r>
          </w:hyperlink>
        </w:p>
        <w:p w14:paraId="5DEDA8C3" w14:textId="3EDA5F1A"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44" w:history="1">
            <w:r w:rsidRPr="00A07C83">
              <w:rPr>
                <w:rStyle w:val="Hyperlink"/>
                <w:noProof/>
              </w:rPr>
              <w:t>Summary of clinical studies</w:t>
            </w:r>
            <w:r>
              <w:rPr>
                <w:noProof/>
                <w:webHidden/>
              </w:rPr>
              <w:tab/>
            </w:r>
            <w:r>
              <w:rPr>
                <w:noProof/>
                <w:webHidden/>
              </w:rPr>
              <w:fldChar w:fldCharType="begin"/>
            </w:r>
            <w:r>
              <w:rPr>
                <w:noProof/>
                <w:webHidden/>
              </w:rPr>
              <w:instrText xml:space="preserve"> PAGEREF _Toc207110444 \h </w:instrText>
            </w:r>
            <w:r>
              <w:rPr>
                <w:noProof/>
                <w:webHidden/>
              </w:rPr>
            </w:r>
            <w:r>
              <w:rPr>
                <w:noProof/>
                <w:webHidden/>
              </w:rPr>
              <w:fldChar w:fldCharType="separate"/>
            </w:r>
            <w:r>
              <w:rPr>
                <w:noProof/>
                <w:webHidden/>
              </w:rPr>
              <w:t>13</w:t>
            </w:r>
            <w:r>
              <w:rPr>
                <w:noProof/>
                <w:webHidden/>
              </w:rPr>
              <w:fldChar w:fldCharType="end"/>
            </w:r>
          </w:hyperlink>
        </w:p>
        <w:p w14:paraId="01703BCD" w14:textId="5FCE144D"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45" w:history="1">
            <w:r w:rsidRPr="00A07C83">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_Toc207110445 \h </w:instrText>
            </w:r>
            <w:r>
              <w:rPr>
                <w:noProof/>
                <w:webHidden/>
              </w:rPr>
            </w:r>
            <w:r>
              <w:rPr>
                <w:noProof/>
                <w:webHidden/>
              </w:rPr>
              <w:fldChar w:fldCharType="separate"/>
            </w:r>
            <w:r>
              <w:rPr>
                <w:noProof/>
                <w:webHidden/>
              </w:rPr>
              <w:t>35</w:t>
            </w:r>
            <w:r>
              <w:rPr>
                <w:noProof/>
                <w:webHidden/>
              </w:rPr>
              <w:fldChar w:fldCharType="end"/>
            </w:r>
          </w:hyperlink>
        </w:p>
        <w:p w14:paraId="49B2DDB8" w14:textId="5DCCAB65"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46" w:history="1">
            <w:r w:rsidRPr="00A07C83">
              <w:rPr>
                <w:rStyle w:val="Hyperlink"/>
                <w:noProof/>
              </w:rPr>
              <w:t>Risk-benefit assessment</w:t>
            </w:r>
            <w:r>
              <w:rPr>
                <w:noProof/>
                <w:webHidden/>
              </w:rPr>
              <w:tab/>
            </w:r>
            <w:r>
              <w:rPr>
                <w:noProof/>
                <w:webHidden/>
              </w:rPr>
              <w:fldChar w:fldCharType="begin"/>
            </w:r>
            <w:r>
              <w:rPr>
                <w:noProof/>
                <w:webHidden/>
              </w:rPr>
              <w:instrText xml:space="preserve"> PAGEREF _Toc207110446 \h </w:instrText>
            </w:r>
            <w:r>
              <w:rPr>
                <w:noProof/>
                <w:webHidden/>
              </w:rPr>
            </w:r>
            <w:r>
              <w:rPr>
                <w:noProof/>
                <w:webHidden/>
              </w:rPr>
              <w:fldChar w:fldCharType="separate"/>
            </w:r>
            <w:r>
              <w:rPr>
                <w:noProof/>
                <w:webHidden/>
              </w:rPr>
              <w:t>36</w:t>
            </w:r>
            <w:r>
              <w:rPr>
                <w:noProof/>
                <w:webHidden/>
              </w:rPr>
              <w:fldChar w:fldCharType="end"/>
            </w:r>
          </w:hyperlink>
        </w:p>
        <w:p w14:paraId="6DF0C92A" w14:textId="70D8BFBF"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47" w:history="1">
            <w:r w:rsidRPr="00A07C83">
              <w:rPr>
                <w:rStyle w:val="Hyperlink"/>
                <w:noProof/>
              </w:rPr>
              <w:t>Delegate’s considerations</w:t>
            </w:r>
            <w:r>
              <w:rPr>
                <w:noProof/>
                <w:webHidden/>
              </w:rPr>
              <w:tab/>
            </w:r>
            <w:r>
              <w:rPr>
                <w:noProof/>
                <w:webHidden/>
              </w:rPr>
              <w:fldChar w:fldCharType="begin"/>
            </w:r>
            <w:r>
              <w:rPr>
                <w:noProof/>
                <w:webHidden/>
              </w:rPr>
              <w:instrText xml:space="preserve"> PAGEREF _Toc207110447 \h </w:instrText>
            </w:r>
            <w:r>
              <w:rPr>
                <w:noProof/>
                <w:webHidden/>
              </w:rPr>
            </w:r>
            <w:r>
              <w:rPr>
                <w:noProof/>
                <w:webHidden/>
              </w:rPr>
              <w:fldChar w:fldCharType="separate"/>
            </w:r>
            <w:r>
              <w:rPr>
                <w:noProof/>
                <w:webHidden/>
              </w:rPr>
              <w:t>36</w:t>
            </w:r>
            <w:r>
              <w:rPr>
                <w:noProof/>
                <w:webHidden/>
              </w:rPr>
              <w:fldChar w:fldCharType="end"/>
            </w:r>
          </w:hyperlink>
        </w:p>
        <w:p w14:paraId="49623616" w14:textId="475DA8FB" w:rsidR="007517F5" w:rsidRDefault="007517F5">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7110448" w:history="1">
            <w:r w:rsidRPr="00A07C83">
              <w:rPr>
                <w:rStyle w:val="Hyperlink"/>
                <w:noProof/>
              </w:rPr>
              <w:t>Advisory Committee on Vaccines considerations</w:t>
            </w:r>
            <w:r>
              <w:rPr>
                <w:noProof/>
                <w:webHidden/>
              </w:rPr>
              <w:tab/>
            </w:r>
            <w:r>
              <w:rPr>
                <w:noProof/>
                <w:webHidden/>
              </w:rPr>
              <w:fldChar w:fldCharType="begin"/>
            </w:r>
            <w:r>
              <w:rPr>
                <w:noProof/>
                <w:webHidden/>
              </w:rPr>
              <w:instrText xml:space="preserve"> PAGEREF _Toc207110448 \h </w:instrText>
            </w:r>
            <w:r>
              <w:rPr>
                <w:noProof/>
                <w:webHidden/>
              </w:rPr>
            </w:r>
            <w:r>
              <w:rPr>
                <w:noProof/>
                <w:webHidden/>
              </w:rPr>
              <w:fldChar w:fldCharType="separate"/>
            </w:r>
            <w:r>
              <w:rPr>
                <w:noProof/>
                <w:webHidden/>
              </w:rPr>
              <w:t>36</w:t>
            </w:r>
            <w:r>
              <w:rPr>
                <w:noProof/>
                <w:webHidden/>
              </w:rPr>
              <w:fldChar w:fldCharType="end"/>
            </w:r>
          </w:hyperlink>
        </w:p>
        <w:p w14:paraId="57C1BE23" w14:textId="008C701F" w:rsidR="007517F5" w:rsidRDefault="007517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10449" w:history="1">
            <w:r w:rsidRPr="00A07C83">
              <w:rPr>
                <w:rStyle w:val="Hyperlink"/>
                <w:noProof/>
              </w:rPr>
              <w:t>Assessment outcome</w:t>
            </w:r>
            <w:r>
              <w:rPr>
                <w:noProof/>
                <w:webHidden/>
              </w:rPr>
              <w:tab/>
            </w:r>
            <w:r>
              <w:rPr>
                <w:noProof/>
                <w:webHidden/>
              </w:rPr>
              <w:fldChar w:fldCharType="begin"/>
            </w:r>
            <w:r>
              <w:rPr>
                <w:noProof/>
                <w:webHidden/>
              </w:rPr>
              <w:instrText xml:space="preserve"> PAGEREF _Toc207110449 \h </w:instrText>
            </w:r>
            <w:r>
              <w:rPr>
                <w:noProof/>
                <w:webHidden/>
              </w:rPr>
            </w:r>
            <w:r>
              <w:rPr>
                <w:noProof/>
                <w:webHidden/>
              </w:rPr>
              <w:fldChar w:fldCharType="separate"/>
            </w:r>
            <w:r>
              <w:rPr>
                <w:noProof/>
                <w:webHidden/>
              </w:rPr>
              <w:t>39</w:t>
            </w:r>
            <w:r>
              <w:rPr>
                <w:noProof/>
                <w:webHidden/>
              </w:rPr>
              <w:fldChar w:fldCharType="end"/>
            </w:r>
          </w:hyperlink>
        </w:p>
        <w:p w14:paraId="3EA81DE1" w14:textId="30E7476C" w:rsidR="007517F5" w:rsidRDefault="007517F5">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7110450" w:history="1">
            <w:r w:rsidRPr="00A07C83">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_Toc207110450 \h </w:instrText>
            </w:r>
            <w:r>
              <w:rPr>
                <w:noProof/>
                <w:webHidden/>
              </w:rPr>
            </w:r>
            <w:r>
              <w:rPr>
                <w:noProof/>
                <w:webHidden/>
              </w:rPr>
              <w:fldChar w:fldCharType="separate"/>
            </w:r>
            <w:r>
              <w:rPr>
                <w:noProof/>
                <w:webHidden/>
              </w:rPr>
              <w:t>39</w:t>
            </w:r>
            <w:r>
              <w:rPr>
                <w:noProof/>
                <w:webHidden/>
              </w:rPr>
              <w:fldChar w:fldCharType="end"/>
            </w:r>
          </w:hyperlink>
        </w:p>
        <w:p w14:paraId="528F206C" w14:textId="5D633325" w:rsidR="007517F5" w:rsidRDefault="007517F5">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7110451" w:history="1">
            <w:r w:rsidRPr="00A07C83">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_Toc207110451 \h </w:instrText>
            </w:r>
            <w:r>
              <w:rPr>
                <w:noProof/>
                <w:webHidden/>
              </w:rPr>
            </w:r>
            <w:r>
              <w:rPr>
                <w:noProof/>
                <w:webHidden/>
              </w:rPr>
              <w:fldChar w:fldCharType="separate"/>
            </w:r>
            <w:r>
              <w:rPr>
                <w:noProof/>
                <w:webHidden/>
              </w:rPr>
              <w:t>41</w:t>
            </w:r>
            <w:r>
              <w:rPr>
                <w:noProof/>
                <w:webHidden/>
              </w:rPr>
              <w:fldChar w:fldCharType="end"/>
            </w:r>
          </w:hyperlink>
        </w:p>
        <w:p w14:paraId="77659F2D" w14:textId="57DBA759"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07110429"/>
      <w:bookmarkStart w:id="3" w:name="_Toc323739589"/>
      <w:bookmarkStart w:id="4" w:name="_Toc356305216"/>
      <w:r>
        <w:lastRenderedPageBreak/>
        <w:t>List of abbreviations</w:t>
      </w:r>
      <w:bookmarkEnd w:id="0"/>
      <w:bookmarkEnd w:id="1"/>
      <w:bookmarkEnd w:id="2"/>
    </w:p>
    <w:p w14:paraId="58578454" w14:textId="60B0CE01" w:rsidR="00324B33" w:rsidRDefault="00324B33" w:rsidP="00324B33">
      <w:pPr>
        <w:rPr>
          <w:i/>
          <w:color w:val="007099"/>
        </w:rPr>
      </w:pPr>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CE17E2" w:rsidRPr="00D01DDB" w14:paraId="6A91D1A2"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6B5732D" w14:textId="3F64421B" w:rsidR="00CE17E2" w:rsidRPr="00D01DDB" w:rsidRDefault="00BE2667" w:rsidP="00324B33">
            <w:pPr>
              <w:rPr>
                <w:szCs w:val="22"/>
              </w:rPr>
            </w:pPr>
            <w:r>
              <w:rPr>
                <w:szCs w:val="22"/>
              </w:rPr>
              <w:t>13vPCV</w:t>
            </w:r>
          </w:p>
        </w:tc>
        <w:tc>
          <w:tcPr>
            <w:tcW w:w="3800" w:type="pct"/>
          </w:tcPr>
          <w:p w14:paraId="4A10336E" w14:textId="7141F77A" w:rsidR="00CE17E2" w:rsidRPr="00D01DDB" w:rsidRDefault="00BE26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13-valent pneumococcal conjugate vaccine (Prevenar 13)</w:t>
            </w:r>
          </w:p>
        </w:tc>
      </w:tr>
      <w:tr w:rsidR="00BE2667" w:rsidRPr="006B2BEE" w14:paraId="7AFD8465"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19ACBAA" w14:textId="73C9EAD2" w:rsidR="00BE2667" w:rsidRDefault="00C53327" w:rsidP="00324B33">
            <w:pPr>
              <w:rPr>
                <w:szCs w:val="22"/>
              </w:rPr>
            </w:pPr>
            <w:r w:rsidRPr="00C53327">
              <w:rPr>
                <w:szCs w:val="22"/>
              </w:rPr>
              <w:t>15vPCV</w:t>
            </w:r>
          </w:p>
        </w:tc>
        <w:tc>
          <w:tcPr>
            <w:tcW w:w="3800" w:type="pct"/>
          </w:tcPr>
          <w:p w14:paraId="3A8427F4" w14:textId="3FFACEC4" w:rsidR="00BE2667" w:rsidRPr="004344EA" w:rsidRDefault="00C53327" w:rsidP="00324B33">
            <w:pPr>
              <w:cnfStyle w:val="000000000000" w:firstRow="0" w:lastRow="0" w:firstColumn="0" w:lastColumn="0" w:oddVBand="0" w:evenVBand="0" w:oddHBand="0" w:evenHBand="0" w:firstRowFirstColumn="0" w:firstRowLastColumn="0" w:lastRowFirstColumn="0" w:lastRowLastColumn="0"/>
              <w:rPr>
                <w:szCs w:val="22"/>
                <w:lang w:val="fr-FR"/>
              </w:rPr>
            </w:pPr>
            <w:r w:rsidRPr="004344EA">
              <w:rPr>
                <w:lang w:val="fr-FR"/>
              </w:rPr>
              <w:t xml:space="preserve">15-valent </w:t>
            </w:r>
            <w:proofErr w:type="spellStart"/>
            <w:r w:rsidRPr="004344EA">
              <w:rPr>
                <w:lang w:val="fr-FR"/>
              </w:rPr>
              <w:t>pneumococcal</w:t>
            </w:r>
            <w:proofErr w:type="spellEnd"/>
            <w:r w:rsidRPr="004344EA">
              <w:rPr>
                <w:lang w:val="fr-FR"/>
              </w:rPr>
              <w:t xml:space="preserve"> </w:t>
            </w:r>
            <w:proofErr w:type="spellStart"/>
            <w:r w:rsidRPr="004344EA">
              <w:rPr>
                <w:lang w:val="fr-FR"/>
              </w:rPr>
              <w:t>conjugate</w:t>
            </w:r>
            <w:proofErr w:type="spellEnd"/>
            <w:r w:rsidRPr="004344EA">
              <w:rPr>
                <w:lang w:val="fr-FR"/>
              </w:rPr>
              <w:t xml:space="preserve"> vaccine (</w:t>
            </w:r>
            <w:proofErr w:type="spellStart"/>
            <w:r w:rsidR="007E39CC" w:rsidRPr="004344EA">
              <w:rPr>
                <w:lang w:val="fr-FR"/>
              </w:rPr>
              <w:t>Vaxneuvance</w:t>
            </w:r>
            <w:proofErr w:type="spellEnd"/>
            <w:r w:rsidRPr="004344EA">
              <w:rPr>
                <w:lang w:val="fr-FR"/>
              </w:rPr>
              <w:t>)</w:t>
            </w:r>
            <w:r w:rsidR="007E39CC" w:rsidRPr="004344EA">
              <w:rPr>
                <w:lang w:val="fr-FR"/>
              </w:rPr>
              <w:t xml:space="preserve"> </w:t>
            </w:r>
          </w:p>
        </w:tc>
      </w:tr>
      <w:tr w:rsidR="00BE2667" w:rsidRPr="00D01DDB" w14:paraId="7E85E0B9"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333E637" w14:textId="42127598" w:rsidR="00BE2667" w:rsidRDefault="007E39CC" w:rsidP="00324B33">
            <w:pPr>
              <w:rPr>
                <w:szCs w:val="22"/>
              </w:rPr>
            </w:pPr>
            <w:r w:rsidRPr="007E39CC">
              <w:rPr>
                <w:szCs w:val="22"/>
              </w:rPr>
              <w:t>20vPCV</w:t>
            </w:r>
          </w:p>
        </w:tc>
        <w:tc>
          <w:tcPr>
            <w:tcW w:w="3800" w:type="pct"/>
          </w:tcPr>
          <w:p w14:paraId="79138FF0" w14:textId="57BEA6A7" w:rsidR="00BE2667" w:rsidRDefault="007E39CC" w:rsidP="00324B33">
            <w:pPr>
              <w:cnfStyle w:val="000000000000" w:firstRow="0" w:lastRow="0" w:firstColumn="0" w:lastColumn="0" w:oddVBand="0" w:evenVBand="0" w:oddHBand="0" w:evenHBand="0" w:firstRowFirstColumn="0" w:firstRowLastColumn="0" w:lastRowFirstColumn="0" w:lastRowLastColumn="0"/>
              <w:rPr>
                <w:szCs w:val="22"/>
              </w:rPr>
            </w:pPr>
            <w:r w:rsidRPr="007E39CC">
              <w:rPr>
                <w:szCs w:val="22"/>
              </w:rPr>
              <w:t>2</w:t>
            </w:r>
            <w:r>
              <w:rPr>
                <w:szCs w:val="22"/>
              </w:rPr>
              <w:t>0</w:t>
            </w:r>
            <w:r w:rsidRPr="007E39CC">
              <w:rPr>
                <w:szCs w:val="22"/>
              </w:rPr>
              <w:t>-valent pneumococcal conjugate vaccine</w:t>
            </w:r>
            <w:r w:rsidR="00C53327">
              <w:rPr>
                <w:szCs w:val="22"/>
              </w:rPr>
              <w:t xml:space="preserve"> (Prevenar 20)</w:t>
            </w:r>
          </w:p>
        </w:tc>
      </w:tr>
      <w:tr w:rsidR="007E497B" w:rsidRPr="00D01DDB" w14:paraId="1CD22FCA"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6F23FAC" w14:textId="32893DAE" w:rsidR="007E497B" w:rsidRPr="007E39CC" w:rsidRDefault="00B634BD" w:rsidP="00324B33">
            <w:pPr>
              <w:rPr>
                <w:szCs w:val="22"/>
              </w:rPr>
            </w:pPr>
            <w:r w:rsidRPr="00B634BD">
              <w:rPr>
                <w:szCs w:val="22"/>
              </w:rPr>
              <w:t>21-valent PCV</w:t>
            </w:r>
          </w:p>
        </w:tc>
        <w:tc>
          <w:tcPr>
            <w:tcW w:w="3800" w:type="pct"/>
          </w:tcPr>
          <w:p w14:paraId="3681637B" w14:textId="662C190F" w:rsidR="007E497B" w:rsidRPr="007E39CC" w:rsidRDefault="00B634BD" w:rsidP="00324B33">
            <w:pPr>
              <w:cnfStyle w:val="000000000000" w:firstRow="0" w:lastRow="0" w:firstColumn="0" w:lastColumn="0" w:oddVBand="0" w:evenVBand="0" w:oddHBand="0" w:evenHBand="0" w:firstRowFirstColumn="0" w:firstRowLastColumn="0" w:lastRowFirstColumn="0" w:lastRowLastColumn="0"/>
              <w:rPr>
                <w:szCs w:val="22"/>
              </w:rPr>
            </w:pPr>
            <w:r w:rsidRPr="00B634BD">
              <w:rPr>
                <w:szCs w:val="22"/>
              </w:rPr>
              <w:t>21-valent</w:t>
            </w:r>
            <w:r>
              <w:rPr>
                <w:szCs w:val="22"/>
              </w:rPr>
              <w:t xml:space="preserve"> </w:t>
            </w:r>
            <w:r w:rsidRPr="00B634BD">
              <w:rPr>
                <w:szCs w:val="22"/>
              </w:rPr>
              <w:t>pneumococcal conjugate vaccine</w:t>
            </w:r>
            <w:r>
              <w:rPr>
                <w:szCs w:val="22"/>
              </w:rPr>
              <w:t xml:space="preserve"> (Capvaxive)</w:t>
            </w:r>
          </w:p>
        </w:tc>
      </w:tr>
      <w:tr w:rsidR="00055423" w:rsidRPr="00D01DDB" w14:paraId="31EF9425" w14:textId="77777777" w:rsidTr="00BD5DBD">
        <w:trPr>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F513A2B" w14:textId="11CEDE65" w:rsidR="00055423" w:rsidRDefault="00055423" w:rsidP="00324B33">
            <w:pPr>
              <w:rPr>
                <w:szCs w:val="22"/>
              </w:rPr>
            </w:pPr>
            <w:r w:rsidRPr="00055423">
              <w:rPr>
                <w:szCs w:val="22"/>
              </w:rPr>
              <w:t>23vPPV</w:t>
            </w:r>
          </w:p>
        </w:tc>
        <w:tc>
          <w:tcPr>
            <w:tcW w:w="3800" w:type="pct"/>
          </w:tcPr>
          <w:p w14:paraId="5A315751" w14:textId="631716A3" w:rsidR="00055423" w:rsidRDefault="0005542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w:t>
            </w:r>
            <w:r w:rsidRPr="00055423">
              <w:rPr>
                <w:szCs w:val="22"/>
              </w:rPr>
              <w:t xml:space="preserve">-valent pneumococcal </w:t>
            </w:r>
            <w:r w:rsidR="005A791C">
              <w:rPr>
                <w:szCs w:val="22"/>
              </w:rPr>
              <w:t>polysaccharide</w:t>
            </w:r>
            <w:r w:rsidRPr="00055423">
              <w:rPr>
                <w:szCs w:val="22"/>
              </w:rPr>
              <w:t xml:space="preserve"> vaccine </w:t>
            </w:r>
            <w:r>
              <w:rPr>
                <w:szCs w:val="22"/>
              </w:rPr>
              <w:t>(</w:t>
            </w:r>
            <w:r w:rsidRPr="00055423">
              <w:rPr>
                <w:szCs w:val="22"/>
              </w:rPr>
              <w:t>Pneumovax 23)</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740404" w:rsidRPr="00D01DDB" w14:paraId="0E3E6B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4391E4" w14:textId="33D0E34C" w:rsidR="00740404" w:rsidRPr="00D01DDB" w:rsidRDefault="00740404" w:rsidP="00324B33">
            <w:pPr>
              <w:rPr>
                <w:szCs w:val="22"/>
              </w:rPr>
            </w:pPr>
            <w:r>
              <w:rPr>
                <w:szCs w:val="22"/>
              </w:rPr>
              <w:t>AE</w:t>
            </w:r>
          </w:p>
        </w:tc>
        <w:tc>
          <w:tcPr>
            <w:tcW w:w="3800" w:type="pct"/>
          </w:tcPr>
          <w:p w14:paraId="68408515" w14:textId="17415884" w:rsidR="00740404" w:rsidRPr="00D01DDB" w:rsidRDefault="0074040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FF0DBC" w:rsidRPr="00D01DDB" w14:paraId="697E30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FAA562" w14:textId="6252834C" w:rsidR="00FF0DBC" w:rsidRPr="00D01DDB" w:rsidRDefault="00773E24" w:rsidP="00324B33">
            <w:pPr>
              <w:rPr>
                <w:szCs w:val="22"/>
              </w:rPr>
            </w:pPr>
            <w:r>
              <w:rPr>
                <w:szCs w:val="22"/>
              </w:rPr>
              <w:t>ATSI</w:t>
            </w:r>
          </w:p>
        </w:tc>
        <w:tc>
          <w:tcPr>
            <w:tcW w:w="3800" w:type="pct"/>
          </w:tcPr>
          <w:p w14:paraId="44A783F5" w14:textId="163F7BA6" w:rsidR="00FF0DBC" w:rsidRPr="00D01DDB" w:rsidRDefault="00773E24" w:rsidP="00324B33">
            <w:pPr>
              <w:cnfStyle w:val="000000000000" w:firstRow="0" w:lastRow="0" w:firstColumn="0" w:lastColumn="0" w:oddVBand="0" w:evenVBand="0" w:oddHBand="0" w:evenHBand="0" w:firstRowFirstColumn="0" w:firstRowLastColumn="0" w:lastRowFirstColumn="0" w:lastRowLastColumn="0"/>
              <w:rPr>
                <w:szCs w:val="22"/>
              </w:rPr>
            </w:pPr>
            <w:r w:rsidRPr="00773E24">
              <w:rPr>
                <w:szCs w:val="22"/>
              </w:rPr>
              <w:t>Aboriginal and Torres Straits Islanders</w:t>
            </w:r>
          </w:p>
        </w:tc>
      </w:tr>
      <w:tr w:rsidR="00740404" w:rsidRPr="00D01DDB" w14:paraId="3CAA387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780271" w14:textId="43B59D6D" w:rsidR="00740404" w:rsidRDefault="00B44DC0" w:rsidP="00324B33">
            <w:pPr>
              <w:rPr>
                <w:szCs w:val="22"/>
              </w:rPr>
            </w:pPr>
            <w:r>
              <w:rPr>
                <w:szCs w:val="22"/>
              </w:rPr>
              <w:t>BTS</w:t>
            </w:r>
          </w:p>
        </w:tc>
        <w:tc>
          <w:tcPr>
            <w:tcW w:w="3800" w:type="pct"/>
          </w:tcPr>
          <w:p w14:paraId="73025CAC" w14:textId="49E2A607" w:rsidR="00740404" w:rsidRPr="00773E24" w:rsidRDefault="00B44DC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Black Triangle Scheme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FF0DBC" w:rsidRPr="00D01DDB" w14:paraId="7D1866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FF7A21" w14:textId="35454BBC" w:rsidR="00FF0DBC" w:rsidRPr="00D01DDB" w:rsidRDefault="00FF0DBC" w:rsidP="00324B33">
            <w:pPr>
              <w:rPr>
                <w:szCs w:val="22"/>
              </w:rPr>
            </w:pPr>
            <w:r>
              <w:rPr>
                <w:szCs w:val="22"/>
              </w:rPr>
              <w:t>CAP</w:t>
            </w:r>
          </w:p>
        </w:tc>
        <w:tc>
          <w:tcPr>
            <w:tcW w:w="3800" w:type="pct"/>
          </w:tcPr>
          <w:p w14:paraId="63FD0792" w14:textId="2C11AE44" w:rsidR="00FF0DBC" w:rsidRPr="00D01DDB" w:rsidRDefault="00FF0DBC" w:rsidP="00324B33">
            <w:pPr>
              <w:cnfStyle w:val="000000000000" w:firstRow="0" w:lastRow="0" w:firstColumn="0" w:lastColumn="0" w:oddVBand="0" w:evenVBand="0" w:oddHBand="0" w:evenHBand="0" w:firstRowFirstColumn="0" w:firstRowLastColumn="0" w:lastRowFirstColumn="0" w:lastRowLastColumn="0"/>
              <w:rPr>
                <w:szCs w:val="22"/>
              </w:rPr>
            </w:pPr>
            <w:r w:rsidRPr="00FF0DBC">
              <w:rPr>
                <w:szCs w:val="22"/>
              </w:rPr>
              <w:t>Community acquired pneumonia</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816D4C" w:rsidRPr="00D01DDB" w14:paraId="6EC337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98A97F" w14:textId="14775932" w:rsidR="00816D4C" w:rsidRPr="00D01DDB" w:rsidRDefault="00816D4C" w:rsidP="00324B33">
            <w:pPr>
              <w:rPr>
                <w:szCs w:val="22"/>
              </w:rPr>
            </w:pPr>
            <w:r>
              <w:rPr>
                <w:szCs w:val="22"/>
              </w:rPr>
              <w:t>ECL</w:t>
            </w:r>
          </w:p>
        </w:tc>
        <w:tc>
          <w:tcPr>
            <w:tcW w:w="3800" w:type="pct"/>
          </w:tcPr>
          <w:p w14:paraId="3DAB46AD" w14:textId="7634A0EB" w:rsidR="00816D4C" w:rsidRPr="00D01DDB" w:rsidRDefault="004D55F8" w:rsidP="00324B33">
            <w:pPr>
              <w:cnfStyle w:val="000000000000" w:firstRow="0" w:lastRow="0" w:firstColumn="0" w:lastColumn="0" w:oddVBand="0" w:evenVBand="0" w:oddHBand="0" w:evenHBand="0" w:firstRowFirstColumn="0" w:firstRowLastColumn="0" w:lastRowFirstColumn="0" w:lastRowLastColumn="0"/>
              <w:rPr>
                <w:szCs w:val="22"/>
              </w:rPr>
            </w:pPr>
            <w:r w:rsidRPr="004D55F8">
              <w:rPr>
                <w:szCs w:val="22"/>
              </w:rPr>
              <w:t>Electrochemiluminescent</w:t>
            </w:r>
          </w:p>
        </w:tc>
      </w:tr>
      <w:tr w:rsidR="001B4657" w:rsidRPr="00D01DDB" w14:paraId="6DB5E4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525BFA" w14:textId="0437D7AD" w:rsidR="001B4657" w:rsidRPr="00D01DDB" w:rsidRDefault="001B4657" w:rsidP="00324B33">
            <w:pPr>
              <w:rPr>
                <w:szCs w:val="22"/>
              </w:rPr>
            </w:pPr>
            <w:r>
              <w:rPr>
                <w:szCs w:val="22"/>
              </w:rPr>
              <w:t>EMA</w:t>
            </w:r>
          </w:p>
        </w:tc>
        <w:tc>
          <w:tcPr>
            <w:tcW w:w="3800" w:type="pct"/>
          </w:tcPr>
          <w:p w14:paraId="0F9F4F67" w14:textId="50466B96" w:rsidR="001B4657" w:rsidRPr="00D01DDB" w:rsidRDefault="001B465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2D5CFB" w:rsidRPr="00D01DDB" w14:paraId="78A53E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90D94" w14:textId="64E3FED0" w:rsidR="002D5CFB" w:rsidRPr="00D01DDB" w:rsidRDefault="002D5CFB" w:rsidP="00324B33">
            <w:pPr>
              <w:rPr>
                <w:szCs w:val="22"/>
              </w:rPr>
            </w:pPr>
            <w:r>
              <w:rPr>
                <w:szCs w:val="22"/>
              </w:rPr>
              <w:t>FDA</w:t>
            </w:r>
          </w:p>
        </w:tc>
        <w:tc>
          <w:tcPr>
            <w:tcW w:w="3800" w:type="pct"/>
          </w:tcPr>
          <w:p w14:paraId="21CAB598" w14:textId="1D51D855" w:rsidR="002D5CFB" w:rsidRPr="00D01DDB" w:rsidRDefault="00F147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&amp; Drug Administration (USA)</w:t>
            </w:r>
          </w:p>
        </w:tc>
      </w:tr>
      <w:tr w:rsidR="00136830" w:rsidRPr="00D01DDB" w14:paraId="4D95CC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314AD7" w14:textId="41D81295" w:rsidR="00136830" w:rsidRDefault="00136830" w:rsidP="00324B33">
            <w:pPr>
              <w:rPr>
                <w:szCs w:val="22"/>
              </w:rPr>
            </w:pPr>
            <w:r>
              <w:rPr>
                <w:szCs w:val="22"/>
              </w:rPr>
              <w:t>GMC</w:t>
            </w:r>
            <w:r w:rsidR="00CD53E3">
              <w:rPr>
                <w:szCs w:val="22"/>
              </w:rPr>
              <w:t>(s)</w:t>
            </w:r>
          </w:p>
        </w:tc>
        <w:tc>
          <w:tcPr>
            <w:tcW w:w="3800" w:type="pct"/>
          </w:tcPr>
          <w:p w14:paraId="74110FBD" w14:textId="5F90AF00" w:rsidR="00136830" w:rsidRDefault="00CD53E3" w:rsidP="00324B33">
            <w:pPr>
              <w:cnfStyle w:val="000000000000" w:firstRow="0" w:lastRow="0" w:firstColumn="0" w:lastColumn="0" w:oddVBand="0" w:evenVBand="0" w:oddHBand="0" w:evenHBand="0" w:firstRowFirstColumn="0" w:firstRowLastColumn="0" w:lastRowFirstColumn="0" w:lastRowLastColumn="0"/>
              <w:rPr>
                <w:szCs w:val="22"/>
              </w:rPr>
            </w:pPr>
            <w:r w:rsidRPr="00CD53E3">
              <w:rPr>
                <w:szCs w:val="22"/>
              </w:rPr>
              <w:t>Geometric mean concentration</w:t>
            </w:r>
            <w:r>
              <w:rPr>
                <w:szCs w:val="22"/>
              </w:rPr>
              <w:t>(</w:t>
            </w:r>
            <w:r w:rsidRPr="00CD53E3">
              <w:rPr>
                <w:szCs w:val="22"/>
              </w:rPr>
              <w:t>s</w:t>
            </w:r>
            <w:r>
              <w:rPr>
                <w:szCs w:val="22"/>
              </w:rPr>
              <w:t>)</w:t>
            </w:r>
          </w:p>
        </w:tc>
      </w:tr>
      <w:tr w:rsidR="00F13699" w:rsidRPr="00D01DDB" w14:paraId="336BF9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C59F94" w14:textId="06B00EF4" w:rsidR="00F13699" w:rsidRDefault="00E7449B" w:rsidP="00324B33">
            <w:pPr>
              <w:rPr>
                <w:szCs w:val="22"/>
              </w:rPr>
            </w:pPr>
            <w:r>
              <w:rPr>
                <w:szCs w:val="22"/>
              </w:rPr>
              <w:t>GMFR</w:t>
            </w:r>
          </w:p>
        </w:tc>
        <w:tc>
          <w:tcPr>
            <w:tcW w:w="3800" w:type="pct"/>
          </w:tcPr>
          <w:p w14:paraId="4087C3B6" w14:textId="26EA92C4" w:rsidR="00F13699" w:rsidRDefault="00E7449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00F13699" w:rsidRPr="00F13699">
              <w:rPr>
                <w:szCs w:val="22"/>
              </w:rPr>
              <w:t>eometric mean fold rise</w:t>
            </w:r>
          </w:p>
        </w:tc>
      </w:tr>
      <w:tr w:rsidR="009267A0" w:rsidRPr="00D01DDB" w14:paraId="711752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4B5EB2" w14:textId="4903D169" w:rsidR="009267A0" w:rsidRDefault="009267A0" w:rsidP="00324B33">
            <w:pPr>
              <w:rPr>
                <w:szCs w:val="22"/>
              </w:rPr>
            </w:pPr>
            <w:r>
              <w:rPr>
                <w:szCs w:val="22"/>
              </w:rPr>
              <w:t>GMT</w:t>
            </w:r>
          </w:p>
        </w:tc>
        <w:tc>
          <w:tcPr>
            <w:tcW w:w="3800" w:type="pct"/>
          </w:tcPr>
          <w:p w14:paraId="7F7CC826" w14:textId="068C5CBD" w:rsidR="009267A0" w:rsidRDefault="009267A0" w:rsidP="00324B33">
            <w:pPr>
              <w:cnfStyle w:val="000000000000" w:firstRow="0" w:lastRow="0" w:firstColumn="0" w:lastColumn="0" w:oddVBand="0" w:evenVBand="0" w:oddHBand="0" w:evenHBand="0" w:firstRowFirstColumn="0" w:firstRowLastColumn="0" w:lastRowFirstColumn="0" w:lastRowLastColumn="0"/>
              <w:rPr>
                <w:szCs w:val="22"/>
              </w:rPr>
            </w:pPr>
            <w:r w:rsidRPr="009267A0">
              <w:rPr>
                <w:szCs w:val="22"/>
              </w:rPr>
              <w:t>Geometric mean titre</w:t>
            </w:r>
          </w:p>
        </w:tc>
      </w:tr>
      <w:tr w:rsidR="00890B30" w:rsidRPr="00D01DDB" w14:paraId="0AD712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1A2EF9" w14:textId="470EBCB0" w:rsidR="00890B30" w:rsidRDefault="00890B30" w:rsidP="00324B33">
            <w:pPr>
              <w:rPr>
                <w:szCs w:val="22"/>
              </w:rPr>
            </w:pPr>
            <w:r>
              <w:rPr>
                <w:szCs w:val="22"/>
              </w:rPr>
              <w:t>HIV</w:t>
            </w:r>
          </w:p>
        </w:tc>
        <w:tc>
          <w:tcPr>
            <w:tcW w:w="3800" w:type="pct"/>
          </w:tcPr>
          <w:p w14:paraId="138906D0" w14:textId="4BC95C43" w:rsidR="00890B30" w:rsidRDefault="009359B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Human </w:t>
            </w:r>
            <w:r w:rsidR="00C2370A">
              <w:rPr>
                <w:szCs w:val="22"/>
              </w:rPr>
              <w:t>immunodeficiency virus</w:t>
            </w:r>
          </w:p>
        </w:tc>
      </w:tr>
      <w:tr w:rsidR="006B4BFA" w:rsidRPr="00D01DDB" w14:paraId="207695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88406C" w14:textId="57A1D0A7" w:rsidR="006B4BFA" w:rsidRDefault="006B4BFA" w:rsidP="00324B33">
            <w:pPr>
              <w:rPr>
                <w:szCs w:val="22"/>
              </w:rPr>
            </w:pPr>
            <w:r w:rsidRPr="006B4BFA">
              <w:rPr>
                <w:szCs w:val="22"/>
              </w:rPr>
              <w:t>IgG</w:t>
            </w:r>
          </w:p>
        </w:tc>
        <w:tc>
          <w:tcPr>
            <w:tcW w:w="3800" w:type="pct"/>
          </w:tcPr>
          <w:p w14:paraId="7E1C585B" w14:textId="25362A11" w:rsidR="006B4BFA" w:rsidRDefault="00C2370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Immunogl</w:t>
            </w:r>
            <w:r w:rsidR="00BF5E26">
              <w:rPr>
                <w:szCs w:val="22"/>
              </w:rPr>
              <w:t>obulin G</w:t>
            </w:r>
          </w:p>
        </w:tc>
      </w:tr>
      <w:tr w:rsidR="00EE270B" w:rsidRPr="00D01DDB" w14:paraId="525DE1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770D55" w14:textId="01FE5637" w:rsidR="00EE270B" w:rsidRPr="006B4BFA" w:rsidRDefault="00EE270B" w:rsidP="00324B33">
            <w:pPr>
              <w:rPr>
                <w:szCs w:val="22"/>
              </w:rPr>
            </w:pPr>
            <w:r>
              <w:rPr>
                <w:szCs w:val="22"/>
              </w:rPr>
              <w:t>IM</w:t>
            </w:r>
          </w:p>
        </w:tc>
        <w:tc>
          <w:tcPr>
            <w:tcW w:w="3800" w:type="pct"/>
          </w:tcPr>
          <w:p w14:paraId="664724DB" w14:textId="3FD9A404" w:rsidR="00EE270B" w:rsidRDefault="00453F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00EE270B">
              <w:rPr>
                <w:szCs w:val="22"/>
              </w:rPr>
              <w:t>ntramuscular</w:t>
            </w:r>
          </w:p>
        </w:tc>
      </w:tr>
      <w:tr w:rsidR="00355FDC" w:rsidRPr="00D01DDB" w14:paraId="696B616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5C1351" w14:textId="3BDDA914" w:rsidR="00355FDC" w:rsidRPr="00D01DDB" w:rsidRDefault="001D0EA6" w:rsidP="00324B33">
            <w:pPr>
              <w:rPr>
                <w:szCs w:val="22"/>
              </w:rPr>
            </w:pPr>
            <w:r>
              <w:rPr>
                <w:szCs w:val="22"/>
              </w:rPr>
              <w:t>IPD</w:t>
            </w:r>
          </w:p>
        </w:tc>
        <w:tc>
          <w:tcPr>
            <w:tcW w:w="3800" w:type="pct"/>
          </w:tcPr>
          <w:p w14:paraId="395E157E" w14:textId="7483EF61" w:rsidR="00355FDC" w:rsidRPr="00D01DDB" w:rsidRDefault="001D0E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1D0EA6">
              <w:rPr>
                <w:szCs w:val="22"/>
              </w:rPr>
              <w:t>nvasive pneumococcal disease</w:t>
            </w:r>
          </w:p>
        </w:tc>
      </w:tr>
      <w:tr w:rsidR="008155BF" w:rsidRPr="00D01DDB" w14:paraId="2D3C8E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957891" w14:textId="651CBF3D" w:rsidR="008155BF" w:rsidRDefault="008155BF" w:rsidP="00324B33">
            <w:pPr>
              <w:rPr>
                <w:szCs w:val="22"/>
              </w:rPr>
            </w:pPr>
            <w:r w:rsidRPr="008155BF">
              <w:rPr>
                <w:szCs w:val="22"/>
              </w:rPr>
              <w:t>MBC</w:t>
            </w:r>
          </w:p>
        </w:tc>
        <w:tc>
          <w:tcPr>
            <w:tcW w:w="3800" w:type="pct"/>
          </w:tcPr>
          <w:p w14:paraId="623F30B6" w14:textId="4F8B681E" w:rsidR="008155BF" w:rsidRDefault="008155B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8155BF">
              <w:rPr>
                <w:szCs w:val="22"/>
              </w:rPr>
              <w:t xml:space="preserve">onovalent bulk conjugates </w:t>
            </w:r>
          </w:p>
        </w:tc>
      </w:tr>
      <w:tr w:rsidR="00355FDC" w:rsidRPr="00D01DDB" w14:paraId="0B2464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86960C" w14:textId="5B2ED67B" w:rsidR="00355FDC" w:rsidRPr="00D01DDB" w:rsidRDefault="00AC25A1" w:rsidP="00324B33">
            <w:pPr>
              <w:rPr>
                <w:szCs w:val="22"/>
              </w:rPr>
            </w:pPr>
            <w:r>
              <w:rPr>
                <w:szCs w:val="22"/>
              </w:rPr>
              <w:t>MOPA</w:t>
            </w:r>
          </w:p>
        </w:tc>
        <w:tc>
          <w:tcPr>
            <w:tcW w:w="3800" w:type="pct"/>
          </w:tcPr>
          <w:p w14:paraId="7B3714C3" w14:textId="5F02AEB5" w:rsidR="00355FDC" w:rsidRPr="00D01DDB" w:rsidRDefault="00AC25A1" w:rsidP="00324B33">
            <w:pPr>
              <w:cnfStyle w:val="000000000000" w:firstRow="0" w:lastRow="0" w:firstColumn="0" w:lastColumn="0" w:oddVBand="0" w:evenVBand="0" w:oddHBand="0" w:evenHBand="0" w:firstRowFirstColumn="0" w:firstRowLastColumn="0" w:lastRowFirstColumn="0" w:lastRowLastColumn="0"/>
              <w:rPr>
                <w:szCs w:val="22"/>
              </w:rPr>
            </w:pPr>
            <w:r w:rsidRPr="00AC25A1">
              <w:rPr>
                <w:szCs w:val="22"/>
              </w:rPr>
              <w:t>Multiplexed opsonophagocytic killing assay</w:t>
            </w:r>
          </w:p>
        </w:tc>
      </w:tr>
      <w:tr w:rsidR="00355FDC" w:rsidRPr="00D01DDB" w14:paraId="0C0065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DF4052" w14:textId="4A1BBFA5" w:rsidR="00355FDC" w:rsidRPr="00D01DDB" w:rsidRDefault="00355FDC" w:rsidP="00324B33">
            <w:pPr>
              <w:rPr>
                <w:szCs w:val="22"/>
              </w:rPr>
            </w:pPr>
            <w:r>
              <w:rPr>
                <w:szCs w:val="22"/>
              </w:rPr>
              <w:t>NIP</w:t>
            </w:r>
          </w:p>
        </w:tc>
        <w:tc>
          <w:tcPr>
            <w:tcW w:w="3800" w:type="pct"/>
          </w:tcPr>
          <w:p w14:paraId="03B32E35" w14:textId="2593ED7E" w:rsidR="00355FDC" w:rsidRPr="00D01DDB" w:rsidRDefault="00355FDC" w:rsidP="00324B33">
            <w:pPr>
              <w:cnfStyle w:val="000000000000" w:firstRow="0" w:lastRow="0" w:firstColumn="0" w:lastColumn="0" w:oddVBand="0" w:evenVBand="0" w:oddHBand="0" w:evenHBand="0" w:firstRowFirstColumn="0" w:firstRowLastColumn="0" w:lastRowFirstColumn="0" w:lastRowLastColumn="0"/>
              <w:rPr>
                <w:szCs w:val="22"/>
              </w:rPr>
            </w:pPr>
            <w:r w:rsidRPr="00355FDC">
              <w:rPr>
                <w:szCs w:val="22"/>
              </w:rPr>
              <w:t>National Immunisation Program</w:t>
            </w:r>
          </w:p>
        </w:tc>
      </w:tr>
      <w:tr w:rsidR="009A1E38" w:rsidRPr="00D01DDB" w14:paraId="55EA1F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3165FE" w14:textId="2EFBE0AF" w:rsidR="009A1E38" w:rsidRDefault="009A1E38" w:rsidP="00324B33">
            <w:pPr>
              <w:rPr>
                <w:szCs w:val="22"/>
              </w:rPr>
            </w:pPr>
            <w:r>
              <w:rPr>
                <w:szCs w:val="22"/>
              </w:rPr>
              <w:t>N</w:t>
            </w:r>
            <w:r w:rsidRPr="009A1E38">
              <w:rPr>
                <w:szCs w:val="22"/>
              </w:rPr>
              <w:t>on-IPD</w:t>
            </w:r>
          </w:p>
        </w:tc>
        <w:tc>
          <w:tcPr>
            <w:tcW w:w="3800" w:type="pct"/>
          </w:tcPr>
          <w:p w14:paraId="1D22AA40" w14:textId="3E01D26B" w:rsidR="009A1E38" w:rsidRPr="00355FDC" w:rsidRDefault="009A1E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9A1E38">
              <w:rPr>
                <w:szCs w:val="22"/>
              </w:rPr>
              <w:t xml:space="preserve">on-invasive pneumococcal disease </w:t>
            </w:r>
          </w:p>
        </w:tc>
      </w:tr>
      <w:tr w:rsidR="00C471F6" w:rsidRPr="00D01DDB" w14:paraId="47C642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9D7FBA" w14:textId="4B512F27" w:rsidR="00C471F6" w:rsidRDefault="00B4082D" w:rsidP="00324B33">
            <w:pPr>
              <w:rPr>
                <w:szCs w:val="22"/>
              </w:rPr>
            </w:pPr>
            <w:r>
              <w:rPr>
                <w:szCs w:val="22"/>
              </w:rPr>
              <w:t>NPI</w:t>
            </w:r>
          </w:p>
        </w:tc>
        <w:tc>
          <w:tcPr>
            <w:tcW w:w="3800" w:type="pct"/>
          </w:tcPr>
          <w:p w14:paraId="0B39E9AD" w14:textId="187825B6" w:rsidR="00C471F6" w:rsidRDefault="00B4082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Nonpharmaceutical interventions</w:t>
            </w:r>
          </w:p>
        </w:tc>
      </w:tr>
      <w:tr w:rsidR="00313A7B" w:rsidRPr="00D01DDB" w14:paraId="7401F5F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5BA4D5" w14:textId="23B717F5" w:rsidR="00313A7B" w:rsidRDefault="00313A7B" w:rsidP="00324B33">
            <w:pPr>
              <w:rPr>
                <w:szCs w:val="22"/>
              </w:rPr>
            </w:pPr>
            <w:r>
              <w:rPr>
                <w:szCs w:val="22"/>
              </w:rPr>
              <w:t>OPA</w:t>
            </w:r>
          </w:p>
        </w:tc>
        <w:tc>
          <w:tcPr>
            <w:tcW w:w="3800" w:type="pct"/>
          </w:tcPr>
          <w:p w14:paraId="4BCF8A85" w14:textId="0A46FDC6" w:rsidR="00313A7B" w:rsidRDefault="00313A7B" w:rsidP="00324B33">
            <w:pPr>
              <w:cnfStyle w:val="000000000000" w:firstRow="0" w:lastRow="0" w:firstColumn="0" w:lastColumn="0" w:oddVBand="0" w:evenVBand="0" w:oddHBand="0" w:evenHBand="0" w:firstRowFirstColumn="0" w:firstRowLastColumn="0" w:lastRowFirstColumn="0" w:lastRowLastColumn="0"/>
              <w:rPr>
                <w:szCs w:val="22"/>
              </w:rPr>
            </w:pPr>
            <w:r w:rsidRPr="00313A7B">
              <w:rPr>
                <w:szCs w:val="22"/>
              </w:rPr>
              <w:t>Opsonophagocytic activity</w:t>
            </w:r>
          </w:p>
        </w:tc>
      </w:tr>
      <w:tr w:rsidR="00820AF4" w:rsidRPr="00D01DDB" w14:paraId="765F38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0E903F" w14:textId="3DAF51C0" w:rsidR="00820AF4" w:rsidRDefault="00820AF4" w:rsidP="00324B33">
            <w:pPr>
              <w:rPr>
                <w:szCs w:val="22"/>
              </w:rPr>
            </w:pPr>
            <w:r>
              <w:rPr>
                <w:szCs w:val="22"/>
              </w:rPr>
              <w:lastRenderedPageBreak/>
              <w:t>PCV</w:t>
            </w:r>
          </w:p>
        </w:tc>
        <w:tc>
          <w:tcPr>
            <w:tcW w:w="3800" w:type="pct"/>
          </w:tcPr>
          <w:p w14:paraId="5FC07BEE" w14:textId="0DF62B6D" w:rsidR="00820AF4" w:rsidRDefault="00820AF4" w:rsidP="00820AF4">
            <w:pPr>
              <w:ind w:left="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820AF4">
              <w:rPr>
                <w:szCs w:val="22"/>
              </w:rPr>
              <w:t>Pneumococcal Conjugate Vaccine</w:t>
            </w:r>
          </w:p>
        </w:tc>
      </w:tr>
      <w:tr w:rsidR="001D2F3C" w:rsidRPr="00D01DDB" w14:paraId="3E1406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DFDAAB" w14:textId="1BB46A96" w:rsidR="001D2F3C" w:rsidRDefault="00AB4A1A" w:rsidP="00324B33">
            <w:pPr>
              <w:rPr>
                <w:szCs w:val="22"/>
              </w:rPr>
            </w:pPr>
            <w:r>
              <w:rPr>
                <w:szCs w:val="22"/>
              </w:rPr>
              <w:t>PD</w:t>
            </w:r>
          </w:p>
        </w:tc>
        <w:tc>
          <w:tcPr>
            <w:tcW w:w="3800" w:type="pct"/>
          </w:tcPr>
          <w:p w14:paraId="56D4D59F" w14:textId="6F226137" w:rsidR="001D2F3C" w:rsidRPr="00355FDC" w:rsidRDefault="00AB4A1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AB4A1A">
              <w:rPr>
                <w:szCs w:val="22"/>
              </w:rPr>
              <w:t>neumococcal disease</w:t>
            </w:r>
          </w:p>
        </w:tc>
      </w:tr>
      <w:tr w:rsidR="005619C3" w:rsidRPr="00D01DDB" w14:paraId="4F9956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F05A17" w14:textId="780C1D35" w:rsidR="005619C3" w:rsidRDefault="005619C3" w:rsidP="00324B33">
            <w:pPr>
              <w:rPr>
                <w:szCs w:val="22"/>
              </w:rPr>
            </w:pPr>
            <w:r>
              <w:rPr>
                <w:szCs w:val="22"/>
              </w:rPr>
              <w:t>PFS</w:t>
            </w:r>
          </w:p>
        </w:tc>
        <w:tc>
          <w:tcPr>
            <w:tcW w:w="3800" w:type="pct"/>
          </w:tcPr>
          <w:p w14:paraId="29BCEB3D" w14:textId="35548624" w:rsidR="005619C3" w:rsidRDefault="005619C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5619C3">
              <w:rPr>
                <w:szCs w:val="22"/>
              </w:rPr>
              <w:t>refilled syringe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0D055D" w:rsidRPr="00D01DDB" w14:paraId="7B5101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2E7AD5" w14:textId="6F23A327" w:rsidR="000D055D" w:rsidRPr="00D01DDB" w:rsidRDefault="000D055D" w:rsidP="00A704DC">
            <w:pPr>
              <w:rPr>
                <w:szCs w:val="22"/>
              </w:rPr>
            </w:pPr>
            <w:r>
              <w:rPr>
                <w:szCs w:val="22"/>
              </w:rPr>
              <w:t>SAEs</w:t>
            </w:r>
          </w:p>
        </w:tc>
        <w:tc>
          <w:tcPr>
            <w:tcW w:w="3800" w:type="pct"/>
          </w:tcPr>
          <w:p w14:paraId="132B3305" w14:textId="1D975041" w:rsidR="000D055D" w:rsidRPr="00D01DDB" w:rsidRDefault="00BF5E26"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207110430"/>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07110431"/>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C50CFC4" w:rsidR="00324B33" w:rsidRPr="00BD5DBD" w:rsidRDefault="00324B33" w:rsidP="007452E8">
            <w:pPr>
              <w:rPr>
                <w:i/>
                <w:szCs w:val="22"/>
              </w:rPr>
            </w:pPr>
            <w:r w:rsidRPr="00BD5DBD">
              <w:rPr>
                <w:i/>
                <w:szCs w:val="22"/>
              </w:rPr>
              <w:t>Type of submission:</w:t>
            </w:r>
          </w:p>
        </w:tc>
        <w:tc>
          <w:tcPr>
            <w:tcW w:w="3423" w:type="pct"/>
          </w:tcPr>
          <w:p w14:paraId="4F07C303" w14:textId="49797317" w:rsidR="00324B33" w:rsidRPr="00BD5DBD" w:rsidRDefault="00324B33" w:rsidP="007452E8">
            <w:pPr>
              <w:rPr>
                <w:szCs w:val="22"/>
              </w:rPr>
            </w:pPr>
            <w:r w:rsidRPr="00BD5DBD">
              <w:rPr>
                <w:szCs w:val="22"/>
              </w:rPr>
              <w:t xml:space="preserve">New </w:t>
            </w:r>
            <w:r w:rsidR="00924DAA">
              <w:rPr>
                <w:szCs w:val="22"/>
              </w:rPr>
              <w:t>biological</w:t>
            </w:r>
            <w:r w:rsidRPr="00BD5DBD">
              <w:rPr>
                <w:szCs w:val="22"/>
              </w:rPr>
              <w:t xml:space="preserve"> entity </w:t>
            </w:r>
          </w:p>
        </w:tc>
      </w:tr>
      <w:tr w:rsidR="00324B33" w:rsidRPr="00BD5DBD" w14:paraId="13482B61" w14:textId="77777777" w:rsidTr="00F865A7">
        <w:tc>
          <w:tcPr>
            <w:tcW w:w="1577" w:type="pct"/>
          </w:tcPr>
          <w:p w14:paraId="2C427FCF" w14:textId="31FFA2A4" w:rsidR="00324B33" w:rsidRPr="00BD5DBD" w:rsidRDefault="00324B33" w:rsidP="007452E8">
            <w:pPr>
              <w:rPr>
                <w:i/>
                <w:szCs w:val="22"/>
              </w:rPr>
            </w:pPr>
            <w:r w:rsidRPr="00BD5DBD">
              <w:rPr>
                <w:i/>
                <w:szCs w:val="22"/>
              </w:rPr>
              <w:t>Product name:</w:t>
            </w:r>
          </w:p>
        </w:tc>
        <w:tc>
          <w:tcPr>
            <w:tcW w:w="3423" w:type="pct"/>
          </w:tcPr>
          <w:p w14:paraId="0E2DEF76" w14:textId="5B62D3E4" w:rsidR="00324B33" w:rsidRPr="00BD5DBD" w:rsidRDefault="00EC1D1E" w:rsidP="007452E8">
            <w:pPr>
              <w:rPr>
                <w:szCs w:val="22"/>
              </w:rPr>
            </w:pPr>
            <w:r>
              <w:rPr>
                <w:szCs w:val="22"/>
              </w:rPr>
              <w:t xml:space="preserve">Capvaxive </w:t>
            </w:r>
          </w:p>
        </w:tc>
      </w:tr>
      <w:tr w:rsidR="00324B33" w:rsidRPr="00BD5DBD" w14:paraId="01255B5B" w14:textId="77777777" w:rsidTr="00F865A7">
        <w:tc>
          <w:tcPr>
            <w:tcW w:w="1577" w:type="pct"/>
          </w:tcPr>
          <w:p w14:paraId="52B4F3D7" w14:textId="5DF7342F" w:rsidR="00324B33" w:rsidRPr="00BD5DBD" w:rsidRDefault="00324B33" w:rsidP="007452E8">
            <w:pPr>
              <w:rPr>
                <w:i/>
                <w:szCs w:val="22"/>
              </w:rPr>
            </w:pPr>
            <w:r w:rsidRPr="00BD5DBD">
              <w:rPr>
                <w:i/>
                <w:szCs w:val="22"/>
              </w:rPr>
              <w:t>Active ingredien</w:t>
            </w:r>
            <w:r w:rsidR="00847DF7">
              <w:rPr>
                <w:i/>
                <w:szCs w:val="22"/>
              </w:rPr>
              <w:t>t</w:t>
            </w:r>
            <w:r w:rsidRPr="00BD5DBD">
              <w:rPr>
                <w:i/>
                <w:szCs w:val="22"/>
              </w:rPr>
              <w:t>:</w:t>
            </w:r>
          </w:p>
        </w:tc>
        <w:tc>
          <w:tcPr>
            <w:tcW w:w="3423" w:type="pct"/>
          </w:tcPr>
          <w:p w14:paraId="02FB6383" w14:textId="06CA8CBF" w:rsidR="00324B33" w:rsidRPr="00BD5DBD" w:rsidRDefault="005D4835" w:rsidP="007452E8">
            <w:pPr>
              <w:rPr>
                <w:szCs w:val="22"/>
              </w:rPr>
            </w:pPr>
            <w:r>
              <w:rPr>
                <w:szCs w:val="22"/>
              </w:rPr>
              <w:t>Pneumococcal 21-valent Conjugate Vaccine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F99DB6B"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3E78FE20" w:rsidR="00AE1947" w:rsidRPr="00BD5DBD" w:rsidRDefault="00A02021">
            <w:pPr>
              <w:rPr>
                <w:szCs w:val="22"/>
              </w:rPr>
            </w:pPr>
            <w:r>
              <w:rPr>
                <w:szCs w:val="22"/>
              </w:rPr>
              <w:t>30 January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8ABDE55" w:rsidR="00324B33" w:rsidRPr="00BD5DBD" w:rsidRDefault="00250F09" w:rsidP="007452E8">
            <w:pPr>
              <w:rPr>
                <w:szCs w:val="22"/>
              </w:rPr>
            </w:pPr>
            <w:r>
              <w:rPr>
                <w:szCs w:val="22"/>
              </w:rPr>
              <w:t>5 February 2025</w:t>
            </w:r>
          </w:p>
        </w:tc>
      </w:tr>
      <w:tr w:rsidR="00324B33" w:rsidRPr="00BD5DBD" w14:paraId="547E08D7" w14:textId="77777777" w:rsidTr="00F865A7">
        <w:tc>
          <w:tcPr>
            <w:tcW w:w="1577" w:type="pct"/>
          </w:tcPr>
          <w:p w14:paraId="5030EF30" w14:textId="030C1907" w:rsidR="00324B33" w:rsidRPr="00BD5DBD" w:rsidRDefault="00324B33" w:rsidP="007452E8">
            <w:pPr>
              <w:rPr>
                <w:i/>
                <w:szCs w:val="22"/>
              </w:rPr>
            </w:pPr>
            <w:r w:rsidRPr="00BD5DBD">
              <w:rPr>
                <w:i/>
                <w:szCs w:val="22"/>
              </w:rPr>
              <w:t>ARTG numbe</w:t>
            </w:r>
            <w:r w:rsidR="000F24F0">
              <w:rPr>
                <w:i/>
                <w:szCs w:val="22"/>
              </w:rPr>
              <w:t>r</w:t>
            </w:r>
            <w:r w:rsidRPr="00BD5DBD">
              <w:rPr>
                <w:i/>
                <w:szCs w:val="22"/>
              </w:rPr>
              <w:t>:</w:t>
            </w:r>
          </w:p>
        </w:tc>
        <w:tc>
          <w:tcPr>
            <w:tcW w:w="3423" w:type="pct"/>
          </w:tcPr>
          <w:p w14:paraId="0054E912" w14:textId="6FE208E2" w:rsidR="00324B33" w:rsidRPr="00BD5DBD" w:rsidRDefault="00250F09" w:rsidP="007452E8">
            <w:pPr>
              <w:rPr>
                <w:szCs w:val="22"/>
              </w:rPr>
            </w:pPr>
            <w:r>
              <w:rPr>
                <w:szCs w:val="22"/>
              </w:rPr>
              <w:t>429290</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107E611A" w14:textId="77777777" w:rsidR="00324B33" w:rsidRDefault="00324B33" w:rsidP="007452E8">
            <w:pPr>
              <w:rPr>
                <w:szCs w:val="22"/>
              </w:rPr>
            </w:pPr>
            <w:r w:rsidRPr="00BD5DBD">
              <w:rPr>
                <w:szCs w:val="22"/>
              </w:rPr>
              <w:t>Yes</w:t>
            </w:r>
          </w:p>
          <w:p w14:paraId="6FF3C6A2" w14:textId="1E57AB4B" w:rsidR="00CE23B1" w:rsidRPr="00BD5DBD" w:rsidRDefault="00FD0267" w:rsidP="00FD0267">
            <w:r w:rsidRPr="00DB0C21">
              <w:t>The PI and CMI for C</w:t>
            </w:r>
            <w:r w:rsidR="00C83311">
              <w:t>apvaxive</w:t>
            </w:r>
            <w:r w:rsidRPr="00DB0C21">
              <w:t xml:space="preserve"> must include the black triangle symbol and mandatory accompanying text for five years, which starts from the date of first supply of the product.</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5899E11" w14:textId="77777777" w:rsidR="00324B33" w:rsidRDefault="00250F09" w:rsidP="00F66CA3">
            <w:pPr>
              <w:contextualSpacing/>
            </w:pPr>
            <w:r>
              <w:t>Merck Sharp &amp; Dohme (Australia) Pty Ltd</w:t>
            </w:r>
          </w:p>
          <w:p w14:paraId="183421B7" w14:textId="77777777" w:rsidR="00F66CA3" w:rsidRPr="00F66CA3" w:rsidRDefault="00F66CA3" w:rsidP="00F66CA3">
            <w:pPr>
              <w:contextualSpacing/>
            </w:pPr>
            <w:r w:rsidRPr="00F66CA3">
              <w:t>Level 1, Building A, 26 Talavera Road</w:t>
            </w:r>
          </w:p>
          <w:p w14:paraId="5F0D42D1" w14:textId="1BD9B92E" w:rsidR="00F66CA3" w:rsidRDefault="00F66CA3" w:rsidP="007452E8">
            <w:pPr>
              <w:contextualSpacing/>
            </w:pPr>
            <w:r w:rsidRPr="00F66CA3">
              <w:t>Macquarie Park</w:t>
            </w:r>
            <w:r w:rsidR="000F24F0">
              <w:t xml:space="preserve">, </w:t>
            </w:r>
          </w:p>
          <w:p w14:paraId="68DD94B0" w14:textId="58359D20" w:rsidR="00DF01FC" w:rsidRPr="00F66CA3" w:rsidRDefault="00F66CA3" w:rsidP="007452E8">
            <w:r w:rsidRPr="00F66CA3">
              <w:t>NSW</w:t>
            </w:r>
            <w:r w:rsidR="000F24F0">
              <w:t xml:space="preserve">, </w:t>
            </w:r>
            <w:r w:rsidR="0077556F">
              <w:t>2113</w:t>
            </w:r>
          </w:p>
        </w:tc>
      </w:tr>
      <w:tr w:rsidR="00324B33" w:rsidRPr="00BD5DBD" w14:paraId="5322B989" w14:textId="77777777" w:rsidTr="00F865A7">
        <w:tc>
          <w:tcPr>
            <w:tcW w:w="1577" w:type="pct"/>
          </w:tcPr>
          <w:p w14:paraId="24F217E3" w14:textId="1865CA6E" w:rsidR="00324B33" w:rsidRPr="00BD5DBD" w:rsidRDefault="00324B33" w:rsidP="007452E8">
            <w:pPr>
              <w:rPr>
                <w:i/>
                <w:szCs w:val="22"/>
              </w:rPr>
            </w:pPr>
            <w:r w:rsidRPr="00BD5DBD">
              <w:rPr>
                <w:i/>
                <w:szCs w:val="22"/>
              </w:rPr>
              <w:t>Dose form:</w:t>
            </w:r>
          </w:p>
        </w:tc>
        <w:tc>
          <w:tcPr>
            <w:tcW w:w="3423" w:type="pct"/>
          </w:tcPr>
          <w:p w14:paraId="768B254C" w14:textId="320DB915" w:rsidR="00324B33" w:rsidRPr="00BD5DBD" w:rsidRDefault="00DF01FC" w:rsidP="007452E8">
            <w:pPr>
              <w:rPr>
                <w:szCs w:val="22"/>
              </w:rPr>
            </w:pPr>
            <w:r w:rsidRPr="00DF01FC">
              <w:rPr>
                <w:szCs w:val="22"/>
              </w:rPr>
              <w:t xml:space="preserve">0.5 mL </w:t>
            </w:r>
            <w:r w:rsidR="00910F76">
              <w:rPr>
                <w:szCs w:val="22"/>
              </w:rPr>
              <w:t>s</w:t>
            </w:r>
            <w:r w:rsidRPr="00DF01FC">
              <w:rPr>
                <w:szCs w:val="22"/>
              </w:rPr>
              <w:t xml:space="preserve">olution for </w:t>
            </w:r>
            <w:r w:rsidR="00910F76">
              <w:rPr>
                <w:szCs w:val="22"/>
              </w:rPr>
              <w:t>i</w:t>
            </w:r>
            <w:r w:rsidRPr="00DF01FC">
              <w:rPr>
                <w:szCs w:val="22"/>
              </w:rPr>
              <w:t>njection</w:t>
            </w:r>
            <w:r w:rsidR="00007F37">
              <w:rPr>
                <w:szCs w:val="22"/>
              </w:rPr>
              <w:t>.</w:t>
            </w:r>
          </w:p>
        </w:tc>
      </w:tr>
      <w:tr w:rsidR="00324B33" w:rsidRPr="00BD5DBD" w14:paraId="115243E6" w14:textId="77777777" w:rsidTr="00F865A7">
        <w:tc>
          <w:tcPr>
            <w:tcW w:w="1577" w:type="pct"/>
          </w:tcPr>
          <w:p w14:paraId="7634B062" w14:textId="222AB4BE" w:rsidR="00324B33" w:rsidRPr="00BD5DBD" w:rsidRDefault="00324B33" w:rsidP="007452E8">
            <w:pPr>
              <w:rPr>
                <w:i/>
                <w:szCs w:val="22"/>
              </w:rPr>
            </w:pPr>
            <w:r w:rsidRPr="00BD5DBD">
              <w:rPr>
                <w:i/>
                <w:szCs w:val="22"/>
              </w:rPr>
              <w:t>Strength:</w:t>
            </w:r>
          </w:p>
        </w:tc>
        <w:tc>
          <w:tcPr>
            <w:tcW w:w="3423" w:type="pct"/>
          </w:tcPr>
          <w:p w14:paraId="5E5F83DB" w14:textId="53821A18" w:rsidR="00324B33" w:rsidRPr="00BD5DBD" w:rsidRDefault="00BC5EF5" w:rsidP="007452E8">
            <w:pPr>
              <w:rPr>
                <w:szCs w:val="22"/>
              </w:rPr>
            </w:pPr>
            <w:r>
              <w:rPr>
                <w:szCs w:val="22"/>
              </w:rPr>
              <w:t>Each</w:t>
            </w:r>
            <w:r w:rsidR="00886F1E">
              <w:rPr>
                <w:szCs w:val="22"/>
              </w:rPr>
              <w:t xml:space="preserve"> </w:t>
            </w:r>
            <w:r w:rsidR="009826D7">
              <w:rPr>
                <w:szCs w:val="22"/>
              </w:rPr>
              <w:t xml:space="preserve">0.5 ml dose </w:t>
            </w:r>
            <w:r w:rsidR="008F1514" w:rsidRPr="008F1514">
              <w:rPr>
                <w:szCs w:val="22"/>
              </w:rPr>
              <w:t>contains 84 micrograms of pneumococcal purified capsular polysaccharide antigen</w:t>
            </w:r>
            <w:r w:rsidR="006B2EEC" w:rsidRPr="006B2EEC">
              <w:rPr>
                <w:rFonts w:asciiTheme="minorHAnsi" w:hAnsiTheme="minorHAnsi"/>
                <w:szCs w:val="22"/>
              </w:rPr>
              <w:t xml:space="preserve"> </w:t>
            </w:r>
            <w:r w:rsidR="006B2EEC" w:rsidRPr="006B2EEC">
              <w:rPr>
                <w:szCs w:val="22"/>
              </w:rPr>
              <w:t>conjugated to approximately 65 mcg of CRM197 carrier protein.</w:t>
            </w:r>
          </w:p>
        </w:tc>
      </w:tr>
      <w:tr w:rsidR="00324B33" w:rsidRPr="00BD5DBD" w14:paraId="34B07BA6" w14:textId="77777777" w:rsidTr="00F865A7">
        <w:tc>
          <w:tcPr>
            <w:tcW w:w="1577" w:type="pct"/>
          </w:tcPr>
          <w:p w14:paraId="1C039224" w14:textId="48B0FEF3" w:rsidR="00324B33" w:rsidRPr="00BD5DBD" w:rsidRDefault="00324B33" w:rsidP="007452E8">
            <w:pPr>
              <w:rPr>
                <w:i/>
                <w:szCs w:val="22"/>
              </w:rPr>
            </w:pPr>
            <w:r w:rsidRPr="00BD5DBD">
              <w:rPr>
                <w:i/>
                <w:szCs w:val="22"/>
              </w:rPr>
              <w:t>Container:</w:t>
            </w:r>
          </w:p>
        </w:tc>
        <w:tc>
          <w:tcPr>
            <w:tcW w:w="3423" w:type="pct"/>
          </w:tcPr>
          <w:p w14:paraId="500A42C6" w14:textId="6BB31CF0" w:rsidR="00324B33" w:rsidRPr="00BD5DBD" w:rsidRDefault="00B42618" w:rsidP="00B42618">
            <w:pPr>
              <w:rPr>
                <w:szCs w:val="22"/>
              </w:rPr>
            </w:pPr>
            <w:r>
              <w:rPr>
                <w:szCs w:val="22"/>
              </w:rPr>
              <w:t>S</w:t>
            </w:r>
            <w:r w:rsidRPr="00B42618">
              <w:rPr>
                <w:szCs w:val="22"/>
              </w:rPr>
              <w:t xml:space="preserve">ingle-dose pre-filled </w:t>
            </w:r>
            <w:r w:rsidR="00044430">
              <w:rPr>
                <w:szCs w:val="22"/>
              </w:rPr>
              <w:t>glas</w:t>
            </w:r>
            <w:r w:rsidR="001C70EB">
              <w:rPr>
                <w:szCs w:val="22"/>
              </w:rPr>
              <w:t xml:space="preserve">s </w:t>
            </w:r>
            <w:r w:rsidRPr="00B42618">
              <w:rPr>
                <w:szCs w:val="22"/>
              </w:rPr>
              <w:t>syringes</w:t>
            </w:r>
            <w:r>
              <w:rPr>
                <w:szCs w:val="22"/>
              </w:rPr>
              <w:t>.</w:t>
            </w:r>
          </w:p>
        </w:tc>
      </w:tr>
      <w:tr w:rsidR="00324B33" w:rsidRPr="00BD5DBD" w14:paraId="176B6773" w14:textId="77777777" w:rsidTr="00F865A7">
        <w:tc>
          <w:tcPr>
            <w:tcW w:w="1577" w:type="pct"/>
          </w:tcPr>
          <w:p w14:paraId="71846159" w14:textId="45912334" w:rsidR="00324B33" w:rsidRPr="00BD5DBD" w:rsidRDefault="00324B33" w:rsidP="007452E8">
            <w:pPr>
              <w:rPr>
                <w:i/>
                <w:szCs w:val="22"/>
              </w:rPr>
            </w:pPr>
            <w:r w:rsidRPr="00BD5DBD">
              <w:rPr>
                <w:i/>
                <w:szCs w:val="22"/>
              </w:rPr>
              <w:t>Pack size:</w:t>
            </w:r>
          </w:p>
        </w:tc>
        <w:tc>
          <w:tcPr>
            <w:tcW w:w="3423" w:type="pct"/>
          </w:tcPr>
          <w:p w14:paraId="7E978F8F" w14:textId="3799EAD6" w:rsidR="00324B33" w:rsidRPr="00BD5DBD" w:rsidRDefault="001C4F64" w:rsidP="00780AD1">
            <w:pPr>
              <w:rPr>
                <w:szCs w:val="22"/>
              </w:rPr>
            </w:pPr>
            <w:r>
              <w:rPr>
                <w:szCs w:val="22"/>
              </w:rPr>
              <w:t>P</w:t>
            </w:r>
            <w:r w:rsidR="00780AD1" w:rsidRPr="00780AD1">
              <w:rPr>
                <w:szCs w:val="22"/>
              </w:rPr>
              <w:t>re-filled syringes in packs of 1 and 10.</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0F0BCEF" w14:textId="209DD3E0" w:rsidR="008C3A28" w:rsidRPr="008C3A28" w:rsidRDefault="008C3A28" w:rsidP="008C3A28">
            <w:pPr>
              <w:rPr>
                <w:i/>
                <w:iCs/>
                <w:szCs w:val="22"/>
              </w:rPr>
            </w:pPr>
            <w:r w:rsidRPr="008C3A28">
              <w:rPr>
                <w:i/>
                <w:iCs/>
                <w:szCs w:val="22"/>
              </w:rPr>
              <w:t>C</w:t>
            </w:r>
            <w:r w:rsidR="00F54541">
              <w:rPr>
                <w:i/>
                <w:iCs/>
                <w:szCs w:val="22"/>
              </w:rPr>
              <w:t>apvaxive</w:t>
            </w:r>
            <w:r w:rsidRPr="008C3A28">
              <w:rPr>
                <w:i/>
                <w:iCs/>
                <w:szCs w:val="22"/>
              </w:rPr>
              <w:t xml:space="preserve"> is indicated for active immunisation for the prevention of pneumococcal</w:t>
            </w:r>
            <w:r>
              <w:rPr>
                <w:i/>
                <w:iCs/>
                <w:szCs w:val="22"/>
              </w:rPr>
              <w:t xml:space="preserve"> </w:t>
            </w:r>
            <w:r w:rsidRPr="008C3A28">
              <w:rPr>
                <w:i/>
                <w:iCs/>
                <w:szCs w:val="22"/>
              </w:rPr>
              <w:t>disease caused by Streptococcus pneumoniae serotypes (3, 6A, 7F, 8, 9N, 10A, 11A, 12F,</w:t>
            </w:r>
            <w:r>
              <w:rPr>
                <w:i/>
                <w:iCs/>
                <w:szCs w:val="22"/>
              </w:rPr>
              <w:t xml:space="preserve"> </w:t>
            </w:r>
            <w:r w:rsidRPr="008C3A28">
              <w:rPr>
                <w:i/>
                <w:iCs/>
                <w:szCs w:val="22"/>
              </w:rPr>
              <w:t>15A, 15B, 15C, 16F, 17F, 19A, 20A, 22F, 23A, 23B, 24F, 31, 33F, and 35B) in adults 18</w:t>
            </w:r>
            <w:r>
              <w:rPr>
                <w:i/>
                <w:iCs/>
                <w:szCs w:val="22"/>
              </w:rPr>
              <w:t xml:space="preserve"> </w:t>
            </w:r>
            <w:r w:rsidRPr="008C3A28">
              <w:rPr>
                <w:i/>
                <w:iCs/>
                <w:szCs w:val="22"/>
              </w:rPr>
              <w:t>years of age and older.</w:t>
            </w:r>
          </w:p>
          <w:p w14:paraId="0E338836" w14:textId="539C491E" w:rsidR="008C3A28" w:rsidRPr="008C3A28" w:rsidRDefault="008C3A28" w:rsidP="008C3A28">
            <w:pPr>
              <w:rPr>
                <w:i/>
                <w:iCs/>
                <w:szCs w:val="22"/>
              </w:rPr>
            </w:pPr>
            <w:r w:rsidRPr="008C3A28">
              <w:rPr>
                <w:i/>
                <w:iCs/>
                <w:szCs w:val="22"/>
              </w:rPr>
              <w:t>C</w:t>
            </w:r>
            <w:r w:rsidR="00F54541">
              <w:rPr>
                <w:i/>
                <w:iCs/>
                <w:szCs w:val="22"/>
              </w:rPr>
              <w:t>apvaxive</w:t>
            </w:r>
            <w:r w:rsidRPr="008C3A28">
              <w:rPr>
                <w:i/>
                <w:iCs/>
                <w:szCs w:val="22"/>
              </w:rPr>
              <w:t xml:space="preserve"> may not prevent disease cause by S. pneumoniae serotypes that are not</w:t>
            </w:r>
            <w:r>
              <w:rPr>
                <w:i/>
                <w:iCs/>
                <w:szCs w:val="22"/>
              </w:rPr>
              <w:t xml:space="preserve"> </w:t>
            </w:r>
            <w:r w:rsidRPr="008C3A28">
              <w:rPr>
                <w:i/>
                <w:iCs/>
                <w:szCs w:val="22"/>
              </w:rPr>
              <w:t>listed in the indications.</w:t>
            </w:r>
          </w:p>
          <w:p w14:paraId="6E143E2E" w14:textId="788CA9ED" w:rsidR="00324B33" w:rsidRPr="00BD5DBD" w:rsidRDefault="008C3A28" w:rsidP="008C3A28">
            <w:pPr>
              <w:rPr>
                <w:szCs w:val="22"/>
              </w:rPr>
            </w:pPr>
            <w:r w:rsidRPr="008C3A28">
              <w:rPr>
                <w:i/>
                <w:iCs/>
                <w:szCs w:val="22"/>
              </w:rPr>
              <w:t>The use of C</w:t>
            </w:r>
            <w:r w:rsidR="00F54541">
              <w:rPr>
                <w:i/>
                <w:iCs/>
                <w:szCs w:val="22"/>
              </w:rPr>
              <w:t>apvaxive</w:t>
            </w:r>
            <w:r w:rsidRPr="008C3A28">
              <w:rPr>
                <w:i/>
                <w:iCs/>
                <w:szCs w:val="22"/>
              </w:rPr>
              <w:t xml:space="preserve"> should be guided by official recommendations.</w:t>
            </w:r>
          </w:p>
        </w:tc>
      </w:tr>
      <w:tr w:rsidR="00324B33" w:rsidRPr="00BD5DBD" w14:paraId="5AFDEED3" w14:textId="77777777" w:rsidTr="00F865A7">
        <w:tc>
          <w:tcPr>
            <w:tcW w:w="1577" w:type="pct"/>
          </w:tcPr>
          <w:p w14:paraId="03884BD1" w14:textId="700D8152" w:rsidR="00324B33" w:rsidRPr="00BD5DBD" w:rsidRDefault="00324B33" w:rsidP="007452E8">
            <w:pPr>
              <w:rPr>
                <w:i/>
                <w:szCs w:val="22"/>
              </w:rPr>
            </w:pPr>
            <w:r w:rsidRPr="00BD5DBD">
              <w:rPr>
                <w:i/>
                <w:szCs w:val="22"/>
              </w:rPr>
              <w:t>Route of administration:</w:t>
            </w:r>
          </w:p>
        </w:tc>
        <w:tc>
          <w:tcPr>
            <w:tcW w:w="3423" w:type="pct"/>
          </w:tcPr>
          <w:p w14:paraId="1ED1357E" w14:textId="33A42DE9" w:rsidR="00324B33" w:rsidRPr="00BD5DBD" w:rsidRDefault="00576735" w:rsidP="007452E8">
            <w:pPr>
              <w:rPr>
                <w:szCs w:val="22"/>
              </w:rPr>
            </w:pPr>
            <w:r w:rsidRPr="00576735">
              <w:rPr>
                <w:szCs w:val="22"/>
              </w:rPr>
              <w:t>Intramuscular</w:t>
            </w:r>
            <w:r>
              <w:rPr>
                <w:szCs w:val="22"/>
              </w:rPr>
              <w:t xml:space="preserve"> injection</w:t>
            </w:r>
            <w:r w:rsidR="003E4164">
              <w:rPr>
                <w:szCs w:val="22"/>
              </w:rPr>
              <w:t>.</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027589D5" w14:textId="1ABD9A78" w:rsidR="00891DB7" w:rsidRDefault="00601924" w:rsidP="007452E8">
            <w:pPr>
              <w:rPr>
                <w:szCs w:val="22"/>
              </w:rPr>
            </w:pPr>
            <w:r w:rsidRPr="00601924">
              <w:rPr>
                <w:szCs w:val="22"/>
              </w:rPr>
              <w:t>Administer a 0.5 mL dose of C</w:t>
            </w:r>
            <w:r w:rsidR="00FF59F9">
              <w:rPr>
                <w:szCs w:val="22"/>
              </w:rPr>
              <w:t>apvaxive</w:t>
            </w:r>
            <w:r w:rsidRPr="00601924">
              <w:rPr>
                <w:szCs w:val="22"/>
              </w:rPr>
              <w:t xml:space="preserve"> intramuscularly</w:t>
            </w:r>
            <w:r w:rsidR="008C67EC">
              <w:rPr>
                <w:szCs w:val="22"/>
              </w:rPr>
              <w:t>,</w:t>
            </w:r>
            <w:r w:rsidR="008C67EC" w:rsidRPr="008C67EC">
              <w:rPr>
                <w:rFonts w:asciiTheme="minorHAnsi" w:eastAsia="TimesNewRomanPSMT" w:hAnsiTheme="minorHAnsi" w:cs="TimesNewRomanPSMT"/>
                <w:szCs w:val="22"/>
              </w:rPr>
              <w:t xml:space="preserve"> </w:t>
            </w:r>
            <w:r w:rsidR="008C67EC" w:rsidRPr="008C67EC">
              <w:rPr>
                <w:szCs w:val="22"/>
              </w:rPr>
              <w:t>in the deltoid muscle region of the upper arm</w:t>
            </w:r>
            <w:r w:rsidRPr="00601924">
              <w:rPr>
                <w:szCs w:val="22"/>
              </w:rPr>
              <w:t xml:space="preserve">. </w:t>
            </w:r>
          </w:p>
          <w:p w14:paraId="0680CC03" w14:textId="520EFBE9" w:rsidR="00891DB7" w:rsidRDefault="00601924" w:rsidP="007452E8">
            <w:pPr>
              <w:rPr>
                <w:szCs w:val="22"/>
              </w:rPr>
            </w:pPr>
            <w:r w:rsidRPr="00601924">
              <w:rPr>
                <w:szCs w:val="22"/>
              </w:rPr>
              <w:t>For vaccination of individuals previously vaccinated with one or more doses of other pneumococcal vaccines, administer a single dose of C</w:t>
            </w:r>
            <w:r w:rsidR="00891DB7">
              <w:rPr>
                <w:szCs w:val="22"/>
              </w:rPr>
              <w:t>apvaxive</w:t>
            </w:r>
            <w:r w:rsidRPr="00601924">
              <w:rPr>
                <w:szCs w:val="22"/>
              </w:rPr>
              <w:t xml:space="preserve">. </w:t>
            </w:r>
          </w:p>
          <w:p w14:paraId="4BD4ECF7" w14:textId="72356C18" w:rsidR="00666911" w:rsidRDefault="00601924" w:rsidP="007452E8">
            <w:pPr>
              <w:rPr>
                <w:szCs w:val="22"/>
              </w:rPr>
            </w:pPr>
            <w:r w:rsidRPr="00601924">
              <w:rPr>
                <w:szCs w:val="22"/>
              </w:rPr>
              <w:lastRenderedPageBreak/>
              <w:t>The dosing interval after the last dose of the prior pneumococcal vaccine should be guided by official recommendations.</w:t>
            </w:r>
          </w:p>
          <w:p w14:paraId="3D0B2D5C" w14:textId="0637CC8D" w:rsidR="00324B33" w:rsidRPr="00BD5DBD" w:rsidRDefault="00324B33" w:rsidP="007452E8">
            <w:pPr>
              <w:rPr>
                <w:szCs w:val="22"/>
              </w:rPr>
            </w:pPr>
            <w:r w:rsidRPr="00BD5DBD">
              <w:rPr>
                <w:szCs w:val="22"/>
              </w:rPr>
              <w:t xml:space="preserve">For further information regarding dosage, refer to the </w:t>
            </w:r>
            <w:hyperlink r:id="rId19" w:history="1">
              <w:r w:rsidRPr="002B2131">
                <w:rPr>
                  <w:rStyle w:val="Hyperlink"/>
                  <w:szCs w:val="22"/>
                </w:rPr>
                <w:t>Product Information</w:t>
              </w:r>
              <w:r w:rsidR="002B2131" w:rsidRPr="002B2131">
                <w:rPr>
                  <w:rStyle w:val="Hyperlink"/>
                  <w:szCs w:val="22"/>
                </w:rPr>
                <w:t xml:space="preserve"> (PI)</w:t>
              </w:r>
            </w:hyperlink>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5D15A45F" w14:textId="77777777" w:rsidR="00C440CB" w:rsidRDefault="00C440CB" w:rsidP="007967C3">
            <w:r>
              <w:t>B1</w:t>
            </w:r>
          </w:p>
          <w:p w14:paraId="56D4CB26" w14:textId="51DFADDB" w:rsidR="00B750CA" w:rsidRPr="00B750CA" w:rsidRDefault="00B750CA" w:rsidP="00B750CA">
            <w:pPr>
              <w:rPr>
                <w:szCs w:val="22"/>
              </w:rPr>
            </w:pPr>
            <w:r w:rsidRPr="00B750CA">
              <w:rPr>
                <w:szCs w:val="22"/>
              </w:rPr>
              <w:t xml:space="preserve">Drugs which have been taken by only a limited number of pregnant women and women of childbearing age, without an increase in the frequency of malformation or other direct or indirect harmful effects on the human </w:t>
            </w:r>
            <w:r w:rsidR="003B0EB3" w:rsidRPr="00B750CA">
              <w:rPr>
                <w:szCs w:val="22"/>
              </w:rPr>
              <w:t>foetus</w:t>
            </w:r>
            <w:r w:rsidRPr="00B750CA">
              <w:rPr>
                <w:szCs w:val="22"/>
              </w:rPr>
              <w:t xml:space="preserve"> having been observed.</w:t>
            </w:r>
          </w:p>
          <w:p w14:paraId="3C82611F" w14:textId="2ECECC9F" w:rsidR="00B750CA" w:rsidRPr="00B750CA" w:rsidRDefault="00B750CA" w:rsidP="00B750CA">
            <w:pPr>
              <w:rPr>
                <w:szCs w:val="22"/>
              </w:rPr>
            </w:pPr>
            <w:r w:rsidRPr="00B750CA">
              <w:rPr>
                <w:szCs w:val="22"/>
              </w:rPr>
              <w:t xml:space="preserve">Studies in animals have not shown evidence of an increased occurrence of </w:t>
            </w:r>
            <w:r w:rsidR="003B0EB3" w:rsidRPr="00B750CA">
              <w:rPr>
                <w:szCs w:val="22"/>
              </w:rPr>
              <w:t>foetal</w:t>
            </w:r>
            <w:r w:rsidRPr="00B750CA">
              <w:rPr>
                <w:szCs w:val="22"/>
              </w:rPr>
              <w:t xml:space="preserve"> damage.</w:t>
            </w:r>
          </w:p>
          <w:p w14:paraId="76497789" w14:textId="6E607C48" w:rsidR="0017005C" w:rsidRPr="00BD5DBD" w:rsidRDefault="0070330F" w:rsidP="00B750CA">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07110432"/>
      <w:r>
        <w:t>Product background</w:t>
      </w:r>
      <w:bookmarkEnd w:id="11"/>
      <w:bookmarkEnd w:id="12"/>
      <w:bookmarkEnd w:id="13"/>
      <w:bookmarkEnd w:id="14"/>
    </w:p>
    <w:p w14:paraId="59BF31D1" w14:textId="3EDE908B" w:rsidR="001500A8" w:rsidRPr="00065839" w:rsidRDefault="00324B33" w:rsidP="00B773F0">
      <w:r w:rsidRPr="00065839">
        <w:t xml:space="preserve">This AusPAR describes </w:t>
      </w:r>
      <w:r w:rsidR="0036682E">
        <w:t xml:space="preserve">TGA’s assessment of </w:t>
      </w:r>
      <w:r w:rsidRPr="00065839">
        <w:t xml:space="preserve">the submission by </w:t>
      </w:r>
      <w:r w:rsidR="00DA2931" w:rsidRPr="00DA2931">
        <w:t xml:space="preserve">Merck Sharp &amp; Dohme (Australia) </w:t>
      </w:r>
      <w:r w:rsidRPr="00065839">
        <w:t xml:space="preserve">to register </w:t>
      </w:r>
      <w:r w:rsidR="00A451BE">
        <w:t xml:space="preserve">Capvaxive </w:t>
      </w:r>
      <w:r w:rsidRPr="00065839">
        <w:t>(</w:t>
      </w:r>
      <w:r w:rsidR="000C3DB9" w:rsidRPr="000C3DB9">
        <w:t>Pneumococcal 21-valent Conjugate Vaccine</w:t>
      </w:r>
      <w:r w:rsidRPr="00065839">
        <w:t xml:space="preserve">) </w:t>
      </w:r>
      <w:r w:rsidR="00AD0D8B" w:rsidRPr="00AD0D8B">
        <w:t xml:space="preserve">0.5 mL </w:t>
      </w:r>
      <w:r w:rsidR="00AD0D8B">
        <w:t>s</w:t>
      </w:r>
      <w:r w:rsidR="00AD0D8B" w:rsidRPr="00AD0D8B">
        <w:t xml:space="preserve">olution for </w:t>
      </w:r>
      <w:r w:rsidR="00AD0D8B">
        <w:t>i</w:t>
      </w:r>
      <w:r w:rsidR="00AD0D8B" w:rsidRPr="00AD0D8B">
        <w:t xml:space="preserve">njection </w:t>
      </w:r>
      <w:r w:rsidR="00DC1F00">
        <w:t>in single dose</w:t>
      </w:r>
      <w:r w:rsidR="00DC1F00" w:rsidRPr="00DC1F00">
        <w:rPr>
          <w:szCs w:val="22"/>
        </w:rPr>
        <w:t xml:space="preserve"> </w:t>
      </w:r>
      <w:r w:rsidR="00DC1F00">
        <w:t>p</w:t>
      </w:r>
      <w:r w:rsidR="00DC1F00" w:rsidRPr="00780AD1">
        <w:t>re-filled syringes</w:t>
      </w:r>
      <w:r w:rsidRPr="00065839">
        <w:t xml:space="preserve"> for the following proposed indication:</w:t>
      </w:r>
      <w:r w:rsidR="00D63760" w:rsidRPr="00065839">
        <w:rPr>
          <w:vertAlign w:val="superscript"/>
        </w:rPr>
        <w:footnoteReference w:id="1"/>
      </w:r>
    </w:p>
    <w:p w14:paraId="452E8E43" w14:textId="33742CB6" w:rsidR="0085771B" w:rsidRPr="0085771B" w:rsidRDefault="0085771B" w:rsidP="0085771B">
      <w:pPr>
        <w:ind w:left="720"/>
        <w:rPr>
          <w:i/>
          <w:iCs/>
        </w:rPr>
      </w:pPr>
      <w:r w:rsidRPr="0085771B">
        <w:rPr>
          <w:i/>
          <w:iCs/>
        </w:rPr>
        <w:t>C</w:t>
      </w:r>
      <w:r w:rsidR="00F54541">
        <w:rPr>
          <w:i/>
          <w:iCs/>
        </w:rPr>
        <w:t>apvaxive</w:t>
      </w:r>
      <w:r w:rsidRPr="0085771B">
        <w:rPr>
          <w:i/>
          <w:iCs/>
        </w:rPr>
        <w:t xml:space="preserve"> is indicated for active immunisation for the prevention of pneumococcal disease caused by Streptococcus pneumoniae serotypes (3, 6A, 6C, 7F, 8, 9N, 10A, 11A, 12F, 15A, 15B, 15C, 16F, 17F, 19A, 20A, 22F, 23A, 23B, 24F, 31, 33F, and 35B) in adults 18 years of age and older.</w:t>
      </w:r>
    </w:p>
    <w:p w14:paraId="1E63A2AE" w14:textId="424DA0C6" w:rsidR="00CB6813" w:rsidRDefault="00FA4BCE" w:rsidP="00CB6813">
      <w:pPr>
        <w:pStyle w:val="Heading4"/>
      </w:pPr>
      <w:bookmarkStart w:id="15" w:name="_Toc207110433"/>
      <w:bookmarkStart w:id="16" w:name="_Toc314842485"/>
      <w:bookmarkStart w:id="17" w:name="_Toc247691504"/>
      <w:r>
        <w:t>Disease or</w:t>
      </w:r>
      <w:r w:rsidR="004444B0">
        <w:t xml:space="preserve"> </w:t>
      </w:r>
      <w:r w:rsidR="003815B7">
        <w:t>condition</w:t>
      </w:r>
      <w:bookmarkEnd w:id="15"/>
    </w:p>
    <w:p w14:paraId="4865378B" w14:textId="77777777" w:rsidR="00B773F0" w:rsidRDefault="00B773F0" w:rsidP="00B773F0">
      <w:r w:rsidRPr="00302AB0">
        <w:rPr>
          <w:i/>
          <w:iCs/>
        </w:rPr>
        <w:t>Streptococcus pneumoniae</w:t>
      </w:r>
      <w:r w:rsidRPr="00302AB0">
        <w:t xml:space="preserve"> continues to be a major cause of morbidity and mortality despite being a vaccine-preventable disease. </w:t>
      </w:r>
      <w:r w:rsidRPr="00302AB0">
        <w:rPr>
          <w:i/>
          <w:iCs/>
        </w:rPr>
        <w:t>S pneumoniae</w:t>
      </w:r>
      <w:r w:rsidRPr="00302AB0">
        <w:t xml:space="preserve"> has invasive capacity and </w:t>
      </w:r>
      <w:r>
        <w:t>may</w:t>
      </w:r>
      <w:r w:rsidRPr="00302AB0">
        <w:t xml:space="preserve"> cause meningitis, bacteraemia, sepsis, bacteraemic pneumonia, and septic arthritis. Pneumococcal pneumonia </w:t>
      </w:r>
      <w:r>
        <w:t xml:space="preserve">includes </w:t>
      </w:r>
      <w:r w:rsidRPr="00302AB0">
        <w:t>bacteraemic pneumococcal pneumonia and</w:t>
      </w:r>
      <w:r>
        <w:t xml:space="preserve"> </w:t>
      </w:r>
      <w:r w:rsidRPr="009058FE">
        <w:t>nonbacteraemic pneumococcal pneumonia</w:t>
      </w:r>
      <w:r>
        <w:t xml:space="preserve"> and</w:t>
      </w:r>
      <w:r w:rsidRPr="009058FE">
        <w:t xml:space="preserve"> remains one of the most important causes of death from infection in many regions</w:t>
      </w:r>
      <w:r>
        <w:t>.</w:t>
      </w:r>
    </w:p>
    <w:p w14:paraId="6E10B878" w14:textId="77777777" w:rsidR="00B773F0" w:rsidRDefault="00B773F0" w:rsidP="00B773F0">
      <w:r w:rsidRPr="00FF6BAA">
        <w:t xml:space="preserve">Most community-acquired pneumonia caused by pneumococci among adults </w:t>
      </w:r>
      <w:r>
        <w:t>is</w:t>
      </w:r>
      <w:r w:rsidRPr="00FF6BAA">
        <w:t xml:space="preserve"> non-invasive</w:t>
      </w:r>
      <w:r>
        <w:t>.</w:t>
      </w:r>
      <w:r w:rsidRPr="00815B11">
        <w:t xml:space="preserve"> The incidence of non-invasive </w:t>
      </w:r>
      <w:r>
        <w:t>pneumococcal disease</w:t>
      </w:r>
      <w:r w:rsidRPr="00815B11">
        <w:t xml:space="preserve"> is difficult to estimate due to diagnostic challenges. </w:t>
      </w:r>
      <w:r w:rsidRPr="00E90DF2">
        <w:t xml:space="preserve">In Australia, a 2016 study suggested that </w:t>
      </w:r>
      <w:r w:rsidRPr="004B0171">
        <w:rPr>
          <w:i/>
          <w:iCs/>
        </w:rPr>
        <w:t>S. pneumoniae</w:t>
      </w:r>
      <w:r w:rsidRPr="00E90DF2">
        <w:t xml:space="preserve"> accounted for 20.6% (13.9–</w:t>
      </w:r>
      <w:r w:rsidRPr="00E90DF2">
        <w:lastRenderedPageBreak/>
        <w:t>27.3%) of all-cause pneumonia hospitalisations, with an incidence of 274 per 100,000 pop</w:t>
      </w:r>
      <w:r>
        <w:t>ulation.</w:t>
      </w:r>
      <w:r>
        <w:rPr>
          <w:rStyle w:val="FootnoteReference"/>
        </w:rPr>
        <w:footnoteReference w:id="2"/>
      </w:r>
    </w:p>
    <w:p w14:paraId="1281BFCB" w14:textId="4DED8625" w:rsidR="00B773F0" w:rsidRPr="00302AB0" w:rsidRDefault="00B773F0" w:rsidP="00B773F0">
      <w:r w:rsidRPr="00AB183D">
        <w:t xml:space="preserve">The incidence of </w:t>
      </w:r>
      <w:r>
        <w:t>invasive pneumococcal disease</w:t>
      </w:r>
      <w:r w:rsidRPr="00AB183D">
        <w:t xml:space="preserve"> is impacted by ethnicity and age, with the highest rates of </w:t>
      </w:r>
      <w:r>
        <w:t>invasive pneumococcal disease</w:t>
      </w:r>
      <w:r w:rsidRPr="00AB183D">
        <w:t xml:space="preserve"> seen in people of Aboriginal and Torres Strait Island descent and those </w:t>
      </w:r>
      <w:r w:rsidR="00021849">
        <w:t xml:space="preserve">over </w:t>
      </w:r>
      <w:r w:rsidRPr="00AB183D">
        <w:t>70 y</w:t>
      </w:r>
      <w:r>
        <w:t>ea</w:t>
      </w:r>
      <w:r w:rsidRPr="00AB183D">
        <w:t xml:space="preserve">rs of age. </w:t>
      </w:r>
    </w:p>
    <w:p w14:paraId="255E083A" w14:textId="77777777" w:rsidR="00CB6813" w:rsidRDefault="00CB6813" w:rsidP="00CB6813">
      <w:pPr>
        <w:pStyle w:val="Heading4"/>
      </w:pPr>
      <w:bookmarkStart w:id="18" w:name="_Toc207110434"/>
      <w:r>
        <w:t>Current treatment options</w:t>
      </w:r>
      <w:bookmarkEnd w:id="18"/>
    </w:p>
    <w:p w14:paraId="1E5A2325" w14:textId="5462EA11" w:rsidR="003803E0" w:rsidRPr="003803E0" w:rsidRDefault="003803E0" w:rsidP="003803E0">
      <w:r w:rsidRPr="003803E0">
        <w:t xml:space="preserve">Treatment of disease caused by </w:t>
      </w:r>
      <w:r w:rsidRPr="003803E0">
        <w:rPr>
          <w:i/>
          <w:iCs/>
        </w:rPr>
        <w:t xml:space="preserve">S. pneumoniae </w:t>
      </w:r>
      <w:r w:rsidRPr="003803E0">
        <w:t xml:space="preserve">is based on clinical presentation and antimicrobial susceptibility data. Initial treatment generally includes broad-spectrum antibiotics that have efficacy against </w:t>
      </w:r>
      <w:r w:rsidRPr="003803E0">
        <w:rPr>
          <w:i/>
          <w:iCs/>
        </w:rPr>
        <w:t>S. pneumoniae</w:t>
      </w:r>
      <w:r w:rsidRPr="003803E0">
        <w:t xml:space="preserve"> as well as other likely pathogens.</w:t>
      </w:r>
      <w:r w:rsidR="001D6D9A">
        <w:t xml:space="preserve"> </w:t>
      </w:r>
      <w:r w:rsidRPr="003803E0">
        <w:t>The increase of pneumococcal resistance to penicillin and other frequently used antimicrobial agents complicates treatment decisions and may lead to treatment failures with subsequent increased morbidity and health care costs.</w:t>
      </w:r>
    </w:p>
    <w:p w14:paraId="0302FD44" w14:textId="77777777" w:rsidR="003803E0" w:rsidRPr="003803E0" w:rsidRDefault="003803E0" w:rsidP="003803E0">
      <w:r w:rsidRPr="003803E0">
        <w:t>Vaccination with pneumococcal conjugate vaccines has provided significant protection against invasive disease and pneumonia due to the vaccine serotypes, with benefits extending to all age groups through the induction of herd protection by immunisation of infants and toddlers.</w:t>
      </w:r>
      <w:r w:rsidRPr="003803E0">
        <w:rPr>
          <w:vertAlign w:val="superscript"/>
        </w:rPr>
        <w:footnoteReference w:id="3"/>
      </w:r>
    </w:p>
    <w:p w14:paraId="24BABD5F" w14:textId="2ECDC76C" w:rsidR="003803E0" w:rsidRPr="003803E0" w:rsidRDefault="003803E0" w:rsidP="003803E0">
      <w:r w:rsidRPr="003803E0">
        <w:t xml:space="preserve">The Australian Immunisation handbook states that </w:t>
      </w:r>
      <w:r w:rsidR="00E955B5">
        <w:t>‘</w:t>
      </w:r>
      <w:r w:rsidRPr="003803E0">
        <w:t>the optimal pneumococcal vaccination program for Australia is currently under review. At present Prevenar 13 (13vPCV) and Pneumovax 23 (23vPPV) are the pneumococcal vaccines funded under the National Immunisation Program (NIP) for eligible individuals. Updates to this chapter include interim recommendations for use of extended valency vaccines (Vaxneuvance [15vPCV] and Prevenar 20 [20vPCV]) in the populations for whom they have recently been registered by the Therapeutic Goods Administration</w:t>
      </w:r>
      <w:r w:rsidR="00AB4A1A">
        <w:t xml:space="preserve"> (TGA)</w:t>
      </w:r>
      <w:r w:rsidRPr="003803E0">
        <w:t>; these vaccines are not currently NIP-funded.’</w:t>
      </w:r>
      <w:r w:rsidRPr="003803E0">
        <w:rPr>
          <w:vertAlign w:val="superscript"/>
        </w:rPr>
        <w:footnoteReference w:id="4"/>
      </w:r>
    </w:p>
    <w:p w14:paraId="2AFFAAAD" w14:textId="77777777" w:rsidR="003803E0" w:rsidRPr="003803E0" w:rsidRDefault="003803E0" w:rsidP="003803E0">
      <w:r w:rsidRPr="003803E0">
        <w:t>Please refer to the Australian Immunisation Handbook infographics for people with risk conditions for pneumococcal disease and pneumococcal vaccination for all Australians.</w:t>
      </w:r>
      <w:r w:rsidRPr="003803E0">
        <w:rPr>
          <w:vertAlign w:val="superscript"/>
        </w:rPr>
        <w:footnoteReference w:id="5"/>
      </w:r>
      <w:r w:rsidRPr="003803E0">
        <w:t>,</w:t>
      </w:r>
      <w:r w:rsidRPr="003803E0">
        <w:rPr>
          <w:vertAlign w:val="superscript"/>
        </w:rPr>
        <w:footnoteReference w:id="6"/>
      </w:r>
    </w:p>
    <w:p w14:paraId="2D436C11" w14:textId="45A102FE" w:rsidR="003803E0" w:rsidRPr="003803E0" w:rsidRDefault="003803E0" w:rsidP="003803E0">
      <w:r w:rsidRPr="003803E0">
        <w:t xml:space="preserve">Non-Indigenous adults aged 70 years </w:t>
      </w:r>
      <w:r w:rsidR="00B77543">
        <w:t>and</w:t>
      </w:r>
      <w:r w:rsidRPr="003803E0">
        <w:t xml:space="preserve"> over are recommended to receive a single dose of </w:t>
      </w:r>
      <w:r w:rsidR="003A4EA5">
        <w:t>13</w:t>
      </w:r>
      <w:r w:rsidR="00064F4F">
        <w:t>v</w:t>
      </w:r>
      <w:r w:rsidRPr="003803E0">
        <w:t xml:space="preserve">PCV. Aboriginal and Torres Strait Islander adults aged 50 yrs </w:t>
      </w:r>
      <w:r w:rsidR="00CC3150">
        <w:t xml:space="preserve">and over, </w:t>
      </w:r>
      <w:r w:rsidRPr="003803E0">
        <w:t xml:space="preserve">without risk conditions for pneumococcal disease (PD) are recommended to receive 1 dose of </w:t>
      </w:r>
      <w:r w:rsidR="00064F4F">
        <w:t>13v</w:t>
      </w:r>
      <w:r w:rsidRPr="003803E0">
        <w:t xml:space="preserve">PCV, followed by a first dose of </w:t>
      </w:r>
      <w:r w:rsidR="00A722B7">
        <w:t>23v</w:t>
      </w:r>
      <w:r w:rsidRPr="003803E0">
        <w:t xml:space="preserve">PPV after 12 months and a second dose of 23vPPV at least 5 years later. People with risk conditions for PD are recommended to receive a single dose of </w:t>
      </w:r>
      <w:r w:rsidR="00064F4F">
        <w:t>13v</w:t>
      </w:r>
      <w:r w:rsidRPr="003803E0">
        <w:t xml:space="preserve">PCV at diagnosis, and 2 subsequent doses of 23vPPV also after 12 months and 5 years thereafter. 15vPCV and 20vPCV are available as alternatives to </w:t>
      </w:r>
      <w:r w:rsidR="005D69B0">
        <w:t>13v</w:t>
      </w:r>
      <w:r w:rsidRPr="003803E0">
        <w:t xml:space="preserve">PCV in those aged 18 years or older but are not currently NIP funded. </w:t>
      </w:r>
    </w:p>
    <w:p w14:paraId="37C47E09" w14:textId="14D3762D" w:rsidR="00CB6813" w:rsidRDefault="00CB6813" w:rsidP="00CB6813">
      <w:pPr>
        <w:pStyle w:val="Heading4"/>
      </w:pPr>
      <w:bookmarkStart w:id="19" w:name="_Toc207110435"/>
      <w:r>
        <w:t>C</w:t>
      </w:r>
      <w:r w:rsidRPr="00DE1344">
        <w:t>linical rational</w:t>
      </w:r>
      <w:r w:rsidR="0025785B">
        <w:t>e</w:t>
      </w:r>
      <w:bookmarkEnd w:id="19"/>
    </w:p>
    <w:p w14:paraId="2178DF50" w14:textId="4C21EEFB" w:rsidR="00A70FAD" w:rsidRPr="00A70FAD" w:rsidRDefault="00A70FAD" w:rsidP="00A70FAD">
      <w:r w:rsidRPr="00A70FAD">
        <w:t>C</w:t>
      </w:r>
      <w:r w:rsidR="00955607">
        <w:t>apvaxive</w:t>
      </w:r>
      <w:r w:rsidRPr="00A70FAD">
        <w:t xml:space="preserve"> is a conjugated polysaccharide vaccine that protects against invasive disease and</w:t>
      </w:r>
      <w:r>
        <w:t xml:space="preserve"> </w:t>
      </w:r>
      <w:r w:rsidRPr="00A70FAD">
        <w:t xml:space="preserve">pneumonia caused by </w:t>
      </w:r>
      <w:r w:rsidRPr="00A70FAD">
        <w:rPr>
          <w:i/>
          <w:iCs/>
        </w:rPr>
        <w:t>S. pneumoniae</w:t>
      </w:r>
      <w:r w:rsidRPr="00A70FAD">
        <w:t>.</w:t>
      </w:r>
    </w:p>
    <w:p w14:paraId="419C48B1" w14:textId="2B741ABE" w:rsidR="00A70FAD" w:rsidRPr="00A70FAD" w:rsidRDefault="00A70FAD" w:rsidP="00955607">
      <w:r w:rsidRPr="00A70FAD">
        <w:t>Pneumococcal conjugate vaccines have decreased the frequency of disease in populations</w:t>
      </w:r>
      <w:r>
        <w:t xml:space="preserve"> </w:t>
      </w:r>
      <w:r w:rsidRPr="00913A2C">
        <w:t>vaccinated (direct impact), and in populations not vaccinated through reduction of colonisation</w:t>
      </w:r>
      <w:r w:rsidR="00955607" w:rsidRPr="00913A2C">
        <w:t xml:space="preserve"> </w:t>
      </w:r>
      <w:r w:rsidRPr="00913A2C">
        <w:t>and transmission (indirect impact). C</w:t>
      </w:r>
      <w:r w:rsidR="00955607" w:rsidRPr="00913A2C">
        <w:t>apvaxive</w:t>
      </w:r>
      <w:r w:rsidRPr="00955607">
        <w:t xml:space="preserve"> contains serotype</w:t>
      </w:r>
      <w:r w:rsidRPr="00955607">
        <w:rPr>
          <w:rFonts w:ascii="Cambria Math" w:hAnsi="Cambria Math" w:cs="Cambria Math"/>
        </w:rPr>
        <w:t>‑</w:t>
      </w:r>
      <w:r w:rsidRPr="00955607">
        <w:t>specific pneumococcal</w:t>
      </w:r>
      <w:r w:rsidR="00955607">
        <w:t xml:space="preserve"> </w:t>
      </w:r>
      <w:r w:rsidRPr="00A70FAD">
        <w:t>purified capsular polysaccharides, which are known to contribute to the pathogenicity of</w:t>
      </w:r>
      <w:r w:rsidR="00955607">
        <w:t xml:space="preserve"> </w:t>
      </w:r>
      <w:r w:rsidRPr="00A70FAD">
        <w:t xml:space="preserve">pneumococci in </w:t>
      </w:r>
      <w:r w:rsidRPr="00A70FAD">
        <w:lastRenderedPageBreak/>
        <w:t>adults. Each serotype of activated polysaccharide is individually conjugated to a</w:t>
      </w:r>
      <w:r w:rsidR="00955607">
        <w:t xml:space="preserve"> </w:t>
      </w:r>
      <w:r w:rsidRPr="00A70FAD">
        <w:t>carrier protein (diphtheria CRM197 protein), and elicits antibodies that enhance opsonization,</w:t>
      </w:r>
      <w:r w:rsidR="00955607">
        <w:t xml:space="preserve"> </w:t>
      </w:r>
      <w:r w:rsidRPr="00A70FAD">
        <w:t>phagocytosis, and killing of pneumococci to protect against pneumococcal disease. C</w:t>
      </w:r>
      <w:r w:rsidR="00F06645">
        <w:t xml:space="preserve">apvaxive </w:t>
      </w:r>
      <w:r w:rsidRPr="00A70FAD">
        <w:t>elicits a T-cell dependent immune response. Carrier protein-specific helper T-cells support</w:t>
      </w:r>
      <w:r w:rsidR="0090586C">
        <w:t xml:space="preserve"> </w:t>
      </w:r>
      <w:r w:rsidRPr="00A70FAD">
        <w:t>specificity, functionality, and maturation of serotype-specific B-cells.</w:t>
      </w:r>
    </w:p>
    <w:p w14:paraId="1DA528CA" w14:textId="1CF7ECB6" w:rsidR="00A70FAD" w:rsidRPr="00A70FAD" w:rsidRDefault="00A70FAD" w:rsidP="00955607">
      <w:r w:rsidRPr="00A70FAD">
        <w:t xml:space="preserve">Immune responses following natural exposure to </w:t>
      </w:r>
      <w:r w:rsidRPr="00A70FAD">
        <w:rPr>
          <w:i/>
          <w:iCs/>
        </w:rPr>
        <w:t xml:space="preserve">S. pneumoniae </w:t>
      </w:r>
      <w:r w:rsidRPr="00A70FAD">
        <w:t>or following pneumococcal</w:t>
      </w:r>
      <w:r w:rsidR="00367AAA">
        <w:t xml:space="preserve"> </w:t>
      </w:r>
      <w:r w:rsidRPr="00A70FAD">
        <w:t xml:space="preserve">vaccination can be determined through the </w:t>
      </w:r>
      <w:r w:rsidRPr="00313A7B">
        <w:t xml:space="preserve">assessments of OPA </w:t>
      </w:r>
      <w:r w:rsidR="00B97267">
        <w:t>(o</w:t>
      </w:r>
      <w:r w:rsidR="00B97267" w:rsidRPr="00B97267">
        <w:t>psonophagocytic activity</w:t>
      </w:r>
      <w:r w:rsidR="00B97267">
        <w:t>)</w:t>
      </w:r>
      <w:r w:rsidR="00B97267" w:rsidRPr="00B97267">
        <w:t xml:space="preserve"> </w:t>
      </w:r>
      <w:r w:rsidRPr="00313A7B">
        <w:t>responses, to assess functional</w:t>
      </w:r>
      <w:r w:rsidR="00367AAA">
        <w:t xml:space="preserve"> </w:t>
      </w:r>
      <w:r w:rsidRPr="00A70FAD">
        <w:t>antibodies capable of opsonizing pneumococcal purified capsular polysaccharides for</w:t>
      </w:r>
      <w:r w:rsidR="00367AAA">
        <w:t xml:space="preserve"> </w:t>
      </w:r>
      <w:r w:rsidRPr="00A70FAD">
        <w:t>presentation to phagocytic cells for engulfment and subsequent killing. OPA responses are</w:t>
      </w:r>
      <w:r w:rsidR="00367AAA">
        <w:t xml:space="preserve"> </w:t>
      </w:r>
      <w:r w:rsidRPr="00A70FAD">
        <w:t>considered an important immunologic surrogate measure of protection against pneumococcal</w:t>
      </w:r>
      <w:r w:rsidR="00367AAA">
        <w:t xml:space="preserve"> </w:t>
      </w:r>
      <w:r w:rsidRPr="00A70FAD">
        <w:t>disease in adults. Specific threshold values that correlate with protection in adults have not been</w:t>
      </w:r>
      <w:r w:rsidR="007D2666">
        <w:t xml:space="preserve"> </w:t>
      </w:r>
      <w:r w:rsidRPr="00A70FAD">
        <w:t>defined. There is a positive correlation between OPA responses and anti-capsular IgG responses.</w:t>
      </w:r>
    </w:p>
    <w:p w14:paraId="52944321" w14:textId="3F451548" w:rsidR="00A70FAD" w:rsidRPr="00A70FAD" w:rsidRDefault="00A70FAD" w:rsidP="00955607">
      <w:r w:rsidRPr="00A70FAD">
        <w:t>Serotype-specific immune responses (OPA and IgG) for the 21 serotypes contained in</w:t>
      </w:r>
      <w:r w:rsidR="007D2666">
        <w:t xml:space="preserve"> </w:t>
      </w:r>
      <w:r w:rsidRPr="00A70FAD">
        <w:t>C</w:t>
      </w:r>
      <w:r w:rsidR="007D2666">
        <w:t>apvaxive</w:t>
      </w:r>
      <w:r w:rsidRPr="00A70FAD">
        <w:t xml:space="preserve"> and 2 cross-reactive serotypes (15B and 6C) were measured using a validated</w:t>
      </w:r>
      <w:r w:rsidR="007D2666">
        <w:t xml:space="preserve"> </w:t>
      </w:r>
      <w:r w:rsidRPr="00A70FAD">
        <w:t xml:space="preserve">multiplexed </w:t>
      </w:r>
      <w:r w:rsidRPr="00AC25A1">
        <w:t>opsonophagocytic assay (MOPA) and pneumococcal</w:t>
      </w:r>
      <w:r w:rsidRPr="00A70FAD">
        <w:t xml:space="preserve"> electrochemiluminescence</w:t>
      </w:r>
      <w:r w:rsidR="00D418CE">
        <w:t xml:space="preserve"> </w:t>
      </w:r>
      <w:r w:rsidRPr="00A70FAD">
        <w:t>(</w:t>
      </w:r>
      <w:proofErr w:type="spellStart"/>
      <w:r w:rsidRPr="00A70FAD">
        <w:t>Pn</w:t>
      </w:r>
      <w:proofErr w:type="spellEnd"/>
      <w:r w:rsidRPr="00A70FAD">
        <w:t xml:space="preserve"> ECL) assay. Serotype 15C represents the immune response to the deOAc15B</w:t>
      </w:r>
      <w:r w:rsidR="00D418CE">
        <w:t xml:space="preserve"> </w:t>
      </w:r>
      <w:r w:rsidRPr="00A70FAD">
        <w:t>polysaccharide as the molecular structure for deOAc15B and 15C are similar.</w:t>
      </w:r>
    </w:p>
    <w:p w14:paraId="1CE030C4" w14:textId="70FE015E" w:rsidR="00A70FAD" w:rsidRPr="00A70FAD" w:rsidRDefault="00A70FAD" w:rsidP="00955607">
      <w:r w:rsidRPr="00A70FAD">
        <w:t>As with any vaccine, C</w:t>
      </w:r>
      <w:r w:rsidR="00D418CE">
        <w:t>apvaxive</w:t>
      </w:r>
      <w:r w:rsidRPr="00A70FAD">
        <w:t xml:space="preserve"> may not protect all vaccine recipients.</w:t>
      </w:r>
    </w:p>
    <w:p w14:paraId="5FBB98A2" w14:textId="1DA78D73" w:rsidR="00A70FAD" w:rsidRPr="00A70FAD" w:rsidRDefault="00A70FAD" w:rsidP="00CE62F1">
      <w:pPr>
        <w:pStyle w:val="Heading5"/>
        <w:rPr>
          <w:rFonts w:eastAsia="TimesNewRoman"/>
        </w:rPr>
      </w:pPr>
      <w:r w:rsidRPr="00A70FAD">
        <w:rPr>
          <w:rFonts w:eastAsia="TimesNewRoman"/>
        </w:rPr>
        <w:t xml:space="preserve">Burden of </w:t>
      </w:r>
      <w:r w:rsidR="00E76BBB">
        <w:rPr>
          <w:rFonts w:eastAsia="TimesNewRoman"/>
        </w:rPr>
        <w:t>d</w:t>
      </w:r>
      <w:r w:rsidRPr="00A70FAD">
        <w:rPr>
          <w:rFonts w:eastAsia="TimesNewRoman"/>
        </w:rPr>
        <w:t>isease</w:t>
      </w:r>
    </w:p>
    <w:p w14:paraId="2ACF7AEF" w14:textId="0A6305D9" w:rsidR="00A70FAD" w:rsidRPr="00A70FAD" w:rsidRDefault="00A70FAD" w:rsidP="00DA0B10">
      <w:r w:rsidRPr="00A70FAD">
        <w:t>Pneumococcal disease in adults is associated with significant morbidity and mortality worldwide,</w:t>
      </w:r>
      <w:r w:rsidR="00DA0B10">
        <w:t xml:space="preserve"> </w:t>
      </w:r>
      <w:r w:rsidRPr="00A70FAD">
        <w:t>with disease incidence varying by age, region, and race. Mortality rates are elevated in older</w:t>
      </w:r>
      <w:r w:rsidR="00DA0B10">
        <w:t xml:space="preserve"> </w:t>
      </w:r>
      <w:r w:rsidRPr="00A70FAD">
        <w:t>adults, adults with comorbid conditions (e.g., diabetes mellitus, chronic lung disease, chronic</w:t>
      </w:r>
      <w:r w:rsidR="00DA0B10">
        <w:t xml:space="preserve"> </w:t>
      </w:r>
      <w:r w:rsidRPr="00A70FAD">
        <w:t>liver disease), and immunocompromised individuals (e.g., HIV infection, cancer, transplant,</w:t>
      </w:r>
      <w:r w:rsidR="00DA0B10">
        <w:t xml:space="preserve"> </w:t>
      </w:r>
      <w:r w:rsidRPr="00A70FAD">
        <w:t>immunosuppressive therapies). Adults with two or more comorbid conditions may have a risk of</w:t>
      </w:r>
      <w:r w:rsidR="00DA0B10">
        <w:t xml:space="preserve"> </w:t>
      </w:r>
      <w:r w:rsidRPr="00A70FAD">
        <w:t>pneumococcal disease that is comparable to that of immunocompromised individuals.</w:t>
      </w:r>
      <w:r w:rsidR="00DA0B10">
        <w:t xml:space="preserve"> </w:t>
      </w:r>
      <w:r w:rsidRPr="00A70FAD">
        <w:t>Furthermore, the incidence of invasive pneumococcal disease in Aboriginal and Torres</w:t>
      </w:r>
      <w:r w:rsidR="00DA0B10">
        <w:t xml:space="preserve"> </w:t>
      </w:r>
      <w:r w:rsidRPr="00A70FAD">
        <w:t>Straits Islanders adults is higher than non-</w:t>
      </w:r>
      <w:r w:rsidR="002D304D" w:rsidRPr="002D304D">
        <w:t xml:space="preserve">Aboriginal and Torres Straits Islanders </w:t>
      </w:r>
      <w:r w:rsidRPr="00A70FAD">
        <w:t>adults.</w:t>
      </w:r>
    </w:p>
    <w:p w14:paraId="6EF53C15" w14:textId="44F931A6" w:rsidR="004335C9" w:rsidRDefault="00A70FAD" w:rsidP="00302690">
      <w:r w:rsidRPr="00A70FAD">
        <w:t>Pneumococcal disease is classified as invasive pneumococcal disease (IPD) or non</w:t>
      </w:r>
      <w:r w:rsidR="00302690">
        <w:t>-</w:t>
      </w:r>
      <w:r w:rsidRPr="00A70FAD">
        <w:t>invasive</w:t>
      </w:r>
      <w:r w:rsidR="00302690">
        <w:t xml:space="preserve"> </w:t>
      </w:r>
      <w:r w:rsidRPr="00A70FAD">
        <w:t>pneumococcal disease (non-IPD). IPD is defined by the isolation of S. pneumoniae in body fluids</w:t>
      </w:r>
      <w:r w:rsidR="00323347">
        <w:t xml:space="preserve"> </w:t>
      </w:r>
      <w:r w:rsidRPr="00A70FAD">
        <w:t>that are otherwise sterile and includes bacteraemic pneumonia, bacteraemia without focus,</w:t>
      </w:r>
      <w:r w:rsidR="007A4840">
        <w:t xml:space="preserve"> </w:t>
      </w:r>
      <w:r w:rsidRPr="00A70FAD">
        <w:t>meningitis, pleuritis, and arthritis. Non-IPD mainly consists of nonbacteraemic pneumococcal</w:t>
      </w:r>
      <w:r w:rsidR="007A4840">
        <w:t xml:space="preserve"> </w:t>
      </w:r>
      <w:r w:rsidRPr="00A70FAD">
        <w:t>pneumonia and acute otitis media. Community acquired pneumonia (CAP) remains one of the</w:t>
      </w:r>
      <w:r w:rsidR="007A4840">
        <w:t xml:space="preserve"> </w:t>
      </w:r>
      <w:r w:rsidRPr="00A70FAD">
        <w:t>most important causes of death from infection in many countries, with S. pneumoniae being one</w:t>
      </w:r>
      <w:r w:rsidR="007A4840">
        <w:t xml:space="preserve"> </w:t>
      </w:r>
      <w:r w:rsidRPr="00A70FAD">
        <w:t xml:space="preserve">of the </w:t>
      </w:r>
      <w:proofErr w:type="gramStart"/>
      <w:r w:rsidRPr="00A70FAD">
        <w:t>most commonly identified</w:t>
      </w:r>
      <w:proofErr w:type="gramEnd"/>
      <w:r w:rsidRPr="00A70FAD">
        <w:t xml:space="preserve"> bacterial pathogens.</w:t>
      </w:r>
    </w:p>
    <w:p w14:paraId="034B8720" w14:textId="51315955" w:rsidR="00B2227D" w:rsidRPr="00A14968" w:rsidRDefault="00666764" w:rsidP="002A0D54">
      <w:pPr>
        <w:rPr>
          <w:rFonts w:ascii="TimesNewRoman"/>
          <w:sz w:val="18"/>
          <w:szCs w:val="18"/>
        </w:rPr>
      </w:pPr>
      <w:r w:rsidRPr="000264B0">
        <w:rPr>
          <w:rFonts w:cs="TimesNewRoman,Bold"/>
        </w:rPr>
        <w:t xml:space="preserve">Due to </w:t>
      </w:r>
      <w:r w:rsidR="00B2227D" w:rsidRPr="000264B0">
        <w:t>the</w:t>
      </w:r>
      <w:r w:rsidR="00B2227D" w:rsidRPr="00A14968">
        <w:t xml:space="preserve"> severity of IPD and the health care burden of residual disease due to</w:t>
      </w:r>
      <w:r w:rsidR="00B2227D" w:rsidRPr="00A14968">
        <w:rPr>
          <w:rFonts w:cs="TimesNewRoman,Bold"/>
          <w:b/>
          <w:bCs/>
        </w:rPr>
        <w:t xml:space="preserve"> </w:t>
      </w:r>
      <w:r w:rsidR="00B2227D" w:rsidRPr="00A14968">
        <w:t>non</w:t>
      </w:r>
      <w:r w:rsidR="000E542C">
        <w:t>-</w:t>
      </w:r>
      <w:r w:rsidR="00B2227D" w:rsidRPr="00A14968">
        <w:t>vaccine serotypes, prevention of pneumococcal disease remains an unmet medical need.</w:t>
      </w:r>
      <w:r w:rsidR="00B2227D" w:rsidRPr="00A14968">
        <w:rPr>
          <w:rFonts w:cs="TimesNewRoman,Bold"/>
          <w:b/>
          <w:bCs/>
        </w:rPr>
        <w:t xml:space="preserve"> </w:t>
      </w:r>
      <w:r w:rsidR="000E542C">
        <w:t xml:space="preserve">Capvaxive </w:t>
      </w:r>
      <w:r w:rsidR="00B2227D" w:rsidRPr="00A14968">
        <w:t xml:space="preserve">was developed to provide significantly broader pneumococcal disease coverage in adults compared with currently licensed pneumococcal vaccines. </w:t>
      </w:r>
      <w:r w:rsidR="000E542C">
        <w:t>Capvaxive</w:t>
      </w:r>
      <w:r w:rsidR="00B2227D" w:rsidRPr="00A14968">
        <w:t xml:space="preserve"> specifically targets resi</w:t>
      </w:r>
      <w:r w:rsidR="00B2227D">
        <w:t xml:space="preserve">dual disease in adults with the </w:t>
      </w:r>
      <w:r w:rsidR="00B2227D" w:rsidRPr="00A14968">
        <w:t xml:space="preserve">inclusion of key serotypes common to licensed vaccines and further unique serotypes not contained in any currently </w:t>
      </w:r>
      <w:r w:rsidR="00B2227D" w:rsidRPr="003E47AB">
        <w:t>licensed</w:t>
      </w:r>
      <w:r w:rsidR="005142EF" w:rsidRPr="005142EF">
        <w:rPr>
          <w:szCs w:val="22"/>
        </w:rPr>
        <w:t xml:space="preserve"> </w:t>
      </w:r>
      <w:r w:rsidR="005142EF">
        <w:t>p</w:t>
      </w:r>
      <w:r w:rsidR="005142EF" w:rsidRPr="005142EF">
        <w:t xml:space="preserve">neumococcal </w:t>
      </w:r>
      <w:r w:rsidR="005142EF">
        <w:t>c</w:t>
      </w:r>
      <w:r w:rsidR="005142EF" w:rsidRPr="005142EF">
        <w:t xml:space="preserve">onjugate </w:t>
      </w:r>
      <w:r w:rsidR="005142EF">
        <w:t>v</w:t>
      </w:r>
      <w:r w:rsidR="005142EF" w:rsidRPr="005142EF">
        <w:t>accine</w:t>
      </w:r>
      <w:r w:rsidR="00B2227D" w:rsidRPr="003E47AB">
        <w:t>.</w:t>
      </w:r>
    </w:p>
    <w:p w14:paraId="5BC5F3EB" w14:textId="77777777" w:rsidR="00B2227D" w:rsidRDefault="00B2227D" w:rsidP="00CB6813">
      <w:pPr>
        <w:rPr>
          <w:i/>
          <w:color w:val="007099"/>
        </w:rPr>
      </w:pPr>
    </w:p>
    <w:p w14:paraId="0D615854" w14:textId="77777777" w:rsidR="00324B33" w:rsidRPr="003F31A2" w:rsidRDefault="00324B33" w:rsidP="00324B33">
      <w:pPr>
        <w:pStyle w:val="Heading3"/>
      </w:pPr>
      <w:bookmarkStart w:id="20" w:name="_Toc103679291"/>
      <w:bookmarkStart w:id="21" w:name="_Toc207110436"/>
      <w:r>
        <w:lastRenderedPageBreak/>
        <w:t>Regulatory status</w:t>
      </w:r>
      <w:bookmarkEnd w:id="16"/>
      <w:bookmarkEnd w:id="17"/>
      <w:bookmarkEnd w:id="20"/>
      <w:bookmarkEnd w:id="21"/>
    </w:p>
    <w:p w14:paraId="72C889D6" w14:textId="7E200950" w:rsidR="0017005C" w:rsidRPr="00BD5DBD" w:rsidRDefault="0017005C" w:rsidP="00741AB9">
      <w:pPr>
        <w:pStyle w:val="Heading4"/>
      </w:pPr>
      <w:bookmarkStart w:id="22" w:name="_Toc207110437"/>
      <w:r w:rsidRPr="00BD5DBD">
        <w:t>Australian regulatory</w:t>
      </w:r>
      <w:r>
        <w:t xml:space="preserve"> sta</w:t>
      </w:r>
      <w:r w:rsidR="0025785B">
        <w:t>t</w:t>
      </w:r>
      <w:r>
        <w:t>us</w:t>
      </w:r>
      <w:bookmarkEnd w:id="22"/>
    </w:p>
    <w:p w14:paraId="6A8633FA" w14:textId="6B022D78" w:rsidR="00324B33" w:rsidRDefault="00324B33" w:rsidP="00324B33">
      <w:pPr>
        <w:rPr>
          <w:szCs w:val="22"/>
        </w:rPr>
      </w:pPr>
      <w:r w:rsidRPr="00BD5DBD">
        <w:rPr>
          <w:szCs w:val="22"/>
        </w:rPr>
        <w:t>This product is considered a new</w:t>
      </w:r>
      <w:r w:rsidR="00040C33">
        <w:rPr>
          <w:szCs w:val="22"/>
        </w:rPr>
        <w:t xml:space="preserve"> biological</w:t>
      </w:r>
      <w:r w:rsidRPr="00BD5DBD">
        <w:rPr>
          <w:szCs w:val="22"/>
        </w:rPr>
        <w:t xml:space="preserve"> entity for Australian regulatory purposes.</w:t>
      </w:r>
    </w:p>
    <w:p w14:paraId="546C1031" w14:textId="3AF999DD" w:rsidR="0017005C" w:rsidRDefault="008970D8" w:rsidP="0017005C">
      <w:pPr>
        <w:pStyle w:val="Heading4"/>
      </w:pPr>
      <w:bookmarkStart w:id="23" w:name="_Toc207110438"/>
      <w:r>
        <w:t>International</w:t>
      </w:r>
      <w:r w:rsidR="0017005C" w:rsidRPr="00BD5DBD">
        <w:t xml:space="preserve"> regulatory</w:t>
      </w:r>
      <w:r w:rsidR="0017005C">
        <w:t xml:space="preserve"> status</w:t>
      </w:r>
      <w:bookmarkEnd w:id="23"/>
    </w:p>
    <w:p w14:paraId="45BCF078" w14:textId="1118A2CA" w:rsidR="00617BEB" w:rsidRPr="0017005C" w:rsidRDefault="008F4A62" w:rsidP="008F4A62">
      <w:r w:rsidRPr="00BD5DBD">
        <w:rPr>
          <w:szCs w:val="22"/>
        </w:rPr>
        <w:t xml:space="preserve">At the time the TGA considered this submission, a similar submission had been approved in </w:t>
      </w:r>
      <w:r w:rsidR="004E4DAD">
        <w:rPr>
          <w:szCs w:val="22"/>
        </w:rPr>
        <w:t>the United States (17 June 2024) and Canada (15 July 2024)</w:t>
      </w:r>
      <w:r w:rsidRPr="00BD5DBD">
        <w:rPr>
          <w:szCs w:val="22"/>
        </w:rPr>
        <w:t xml:space="preserve">. A similar submission was under consideration in </w:t>
      </w:r>
      <w:r w:rsidR="004E4DAD">
        <w:rPr>
          <w:szCs w:val="22"/>
        </w:rPr>
        <w:t>the EU</w:t>
      </w:r>
      <w:r w:rsidR="008277C0">
        <w:rPr>
          <w:szCs w:val="22"/>
        </w:rPr>
        <w:t xml:space="preserve"> and Japan</w:t>
      </w:r>
      <w:r w:rsidR="004E4DAD">
        <w:rPr>
          <w:szCs w:val="22"/>
        </w:rPr>
        <w:t xml:space="preserve">. </w:t>
      </w:r>
      <w:r w:rsidR="00617BEB">
        <w:rPr>
          <w:lang w:val="en-US"/>
        </w:rPr>
        <w:t xml:space="preserve">The following table includes </w:t>
      </w:r>
      <w:r w:rsidR="00617BEB" w:rsidRPr="00E66EE8">
        <w:rPr>
          <w:lang w:val="en-US"/>
        </w:rPr>
        <w:t xml:space="preserve">the </w:t>
      </w:r>
      <w:r w:rsidR="009F5B7C">
        <w:rPr>
          <w:lang w:val="en-US"/>
        </w:rPr>
        <w:t xml:space="preserve">approved </w:t>
      </w:r>
      <w:r w:rsidR="00617BEB" w:rsidRPr="00E66EE8">
        <w:rPr>
          <w:lang w:val="en-US"/>
        </w:rPr>
        <w:t>indications for</w:t>
      </w:r>
      <w:r w:rsidR="00617BEB" w:rsidRPr="00E66EE8">
        <w:t xml:space="preserve"> </w:t>
      </w:r>
      <w:r w:rsidR="00617BEB" w:rsidRPr="00E66EE8">
        <w:rPr>
          <w:lang w:val="en-US"/>
        </w:rPr>
        <w:t>C</w:t>
      </w:r>
      <w:r w:rsidR="00617BEB">
        <w:rPr>
          <w:lang w:val="en-US"/>
        </w:rPr>
        <w:t xml:space="preserve">apvaxive for </w:t>
      </w:r>
      <w:r w:rsidR="00617BEB" w:rsidRPr="00E66EE8">
        <w:rPr>
          <w:lang w:val="en-US"/>
        </w:rPr>
        <w:t>the FDA</w:t>
      </w:r>
      <w:r w:rsidR="00617BEB">
        <w:rPr>
          <w:lang w:val="en-US"/>
        </w:rPr>
        <w:t xml:space="preserve"> and Health Canada.</w:t>
      </w:r>
      <w:r w:rsidR="001C6E60" w:rsidRPr="001C6E60">
        <w:rPr>
          <w:rFonts w:eastAsia="Cambria" w:cs="Times New Roman"/>
          <w:szCs w:val="22"/>
          <w:lang w:val="en-US"/>
        </w:rPr>
        <w:t xml:space="preserve"> </w:t>
      </w:r>
    </w:p>
    <w:p w14:paraId="19B9E0AC" w14:textId="61A31825" w:rsidR="00324B33" w:rsidRDefault="00324B33" w:rsidP="00324B33">
      <w:pPr>
        <w:pStyle w:val="TableTitle"/>
      </w:pPr>
      <w:bookmarkStart w:id="24"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4"/>
      <w:r>
        <w:t>: International regulatory status</w:t>
      </w:r>
    </w:p>
    <w:tbl>
      <w:tblPr>
        <w:tblStyle w:val="TableTGAblue2023"/>
        <w:tblW w:w="5000" w:type="pct"/>
        <w:tblLook w:val="04A0" w:firstRow="1" w:lastRow="0" w:firstColumn="1" w:lastColumn="0" w:noHBand="0" w:noVBand="1"/>
      </w:tblPr>
      <w:tblGrid>
        <w:gridCol w:w="1297"/>
        <w:gridCol w:w="1696"/>
        <w:gridCol w:w="1696"/>
        <w:gridCol w:w="4371"/>
      </w:tblGrid>
      <w:tr w:rsidR="00DD73CE" w:rsidRPr="00D01DDB" w14:paraId="405E5D78" w14:textId="16839333" w:rsidTr="00DD7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Pr>
          <w:p w14:paraId="185B099B" w14:textId="7A4C0E6C" w:rsidR="00DD73CE" w:rsidRPr="00D01DDB" w:rsidRDefault="00DD73CE" w:rsidP="00324B33">
            <w:pPr>
              <w:rPr>
                <w:szCs w:val="22"/>
              </w:rPr>
            </w:pPr>
            <w:r w:rsidRPr="00D01DDB">
              <w:rPr>
                <w:szCs w:val="22"/>
              </w:rPr>
              <w:t>Region</w:t>
            </w:r>
          </w:p>
        </w:tc>
        <w:tc>
          <w:tcPr>
            <w:tcW w:w="936" w:type="pct"/>
          </w:tcPr>
          <w:p w14:paraId="68E2A561" w14:textId="424A6F4D" w:rsidR="00DD73CE" w:rsidRPr="00D01DDB" w:rsidRDefault="00B5194D"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Submission</w:t>
            </w:r>
          </w:p>
        </w:tc>
        <w:tc>
          <w:tcPr>
            <w:tcW w:w="936" w:type="pct"/>
          </w:tcPr>
          <w:p w14:paraId="58F81584" w14:textId="65938F05" w:rsidR="00DD73CE" w:rsidRPr="00D01DDB" w:rsidRDefault="00DD73CE"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412" w:type="pct"/>
          </w:tcPr>
          <w:p w14:paraId="50B2D435" w14:textId="560588D2" w:rsidR="00DD73CE" w:rsidRPr="00D01DDB" w:rsidRDefault="00DD73CE"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DD73CE" w:rsidRPr="00D01DDB" w14:paraId="38D24E86" w14:textId="77777777" w:rsidTr="00DD73CE">
        <w:tc>
          <w:tcPr>
            <w:cnfStyle w:val="001000000000" w:firstRow="0" w:lastRow="0" w:firstColumn="1" w:lastColumn="0" w:oddVBand="0" w:evenVBand="0" w:oddHBand="0" w:evenHBand="0" w:firstRowFirstColumn="0" w:firstRowLastColumn="0" w:lastRowFirstColumn="0" w:lastRowLastColumn="0"/>
            <w:tcW w:w="716" w:type="pct"/>
          </w:tcPr>
          <w:p w14:paraId="4C540DE5" w14:textId="75C07E29" w:rsidR="00DD73CE" w:rsidRPr="00D01DDB" w:rsidRDefault="00DD73CE" w:rsidP="006A2B30">
            <w:r>
              <w:t>United States (FDA)</w:t>
            </w:r>
          </w:p>
        </w:tc>
        <w:tc>
          <w:tcPr>
            <w:tcW w:w="936" w:type="pct"/>
          </w:tcPr>
          <w:p w14:paraId="1C365BA0" w14:textId="0FCE978A" w:rsidR="00DD73CE" w:rsidRPr="00D01DDB" w:rsidRDefault="00C33DF1" w:rsidP="006A2B30">
            <w:pPr>
              <w:cnfStyle w:val="000000000000" w:firstRow="0" w:lastRow="0" w:firstColumn="0" w:lastColumn="0" w:oddVBand="0" w:evenVBand="0" w:oddHBand="0" w:evenHBand="0" w:firstRowFirstColumn="0" w:firstRowLastColumn="0" w:lastRowFirstColumn="0" w:lastRowLastColumn="0"/>
            </w:pPr>
            <w:r w:rsidRPr="00C33DF1">
              <w:t>18 October 2023</w:t>
            </w:r>
          </w:p>
        </w:tc>
        <w:tc>
          <w:tcPr>
            <w:tcW w:w="936" w:type="pct"/>
          </w:tcPr>
          <w:p w14:paraId="69238910" w14:textId="6F549DCB" w:rsidR="00DD73CE" w:rsidRDefault="00DD73CE" w:rsidP="006A2B30">
            <w:pPr>
              <w:cnfStyle w:val="000000000000" w:firstRow="0" w:lastRow="0" w:firstColumn="0" w:lastColumn="0" w:oddVBand="0" w:evenVBand="0" w:oddHBand="0" w:evenHBand="0" w:firstRowFirstColumn="0" w:firstRowLastColumn="0" w:lastRowFirstColumn="0" w:lastRowLastColumn="0"/>
            </w:pPr>
            <w:r w:rsidRPr="00D01DDB">
              <w:t>Approved on</w:t>
            </w:r>
          </w:p>
          <w:p w14:paraId="29358393" w14:textId="2CA42C23" w:rsidR="00DD73CE" w:rsidRPr="00D01DDB" w:rsidRDefault="00DD73CE" w:rsidP="006A2B30">
            <w:pPr>
              <w:cnfStyle w:val="000000000000" w:firstRow="0" w:lastRow="0" w:firstColumn="0" w:lastColumn="0" w:oddVBand="0" w:evenVBand="0" w:oddHBand="0" w:evenHBand="0" w:firstRowFirstColumn="0" w:firstRowLastColumn="0" w:lastRowFirstColumn="0" w:lastRowLastColumn="0"/>
            </w:pPr>
            <w:r>
              <w:t>17 June 2024</w:t>
            </w:r>
          </w:p>
        </w:tc>
        <w:tc>
          <w:tcPr>
            <w:tcW w:w="2412" w:type="pct"/>
          </w:tcPr>
          <w:p w14:paraId="372D8E8A" w14:textId="47437748" w:rsidR="00DD73CE" w:rsidRPr="00EC0181" w:rsidRDefault="00DD73CE" w:rsidP="00C3416F">
            <w:pPr>
              <w:cnfStyle w:val="000000000000" w:firstRow="0" w:lastRow="0" w:firstColumn="0" w:lastColumn="0" w:oddVBand="0" w:evenVBand="0" w:oddHBand="0" w:evenHBand="0" w:firstRowFirstColumn="0" w:firstRowLastColumn="0" w:lastRowFirstColumn="0" w:lastRowLastColumn="0"/>
              <w:rPr>
                <w:lang w:val="en-US"/>
              </w:rPr>
            </w:pPr>
            <w:r w:rsidRPr="00EC0181">
              <w:rPr>
                <w:lang w:val="en-US"/>
              </w:rPr>
              <w:t>C</w:t>
            </w:r>
            <w:r w:rsidR="00537504">
              <w:rPr>
                <w:lang w:val="en-US"/>
              </w:rPr>
              <w:t>apvaxive</w:t>
            </w:r>
            <w:r w:rsidRPr="00EC0181">
              <w:rPr>
                <w:lang w:val="en-US"/>
              </w:rPr>
              <w:t xml:space="preserve"> is indicated for:</w:t>
            </w:r>
          </w:p>
          <w:p w14:paraId="4ED0A745" w14:textId="005CF5DE" w:rsidR="00DD73CE" w:rsidRPr="00EE673A" w:rsidRDefault="00DD73CE" w:rsidP="00C3416F">
            <w:pPr>
              <w:cnfStyle w:val="000000000000" w:firstRow="0" w:lastRow="0" w:firstColumn="0" w:lastColumn="0" w:oddVBand="0" w:evenVBand="0" w:oddHBand="0" w:evenHBand="0" w:firstRowFirstColumn="0" w:firstRowLastColumn="0" w:lastRowFirstColumn="0" w:lastRowLastColumn="0"/>
              <w:rPr>
                <w:lang w:val="en-US"/>
              </w:rPr>
            </w:pPr>
            <w:r w:rsidRPr="00EC0181">
              <w:rPr>
                <w:lang w:val="en-US"/>
              </w:rPr>
              <w:t>• active immunization for the prevention of invasive disease caused by Streptococcus pneumoniae serotypes 3, 6A, 7F, 8, 9N, 10A,</w:t>
            </w:r>
            <w:r w:rsidRPr="00EE673A">
              <w:rPr>
                <w:sz w:val="20"/>
                <w:szCs w:val="20"/>
                <w:lang w:val="en-US"/>
              </w:rPr>
              <w:t xml:space="preserve"> </w:t>
            </w:r>
            <w:r w:rsidRPr="00EE673A">
              <w:rPr>
                <w:lang w:val="en-US"/>
              </w:rPr>
              <w:t>11A, 12F, 15A, 15B, 15C, 16F, 17F, 19A, 20A, 22F, 23A, 23B, 24F, 31, 33F, and 35B in individuals 18 years of age and older.</w:t>
            </w:r>
          </w:p>
          <w:p w14:paraId="35ADE2E0" w14:textId="77777777" w:rsidR="00DD73CE" w:rsidRPr="00EE673A" w:rsidRDefault="00DD73CE" w:rsidP="00C3416F">
            <w:pPr>
              <w:cnfStyle w:val="000000000000" w:firstRow="0" w:lastRow="0" w:firstColumn="0" w:lastColumn="0" w:oddVBand="0" w:evenVBand="0" w:oddHBand="0" w:evenHBand="0" w:firstRowFirstColumn="0" w:firstRowLastColumn="0" w:lastRowFirstColumn="0" w:lastRowLastColumn="0"/>
              <w:rPr>
                <w:lang w:val="en-US"/>
              </w:rPr>
            </w:pPr>
            <w:r w:rsidRPr="00EE673A">
              <w:rPr>
                <w:lang w:val="en-US"/>
              </w:rPr>
              <w:t>• active immunization for the prevention of pneumonia caused by S. pneumoniae serotypes 3, 6A, 7F, 8, 9N, 10A, 11A, 12F, 15A, 15C, 16F, 17F, 19A, 20A, 22F, 23A, 23B, 24F, 31, 33F, and 35B in individuals 18 years of age and older.</w:t>
            </w:r>
          </w:p>
          <w:p w14:paraId="05055674" w14:textId="61011E1A" w:rsidR="00DD73CE" w:rsidRPr="00D01DDB" w:rsidRDefault="00DD73CE" w:rsidP="00C3416F">
            <w:pPr>
              <w:cnfStyle w:val="000000000000" w:firstRow="0" w:lastRow="0" w:firstColumn="0" w:lastColumn="0" w:oddVBand="0" w:evenVBand="0" w:oddHBand="0" w:evenHBand="0" w:firstRowFirstColumn="0" w:firstRowLastColumn="0" w:lastRowFirstColumn="0" w:lastRowLastColumn="0"/>
            </w:pPr>
            <w:r w:rsidRPr="00EE673A">
              <w:rPr>
                <w:lang w:val="en-US"/>
              </w:rPr>
              <w:t xml:space="preserve">The indication for the prevention of pneumonia caused by S. pneumoniae serotypes 3, 6A, 7F, 8, 9N, 10A, 11A, 12F, 15A, 15C, 16F, 17F, 19A, 20A, 22F, 23A, 23B, 24F, 31, 33F, and 35B is approved under accelerated approval based on immune responses as measured by </w:t>
            </w:r>
            <w:r w:rsidR="00537504">
              <w:rPr>
                <w:lang w:val="en-US"/>
              </w:rPr>
              <w:t>OPA</w:t>
            </w:r>
            <w:r>
              <w:rPr>
                <w:lang w:val="en-US"/>
              </w:rPr>
              <w:t>.</w:t>
            </w:r>
            <w:r w:rsidRPr="00EE673A">
              <w:rPr>
                <w:lang w:val="en-US"/>
              </w:rPr>
              <w:t xml:space="preserve"> Continued approval for this indication may be contingent upon verification and description of clinical benefit in a confirmatory trial.</w:t>
            </w:r>
          </w:p>
        </w:tc>
      </w:tr>
      <w:tr w:rsidR="00DD73CE" w:rsidRPr="00D01DDB" w14:paraId="55A3EFC5" w14:textId="77777777" w:rsidTr="00DD73CE">
        <w:tc>
          <w:tcPr>
            <w:cnfStyle w:val="001000000000" w:firstRow="0" w:lastRow="0" w:firstColumn="1" w:lastColumn="0" w:oddVBand="0" w:evenVBand="0" w:oddHBand="0" w:evenHBand="0" w:firstRowFirstColumn="0" w:firstRowLastColumn="0" w:lastRowFirstColumn="0" w:lastRowLastColumn="0"/>
            <w:tcW w:w="716" w:type="pct"/>
          </w:tcPr>
          <w:p w14:paraId="587CE5C6" w14:textId="47B14815" w:rsidR="00DD73CE" w:rsidRDefault="00DD73CE" w:rsidP="006A2B30">
            <w:r>
              <w:lastRenderedPageBreak/>
              <w:t xml:space="preserve">Canada (Health Canada) </w:t>
            </w:r>
          </w:p>
        </w:tc>
        <w:tc>
          <w:tcPr>
            <w:tcW w:w="936" w:type="pct"/>
          </w:tcPr>
          <w:p w14:paraId="34A78391" w14:textId="526EBA93" w:rsidR="00DD73CE" w:rsidRDefault="00CD3F95" w:rsidP="006A2B30">
            <w:pPr>
              <w:cnfStyle w:val="000000000000" w:firstRow="0" w:lastRow="0" w:firstColumn="0" w:lastColumn="0" w:oddVBand="0" w:evenVBand="0" w:oddHBand="0" w:evenHBand="0" w:firstRowFirstColumn="0" w:firstRowLastColumn="0" w:lastRowFirstColumn="0" w:lastRowLastColumn="0"/>
            </w:pPr>
            <w:r>
              <w:t>8 December 2023</w:t>
            </w:r>
          </w:p>
        </w:tc>
        <w:tc>
          <w:tcPr>
            <w:tcW w:w="936" w:type="pct"/>
          </w:tcPr>
          <w:p w14:paraId="532AF8DC" w14:textId="4A68E1B4" w:rsidR="00DD73CE" w:rsidRPr="00D01DDB" w:rsidRDefault="00DD73CE" w:rsidP="006A2B30">
            <w:pPr>
              <w:cnfStyle w:val="000000000000" w:firstRow="0" w:lastRow="0" w:firstColumn="0" w:lastColumn="0" w:oddVBand="0" w:evenVBand="0" w:oddHBand="0" w:evenHBand="0" w:firstRowFirstColumn="0" w:firstRowLastColumn="0" w:lastRowFirstColumn="0" w:lastRowLastColumn="0"/>
            </w:pPr>
            <w:r>
              <w:t>Approved on 15 July 2024</w:t>
            </w:r>
          </w:p>
        </w:tc>
        <w:tc>
          <w:tcPr>
            <w:tcW w:w="2412" w:type="pct"/>
          </w:tcPr>
          <w:p w14:paraId="3299E99D" w14:textId="35007EAE" w:rsidR="00DD73CE" w:rsidRPr="00EC0181" w:rsidRDefault="00DD73CE" w:rsidP="00C3416F">
            <w:pPr>
              <w:cnfStyle w:val="000000000000" w:firstRow="0" w:lastRow="0" w:firstColumn="0" w:lastColumn="0" w:oddVBand="0" w:evenVBand="0" w:oddHBand="0" w:evenHBand="0" w:firstRowFirstColumn="0" w:firstRowLastColumn="0" w:lastRowFirstColumn="0" w:lastRowLastColumn="0"/>
              <w:rPr>
                <w:lang w:val="en-US"/>
              </w:rPr>
            </w:pPr>
            <w:r w:rsidRPr="00266938">
              <w:rPr>
                <w:lang w:val="en-US"/>
              </w:rPr>
              <w:t>C</w:t>
            </w:r>
            <w:r w:rsidR="00C3416F">
              <w:rPr>
                <w:lang w:val="en-US"/>
              </w:rPr>
              <w:t>apvaxive</w:t>
            </w:r>
            <w:r w:rsidRPr="00266938">
              <w:rPr>
                <w:lang w:val="en-US"/>
              </w:rPr>
              <w:t xml:space="preserve"> (Pneumococcal 21-valent Conjugate Vaccine) is indicated for active immunization for the prevention of invasive pneumococcal disease (including sepsis, meningitis, </w:t>
            </w:r>
            <w:proofErr w:type="spellStart"/>
            <w:r w:rsidRPr="00266938">
              <w:rPr>
                <w:lang w:val="en-US"/>
              </w:rPr>
              <w:t>bacteremic</w:t>
            </w:r>
            <w:proofErr w:type="spellEnd"/>
            <w:r w:rsidRPr="00266938">
              <w:rPr>
                <w:lang w:val="en-US"/>
              </w:rPr>
              <w:t xml:space="preserve"> pneumonia, pleural empyema and bacteremia) caused by Streptococcus pneumoniae serotypes (3, 6A, 6C, 7F, 8, 9N, 10A, 11A, 12F, 15A, 15B, 15C, 16F, 17F, 19A, 20A, 22F, 23A, 23B, 24F, 31, 33F, and 35B) in adults 18 years of age and older</w:t>
            </w:r>
          </w:p>
        </w:tc>
      </w:tr>
    </w:tbl>
    <w:p w14:paraId="6D92589C" w14:textId="09786CEF" w:rsidR="00324B33" w:rsidRDefault="00324B33" w:rsidP="00324B33">
      <w:pPr>
        <w:pStyle w:val="Heading2"/>
      </w:pPr>
      <w:bookmarkStart w:id="25" w:name="_Toc504480011"/>
      <w:bookmarkStart w:id="26" w:name="_Toc103679293"/>
      <w:bookmarkStart w:id="27" w:name="_Toc207110439"/>
      <w:r>
        <w:t>Registration timeline</w:t>
      </w:r>
      <w:bookmarkEnd w:id="25"/>
      <w:bookmarkEnd w:id="26"/>
      <w:bookmarkEnd w:id="27"/>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0AA036FD"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Timeline for Submission PM-202</w:t>
      </w:r>
      <w:r w:rsidR="001604F6">
        <w:t>3-</w:t>
      </w:r>
      <w:r w:rsidR="00A32D5A">
        <w:t>05219-1-2</w:t>
      </w:r>
    </w:p>
    <w:tbl>
      <w:tblPr>
        <w:tblStyle w:val="TableTGAblue2023"/>
        <w:tblW w:w="9067" w:type="dxa"/>
        <w:tblLook w:val="04A0" w:firstRow="1" w:lastRow="0" w:firstColumn="1" w:lastColumn="0" w:noHBand="0" w:noVBand="1"/>
      </w:tblPr>
      <w:tblGrid>
        <w:gridCol w:w="6658"/>
        <w:gridCol w:w="2409"/>
      </w:tblGrid>
      <w:tr w:rsidR="00324B33" w:rsidRPr="00D01DDB" w14:paraId="6C59BE9C" w14:textId="77777777" w:rsidTr="00E76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6D80E78" w14:textId="3EC0CCAF" w:rsidR="00324B33" w:rsidRPr="00D01DDB" w:rsidRDefault="00324B33" w:rsidP="00324B33">
            <w:pPr>
              <w:rPr>
                <w:szCs w:val="22"/>
              </w:rPr>
            </w:pPr>
            <w:r w:rsidRPr="00D01DDB">
              <w:rPr>
                <w:szCs w:val="22"/>
              </w:rPr>
              <w:t>Description</w:t>
            </w:r>
          </w:p>
        </w:tc>
        <w:tc>
          <w:tcPr>
            <w:tcW w:w="2409"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759D2A12" w14:textId="0D705F83" w:rsidR="00324B33" w:rsidRPr="00E679D1" w:rsidRDefault="00324B33" w:rsidP="00E679D1">
            <w:r w:rsidRPr="00E679D1">
              <w:t>Submission dossier accepted and first round evaluation commenced</w:t>
            </w:r>
          </w:p>
        </w:tc>
        <w:tc>
          <w:tcPr>
            <w:tcW w:w="2409" w:type="dxa"/>
          </w:tcPr>
          <w:p w14:paraId="2963D9D8" w14:textId="667036A5" w:rsidR="00324B33" w:rsidRPr="00D01DDB" w:rsidRDefault="009329F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January 2024</w:t>
            </w:r>
          </w:p>
        </w:tc>
      </w:tr>
      <w:tr w:rsidR="00324B33" w:rsidRPr="00D01DDB" w14:paraId="53437815"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4C037D4E" w14:textId="2B0CE255" w:rsidR="00324B33" w:rsidRPr="00E679D1" w:rsidRDefault="00324B33" w:rsidP="00E679D1">
            <w:r w:rsidRPr="00E679D1">
              <w:t>First round evaluation completed</w:t>
            </w:r>
          </w:p>
        </w:tc>
        <w:tc>
          <w:tcPr>
            <w:tcW w:w="2409" w:type="dxa"/>
          </w:tcPr>
          <w:p w14:paraId="3CEAFAAB" w14:textId="32E6ECD8" w:rsidR="00324B33" w:rsidRPr="00D01DDB" w:rsidRDefault="00BA1A9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324B33" w:rsidRPr="00D01DDB" w14:paraId="60DA57CC"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02EA1147" w14:textId="2853A422" w:rsidR="00324B33" w:rsidRPr="00E679D1" w:rsidRDefault="00324B33" w:rsidP="00E679D1">
            <w:r w:rsidRPr="00E679D1">
              <w:t>Sponsor provides responses on questions raised in first round evaluation</w:t>
            </w:r>
          </w:p>
        </w:tc>
        <w:tc>
          <w:tcPr>
            <w:tcW w:w="2409" w:type="dxa"/>
          </w:tcPr>
          <w:p w14:paraId="68A577C1" w14:textId="03671A05" w:rsidR="00324B33" w:rsidRPr="00D01DDB" w:rsidRDefault="005F6A9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2024</w:t>
            </w:r>
          </w:p>
        </w:tc>
      </w:tr>
      <w:tr w:rsidR="00324B33" w:rsidRPr="00D01DDB" w14:paraId="767E33A4"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4AFC5B50" w14:textId="2BCC6A3E" w:rsidR="00324B33" w:rsidRPr="00E679D1" w:rsidRDefault="00324B33" w:rsidP="00E679D1">
            <w:r w:rsidRPr="00E679D1">
              <w:t>Second round evaluation completed</w:t>
            </w:r>
          </w:p>
        </w:tc>
        <w:tc>
          <w:tcPr>
            <w:tcW w:w="2409" w:type="dxa"/>
          </w:tcPr>
          <w:p w14:paraId="4E47DF62" w14:textId="17DB6DA0" w:rsidR="00324B33" w:rsidRPr="00D01DDB" w:rsidRDefault="0016017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September 2024</w:t>
            </w:r>
          </w:p>
        </w:tc>
      </w:tr>
      <w:tr w:rsidR="00324B33" w:rsidRPr="00D01DDB" w14:paraId="302FCB45"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716E9DC1" w14:textId="6D42CA7B" w:rsidR="00324B33" w:rsidRPr="00D01DDB" w:rsidRDefault="00324B33" w:rsidP="00324B33">
            <w:pPr>
              <w:rPr>
                <w:szCs w:val="22"/>
              </w:rPr>
            </w:pPr>
            <w:r w:rsidRPr="00D01DDB">
              <w:rPr>
                <w:szCs w:val="22"/>
              </w:rPr>
              <w:t>Delegate’s</w:t>
            </w:r>
            <w:r w:rsidR="00500D68">
              <w:rPr>
                <w:rStyle w:val="FootnoteReference"/>
                <w:szCs w:val="22"/>
              </w:rPr>
              <w:footnoteReference w:id="7"/>
            </w:r>
            <w:r w:rsidRPr="00D01DDB">
              <w:rPr>
                <w:szCs w:val="22"/>
              </w:rPr>
              <w:t xml:space="preserve"> Overall benefit-risk </w:t>
            </w:r>
            <w:r w:rsidRPr="009B6336">
              <w:rPr>
                <w:color w:val="auto"/>
                <w:szCs w:val="22"/>
              </w:rPr>
              <w:t>assessment and request for Advisory Committee advice</w:t>
            </w:r>
          </w:p>
        </w:tc>
        <w:tc>
          <w:tcPr>
            <w:tcW w:w="2409" w:type="dxa"/>
          </w:tcPr>
          <w:p w14:paraId="3BA6EF79" w14:textId="17C43871" w:rsidR="00324B33" w:rsidRPr="00D01DDB" w:rsidRDefault="00685E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November 2024</w:t>
            </w:r>
          </w:p>
        </w:tc>
      </w:tr>
      <w:tr w:rsidR="00324B33" w:rsidRPr="00D01DDB" w14:paraId="5832EBC8"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720592DE" w14:textId="1F72CD22" w:rsidR="00324B33" w:rsidRPr="00E679D1" w:rsidRDefault="00324B33" w:rsidP="00E679D1">
            <w:r w:rsidRPr="00E679D1">
              <w:t>Sponsor’s pre-Advisory Committee response</w:t>
            </w:r>
          </w:p>
        </w:tc>
        <w:tc>
          <w:tcPr>
            <w:tcW w:w="2409" w:type="dxa"/>
          </w:tcPr>
          <w:p w14:paraId="5AE04841" w14:textId="13A02C95" w:rsidR="00324B33" w:rsidRPr="00D01DDB" w:rsidRDefault="00713F0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November 2024</w:t>
            </w:r>
          </w:p>
        </w:tc>
      </w:tr>
      <w:tr w:rsidR="00324B33" w:rsidRPr="00D01DDB" w14:paraId="5754F7AC"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789DE187" w14:textId="123446EE" w:rsidR="00324B33" w:rsidRPr="00E679D1" w:rsidRDefault="00324B33" w:rsidP="00E679D1">
            <w:r w:rsidRPr="00E679D1">
              <w:t>Advisory Committee meeting</w:t>
            </w:r>
          </w:p>
        </w:tc>
        <w:tc>
          <w:tcPr>
            <w:tcW w:w="2409" w:type="dxa"/>
          </w:tcPr>
          <w:p w14:paraId="5BE1EDE7" w14:textId="1C757482" w:rsidR="00324B33" w:rsidRPr="00D01DDB" w:rsidRDefault="00D8269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December 2024</w:t>
            </w:r>
          </w:p>
        </w:tc>
      </w:tr>
      <w:tr w:rsidR="00324B33" w:rsidRPr="00D01DDB" w14:paraId="6E5D32FE"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4E95C44C" w14:textId="7A91C710" w:rsidR="00324B33" w:rsidRPr="00E679D1" w:rsidRDefault="00324B33" w:rsidP="00E679D1">
            <w:r w:rsidRPr="00E679D1">
              <w:t>Registration decision (Outcome)</w:t>
            </w:r>
          </w:p>
        </w:tc>
        <w:tc>
          <w:tcPr>
            <w:tcW w:w="2409" w:type="dxa"/>
          </w:tcPr>
          <w:p w14:paraId="62987ABD" w14:textId="1DE05ED1" w:rsidR="00324B33" w:rsidRPr="00D01DDB" w:rsidRDefault="00C433A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January 2025</w:t>
            </w:r>
          </w:p>
        </w:tc>
      </w:tr>
      <w:tr w:rsidR="00324B33" w:rsidRPr="00D01DDB" w14:paraId="6DDCDDA4"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09" w:type="dxa"/>
          </w:tcPr>
          <w:p w14:paraId="5A8923FD" w14:textId="3C1BE2FE" w:rsidR="00324B33" w:rsidRPr="00D01DDB" w:rsidRDefault="007D66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February 2025</w:t>
            </w:r>
          </w:p>
        </w:tc>
      </w:tr>
      <w:tr w:rsidR="00324B33" w:rsidRPr="00D01DDB" w14:paraId="56D922E2" w14:textId="77777777" w:rsidTr="00E76BBB">
        <w:tc>
          <w:tcPr>
            <w:cnfStyle w:val="001000000000" w:firstRow="0" w:lastRow="0" w:firstColumn="1" w:lastColumn="0" w:oddVBand="0" w:evenVBand="0" w:oddHBand="0" w:evenHBand="0" w:firstRowFirstColumn="0" w:firstRowLastColumn="0" w:lastRowFirstColumn="0" w:lastRowLastColumn="0"/>
            <w:tcW w:w="6658" w:type="dxa"/>
          </w:tcPr>
          <w:p w14:paraId="787FD8DD" w14:textId="0E0CF97F" w:rsidR="00324B33" w:rsidRPr="00E679D1" w:rsidRDefault="00324B33" w:rsidP="00E679D1">
            <w:r w:rsidRPr="00E679D1">
              <w:t>Number of working days from submission dossier acceptance to registration decision*</w:t>
            </w:r>
          </w:p>
        </w:tc>
        <w:tc>
          <w:tcPr>
            <w:tcW w:w="2409" w:type="dxa"/>
          </w:tcPr>
          <w:p w14:paraId="5BAF9FA1" w14:textId="57ECC4B9" w:rsidR="00324B33" w:rsidRPr="00D01DDB" w:rsidRDefault="00891CA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6D8093AC" w:rsidR="00C22214" w:rsidRPr="00792A32" w:rsidRDefault="00E4182E" w:rsidP="00C22214">
      <w:pPr>
        <w:pStyle w:val="Heading2"/>
      </w:pPr>
      <w:bookmarkStart w:id="28" w:name="_Toc196046504"/>
      <w:bookmarkStart w:id="29" w:name="_Toc247691527"/>
      <w:bookmarkStart w:id="30" w:name="_Toc314842510"/>
      <w:bookmarkStart w:id="31" w:name="_Toc103679294"/>
      <w:bookmarkStart w:id="32" w:name="_Toc207110440"/>
      <w:r>
        <w:t>A</w:t>
      </w:r>
      <w:r w:rsidR="00C22214" w:rsidRPr="00792A32">
        <w:t>ssessment</w:t>
      </w:r>
      <w:bookmarkEnd w:id="28"/>
      <w:bookmarkEnd w:id="29"/>
      <w:bookmarkEnd w:id="30"/>
      <w:bookmarkEnd w:id="31"/>
      <w:r>
        <w:t xml:space="preserve"> overview</w:t>
      </w:r>
      <w:bookmarkEnd w:id="32"/>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7F5A1C0" w14:textId="4C452372" w:rsidR="00C22214" w:rsidRDefault="00157661" w:rsidP="00C22214">
      <w:pPr>
        <w:pStyle w:val="Heading3"/>
      </w:pPr>
      <w:bookmarkStart w:id="35" w:name="_Toc103679295"/>
      <w:bookmarkStart w:id="36" w:name="_Toc207110441"/>
      <w:r>
        <w:lastRenderedPageBreak/>
        <w:t>Q</w:t>
      </w:r>
      <w:r w:rsidR="00C22214">
        <w:t>uality</w:t>
      </w:r>
      <w:bookmarkEnd w:id="33"/>
      <w:bookmarkEnd w:id="34"/>
      <w:bookmarkEnd w:id="35"/>
      <w:r w:rsidR="0005204B">
        <w:t xml:space="preserve"> evaluation summa</w:t>
      </w:r>
      <w:r w:rsidR="00FF73BA">
        <w:t>ry</w:t>
      </w:r>
      <w:bookmarkEnd w:id="36"/>
    </w:p>
    <w:p w14:paraId="530B6FEC" w14:textId="399D179F" w:rsidR="00B55766" w:rsidRDefault="0005204B" w:rsidP="0048615F">
      <w:r>
        <w:t>T</w:t>
      </w:r>
      <w:r w:rsidR="00B55766" w:rsidRPr="001D2863">
        <w:t xml:space="preserve">here </w:t>
      </w:r>
      <w:r w:rsidR="00B55766">
        <w:t>were</w:t>
      </w:r>
      <w:r w:rsidR="00B55766" w:rsidRPr="001D2863">
        <w:t xml:space="preserve"> no significant issues identified from the </w:t>
      </w:r>
      <w:r w:rsidR="00961AFA">
        <w:t>q</w:t>
      </w:r>
      <w:r w:rsidR="00B55766" w:rsidRPr="001D2863">
        <w:t xml:space="preserve">uality </w:t>
      </w:r>
      <w:r w:rsidR="00961AFA">
        <w:t>e</w:t>
      </w:r>
      <w:r w:rsidR="00B55766" w:rsidRPr="001D2863">
        <w:t>valuation of the submitted data that would indicate the product should not be registered on the basis of quality or safety-related issues</w:t>
      </w:r>
      <w:r w:rsidR="00FD696B">
        <w:t>.</w:t>
      </w:r>
      <w:r w:rsidR="00B55766" w:rsidRPr="001D2863">
        <w:t xml:space="preserve"> The manufacturing quality information submitted by the </w:t>
      </w:r>
      <w:r w:rsidR="00406872">
        <w:t>s</w:t>
      </w:r>
      <w:r w:rsidR="00B55766" w:rsidRPr="001D2863">
        <w:t>ponsor support the registration of C</w:t>
      </w:r>
      <w:r w:rsidR="00C21FDF">
        <w:t>apvaxive</w:t>
      </w:r>
      <w:r w:rsidR="00B55766" w:rsidRPr="001D2863">
        <w:t xml:space="preserve"> Pneumococcal 21-valent Conjugate Vaccine 0.5 mL Solution for Injection </w:t>
      </w:r>
      <w:r w:rsidR="00B65D20">
        <w:t>p</w:t>
      </w:r>
      <w:r w:rsidR="00B55766" w:rsidRPr="001D2863">
        <w:t xml:space="preserve">re-filled </w:t>
      </w:r>
      <w:r w:rsidR="00406872">
        <w:t>s</w:t>
      </w:r>
      <w:r w:rsidR="00B55766" w:rsidRPr="001D2863">
        <w:t>yringe.</w:t>
      </w:r>
    </w:p>
    <w:p w14:paraId="5821AD2D" w14:textId="61BC22A6" w:rsidR="002D2901" w:rsidRPr="002D2901" w:rsidRDefault="002D2901" w:rsidP="0048615F">
      <w:r w:rsidRPr="002D2901">
        <w:t>C</w:t>
      </w:r>
      <w:r w:rsidR="00970113">
        <w:t>apvaxive</w:t>
      </w:r>
      <w:r w:rsidRPr="002D2901">
        <w:t xml:space="preserve"> is a pneumococcal conjugate vaccine (21-valent PCV) that comprises of </w:t>
      </w:r>
      <w:r w:rsidRPr="002D2901">
        <w:rPr>
          <w:i/>
          <w:iCs/>
        </w:rPr>
        <w:t>Streptococcus pneumoniae</w:t>
      </w:r>
      <w:r w:rsidRPr="002D2901">
        <w:t xml:space="preserve"> polysaccharide (PnPs) serotypes 3, 6A, 7F, 8, 9N, 10A, 11A, 12F, 15A, deOAc15B (de-O-acetylated serotype 15B), 16F, 17F, 19A, 20A, 22F, 23A, 23B, 24F, 31, 33F and 35B conjugated to the CRM197 carrier protein. The CRM197 carrier protein is a non-toxic mutant of the diphtheria toxin originating from </w:t>
      </w:r>
      <w:r w:rsidRPr="002D2901">
        <w:rPr>
          <w:i/>
          <w:iCs/>
        </w:rPr>
        <w:t>Corynebacterium diphtheriae</w:t>
      </w:r>
      <w:r w:rsidRPr="002D2901">
        <w:t xml:space="preserve">.  </w:t>
      </w:r>
    </w:p>
    <w:p w14:paraId="1EFD6A25" w14:textId="05F1EC10" w:rsidR="002D2901" w:rsidRPr="002D2901" w:rsidRDefault="00CF129A" w:rsidP="0048615F">
      <w:r w:rsidRPr="00CF129A">
        <w:t xml:space="preserve">The </w:t>
      </w:r>
      <w:r>
        <w:t>drug product</w:t>
      </w:r>
      <w:r w:rsidRPr="00CF129A">
        <w:t xml:space="preserve"> is formulated such that each 0.5 mL dose contains 4 µg of each of the 21 serotypes</w:t>
      </w:r>
      <w:r w:rsidR="00181430">
        <w:t>.</w:t>
      </w:r>
      <w:r w:rsidRPr="00CF129A">
        <w:t xml:space="preserve"> </w:t>
      </w:r>
      <w:r w:rsidR="002D2901" w:rsidRPr="002D2901">
        <w:t>The 21 PnPs are conjugated to CRM197 carrier protein to create 21 distinct serotype-specific drug substance monovalent bulk conjugates (MBC) that elicit antibodies that enhance opsonisation, phagocytosis, and killing of pneumococci to protect against pneumococcal disease. As a conjugate vaccine, it elicits a T-cell dependent immune response, and carrier protein-specific helper T-cells support specificity, functionality, and maturation of serotype-specific B cells.</w:t>
      </w:r>
    </w:p>
    <w:p w14:paraId="1D27D3C3" w14:textId="2AC95C4C" w:rsidR="00B55766" w:rsidRDefault="00B55766" w:rsidP="0048615F">
      <w:r>
        <w:t xml:space="preserve">The formulation development of the drug product utilises extensive experience gained from the established Pneumococcal polysaccharide and </w:t>
      </w:r>
      <w:r w:rsidRPr="00B95009">
        <w:t>M</w:t>
      </w:r>
      <w:r w:rsidR="00033FE6">
        <w:t>BC</w:t>
      </w:r>
      <w:r>
        <w:t xml:space="preserve"> platform, and previous experience gained from the company’s 15 Valent Pneumococcal vaccine</w:t>
      </w:r>
      <w:r w:rsidR="0087315D">
        <w:t>,</w:t>
      </w:r>
      <w:r>
        <w:t xml:space="preserve"> V</w:t>
      </w:r>
      <w:r w:rsidR="005C3DEB">
        <w:t>axneuvance</w:t>
      </w:r>
      <w:r>
        <w:t>. The formulation has remained consistent throughout development other than the increase of the Drug Substance</w:t>
      </w:r>
      <w:r w:rsidR="0087315D">
        <w:t>. T</w:t>
      </w:r>
      <w:r>
        <w:t>he differences between the C</w:t>
      </w:r>
      <w:r w:rsidR="005C3DEB">
        <w:t>apvaxive</w:t>
      </w:r>
      <w:r>
        <w:t xml:space="preserve"> and V</w:t>
      </w:r>
      <w:r w:rsidR="007C4B71">
        <w:t>axneuvance</w:t>
      </w:r>
      <w:r>
        <w:t xml:space="preserve"> </w:t>
      </w:r>
      <w:r w:rsidR="00417829">
        <w:t>d</w:t>
      </w:r>
      <w:r>
        <w:t xml:space="preserve">rug </w:t>
      </w:r>
      <w:r w:rsidR="00417829">
        <w:t>p</w:t>
      </w:r>
      <w:r>
        <w:t>roduct are as follows:</w:t>
      </w:r>
    </w:p>
    <w:p w14:paraId="1BF3A035" w14:textId="30534654" w:rsidR="00B55766" w:rsidRPr="0048615F" w:rsidRDefault="00B55766" w:rsidP="0048615F">
      <w:pPr>
        <w:pStyle w:val="ListBullet"/>
      </w:pPr>
      <w:r w:rsidRPr="0048615F">
        <w:t>without adjuvant</w:t>
      </w:r>
      <w:r w:rsidR="0096188E">
        <w:t>,</w:t>
      </w:r>
      <w:r w:rsidRPr="0048615F">
        <w:t xml:space="preserve"> </w:t>
      </w:r>
    </w:p>
    <w:p w14:paraId="6C55C5DA" w14:textId="7506AA35" w:rsidR="00B55766" w:rsidRPr="0048615F" w:rsidRDefault="00721274" w:rsidP="0048615F">
      <w:pPr>
        <w:pStyle w:val="ListBullet"/>
      </w:pPr>
      <w:r w:rsidRPr="00721274">
        <w:t>optimised polysorbate 20 (PS-20)</w:t>
      </w:r>
      <w:r w:rsidR="00B55766" w:rsidRPr="0048615F">
        <w:t xml:space="preserve"> concentration</w:t>
      </w:r>
      <w:r w:rsidR="0096188E">
        <w:t>,</w:t>
      </w:r>
      <w:r w:rsidR="00B55766" w:rsidRPr="0048615F">
        <w:t xml:space="preserve"> </w:t>
      </w:r>
    </w:p>
    <w:p w14:paraId="319429AB" w14:textId="6E5102AA" w:rsidR="00B55766" w:rsidRPr="0048615F" w:rsidRDefault="00B55766" w:rsidP="0048615F">
      <w:pPr>
        <w:pStyle w:val="ListBullet"/>
      </w:pPr>
      <w:r w:rsidRPr="0048615F">
        <w:t xml:space="preserve">higher target Drug Substance concentration (8 </w:t>
      </w:r>
      <w:proofErr w:type="spellStart"/>
      <w:r w:rsidRPr="0048615F">
        <w:t>μg</w:t>
      </w:r>
      <w:proofErr w:type="spellEnd"/>
      <w:r w:rsidRPr="0048615F">
        <w:t xml:space="preserve">/mL compared to 4 </w:t>
      </w:r>
      <w:proofErr w:type="spellStart"/>
      <w:r w:rsidRPr="0048615F">
        <w:t>μg</w:t>
      </w:r>
      <w:proofErr w:type="spellEnd"/>
      <w:r w:rsidRPr="0048615F">
        <w:t>/mL) for common serotypes</w:t>
      </w:r>
      <w:r w:rsidR="008833FF">
        <w:t>.</w:t>
      </w:r>
    </w:p>
    <w:p w14:paraId="6E4440A3" w14:textId="3CA36D28" w:rsidR="00553219" w:rsidRPr="00D14A47" w:rsidRDefault="00553219" w:rsidP="00D14A47">
      <w:r w:rsidRPr="00D14A47">
        <w:t>The final product is sterile filtered as it is filled into a 1.5 mL glass syringe barrel assembly and stoppered with a plunger stopper to make a pre</w:t>
      </w:r>
      <w:r w:rsidR="00E75825">
        <w:t>-</w:t>
      </w:r>
      <w:r w:rsidRPr="00D14A47">
        <w:t>filled syring</w:t>
      </w:r>
      <w:r w:rsidR="00372EC6" w:rsidRPr="00D14A47">
        <w:t>e (PFS)</w:t>
      </w:r>
      <w:r w:rsidRPr="00D14A47">
        <w:t xml:space="preserve">. Device assembly includes the addition of the plunger rod to the PFS. The combination product consists of the syringe barrel assembly, filled, and stoppered, and with plunger rod inserted. The </w:t>
      </w:r>
      <w:r w:rsidR="00F76561" w:rsidRPr="00D14A47">
        <w:t>drug product</w:t>
      </w:r>
      <w:r w:rsidRPr="00D14A47">
        <w:t xml:space="preserve"> is a liquid solution for injection and is stored at 2-8 °C.</w:t>
      </w:r>
    </w:p>
    <w:p w14:paraId="2BE90AAE" w14:textId="228AC9F8" w:rsidR="00C22214" w:rsidRDefault="00C22214" w:rsidP="00C22214">
      <w:pPr>
        <w:pStyle w:val="Heading3"/>
      </w:pPr>
      <w:bookmarkStart w:id="37" w:name="_Toc314842512"/>
      <w:bookmarkStart w:id="38" w:name="_Toc103679296"/>
      <w:bookmarkStart w:id="39" w:name="_Toc207110442"/>
      <w:r>
        <w:t>Nonclinical</w:t>
      </w:r>
      <w:bookmarkEnd w:id="37"/>
      <w:bookmarkEnd w:id="38"/>
      <w:r w:rsidR="00FF73BA">
        <w:t xml:space="preserve"> evaluation summary</w:t>
      </w:r>
      <w:bookmarkEnd w:id="39"/>
    </w:p>
    <w:p w14:paraId="33BCAC5A" w14:textId="03B3EAAF" w:rsidR="00532600" w:rsidRDefault="00532600" w:rsidP="00532600">
      <w:r>
        <w:t>There were no non-clinical objections to the registration of Capvaxive.</w:t>
      </w:r>
    </w:p>
    <w:p w14:paraId="682CC74B" w14:textId="4FF13161" w:rsidR="00532600" w:rsidRDefault="00532600" w:rsidP="0048615F">
      <w:r w:rsidRPr="00B31611">
        <w:t>The submitted non</w:t>
      </w:r>
      <w:r>
        <w:t>-</w:t>
      </w:r>
      <w:r w:rsidRPr="00B31611">
        <w:t>clinical dossier was in accordance with the relevant W</w:t>
      </w:r>
      <w:r w:rsidR="00FB790A">
        <w:t>orld Health Organisation</w:t>
      </w:r>
      <w:r w:rsidR="00BD2412">
        <w:t>’</w:t>
      </w:r>
      <w:r w:rsidR="00FB790A">
        <w:t>s (W</w:t>
      </w:r>
      <w:r w:rsidRPr="00B31611">
        <w:t>HO</w:t>
      </w:r>
      <w:r w:rsidR="00FB790A">
        <w:t>)</w:t>
      </w:r>
      <w:r w:rsidRPr="00B31611">
        <w:t xml:space="preserve"> guidelines on nonclinical evaluation of vaccines. </w:t>
      </w:r>
      <w:r>
        <w:t>The evaluator concluded that t</w:t>
      </w:r>
      <w:r w:rsidRPr="00B31611">
        <w:t>he sponsor ha</w:t>
      </w:r>
      <w:r>
        <w:t>d</w:t>
      </w:r>
      <w:r w:rsidRPr="00B31611">
        <w:t xml:space="preserve"> conducted adequate pharmacodynamic studies and repeat-dose toxicity study of the vaccine. An adequate reproductive toxicity study (combined fertility, embryofetal development and pre/postnatal study) for the vaccine was also submitted.</w:t>
      </w:r>
    </w:p>
    <w:p w14:paraId="78E70F99" w14:textId="2B06F815" w:rsidR="00CF2324" w:rsidRPr="00CF2324" w:rsidRDefault="00CF2324" w:rsidP="0048615F">
      <w:r w:rsidRPr="00CF2324">
        <w:t>The submitted pharmacodynamics studies demonstrated the immune response to C</w:t>
      </w:r>
      <w:r w:rsidR="00763E9B">
        <w:t>apvaxive</w:t>
      </w:r>
      <w:r w:rsidRPr="00CF2324">
        <w:t xml:space="preserve"> in</w:t>
      </w:r>
      <w:r w:rsidR="00763E9B">
        <w:t xml:space="preserve"> </w:t>
      </w:r>
      <w:r w:rsidRPr="00CF2324">
        <w:t>mice and monkeys by measuring IgG titre and opsonophagocytic activity. In two studies,</w:t>
      </w:r>
      <w:r w:rsidR="00763E9B">
        <w:t xml:space="preserve"> </w:t>
      </w:r>
      <w:r w:rsidRPr="00CF2324">
        <w:t xml:space="preserve">vaccinated mice were challenged with a lethal dose of </w:t>
      </w:r>
      <w:r w:rsidRPr="00CF2324">
        <w:rPr>
          <w:i/>
          <w:iCs/>
        </w:rPr>
        <w:t xml:space="preserve">S. pneumoniae </w:t>
      </w:r>
      <w:r w:rsidRPr="00CF2324">
        <w:t>serotype 24F, all vaccinated</w:t>
      </w:r>
      <w:r w:rsidR="00763E9B">
        <w:t xml:space="preserve"> </w:t>
      </w:r>
      <w:r w:rsidRPr="00CF2324">
        <w:t>mice survived, demonstrating the presence of protective antibodies.</w:t>
      </w:r>
      <w:r w:rsidR="005B6FCE">
        <w:t xml:space="preserve"> </w:t>
      </w:r>
      <w:r w:rsidRPr="00CF2324">
        <w:t xml:space="preserve">Generation of cross reactive </w:t>
      </w:r>
      <w:r w:rsidRPr="00CF2324">
        <w:lastRenderedPageBreak/>
        <w:t>and functional antibodies between serotype 15B, deOAc15B and</w:t>
      </w:r>
      <w:r w:rsidR="00D011E0">
        <w:t xml:space="preserve"> </w:t>
      </w:r>
      <w:r w:rsidRPr="00CF2324">
        <w:t>15C, and between 6A and 6C have been demonstrated in pharmacodynamic studies.</w:t>
      </w:r>
    </w:p>
    <w:p w14:paraId="3FE558AE" w14:textId="48C668CC" w:rsidR="00CF2324" w:rsidRPr="00CF2324" w:rsidRDefault="00CF2324" w:rsidP="0048615F">
      <w:r w:rsidRPr="00CF2324">
        <w:t>Safety pharmacology and single dose toxicity studies were not submitted, which is considered</w:t>
      </w:r>
      <w:r w:rsidR="005B6FCE">
        <w:t xml:space="preserve"> </w:t>
      </w:r>
      <w:r w:rsidRPr="00CF2324">
        <w:t>acceptable given the available data from the repeat-dose study Genotoxicity and carcinogenicity</w:t>
      </w:r>
      <w:r w:rsidR="005B6FCE">
        <w:t xml:space="preserve"> </w:t>
      </w:r>
      <w:r w:rsidRPr="00CF2324">
        <w:t>data were not submitted which is also acceptable given the proposed single vaccine dose for</w:t>
      </w:r>
      <w:r w:rsidR="006820D6">
        <w:t xml:space="preserve"> </w:t>
      </w:r>
      <w:r w:rsidRPr="00CF2324">
        <w:t>recipients and is in line with international guidelines.</w:t>
      </w:r>
    </w:p>
    <w:p w14:paraId="1FAA646D" w14:textId="39D0A5FB" w:rsidR="00CF2324" w:rsidRPr="00CF2324" w:rsidRDefault="00CF2324" w:rsidP="0048615F">
      <w:r w:rsidRPr="00CF2324">
        <w:t>The repeat-dose toxicity study was performed in rats (2 intramuscular doses at 3 weeks interval)</w:t>
      </w:r>
      <w:r w:rsidR="00A85214">
        <w:t xml:space="preserve"> </w:t>
      </w:r>
      <w:r w:rsidRPr="00CF2324">
        <w:t xml:space="preserve">at half the clinical dose (42 </w:t>
      </w:r>
      <w:proofErr w:type="spellStart"/>
      <w:r w:rsidRPr="00CF2324">
        <w:t>μg</w:t>
      </w:r>
      <w:proofErr w:type="spellEnd"/>
      <w:r w:rsidRPr="00CF2324">
        <w:t>/dose/animal), which is about 100 times margin on a dose per kg</w:t>
      </w:r>
      <w:r w:rsidR="00A85214">
        <w:t xml:space="preserve"> </w:t>
      </w:r>
      <w:r w:rsidRPr="00CF2324">
        <w:t>basis. The only vaccine-related finding was limited to injection site reactions. A higher number</w:t>
      </w:r>
      <w:r w:rsidR="00A85214">
        <w:t xml:space="preserve"> </w:t>
      </w:r>
      <w:r w:rsidRPr="00CF2324">
        <w:t>and severity grade of injection site related changes in treatment group compared to saline</w:t>
      </w:r>
      <w:r w:rsidR="00370A86">
        <w:t xml:space="preserve"> </w:t>
      </w:r>
      <w:r w:rsidRPr="00CF2324">
        <w:t xml:space="preserve">control was noted. The injection site related changes showed resolution at the recovery </w:t>
      </w:r>
      <w:r w:rsidR="00370A86">
        <w:t>n</w:t>
      </w:r>
      <w:r w:rsidRPr="00CF2324">
        <w:t>ecropsy.</w:t>
      </w:r>
    </w:p>
    <w:p w14:paraId="3A3C3184" w14:textId="797C005E" w:rsidR="00CF2324" w:rsidRPr="00CF2324" w:rsidRDefault="00CF2324" w:rsidP="0048615F">
      <w:r w:rsidRPr="00CF2324">
        <w:t>In the combined fertility, embryofetal developmental and pre- and postnatal study, C</w:t>
      </w:r>
      <w:r w:rsidR="00370A86">
        <w:t xml:space="preserve">apvaxive </w:t>
      </w:r>
      <w:r w:rsidRPr="00CF2324">
        <w:t xml:space="preserve">showed no maternal toxicity and no adverse effects on female fertility. Embryofetal </w:t>
      </w:r>
      <w:r w:rsidR="00370A86">
        <w:t>d</w:t>
      </w:r>
      <w:r w:rsidRPr="00CF2324">
        <w:t>evelopment</w:t>
      </w:r>
      <w:r w:rsidR="00370A86">
        <w:t xml:space="preserve"> </w:t>
      </w:r>
      <w:r w:rsidRPr="00CF2324">
        <w:t>was not affected and there was no evidence of teratogenic potential. Pup post-natal viability,</w:t>
      </w:r>
      <w:r w:rsidR="00370A86">
        <w:t xml:space="preserve"> </w:t>
      </w:r>
      <w:r w:rsidRPr="00CF2324">
        <w:t xml:space="preserve">growth and development to weaning were not affected. The exposure of </w:t>
      </w:r>
      <w:r w:rsidR="00370A86" w:rsidRPr="00CF2324">
        <w:t>foetuses</w:t>
      </w:r>
      <w:r w:rsidRPr="00CF2324">
        <w:t xml:space="preserve"> and pups to</w:t>
      </w:r>
      <w:r w:rsidR="00370A86">
        <w:t xml:space="preserve"> </w:t>
      </w:r>
      <w:r w:rsidRPr="00CF2324">
        <w:t>vaccine-specific maternal antibodies was demonstrated.</w:t>
      </w:r>
    </w:p>
    <w:p w14:paraId="72896367" w14:textId="07353130" w:rsidR="00CF2324" w:rsidRDefault="00A631C4" w:rsidP="0048615F">
      <w:r>
        <w:t>Capvaxive</w:t>
      </w:r>
      <w:r w:rsidR="00CF2324" w:rsidRPr="00CF2324">
        <w:t xml:space="preserve"> was well tolerated in rats when administered </w:t>
      </w:r>
      <w:r w:rsidR="00124888">
        <w:t>intramuscularly</w:t>
      </w:r>
      <w:r w:rsidR="00CF2324" w:rsidRPr="00CF2324">
        <w:t xml:space="preserve"> at half the clinical dose.</w:t>
      </w:r>
    </w:p>
    <w:p w14:paraId="18E676D8" w14:textId="6AA827BE" w:rsidR="00532600" w:rsidRDefault="00532600" w:rsidP="00532600">
      <w:r w:rsidRPr="009F74EB">
        <w:t>The primary pharmacology studies sufficiently demonstrated immunogenicity of the vaccine.</w:t>
      </w:r>
    </w:p>
    <w:p w14:paraId="5C69F3D7" w14:textId="77777777" w:rsidR="00532600" w:rsidRDefault="00532600" w:rsidP="00532600">
      <w:r w:rsidRPr="009F74EB">
        <w:t>The repeat-dose toxicity study did not reveal any unexpected adverse effects.</w:t>
      </w:r>
    </w:p>
    <w:p w14:paraId="67BC61DC" w14:textId="77777777" w:rsidR="00532600" w:rsidRDefault="00532600" w:rsidP="00532600">
      <w:r w:rsidRPr="009F74EB">
        <w:t>The combined fertility, embryofetal developmental and pre- and postnatal study did not reveal any adverse effects of the vaccine.</w:t>
      </w:r>
      <w:r>
        <w:t xml:space="preserve"> </w:t>
      </w:r>
      <w:r w:rsidRPr="00441A1C">
        <w:t>The proposed Pregnancy Category B1 is acceptable.</w:t>
      </w:r>
    </w:p>
    <w:p w14:paraId="35B580A5" w14:textId="6BE57BD8" w:rsidR="00C22214" w:rsidRDefault="00EE0CB3" w:rsidP="008804CF">
      <w:pPr>
        <w:pStyle w:val="Heading3"/>
      </w:pPr>
      <w:bookmarkStart w:id="40" w:name="_Toc247691530"/>
      <w:bookmarkStart w:id="41" w:name="_Toc314842513"/>
      <w:bookmarkStart w:id="42" w:name="_Toc103679297"/>
      <w:bookmarkStart w:id="43" w:name="_Toc207110443"/>
      <w:r>
        <w:t>C</w:t>
      </w:r>
      <w:r w:rsidR="00C22214">
        <w:t>linical</w:t>
      </w:r>
      <w:bookmarkEnd w:id="40"/>
      <w:bookmarkEnd w:id="41"/>
      <w:bookmarkEnd w:id="42"/>
      <w:r>
        <w:t xml:space="preserve"> evaluation summary</w:t>
      </w:r>
      <w:bookmarkEnd w:id="43"/>
    </w:p>
    <w:p w14:paraId="32B0DEDA" w14:textId="77777777" w:rsidR="00C22214" w:rsidRPr="002E1EF9" w:rsidRDefault="00C22214" w:rsidP="004D1AFD">
      <w:pPr>
        <w:pStyle w:val="Heading4"/>
      </w:pPr>
      <w:bookmarkStart w:id="44" w:name="_Toc98931928"/>
      <w:bookmarkStart w:id="45" w:name="_Toc207110444"/>
      <w:r w:rsidRPr="002E1EF9">
        <w:t>Summary of clinical studies</w:t>
      </w:r>
      <w:bookmarkEnd w:id="44"/>
      <w:bookmarkEnd w:id="45"/>
    </w:p>
    <w:p w14:paraId="33E80940" w14:textId="77777777" w:rsidR="00845D61" w:rsidRDefault="006E1BCB" w:rsidP="005746FC">
      <w:r w:rsidRPr="00F42956">
        <w:t>The application is based on immunogenicity, tolerability and safety data obtained from one Phase 2 study (V116-001), and four Phase 3 studies, including V116-003 (Pivotal study), V116-004 (Lot Consistency Study), V116-005 (Study with Concomitant Administration of Influenza Vaccine) and V116-006 (Study in Pneumococcal Vaccine-experienced Adults</w:t>
      </w:r>
      <w:r>
        <w:t>)</w:t>
      </w:r>
      <w:r w:rsidRPr="00F42956">
        <w:t>.</w:t>
      </w:r>
      <w:r>
        <w:t xml:space="preserve"> </w:t>
      </w:r>
    </w:p>
    <w:p w14:paraId="52DAAB75" w14:textId="6305D1D9" w:rsidR="006E1BCB" w:rsidRDefault="006E1BCB" w:rsidP="005746FC">
      <w:r>
        <w:t xml:space="preserve">Module 5 also included </w:t>
      </w:r>
      <w:r w:rsidRPr="003D7A3C">
        <w:t xml:space="preserve">validation reports (methodology &amp; statistical analysis) for the multiplexed opsonophagocytic killing assay (MOPA) and the </w:t>
      </w:r>
      <w:r w:rsidR="00711ECA">
        <w:t>e</w:t>
      </w:r>
      <w:r w:rsidRPr="003D7A3C">
        <w:t xml:space="preserve">lectrochemiluminescent (ECL) Assay and measurement of antibodies against </w:t>
      </w:r>
      <w:r w:rsidRPr="00850CE5">
        <w:rPr>
          <w:i/>
          <w:iCs/>
        </w:rPr>
        <w:t>S. pneumoniae</w:t>
      </w:r>
      <w:r w:rsidRPr="003D7A3C">
        <w:t xml:space="preserve"> serotypes represented in V116; validation of measurement of the influenza haemagglutination inhibition (HAI) test; integrated statistical analysis plan</w:t>
      </w:r>
      <w:r>
        <w:t xml:space="preserve"> and an</w:t>
      </w:r>
      <w:r w:rsidRPr="003D7A3C">
        <w:t xml:space="preserve"> integrated safety </w:t>
      </w:r>
      <w:r>
        <w:t>summary.</w:t>
      </w:r>
    </w:p>
    <w:p w14:paraId="29F07761" w14:textId="68504F15" w:rsidR="006E1BCB" w:rsidRDefault="00270859" w:rsidP="005746FC">
      <w:r w:rsidRPr="00770FE9">
        <w:t xml:space="preserve">The </w:t>
      </w:r>
      <w:r w:rsidR="00B13E70">
        <w:t>d</w:t>
      </w:r>
      <w:r w:rsidR="00B13E70" w:rsidRPr="00770FE9">
        <w:t xml:space="preserve">elegate </w:t>
      </w:r>
      <w:r w:rsidRPr="00770FE9">
        <w:t xml:space="preserve">noted that the </w:t>
      </w:r>
      <w:r w:rsidR="00770FE9" w:rsidRPr="00770FE9">
        <w:t>e</w:t>
      </w:r>
      <w:r w:rsidR="006E1BCB" w:rsidRPr="00770FE9">
        <w:t>fficacy</w:t>
      </w:r>
      <w:r w:rsidR="006E1BCB">
        <w:t xml:space="preserve"> data were not provided. </w:t>
      </w:r>
      <w:r w:rsidR="006E1BCB" w:rsidRPr="00FD698B">
        <w:t>As part of planned post-marketing activities</w:t>
      </w:r>
      <w:r w:rsidR="006E1BCB">
        <w:t xml:space="preserve">, the </w:t>
      </w:r>
      <w:r w:rsidR="00B13E70">
        <w:t>s</w:t>
      </w:r>
      <w:r w:rsidR="006E1BCB">
        <w:t xml:space="preserve">ponsor plans to conduct a real-world effectiveness test-negative design case-control study to further investigate the effectiveness of V116 against pneumococcal pneumonia. </w:t>
      </w:r>
    </w:p>
    <w:p w14:paraId="413B0F82" w14:textId="7AC8305A" w:rsidR="006E1BCB" w:rsidRPr="00F42956" w:rsidRDefault="006E1BCB" w:rsidP="005746FC">
      <w:r>
        <w:t>As several of the included trials have been published, relevant tables and figures have been included in the description of each study</w:t>
      </w:r>
      <w:r w:rsidR="00211442">
        <w:t xml:space="preserve"> in the summary</w:t>
      </w:r>
      <w:r w:rsidR="007B6B74">
        <w:t>.</w:t>
      </w:r>
      <w:r>
        <w:t xml:space="preserve"> Trials V116-005, V116-004 and V116-001 have been described more briefly than studies </w:t>
      </w:r>
      <w:r w:rsidRPr="006A36F7">
        <w:t>V116-003</w:t>
      </w:r>
      <w:r>
        <w:t xml:space="preserve"> and V116-006. A brief description of the </w:t>
      </w:r>
      <w:r w:rsidR="00A432D0">
        <w:t>s</w:t>
      </w:r>
      <w:r>
        <w:t>afety results has been included for each study, followed by an overview of the Integrated Safety Summary.</w:t>
      </w:r>
    </w:p>
    <w:p w14:paraId="3944E924" w14:textId="77777777" w:rsidR="002E1EF9" w:rsidRDefault="002E1EF9" w:rsidP="002E1EF9">
      <w:pPr>
        <w:pStyle w:val="Heading5"/>
      </w:pPr>
      <w:r w:rsidRPr="002E1EF9">
        <w:lastRenderedPageBreak/>
        <w:t>Immunogenicity</w:t>
      </w:r>
    </w:p>
    <w:p w14:paraId="0E32ECE3" w14:textId="7E6ADFBC" w:rsidR="00625B53" w:rsidRPr="007F5C2E" w:rsidRDefault="00625B53" w:rsidP="00625B53">
      <w:pPr>
        <w:pStyle w:val="TableTitle"/>
      </w:pPr>
      <w:r w:rsidRPr="007F5C2E">
        <w:t xml:space="preserve">Table </w:t>
      </w:r>
      <w:r>
        <w:t>3</w:t>
      </w:r>
      <w:r w:rsidRPr="007F5C2E">
        <w:t xml:space="preserve">. V116 trials in support of </w:t>
      </w:r>
      <w:r w:rsidR="000307DD">
        <w:t>registration</w:t>
      </w:r>
    </w:p>
    <w:tbl>
      <w:tblPr>
        <w:tblStyle w:val="TableTGAblue2023"/>
        <w:tblW w:w="10115" w:type="dxa"/>
        <w:tblLook w:val="04A0" w:firstRow="1" w:lastRow="0" w:firstColumn="1" w:lastColumn="0" w:noHBand="0" w:noVBand="1"/>
      </w:tblPr>
      <w:tblGrid>
        <w:gridCol w:w="1092"/>
        <w:gridCol w:w="1752"/>
        <w:gridCol w:w="1794"/>
        <w:gridCol w:w="1445"/>
        <w:gridCol w:w="2280"/>
        <w:gridCol w:w="1752"/>
      </w:tblGrid>
      <w:tr w:rsidR="00EC28A4" w:rsidRPr="00E76BBB" w14:paraId="53D106EB" w14:textId="77777777" w:rsidTr="00E76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4133165D" w14:textId="77777777" w:rsidR="00EC28A4" w:rsidRPr="00E76BBB" w:rsidRDefault="00EC28A4">
            <w:pPr>
              <w:autoSpaceDE w:val="0"/>
              <w:autoSpaceDN w:val="0"/>
              <w:adjustRightInd w:val="0"/>
              <w:jc w:val="center"/>
              <w:rPr>
                <w:rFonts w:asciiTheme="minorHAnsi" w:eastAsia="TimesNewRoman" w:hAnsiTheme="minorHAnsi" w:cs="TimesNewRoman"/>
                <w:b w:val="0"/>
                <w:bCs/>
                <w:sz w:val="20"/>
                <w:szCs w:val="20"/>
              </w:rPr>
            </w:pPr>
            <w:bookmarkStart w:id="46" w:name="_Hlk207110153"/>
            <w:r w:rsidRPr="00E76BBB">
              <w:rPr>
                <w:rFonts w:asciiTheme="minorHAnsi" w:eastAsia="TimesNewRoman" w:hAnsiTheme="minorHAnsi" w:cs="TimesNewRoman"/>
                <w:bCs/>
                <w:sz w:val="20"/>
                <w:szCs w:val="20"/>
              </w:rPr>
              <w:t>Trial</w:t>
            </w:r>
          </w:p>
        </w:tc>
        <w:tc>
          <w:tcPr>
            <w:tcW w:w="1861" w:type="dxa"/>
          </w:tcPr>
          <w:p w14:paraId="5FEDCAFF" w14:textId="77777777" w:rsidR="00EC28A4" w:rsidRPr="00E76BBB" w:rsidRDefault="00EC28A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imesNewRoman" w:hAnsiTheme="minorHAnsi" w:cs="TimesNewRoman"/>
                <w:b w:val="0"/>
                <w:bCs/>
                <w:sz w:val="20"/>
                <w:szCs w:val="20"/>
              </w:rPr>
            </w:pPr>
            <w:r w:rsidRPr="00E76BBB">
              <w:rPr>
                <w:rFonts w:asciiTheme="minorHAnsi" w:eastAsia="TimesNewRoman" w:hAnsiTheme="minorHAnsi" w:cs="TimesNewRoman"/>
                <w:bCs/>
                <w:sz w:val="20"/>
                <w:szCs w:val="20"/>
              </w:rPr>
              <w:t>Title</w:t>
            </w:r>
          </w:p>
        </w:tc>
        <w:tc>
          <w:tcPr>
            <w:tcW w:w="1906" w:type="dxa"/>
          </w:tcPr>
          <w:p w14:paraId="409170FA" w14:textId="77777777" w:rsidR="00EC28A4" w:rsidRPr="00E76BBB" w:rsidRDefault="00EC28A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imesNewRoman" w:hAnsiTheme="minorHAnsi" w:cs="TimesNewRoman"/>
                <w:b w:val="0"/>
                <w:bCs/>
                <w:sz w:val="20"/>
                <w:szCs w:val="20"/>
              </w:rPr>
            </w:pPr>
            <w:r w:rsidRPr="00E76BBB">
              <w:rPr>
                <w:rFonts w:asciiTheme="minorHAnsi" w:eastAsia="TimesNewRoman" w:hAnsiTheme="minorHAnsi" w:cs="TimesNewRoman"/>
                <w:bCs/>
                <w:sz w:val="20"/>
                <w:szCs w:val="20"/>
              </w:rPr>
              <w:t>Design</w:t>
            </w:r>
          </w:p>
        </w:tc>
        <w:tc>
          <w:tcPr>
            <w:tcW w:w="1530" w:type="dxa"/>
          </w:tcPr>
          <w:p w14:paraId="26A80695" w14:textId="77777777" w:rsidR="00EC28A4" w:rsidRPr="00E76BBB" w:rsidRDefault="00EC28A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imesNewRoman" w:hAnsiTheme="minorHAnsi" w:cs="TimesNewRoman"/>
                <w:b w:val="0"/>
                <w:bCs/>
                <w:sz w:val="20"/>
                <w:szCs w:val="20"/>
              </w:rPr>
            </w:pPr>
            <w:r w:rsidRPr="00E76BBB">
              <w:rPr>
                <w:rFonts w:asciiTheme="minorHAnsi" w:eastAsia="TimesNewRoman" w:hAnsiTheme="minorHAnsi" w:cs="TimesNewRoman"/>
                <w:bCs/>
                <w:sz w:val="20"/>
                <w:szCs w:val="20"/>
              </w:rPr>
              <w:t>Dosing</w:t>
            </w:r>
          </w:p>
        </w:tc>
        <w:tc>
          <w:tcPr>
            <w:tcW w:w="1807" w:type="dxa"/>
          </w:tcPr>
          <w:p w14:paraId="17113ADA" w14:textId="77777777" w:rsidR="00EC28A4" w:rsidRPr="00E76BBB" w:rsidRDefault="00EC28A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imesNewRoman" w:hAnsiTheme="minorHAnsi" w:cs="TimesNewRoman"/>
                <w:b w:val="0"/>
                <w:bCs/>
                <w:sz w:val="20"/>
                <w:szCs w:val="20"/>
              </w:rPr>
            </w:pPr>
            <w:r w:rsidRPr="00E76BBB">
              <w:rPr>
                <w:rFonts w:asciiTheme="minorHAnsi" w:eastAsia="TimesNewRoman" w:hAnsiTheme="minorHAnsi" w:cs="TimesNewRoman"/>
                <w:bCs/>
                <w:sz w:val="20"/>
                <w:szCs w:val="20"/>
              </w:rPr>
              <w:t>Population and number of subjects randomised</w:t>
            </w:r>
          </w:p>
        </w:tc>
        <w:tc>
          <w:tcPr>
            <w:tcW w:w="1861" w:type="dxa"/>
          </w:tcPr>
          <w:p w14:paraId="0B0B83EE" w14:textId="77777777" w:rsidR="00EC28A4" w:rsidRPr="00E76BBB" w:rsidRDefault="00EC28A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eastAsia="TimesNewRoman" w:hAnsiTheme="minorHAnsi" w:cs="TimesNewRoman"/>
                <w:b w:val="0"/>
                <w:bCs/>
                <w:sz w:val="20"/>
                <w:szCs w:val="20"/>
              </w:rPr>
            </w:pPr>
            <w:r w:rsidRPr="00E76BBB">
              <w:rPr>
                <w:rFonts w:asciiTheme="minorHAnsi" w:eastAsia="TimesNewRoman" w:hAnsiTheme="minorHAnsi" w:cs="TimesNewRoman"/>
                <w:bCs/>
                <w:sz w:val="20"/>
                <w:szCs w:val="20"/>
              </w:rPr>
              <w:t>Follow up</w:t>
            </w:r>
          </w:p>
        </w:tc>
      </w:tr>
      <w:tr w:rsidR="00EC28A4" w:rsidRPr="00E76BBB" w14:paraId="2524FEEF" w14:textId="77777777" w:rsidTr="00E76BBB">
        <w:tc>
          <w:tcPr>
            <w:cnfStyle w:val="001000000000" w:firstRow="0" w:lastRow="0" w:firstColumn="1" w:lastColumn="0" w:oddVBand="0" w:evenVBand="0" w:oddHBand="0" w:evenHBand="0" w:firstRowFirstColumn="0" w:firstRowLastColumn="0" w:lastRowFirstColumn="0" w:lastRowLastColumn="0"/>
            <w:tcW w:w="1150" w:type="dxa"/>
          </w:tcPr>
          <w:p w14:paraId="15034DD3" w14:textId="77777777" w:rsidR="00EC28A4" w:rsidRPr="00E76BBB" w:rsidRDefault="00EC28A4" w:rsidP="00623499">
            <w:pPr>
              <w:rPr>
                <w:sz w:val="20"/>
                <w:szCs w:val="20"/>
              </w:rPr>
            </w:pPr>
            <w:r w:rsidRPr="00E76BBB">
              <w:rPr>
                <w:sz w:val="20"/>
                <w:szCs w:val="20"/>
              </w:rPr>
              <w:t>V116-001</w:t>
            </w:r>
          </w:p>
        </w:tc>
        <w:tc>
          <w:tcPr>
            <w:tcW w:w="1861" w:type="dxa"/>
          </w:tcPr>
          <w:p w14:paraId="3ACD5312" w14:textId="1A25BF91"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 xml:space="preserve">A Phase 1/Phase 2, Randomised, Double-blind Study to </w:t>
            </w:r>
            <w:r w:rsidR="007929C2" w:rsidRPr="00E76BBB">
              <w:rPr>
                <w:sz w:val="20"/>
                <w:szCs w:val="20"/>
              </w:rPr>
              <w:t>e</w:t>
            </w:r>
            <w:r w:rsidRPr="00E76BBB">
              <w:rPr>
                <w:sz w:val="20"/>
                <w:szCs w:val="20"/>
              </w:rPr>
              <w:t xml:space="preserve">valuate the </w:t>
            </w:r>
            <w:r w:rsidR="007929C2" w:rsidRPr="00E76BBB">
              <w:rPr>
                <w:sz w:val="20"/>
                <w:szCs w:val="20"/>
              </w:rPr>
              <w:t>s</w:t>
            </w:r>
            <w:r w:rsidRPr="00E76BBB">
              <w:rPr>
                <w:sz w:val="20"/>
                <w:szCs w:val="20"/>
              </w:rPr>
              <w:t xml:space="preserve">afety, </w:t>
            </w:r>
            <w:r w:rsidR="007929C2" w:rsidRPr="00E76BBB">
              <w:rPr>
                <w:sz w:val="20"/>
                <w:szCs w:val="20"/>
              </w:rPr>
              <w:t>t</w:t>
            </w:r>
            <w:r w:rsidRPr="00E76BBB">
              <w:rPr>
                <w:sz w:val="20"/>
                <w:szCs w:val="20"/>
              </w:rPr>
              <w:t xml:space="preserve">olerability, and </w:t>
            </w:r>
            <w:r w:rsidR="007929C2" w:rsidRPr="00E76BBB">
              <w:rPr>
                <w:sz w:val="20"/>
                <w:szCs w:val="20"/>
              </w:rPr>
              <w:t>i</w:t>
            </w:r>
            <w:r w:rsidRPr="00E76BBB">
              <w:rPr>
                <w:sz w:val="20"/>
                <w:szCs w:val="20"/>
              </w:rPr>
              <w:t>mmunogenicity of a Polyvalent Pneumococcal Conjugate Vaccine in Adults.</w:t>
            </w:r>
          </w:p>
        </w:tc>
        <w:tc>
          <w:tcPr>
            <w:tcW w:w="1906" w:type="dxa"/>
          </w:tcPr>
          <w:p w14:paraId="71F8B4F3"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Randomised, active comparator controlled, parallel-group, multisite,</w:t>
            </w:r>
          </w:p>
          <w:p w14:paraId="6D42BF31"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double-blind</w:t>
            </w:r>
          </w:p>
        </w:tc>
        <w:tc>
          <w:tcPr>
            <w:tcW w:w="1530" w:type="dxa"/>
          </w:tcPr>
          <w:p w14:paraId="34ADB0D0"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bCs/>
                <w:sz w:val="20"/>
                <w:szCs w:val="20"/>
              </w:rPr>
              <w:t>Phase 1</w:t>
            </w:r>
          </w:p>
          <w:p w14:paraId="0664F8B4" w14:textId="3554F6EE"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0.5</w:t>
            </w:r>
            <w:r w:rsidR="007473FF" w:rsidRPr="00E76BBB">
              <w:rPr>
                <w:sz w:val="20"/>
                <w:szCs w:val="20"/>
              </w:rPr>
              <w:t xml:space="preserve"> </w:t>
            </w:r>
            <w:r w:rsidRPr="00E76BBB">
              <w:rPr>
                <w:sz w:val="20"/>
                <w:szCs w:val="20"/>
              </w:rPr>
              <w:t>mL IM dose of V116 (V116-1) or 1.0</w:t>
            </w:r>
            <w:r w:rsidR="007473FF" w:rsidRPr="00E76BBB">
              <w:rPr>
                <w:sz w:val="20"/>
                <w:szCs w:val="20"/>
              </w:rPr>
              <w:t xml:space="preserve"> </w:t>
            </w:r>
            <w:r w:rsidRPr="00E76BBB">
              <w:rPr>
                <w:sz w:val="20"/>
                <w:szCs w:val="20"/>
              </w:rPr>
              <w:t>mL IM dose of V116 (V116-2) or 0.5 mL IM dose of</w:t>
            </w:r>
          </w:p>
          <w:p w14:paraId="6AA5BC66" w14:textId="59A2FFFE"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PPSV23 on Day 1</w:t>
            </w:r>
          </w:p>
          <w:p w14:paraId="733978EE"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bCs/>
                <w:sz w:val="20"/>
                <w:szCs w:val="20"/>
              </w:rPr>
            </w:pPr>
          </w:p>
          <w:p w14:paraId="7EE14788"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bCs/>
                <w:sz w:val="20"/>
                <w:szCs w:val="20"/>
              </w:rPr>
              <w:t>Phase 2</w:t>
            </w:r>
          </w:p>
          <w:p w14:paraId="23821D07"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1.0 mL IM dose of V116(V116-2) or 0.5 mL IM dose of</w:t>
            </w:r>
          </w:p>
          <w:p w14:paraId="51A04951"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PPSV23 on Day 1</w:t>
            </w:r>
          </w:p>
          <w:p w14:paraId="0D2995F9"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p>
        </w:tc>
        <w:tc>
          <w:tcPr>
            <w:tcW w:w="1807" w:type="dxa"/>
          </w:tcPr>
          <w:p w14:paraId="0F6B3A5E"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Adult males/females</w:t>
            </w:r>
          </w:p>
          <w:p w14:paraId="1FAAD183"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without prior administration of any pneumococcal vaccine</w:t>
            </w:r>
          </w:p>
          <w:p w14:paraId="5B99FDDD" w14:textId="474EEBA6" w:rsidR="004F1943" w:rsidRPr="00E76BBB" w:rsidRDefault="004358D5"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Phase 1</w:t>
            </w:r>
            <w:r w:rsidR="008D7D71" w:rsidRPr="00E76BBB">
              <w:rPr>
                <w:sz w:val="20"/>
                <w:szCs w:val="20"/>
              </w:rPr>
              <w:t>-</w:t>
            </w:r>
            <w:r w:rsidR="004F1943" w:rsidRPr="00E76BBB">
              <w:rPr>
                <w:sz w:val="20"/>
                <w:szCs w:val="20"/>
              </w:rPr>
              <w:t xml:space="preserve"> </w:t>
            </w:r>
            <w:r w:rsidR="00EC28A4" w:rsidRPr="00E76BBB">
              <w:rPr>
                <w:sz w:val="20"/>
                <w:szCs w:val="20"/>
              </w:rPr>
              <w:t>Age:</w:t>
            </w:r>
            <w:r w:rsidR="008D7D71" w:rsidRPr="00E76BBB">
              <w:rPr>
                <w:sz w:val="20"/>
                <w:szCs w:val="20"/>
              </w:rPr>
              <w:t xml:space="preserve"> </w:t>
            </w:r>
            <w:r w:rsidR="004F1943" w:rsidRPr="00E76BBB">
              <w:rPr>
                <w:sz w:val="20"/>
                <w:szCs w:val="20"/>
              </w:rPr>
              <w:t>18 – 49 years</w:t>
            </w:r>
          </w:p>
          <w:p w14:paraId="77344C41" w14:textId="4C739F3B" w:rsidR="00EC28A4" w:rsidRPr="00E76BBB" w:rsidRDefault="004F1943"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Phase 2</w:t>
            </w:r>
            <w:r w:rsidR="008D7D71" w:rsidRPr="00E76BBB">
              <w:rPr>
                <w:sz w:val="20"/>
                <w:szCs w:val="20"/>
              </w:rPr>
              <w:t xml:space="preserve"> - </w:t>
            </w:r>
            <w:r w:rsidRPr="00E76BBB">
              <w:rPr>
                <w:sz w:val="20"/>
                <w:szCs w:val="20"/>
              </w:rPr>
              <w:t xml:space="preserve">Age: </w:t>
            </w:r>
            <w:r w:rsidR="00EC28A4" w:rsidRPr="00E76BBB">
              <w:rPr>
                <w:sz w:val="20"/>
                <w:szCs w:val="20"/>
              </w:rPr>
              <w:t>≥50 years</w:t>
            </w:r>
          </w:p>
          <w:p w14:paraId="2C5E4643"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p>
          <w:p w14:paraId="37BA3A81"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bCs/>
                <w:sz w:val="20"/>
                <w:szCs w:val="20"/>
              </w:rPr>
              <w:t xml:space="preserve">Phase 1: </w:t>
            </w:r>
            <w:r w:rsidRPr="00E76BBB">
              <w:rPr>
                <w:sz w:val="20"/>
                <w:szCs w:val="20"/>
              </w:rPr>
              <w:t>90 subjects randomised:</w:t>
            </w:r>
          </w:p>
          <w:p w14:paraId="38D2530A" w14:textId="77777777" w:rsidR="00E5390F"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 xml:space="preserve">30: V116-1, </w:t>
            </w:r>
          </w:p>
          <w:p w14:paraId="7750E854" w14:textId="77777777" w:rsidR="00E5390F"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 xml:space="preserve">30: V116-2, </w:t>
            </w:r>
          </w:p>
          <w:p w14:paraId="7E63293F" w14:textId="6800873C"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30: PPSV23</w:t>
            </w:r>
          </w:p>
          <w:p w14:paraId="3D32538B"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bCs/>
                <w:sz w:val="20"/>
                <w:szCs w:val="20"/>
              </w:rPr>
            </w:pPr>
          </w:p>
          <w:p w14:paraId="4EBBC680"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bCs/>
                <w:sz w:val="20"/>
                <w:szCs w:val="20"/>
              </w:rPr>
              <w:t>Phase 2</w:t>
            </w:r>
          </w:p>
          <w:p w14:paraId="14BAEF86"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Number of subjects randomised:</w:t>
            </w:r>
          </w:p>
          <w:p w14:paraId="6283A50B"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254: V116</w:t>
            </w:r>
          </w:p>
          <w:p w14:paraId="6F5F8E21"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256: PPSV23</w:t>
            </w:r>
          </w:p>
        </w:tc>
        <w:tc>
          <w:tcPr>
            <w:tcW w:w="1861" w:type="dxa"/>
          </w:tcPr>
          <w:p w14:paraId="3FDC80D9"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30 days post vaccination: immunogenicity</w:t>
            </w:r>
          </w:p>
          <w:p w14:paraId="0947DE3A" w14:textId="77777777" w:rsidR="00EC28A4" w:rsidRPr="00E76BBB" w:rsidRDefault="00EC28A4" w:rsidP="0062349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180 days post vaccination: safety</w:t>
            </w:r>
          </w:p>
        </w:tc>
      </w:tr>
      <w:tr w:rsidR="00C52369" w:rsidRPr="00E76BBB" w14:paraId="219FF66F" w14:textId="77777777" w:rsidTr="00E76BBB">
        <w:tc>
          <w:tcPr>
            <w:cnfStyle w:val="001000000000" w:firstRow="0" w:lastRow="0" w:firstColumn="1" w:lastColumn="0" w:oddVBand="0" w:evenVBand="0" w:oddHBand="0" w:evenHBand="0" w:firstRowFirstColumn="0" w:firstRowLastColumn="0" w:lastRowFirstColumn="0" w:lastRowLastColumn="0"/>
            <w:tcW w:w="1150" w:type="dxa"/>
          </w:tcPr>
          <w:p w14:paraId="27887BE2" w14:textId="77777777" w:rsidR="00C52369" w:rsidRPr="00E76BBB" w:rsidRDefault="00C52369" w:rsidP="00C52369">
            <w:pPr>
              <w:rPr>
                <w:sz w:val="20"/>
                <w:szCs w:val="20"/>
              </w:rPr>
            </w:pPr>
            <w:r w:rsidRPr="00E76BBB">
              <w:rPr>
                <w:sz w:val="20"/>
                <w:szCs w:val="20"/>
              </w:rPr>
              <w:lastRenderedPageBreak/>
              <w:t>V116-003 (pivotal)</w:t>
            </w:r>
          </w:p>
          <w:p w14:paraId="6229F243" w14:textId="77777777" w:rsidR="00C52369" w:rsidRPr="00E76BBB" w:rsidRDefault="00C52369" w:rsidP="00623499">
            <w:pPr>
              <w:rPr>
                <w:sz w:val="20"/>
                <w:szCs w:val="20"/>
              </w:rPr>
            </w:pPr>
          </w:p>
        </w:tc>
        <w:tc>
          <w:tcPr>
            <w:tcW w:w="1861" w:type="dxa"/>
          </w:tcPr>
          <w:p w14:paraId="42482E32"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 Phase 3, Randomised,</w:t>
            </w:r>
          </w:p>
          <w:p w14:paraId="7E3FF19E" w14:textId="66211CD6"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Double-blind, Active Comparator-controlled Clinical Study to evaluate the safety, tolerability, and immunogenicity of V116 in Pneumococcal Vaccine-naïve Adults</w:t>
            </w:r>
          </w:p>
        </w:tc>
        <w:tc>
          <w:tcPr>
            <w:tcW w:w="1906" w:type="dxa"/>
          </w:tcPr>
          <w:p w14:paraId="0102F33C"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Multicentre immunogenicity, safety, tolerability, parallel assignment, double blind,</w:t>
            </w:r>
          </w:p>
          <w:p w14:paraId="76252F35" w14:textId="6939E863"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active comparator</w:t>
            </w:r>
          </w:p>
        </w:tc>
        <w:tc>
          <w:tcPr>
            <w:tcW w:w="1530" w:type="dxa"/>
          </w:tcPr>
          <w:p w14:paraId="35D860CE"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bCs/>
                <w:sz w:val="20"/>
                <w:szCs w:val="20"/>
              </w:rPr>
              <w:t>0.5 mL IM dose of V116 or 0.5 mL IM dose of</w:t>
            </w:r>
          </w:p>
          <w:p w14:paraId="0B910B5A" w14:textId="49069E98"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bCs/>
                <w:sz w:val="20"/>
                <w:szCs w:val="20"/>
              </w:rPr>
              <w:t>PCV20 on Day 1</w:t>
            </w:r>
          </w:p>
        </w:tc>
        <w:tc>
          <w:tcPr>
            <w:tcW w:w="1807" w:type="dxa"/>
          </w:tcPr>
          <w:p w14:paraId="3B621751"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Adult males/female</w:t>
            </w:r>
          </w:p>
          <w:p w14:paraId="3D254C0D"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without prior</w:t>
            </w:r>
          </w:p>
          <w:p w14:paraId="5AE36F74"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administration of</w:t>
            </w:r>
          </w:p>
          <w:p w14:paraId="6237A216"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any pneumococcal</w:t>
            </w:r>
          </w:p>
          <w:p w14:paraId="0B5203E2"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vaccine</w:t>
            </w:r>
          </w:p>
          <w:p w14:paraId="646B9911" w14:textId="15D93C41"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b/>
                <w:bCs/>
                <w:sz w:val="20"/>
                <w:szCs w:val="20"/>
              </w:rPr>
              <w:t>Cohort 1</w:t>
            </w:r>
            <w:r w:rsidRPr="00E76BBB">
              <w:rPr>
                <w:sz w:val="20"/>
                <w:szCs w:val="20"/>
              </w:rPr>
              <w:t xml:space="preserve">: Age: ≥50 years </w:t>
            </w:r>
          </w:p>
          <w:p w14:paraId="0EDC0236"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b/>
                <w:bCs/>
                <w:sz w:val="20"/>
                <w:szCs w:val="20"/>
              </w:rPr>
              <w:t>Cohort 2:</w:t>
            </w:r>
            <w:r w:rsidRPr="00E76BBB">
              <w:rPr>
                <w:sz w:val="20"/>
                <w:szCs w:val="20"/>
              </w:rPr>
              <w:t xml:space="preserve"> Age: 18 to 49 years</w:t>
            </w:r>
          </w:p>
          <w:p w14:paraId="294D8DB6"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b/>
                <w:bCs/>
                <w:sz w:val="20"/>
                <w:szCs w:val="20"/>
              </w:rPr>
            </w:pPr>
          </w:p>
          <w:p w14:paraId="1F424C85"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Number of subjects randomised:</w:t>
            </w:r>
          </w:p>
          <w:p w14:paraId="4D7E5625"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b/>
                <w:bCs/>
                <w:sz w:val="20"/>
                <w:szCs w:val="20"/>
              </w:rPr>
              <w:t>Cohort 1:</w:t>
            </w:r>
            <w:r w:rsidRPr="00E76BBB">
              <w:rPr>
                <w:sz w:val="20"/>
                <w:szCs w:val="20"/>
              </w:rPr>
              <w:t xml:space="preserve"> V116 group 1181 randomised</w:t>
            </w:r>
          </w:p>
          <w:p w14:paraId="02BB9C64"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PCV20 group: 1181 randomised</w:t>
            </w:r>
          </w:p>
          <w:p w14:paraId="726B5EB9"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b/>
                <w:bCs/>
                <w:sz w:val="20"/>
                <w:szCs w:val="20"/>
              </w:rPr>
              <w:t>Cohort 2</w:t>
            </w:r>
            <w:r w:rsidRPr="00E76BBB">
              <w:rPr>
                <w:sz w:val="20"/>
                <w:szCs w:val="20"/>
              </w:rPr>
              <w:t>:</w:t>
            </w:r>
          </w:p>
          <w:p w14:paraId="1C1DDA78"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V116 group: 201 randomised</w:t>
            </w:r>
          </w:p>
          <w:p w14:paraId="566D425A" w14:textId="4052F05B"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PCV20 group: 100 randomised</w:t>
            </w:r>
          </w:p>
        </w:tc>
        <w:tc>
          <w:tcPr>
            <w:tcW w:w="1861" w:type="dxa"/>
          </w:tcPr>
          <w:p w14:paraId="44624E23" w14:textId="7777777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30 days post vaccination: immunogenicity</w:t>
            </w:r>
          </w:p>
          <w:p w14:paraId="38975B8D" w14:textId="0A5C6617" w:rsidR="00C52369" w:rsidRPr="00E76BBB" w:rsidRDefault="00C52369" w:rsidP="00C52369">
            <w:pPr>
              <w:cnfStyle w:val="000000000000" w:firstRow="0" w:lastRow="0" w:firstColumn="0" w:lastColumn="0" w:oddVBand="0" w:evenVBand="0" w:oddHBand="0" w:evenHBand="0" w:firstRowFirstColumn="0" w:firstRowLastColumn="0" w:lastRowFirstColumn="0" w:lastRowLastColumn="0"/>
              <w:rPr>
                <w:sz w:val="20"/>
                <w:szCs w:val="20"/>
              </w:rPr>
            </w:pPr>
            <w:r w:rsidRPr="00E76BBB">
              <w:rPr>
                <w:sz w:val="20"/>
                <w:szCs w:val="20"/>
              </w:rPr>
              <w:t>180 days post vaccination: safety</w:t>
            </w:r>
          </w:p>
        </w:tc>
      </w:tr>
      <w:tr w:rsidR="00E76BBB" w:rsidRPr="00E76BBB" w14:paraId="76F3E458" w14:textId="77777777" w:rsidTr="00E76BBB">
        <w:tc>
          <w:tcPr>
            <w:cnfStyle w:val="001000000000" w:firstRow="0" w:lastRow="0" w:firstColumn="1" w:lastColumn="0" w:oddVBand="0" w:evenVBand="0" w:oddHBand="0" w:evenHBand="0" w:firstRowFirstColumn="0" w:firstRowLastColumn="0" w:lastRowFirstColumn="0" w:lastRowLastColumn="0"/>
            <w:tcW w:w="1150" w:type="dxa"/>
          </w:tcPr>
          <w:p w14:paraId="148F2CBA" w14:textId="38B0AD4A" w:rsidR="00E76BBB" w:rsidRPr="00E76BBB" w:rsidRDefault="00E76BBB" w:rsidP="00E76BBB">
            <w:pPr>
              <w:rPr>
                <w:sz w:val="20"/>
                <w:szCs w:val="20"/>
              </w:rPr>
            </w:pPr>
            <w:r w:rsidRPr="00E76BBB">
              <w:rPr>
                <w:sz w:val="20"/>
                <w:szCs w:val="20"/>
              </w:rPr>
              <w:t>V116-004</w:t>
            </w:r>
          </w:p>
        </w:tc>
        <w:tc>
          <w:tcPr>
            <w:tcW w:w="1861" w:type="dxa"/>
          </w:tcPr>
          <w:p w14:paraId="53B39544" w14:textId="6CF4C72C"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sz w:val="20"/>
                <w:szCs w:val="20"/>
              </w:rPr>
            </w:pPr>
            <w:r w:rsidRPr="00E76BBB">
              <w:rPr>
                <w:rFonts w:eastAsia="TimesNewRoman" w:cs="TimesNewRoman"/>
                <w:sz w:val="20"/>
                <w:szCs w:val="20"/>
              </w:rPr>
              <w:t>A Phase 3 Randomised, Double-blind, Active Comparator-controlled, Lot-to-Lot Consistency Study to evaluate safety, tolerability, and immunogenicity of V116 in adults 18 to 49 years of age</w:t>
            </w:r>
          </w:p>
        </w:tc>
        <w:tc>
          <w:tcPr>
            <w:tcW w:w="1906" w:type="dxa"/>
          </w:tcPr>
          <w:p w14:paraId="0589D448"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Multicentre, immunogenicity, safety, tolerability, parallel assignment, double blind,</w:t>
            </w:r>
          </w:p>
          <w:p w14:paraId="2B72264C" w14:textId="13A173D9"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sz w:val="20"/>
                <w:szCs w:val="20"/>
              </w:rPr>
            </w:pPr>
            <w:r w:rsidRPr="00E76BBB">
              <w:rPr>
                <w:rFonts w:eastAsia="TimesNewRoman" w:cs="TimesNewRoman"/>
                <w:sz w:val="20"/>
                <w:szCs w:val="20"/>
              </w:rPr>
              <w:t>active comparator</w:t>
            </w:r>
          </w:p>
        </w:tc>
        <w:tc>
          <w:tcPr>
            <w:tcW w:w="1530" w:type="dxa"/>
          </w:tcPr>
          <w:p w14:paraId="55340E38" w14:textId="33E60D52"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bCs/>
                <w:sz w:val="20"/>
                <w:szCs w:val="20"/>
              </w:rPr>
            </w:pPr>
            <w:r w:rsidRPr="00E76BBB">
              <w:rPr>
                <w:rFonts w:eastAsia="TimesNewRoman" w:cs="TimesNewRoman"/>
                <w:sz w:val="20"/>
                <w:szCs w:val="20"/>
              </w:rPr>
              <w:t>0.5 mL IM dose of V116 Lot 1, Lot 2, or Lot 3- or 0.5-mL IM dose of PPSV23 on Day 1</w:t>
            </w:r>
          </w:p>
        </w:tc>
        <w:tc>
          <w:tcPr>
            <w:tcW w:w="1807" w:type="dxa"/>
          </w:tcPr>
          <w:p w14:paraId="1B99D331"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Pneumococcal vaccine-naïve adults 18 to 49 years of age</w:t>
            </w:r>
          </w:p>
          <w:p w14:paraId="7747AE74"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p>
          <w:p w14:paraId="491267AA" w14:textId="13FC8610"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sz w:val="20"/>
                <w:szCs w:val="20"/>
              </w:rPr>
            </w:pPr>
            <w:r w:rsidRPr="00E76BBB">
              <w:rPr>
                <w:rFonts w:eastAsia="TimesNewRoman" w:cs="TimesNewRoman"/>
                <w:sz w:val="20"/>
                <w:szCs w:val="20"/>
              </w:rPr>
              <w:t>2162 participants were randomised (541 in V116 Lot 1 group, 540 in V116 Lot 2 group, 541 in V116 Lot 3 group, and 540 in the PPSV23 group)</w:t>
            </w:r>
          </w:p>
        </w:tc>
        <w:tc>
          <w:tcPr>
            <w:tcW w:w="1861" w:type="dxa"/>
          </w:tcPr>
          <w:p w14:paraId="59AFD945"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30 days post vaccination: immunogenicity</w:t>
            </w:r>
          </w:p>
          <w:p w14:paraId="4A2F1484"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p>
          <w:p w14:paraId="621FBF1F" w14:textId="0B32EDBD"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sz w:val="20"/>
                <w:szCs w:val="20"/>
              </w:rPr>
            </w:pPr>
            <w:r w:rsidRPr="00E76BBB">
              <w:rPr>
                <w:rFonts w:eastAsia="TimesNewRoman" w:cs="TimesNewRoman"/>
                <w:sz w:val="20"/>
                <w:szCs w:val="20"/>
              </w:rPr>
              <w:t>180 days post vaccination: safety</w:t>
            </w:r>
          </w:p>
        </w:tc>
      </w:tr>
      <w:tr w:rsidR="00E76BBB" w:rsidRPr="00E76BBB" w14:paraId="1093CB9D" w14:textId="77777777" w:rsidTr="00E76BBB">
        <w:tc>
          <w:tcPr>
            <w:cnfStyle w:val="001000000000" w:firstRow="0" w:lastRow="0" w:firstColumn="1" w:lastColumn="0" w:oddVBand="0" w:evenVBand="0" w:oddHBand="0" w:evenHBand="0" w:firstRowFirstColumn="0" w:firstRowLastColumn="0" w:lastRowFirstColumn="0" w:lastRowLastColumn="0"/>
            <w:tcW w:w="1150" w:type="dxa"/>
          </w:tcPr>
          <w:p w14:paraId="770445E7" w14:textId="3BC3D048" w:rsidR="00E76BBB" w:rsidRPr="00E76BBB" w:rsidRDefault="00E76BBB" w:rsidP="00E76BBB">
            <w:pPr>
              <w:rPr>
                <w:sz w:val="20"/>
                <w:szCs w:val="20"/>
              </w:rPr>
            </w:pPr>
            <w:r w:rsidRPr="00E76BBB">
              <w:rPr>
                <w:sz w:val="20"/>
                <w:szCs w:val="20"/>
              </w:rPr>
              <w:lastRenderedPageBreak/>
              <w:t>V116-005</w:t>
            </w:r>
          </w:p>
        </w:tc>
        <w:tc>
          <w:tcPr>
            <w:tcW w:w="1861" w:type="dxa"/>
          </w:tcPr>
          <w:p w14:paraId="621A2C6D"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A Phase 3 Randomised, Double-blind, Placebo-Controlled Clinical Study to evaluate safety, tolerability, and</w:t>
            </w:r>
          </w:p>
          <w:p w14:paraId="79FAB7A9" w14:textId="21273C5F"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immunogenicity of V116 administered Concomitantly with Influenza Vaccine in Adults 50 Years of Age or Older</w:t>
            </w:r>
          </w:p>
        </w:tc>
        <w:tc>
          <w:tcPr>
            <w:tcW w:w="1906" w:type="dxa"/>
          </w:tcPr>
          <w:p w14:paraId="7943DC21"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Multicentre, immunogenicity,</w:t>
            </w:r>
          </w:p>
          <w:p w14:paraId="3B60D31A"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safety, tolerability, parallel assignment, double-blind,</w:t>
            </w:r>
          </w:p>
          <w:p w14:paraId="2264BB44" w14:textId="0C8F62B1"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placebo-controlled</w:t>
            </w:r>
          </w:p>
        </w:tc>
        <w:tc>
          <w:tcPr>
            <w:tcW w:w="1530" w:type="dxa"/>
          </w:tcPr>
          <w:p w14:paraId="73C9D665"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Concomitant Group: 0.5 mL IM doses of: Day 1: V116 + QIV; Day 30: Placebo</w:t>
            </w:r>
          </w:p>
          <w:p w14:paraId="0D70F6B3" w14:textId="2132E671"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Sequential Group: 0.5 mL IM doses of: Day 1: Placebo+ QIV; Day 30: V116</w:t>
            </w:r>
          </w:p>
        </w:tc>
        <w:tc>
          <w:tcPr>
            <w:tcW w:w="1807" w:type="dxa"/>
          </w:tcPr>
          <w:p w14:paraId="38BF395E"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Adult males or females with or without prior administration of any pneumococcal vaccine</w:t>
            </w:r>
          </w:p>
          <w:p w14:paraId="1B08AD75"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Age: ≥50 years</w:t>
            </w:r>
          </w:p>
          <w:p w14:paraId="36F320F8"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p>
          <w:p w14:paraId="41B4E015" w14:textId="28449E2A"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1080 participants were randomised (n=540 concomitant group; n=540 sequential group).</w:t>
            </w:r>
          </w:p>
        </w:tc>
        <w:tc>
          <w:tcPr>
            <w:tcW w:w="1861" w:type="dxa"/>
          </w:tcPr>
          <w:p w14:paraId="6B748374"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30 days post vaccination: immunogenicity</w:t>
            </w:r>
          </w:p>
          <w:p w14:paraId="5305622A" w14:textId="6FE3DCF1"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210 days: safety</w:t>
            </w:r>
          </w:p>
        </w:tc>
      </w:tr>
      <w:tr w:rsidR="00E76BBB" w:rsidRPr="00E76BBB" w14:paraId="290C517D" w14:textId="77777777" w:rsidTr="00E76BBB">
        <w:tc>
          <w:tcPr>
            <w:cnfStyle w:val="001000000000" w:firstRow="0" w:lastRow="0" w:firstColumn="1" w:lastColumn="0" w:oddVBand="0" w:evenVBand="0" w:oddHBand="0" w:evenHBand="0" w:firstRowFirstColumn="0" w:firstRowLastColumn="0" w:lastRowFirstColumn="0" w:lastRowLastColumn="0"/>
            <w:tcW w:w="1150" w:type="dxa"/>
          </w:tcPr>
          <w:p w14:paraId="560DAFD1" w14:textId="1CFDA06E" w:rsidR="00E76BBB" w:rsidRPr="00E76BBB" w:rsidRDefault="00E76BBB" w:rsidP="00E76BBB">
            <w:pPr>
              <w:rPr>
                <w:sz w:val="20"/>
                <w:szCs w:val="20"/>
              </w:rPr>
            </w:pPr>
            <w:r w:rsidRPr="00E76BBB">
              <w:rPr>
                <w:sz w:val="20"/>
                <w:szCs w:val="20"/>
              </w:rPr>
              <w:t>V116-006</w:t>
            </w:r>
          </w:p>
        </w:tc>
        <w:tc>
          <w:tcPr>
            <w:tcW w:w="1861" w:type="dxa"/>
          </w:tcPr>
          <w:p w14:paraId="49004B77"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A Phase 3 Clinical Study to evaluate the safety, tolerability, and immunogenicity of V116 in</w:t>
            </w:r>
          </w:p>
          <w:p w14:paraId="661ECAC0" w14:textId="2B5BF43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Pneumococcal Vaccine-Experienced Adults 50 Years of Age or Older</w:t>
            </w:r>
          </w:p>
        </w:tc>
        <w:tc>
          <w:tcPr>
            <w:tcW w:w="1906" w:type="dxa"/>
          </w:tcPr>
          <w:p w14:paraId="01B4AF9C"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Multicentre, immunogenicity, safety, tolerability</w:t>
            </w:r>
          </w:p>
          <w:p w14:paraId="0BC1AE0B"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Cohort 1 (prior PPSV23): Parallel assignment, double-blind, active comparator</w:t>
            </w:r>
          </w:p>
          <w:p w14:paraId="203EA295"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Cohort 2 (prior PCV13):</w:t>
            </w:r>
          </w:p>
          <w:p w14:paraId="1DEFFCA6"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Parallel assignment, double-blind, active comparator</w:t>
            </w:r>
          </w:p>
          <w:p w14:paraId="4655222F" w14:textId="1ABC1E52"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 xml:space="preserve">Cohort 3(prior PCV13+PPSV23, PCV15+PPSV23, PPSV23+PCV13, PCV15): Single arm, </w:t>
            </w:r>
            <w:proofErr w:type="gramStart"/>
            <w:r w:rsidRPr="00E76BBB">
              <w:rPr>
                <w:rFonts w:eastAsia="TimesNewRoman" w:cs="TimesNewRoman"/>
                <w:sz w:val="20"/>
                <w:szCs w:val="20"/>
              </w:rPr>
              <w:t>open-label</w:t>
            </w:r>
            <w:proofErr w:type="gramEnd"/>
          </w:p>
        </w:tc>
        <w:tc>
          <w:tcPr>
            <w:tcW w:w="1530" w:type="dxa"/>
          </w:tcPr>
          <w:p w14:paraId="3DE3FFDA"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Cohort 1: 0.5 mL IM</w:t>
            </w:r>
          </w:p>
          <w:p w14:paraId="6EDB1809"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dose of V116 or PCV15 on Day 1</w:t>
            </w:r>
          </w:p>
          <w:p w14:paraId="6635FE83"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Cohort 2: 0.5 mL IM</w:t>
            </w:r>
          </w:p>
          <w:p w14:paraId="4071E180"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dose of V116 or PPSV23 on Day 1</w:t>
            </w:r>
          </w:p>
          <w:p w14:paraId="6BE4B347"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Cohort 3: 0.5 mL IM</w:t>
            </w:r>
          </w:p>
          <w:p w14:paraId="4B0D3745" w14:textId="3FBEAB72"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dose of V116 on Day 1</w:t>
            </w:r>
          </w:p>
        </w:tc>
        <w:tc>
          <w:tcPr>
            <w:tcW w:w="1807" w:type="dxa"/>
          </w:tcPr>
          <w:p w14:paraId="10C4099C"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Adult males/females aged ≥50 years with prior pneumococcal</w:t>
            </w:r>
          </w:p>
          <w:p w14:paraId="4BB16D4E"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vaccine experience.</w:t>
            </w:r>
          </w:p>
          <w:p w14:paraId="70BB15AF"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p>
          <w:p w14:paraId="543BDE4C"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 xml:space="preserve"> 717 participants were randomised/allocated:</w:t>
            </w:r>
          </w:p>
          <w:p w14:paraId="17CBF00A"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 Cohort 1: 350 participants (231 in the V116 group; 119 in the PCV15 group)</w:t>
            </w:r>
          </w:p>
          <w:p w14:paraId="05C46EBA"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 Cohort 2: 261 participants (176 in the V116 group; 85 in the PPSV23 group)</w:t>
            </w:r>
          </w:p>
          <w:p w14:paraId="550E35DF" w14:textId="5BD886CC"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 Cohort 3: 106 participants in the V116 group</w:t>
            </w:r>
          </w:p>
        </w:tc>
        <w:tc>
          <w:tcPr>
            <w:tcW w:w="1861" w:type="dxa"/>
          </w:tcPr>
          <w:p w14:paraId="1CB826EA" w14:textId="77777777"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30 days post vaccination: immunogenicity</w:t>
            </w:r>
          </w:p>
          <w:p w14:paraId="1D3583C1" w14:textId="5FB99A93" w:rsidR="00E76BBB" w:rsidRPr="00E76BBB" w:rsidRDefault="00E76BBB" w:rsidP="00E76BBB">
            <w:pPr>
              <w:cnfStyle w:val="000000000000" w:firstRow="0" w:lastRow="0" w:firstColumn="0" w:lastColumn="0" w:oddVBand="0" w:evenVBand="0" w:oddHBand="0" w:evenHBand="0" w:firstRowFirstColumn="0" w:firstRowLastColumn="0" w:lastRowFirstColumn="0" w:lastRowLastColumn="0"/>
              <w:rPr>
                <w:rFonts w:eastAsia="TimesNewRoman" w:cs="TimesNewRoman"/>
                <w:sz w:val="20"/>
                <w:szCs w:val="20"/>
              </w:rPr>
            </w:pPr>
            <w:r w:rsidRPr="00E76BBB">
              <w:rPr>
                <w:rFonts w:eastAsia="TimesNewRoman" w:cs="TimesNewRoman"/>
                <w:sz w:val="20"/>
                <w:szCs w:val="20"/>
              </w:rPr>
              <w:t>180 days</w:t>
            </w:r>
            <w:r w:rsidRPr="00E76BBB">
              <w:rPr>
                <w:sz w:val="20"/>
                <w:szCs w:val="20"/>
              </w:rPr>
              <w:t xml:space="preserve"> </w:t>
            </w:r>
            <w:r w:rsidRPr="00E76BBB">
              <w:rPr>
                <w:rFonts w:eastAsia="TimesNewRoman" w:cs="TimesNewRoman"/>
                <w:sz w:val="20"/>
                <w:szCs w:val="20"/>
              </w:rPr>
              <w:t>post vaccination: safety</w:t>
            </w:r>
          </w:p>
        </w:tc>
      </w:tr>
    </w:tbl>
    <w:bookmarkEnd w:id="46"/>
    <w:p w14:paraId="09125DDA" w14:textId="392DEFD7" w:rsidR="00BF7D19" w:rsidRPr="00BF7D19" w:rsidRDefault="00BF7D19" w:rsidP="00E76BBB">
      <w:pPr>
        <w:pStyle w:val="TableDescription"/>
      </w:pPr>
      <w:r w:rsidRPr="00BF7D19">
        <w:t xml:space="preserve">PPSV23: </w:t>
      </w:r>
      <w:bookmarkStart w:id="47" w:name="_Hlk180077490"/>
      <w:r w:rsidRPr="00BF7D19">
        <w:t xml:space="preserve">23-valent pneumococcal polysaccharide vaccine </w:t>
      </w:r>
      <w:bookmarkEnd w:id="47"/>
      <w:r w:rsidRPr="00BF7D19">
        <w:t xml:space="preserve">PNEUMOVAX™23, V116: 21-valent PCV, V116-1 contains 2 </w:t>
      </w:r>
      <w:proofErr w:type="spellStart"/>
      <w:r w:rsidRPr="00BF7D19">
        <w:t>μg</w:t>
      </w:r>
      <w:proofErr w:type="spellEnd"/>
      <w:r w:rsidRPr="00BF7D19">
        <w:t xml:space="preserve"> per pneumococcal polysaccharide, V116-2 contains 4 </w:t>
      </w:r>
      <w:proofErr w:type="spellStart"/>
      <w:r w:rsidRPr="00BF7D19">
        <w:t>μg</w:t>
      </w:r>
      <w:proofErr w:type="spellEnd"/>
      <w:r w:rsidRPr="00BF7D19">
        <w:t xml:space="preserve"> per pneumococcal polysaccharide, PCV13: 13-valent Pneumococcal Conjugate Vaccine, Prevenar 13, PCV15: 15-valent Pneumococcal Conjugate Vaccine, Vaxneuvance</w:t>
      </w:r>
    </w:p>
    <w:p w14:paraId="7B2A8DCB" w14:textId="5909AEB6" w:rsidR="00832A4A" w:rsidRDefault="00625B53" w:rsidP="00B614FC">
      <w:pPr>
        <w:pStyle w:val="Heading6"/>
      </w:pPr>
      <w:r w:rsidRPr="00842BF9">
        <w:lastRenderedPageBreak/>
        <w:t>Pivotal Stu</w:t>
      </w:r>
      <w:r w:rsidR="00825C62" w:rsidRPr="00842BF9">
        <w:t xml:space="preserve">dy: </w:t>
      </w:r>
      <w:r w:rsidR="00832A4A" w:rsidRPr="00842BF9">
        <w:t>V116-003 (pivotal), STRIDE 3</w:t>
      </w:r>
      <w:r w:rsidR="00832A4A" w:rsidRPr="00842BF9">
        <w:rPr>
          <w:rStyle w:val="FootnoteReference"/>
        </w:rPr>
        <w:footnoteReference w:id="8"/>
      </w:r>
    </w:p>
    <w:p w14:paraId="2A8EA9F8" w14:textId="3C73A86F" w:rsidR="00832A4A" w:rsidRDefault="00F31C6D" w:rsidP="00825C62">
      <w:r>
        <w:t>This study was a</w:t>
      </w:r>
      <w:r w:rsidR="003C5570">
        <w:t xml:space="preserve"> p</w:t>
      </w:r>
      <w:r w:rsidR="00832A4A" w:rsidRPr="002F0191">
        <w:t xml:space="preserve">hase 3, </w:t>
      </w:r>
      <w:r w:rsidR="003C5570">
        <w:t>r</w:t>
      </w:r>
      <w:r w:rsidR="00832A4A" w:rsidRPr="002F0191">
        <w:t>andomi</w:t>
      </w:r>
      <w:r w:rsidR="00832A4A">
        <w:t>s</w:t>
      </w:r>
      <w:r w:rsidR="00832A4A" w:rsidRPr="002F0191">
        <w:t xml:space="preserve">ed, </w:t>
      </w:r>
      <w:r w:rsidR="003C5570">
        <w:t>d</w:t>
      </w:r>
      <w:r w:rsidR="00832A4A" w:rsidRPr="002F0191">
        <w:t xml:space="preserve">ouble-blind, </w:t>
      </w:r>
      <w:r w:rsidR="003C5570">
        <w:t>a</w:t>
      </w:r>
      <w:r w:rsidR="00832A4A" w:rsidRPr="002F0191">
        <w:t xml:space="preserve">ctive </w:t>
      </w:r>
      <w:r w:rsidR="003C5570">
        <w:t>c</w:t>
      </w:r>
      <w:r w:rsidR="00832A4A" w:rsidRPr="002F0191">
        <w:t xml:space="preserve">omparator-controlled </w:t>
      </w:r>
      <w:r w:rsidR="003C5570">
        <w:t>c</w:t>
      </w:r>
      <w:r w:rsidR="00832A4A" w:rsidRPr="002F0191">
        <w:t xml:space="preserve">linical </w:t>
      </w:r>
      <w:r w:rsidR="003C5570">
        <w:t>s</w:t>
      </w:r>
      <w:r w:rsidR="00832A4A" w:rsidRPr="002F0191">
        <w:t xml:space="preserve">tudy to </w:t>
      </w:r>
      <w:r w:rsidR="003C5570">
        <w:t>e</w:t>
      </w:r>
      <w:r w:rsidR="00832A4A" w:rsidRPr="002F0191">
        <w:t xml:space="preserve">valuate the </w:t>
      </w:r>
      <w:r w:rsidR="003C5570">
        <w:t>s</w:t>
      </w:r>
      <w:r w:rsidR="00832A4A" w:rsidRPr="002F0191">
        <w:t xml:space="preserve">afety, </w:t>
      </w:r>
      <w:r w:rsidR="003C5570">
        <w:t>t</w:t>
      </w:r>
      <w:r w:rsidR="00832A4A" w:rsidRPr="002F0191">
        <w:t xml:space="preserve">olerability, and </w:t>
      </w:r>
      <w:r w:rsidR="003C5570">
        <w:t>i</w:t>
      </w:r>
      <w:r w:rsidR="00832A4A" w:rsidRPr="002F0191">
        <w:t xml:space="preserve">mmunogenicity of V116 in Pneumococcal </w:t>
      </w:r>
      <w:r w:rsidR="00CC16AB">
        <w:t>v</w:t>
      </w:r>
      <w:r w:rsidR="00832A4A" w:rsidRPr="002F0191">
        <w:t xml:space="preserve">accine-naïve </w:t>
      </w:r>
      <w:r w:rsidR="003C5570">
        <w:t>a</w:t>
      </w:r>
      <w:r w:rsidR="00832A4A" w:rsidRPr="002F0191">
        <w:t>dults</w:t>
      </w:r>
      <w:r w:rsidR="00CC16AB">
        <w:t>.</w:t>
      </w:r>
    </w:p>
    <w:p w14:paraId="3E1B676F" w14:textId="77777777" w:rsidR="00832A4A" w:rsidRPr="007778DF" w:rsidRDefault="00832A4A" w:rsidP="007778DF">
      <w:pPr>
        <w:rPr>
          <w:b/>
          <w:bCs/>
        </w:rPr>
      </w:pPr>
      <w:r w:rsidRPr="007778DF">
        <w:rPr>
          <w:b/>
          <w:bCs/>
        </w:rPr>
        <w:t>Objectives and endpoints</w:t>
      </w:r>
    </w:p>
    <w:p w14:paraId="0FD3DF6E" w14:textId="32C0C5E2" w:rsidR="009E7275" w:rsidRPr="009E7275" w:rsidRDefault="009E7275" w:rsidP="005746FC">
      <w:pPr>
        <w:rPr>
          <w:lang w:val="en"/>
        </w:rPr>
      </w:pPr>
      <w:r w:rsidRPr="009E7275">
        <w:rPr>
          <w:lang w:val="en"/>
        </w:rPr>
        <w:t>Objectives and endpoints were evaluated in pneumococcal vaccine-naïve adults in Cohort 1</w:t>
      </w:r>
      <w:r w:rsidR="005746FC">
        <w:rPr>
          <w:lang w:val="en"/>
        </w:rPr>
        <w:t xml:space="preserve"> </w:t>
      </w:r>
      <w:r w:rsidRPr="009E7275">
        <w:rPr>
          <w:lang w:val="en"/>
        </w:rPr>
        <w:t>(≥50 years of age) and/or Cohort 2 (18 to 49 years of age) who are administered a single dose</w:t>
      </w:r>
      <w:r w:rsidR="005746FC">
        <w:rPr>
          <w:lang w:val="en"/>
        </w:rPr>
        <w:t xml:space="preserve"> </w:t>
      </w:r>
      <w:r w:rsidRPr="009E7275">
        <w:rPr>
          <w:lang w:val="en"/>
        </w:rPr>
        <w:t>of V116 or PCV20.</w:t>
      </w:r>
    </w:p>
    <w:p w14:paraId="785C33BC" w14:textId="64311E28" w:rsidR="001159E8" w:rsidRPr="001159E8" w:rsidRDefault="001159E8" w:rsidP="001159E8">
      <w:r w:rsidRPr="001159E8">
        <w:t xml:space="preserve">Primary objective </w:t>
      </w:r>
      <w:r w:rsidR="00C300C2">
        <w:t>safety</w:t>
      </w:r>
      <w:r w:rsidRPr="001159E8">
        <w:t>:</w:t>
      </w:r>
    </w:p>
    <w:p w14:paraId="2DA31DB7" w14:textId="5C01EDA6" w:rsidR="00832A4A" w:rsidRDefault="00832A4A" w:rsidP="00825C62">
      <w:r>
        <w:t>To evaluate the safety and tolerability of V116 as assessed by the proportion of participants with adverse events (AEs)</w:t>
      </w:r>
      <w:r w:rsidR="003D31D0">
        <w:t>.</w:t>
      </w:r>
    </w:p>
    <w:p w14:paraId="65B7BC36" w14:textId="77777777" w:rsidR="00832A4A" w:rsidRDefault="00832A4A" w:rsidP="00825C62">
      <w:r w:rsidRPr="00F62CB5">
        <w:t xml:space="preserve">Primary </w:t>
      </w:r>
      <w:r>
        <w:t>o</w:t>
      </w:r>
      <w:r w:rsidRPr="00F62CB5">
        <w:t>bjective</w:t>
      </w:r>
      <w:r>
        <w:t>s</w:t>
      </w:r>
      <w:r w:rsidRPr="00F62CB5">
        <w:t xml:space="preserve"> </w:t>
      </w:r>
      <w:r>
        <w:t>i</w:t>
      </w:r>
      <w:r w:rsidRPr="00F62CB5">
        <w:t>mmunogenicity:</w:t>
      </w:r>
    </w:p>
    <w:p w14:paraId="54BC4F70" w14:textId="523D879E" w:rsidR="00832A4A" w:rsidRPr="00F62CB5" w:rsidRDefault="00832A4A" w:rsidP="00AD4577">
      <w:pPr>
        <w:pStyle w:val="ListBullet"/>
      </w:pPr>
      <w:r w:rsidRPr="00F62CB5">
        <w:t>Cohort 1: To compare the serotype-specific OPA GMTs</w:t>
      </w:r>
      <w:r w:rsidR="00140062">
        <w:t xml:space="preserve"> (g</w:t>
      </w:r>
      <w:r w:rsidR="00140062" w:rsidRPr="00140062">
        <w:t>eometric mean titre</w:t>
      </w:r>
      <w:r w:rsidR="00140062">
        <w:t xml:space="preserve">) </w:t>
      </w:r>
      <w:r w:rsidR="00140062" w:rsidRPr="00F62CB5">
        <w:t>at</w:t>
      </w:r>
      <w:r w:rsidRPr="00F62CB5">
        <w:t xml:space="preserve"> 30 days postvaccination with V116 versus PCV20; to compare the proportions of participants with a ≥4-fold rise in serotype-specific OPA responses from baseline to 30 days postvaccination with V116 vs. PCV20 for the unique serotypes in V116</w:t>
      </w:r>
      <w:r w:rsidR="00E62452">
        <w:t>.</w:t>
      </w:r>
      <w:r w:rsidRPr="00F62CB5">
        <w:t xml:space="preserve"> </w:t>
      </w:r>
    </w:p>
    <w:p w14:paraId="57406423" w14:textId="0D18ACB5" w:rsidR="00832A4A" w:rsidRDefault="00832A4A" w:rsidP="00AD4577">
      <w:pPr>
        <w:pStyle w:val="ListBullet"/>
      </w:pPr>
      <w:r w:rsidRPr="00F62CB5">
        <w:t>Cohort 2: To compare the serotype-specific OPA GMTs in adults 18 to 49 yrs of age from Cohort 2 to adults 50 to 64 yrs of age from Cohort 1 at 30 days postvaccination with V116</w:t>
      </w:r>
      <w:r w:rsidR="00E62452">
        <w:t>.</w:t>
      </w:r>
    </w:p>
    <w:p w14:paraId="5C4E747F" w14:textId="67B6113E" w:rsidR="00832A4A" w:rsidRPr="00F62CB5" w:rsidRDefault="00832A4A" w:rsidP="00BA510D">
      <w:pPr>
        <w:pStyle w:val="ListBullet"/>
        <w:numPr>
          <w:ilvl w:val="0"/>
          <w:numId w:val="0"/>
        </w:numPr>
      </w:pPr>
      <w:r w:rsidRPr="00F62CB5">
        <w:t>Secondary objectives immunogenicity</w:t>
      </w:r>
      <w:r w:rsidR="003D31D0">
        <w:t>:</w:t>
      </w:r>
    </w:p>
    <w:p w14:paraId="48D8078D" w14:textId="77777777" w:rsidR="00832A4A" w:rsidRDefault="00832A4A" w:rsidP="00AD4577">
      <w:pPr>
        <w:pStyle w:val="ListBullet"/>
      </w:pPr>
      <w:r>
        <w:t>Cohort 1 and Cohort 2: To evaluate serotype-specific cross-reactive OPA responses at 30 days post vaccination with V116 in adults aged ≥50 yrs of age from Cohort 1 and adults 18-49 yrs of age from Cohort 2 for serotypes within a serogroup.</w:t>
      </w:r>
    </w:p>
    <w:p w14:paraId="22A676C7" w14:textId="77777777" w:rsidR="00832A4A" w:rsidRDefault="00832A4A" w:rsidP="00AD4577">
      <w:pPr>
        <w:pStyle w:val="ListBullet"/>
      </w:pPr>
      <w:r>
        <w:t>Cohort 1: To evaluate the serotype-specific IgG GMCs at 30 days postvaccination with V116 compared with PCV20.</w:t>
      </w:r>
    </w:p>
    <w:p w14:paraId="67277FDD" w14:textId="77777777" w:rsidR="00832A4A" w:rsidRPr="00917E8D" w:rsidRDefault="00832A4A" w:rsidP="00AD4577">
      <w:pPr>
        <w:pStyle w:val="ListBullet"/>
      </w:pPr>
      <w:r>
        <w:t>Cohort 1: To evaluate the serotype specific geometric mean fold rise (GMFR) and proportions of participants with a ≥4-fold rise in serotype-specific OPA and IgG responses from baseline to 30 days postvaccination with V116 and separately for PCV20.</w:t>
      </w:r>
    </w:p>
    <w:p w14:paraId="71613DBD" w14:textId="77777777" w:rsidR="00832A4A" w:rsidRPr="007778DF" w:rsidRDefault="00832A4A" w:rsidP="007778DF">
      <w:pPr>
        <w:rPr>
          <w:b/>
          <w:bCs/>
        </w:rPr>
      </w:pPr>
      <w:r w:rsidRPr="007778DF">
        <w:rPr>
          <w:b/>
          <w:bCs/>
        </w:rPr>
        <w:t>Inclusion criteria</w:t>
      </w:r>
    </w:p>
    <w:p w14:paraId="3A8A708D" w14:textId="77777777" w:rsidR="00832A4A" w:rsidRDefault="00832A4A" w:rsidP="00825C62">
      <w:pPr>
        <w:rPr>
          <w:vertAlign w:val="superscript"/>
        </w:rPr>
      </w:pPr>
      <w:r>
        <w:t>Adults who were naive to pneumococcal vaccination, aged 18 years or over, and with or without chronic stable medical conditions were eligible for inclusion. Key exclusion criteria were history of culture-positive pneumococcal disease, impaired immunological function, and receipt of systemic corticosteroids or immunosuppressive therapy.</w:t>
      </w:r>
      <w:r w:rsidRPr="00E60C05">
        <w:rPr>
          <w:vertAlign w:val="superscript"/>
        </w:rPr>
        <w:t>4</w:t>
      </w:r>
    </w:p>
    <w:p w14:paraId="6C0C927C" w14:textId="77777777" w:rsidR="00832A4A" w:rsidRPr="007778DF" w:rsidRDefault="00832A4A" w:rsidP="007778DF">
      <w:pPr>
        <w:rPr>
          <w:b/>
          <w:bCs/>
        </w:rPr>
      </w:pPr>
      <w:r w:rsidRPr="007778DF">
        <w:rPr>
          <w:b/>
          <w:bCs/>
        </w:rPr>
        <w:t>Immunogenicity and safety endpoints</w:t>
      </w:r>
    </w:p>
    <w:p w14:paraId="395C80E7" w14:textId="77777777" w:rsidR="00832A4A" w:rsidRDefault="00832A4A" w:rsidP="00825C62">
      <w:r>
        <w:t>For the objectives in this study, the serotypes are categorised as follows:</w:t>
      </w:r>
    </w:p>
    <w:p w14:paraId="2CCA0073" w14:textId="047893F1" w:rsidR="00832A4A" w:rsidRPr="00BA510D" w:rsidRDefault="00832A4A" w:rsidP="00BA510D">
      <w:pPr>
        <w:pStyle w:val="ListBullet"/>
      </w:pPr>
      <w:r w:rsidRPr="00BA510D">
        <w:t>10 common serotypes in V116 and PCV20 (3, 6A, 7F, 8, 10A, 11A, 12F, 19A, 22F, and 33F)</w:t>
      </w:r>
    </w:p>
    <w:p w14:paraId="5C801025" w14:textId="714F7BB3" w:rsidR="00832A4A" w:rsidRPr="00BA510D" w:rsidRDefault="00832A4A" w:rsidP="00BA510D">
      <w:pPr>
        <w:pStyle w:val="ListBullet"/>
      </w:pPr>
      <w:r w:rsidRPr="00BA510D">
        <w:t>11 unique serotypes in V116 (9N, 15A, 15C, 16F, 17F, 20A, 23A, 23B, 24F, 31, and 35B)</w:t>
      </w:r>
    </w:p>
    <w:p w14:paraId="37F84983" w14:textId="4BE50574" w:rsidR="00832A4A" w:rsidRPr="00BA510D" w:rsidRDefault="00832A4A" w:rsidP="00BA510D">
      <w:pPr>
        <w:pStyle w:val="ListBullet"/>
      </w:pPr>
      <w:r w:rsidRPr="00BA510D">
        <w:t>2 cross-reactive serotypes (6C and 15B)</w:t>
      </w:r>
    </w:p>
    <w:p w14:paraId="4B28F9E9" w14:textId="77777777" w:rsidR="00832A4A" w:rsidRDefault="00832A4A" w:rsidP="004B4DBB">
      <w:r w:rsidRPr="00E60C05">
        <w:lastRenderedPageBreak/>
        <w:t>Primary safety endpoints</w:t>
      </w:r>
      <w:r>
        <w:t>: Solicited injection-site AEs from Day 1 through Day 5 postvaccination; Solicited systemic AEs from Day 1 through Day 5 postvaccination; vaccine-related SAEs from Day 1 through the duration of participation in the study.</w:t>
      </w:r>
    </w:p>
    <w:p w14:paraId="7E0838E1" w14:textId="77777777" w:rsidR="00832A4A" w:rsidRDefault="00832A4A" w:rsidP="00825C62">
      <w:r w:rsidRPr="00E60C05">
        <w:t>Primary Immunogenicity endpoints:</w:t>
      </w:r>
      <w:r>
        <w:t xml:space="preserve"> Serotype-specific OPA responses.</w:t>
      </w:r>
    </w:p>
    <w:p w14:paraId="5448B1B7" w14:textId="77777777" w:rsidR="000A2685" w:rsidRPr="004837DC" w:rsidRDefault="00832A4A" w:rsidP="004837DC">
      <w:pPr>
        <w:rPr>
          <w:i/>
          <w:iCs/>
        </w:rPr>
      </w:pPr>
      <w:r w:rsidRPr="004837DC">
        <w:rPr>
          <w:rStyle w:val="Heading7Char"/>
          <w:rFonts w:ascii="Cambria" w:hAnsi="Cambria"/>
          <w:i w:val="0"/>
          <w:iCs w:val="0"/>
          <w:color w:val="auto"/>
        </w:rPr>
        <w:t>Secondary Immunogenicity endpoints:</w:t>
      </w:r>
      <w:r w:rsidRPr="004837DC">
        <w:rPr>
          <w:i/>
          <w:iCs/>
        </w:rPr>
        <w:t xml:space="preserve"> </w:t>
      </w:r>
    </w:p>
    <w:p w14:paraId="1C7B1CC1" w14:textId="755B8D4D" w:rsidR="00832A4A" w:rsidRDefault="00832A4A" w:rsidP="006A65A0">
      <w:r>
        <w:t>Serotype-specific OPA responses, and IgG responses.</w:t>
      </w:r>
    </w:p>
    <w:p w14:paraId="3A0AEC42" w14:textId="77777777" w:rsidR="00832A4A" w:rsidRPr="00BA510D" w:rsidRDefault="00832A4A" w:rsidP="00BA510D">
      <w:pPr>
        <w:pStyle w:val="ListBullet"/>
      </w:pPr>
      <w:r w:rsidRPr="00BA510D">
        <w:t>Cohort 1: Participants aged ≥50 yrs were randomised (1:1 ratio) to receive V116 or PCV20. Randomisation was stratified by age at enrolment (50-64 yrs, 65-74 yrs, 75-84 yrs, and ≥85 yrs).</w:t>
      </w:r>
    </w:p>
    <w:p w14:paraId="50167924" w14:textId="77777777" w:rsidR="00832A4A" w:rsidRPr="00BA510D" w:rsidRDefault="00832A4A" w:rsidP="00BA510D">
      <w:pPr>
        <w:pStyle w:val="ListBullet"/>
      </w:pPr>
      <w:r w:rsidRPr="00BA510D">
        <w:t>Cohort 2: Participants aged 18-49 yrs were randomised (2:1 ratio) to receive V116 or PCV20. The comparator vaccine was PCV20.</w:t>
      </w:r>
    </w:p>
    <w:p w14:paraId="0B5D12DC" w14:textId="77777777" w:rsidR="00832A4A" w:rsidRPr="004837DC" w:rsidRDefault="00832A4A" w:rsidP="004837DC">
      <w:pPr>
        <w:rPr>
          <w:b/>
          <w:bCs/>
        </w:rPr>
      </w:pPr>
      <w:r w:rsidRPr="004837DC">
        <w:rPr>
          <w:b/>
          <w:bCs/>
        </w:rPr>
        <w:t>Results</w:t>
      </w:r>
    </w:p>
    <w:p w14:paraId="0CA94702" w14:textId="03ED93F7" w:rsidR="00832A4A" w:rsidRPr="004837DC" w:rsidRDefault="00832A4A" w:rsidP="00832A4A">
      <w:r w:rsidRPr="004837DC">
        <w:t>Participant flow</w:t>
      </w:r>
    </w:p>
    <w:p w14:paraId="5515DD56" w14:textId="77777777" w:rsidR="00832A4A" w:rsidRDefault="00832A4A" w:rsidP="00832A4A">
      <w:r w:rsidRPr="006E4204">
        <w:t>2663 participants were randomised with 2362 participants in Cohort 1 (1181 in each intervention g</w:t>
      </w:r>
      <w:r>
        <w:t>rou</w:t>
      </w:r>
      <w:r w:rsidRPr="006E4204">
        <w:t>p) and 301 in Cohort 2 (201 in the V116 and 100 in the PCV20 intervention g</w:t>
      </w:r>
      <w:r>
        <w:t>rou</w:t>
      </w:r>
      <w:r w:rsidRPr="006E4204">
        <w:t>p).</w:t>
      </w:r>
    </w:p>
    <w:p w14:paraId="42D8FC44" w14:textId="1D1E5D1E" w:rsidR="00832A4A" w:rsidRPr="006E7D5C" w:rsidRDefault="00832A4A" w:rsidP="00832A4A">
      <w:r w:rsidRPr="006E7D5C">
        <w:t>Participant Disposition</w:t>
      </w:r>
    </w:p>
    <w:p w14:paraId="1952963F" w14:textId="77777777" w:rsidR="00832A4A" w:rsidRDefault="00832A4A" w:rsidP="00832A4A">
      <w:r>
        <w:t>Cohort 1: V116 group: 1181 randomised, 1179 vaccinated, 1160 completed, 21 discontinued; PCV20 group: 1181 randomised, 1177 vaccinated, 1152 completed, 29 discontinued.</w:t>
      </w:r>
    </w:p>
    <w:p w14:paraId="105AA4B0" w14:textId="77777777" w:rsidR="00832A4A" w:rsidRDefault="00832A4A" w:rsidP="00832A4A">
      <w:r>
        <w:t>Cohort 2: V116 group: 201 randomised, 200 vaccinated, 195 completed, 6 discontinued; PCV20 group: 100 randomised, 100 vaccinated, 96 completed, 4 discontinued.</w:t>
      </w:r>
    </w:p>
    <w:p w14:paraId="006CB774" w14:textId="77777777" w:rsidR="00832A4A" w:rsidRPr="006E4204" w:rsidRDefault="00832A4A" w:rsidP="00832A4A">
      <w:r>
        <w:t>Demographic and baseline characteristics were generally similar between intervention groups.</w:t>
      </w:r>
    </w:p>
    <w:p w14:paraId="0BAFC5B5" w14:textId="77777777" w:rsidR="00832A4A" w:rsidRPr="00394479" w:rsidRDefault="00832A4A" w:rsidP="00394479">
      <w:pPr>
        <w:rPr>
          <w:b/>
          <w:bCs/>
        </w:rPr>
      </w:pPr>
      <w:r w:rsidRPr="00394479">
        <w:rPr>
          <w:b/>
          <w:bCs/>
        </w:rPr>
        <w:t>Immunogenicity</w:t>
      </w:r>
    </w:p>
    <w:p w14:paraId="71406786" w14:textId="77777777" w:rsidR="00832A4A" w:rsidRPr="00394479" w:rsidRDefault="00832A4A" w:rsidP="00394479">
      <w:r w:rsidRPr="00394479">
        <w:t>Primary objectives immunogenicity</w:t>
      </w:r>
    </w:p>
    <w:p w14:paraId="4ED0776A" w14:textId="0CCD0652" w:rsidR="00832A4A" w:rsidRPr="00D91221" w:rsidRDefault="00832A4A" w:rsidP="00BA510D">
      <w:pPr>
        <w:pStyle w:val="ListBullet"/>
      </w:pPr>
      <w:r w:rsidRPr="00D91221">
        <w:t xml:space="preserve">In adults </w:t>
      </w:r>
      <w:r w:rsidR="008E438B">
        <w:t xml:space="preserve">equal to </w:t>
      </w:r>
      <w:r w:rsidR="00AF11BA">
        <w:t>or</w:t>
      </w:r>
      <w:r w:rsidR="008E438B">
        <w:t xml:space="preserve"> over </w:t>
      </w:r>
      <w:r w:rsidRPr="00D91221">
        <w:t>50 yrs of age (Cohort 1), V116 met the predefined criterion for noninferiority to PCV20 (</w:t>
      </w:r>
      <w:r>
        <w:t>lower bound</w:t>
      </w:r>
      <w:r w:rsidRPr="00D91221">
        <w:t xml:space="preserve"> </w:t>
      </w:r>
      <w:r>
        <w:t>(</w:t>
      </w:r>
      <w:r w:rsidRPr="00D91221">
        <w:t>LB</w:t>
      </w:r>
      <w:r>
        <w:t>)</w:t>
      </w:r>
      <w:r w:rsidRPr="00D91221">
        <w:t xml:space="preserve"> of 95% CI of the OPA GMT ratio [V116/PCV20] &gt;0.5) for each of the 10 common serotypes at 30 days postvaccination</w:t>
      </w:r>
      <w:r w:rsidR="00A47887">
        <w:t xml:space="preserve"> (Figure 1</w:t>
      </w:r>
      <w:r w:rsidR="00530342">
        <w:t>a</w:t>
      </w:r>
      <w:r w:rsidR="00A47887">
        <w:t>).</w:t>
      </w:r>
    </w:p>
    <w:p w14:paraId="2E82018A" w14:textId="13CC919D" w:rsidR="00832A4A" w:rsidRDefault="00832A4A" w:rsidP="00BA510D">
      <w:pPr>
        <w:pStyle w:val="ListBullet"/>
      </w:pPr>
      <w:r w:rsidRPr="00D91221">
        <w:t xml:space="preserve">In adults </w:t>
      </w:r>
      <w:r w:rsidR="008E438B" w:rsidRPr="008E438B">
        <w:t xml:space="preserve">equal to </w:t>
      </w:r>
      <w:r w:rsidR="00AF11BA">
        <w:t>or</w:t>
      </w:r>
      <w:r w:rsidR="008E438B" w:rsidRPr="008E438B">
        <w:t xml:space="preserve"> over </w:t>
      </w:r>
      <w:r w:rsidRPr="00D91221">
        <w:t xml:space="preserve">50 yrs of age (Cohort 1), V116 met the predefined </w:t>
      </w:r>
      <w:r>
        <w:t xml:space="preserve">criterion </w:t>
      </w:r>
      <w:r w:rsidRPr="00D91221">
        <w:t>for superiority to PCV20 (LB of the 95% CI of the OPA GMT ratio [V116/PCV20] &gt;2.0) for 10 of 11 serotypes unique to V116 at 30 days postvaccination. V116 did not meet the predefined criterion for superiority to PCV20 for serotype 15C (LB of the 95% CI of the OPA GMT ratio was 1.77)</w:t>
      </w:r>
      <w:r w:rsidR="00D4219E">
        <w:t xml:space="preserve"> (Figure 1b)</w:t>
      </w:r>
      <w:r w:rsidR="0097527D">
        <w:t>.</w:t>
      </w:r>
    </w:p>
    <w:p w14:paraId="4C81D16A" w14:textId="397E982F" w:rsidR="00832A4A" w:rsidRDefault="00832A4A" w:rsidP="00BA510D">
      <w:pPr>
        <w:pStyle w:val="ListBullet"/>
      </w:pPr>
      <w:r>
        <w:t xml:space="preserve">In adults </w:t>
      </w:r>
      <w:r w:rsidR="008E438B" w:rsidRPr="008E438B">
        <w:t xml:space="preserve">equal to or over </w:t>
      </w:r>
      <w:r>
        <w:t xml:space="preserve">50 yrs of age (Cohort 1), V116 met the predefined criterion for superiority to PCV20 (LB of 95% CI of the differences [V116 – PCV20] &gt;0.1 [10 percentage points]) for 10 of 11 serotypes unique to V116 based on the proportion of participants with a ≥4-fold rise in serotype-specific OPA responses from baseline to 30 days postvaccination. V116 did not meet the predefined criterion for superiority to PCV20 for serotype 15C (LB of 95% CI of the percentage point difference [V116 –PCV20] was 5.6 percentage points). </w:t>
      </w:r>
    </w:p>
    <w:p w14:paraId="2B4BB7E2" w14:textId="3ECA8A74" w:rsidR="00832A4A" w:rsidRDefault="00832A4A" w:rsidP="00930E06">
      <w:pPr>
        <w:pStyle w:val="ListBullet"/>
      </w:pPr>
      <w:r>
        <w:t>The predefined criteria for immunobridging were met for V116 in participants 18-49 yrs of age (Cohort 2) compared with V116 in participants 50-64 yrs of age (Cohort 1) for all 21</w:t>
      </w:r>
      <w:r w:rsidRPr="00E03296">
        <w:t xml:space="preserve"> serotypes (LB of the 95% CI of the OPA GMT ratio [V116 18 to 49 Yrs g</w:t>
      </w:r>
      <w:r>
        <w:t>rou</w:t>
      </w:r>
      <w:r w:rsidRPr="00E03296">
        <w:t>p/V116 50 to 64 Yrs g</w:t>
      </w:r>
      <w:r>
        <w:t>rou</w:t>
      </w:r>
      <w:r w:rsidRPr="00E03296">
        <w:t>p] &gt;0.5) as assessed by serotype-specific OPA GMTs at 30 days postvaccination</w:t>
      </w:r>
      <w:r w:rsidR="00647934">
        <w:t xml:space="preserve"> (Figure 2)</w:t>
      </w:r>
      <w:r>
        <w:t>.</w:t>
      </w:r>
    </w:p>
    <w:p w14:paraId="0817B544" w14:textId="201D506F" w:rsidR="007A5D07" w:rsidRPr="008E1AC8" w:rsidRDefault="007A5D07" w:rsidP="00DF2388">
      <w:pPr>
        <w:pStyle w:val="FigureTitle"/>
        <w:rPr>
          <w:vertAlign w:val="superscript"/>
        </w:rPr>
      </w:pPr>
      <w:r w:rsidRPr="007A5D07">
        <w:lastRenderedPageBreak/>
        <w:t xml:space="preserve">Figure </w:t>
      </w:r>
      <w:r w:rsidR="0004482F">
        <w:t>1</w:t>
      </w:r>
      <w:r w:rsidRPr="007A5D07">
        <w:t>. Analysis of OPA GMTs on day 30 in cohort 1 (adults ≥50 years) (A) Non-inferiority analysis for the ten serotypes in both V116 and PCV20. (B) Superiority analysis for the 11 serotypes unique to V116.</w:t>
      </w:r>
      <w:r w:rsidR="008E1AC8" w:rsidRPr="008E1AC8">
        <w:rPr>
          <w:vertAlign w:val="superscript"/>
        </w:rPr>
        <w:t>8</w:t>
      </w:r>
    </w:p>
    <w:p w14:paraId="12DA33EB" w14:textId="79970D9D" w:rsidR="00832A4A" w:rsidRDefault="00AE0EF2" w:rsidP="00832A4A">
      <w:r w:rsidRPr="007F5C2E">
        <w:rPr>
          <w:noProof/>
        </w:rPr>
        <w:drawing>
          <wp:inline distT="0" distB="0" distL="0" distR="0" wp14:anchorId="32F2329A" wp14:editId="4FC11889">
            <wp:extent cx="5409763" cy="5609689"/>
            <wp:effectExtent l="0" t="0" r="635" b="0"/>
            <wp:docPr id="1809919063" name="Picture 1" descr="Figure 1. Analysis of OPA GMTs on day 30 in cohort 1 (adults equal to or over 50 years) (A) Non-inferiority analysis for the ten serotypes in both V116 and PCV20. (B) Superiority analysis for the 11 serotypes unique to V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19063" name="Picture 1" descr="Figure 1. Analysis of OPA GMTs on day 30 in cohort 1 (adults equal to or over 50 years) (A) Non-inferiority analysis for the ten serotypes in both V116 and PCV20. (B) Superiority analysis for the 11 serotypes unique to V116.8"/>
                    <pic:cNvPicPr/>
                  </pic:nvPicPr>
                  <pic:blipFill>
                    <a:blip r:embed="rId23"/>
                    <a:stretch>
                      <a:fillRect/>
                    </a:stretch>
                  </pic:blipFill>
                  <pic:spPr>
                    <a:xfrm>
                      <a:off x="0" y="0"/>
                      <a:ext cx="5435958" cy="5636852"/>
                    </a:xfrm>
                    <a:prstGeom prst="rect">
                      <a:avLst/>
                    </a:prstGeom>
                  </pic:spPr>
                </pic:pic>
              </a:graphicData>
            </a:graphic>
          </wp:inline>
        </w:drawing>
      </w:r>
    </w:p>
    <w:p w14:paraId="77E19778" w14:textId="77777777" w:rsidR="008F7BD1" w:rsidRPr="008F7BD1" w:rsidRDefault="008F7BD1" w:rsidP="009267A0">
      <w:pPr>
        <w:pStyle w:val="FigureDescription"/>
      </w:pPr>
      <w:r w:rsidRPr="008F7BD1">
        <w:t xml:space="preserve">   OPA=opsonophagocytic activity. GMT=geometric mean titre.</w:t>
      </w:r>
    </w:p>
    <w:p w14:paraId="67B6A054" w14:textId="77777777" w:rsidR="00EF10D0" w:rsidRDefault="00EF10D0">
      <w:pPr>
        <w:rPr>
          <w:b/>
          <w:bCs/>
        </w:rPr>
      </w:pPr>
      <w:r>
        <w:rPr>
          <w:b/>
          <w:bCs/>
        </w:rPr>
        <w:br w:type="page"/>
      </w:r>
    </w:p>
    <w:p w14:paraId="78E4D54D" w14:textId="34FC07F0" w:rsidR="00472599" w:rsidRPr="00E03296" w:rsidRDefault="00472599" w:rsidP="009E5865">
      <w:pPr>
        <w:pStyle w:val="FigureTitle"/>
        <w:rPr>
          <w:sz w:val="20"/>
        </w:rPr>
      </w:pPr>
      <w:r w:rsidRPr="000566CA">
        <w:lastRenderedPageBreak/>
        <w:t>Figure</w:t>
      </w:r>
      <w:r>
        <w:t xml:space="preserve"> </w:t>
      </w:r>
      <w:r w:rsidR="00BC67DC">
        <w:t>2</w:t>
      </w:r>
      <w:r>
        <w:t xml:space="preserve">. </w:t>
      </w:r>
      <w:r>
        <w:rPr>
          <w:vertAlign w:val="superscript"/>
        </w:rPr>
        <w:t xml:space="preserve"> </w:t>
      </w:r>
      <w:r w:rsidRPr="000566CA">
        <w:t>Immunobridging analysis of OPA GMTs on day 30 after vaccination with V116</w:t>
      </w:r>
      <w:r>
        <w:t>.</w:t>
      </w:r>
      <w:r w:rsidR="008E1AC8">
        <w:rPr>
          <w:vertAlign w:val="superscript"/>
        </w:rPr>
        <w:t>8</w:t>
      </w:r>
      <w:r w:rsidRPr="001E710D">
        <w:rPr>
          <w:vertAlign w:val="superscript"/>
        </w:rPr>
        <w:t xml:space="preserve"> </w:t>
      </w:r>
    </w:p>
    <w:p w14:paraId="23361AB0" w14:textId="1CBD555D" w:rsidR="00AE0EF2" w:rsidRDefault="00A44157" w:rsidP="00832A4A">
      <w:r>
        <w:rPr>
          <w:noProof/>
        </w:rPr>
        <w:drawing>
          <wp:inline distT="0" distB="0" distL="0" distR="0" wp14:anchorId="2680889C" wp14:editId="1F9AF722">
            <wp:extent cx="5445303" cy="5047433"/>
            <wp:effectExtent l="0" t="0" r="3175" b="1270"/>
            <wp:docPr id="384050584" name="Picture 1" descr="Figure 2.  Immunobridging analysis of OPA GMTs on day 30 after vaccination with V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50584" name="Picture 1" descr="Figure 2.  Immunobridging analysis of OPA GMTs on day 30 after vaccination with V116."/>
                    <pic:cNvPicPr/>
                  </pic:nvPicPr>
                  <pic:blipFill>
                    <a:blip r:embed="rId24"/>
                    <a:stretch>
                      <a:fillRect/>
                    </a:stretch>
                  </pic:blipFill>
                  <pic:spPr>
                    <a:xfrm>
                      <a:off x="0" y="0"/>
                      <a:ext cx="5459339" cy="5060443"/>
                    </a:xfrm>
                    <a:prstGeom prst="rect">
                      <a:avLst/>
                    </a:prstGeom>
                  </pic:spPr>
                </pic:pic>
              </a:graphicData>
            </a:graphic>
          </wp:inline>
        </w:drawing>
      </w:r>
    </w:p>
    <w:p w14:paraId="4F9C1E01" w14:textId="77777777" w:rsidR="004A3BC9" w:rsidRPr="004A3BC9" w:rsidRDefault="004A3BC9" w:rsidP="009267A0">
      <w:pPr>
        <w:pStyle w:val="FigureDescription"/>
      </w:pPr>
      <w:r w:rsidRPr="004A3BC9">
        <w:t>OPA=opsonophagocytic activity. GMT=geometric mean titre.</w:t>
      </w:r>
    </w:p>
    <w:p w14:paraId="29C2586F" w14:textId="77777777" w:rsidR="00AF0949" w:rsidRPr="00B1313F" w:rsidRDefault="00AF0949" w:rsidP="00B1313F">
      <w:pPr>
        <w:rPr>
          <w:b/>
          <w:bCs/>
        </w:rPr>
      </w:pPr>
      <w:r w:rsidRPr="00B1313F">
        <w:rPr>
          <w:b/>
          <w:bCs/>
        </w:rPr>
        <w:t>Secondary objectives immunogenicity</w:t>
      </w:r>
    </w:p>
    <w:p w14:paraId="4189A363" w14:textId="77777777" w:rsidR="00AF0949" w:rsidRPr="00AF0949" w:rsidRDefault="00AF0949" w:rsidP="00AF0949">
      <w:r w:rsidRPr="00AF0949">
        <w:t>The immune responses to serotypes 15B and 6C (cross-reactive immune responses) were measured based on an expectation of cross-reactivity from serotypes 6A and 15C.</w:t>
      </w:r>
    </w:p>
    <w:p w14:paraId="584DE7ED" w14:textId="20A77275" w:rsidR="00AF0949" w:rsidRPr="00AF0949" w:rsidRDefault="00AF0949" w:rsidP="00AF0949">
      <w:r w:rsidRPr="00AF0949">
        <w:t xml:space="preserve">In adults </w:t>
      </w:r>
      <w:r w:rsidR="00377970">
        <w:t xml:space="preserve">equal to or over </w:t>
      </w:r>
      <w:r w:rsidRPr="00AF0949">
        <w:t xml:space="preserve">50 yrs </w:t>
      </w:r>
      <w:r w:rsidR="00377970">
        <w:t xml:space="preserve">of age </w:t>
      </w:r>
      <w:r w:rsidRPr="00AF0949">
        <w:t>(Cohort 1), the percentage of participants with a ≥4-fold rise in cross-reactive OPA responses from baseline to 30 days postvaccination was 49.3% (95% CI: 46.0, 52.6) for serotype 6C (cross reactive to serotype 6A) and 64.7% (95% CI: 61.4, 67.8) for serotype 15B (cross reactive to serotype 15C).</w:t>
      </w:r>
    </w:p>
    <w:p w14:paraId="3FC75C91" w14:textId="77777777" w:rsidR="00AF0949" w:rsidRPr="00AF0949" w:rsidRDefault="00AF0949" w:rsidP="00AF0949">
      <w:r w:rsidRPr="00AF0949">
        <w:t xml:space="preserve"> V116 met the predefined criterion for an acceptable antibody response (LB of 95% CI of the percentage of participants with a ≥4-fold rise in OPA responses &gt;50%) for serotype 15B; V116 did not meet the predefined criterion for an acceptable antibody response for serotype 6C.</w:t>
      </w:r>
    </w:p>
    <w:p w14:paraId="5E370EF9" w14:textId="002DC0E4" w:rsidR="00AF0949" w:rsidRPr="00AF0949" w:rsidRDefault="00AF0949" w:rsidP="00AF0949">
      <w:r w:rsidRPr="00AF0949">
        <w:t>For serotype 15B (cross reactive to serotype 15C), V116 in participants 18 to 49 yrs of age (Cohort 2) met the predefined criterion for immunobridging to V116 in participants 50 to 64 yrs of age (Cohort 1) (LB of the 95% CI of the OPA GMT ratio [V116 18 to 49 Yrs group/V116 50 to 64 Yrs group] &gt;0.5) as assessed by serotype-specific OPA GMTs at 30 days post</w:t>
      </w:r>
      <w:r w:rsidR="00DA07D7">
        <w:t>-</w:t>
      </w:r>
      <w:r w:rsidRPr="00AF0949">
        <w:t xml:space="preserve">vaccination. The immunobridging hypothesis was not tested for serotype 6C (cross reactive to serotype 6A) in accordance with the statistical analysis plan. </w:t>
      </w:r>
    </w:p>
    <w:p w14:paraId="13748CD6" w14:textId="77777777" w:rsidR="00801ACD" w:rsidRDefault="00801ACD">
      <w:pPr>
        <w:rPr>
          <w:b/>
          <w:bCs/>
        </w:rPr>
      </w:pPr>
      <w:r>
        <w:rPr>
          <w:b/>
          <w:bCs/>
        </w:rPr>
        <w:br w:type="page"/>
      </w:r>
    </w:p>
    <w:p w14:paraId="03F73D6B" w14:textId="581E0A0D" w:rsidR="00AF0949" w:rsidRPr="00B1313F" w:rsidRDefault="00AF0949" w:rsidP="00B1313F">
      <w:pPr>
        <w:rPr>
          <w:b/>
          <w:bCs/>
        </w:rPr>
      </w:pPr>
      <w:r w:rsidRPr="00B1313F">
        <w:rPr>
          <w:b/>
          <w:bCs/>
        </w:rPr>
        <w:lastRenderedPageBreak/>
        <w:t>Safety</w:t>
      </w:r>
    </w:p>
    <w:p w14:paraId="3EFBD550" w14:textId="75A8A2D5" w:rsidR="00AF0949" w:rsidRPr="00B21C31" w:rsidRDefault="00AF0949" w:rsidP="00AF0949">
      <w:r w:rsidRPr="00CC23D2">
        <w:t>In adults</w:t>
      </w:r>
      <w:r w:rsidR="00930E06" w:rsidRPr="00CC23D2">
        <w:t xml:space="preserve"> equal to </w:t>
      </w:r>
      <w:r w:rsidR="00075E58" w:rsidRPr="00CC23D2">
        <w:t xml:space="preserve">or over </w:t>
      </w:r>
      <w:r w:rsidRPr="00CC23D2">
        <w:t>50 yrs of age (Cohort 1) and adult 18 to 49 yrs of age (Cohort 2):</w:t>
      </w:r>
    </w:p>
    <w:p w14:paraId="5E33402D" w14:textId="2505F528" w:rsidR="00AF0949" w:rsidRPr="00930E06" w:rsidRDefault="00AF0949" w:rsidP="00930E06">
      <w:pPr>
        <w:pStyle w:val="ListBullet"/>
      </w:pPr>
      <w:r w:rsidRPr="00930E06">
        <w:t>The proportions of participants with AEs were generally comparable between the V116 and PCV20 intervention groups.</w:t>
      </w:r>
    </w:p>
    <w:p w14:paraId="6F31DE54" w14:textId="7C47A913" w:rsidR="00AF0949" w:rsidRPr="00930E06" w:rsidRDefault="00AF0949" w:rsidP="00930E06">
      <w:pPr>
        <w:pStyle w:val="ListBullet"/>
      </w:pPr>
      <w:r w:rsidRPr="00930E06">
        <w:t>The most frequently reported (≥5%) AEs in both intervention groups were injection-site pain, fatigue, headache, injection-site erythema, injection-site swelling, and myalgia.</w:t>
      </w:r>
    </w:p>
    <w:p w14:paraId="672B3081" w14:textId="59FDC6FD" w:rsidR="00AF0949" w:rsidRPr="00930E06" w:rsidRDefault="00AF0949" w:rsidP="00930E06">
      <w:pPr>
        <w:pStyle w:val="ListBullet"/>
      </w:pPr>
      <w:r w:rsidRPr="00930E06">
        <w:t>The proportions of participants with SAEs were low (≤3%) and generally comparable between the V116 and PCV20 intervention groups. No vaccine-related SAEs were reported.</w:t>
      </w:r>
    </w:p>
    <w:p w14:paraId="7EF0A598" w14:textId="2FAA4377" w:rsidR="00AF0949" w:rsidRPr="00930E06" w:rsidRDefault="00AF0949" w:rsidP="00930E06">
      <w:pPr>
        <w:pStyle w:val="ListBullet"/>
      </w:pPr>
      <w:r w:rsidRPr="00930E06">
        <w:t>6 deaths were reported in Cohort 1 (4 in the V116 group and 2 in the PCV20 group)</w:t>
      </w:r>
      <w:r w:rsidR="002218B5">
        <w:t>. N</w:t>
      </w:r>
      <w:r w:rsidRPr="00930E06">
        <w:t xml:space="preserve">one </w:t>
      </w:r>
      <w:r w:rsidR="002218B5">
        <w:t xml:space="preserve">were </w:t>
      </w:r>
      <w:r w:rsidRPr="00930E06">
        <w:t>considered related to study intervention. No deaths were reported in Cohort 2</w:t>
      </w:r>
      <w:r w:rsidR="00FD0F2E" w:rsidRPr="00930E06">
        <w:t xml:space="preserve"> (Table 4</w:t>
      </w:r>
      <w:r w:rsidR="006449F8">
        <w:t>.</w:t>
      </w:r>
      <w:r w:rsidR="00C471E6">
        <w:t xml:space="preserve"> </w:t>
      </w:r>
      <w:r w:rsidR="00C471E6" w:rsidRPr="00C471E6">
        <w:rPr>
          <w:lang w:val="it-IT"/>
        </w:rPr>
        <w:t>Platt</w:t>
      </w:r>
      <w:r w:rsidR="00983852">
        <w:rPr>
          <w:lang w:val="it-IT"/>
        </w:rPr>
        <w:t xml:space="preserve"> et al., 2024</w:t>
      </w:r>
      <w:r w:rsidR="00FD0F2E" w:rsidRPr="00930E06">
        <w:t>)</w:t>
      </w:r>
      <w:r w:rsidRPr="00930E06">
        <w:t>.</w:t>
      </w:r>
    </w:p>
    <w:p w14:paraId="56AED517" w14:textId="242553C5" w:rsidR="00562DC1" w:rsidRDefault="00562DC1" w:rsidP="00562DC1">
      <w:pPr>
        <w:pStyle w:val="TableTitle"/>
      </w:pPr>
      <w:r w:rsidRPr="00DD0C27">
        <w:t xml:space="preserve">Table </w:t>
      </w:r>
      <w:r w:rsidR="007846D9">
        <w:t>4</w:t>
      </w:r>
      <w:r>
        <w:t>.</w:t>
      </w:r>
      <w:r>
        <w:rPr>
          <w:vertAlign w:val="superscript"/>
        </w:rPr>
        <w:t xml:space="preserve"> </w:t>
      </w:r>
      <w:r w:rsidRPr="00DD0C27">
        <w:t>Adverse events</w:t>
      </w:r>
      <w:r>
        <w:t xml:space="preserve"> STRIDE 3</w:t>
      </w:r>
      <w:r w:rsidR="003A4DDB" w:rsidRPr="003A4DDB">
        <w:rPr>
          <w:vertAlign w:val="superscript"/>
        </w:rPr>
        <w:t>8</w:t>
      </w:r>
    </w:p>
    <w:p w14:paraId="1E491575" w14:textId="7C2EEF27" w:rsidR="00AE0EF2" w:rsidRDefault="008C1220" w:rsidP="00832A4A">
      <w:r>
        <w:rPr>
          <w:noProof/>
        </w:rPr>
        <w:drawing>
          <wp:inline distT="0" distB="0" distL="0" distR="0" wp14:anchorId="2F99ADB2" wp14:editId="703C0AAA">
            <wp:extent cx="4819650" cy="4000500"/>
            <wp:effectExtent l="0" t="0" r="0" b="0"/>
            <wp:docPr id="562415361" name="Picture 1" descr="Table 4. Adverse events STR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15361" name="Picture 1" descr="Table 4. Adverse events STRIDE 38"/>
                    <pic:cNvPicPr/>
                  </pic:nvPicPr>
                  <pic:blipFill>
                    <a:blip r:embed="rId25"/>
                    <a:stretch>
                      <a:fillRect/>
                    </a:stretch>
                  </pic:blipFill>
                  <pic:spPr>
                    <a:xfrm>
                      <a:off x="0" y="0"/>
                      <a:ext cx="4819650" cy="4000500"/>
                    </a:xfrm>
                    <a:prstGeom prst="rect">
                      <a:avLst/>
                    </a:prstGeom>
                  </pic:spPr>
                </pic:pic>
              </a:graphicData>
            </a:graphic>
          </wp:inline>
        </w:drawing>
      </w:r>
    </w:p>
    <w:p w14:paraId="431FD3F7" w14:textId="77777777" w:rsidR="00B63A2D" w:rsidRPr="00754E35" w:rsidRDefault="00B63A2D" w:rsidP="00754E35">
      <w:pPr>
        <w:rPr>
          <w:b/>
          <w:bCs/>
        </w:rPr>
      </w:pPr>
      <w:r w:rsidRPr="00754E35">
        <w:rPr>
          <w:b/>
          <w:bCs/>
        </w:rPr>
        <w:t>Conclusions</w:t>
      </w:r>
    </w:p>
    <w:p w14:paraId="371380C0" w14:textId="17B91503" w:rsidR="00B63A2D" w:rsidRPr="00B63A2D" w:rsidRDefault="00B63A2D" w:rsidP="00B63A2D">
      <w:r w:rsidRPr="00B63A2D">
        <w:t xml:space="preserve">The evaluator concluded that in adults </w:t>
      </w:r>
      <w:r w:rsidR="001472BC">
        <w:t xml:space="preserve">equal to or over </w:t>
      </w:r>
      <w:r w:rsidRPr="00B63A2D">
        <w:t>50 yrs of age, V116 was demonstrated to be immunologically noninferior to PCV20 for the 10 common serotypes by serotype-specific OPA GMTs at 30 days postvaccination, using the predefined criteria for non-inferiority i.e. LB of the 95% CI of the OPA GM</w:t>
      </w:r>
      <w:r w:rsidR="00B945CD">
        <w:t>T</w:t>
      </w:r>
      <w:r w:rsidRPr="00B63A2D">
        <w:t xml:space="preserve"> Ratio for V116 versus. PCV20 &gt;0.5, although the immune responses to V116 were lower for serotypes 6A, 10A, 19A and 22F compared to PCV20. </w:t>
      </w:r>
    </w:p>
    <w:p w14:paraId="023F0D50" w14:textId="2BECEEA9" w:rsidR="00B63A2D" w:rsidRPr="00B63A2D" w:rsidRDefault="00B63A2D" w:rsidP="00B63A2D">
      <w:r w:rsidRPr="00B63A2D">
        <w:t xml:space="preserve">In adults </w:t>
      </w:r>
      <w:r w:rsidR="001472BC">
        <w:t xml:space="preserve">equal to or over </w:t>
      </w:r>
      <w:r w:rsidRPr="00B63A2D">
        <w:t>50 yrs of age, V116 was statistically significantly superior (serotype-specific OPA GMTs at 30 days postvaccination and the proportions with a ≥4-fold rise from baseline to 30 days postvaccination for serotype-specific OPA responses) for 10 of 11 serotypes unique to V116 – and not represented in PCV20, except for serotype 15C</w:t>
      </w:r>
      <w:r w:rsidR="002A3462" w:rsidRPr="002A3462">
        <w:rPr>
          <w:rFonts w:ascii="Segoe UI" w:hAnsi="Segoe UI" w:cs="Segoe UI"/>
          <w:sz w:val="18"/>
          <w:szCs w:val="18"/>
        </w:rPr>
        <w:t xml:space="preserve"> </w:t>
      </w:r>
      <w:r w:rsidR="002A3462" w:rsidRPr="002A3462">
        <w:t>where V116 did not meet the predefined criterion for superiority to PCV20</w:t>
      </w:r>
      <w:r w:rsidR="002A3462">
        <w:t>.</w:t>
      </w:r>
      <w:r w:rsidRPr="00B63A2D">
        <w:t xml:space="preserve"> In 19 of the 21 serotypes, V116 elicits similar immune response (</w:t>
      </w:r>
      <w:proofErr w:type="spellStart"/>
      <w:r w:rsidRPr="00B63A2D">
        <w:t>immunobridges</w:t>
      </w:r>
      <w:proofErr w:type="spellEnd"/>
      <w:r w:rsidRPr="00B63A2D">
        <w:t xml:space="preserve">) in participants aged 18-49 yrs of age and those aged </w:t>
      </w:r>
      <w:r w:rsidRPr="00B63A2D">
        <w:lastRenderedPageBreak/>
        <w:t>50-64 yrs of age, as assessed by serotype-specific OPA GMTs at 30 days postvaccination. Lower immune responses were elicited in the older population for serotypes 3 and 19A. The clinical significance of this is unknown.</w:t>
      </w:r>
    </w:p>
    <w:p w14:paraId="47EE5515" w14:textId="77777777" w:rsidR="00B63A2D" w:rsidRPr="00B63A2D" w:rsidRDefault="00B63A2D" w:rsidP="00B63A2D">
      <w:r w:rsidRPr="00B63A2D">
        <w:t>In pneumococcal vaccine-naïve adults ≥18 yrs of age, V116 and PCV20 were well tolerated across all age groups enrolled in the trial, the safety profile of V116 was generally similar to PCV20.</w:t>
      </w:r>
    </w:p>
    <w:p w14:paraId="27BDA0A2" w14:textId="40F3D537" w:rsidR="00A252BB" w:rsidRPr="00EE2E2F" w:rsidRDefault="00EE2E2F" w:rsidP="00EE2E2F">
      <w:pPr>
        <w:pStyle w:val="Heading6"/>
      </w:pPr>
      <w:r>
        <w:t xml:space="preserve">Study </w:t>
      </w:r>
      <w:r w:rsidR="00A252BB" w:rsidRPr="00EE2E2F">
        <w:t>V116-006, STRIDE-6</w:t>
      </w:r>
      <w:r w:rsidR="00A252BB" w:rsidRPr="00656EB8">
        <w:rPr>
          <w:vertAlign w:val="superscript"/>
        </w:rPr>
        <w:footnoteReference w:id="9"/>
      </w:r>
    </w:p>
    <w:p w14:paraId="644C5136" w14:textId="74FBC67E" w:rsidR="000E42AA" w:rsidRPr="000E42AA" w:rsidRDefault="000E42AA" w:rsidP="000E42AA">
      <w:r w:rsidRPr="000E42AA">
        <w:t xml:space="preserve">This was a Phase 3 study to evaluate the safety, tolerability, and immunogenicity of V116 in participants </w:t>
      </w:r>
      <w:r w:rsidR="00A1492A">
        <w:t xml:space="preserve">equal to or over </w:t>
      </w:r>
      <w:r w:rsidRPr="000E42AA">
        <w:t>50 years of age who were pneumococcal vaccine-experienced ≥1 year before enrolment. There were three parallel cohorts based on prior pneumococcal vaccination history:</w:t>
      </w:r>
    </w:p>
    <w:tbl>
      <w:tblPr>
        <w:tblStyle w:val="TableGrid"/>
        <w:tblW w:w="0" w:type="auto"/>
        <w:tblLook w:val="04A0" w:firstRow="1" w:lastRow="0" w:firstColumn="1" w:lastColumn="0" w:noHBand="0" w:noVBand="1"/>
      </w:tblPr>
      <w:tblGrid>
        <w:gridCol w:w="1413"/>
        <w:gridCol w:w="7603"/>
      </w:tblGrid>
      <w:tr w:rsidR="000E42AA" w:rsidRPr="000E42AA" w14:paraId="71777A5F" w14:textId="77777777">
        <w:tc>
          <w:tcPr>
            <w:tcW w:w="1413" w:type="dxa"/>
          </w:tcPr>
          <w:p w14:paraId="197403EA" w14:textId="77777777" w:rsidR="000E42AA" w:rsidRPr="000E42AA" w:rsidRDefault="000E42AA" w:rsidP="000E42AA">
            <w:pPr>
              <w:spacing w:line="259" w:lineRule="auto"/>
              <w:rPr>
                <w:rFonts w:eastAsiaTheme="minorHAnsi" w:cstheme="minorBidi"/>
                <w:b/>
                <w:bCs/>
                <w:szCs w:val="20"/>
              </w:rPr>
            </w:pPr>
            <w:r w:rsidRPr="000E42AA">
              <w:rPr>
                <w:rFonts w:eastAsiaTheme="minorHAnsi" w:cstheme="minorBidi"/>
                <w:b/>
                <w:bCs/>
                <w:szCs w:val="20"/>
              </w:rPr>
              <w:t>Cohort 1</w:t>
            </w:r>
          </w:p>
        </w:tc>
        <w:tc>
          <w:tcPr>
            <w:tcW w:w="7603" w:type="dxa"/>
          </w:tcPr>
          <w:p w14:paraId="12C6D8CA" w14:textId="69EA1452" w:rsidR="000E42AA" w:rsidRPr="000E42AA" w:rsidRDefault="000E42AA" w:rsidP="000E42AA">
            <w:pPr>
              <w:spacing w:line="259" w:lineRule="auto"/>
              <w:rPr>
                <w:rFonts w:eastAsiaTheme="minorHAnsi" w:cstheme="minorBidi"/>
                <w:szCs w:val="20"/>
              </w:rPr>
            </w:pPr>
            <w:r w:rsidRPr="000E42AA">
              <w:rPr>
                <w:rFonts w:eastAsiaTheme="minorHAnsi" w:cstheme="minorBidi"/>
                <w:szCs w:val="20"/>
              </w:rPr>
              <w:t>Participants who had been vaccinated with PPSV23 ≥1 year prior to enrolment were randomised in a 2:1 ratio to receive either V116 or PCV15 on Day 1. Cohort 1 was double-blind, parallel group, and active comparator</w:t>
            </w:r>
            <w:r w:rsidR="0098090A">
              <w:rPr>
                <w:rFonts w:eastAsiaTheme="minorHAnsi" w:cstheme="minorBidi"/>
                <w:szCs w:val="20"/>
              </w:rPr>
              <w:t xml:space="preserve"> </w:t>
            </w:r>
            <w:r w:rsidRPr="000E42AA">
              <w:rPr>
                <w:rFonts w:eastAsiaTheme="minorHAnsi" w:cstheme="minorBidi"/>
                <w:szCs w:val="20"/>
              </w:rPr>
              <w:t>controlled.</w:t>
            </w:r>
          </w:p>
        </w:tc>
      </w:tr>
      <w:tr w:rsidR="000E42AA" w:rsidRPr="000E42AA" w14:paraId="55E0F985" w14:textId="77777777">
        <w:tc>
          <w:tcPr>
            <w:tcW w:w="1413" w:type="dxa"/>
          </w:tcPr>
          <w:p w14:paraId="0F9E892C" w14:textId="77777777" w:rsidR="000E42AA" w:rsidRPr="000E42AA" w:rsidRDefault="000E42AA" w:rsidP="000E42AA">
            <w:pPr>
              <w:spacing w:line="259" w:lineRule="auto"/>
              <w:rPr>
                <w:rFonts w:eastAsiaTheme="minorHAnsi" w:cstheme="minorBidi"/>
                <w:b/>
                <w:bCs/>
                <w:szCs w:val="20"/>
              </w:rPr>
            </w:pPr>
            <w:r w:rsidRPr="000E42AA">
              <w:rPr>
                <w:rFonts w:eastAsiaTheme="minorHAnsi" w:cstheme="minorBidi"/>
                <w:b/>
                <w:bCs/>
                <w:szCs w:val="20"/>
              </w:rPr>
              <w:t>Cohort 2</w:t>
            </w:r>
          </w:p>
        </w:tc>
        <w:tc>
          <w:tcPr>
            <w:tcW w:w="7603" w:type="dxa"/>
          </w:tcPr>
          <w:p w14:paraId="50011DCC" w14:textId="541A8F6A" w:rsidR="000E42AA" w:rsidRPr="000E42AA" w:rsidRDefault="000E42AA" w:rsidP="000E42AA">
            <w:pPr>
              <w:spacing w:line="259" w:lineRule="auto"/>
              <w:rPr>
                <w:rFonts w:eastAsiaTheme="minorHAnsi" w:cstheme="minorBidi"/>
                <w:szCs w:val="20"/>
              </w:rPr>
            </w:pPr>
            <w:r w:rsidRPr="000E42AA">
              <w:rPr>
                <w:rFonts w:eastAsiaTheme="minorHAnsi" w:cstheme="minorBidi"/>
                <w:szCs w:val="20"/>
              </w:rPr>
              <w:t>Participants who had been vaccinated with PCV13 ≥1 year prior to enrolment were randomised in a 2:1 ratio to receive either V116 or PPSV23 on Day 1. Cohort 2 was double-blind, parallel group, and active comparator</w:t>
            </w:r>
            <w:r w:rsidR="0098090A">
              <w:rPr>
                <w:rFonts w:eastAsiaTheme="minorHAnsi" w:cstheme="minorBidi"/>
                <w:szCs w:val="20"/>
              </w:rPr>
              <w:t xml:space="preserve"> </w:t>
            </w:r>
            <w:r w:rsidRPr="000E42AA">
              <w:rPr>
                <w:rFonts w:eastAsiaTheme="minorHAnsi" w:cstheme="minorBidi"/>
                <w:szCs w:val="20"/>
              </w:rPr>
              <w:t>controlled. In Cohort 1 and Cohort 2, randomisation was stratified by participant age at enrolment and time since prior pneumococcal vaccination.</w:t>
            </w:r>
          </w:p>
        </w:tc>
      </w:tr>
      <w:tr w:rsidR="000E42AA" w:rsidRPr="000E42AA" w14:paraId="5467F8B7" w14:textId="77777777">
        <w:tc>
          <w:tcPr>
            <w:tcW w:w="1413" w:type="dxa"/>
          </w:tcPr>
          <w:p w14:paraId="32D13810" w14:textId="77777777" w:rsidR="000E42AA" w:rsidRPr="000E42AA" w:rsidRDefault="000E42AA" w:rsidP="000E42AA">
            <w:pPr>
              <w:spacing w:line="259" w:lineRule="auto"/>
              <w:rPr>
                <w:rFonts w:eastAsiaTheme="minorHAnsi" w:cstheme="minorBidi"/>
                <w:b/>
                <w:bCs/>
                <w:szCs w:val="20"/>
              </w:rPr>
            </w:pPr>
            <w:r w:rsidRPr="000E42AA">
              <w:rPr>
                <w:rFonts w:eastAsiaTheme="minorHAnsi" w:cstheme="minorBidi"/>
                <w:b/>
                <w:bCs/>
                <w:szCs w:val="20"/>
              </w:rPr>
              <w:t>Cohort 3</w:t>
            </w:r>
          </w:p>
        </w:tc>
        <w:tc>
          <w:tcPr>
            <w:tcW w:w="7603" w:type="dxa"/>
          </w:tcPr>
          <w:p w14:paraId="1F608200" w14:textId="77777777" w:rsidR="000E42AA" w:rsidRPr="000E42AA" w:rsidRDefault="000E42AA" w:rsidP="000E42AA">
            <w:pPr>
              <w:spacing w:line="259" w:lineRule="auto"/>
              <w:rPr>
                <w:rFonts w:eastAsiaTheme="minorHAnsi" w:cstheme="minorBidi"/>
                <w:szCs w:val="20"/>
              </w:rPr>
            </w:pPr>
            <w:r w:rsidRPr="000E42AA">
              <w:rPr>
                <w:rFonts w:eastAsiaTheme="minorHAnsi" w:cstheme="minorBidi"/>
                <w:szCs w:val="20"/>
              </w:rPr>
              <w:t>Participants who had been vaccinated with PCV13+PPSV23, PCV15+PPSV23, PCV15, PCV20, or PPSV23+PCV13 ≥1 year prior to enrolment received V116 on Day 1. Cohort 3 was open-label and single group.</w:t>
            </w:r>
          </w:p>
        </w:tc>
      </w:tr>
    </w:tbl>
    <w:p w14:paraId="33BD5F98" w14:textId="77777777" w:rsidR="000E42AA" w:rsidRPr="000E42AA" w:rsidRDefault="000E42AA" w:rsidP="000E42AA"/>
    <w:p w14:paraId="03091F44" w14:textId="486C66A3" w:rsidR="000E42AA" w:rsidRPr="000307DD" w:rsidRDefault="000E42AA" w:rsidP="000307DD">
      <w:pPr>
        <w:rPr>
          <w:b/>
          <w:bCs/>
        </w:rPr>
      </w:pPr>
      <w:r w:rsidRPr="000307DD">
        <w:rPr>
          <w:b/>
          <w:bCs/>
        </w:rPr>
        <w:t xml:space="preserve">Objectives and </w:t>
      </w:r>
      <w:r w:rsidR="00CD0997" w:rsidRPr="000307DD">
        <w:rPr>
          <w:b/>
          <w:bCs/>
        </w:rPr>
        <w:t>e</w:t>
      </w:r>
      <w:r w:rsidRPr="000307DD">
        <w:rPr>
          <w:b/>
          <w:bCs/>
        </w:rPr>
        <w:t>ndpoints</w:t>
      </w:r>
    </w:p>
    <w:p w14:paraId="28F08093" w14:textId="2A608CB3" w:rsidR="00CD0997" w:rsidRPr="000E42AA" w:rsidRDefault="00CD0997" w:rsidP="00CD0997">
      <w:r w:rsidRPr="000E42AA">
        <w:t>Objectives and endpoints were evaluated in pneumococcal vaccine-experienced adults ≥50 yrs of age and were evaluated separately within each vaccination group in each of the three cohorts.</w:t>
      </w:r>
    </w:p>
    <w:p w14:paraId="10012D67" w14:textId="0128ADC2" w:rsidR="000E42AA" w:rsidRPr="000307DD" w:rsidRDefault="000E42AA" w:rsidP="000307DD">
      <w:pPr>
        <w:rPr>
          <w:rStyle w:val="Heading8Char"/>
          <w:rFonts w:ascii="Cambria" w:hAnsi="Cambria"/>
          <w:b/>
          <w:bCs/>
          <w:sz w:val="22"/>
          <w:szCs w:val="22"/>
        </w:rPr>
      </w:pPr>
      <w:r w:rsidRPr="000307DD">
        <w:rPr>
          <w:rStyle w:val="Heading8Char"/>
          <w:rFonts w:ascii="Cambria" w:hAnsi="Cambria"/>
          <w:b/>
          <w:bCs/>
          <w:sz w:val="22"/>
          <w:szCs w:val="22"/>
        </w:rPr>
        <w:t xml:space="preserve">Primary </w:t>
      </w:r>
      <w:r w:rsidR="00CD0997" w:rsidRPr="000307DD">
        <w:rPr>
          <w:rStyle w:val="Heading8Char"/>
          <w:rFonts w:ascii="Cambria" w:hAnsi="Cambria"/>
          <w:b/>
          <w:bCs/>
          <w:sz w:val="22"/>
          <w:szCs w:val="22"/>
        </w:rPr>
        <w:t>o</w:t>
      </w:r>
      <w:r w:rsidRPr="000307DD">
        <w:rPr>
          <w:rStyle w:val="Heading8Char"/>
          <w:rFonts w:ascii="Cambria" w:hAnsi="Cambria"/>
          <w:b/>
          <w:bCs/>
          <w:sz w:val="22"/>
          <w:szCs w:val="22"/>
        </w:rPr>
        <w:t xml:space="preserve">bjectives </w:t>
      </w:r>
    </w:p>
    <w:p w14:paraId="183776A7" w14:textId="77777777" w:rsidR="000E42AA" w:rsidRPr="000E42AA" w:rsidRDefault="000E42AA" w:rsidP="00037A27">
      <w:r w:rsidRPr="000E42AA">
        <w:t>Safety: To evaluate the safety and tolerability of V116 as assessed by the proportion of participants with AEs.</w:t>
      </w:r>
    </w:p>
    <w:p w14:paraId="22CFB1EC" w14:textId="77777777" w:rsidR="000E42AA" w:rsidRPr="000E42AA" w:rsidRDefault="000E42AA" w:rsidP="00037A27">
      <w:r w:rsidRPr="000E42AA">
        <w:t>Immunogenicity: To evaluate the serotype-specific OPA GMTs at 30 days postvaccination for all serotypes included in V116.</w:t>
      </w:r>
    </w:p>
    <w:p w14:paraId="504EBC56" w14:textId="109EA181" w:rsidR="00B24FA9" w:rsidRPr="000307DD" w:rsidRDefault="000E42AA" w:rsidP="000307DD">
      <w:pPr>
        <w:rPr>
          <w:b/>
          <w:bCs/>
        </w:rPr>
      </w:pPr>
      <w:r w:rsidRPr="000307DD">
        <w:rPr>
          <w:b/>
          <w:bCs/>
        </w:rPr>
        <w:t xml:space="preserve">Secondary </w:t>
      </w:r>
      <w:r w:rsidR="00CD0997" w:rsidRPr="000307DD">
        <w:rPr>
          <w:b/>
          <w:bCs/>
        </w:rPr>
        <w:t>o</w:t>
      </w:r>
      <w:r w:rsidRPr="000307DD">
        <w:rPr>
          <w:b/>
          <w:bCs/>
        </w:rPr>
        <w:t>bjectives</w:t>
      </w:r>
    </w:p>
    <w:p w14:paraId="595F9D50" w14:textId="30A69AEA" w:rsidR="000E42AA" w:rsidRPr="000E42AA" w:rsidRDefault="000E42AA" w:rsidP="00966D6F">
      <w:r w:rsidRPr="00966D6F">
        <w:t>Immunogenicity</w:t>
      </w:r>
      <w:r w:rsidRPr="000E42AA">
        <w:t xml:space="preserve">: To evaluate the serotype-specific IgG GMCs at 30 days postvaccination for all serotypes included in V116; to evaluate the serotype-specific GMFR and the proportion of participants who achieve a serotype-specific ≥4-fold increase from baseline to 30 days postvaccination for both OPA and IgG responses for all serotypes included in V116. </w:t>
      </w:r>
    </w:p>
    <w:p w14:paraId="0947CED8" w14:textId="77777777" w:rsidR="000E42AA" w:rsidRPr="000307DD" w:rsidRDefault="000E42AA" w:rsidP="000307DD">
      <w:pPr>
        <w:rPr>
          <w:b/>
          <w:bCs/>
        </w:rPr>
      </w:pPr>
      <w:r w:rsidRPr="000307DD">
        <w:rPr>
          <w:b/>
          <w:bCs/>
        </w:rPr>
        <w:t>Immunogenicity and safety endpoints</w:t>
      </w:r>
    </w:p>
    <w:p w14:paraId="22D6E314" w14:textId="77777777" w:rsidR="000E42AA" w:rsidRPr="000E42AA" w:rsidRDefault="000E42AA" w:rsidP="00037A27">
      <w:r w:rsidRPr="000E42AA">
        <w:t>Primary endpoint safety:  Solicited injection-site AEs from Day 1 through Day 5 postvaccination; Solicited systemic AEs from Day 1 through Day 5 postvaccination; Vaccine-related SAEs from Day 1 through the duration of participation in the study.</w:t>
      </w:r>
    </w:p>
    <w:p w14:paraId="28D228FE" w14:textId="77777777" w:rsidR="000E42AA" w:rsidRPr="000E42AA" w:rsidRDefault="000E42AA" w:rsidP="00037A27">
      <w:r w:rsidRPr="000E42AA">
        <w:lastRenderedPageBreak/>
        <w:t>Primary immunogenicity endpoint: Serotype-specific OPA responses.</w:t>
      </w:r>
    </w:p>
    <w:p w14:paraId="217B70FE" w14:textId="1BBC444A" w:rsidR="000E42AA" w:rsidRPr="000E42AA" w:rsidRDefault="000E42AA" w:rsidP="00037A27">
      <w:r w:rsidRPr="000E42AA">
        <w:t>Secondary immunogenicity endpoints: Serotype-specific IgG responses</w:t>
      </w:r>
      <w:r w:rsidR="00CE00F9">
        <w:t xml:space="preserve"> and</w:t>
      </w:r>
      <w:r w:rsidR="003E7A5C">
        <w:t xml:space="preserve">/or </w:t>
      </w:r>
      <w:r w:rsidRPr="000E42AA">
        <w:t>OPA responses.</w:t>
      </w:r>
    </w:p>
    <w:p w14:paraId="272B6B20" w14:textId="02EAFFA4" w:rsidR="000E42AA" w:rsidRPr="000E42AA" w:rsidRDefault="000E42AA" w:rsidP="000E42AA">
      <w:r w:rsidRPr="000307DD">
        <w:rPr>
          <w:b/>
          <w:bCs/>
        </w:rPr>
        <w:t>Statistical methods and sample size</w:t>
      </w:r>
      <w:r w:rsidR="0005507F">
        <w:rPr>
          <w:b/>
          <w:bCs/>
        </w:rPr>
        <w:t xml:space="preserve"> - </w:t>
      </w:r>
      <w:r w:rsidRPr="000E42AA">
        <w:t xml:space="preserve">Please refer to </w:t>
      </w:r>
      <w:r w:rsidR="00B14C9C">
        <w:t xml:space="preserve">the </w:t>
      </w:r>
      <w:r w:rsidRPr="000E42AA">
        <w:t>published paper</w:t>
      </w:r>
      <w:r w:rsidR="00B14C9C" w:rsidRPr="00B14C9C">
        <w:rPr>
          <w:vertAlign w:val="superscript"/>
        </w:rPr>
        <w:t>9</w:t>
      </w:r>
      <w:r w:rsidRPr="000E42AA">
        <w:rPr>
          <w:vertAlign w:val="superscript"/>
        </w:rPr>
        <w:t xml:space="preserve"> </w:t>
      </w:r>
      <w:r w:rsidRPr="000E42AA">
        <w:t>for details of the statistical methods and sample size.</w:t>
      </w:r>
    </w:p>
    <w:p w14:paraId="332A05C2" w14:textId="77777777" w:rsidR="000E42AA" w:rsidRPr="0005507F" w:rsidRDefault="000E42AA" w:rsidP="00CA7001">
      <w:pPr>
        <w:rPr>
          <w:b/>
          <w:bCs/>
        </w:rPr>
      </w:pPr>
      <w:r w:rsidRPr="0005507F">
        <w:rPr>
          <w:b/>
          <w:bCs/>
        </w:rPr>
        <w:t>Participant flow</w:t>
      </w:r>
    </w:p>
    <w:p w14:paraId="6E2BB6F2" w14:textId="792600EF" w:rsidR="000E42AA" w:rsidRPr="000E42AA" w:rsidRDefault="000E42AA" w:rsidP="000E42AA">
      <w:r w:rsidRPr="000E42AA">
        <w:t>As of database lock</w:t>
      </w:r>
      <w:r w:rsidR="00910797">
        <w:t xml:space="preserve"> (</w:t>
      </w:r>
      <w:r w:rsidR="00AD0A71">
        <w:t>June 2023)</w:t>
      </w:r>
      <w:r w:rsidRPr="000E42AA">
        <w:t>, 717 participants were randomised/allocated:</w:t>
      </w:r>
    </w:p>
    <w:p w14:paraId="1E164918" w14:textId="3628E856" w:rsidR="000E42AA" w:rsidRPr="000E42AA" w:rsidRDefault="000E42AA" w:rsidP="0005507F">
      <w:pPr>
        <w:pStyle w:val="ListBullet"/>
      </w:pPr>
      <w:r w:rsidRPr="000E42AA">
        <w:t>Cohort 1: 350 participants (231 in the V116 group; 119 in the PCV15 group)</w:t>
      </w:r>
    </w:p>
    <w:p w14:paraId="57FED5D7" w14:textId="5A660A06" w:rsidR="000E42AA" w:rsidRPr="000E42AA" w:rsidRDefault="000E42AA" w:rsidP="0005507F">
      <w:pPr>
        <w:pStyle w:val="ListBullet"/>
      </w:pPr>
      <w:r w:rsidRPr="000E42AA">
        <w:t>Cohort 2: 261 participants (176 in the V116 group; 85 in the PPSV23 group)</w:t>
      </w:r>
    </w:p>
    <w:p w14:paraId="665E74D1" w14:textId="179B7FC5" w:rsidR="000E42AA" w:rsidRPr="000E42AA" w:rsidRDefault="000E42AA" w:rsidP="0005507F">
      <w:pPr>
        <w:pStyle w:val="ListBullet"/>
      </w:pPr>
      <w:r w:rsidRPr="000E42AA">
        <w:t>Cohort 3: 106 participants in the V116 group</w:t>
      </w:r>
    </w:p>
    <w:p w14:paraId="50B45C5A" w14:textId="5B4920EF" w:rsidR="000E42AA" w:rsidRPr="000E42AA" w:rsidRDefault="000E42AA" w:rsidP="000E42AA">
      <w:r w:rsidRPr="000E42AA">
        <w:t>Of the 717 participants randomised, 712 participants received study intervention. The majority (710, 99</w:t>
      </w:r>
      <w:r w:rsidR="00C83DB5">
        <w:t>.0</w:t>
      </w:r>
      <w:r w:rsidRPr="000E42AA">
        <w:t>%) completed the study</w:t>
      </w:r>
      <w:r w:rsidR="00C503BE">
        <w:t xml:space="preserve"> (Figure 3)</w:t>
      </w:r>
      <w:r w:rsidRPr="000E42AA">
        <w:t>.</w:t>
      </w:r>
    </w:p>
    <w:p w14:paraId="5E8E33D5" w14:textId="1FE88DAC" w:rsidR="002C17C0" w:rsidRPr="002C17C0" w:rsidRDefault="002C17C0" w:rsidP="00E76BBB">
      <w:pPr>
        <w:pStyle w:val="FigureTitle"/>
      </w:pPr>
      <w:r w:rsidRPr="002C17C0">
        <w:t xml:space="preserve">Figure </w:t>
      </w:r>
      <w:r>
        <w:t>3</w:t>
      </w:r>
      <w:r w:rsidRPr="002C17C0">
        <w:t>. Participant disposition</w:t>
      </w:r>
    </w:p>
    <w:p w14:paraId="598492D6" w14:textId="435F3809" w:rsidR="00AE0EF2" w:rsidRDefault="00F75FD6" w:rsidP="00832A4A">
      <w:r>
        <w:rPr>
          <w:noProof/>
        </w:rPr>
        <w:drawing>
          <wp:inline distT="0" distB="0" distL="0" distR="0" wp14:anchorId="36F576E1" wp14:editId="36D0D5B9">
            <wp:extent cx="5731510" cy="3273425"/>
            <wp:effectExtent l="0" t="0" r="2540" b="3175"/>
            <wp:docPr id="801546982" name="Picture 1" descr="Figure 3.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46982" name="Picture 1" descr="Figure 3. Participant disposition"/>
                    <pic:cNvPicPr/>
                  </pic:nvPicPr>
                  <pic:blipFill>
                    <a:blip r:embed="rId26"/>
                    <a:stretch>
                      <a:fillRect/>
                    </a:stretch>
                  </pic:blipFill>
                  <pic:spPr>
                    <a:xfrm>
                      <a:off x="0" y="0"/>
                      <a:ext cx="5731510" cy="3273425"/>
                    </a:xfrm>
                    <a:prstGeom prst="rect">
                      <a:avLst/>
                    </a:prstGeom>
                  </pic:spPr>
                </pic:pic>
              </a:graphicData>
            </a:graphic>
          </wp:inline>
        </w:drawing>
      </w:r>
    </w:p>
    <w:p w14:paraId="3E1A1113" w14:textId="7821EB7C" w:rsidR="00AE0EF2" w:rsidRPr="00A30AEB" w:rsidRDefault="00A30AEB" w:rsidP="00E76BBB">
      <w:pPr>
        <w:pStyle w:val="FigureDescription"/>
        <w:rPr>
          <w:vertAlign w:val="superscript"/>
        </w:rPr>
      </w:pPr>
      <w:r w:rsidRPr="00A30AEB">
        <w:t>*One hundred seventeen participants received PCV15, and 2 were cross-vaccinated with 21-valent pneumococcal conjugate vaccine (V116) and PPSV23 (1 each).</w:t>
      </w:r>
      <w:r w:rsidRPr="00A30AEB">
        <w:rPr>
          <w:vertAlign w:val="superscript"/>
        </w:rPr>
        <w:t>9</w:t>
      </w:r>
    </w:p>
    <w:p w14:paraId="4BD8D49B" w14:textId="6C7FB4C6" w:rsidR="003D3C3A" w:rsidRPr="005A10D7" w:rsidRDefault="003D3C3A" w:rsidP="005A10D7">
      <w:pPr>
        <w:rPr>
          <w:b/>
          <w:bCs/>
        </w:rPr>
      </w:pPr>
      <w:r w:rsidRPr="005A10D7">
        <w:rPr>
          <w:b/>
          <w:bCs/>
        </w:rPr>
        <w:t>Results</w:t>
      </w:r>
    </w:p>
    <w:p w14:paraId="58612DBA" w14:textId="77777777" w:rsidR="003D3C3A" w:rsidRPr="005A10D7" w:rsidRDefault="003D3C3A" w:rsidP="005A10D7">
      <w:r w:rsidRPr="005A10D7">
        <w:t>Immunogenicity</w:t>
      </w:r>
    </w:p>
    <w:p w14:paraId="2324163C" w14:textId="77777777" w:rsidR="003D3C3A" w:rsidRPr="003D3C3A" w:rsidRDefault="003D3C3A" w:rsidP="003D3C3A">
      <w:r w:rsidRPr="003D3C3A">
        <w:t xml:space="preserve">Across all three cohorts, V116 was immunogenic for all 21 serotypes contained in the vaccine as assessed by serotype-specific OPA GMTs at 30 days postvaccination.  </w:t>
      </w:r>
    </w:p>
    <w:p w14:paraId="3A75B139" w14:textId="77777777" w:rsidR="003D3C3A" w:rsidRPr="003D3C3A" w:rsidRDefault="003D3C3A" w:rsidP="003D3C3A">
      <w:r w:rsidRPr="003D3C3A">
        <w:t>In Cohort 1, V116 elicited immune responses as assessed by OPA GMTs at 30 days post vaccination, that were generally comparable to PCV15 for the 6 common serotypes and higher than PCV15 for the 15 serotypes unique to V116.</w:t>
      </w:r>
    </w:p>
    <w:p w14:paraId="501C9EBD" w14:textId="77777777" w:rsidR="003D3C3A" w:rsidRPr="003D3C3A" w:rsidRDefault="003D3C3A" w:rsidP="003D3C3A">
      <w:r w:rsidRPr="003D3C3A">
        <w:t>In Cohort 2, V116 elicited immune responses that were generally comparable to PPSV23 for the 12 common serotypes and higher than PPSV23 for the 9 serotypes unique to V116, as assessed by OPA GMT at 30 days postvaccination.</w:t>
      </w:r>
    </w:p>
    <w:p w14:paraId="750299FD" w14:textId="77777777" w:rsidR="003D3C3A" w:rsidRPr="003D3C3A" w:rsidRDefault="003D3C3A" w:rsidP="003D3C3A">
      <w:r w:rsidRPr="003D3C3A">
        <w:lastRenderedPageBreak/>
        <w:t>Cohort 3 (who received only a single dose of V116) had similar immunological responses as assessed by OPA GMTs at 30 days postvaccination to those receiving V116 in Cohorts 1 and 2.</w:t>
      </w:r>
    </w:p>
    <w:p w14:paraId="2C40F380" w14:textId="378FC6E4" w:rsidR="006A0BC3" w:rsidRPr="00B97C9A" w:rsidRDefault="006A0BC3" w:rsidP="009B02CA">
      <w:pPr>
        <w:pStyle w:val="FigureTitle"/>
      </w:pPr>
      <w:r w:rsidRPr="00EC02E3">
        <w:t xml:space="preserve">Figure </w:t>
      </w:r>
      <w:r>
        <w:t>4</w:t>
      </w:r>
      <w:r w:rsidRPr="00EC02E3">
        <w:t>. Serotype-specific opsonophagocytic activity (OPA) geometric mean tit</w:t>
      </w:r>
      <w:r>
        <w:t>res</w:t>
      </w:r>
      <w:r w:rsidRPr="00EC02E3">
        <w:t xml:space="preserve"> (GMTs) at 30 days following vaccination. OPA GMTs and 95% confidence intervals are shown for each serotype by cohort (A, </w:t>
      </w:r>
      <w:r>
        <w:t>C</w:t>
      </w:r>
      <w:r w:rsidRPr="00EC02E3">
        <w:t xml:space="preserve">ohort 1; B, </w:t>
      </w:r>
      <w:r>
        <w:t>C</w:t>
      </w:r>
      <w:r w:rsidRPr="00EC02E3">
        <w:t xml:space="preserve">ohort 2; C, </w:t>
      </w:r>
      <w:r>
        <w:t>C</w:t>
      </w:r>
      <w:r w:rsidRPr="00EC02E3">
        <w:t>ohort 3), with serotypes shared in both vaccines or unique to V116 shown on the x-axis</w:t>
      </w:r>
      <w:r w:rsidR="000F12BE">
        <w:t>.</w:t>
      </w:r>
      <w:r>
        <w:t xml:space="preserve"> </w:t>
      </w:r>
    </w:p>
    <w:p w14:paraId="52CA5063" w14:textId="3F128259" w:rsidR="006A0BC3" w:rsidRDefault="005B2D1C" w:rsidP="006A0BC3">
      <w:pPr>
        <w:rPr>
          <w:b/>
          <w:bCs/>
          <w:sz w:val="18"/>
          <w:szCs w:val="18"/>
        </w:rPr>
      </w:pPr>
      <w:r>
        <w:rPr>
          <w:noProof/>
        </w:rPr>
        <w:drawing>
          <wp:inline distT="0" distB="0" distL="0" distR="0" wp14:anchorId="441F7842" wp14:editId="310F0164">
            <wp:extent cx="5731510" cy="6542405"/>
            <wp:effectExtent l="0" t="0" r="2540" b="0"/>
            <wp:docPr id="1333632687" name="Picture 1" descr="Figure 4. Serotype-specific opsonophagocytic activity (OPA) geometric mean titres (GMTs) at 30 days following vaccination. OPA GMTs and 95% confidence intervals are shown for each serotype by cohort (A, Cohort 1; B, Cohort 2; C, Cohort 3), with serotypes shared in both vaccines or unique to V116 shown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32687" name="Picture 1" descr="Figure 4. Serotype-specific opsonophagocytic activity (OPA) geometric mean titres (GMTs) at 30 days following vaccination. OPA GMTs and 95% confidence intervals are shown for each serotype by cohort (A, Cohort 1; B, Cohort 2; C, Cohort 3), with serotypes shared in both vaccines or unique to V116 shown on the x-axis."/>
                    <pic:cNvPicPr/>
                  </pic:nvPicPr>
                  <pic:blipFill>
                    <a:blip r:embed="rId27"/>
                    <a:stretch>
                      <a:fillRect/>
                    </a:stretch>
                  </pic:blipFill>
                  <pic:spPr>
                    <a:xfrm>
                      <a:off x="0" y="0"/>
                      <a:ext cx="5731510" cy="6542405"/>
                    </a:xfrm>
                    <a:prstGeom prst="rect">
                      <a:avLst/>
                    </a:prstGeom>
                  </pic:spPr>
                </pic:pic>
              </a:graphicData>
            </a:graphic>
          </wp:inline>
        </w:drawing>
      </w:r>
    </w:p>
    <w:p w14:paraId="24F02C09" w14:textId="2E24A6B7" w:rsidR="001E4A9C" w:rsidRPr="005A10D7" w:rsidRDefault="00B10DAA" w:rsidP="005A10D7">
      <w:r w:rsidRPr="005A10D7">
        <w:rPr>
          <w:rStyle w:val="Heading8Char"/>
          <w:rFonts w:ascii="Cambria" w:hAnsi="Cambria"/>
          <w:b/>
          <w:bCs/>
          <w:sz w:val="22"/>
          <w:szCs w:val="22"/>
        </w:rPr>
        <w:t>Secondary Immunogenicity Endpoints</w:t>
      </w:r>
    </w:p>
    <w:p w14:paraId="72B84972" w14:textId="2D9E1095" w:rsidR="00B10DAA" w:rsidRPr="004026C0" w:rsidRDefault="001E4A9C" w:rsidP="00B10DAA">
      <w:r>
        <w:t>A</w:t>
      </w:r>
      <w:r w:rsidR="00B10DAA" w:rsidRPr="002501BC">
        <w:t>cross all 3 cohorts, V116 was immunogenic for all 21 serotypes contained in the vaccine as assessed by serotype-specific IgG GMCs, serotype-specific OPA and IgG GMFRs and the proportions of participants with a ≥4- fold</w:t>
      </w:r>
      <w:r w:rsidR="00B10DAA" w:rsidRPr="002501BC">
        <w:rPr>
          <w:b/>
          <w:bCs/>
        </w:rPr>
        <w:t xml:space="preserve"> </w:t>
      </w:r>
      <w:r w:rsidR="00B10DAA" w:rsidRPr="002501BC">
        <w:t>increase in</w:t>
      </w:r>
      <w:r w:rsidR="00B10DAA" w:rsidRPr="002501BC">
        <w:rPr>
          <w:b/>
          <w:bCs/>
        </w:rPr>
        <w:t xml:space="preserve"> </w:t>
      </w:r>
      <w:r w:rsidR="00B10DAA" w:rsidRPr="002501BC">
        <w:t>serotype-specific OPA and IgG response from pre</w:t>
      </w:r>
      <w:r w:rsidR="00B10DAA">
        <w:t>-</w:t>
      </w:r>
      <w:r w:rsidR="00B10DAA" w:rsidRPr="002501BC">
        <w:t>vaccination to 30 days postvaccination.</w:t>
      </w:r>
    </w:p>
    <w:p w14:paraId="56792BA4" w14:textId="21CDF6A4" w:rsidR="009B02CA" w:rsidRPr="00EC02E3" w:rsidRDefault="009B02CA" w:rsidP="00967E65">
      <w:pPr>
        <w:pStyle w:val="FigureTitle"/>
      </w:pPr>
      <w:r w:rsidRPr="00EC02E3">
        <w:lastRenderedPageBreak/>
        <w:t xml:space="preserve">Figure </w:t>
      </w:r>
      <w:r>
        <w:t>5</w:t>
      </w:r>
      <w:r w:rsidRPr="00EC02E3">
        <w:t>. Proportions of participants with a ≥4-fold rise in serotype-specific opsonophagocytic activity geometric mean titres from pre</w:t>
      </w:r>
      <w:r>
        <w:t>-</w:t>
      </w:r>
      <w:r w:rsidRPr="00EC02E3">
        <w:t>vaccination to 30 days following vaccination. Proportions and 95% confidence intervals are shown for each serotype by cohort (A, cohort 1; B, cohort 2; C, cohort 3), with serotypes shared in both vaccines or unique to V116 shown on the x-axis.</w:t>
      </w:r>
    </w:p>
    <w:p w14:paraId="29D8125A" w14:textId="2C986B50" w:rsidR="005B2D1C" w:rsidRDefault="0065213E" w:rsidP="00967E65">
      <w:pPr>
        <w:pStyle w:val="FigureTitle"/>
        <w:rPr>
          <w:bCs/>
          <w:sz w:val="18"/>
          <w:szCs w:val="18"/>
        </w:rPr>
      </w:pPr>
      <w:r>
        <w:rPr>
          <w:noProof/>
        </w:rPr>
        <w:drawing>
          <wp:inline distT="0" distB="0" distL="0" distR="0" wp14:anchorId="6E5998D4" wp14:editId="7D740811">
            <wp:extent cx="5731510" cy="6209665"/>
            <wp:effectExtent l="0" t="0" r="4445" b="0"/>
            <wp:docPr id="1127547512" name="Picture 1" descr="Figure 5. Proportions of participants with a ≥4-fold rise in serotype-specific opsonophagocytic activity geometric mean titres from pre-vaccination to 30 days following vaccination. Proportions and 95% confidence intervals are shown for each serotype by cohort (A, cohort 1; B, cohort 2; C, cohort 3), with serotypes shared in both vaccines or unique to V116 shown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47512" name="Picture 1" descr="Figure 5. Proportions of participants with a ≥4-fold rise in serotype-specific opsonophagocytic activity geometric mean titres from pre-vaccination to 30 days following vaccination. Proportions and 95% confidence intervals are shown for each serotype by cohort (A, cohort 1; B, cohort 2; C, cohort 3), with serotypes shared in both vaccines or unique to V116 shown on the x-axis."/>
                    <pic:cNvPicPr/>
                  </pic:nvPicPr>
                  <pic:blipFill>
                    <a:blip r:embed="rId28"/>
                    <a:stretch>
                      <a:fillRect/>
                    </a:stretch>
                  </pic:blipFill>
                  <pic:spPr>
                    <a:xfrm>
                      <a:off x="0" y="0"/>
                      <a:ext cx="5731510" cy="6209665"/>
                    </a:xfrm>
                    <a:prstGeom prst="rect">
                      <a:avLst/>
                    </a:prstGeom>
                  </pic:spPr>
                </pic:pic>
              </a:graphicData>
            </a:graphic>
          </wp:inline>
        </w:drawing>
      </w:r>
    </w:p>
    <w:p w14:paraId="24DDCE5E" w14:textId="77777777" w:rsidR="00C668D6" w:rsidRPr="005A10D7" w:rsidRDefault="00C668D6" w:rsidP="005A10D7">
      <w:pPr>
        <w:rPr>
          <w:b/>
          <w:bCs/>
        </w:rPr>
      </w:pPr>
      <w:r w:rsidRPr="005A10D7">
        <w:rPr>
          <w:b/>
          <w:bCs/>
        </w:rPr>
        <w:t>Safety</w:t>
      </w:r>
    </w:p>
    <w:p w14:paraId="6C42BDBE" w14:textId="77777777" w:rsidR="00C668D6" w:rsidRPr="002501BC" w:rsidRDefault="00C668D6" w:rsidP="00C668D6">
      <w:r>
        <w:t>The p</w:t>
      </w:r>
      <w:r w:rsidRPr="002501BC">
        <w:t>roportions of participants with AEs were generally comparable among participants who received V116, PCV15, or PPSV23, regardless of pneumococcal vaccination history.</w:t>
      </w:r>
    </w:p>
    <w:p w14:paraId="57761ACF" w14:textId="77777777" w:rsidR="00C668D6" w:rsidRPr="002501BC" w:rsidRDefault="00C668D6" w:rsidP="00C668D6">
      <w:r w:rsidRPr="002501BC">
        <w:t>The proportions of participants with solicited injection-site and solicited systemic AEs were generally comparable among participants who received V116, PCV15, or PPSV23, regardless of pneumococcal vaccination history.</w:t>
      </w:r>
    </w:p>
    <w:p w14:paraId="4C1A1F74" w14:textId="77777777" w:rsidR="005B2D1C" w:rsidRDefault="005B2D1C" w:rsidP="006A0BC3">
      <w:pPr>
        <w:rPr>
          <w:b/>
          <w:bCs/>
          <w:sz w:val="18"/>
          <w:szCs w:val="18"/>
        </w:rPr>
      </w:pPr>
    </w:p>
    <w:p w14:paraId="1F299445" w14:textId="77777777" w:rsidR="005B2D1C" w:rsidRDefault="005B2D1C" w:rsidP="006A0BC3">
      <w:pPr>
        <w:rPr>
          <w:b/>
          <w:bCs/>
          <w:sz w:val="18"/>
          <w:szCs w:val="18"/>
        </w:rPr>
      </w:pPr>
    </w:p>
    <w:p w14:paraId="4BE3C6AC" w14:textId="757BB4F0" w:rsidR="0075286D" w:rsidRPr="000D06AB" w:rsidRDefault="0075286D" w:rsidP="0075286D">
      <w:pPr>
        <w:pStyle w:val="TableTitle"/>
      </w:pPr>
      <w:r>
        <w:lastRenderedPageBreak/>
        <w:t xml:space="preserve">Table 5. </w:t>
      </w:r>
      <w:r w:rsidRPr="000D06AB">
        <w:t>Adverse events, STRIDE 6</w:t>
      </w:r>
    </w:p>
    <w:p w14:paraId="736CC199" w14:textId="62558E91" w:rsidR="005B2D1C" w:rsidRDefault="00306B96" w:rsidP="006A0BC3">
      <w:pPr>
        <w:rPr>
          <w:b/>
          <w:bCs/>
          <w:sz w:val="18"/>
          <w:szCs w:val="18"/>
        </w:rPr>
      </w:pPr>
      <w:r w:rsidRPr="00683B6A">
        <w:rPr>
          <w:noProof/>
        </w:rPr>
        <w:drawing>
          <wp:inline distT="0" distB="0" distL="0" distR="0" wp14:anchorId="074B2B7E" wp14:editId="779F3B9F">
            <wp:extent cx="6057900" cy="3657195"/>
            <wp:effectExtent l="0" t="0" r="0" b="635"/>
            <wp:docPr id="1698396074" name="Picture 1" descr="Table 5. Adverse events, STR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96074" name="Picture 1" descr="Table 5. Adverse events, STRIDE 6"/>
                    <pic:cNvPicPr/>
                  </pic:nvPicPr>
                  <pic:blipFill>
                    <a:blip r:embed="rId29"/>
                    <a:stretch>
                      <a:fillRect/>
                    </a:stretch>
                  </pic:blipFill>
                  <pic:spPr>
                    <a:xfrm>
                      <a:off x="0" y="0"/>
                      <a:ext cx="6071681" cy="3665515"/>
                    </a:xfrm>
                    <a:prstGeom prst="rect">
                      <a:avLst/>
                    </a:prstGeom>
                  </pic:spPr>
                </pic:pic>
              </a:graphicData>
            </a:graphic>
          </wp:inline>
        </w:drawing>
      </w:r>
    </w:p>
    <w:p w14:paraId="6E986CA1" w14:textId="77777777" w:rsidR="00CE2D43" w:rsidRPr="005A10D7" w:rsidRDefault="00CE2D43" w:rsidP="005A10D7">
      <w:pPr>
        <w:rPr>
          <w:b/>
          <w:bCs/>
        </w:rPr>
      </w:pPr>
      <w:r w:rsidRPr="005A10D7">
        <w:rPr>
          <w:b/>
          <w:bCs/>
        </w:rPr>
        <w:t>Conclusions</w:t>
      </w:r>
    </w:p>
    <w:p w14:paraId="688C3CB2" w14:textId="11130C1E" w:rsidR="00CE2D43" w:rsidRDefault="00CE2D43" w:rsidP="00CE2D43">
      <w:r w:rsidRPr="00BB1D96">
        <w:t>In pneumococcal vaccine-experienced participants aged 50 y</w:t>
      </w:r>
      <w:r>
        <w:t>ea</w:t>
      </w:r>
      <w:r w:rsidRPr="00BB1D96">
        <w:t>rs</w:t>
      </w:r>
      <w:r w:rsidR="007E46CF">
        <w:t xml:space="preserve"> or above</w:t>
      </w:r>
      <w:r>
        <w:t>,</w:t>
      </w:r>
      <w:r w:rsidRPr="00BB1D96">
        <w:t xml:space="preserve"> V116 was immunogenic for all 21 serotypes regardless of pneumococcal vaccination history</w:t>
      </w:r>
      <w:r>
        <w:t>. S</w:t>
      </w:r>
      <w:r w:rsidRPr="00BB1D96">
        <w:t>erotype-specific OPA GMTs and IgG GMCs were generally comparable in the V116, PCV15, and PPSV23 g</w:t>
      </w:r>
      <w:r>
        <w:t>rou</w:t>
      </w:r>
      <w:r w:rsidRPr="00BB1D96">
        <w:t>ps for the common serotypes and higher in the V116 g</w:t>
      </w:r>
      <w:r>
        <w:t>rou</w:t>
      </w:r>
      <w:r w:rsidRPr="00BB1D96">
        <w:t>p for the serotypes unique to V116</w:t>
      </w:r>
      <w:r>
        <w:t xml:space="preserve">. </w:t>
      </w:r>
      <w:r w:rsidRPr="00BB1D96">
        <w:t>There was some boosting of immune responses seen for the common serotypes in those who were pneumococcal vaccine experienced. V116 was well tolerated.</w:t>
      </w:r>
    </w:p>
    <w:p w14:paraId="67015B31" w14:textId="2B535E75" w:rsidR="00CE2D43" w:rsidRPr="002D6AFD" w:rsidRDefault="00CE2D43" w:rsidP="00CE2D43">
      <w:r>
        <w:t xml:space="preserve">In the publication of this trial, it was noted that </w:t>
      </w:r>
      <w:r w:rsidRPr="00BB1D96">
        <w:t xml:space="preserve">47% of the participant population </w:t>
      </w:r>
      <w:r>
        <w:t xml:space="preserve">had </w:t>
      </w:r>
      <w:r w:rsidRPr="00BB1D96">
        <w:t>prespecified medical history conditions associated with increased risk of PD</w:t>
      </w:r>
      <w:r>
        <w:t xml:space="preserve"> and </w:t>
      </w:r>
      <w:r w:rsidRPr="00BB1D96">
        <w:t xml:space="preserve">the majority of participants in the study </w:t>
      </w:r>
      <w:r>
        <w:t>were</w:t>
      </w:r>
      <w:r w:rsidRPr="00BB1D96">
        <w:t xml:space="preserve"> </w:t>
      </w:r>
      <w:r w:rsidR="0058066C">
        <w:t xml:space="preserve">equal to or </w:t>
      </w:r>
      <w:r w:rsidR="00A54018">
        <w:t>over</w:t>
      </w:r>
      <w:r w:rsidR="0058066C">
        <w:t xml:space="preserve"> </w:t>
      </w:r>
      <w:r w:rsidRPr="00BB1D96">
        <w:t>65 years of age</w:t>
      </w:r>
      <w:r>
        <w:t>.</w:t>
      </w:r>
      <w:r w:rsidR="000C47E0">
        <w:rPr>
          <w:vertAlign w:val="superscript"/>
        </w:rPr>
        <w:t>9</w:t>
      </w:r>
    </w:p>
    <w:p w14:paraId="3A146189" w14:textId="77777777" w:rsidR="00CE2D43" w:rsidRDefault="00CE2D43" w:rsidP="00CE2D43">
      <w:pPr>
        <w:pStyle w:val="Heading6"/>
      </w:pPr>
      <w:r w:rsidRPr="000D06AB">
        <w:t>Study V116-005</w:t>
      </w:r>
    </w:p>
    <w:p w14:paraId="3AEE8C7A" w14:textId="77777777" w:rsidR="00CE2D43" w:rsidRDefault="00CE2D43" w:rsidP="0051014C">
      <w:r w:rsidRPr="005A2A22">
        <w:t>A Phase 3 Randomized, Double-blind, Placebo-Controlled Clinical</w:t>
      </w:r>
      <w:r>
        <w:t xml:space="preserve"> </w:t>
      </w:r>
      <w:r w:rsidRPr="005A2A22">
        <w:t>Study to Evaluate the Safety, Tolerability, and Immunogenicity of V116 When Administered</w:t>
      </w:r>
      <w:r>
        <w:t xml:space="preserve"> </w:t>
      </w:r>
      <w:r w:rsidRPr="005A2A22">
        <w:t>Concomitantly with Influenza Vaccine in Adults 50 Years of Age or Older</w:t>
      </w:r>
    </w:p>
    <w:p w14:paraId="6C8FF7A3" w14:textId="42650ECB" w:rsidR="00CE2D43" w:rsidRPr="00245A79" w:rsidRDefault="00CE2D43" w:rsidP="0051014C">
      <w:r w:rsidRPr="00245A79">
        <w:t>This was a randomi</w:t>
      </w:r>
      <w:r>
        <w:t>s</w:t>
      </w:r>
      <w:r w:rsidRPr="00245A79">
        <w:t>ed, placebo-controlled, parallel-group, multi</w:t>
      </w:r>
      <w:r>
        <w:t>centre</w:t>
      </w:r>
      <w:r w:rsidRPr="00245A79">
        <w:t xml:space="preserve">, double-blind study of V116 to evaluate the safety, tolerability, and immunogenicity of V116 when administered concomitantly with </w:t>
      </w:r>
      <w:r>
        <w:t>quadrivalent influenza vaccine (</w:t>
      </w:r>
      <w:r w:rsidRPr="00245A79">
        <w:t>QIV</w:t>
      </w:r>
      <w:r>
        <w:t>)</w:t>
      </w:r>
      <w:r w:rsidRPr="00245A79">
        <w:t xml:space="preserve"> in adults </w:t>
      </w:r>
      <w:r w:rsidR="00A54018">
        <w:t xml:space="preserve">equal to or over </w:t>
      </w:r>
      <w:r w:rsidRPr="00245A79">
        <w:t>50 years of age.</w:t>
      </w:r>
    </w:p>
    <w:p w14:paraId="6A1C27D1" w14:textId="77777777" w:rsidR="00CE2D43" w:rsidRDefault="00CE2D43" w:rsidP="0051014C">
      <w:r w:rsidRPr="00245A79">
        <w:t>Participants were randomly assigned in a 1:1 ratio to receive either V116 administered concomitantly with QIV or V116 administered sequentially with QIV.</w:t>
      </w:r>
    </w:p>
    <w:p w14:paraId="553063A7" w14:textId="77777777" w:rsidR="00CE2D43" w:rsidRDefault="00CE2D43" w:rsidP="0051014C">
      <w:r>
        <w:t>Randomisation was stratified by age at enrolment (50 to 64 years, 65 to 74 years, 75 to 84 years, and ≥85 years) and by prior pneumococcal vaccination status.</w:t>
      </w:r>
    </w:p>
    <w:p w14:paraId="044F87FF" w14:textId="630C5E0B" w:rsidR="005B249D" w:rsidRDefault="00CE2D43" w:rsidP="00CE2D43">
      <w:pPr>
        <w:rPr>
          <w:b/>
          <w:bCs/>
        </w:rPr>
      </w:pPr>
      <w:r w:rsidRPr="003639A8">
        <w:rPr>
          <w:b/>
          <w:bCs/>
        </w:rPr>
        <w:t>Primary Objectives</w:t>
      </w:r>
      <w:r w:rsidR="00CA267D">
        <w:rPr>
          <w:b/>
          <w:bCs/>
        </w:rPr>
        <w:t xml:space="preserve">  </w:t>
      </w:r>
    </w:p>
    <w:p w14:paraId="2EB9F04E" w14:textId="0F12EB03" w:rsidR="00CE2D43" w:rsidRDefault="00CE2D43" w:rsidP="00CE2D43">
      <w:r w:rsidRPr="009E3FF4">
        <w:lastRenderedPageBreak/>
        <w:t>Safety Objective</w:t>
      </w:r>
      <w:r w:rsidR="009E3FF4">
        <w:t xml:space="preserve">: </w:t>
      </w:r>
      <w:r>
        <w:t>To evaluate the safety and tolerability of V116 when administered concomitantly with QIV compared with V116 administered sequentially with QIV as assessed by the proportion of participants with AEs.</w:t>
      </w:r>
    </w:p>
    <w:p w14:paraId="2E44B42F" w14:textId="63CE961F" w:rsidR="00CE2D43" w:rsidRPr="009E3FF4" w:rsidRDefault="00CE2D43" w:rsidP="003639A8">
      <w:r w:rsidRPr="009E3FF4">
        <w:t>Immunogenicity objectives</w:t>
      </w:r>
      <w:r w:rsidR="009E3FF4">
        <w:t>:</w:t>
      </w:r>
    </w:p>
    <w:p w14:paraId="1CC12C5E" w14:textId="437CF69C" w:rsidR="00CE2D43" w:rsidRDefault="00CE2D43" w:rsidP="00E33752">
      <w:pPr>
        <w:pStyle w:val="ListBullet2"/>
      </w:pPr>
      <w:r>
        <w:t>To compare the serotype-specific OPA GMTs at 30 days postvaccination with V116 administered concomitantly with QIV compared with V116 administered sequentially with QIV</w:t>
      </w:r>
      <w:r w:rsidR="00EF7E77">
        <w:t>.</w:t>
      </w:r>
    </w:p>
    <w:p w14:paraId="39CFDBF4" w14:textId="7AC02944" w:rsidR="00CE2D43" w:rsidRDefault="00CE2D43" w:rsidP="00E33752">
      <w:pPr>
        <w:pStyle w:val="ListBullet2"/>
      </w:pPr>
      <w:r>
        <w:t xml:space="preserve">To compare the strain-specific </w:t>
      </w:r>
      <w:r w:rsidRPr="007B27EB">
        <w:t>h</w:t>
      </w:r>
      <w:r>
        <w:t>a</w:t>
      </w:r>
      <w:r w:rsidRPr="007B27EB">
        <w:t>emagglutination inhibition</w:t>
      </w:r>
      <w:r>
        <w:t xml:space="preserve"> (HAI) GMTs at 30 days postvaccination with QIV administered concomitantly with V116 compared with QIV administered sequentially with V116.</w:t>
      </w:r>
    </w:p>
    <w:p w14:paraId="0F351AEB" w14:textId="77777777" w:rsidR="00CE2D43" w:rsidRPr="00552446" w:rsidRDefault="00CE2D43" w:rsidP="00552446">
      <w:pPr>
        <w:rPr>
          <w:b/>
          <w:bCs/>
        </w:rPr>
      </w:pPr>
      <w:r w:rsidRPr="00552446">
        <w:rPr>
          <w:b/>
          <w:bCs/>
        </w:rPr>
        <w:t xml:space="preserve">Primary endpoint </w:t>
      </w:r>
    </w:p>
    <w:p w14:paraId="0356743A" w14:textId="77777777" w:rsidR="00CE2D43" w:rsidRDefault="00CE2D43" w:rsidP="00CE2D43">
      <w:r>
        <w:t>Immunogenicity: Serotype-specific OPA responses; Strain-specific HAI responses.</w:t>
      </w:r>
    </w:p>
    <w:p w14:paraId="26B59A28" w14:textId="39DB774A" w:rsidR="00CE2D43" w:rsidRDefault="00CE2D43" w:rsidP="00CE2D43">
      <w:r>
        <w:t>Primary endpoint safety: Solicited injection-site AEs from Day 1 through Day 5 postvaccination; Solicited systemic AEs from Day 1 through Day 5 postvaccination; Vaccine-related SAEs from Day 1 through the duration of participation in the study.</w:t>
      </w:r>
    </w:p>
    <w:p w14:paraId="0CD7E5FD" w14:textId="77777777" w:rsidR="00CE2D43" w:rsidRPr="00552446" w:rsidRDefault="00CE2D43" w:rsidP="00552446">
      <w:pPr>
        <w:rPr>
          <w:b/>
          <w:bCs/>
        </w:rPr>
      </w:pPr>
      <w:r w:rsidRPr="00552446">
        <w:rPr>
          <w:b/>
          <w:bCs/>
        </w:rPr>
        <w:t>Results</w:t>
      </w:r>
    </w:p>
    <w:p w14:paraId="519ED0B5" w14:textId="77F97DC0" w:rsidR="00CE2D43" w:rsidRDefault="00CE2D43" w:rsidP="00CE2D43">
      <w:r w:rsidRPr="002556A0">
        <w:t xml:space="preserve">V116 administered concomitantly with QIV </w:t>
      </w:r>
      <w:r>
        <w:t>was</w:t>
      </w:r>
      <w:r w:rsidRPr="002556A0">
        <w:t xml:space="preserve"> noninferior to V116 administered sequentially with QIV for 20 of 21 pneumococcal serotypes using OPA GMTs at 30 days postvaccination with V116, the exception was serotype 23B</w:t>
      </w:r>
      <w:r>
        <w:t xml:space="preserve"> (</w:t>
      </w:r>
      <w:r w:rsidR="002E1C47">
        <w:t>Table 6</w:t>
      </w:r>
      <w:r>
        <w:t>)</w:t>
      </w:r>
      <w:r w:rsidR="00287C23">
        <w:t>.</w:t>
      </w:r>
      <w:r w:rsidRPr="002556A0">
        <w:t xml:space="preserve"> QIV administered concomitantly with V116 is noninferior to QIV administered sequentially with QIV for 3 of 4 influenza strains using HAI GMTs at 30 days postvaccination with QIV. The exception was for strain A/H3N2</w:t>
      </w:r>
      <w:r>
        <w:t xml:space="preserve"> (</w:t>
      </w:r>
      <w:r w:rsidR="002E1C47">
        <w:t>Table 7</w:t>
      </w:r>
      <w:r>
        <w:t>)</w:t>
      </w:r>
      <w:r w:rsidR="00287C23">
        <w:t>.</w:t>
      </w:r>
      <w:r w:rsidRPr="002556A0">
        <w:t xml:space="preserve"> Between-group comparisons of IgG GMCs at 30 days postvaccination with V116 </w:t>
      </w:r>
      <w:r>
        <w:t>we</w:t>
      </w:r>
      <w:r w:rsidRPr="002556A0">
        <w:t xml:space="preserve">re consistent with the between-group comparisons of OPA GMTs. Concomitant administration of V116 and QIV </w:t>
      </w:r>
      <w:r>
        <w:t xml:space="preserve">was </w:t>
      </w:r>
      <w:r w:rsidRPr="002556A0">
        <w:t>generally well tolerated, with a safety profile comparable to V116 alone.</w:t>
      </w:r>
    </w:p>
    <w:p w14:paraId="54B999A0" w14:textId="0181A059" w:rsidR="00CE2D43" w:rsidRPr="00552446" w:rsidRDefault="00CE2D43" w:rsidP="00552446">
      <w:pPr>
        <w:rPr>
          <w:b/>
          <w:bCs/>
        </w:rPr>
      </w:pPr>
      <w:r w:rsidRPr="00552446">
        <w:rPr>
          <w:b/>
          <w:bCs/>
        </w:rPr>
        <w:t>Delegate comment</w:t>
      </w:r>
    </w:p>
    <w:p w14:paraId="6F478236" w14:textId="3766202C" w:rsidR="00CE2D43" w:rsidRPr="0007299A" w:rsidRDefault="00CE2D43" w:rsidP="00CE2D43">
      <w:r>
        <w:t>Fluzone Quadrivalent was the influenza vaccine administered in this study.</w:t>
      </w:r>
      <w:r>
        <w:rPr>
          <w:rStyle w:val="FootnoteReference"/>
        </w:rPr>
        <w:footnoteReference w:id="10"/>
      </w:r>
      <w:r>
        <w:t xml:space="preserve"> Minor amendments to the PI </w:t>
      </w:r>
      <w:r w:rsidR="003A696C">
        <w:t>were</w:t>
      </w:r>
      <w:r>
        <w:t xml:space="preserve"> requested for this study and the </w:t>
      </w:r>
      <w:r w:rsidR="00260130">
        <w:t>Advisory Committee on Vaccines (</w:t>
      </w:r>
      <w:r>
        <w:t>ACV</w:t>
      </w:r>
      <w:r w:rsidR="00260130">
        <w:t>)</w:t>
      </w:r>
      <w:r>
        <w:t xml:space="preserve"> </w:t>
      </w:r>
      <w:r w:rsidR="00260130">
        <w:t>was</w:t>
      </w:r>
      <w:r>
        <w:t xml:space="preserve"> requested to comment on the clinical significance of the findings for this study for the A/H3N2 strain.</w:t>
      </w:r>
    </w:p>
    <w:p w14:paraId="255B51D2" w14:textId="4A58296B" w:rsidR="00CE2D43" w:rsidRPr="002556A0" w:rsidRDefault="002E1C47" w:rsidP="004A2AF7">
      <w:pPr>
        <w:pStyle w:val="FigureTitle"/>
      </w:pPr>
      <w:r>
        <w:lastRenderedPageBreak/>
        <w:t>Table 6</w:t>
      </w:r>
      <w:r w:rsidR="009A623B">
        <w:t xml:space="preserve">: </w:t>
      </w:r>
      <w:r w:rsidR="00712838">
        <w:t>Analysis of Postvaccination OPA GMTs (P</w:t>
      </w:r>
      <w:r w:rsidR="00B404CF">
        <w:t>er-</w:t>
      </w:r>
      <w:r w:rsidR="00712838">
        <w:t>Protocol Population)</w:t>
      </w:r>
    </w:p>
    <w:p w14:paraId="3366B3E0" w14:textId="1D3F00B7" w:rsidR="005B2D1C" w:rsidRDefault="00810EF9" w:rsidP="006A0BC3">
      <w:pPr>
        <w:rPr>
          <w:b/>
          <w:bCs/>
          <w:sz w:val="18"/>
          <w:szCs w:val="18"/>
        </w:rPr>
      </w:pPr>
      <w:r>
        <w:rPr>
          <w:noProof/>
        </w:rPr>
        <w:drawing>
          <wp:inline distT="0" distB="0" distL="0" distR="0" wp14:anchorId="150B21FB" wp14:editId="130EB53C">
            <wp:extent cx="5029200" cy="5543771"/>
            <wp:effectExtent l="0" t="0" r="0" b="0"/>
            <wp:docPr id="542270567" name="Picture 1" descr="Table 6: Analysis of Postvaccination OPA GMTs (Pre-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0567" name="Picture 1" descr="Table 6: Analysis of Postvaccination OPA GMTs (Pre-Protocol Population)."/>
                    <pic:cNvPicPr/>
                  </pic:nvPicPr>
                  <pic:blipFill>
                    <a:blip r:embed="rId30"/>
                    <a:stretch>
                      <a:fillRect/>
                    </a:stretch>
                  </pic:blipFill>
                  <pic:spPr>
                    <a:xfrm>
                      <a:off x="0" y="0"/>
                      <a:ext cx="5034695" cy="5549828"/>
                    </a:xfrm>
                    <a:prstGeom prst="rect">
                      <a:avLst/>
                    </a:prstGeom>
                  </pic:spPr>
                </pic:pic>
              </a:graphicData>
            </a:graphic>
          </wp:inline>
        </w:drawing>
      </w:r>
    </w:p>
    <w:p w14:paraId="17B7AF83" w14:textId="77777777" w:rsidR="005B2D1C" w:rsidRDefault="005B2D1C" w:rsidP="006A0BC3">
      <w:pPr>
        <w:rPr>
          <w:b/>
          <w:bCs/>
          <w:sz w:val="18"/>
          <w:szCs w:val="18"/>
        </w:rPr>
      </w:pPr>
    </w:p>
    <w:p w14:paraId="0FA97C69" w14:textId="12DFC98D" w:rsidR="005B2D1C" w:rsidRDefault="00164669" w:rsidP="005022B5">
      <w:pPr>
        <w:pStyle w:val="FigureTitle"/>
      </w:pPr>
      <w:r w:rsidRPr="00164669">
        <w:t>Table 7</w:t>
      </w:r>
      <w:r w:rsidR="005022B5" w:rsidRPr="00164669">
        <w:t xml:space="preserve">: </w:t>
      </w:r>
      <w:r w:rsidR="00B404CF">
        <w:t>A</w:t>
      </w:r>
      <w:r w:rsidR="008A1574">
        <w:t>n</w:t>
      </w:r>
      <w:r w:rsidR="00B404CF" w:rsidRPr="00164669">
        <w:t>alysis</w:t>
      </w:r>
      <w:r w:rsidR="00B404CF">
        <w:t xml:space="preserve"> </w:t>
      </w:r>
      <w:r w:rsidR="001219C1">
        <w:t>of Postvaccination HAI GMTs (Per</w:t>
      </w:r>
      <w:r w:rsidR="00A4299A">
        <w:t>-Protocol Population)</w:t>
      </w:r>
    </w:p>
    <w:p w14:paraId="1E6BCA9B" w14:textId="61E99FC7" w:rsidR="005B2D1C" w:rsidRDefault="0025539E" w:rsidP="006A0BC3">
      <w:pPr>
        <w:rPr>
          <w:b/>
          <w:bCs/>
          <w:sz w:val="18"/>
          <w:szCs w:val="18"/>
        </w:rPr>
      </w:pPr>
      <w:r>
        <w:rPr>
          <w:noProof/>
        </w:rPr>
        <mc:AlternateContent>
          <mc:Choice Requires="wps">
            <w:drawing>
              <wp:anchor distT="0" distB="0" distL="114300" distR="114300" simplePos="0" relativeHeight="251659264" behindDoc="0" locked="0" layoutInCell="1" allowOverlap="1" wp14:anchorId="5AA37FFD" wp14:editId="6F4CBD27">
                <wp:simplePos x="0" y="0"/>
                <wp:positionH relativeFrom="column">
                  <wp:posOffset>1225550</wp:posOffset>
                </wp:positionH>
                <wp:positionV relativeFrom="paragraph">
                  <wp:posOffset>2536825</wp:posOffset>
                </wp:positionV>
                <wp:extent cx="2926080" cy="160020"/>
                <wp:effectExtent l="0" t="0" r="7620" b="0"/>
                <wp:wrapNone/>
                <wp:docPr id="674124216" name="Rectangle 1"/>
                <wp:cNvGraphicFramePr/>
                <a:graphic xmlns:a="http://schemas.openxmlformats.org/drawingml/2006/main">
                  <a:graphicData uri="http://schemas.microsoft.com/office/word/2010/wordprocessingShape">
                    <wps:wsp>
                      <wps:cNvSpPr/>
                      <wps:spPr>
                        <a:xfrm>
                          <a:off x="0" y="0"/>
                          <a:ext cx="2926080"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54B66" id="Rectangle 1" o:spid="_x0000_s1026" style="position:absolute;margin-left:96.5pt;margin-top:199.75pt;width:230.4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" fillcolor="white [3212]" stroked="f" strokeweight="1pt"/>
            </w:pict>
          </mc:Fallback>
        </mc:AlternateContent>
      </w:r>
      <w:r w:rsidR="009440C1">
        <w:rPr>
          <w:noProof/>
        </w:rPr>
        <w:drawing>
          <wp:inline distT="0" distB="0" distL="0" distR="0" wp14:anchorId="6B2D213C" wp14:editId="75A0B168">
            <wp:extent cx="4943475" cy="2575759"/>
            <wp:effectExtent l="0" t="0" r="0" b="0"/>
            <wp:docPr id="1159380384" name="Picture 1" descr="Table 7: analysis of Postvaccination HAI GMTs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80384" name="Picture 1" descr="Table 7: analysis of Postvaccination HAI GMTs (Per-Protocol Population)."/>
                    <pic:cNvPicPr/>
                  </pic:nvPicPr>
                  <pic:blipFill>
                    <a:blip r:embed="rId31"/>
                    <a:stretch>
                      <a:fillRect/>
                    </a:stretch>
                  </pic:blipFill>
                  <pic:spPr>
                    <a:xfrm>
                      <a:off x="0" y="0"/>
                      <a:ext cx="4961544" cy="2585174"/>
                    </a:xfrm>
                    <a:prstGeom prst="rect">
                      <a:avLst/>
                    </a:prstGeom>
                  </pic:spPr>
                </pic:pic>
              </a:graphicData>
            </a:graphic>
          </wp:inline>
        </w:drawing>
      </w:r>
    </w:p>
    <w:p w14:paraId="67A971E5" w14:textId="5AABBDA7" w:rsidR="001129CD" w:rsidRPr="006A2B6A" w:rsidRDefault="001129CD" w:rsidP="00D2679A">
      <w:pPr>
        <w:pStyle w:val="Heading6"/>
      </w:pPr>
      <w:r w:rsidRPr="00840534">
        <w:lastRenderedPageBreak/>
        <w:t>Study V116-004</w:t>
      </w:r>
      <w:r>
        <w:t xml:space="preserve"> </w:t>
      </w:r>
      <w:r w:rsidRPr="00C41C4F">
        <w:t>Lot to lot consistency</w:t>
      </w:r>
    </w:p>
    <w:p w14:paraId="6A835F4A" w14:textId="77777777" w:rsidR="001129CD" w:rsidRPr="00612126" w:rsidRDefault="001129CD" w:rsidP="00552446">
      <w:r w:rsidRPr="00612126">
        <w:t xml:space="preserve">This was a randomised, active comparator-controlled, parallel-group, multisite, double-blind study of V116 in pneumococcal vaccine-naïve adults 18 to 49 yrs of age. This study </w:t>
      </w:r>
      <w:r>
        <w:t xml:space="preserve">served </w:t>
      </w:r>
      <w:r w:rsidRPr="00612126">
        <w:t>as a clinical lot consistency study for licensure of V116</w:t>
      </w:r>
      <w:r>
        <w:t xml:space="preserve"> and was</w:t>
      </w:r>
      <w:r w:rsidRPr="00612126">
        <w:t xml:space="preserve"> conducted to demonstrate the consistency of the antibody response to 3 different manufactured lots of V116 in vaccine-naïve adults 18 to 49 yrs of age. PPSV23 </w:t>
      </w:r>
      <w:r>
        <w:t>was</w:t>
      </w:r>
      <w:r w:rsidRPr="00612126">
        <w:t xml:space="preserve"> included as the active comparator in this study to better characterise the safety profile of V116.</w:t>
      </w:r>
    </w:p>
    <w:p w14:paraId="3D4FBE02" w14:textId="66C88CD1" w:rsidR="001129CD" w:rsidRDefault="001129CD" w:rsidP="00D2679A">
      <w:r w:rsidRPr="00D2679A">
        <w:rPr>
          <w:b/>
          <w:bCs/>
        </w:rPr>
        <w:t>Primary Objectives</w:t>
      </w:r>
      <w:r w:rsidRPr="00FB1C95">
        <w:t xml:space="preserve"> </w:t>
      </w:r>
    </w:p>
    <w:p w14:paraId="37391A95" w14:textId="77777777" w:rsidR="001129CD" w:rsidRPr="00FB1C95" w:rsidRDefault="001129CD" w:rsidP="00D2679A">
      <w:r w:rsidRPr="00D2679A">
        <w:t>Safety Objective:</w:t>
      </w:r>
      <w:r w:rsidRPr="00FB1C95">
        <w:rPr>
          <w:b/>
          <w:bCs/>
        </w:rPr>
        <w:t xml:space="preserve"> </w:t>
      </w:r>
      <w:r w:rsidRPr="00FB1C95">
        <w:t>To evaluate the safety and tolerability profile of V116 as assessed by the proportion of participants with AEs.</w:t>
      </w:r>
    </w:p>
    <w:p w14:paraId="24BDA763" w14:textId="77777777" w:rsidR="001129CD" w:rsidRDefault="001129CD" w:rsidP="00D2679A">
      <w:r w:rsidRPr="00D2679A">
        <w:t>Immunogenicity: T</w:t>
      </w:r>
      <w:r w:rsidRPr="00FB1C95">
        <w:t>o compare the serotype-specific OPA GMTs at 30 days postvaccination across 3 different lots of V116 for all serotypes included in V116.</w:t>
      </w:r>
    </w:p>
    <w:p w14:paraId="33ADC176" w14:textId="2BE3A808" w:rsidR="007129D0" w:rsidRPr="00D2679A" w:rsidRDefault="001129CD" w:rsidP="00D2679A">
      <w:pPr>
        <w:rPr>
          <w:b/>
          <w:bCs/>
          <w:szCs w:val="22"/>
        </w:rPr>
      </w:pPr>
      <w:r w:rsidRPr="00D2679A">
        <w:rPr>
          <w:rStyle w:val="Heading8Char"/>
          <w:rFonts w:ascii="Cambria" w:hAnsi="Cambria"/>
          <w:b/>
          <w:bCs/>
          <w:sz w:val="22"/>
          <w:szCs w:val="22"/>
        </w:rPr>
        <w:t>Primary safety endpoints</w:t>
      </w:r>
      <w:r w:rsidR="009E62FE" w:rsidRPr="00D2679A">
        <w:rPr>
          <w:b/>
          <w:bCs/>
          <w:szCs w:val="22"/>
        </w:rPr>
        <w:t xml:space="preserve"> </w:t>
      </w:r>
    </w:p>
    <w:p w14:paraId="72C61F84" w14:textId="54A0B0DC" w:rsidR="001129CD" w:rsidRDefault="001129CD" w:rsidP="00D2679A">
      <w:r>
        <w:t>Solicited injection-site AEs from Day 1 through Day 5 postvaccination; solicited systemic AEs from Day 1 through Day 5 postvaccination; vaccine-related SAEs from Day 1 through the duration of participation in the study.</w:t>
      </w:r>
    </w:p>
    <w:p w14:paraId="35B3F9B3" w14:textId="57B1FE6A" w:rsidR="001129CD" w:rsidRPr="00C12C29" w:rsidRDefault="001129CD" w:rsidP="00D2679A">
      <w:pPr>
        <w:rPr>
          <w:b/>
          <w:bCs/>
        </w:rPr>
      </w:pPr>
      <w:r w:rsidRPr="00C12C29">
        <w:rPr>
          <w:b/>
          <w:bCs/>
        </w:rPr>
        <w:t xml:space="preserve">Primary Immunogenicity endpoints </w:t>
      </w:r>
    </w:p>
    <w:p w14:paraId="547F0D7C" w14:textId="77777777" w:rsidR="001129CD" w:rsidRDefault="001129CD" w:rsidP="00D2679A">
      <w:r>
        <w:t>Serotype-specific OPA responses. For the objectives in this study, the serotypes were categorised as follows:</w:t>
      </w:r>
    </w:p>
    <w:p w14:paraId="29353680" w14:textId="368E590C" w:rsidR="001129CD" w:rsidRDefault="001129CD" w:rsidP="00C37D3A">
      <w:pPr>
        <w:ind w:left="720"/>
      </w:pPr>
      <w:r>
        <w:t>21 serotypes in V116 (3, 6A, 7F, 8, 9N, 10A, 11A, 12F, 15A, 15C, 16F, 17F, 19A, 20</w:t>
      </w:r>
      <w:r w:rsidR="00915434">
        <w:t>A</w:t>
      </w:r>
      <w:r>
        <w:t>, 22F, 23A, 23B, 24F, 31, 33F, 35B)</w:t>
      </w:r>
    </w:p>
    <w:p w14:paraId="797887EA" w14:textId="38C7A3FE" w:rsidR="001129CD" w:rsidRDefault="001129CD" w:rsidP="00C37D3A">
      <w:pPr>
        <w:ind w:left="720"/>
      </w:pPr>
      <w:r>
        <w:t>12 common serotypes in V116 and PPSV23 (3, 7F, 8, 9N, 10A, 11A, 12F, 17F, 19A, 20A, 22F, 33F)</w:t>
      </w:r>
    </w:p>
    <w:p w14:paraId="20031DC9" w14:textId="1DAD6660" w:rsidR="001129CD" w:rsidRDefault="001129CD" w:rsidP="00C37D3A">
      <w:pPr>
        <w:ind w:left="720"/>
      </w:pPr>
      <w:r>
        <w:t>9 unique serotypes in V116 (6A, 15A, 15C, 16F, 23A, 23B, 24F, 31, 35B)</w:t>
      </w:r>
    </w:p>
    <w:p w14:paraId="329A7293" w14:textId="69B3084C" w:rsidR="001129CD" w:rsidRDefault="001129CD" w:rsidP="00C37D3A">
      <w:pPr>
        <w:ind w:left="720"/>
      </w:pPr>
      <w:r>
        <w:t>2 cross-reactive serotypes (6C and 15B)</w:t>
      </w:r>
    </w:p>
    <w:p w14:paraId="720B8CE9" w14:textId="77777777" w:rsidR="001129CD" w:rsidRPr="00C12C29" w:rsidRDefault="001129CD" w:rsidP="00D2679A">
      <w:pPr>
        <w:rPr>
          <w:b/>
          <w:bCs/>
        </w:rPr>
      </w:pPr>
      <w:r w:rsidRPr="00C12C29">
        <w:rPr>
          <w:b/>
          <w:bCs/>
        </w:rPr>
        <w:t>Results</w:t>
      </w:r>
    </w:p>
    <w:p w14:paraId="3A13C439" w14:textId="77777777" w:rsidR="009E62FE" w:rsidRPr="00C12C29" w:rsidRDefault="001129CD" w:rsidP="00D2679A">
      <w:pPr>
        <w:rPr>
          <w:b/>
          <w:bCs/>
        </w:rPr>
      </w:pPr>
      <w:r w:rsidRPr="00C12C29">
        <w:rPr>
          <w:b/>
          <w:bCs/>
        </w:rPr>
        <w:t>Safety</w:t>
      </w:r>
    </w:p>
    <w:p w14:paraId="4029BB88" w14:textId="75C8F960" w:rsidR="001129CD" w:rsidRPr="0041453A" w:rsidRDefault="001129CD" w:rsidP="00D2679A">
      <w:r w:rsidRPr="0041453A">
        <w:t>In adults 18 to 49 yrs of age, V116 was well tolerated with a safety profile that was consistent across manufacturing lots and generally comparable to PPSV23.</w:t>
      </w:r>
    </w:p>
    <w:p w14:paraId="1C0C3809" w14:textId="1D76AC42" w:rsidR="001129CD" w:rsidRPr="0041453A" w:rsidRDefault="001129CD" w:rsidP="00D2679A">
      <w:r w:rsidRPr="0041453A">
        <w:t>Overall proportions of participants with AEs and solicited AEs were comparable across the 3 lots of V116.</w:t>
      </w:r>
    </w:p>
    <w:p w14:paraId="1BCE6CC4" w14:textId="63A34FBF" w:rsidR="001129CD" w:rsidRDefault="001129CD" w:rsidP="00D2679A">
      <w:r w:rsidRPr="0041453A">
        <w:t>Overall proportions of participants with AEs were generally comparable between the V116 (combined lots) and the PPSV23 intervention g</w:t>
      </w:r>
      <w:r>
        <w:t>rou</w:t>
      </w:r>
      <w:r w:rsidRPr="0041453A">
        <w:t>ps (80.4% vs. 74.9%).</w:t>
      </w:r>
    </w:p>
    <w:p w14:paraId="592F5738" w14:textId="226BACCA" w:rsidR="001129CD" w:rsidRDefault="001129CD" w:rsidP="00D2679A">
      <w:r w:rsidRPr="00832FEB">
        <w:t>The proportions</w:t>
      </w:r>
      <w:r>
        <w:t xml:space="preserve"> of participants</w:t>
      </w:r>
      <w:r w:rsidRPr="00832FEB">
        <w:t xml:space="preserve"> with solicited AEs were generally comparable between the V116 (combined lots) and the PPSV23 g</w:t>
      </w:r>
      <w:r>
        <w:t>rou</w:t>
      </w:r>
      <w:r w:rsidRPr="00832FEB">
        <w:t>ps, except for injection-site pain, which was higher in the V116 (combined lots) v</w:t>
      </w:r>
      <w:r w:rsidR="00A415A2">
        <w:t>ersus</w:t>
      </w:r>
      <w:r w:rsidRPr="00832FEB">
        <w:t xml:space="preserve"> PPSV23 g</w:t>
      </w:r>
      <w:r>
        <w:t>rou</w:t>
      </w:r>
      <w:r w:rsidRPr="00832FEB">
        <w:t>p (73.3% vs. 60.6%).</w:t>
      </w:r>
    </w:p>
    <w:p w14:paraId="0831EC25" w14:textId="77777777" w:rsidR="001129CD" w:rsidRPr="00C12C29" w:rsidRDefault="001129CD" w:rsidP="00D2679A">
      <w:pPr>
        <w:rPr>
          <w:b/>
          <w:bCs/>
        </w:rPr>
      </w:pPr>
      <w:r w:rsidRPr="00C12C29">
        <w:rPr>
          <w:b/>
          <w:bCs/>
        </w:rPr>
        <w:t>Immunogenicity</w:t>
      </w:r>
    </w:p>
    <w:p w14:paraId="7E3CF106" w14:textId="192D8110" w:rsidR="001129CD" w:rsidRDefault="001129CD" w:rsidP="00D2679A">
      <w:r w:rsidRPr="008A4D73">
        <w:t xml:space="preserve">All </w:t>
      </w:r>
      <w:r>
        <w:t>three</w:t>
      </w:r>
      <w:r w:rsidRPr="008A4D73">
        <w:t xml:space="preserve"> lots of V116 met equivalence criteria as assessed by serotype-specific OPA GMTs at 30 days post</w:t>
      </w:r>
      <w:r w:rsidR="000636C1">
        <w:t>-</w:t>
      </w:r>
      <w:r w:rsidRPr="008A4D73">
        <w:t>vaccination for all 21 serotypes in V116. For each pairwise V116 lot-to-lot comparison, the lower and upper limits of the 95% CI of the OPA GMT ratios were within 0.5 and 2.0 for all serotypes in V116</w:t>
      </w:r>
      <w:r w:rsidR="000636C1">
        <w:t>.</w:t>
      </w:r>
    </w:p>
    <w:p w14:paraId="02F76C1E" w14:textId="59CE7FCD" w:rsidR="001129CD" w:rsidRPr="00EF7CDE" w:rsidRDefault="00925321" w:rsidP="001129CD">
      <w:r w:rsidRPr="00925321">
        <w:lastRenderedPageBreak/>
        <w:t xml:space="preserve">The Delegate noted the </w:t>
      </w:r>
      <w:r w:rsidR="001129CD" w:rsidRPr="00925321">
        <w:t>FDA</w:t>
      </w:r>
      <w:r w:rsidR="001129CD">
        <w:t xml:space="preserve"> review</w:t>
      </w:r>
      <w:r w:rsidR="001129CD" w:rsidRPr="00EF7CDE">
        <w:rPr>
          <w:vertAlign w:val="superscript"/>
        </w:rPr>
        <w:t>9</w:t>
      </w:r>
      <w:r w:rsidR="001129CD">
        <w:t xml:space="preserve"> highlighted the s</w:t>
      </w:r>
      <w:r w:rsidR="001129CD" w:rsidRPr="00B72AE9">
        <w:t xml:space="preserve">trengths of this study include the large number of participants who received V116 across the three lots (Lot 1: n=539; Lot 2: n=536; Lot 3: n=541), and the inclusion of V116 vaccinated participants (n= 406 [25.1%] in the combined lots) with </w:t>
      </w:r>
      <w:r w:rsidR="00F50086">
        <w:t>more than one</w:t>
      </w:r>
      <w:r w:rsidR="001129CD" w:rsidRPr="00B72AE9">
        <w:t xml:space="preserve"> prespecified medical history condition</w:t>
      </w:r>
      <w:r w:rsidR="001129CD">
        <w:t>.</w:t>
      </w:r>
    </w:p>
    <w:p w14:paraId="68FB74F7" w14:textId="5A93D013" w:rsidR="001129CD" w:rsidRDefault="001129CD" w:rsidP="006A2B6A">
      <w:pPr>
        <w:pStyle w:val="Heading6"/>
      </w:pPr>
      <w:r w:rsidRPr="00360005">
        <w:t>Study V116-00</w:t>
      </w:r>
      <w:r>
        <w:t xml:space="preserve">1, </w:t>
      </w:r>
      <w:r w:rsidRPr="00C41C4F">
        <w:t>Phase 1</w:t>
      </w:r>
      <w:r>
        <w:t>/</w:t>
      </w:r>
      <w:r w:rsidRPr="00C41C4F">
        <w:t>2 study</w:t>
      </w:r>
      <w:r w:rsidR="00A00E53">
        <w:rPr>
          <w:rStyle w:val="FootnoteReference"/>
        </w:rPr>
        <w:footnoteReference w:id="11"/>
      </w:r>
    </w:p>
    <w:p w14:paraId="058F93A2" w14:textId="77777777" w:rsidR="001129CD" w:rsidRDefault="001129CD" w:rsidP="00067200">
      <w:r>
        <w:t>This was a</w:t>
      </w:r>
      <w:r w:rsidRPr="007809A2">
        <w:t xml:space="preserve"> Phase 1/Phase 2, </w:t>
      </w:r>
      <w:r>
        <w:t>r</w:t>
      </w:r>
      <w:r w:rsidRPr="007809A2">
        <w:t>andomi</w:t>
      </w:r>
      <w:r>
        <w:t>s</w:t>
      </w:r>
      <w:r w:rsidRPr="007809A2">
        <w:t xml:space="preserve">ed, </w:t>
      </w:r>
      <w:r>
        <w:t>d</w:t>
      </w:r>
      <w:r w:rsidRPr="007809A2">
        <w:t xml:space="preserve">ouble-blind Study to </w:t>
      </w:r>
      <w:r>
        <w:t>e</w:t>
      </w:r>
      <w:r w:rsidRPr="007809A2">
        <w:t xml:space="preserve">valuate the </w:t>
      </w:r>
      <w:r>
        <w:t>s</w:t>
      </w:r>
      <w:r w:rsidRPr="007809A2">
        <w:t xml:space="preserve">afety, </w:t>
      </w:r>
      <w:r>
        <w:t>t</w:t>
      </w:r>
      <w:r w:rsidRPr="007809A2">
        <w:t xml:space="preserve">olerability, and </w:t>
      </w:r>
      <w:r>
        <w:t>i</w:t>
      </w:r>
      <w:r w:rsidRPr="007809A2">
        <w:t xml:space="preserve">mmunogenicity of a </w:t>
      </w:r>
      <w:r>
        <w:t>p</w:t>
      </w:r>
      <w:r w:rsidRPr="007809A2">
        <w:t xml:space="preserve">olyvalent </w:t>
      </w:r>
      <w:r>
        <w:t>p</w:t>
      </w:r>
      <w:r w:rsidRPr="007809A2">
        <w:t xml:space="preserve">neumococcal </w:t>
      </w:r>
      <w:r>
        <w:t>c</w:t>
      </w:r>
      <w:r w:rsidRPr="007809A2">
        <w:t xml:space="preserve">onjugate </w:t>
      </w:r>
      <w:r>
        <w:t>v</w:t>
      </w:r>
      <w:r w:rsidRPr="007809A2">
        <w:t xml:space="preserve">accine in </w:t>
      </w:r>
      <w:r>
        <w:t>a</w:t>
      </w:r>
      <w:r w:rsidRPr="007809A2">
        <w:t>dults.</w:t>
      </w:r>
    </w:p>
    <w:p w14:paraId="29E6845D" w14:textId="744A4791" w:rsidR="00927DF2" w:rsidRDefault="007B6942" w:rsidP="007B6942">
      <w:pPr>
        <w:rPr>
          <w:b/>
        </w:rPr>
      </w:pPr>
      <w:r w:rsidRPr="007B6942">
        <w:rPr>
          <w:b/>
        </w:rPr>
        <w:t>Study design</w:t>
      </w:r>
    </w:p>
    <w:p w14:paraId="4C676C95" w14:textId="258BCF9A" w:rsidR="007B6942" w:rsidRPr="007B6942" w:rsidRDefault="007B6942" w:rsidP="007B6942">
      <w:pPr>
        <w:rPr>
          <w:b/>
        </w:rPr>
      </w:pPr>
      <w:r w:rsidRPr="007B6942">
        <w:t>Multicentre, immunogenicity, safety, tolerability, parallel assignment, double blind, active comparator controlled</w:t>
      </w:r>
      <w:r w:rsidRPr="007B6942">
        <w:rPr>
          <w:b/>
        </w:rPr>
        <w:t xml:space="preserve">, </w:t>
      </w:r>
      <w:r w:rsidRPr="007B6942">
        <w:t>conducted in 2 Phases</w:t>
      </w:r>
      <w:r w:rsidR="0070611B">
        <w:t>.</w:t>
      </w:r>
    </w:p>
    <w:p w14:paraId="789E6346" w14:textId="29462004" w:rsidR="00065FE6" w:rsidRPr="00065FE6" w:rsidRDefault="00065FE6" w:rsidP="00065FE6">
      <w:pPr>
        <w:rPr>
          <w:b/>
        </w:rPr>
      </w:pPr>
      <w:r w:rsidRPr="00065FE6">
        <w:rPr>
          <w:b/>
        </w:rPr>
        <w:t>Phases 1 and 2: Primary objective</w:t>
      </w:r>
      <w:r w:rsidRPr="00065FE6">
        <w:t xml:space="preserve"> </w:t>
      </w:r>
    </w:p>
    <w:p w14:paraId="01A11210" w14:textId="646AE391"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Phase </w:t>
      </w:r>
      <w:r w:rsidR="000357F0">
        <w:rPr>
          <w:rFonts w:eastAsia="Cambria" w:cs="Times New Roman"/>
          <w:b/>
          <w:bCs/>
          <w:color w:val="000000" w:themeColor="text1"/>
          <w:lang w:val="en"/>
        </w:rPr>
        <w:t>1</w:t>
      </w:r>
    </w:p>
    <w:p w14:paraId="1B3E98F3" w14:textId="77777777"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Primary: </w:t>
      </w:r>
    </w:p>
    <w:p w14:paraId="4B7E7167" w14:textId="31ADD5C9" w:rsidR="0042326E" w:rsidRPr="0042326E" w:rsidRDefault="0042326E" w:rsidP="0042326E">
      <w:pPr>
        <w:numPr>
          <w:ilvl w:val="0"/>
          <w:numId w:val="20"/>
        </w:numPr>
        <w:rPr>
          <w:rFonts w:eastAsia="Cambria" w:cs="Times New Roman"/>
          <w:color w:val="000000" w:themeColor="text1"/>
          <w:lang w:val="en"/>
        </w:rPr>
      </w:pPr>
      <w:r w:rsidRPr="0042326E">
        <w:rPr>
          <w:rFonts w:eastAsia="Cambria" w:cs="Times New Roman"/>
          <w:color w:val="000000" w:themeColor="text1"/>
          <w:lang w:val="en"/>
        </w:rPr>
        <w:t>To evaluate the safety and tolerability of V116 (2 different doses) with respect to the proportion of participants with AEs.</w:t>
      </w:r>
    </w:p>
    <w:p w14:paraId="4CD15A91" w14:textId="77777777"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Secondary: </w:t>
      </w:r>
    </w:p>
    <w:p w14:paraId="168C3C41" w14:textId="572E2206" w:rsidR="0042326E" w:rsidRPr="0042326E" w:rsidRDefault="0042326E" w:rsidP="0042326E">
      <w:pPr>
        <w:numPr>
          <w:ilvl w:val="0"/>
          <w:numId w:val="21"/>
        </w:numPr>
        <w:rPr>
          <w:rFonts w:eastAsia="Cambria" w:cs="Times New Roman"/>
          <w:color w:val="000000" w:themeColor="text1"/>
          <w:lang w:val="en"/>
        </w:rPr>
      </w:pPr>
      <w:r w:rsidRPr="0042326E">
        <w:rPr>
          <w:rFonts w:eastAsia="Cambria" w:cs="Times New Roman"/>
          <w:color w:val="000000" w:themeColor="text1"/>
          <w:lang w:val="en"/>
        </w:rPr>
        <w:t xml:space="preserve">To describe the serotype-specific OPA GMTs and IgG </w:t>
      </w:r>
      <w:r w:rsidR="00B700AE">
        <w:rPr>
          <w:rFonts w:eastAsia="Cambria" w:cs="Times New Roman"/>
          <w:color w:val="000000" w:themeColor="text1"/>
        </w:rPr>
        <w:t>g</w:t>
      </w:r>
      <w:r w:rsidR="00B700AE" w:rsidRPr="00B700AE">
        <w:rPr>
          <w:rFonts w:eastAsia="Cambria" w:cs="Times New Roman"/>
          <w:color w:val="000000" w:themeColor="text1"/>
        </w:rPr>
        <w:t xml:space="preserve">eometric mean concentrations </w:t>
      </w:r>
      <w:r w:rsidR="00B700AE">
        <w:rPr>
          <w:rFonts w:eastAsia="Cambria" w:cs="Times New Roman"/>
          <w:color w:val="000000" w:themeColor="text1"/>
        </w:rPr>
        <w:t>(</w:t>
      </w:r>
      <w:r w:rsidRPr="0042326E">
        <w:rPr>
          <w:rFonts w:eastAsia="Cambria" w:cs="Times New Roman"/>
          <w:color w:val="000000" w:themeColor="text1"/>
          <w:lang w:val="en"/>
        </w:rPr>
        <w:t>GMCs</w:t>
      </w:r>
      <w:r w:rsidR="00B700AE">
        <w:rPr>
          <w:rFonts w:eastAsia="Cambria" w:cs="Times New Roman"/>
          <w:color w:val="000000" w:themeColor="text1"/>
          <w:lang w:val="en"/>
        </w:rPr>
        <w:t>)</w:t>
      </w:r>
      <w:r w:rsidRPr="0042326E">
        <w:rPr>
          <w:rFonts w:eastAsia="Cambria" w:cs="Times New Roman"/>
          <w:color w:val="000000" w:themeColor="text1"/>
          <w:lang w:val="en"/>
        </w:rPr>
        <w:t xml:space="preserve"> as measured at 30 days postvaccination.</w:t>
      </w:r>
    </w:p>
    <w:p w14:paraId="1CF03958" w14:textId="7210D30C" w:rsidR="0042326E" w:rsidRPr="0042326E" w:rsidRDefault="0042326E" w:rsidP="0042326E">
      <w:pPr>
        <w:numPr>
          <w:ilvl w:val="0"/>
          <w:numId w:val="21"/>
        </w:numPr>
        <w:rPr>
          <w:rFonts w:eastAsia="Cambria" w:cs="Times New Roman"/>
          <w:color w:val="000000" w:themeColor="text1"/>
          <w:lang w:val="en"/>
        </w:rPr>
      </w:pPr>
      <w:r w:rsidRPr="0042326E">
        <w:rPr>
          <w:rFonts w:eastAsia="Cambria" w:cs="Times New Roman"/>
          <w:color w:val="000000" w:themeColor="text1"/>
          <w:lang w:val="en"/>
        </w:rPr>
        <w:t xml:space="preserve">To describe the serotype-specific </w:t>
      </w:r>
      <w:r w:rsidR="0037027D">
        <w:rPr>
          <w:rFonts w:eastAsia="Cambria" w:cs="Times New Roman"/>
          <w:color w:val="000000" w:themeColor="text1"/>
        </w:rPr>
        <w:t>g</w:t>
      </w:r>
      <w:r w:rsidR="00622D0B" w:rsidRPr="00622D0B">
        <w:rPr>
          <w:rFonts w:eastAsia="Cambria" w:cs="Times New Roman"/>
          <w:color w:val="000000" w:themeColor="text1"/>
        </w:rPr>
        <w:t xml:space="preserve">eometric </w:t>
      </w:r>
      <w:r w:rsidR="0037027D">
        <w:rPr>
          <w:rFonts w:eastAsia="Cambria" w:cs="Times New Roman"/>
          <w:color w:val="000000" w:themeColor="text1"/>
        </w:rPr>
        <w:t>m</w:t>
      </w:r>
      <w:r w:rsidR="00622D0B" w:rsidRPr="00622D0B">
        <w:rPr>
          <w:rFonts w:eastAsia="Cambria" w:cs="Times New Roman"/>
          <w:color w:val="000000" w:themeColor="text1"/>
        </w:rPr>
        <w:t xml:space="preserve">ean </w:t>
      </w:r>
      <w:r w:rsidR="0037027D">
        <w:rPr>
          <w:rFonts w:eastAsia="Cambria" w:cs="Times New Roman"/>
          <w:color w:val="000000" w:themeColor="text1"/>
        </w:rPr>
        <w:t>f</w:t>
      </w:r>
      <w:r w:rsidR="00622D0B" w:rsidRPr="00622D0B">
        <w:rPr>
          <w:rFonts w:eastAsia="Cambria" w:cs="Times New Roman"/>
          <w:color w:val="000000" w:themeColor="text1"/>
        </w:rPr>
        <w:t xml:space="preserve">old </w:t>
      </w:r>
      <w:r w:rsidR="0037027D">
        <w:rPr>
          <w:rFonts w:eastAsia="Cambria" w:cs="Times New Roman"/>
          <w:color w:val="000000" w:themeColor="text1"/>
        </w:rPr>
        <w:t>r</w:t>
      </w:r>
      <w:r w:rsidR="00622D0B" w:rsidRPr="00622D0B">
        <w:rPr>
          <w:rFonts w:eastAsia="Cambria" w:cs="Times New Roman"/>
          <w:color w:val="000000" w:themeColor="text1"/>
        </w:rPr>
        <w:t xml:space="preserve">ise </w:t>
      </w:r>
      <w:r w:rsidR="00622D0B">
        <w:rPr>
          <w:rFonts w:eastAsia="Cambria" w:cs="Times New Roman"/>
          <w:color w:val="000000" w:themeColor="text1"/>
        </w:rPr>
        <w:t>(</w:t>
      </w:r>
      <w:r w:rsidRPr="0042326E">
        <w:rPr>
          <w:rFonts w:eastAsia="Cambria" w:cs="Times New Roman"/>
          <w:color w:val="000000" w:themeColor="text1"/>
          <w:lang w:val="en"/>
        </w:rPr>
        <w:t>GMFR</w:t>
      </w:r>
      <w:r w:rsidR="00622D0B">
        <w:rPr>
          <w:rFonts w:eastAsia="Cambria" w:cs="Times New Roman"/>
          <w:color w:val="000000" w:themeColor="text1"/>
          <w:lang w:val="en"/>
        </w:rPr>
        <w:t>)</w:t>
      </w:r>
      <w:r w:rsidRPr="0042326E">
        <w:rPr>
          <w:rFonts w:eastAsia="Cambria" w:cs="Times New Roman"/>
          <w:color w:val="000000" w:themeColor="text1"/>
          <w:lang w:val="en"/>
        </w:rPr>
        <w:t xml:space="preserve"> from pre</w:t>
      </w:r>
      <w:r w:rsidR="0037027D">
        <w:rPr>
          <w:rFonts w:eastAsia="Cambria" w:cs="Times New Roman"/>
          <w:color w:val="000000" w:themeColor="text1"/>
          <w:lang w:val="en"/>
        </w:rPr>
        <w:t>-</w:t>
      </w:r>
      <w:r w:rsidRPr="0042326E">
        <w:rPr>
          <w:rFonts w:eastAsia="Cambria" w:cs="Times New Roman"/>
          <w:color w:val="000000" w:themeColor="text1"/>
          <w:lang w:val="en"/>
        </w:rPr>
        <w:t>vaccination (Day 1) to 30 days postvaccination (Day 30) for both OPA and IgG responses.</w:t>
      </w:r>
    </w:p>
    <w:p w14:paraId="46D4B37E" w14:textId="73A925A9"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Phase </w:t>
      </w:r>
      <w:r w:rsidR="000357F0">
        <w:rPr>
          <w:rFonts w:eastAsia="Cambria" w:cs="Times New Roman"/>
          <w:b/>
          <w:bCs/>
          <w:color w:val="000000" w:themeColor="text1"/>
          <w:lang w:val="en"/>
        </w:rPr>
        <w:t>2</w:t>
      </w:r>
    </w:p>
    <w:p w14:paraId="68F6D066" w14:textId="77777777"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Primary: </w:t>
      </w:r>
    </w:p>
    <w:p w14:paraId="5FA5BAE9" w14:textId="77777777" w:rsidR="0042326E" w:rsidRPr="0042326E" w:rsidRDefault="0042326E" w:rsidP="0042326E">
      <w:pPr>
        <w:numPr>
          <w:ilvl w:val="0"/>
          <w:numId w:val="22"/>
        </w:numPr>
        <w:rPr>
          <w:rFonts w:eastAsia="Cambria" w:cs="Times New Roman"/>
          <w:color w:val="000000" w:themeColor="text1"/>
          <w:lang w:val="en"/>
        </w:rPr>
      </w:pPr>
      <w:r w:rsidRPr="0042326E">
        <w:rPr>
          <w:rFonts w:eastAsia="Cambria" w:cs="Times New Roman"/>
          <w:color w:val="000000" w:themeColor="text1"/>
          <w:lang w:val="en"/>
        </w:rPr>
        <w:t>To evaluate the safety and tolerability of V116 with respect to the proportion of participants with AEs.</w:t>
      </w:r>
    </w:p>
    <w:p w14:paraId="74005F06" w14:textId="77777777" w:rsidR="0042326E" w:rsidRPr="0042326E" w:rsidRDefault="0042326E" w:rsidP="0042326E">
      <w:pPr>
        <w:numPr>
          <w:ilvl w:val="0"/>
          <w:numId w:val="22"/>
        </w:numPr>
        <w:rPr>
          <w:rFonts w:eastAsia="Cambria" w:cs="Times New Roman"/>
          <w:color w:val="000000" w:themeColor="text1"/>
          <w:lang w:val="en"/>
        </w:rPr>
      </w:pPr>
      <w:r w:rsidRPr="0042326E">
        <w:rPr>
          <w:rFonts w:eastAsia="Cambria" w:cs="Times New Roman"/>
          <w:color w:val="000000" w:themeColor="text1"/>
          <w:lang w:val="en"/>
        </w:rPr>
        <w:t>To evaluate the serotype-specific OPA GMTs at 30 days postvaccination.</w:t>
      </w:r>
    </w:p>
    <w:p w14:paraId="4D4A55FA" w14:textId="77777777" w:rsidR="0042326E" w:rsidRPr="0042326E" w:rsidRDefault="0042326E" w:rsidP="0042326E">
      <w:pPr>
        <w:rPr>
          <w:rFonts w:eastAsia="Cambria" w:cs="Times New Roman"/>
          <w:color w:val="000000" w:themeColor="text1"/>
          <w:lang w:val="en"/>
        </w:rPr>
      </w:pPr>
      <w:r w:rsidRPr="0042326E">
        <w:rPr>
          <w:rFonts w:eastAsia="Cambria" w:cs="Times New Roman"/>
          <w:b/>
          <w:bCs/>
          <w:color w:val="000000" w:themeColor="text1"/>
          <w:lang w:val="en"/>
        </w:rPr>
        <w:t xml:space="preserve">Secondary: </w:t>
      </w:r>
    </w:p>
    <w:p w14:paraId="6DEF8323" w14:textId="20E5BA78" w:rsidR="0042326E" w:rsidRPr="0042326E" w:rsidRDefault="0042326E" w:rsidP="0042326E">
      <w:pPr>
        <w:numPr>
          <w:ilvl w:val="0"/>
          <w:numId w:val="23"/>
        </w:numPr>
        <w:rPr>
          <w:rFonts w:eastAsia="Cambria" w:cs="Times New Roman"/>
          <w:color w:val="000000" w:themeColor="text1"/>
          <w:lang w:val="en"/>
        </w:rPr>
      </w:pPr>
      <w:r w:rsidRPr="0042326E">
        <w:rPr>
          <w:rFonts w:eastAsia="Cambria" w:cs="Times New Roman"/>
          <w:color w:val="000000" w:themeColor="text1"/>
          <w:lang w:val="en"/>
        </w:rPr>
        <w:t>To evaluate serotype-specific IgG GMCs at 30 days postvaccination</w:t>
      </w:r>
    </w:p>
    <w:p w14:paraId="46647141" w14:textId="77777777" w:rsidR="0042326E" w:rsidRDefault="0042326E" w:rsidP="0042326E">
      <w:pPr>
        <w:numPr>
          <w:ilvl w:val="0"/>
          <w:numId w:val="23"/>
        </w:numPr>
        <w:rPr>
          <w:rFonts w:eastAsia="Cambria" w:cs="Times New Roman"/>
          <w:color w:val="000000" w:themeColor="text1"/>
          <w:lang w:val="en"/>
        </w:rPr>
      </w:pPr>
      <w:r w:rsidRPr="0042326E">
        <w:rPr>
          <w:rFonts w:eastAsia="Cambria" w:cs="Times New Roman"/>
          <w:color w:val="000000" w:themeColor="text1"/>
          <w:lang w:val="en"/>
        </w:rPr>
        <w:t>To evaluate serotype-specific GMFR from prevaccination (Day 1) to 30 days postvaccination (Day 30) for both OPA and IgG responses.</w:t>
      </w:r>
    </w:p>
    <w:p w14:paraId="056CB822" w14:textId="2953B956" w:rsidR="005A0EDB" w:rsidRDefault="00C44F3A" w:rsidP="0042326E">
      <w:pPr>
        <w:numPr>
          <w:ilvl w:val="0"/>
          <w:numId w:val="23"/>
        </w:numPr>
        <w:rPr>
          <w:rFonts w:eastAsia="Cambria" w:cs="Times New Roman"/>
          <w:color w:val="000000" w:themeColor="text1"/>
          <w:lang w:val="en"/>
        </w:rPr>
      </w:pPr>
      <w:r>
        <w:rPr>
          <w:rFonts w:eastAsia="Cambria" w:cs="Times New Roman"/>
          <w:color w:val="000000" w:themeColor="text1"/>
          <w:lang w:val="en"/>
        </w:rPr>
        <w:t>To evaluate the propo</w:t>
      </w:r>
      <w:r w:rsidR="001D613A">
        <w:rPr>
          <w:rFonts w:eastAsia="Cambria" w:cs="Times New Roman"/>
          <w:color w:val="000000" w:themeColor="text1"/>
          <w:lang w:val="en"/>
        </w:rPr>
        <w:t xml:space="preserve">rtion of participants who achieve a </w:t>
      </w:r>
      <w:r w:rsidR="001D613A">
        <w:rPr>
          <w:rFonts w:ascii="Times New Roman" w:eastAsia="Cambria" w:hAnsi="Times New Roman" w:cs="Times New Roman"/>
          <w:color w:val="000000" w:themeColor="text1"/>
          <w:lang w:val="en"/>
        </w:rPr>
        <w:t>≥</w:t>
      </w:r>
      <w:r w:rsidR="001D613A">
        <w:rPr>
          <w:rFonts w:eastAsia="Cambria" w:cs="Times New Roman"/>
          <w:color w:val="000000" w:themeColor="text1"/>
          <w:lang w:val="en"/>
        </w:rPr>
        <w:t xml:space="preserve">4-fold increase in serotype-specific OPA responses from prevaccination </w:t>
      </w:r>
      <w:r w:rsidR="00BA7A15">
        <w:rPr>
          <w:rFonts w:eastAsia="Cambria" w:cs="Times New Roman"/>
          <w:color w:val="000000" w:themeColor="text1"/>
          <w:lang w:val="en"/>
        </w:rPr>
        <w:t xml:space="preserve">(Day 1) to 30 days </w:t>
      </w:r>
      <w:r w:rsidR="00327237">
        <w:rPr>
          <w:rFonts w:eastAsia="Cambria" w:cs="Times New Roman"/>
          <w:color w:val="000000" w:themeColor="text1"/>
          <w:lang w:val="en"/>
        </w:rPr>
        <w:t>postvaccination (Day 30)</w:t>
      </w:r>
      <w:r w:rsidR="00A11FBD">
        <w:rPr>
          <w:rFonts w:eastAsia="Cambria" w:cs="Times New Roman"/>
          <w:color w:val="000000" w:themeColor="text1"/>
          <w:lang w:val="en"/>
        </w:rPr>
        <w:t xml:space="preserve">. </w:t>
      </w:r>
    </w:p>
    <w:p w14:paraId="780ABE8F" w14:textId="1D3814CF" w:rsidR="00240F38" w:rsidRDefault="00240F38" w:rsidP="00240F38">
      <w:pPr>
        <w:pStyle w:val="ListBullet"/>
        <w:numPr>
          <w:ilvl w:val="0"/>
          <w:numId w:val="0"/>
        </w:numPr>
        <w:rPr>
          <w:b/>
          <w:bCs/>
          <w:lang w:eastAsia="ja-JP"/>
        </w:rPr>
      </w:pPr>
      <w:r w:rsidRPr="00240F38">
        <w:rPr>
          <w:b/>
          <w:bCs/>
          <w:lang w:eastAsia="ja-JP"/>
        </w:rPr>
        <w:t>Results</w:t>
      </w:r>
    </w:p>
    <w:p w14:paraId="752007CF" w14:textId="77777777" w:rsidR="004248F4" w:rsidRPr="00B466A9" w:rsidRDefault="004248F4" w:rsidP="004248F4">
      <w:pPr>
        <w:rPr>
          <w:rFonts w:eastAsia="TimesNewRoman" w:cs="TimesNewRoman"/>
          <w:b/>
          <w:bCs/>
        </w:rPr>
      </w:pPr>
      <w:r w:rsidRPr="00B466A9">
        <w:rPr>
          <w:rFonts w:eastAsia="TimesNewRoman" w:cs="TimesNewRoman"/>
          <w:b/>
          <w:bCs/>
        </w:rPr>
        <w:t>Primary Immunogenicity Endpoints</w:t>
      </w:r>
    </w:p>
    <w:p w14:paraId="1C7AE7B5" w14:textId="760AD33C" w:rsidR="001F515E" w:rsidRPr="001F515E" w:rsidRDefault="001F515E" w:rsidP="001F515E">
      <w:pPr>
        <w:rPr>
          <w:lang w:val="en"/>
        </w:rPr>
      </w:pPr>
      <w:r w:rsidRPr="001F515E">
        <w:rPr>
          <w:b/>
          <w:bCs/>
          <w:lang w:val="en"/>
        </w:rPr>
        <w:t xml:space="preserve">Phase </w:t>
      </w:r>
      <w:r w:rsidR="000357F0">
        <w:rPr>
          <w:b/>
          <w:bCs/>
          <w:lang w:val="en"/>
        </w:rPr>
        <w:t>1</w:t>
      </w:r>
    </w:p>
    <w:p w14:paraId="3217BB9C" w14:textId="77777777" w:rsidR="001F515E" w:rsidRPr="001F515E" w:rsidRDefault="001F515E" w:rsidP="001F515E">
      <w:pPr>
        <w:rPr>
          <w:lang w:val="en"/>
        </w:rPr>
      </w:pPr>
      <w:r w:rsidRPr="001F515E">
        <w:rPr>
          <w:b/>
          <w:bCs/>
          <w:lang w:val="en"/>
        </w:rPr>
        <w:t>Secondary Immunogenicity Endpoints</w:t>
      </w:r>
    </w:p>
    <w:p w14:paraId="787413A7" w14:textId="5B51AE0B" w:rsidR="001F515E" w:rsidRPr="000357F0" w:rsidRDefault="001F515E" w:rsidP="00FD254E">
      <w:pPr>
        <w:numPr>
          <w:ilvl w:val="0"/>
          <w:numId w:val="27"/>
        </w:numPr>
        <w:rPr>
          <w:lang w:val="en"/>
        </w:rPr>
      </w:pPr>
      <w:r w:rsidRPr="001F515E">
        <w:rPr>
          <w:lang w:val="en"/>
        </w:rPr>
        <w:lastRenderedPageBreak/>
        <w:t>Serotype-specific OPA GMTs and IgG GMCs at 30 days postvaccination were generally</w:t>
      </w:r>
      <w:r w:rsidR="00761030">
        <w:rPr>
          <w:lang w:val="en"/>
        </w:rPr>
        <w:t xml:space="preserve"> </w:t>
      </w:r>
      <w:r w:rsidRPr="00761030">
        <w:rPr>
          <w:lang w:val="en"/>
        </w:rPr>
        <w:t>comparable in the V116-1 and V116-2 groups compared with the PPSV23 group for the</w:t>
      </w:r>
      <w:r w:rsidR="000357F0">
        <w:rPr>
          <w:lang w:val="en"/>
        </w:rPr>
        <w:t xml:space="preserve"> </w:t>
      </w:r>
      <w:r w:rsidRPr="000357F0">
        <w:rPr>
          <w:lang w:val="en"/>
        </w:rPr>
        <w:t>common serotypes.</w:t>
      </w:r>
    </w:p>
    <w:p w14:paraId="5F85469A" w14:textId="58863084" w:rsidR="001F515E" w:rsidRPr="00836634" w:rsidRDefault="001F515E" w:rsidP="00FD254E">
      <w:pPr>
        <w:numPr>
          <w:ilvl w:val="0"/>
          <w:numId w:val="28"/>
        </w:numPr>
        <w:rPr>
          <w:lang w:val="en"/>
        </w:rPr>
      </w:pPr>
      <w:r w:rsidRPr="001F515E">
        <w:rPr>
          <w:lang w:val="en"/>
        </w:rPr>
        <w:t>Serotype-specific OPA GMTs and IgG GMCs at 30 days postvaccination were higher in</w:t>
      </w:r>
      <w:r w:rsidR="00761030">
        <w:rPr>
          <w:lang w:val="en"/>
        </w:rPr>
        <w:t xml:space="preserve"> </w:t>
      </w:r>
      <w:r w:rsidRPr="00761030">
        <w:rPr>
          <w:lang w:val="en"/>
        </w:rPr>
        <w:t>the V116-1 and V116-2 groups compared with the PPSV23 group for the serotypes unique</w:t>
      </w:r>
      <w:r w:rsidR="00836634">
        <w:rPr>
          <w:lang w:val="en"/>
        </w:rPr>
        <w:t xml:space="preserve"> </w:t>
      </w:r>
      <w:r w:rsidRPr="00836634">
        <w:rPr>
          <w:lang w:val="en"/>
        </w:rPr>
        <w:t>to V116.</w:t>
      </w:r>
    </w:p>
    <w:p w14:paraId="16F258F1" w14:textId="2F0012C4" w:rsidR="001F515E" w:rsidRPr="001F515E" w:rsidRDefault="001F515E" w:rsidP="001F515E">
      <w:pPr>
        <w:rPr>
          <w:lang w:val="en"/>
        </w:rPr>
      </w:pPr>
      <w:r w:rsidRPr="001F515E">
        <w:rPr>
          <w:b/>
          <w:bCs/>
          <w:lang w:val="en"/>
        </w:rPr>
        <w:t xml:space="preserve">Phase </w:t>
      </w:r>
      <w:r w:rsidR="000357F0">
        <w:rPr>
          <w:b/>
          <w:bCs/>
          <w:lang w:val="en"/>
        </w:rPr>
        <w:t>2</w:t>
      </w:r>
      <w:r w:rsidRPr="001F515E">
        <w:rPr>
          <w:b/>
          <w:bCs/>
          <w:lang w:val="en"/>
        </w:rPr>
        <w:t xml:space="preserve"> </w:t>
      </w:r>
    </w:p>
    <w:p w14:paraId="6A4AC49A" w14:textId="77777777" w:rsidR="001F515E" w:rsidRPr="001F515E" w:rsidRDefault="001F515E" w:rsidP="001F515E">
      <w:pPr>
        <w:rPr>
          <w:lang w:val="en"/>
        </w:rPr>
      </w:pPr>
      <w:r w:rsidRPr="001F515E">
        <w:rPr>
          <w:b/>
          <w:bCs/>
          <w:lang w:val="en"/>
        </w:rPr>
        <w:t>Primary Immunogenicity Endpoints</w:t>
      </w:r>
    </w:p>
    <w:p w14:paraId="35F526D2" w14:textId="28453F34" w:rsidR="001F515E" w:rsidRPr="00836634" w:rsidRDefault="004248F4" w:rsidP="00FD254E">
      <w:pPr>
        <w:numPr>
          <w:ilvl w:val="0"/>
          <w:numId w:val="29"/>
        </w:numPr>
        <w:rPr>
          <w:lang w:val="en"/>
        </w:rPr>
      </w:pPr>
      <w:r w:rsidRPr="001F515E">
        <w:rPr>
          <w:lang w:val="en"/>
        </w:rPr>
        <w:t>V116 met noninferiority criteria for the common serotypes as assessed by</w:t>
      </w:r>
      <w:r>
        <w:rPr>
          <w:lang w:val="en"/>
        </w:rPr>
        <w:t xml:space="preserve"> </w:t>
      </w:r>
      <w:r w:rsidRPr="00836634">
        <w:rPr>
          <w:lang w:val="en"/>
        </w:rPr>
        <w:t xml:space="preserve">serotype-specific OPA GMTs at 30 days postvaccination. </w:t>
      </w:r>
      <w:r w:rsidR="001F515E" w:rsidRPr="00836634">
        <w:rPr>
          <w:lang w:val="en"/>
        </w:rPr>
        <w:t>The lower bound of the 95% CI of the estimated OPA GMT ratio (V116/PPSV23) was &gt;0.33 for all common serotypes.</w:t>
      </w:r>
    </w:p>
    <w:p w14:paraId="775110D0" w14:textId="3719490E" w:rsidR="001F515E" w:rsidRPr="00836634" w:rsidRDefault="001F515E" w:rsidP="00FD254E">
      <w:pPr>
        <w:numPr>
          <w:ilvl w:val="0"/>
          <w:numId w:val="30"/>
        </w:numPr>
        <w:rPr>
          <w:lang w:val="en"/>
        </w:rPr>
      </w:pPr>
      <w:r w:rsidRPr="001F515E">
        <w:rPr>
          <w:lang w:val="en"/>
        </w:rPr>
        <w:t>Serotype-specific OPA GMTs at 30 days postvaccination were statistically significantly</w:t>
      </w:r>
      <w:r w:rsidR="00836634">
        <w:rPr>
          <w:lang w:val="en"/>
        </w:rPr>
        <w:t xml:space="preserve"> </w:t>
      </w:r>
      <w:r w:rsidRPr="00836634">
        <w:rPr>
          <w:lang w:val="en"/>
        </w:rPr>
        <w:t>greater in the V116 group compared with the PPSV23 group for all unique serotypes in</w:t>
      </w:r>
      <w:r w:rsidR="00836634">
        <w:rPr>
          <w:lang w:val="en"/>
        </w:rPr>
        <w:t xml:space="preserve"> </w:t>
      </w:r>
      <w:r w:rsidRPr="00836634">
        <w:rPr>
          <w:lang w:val="en"/>
        </w:rPr>
        <w:t>V116. The lower bound of the 95% CI of the estimated OPA GMT ratio (V116/PPSV23)</w:t>
      </w:r>
      <w:r w:rsidR="00836634">
        <w:rPr>
          <w:lang w:val="en"/>
        </w:rPr>
        <w:t xml:space="preserve"> </w:t>
      </w:r>
      <w:r w:rsidRPr="00836634">
        <w:rPr>
          <w:lang w:val="en"/>
        </w:rPr>
        <w:t>was &gt;1.0 for all unique serotypes in V116.</w:t>
      </w:r>
    </w:p>
    <w:p w14:paraId="7BFEF983" w14:textId="77777777" w:rsidR="001F515E" w:rsidRPr="001F515E" w:rsidRDefault="001F515E" w:rsidP="001F515E">
      <w:pPr>
        <w:rPr>
          <w:lang w:val="en"/>
        </w:rPr>
      </w:pPr>
      <w:r w:rsidRPr="001F515E">
        <w:rPr>
          <w:b/>
          <w:bCs/>
          <w:lang w:val="en"/>
        </w:rPr>
        <w:t>Secondary Immunogenicity Endpoints</w:t>
      </w:r>
    </w:p>
    <w:p w14:paraId="2FE664FE" w14:textId="0D73B853" w:rsidR="001F515E" w:rsidRPr="000357F0" w:rsidRDefault="001F515E" w:rsidP="00FD254E">
      <w:pPr>
        <w:numPr>
          <w:ilvl w:val="0"/>
          <w:numId w:val="31"/>
        </w:numPr>
        <w:rPr>
          <w:lang w:val="en"/>
        </w:rPr>
      </w:pPr>
      <w:r w:rsidRPr="001F515E">
        <w:rPr>
          <w:lang w:val="en"/>
        </w:rPr>
        <w:t>V116 met noninferiority criteria for the common serotypes as assessed by</w:t>
      </w:r>
      <w:r w:rsidR="000357F0">
        <w:rPr>
          <w:lang w:val="en"/>
        </w:rPr>
        <w:t xml:space="preserve"> </w:t>
      </w:r>
      <w:r w:rsidRPr="000357F0">
        <w:rPr>
          <w:lang w:val="en"/>
        </w:rPr>
        <w:t>serotype-specific IgG GMCs at 30 days postvaccination. The lower bound of the 95% CI of the estimated IgG GMC ratio (V116/PPSV23) was &gt;0.5 for all common serotypes.</w:t>
      </w:r>
    </w:p>
    <w:p w14:paraId="48BEB3BA" w14:textId="4CDE9B08" w:rsidR="001F515E" w:rsidRPr="000357F0" w:rsidRDefault="001F515E" w:rsidP="00FD254E">
      <w:pPr>
        <w:numPr>
          <w:ilvl w:val="0"/>
          <w:numId w:val="32"/>
        </w:numPr>
        <w:rPr>
          <w:lang w:val="en"/>
        </w:rPr>
      </w:pPr>
      <w:r w:rsidRPr="001F515E">
        <w:rPr>
          <w:lang w:val="en"/>
        </w:rPr>
        <w:t>Serotype-specific IgG GMCs at 30 days postvaccination were statistically significantly</w:t>
      </w:r>
      <w:r w:rsidR="000357F0">
        <w:rPr>
          <w:lang w:val="en"/>
        </w:rPr>
        <w:t xml:space="preserve"> </w:t>
      </w:r>
      <w:r w:rsidRPr="000357F0">
        <w:rPr>
          <w:lang w:val="en"/>
        </w:rPr>
        <w:t>greater in the V116 group compared with the PPSV23 group for all unique serotypes in V116. The lower bound of the 95% CI of the estimated IgG GMC ratio (V116/PPSV23)</w:t>
      </w:r>
      <w:r w:rsidR="000357F0">
        <w:rPr>
          <w:lang w:val="en"/>
        </w:rPr>
        <w:t xml:space="preserve"> </w:t>
      </w:r>
      <w:r w:rsidRPr="000357F0">
        <w:rPr>
          <w:lang w:val="en"/>
        </w:rPr>
        <w:t>was &gt;1.0 for all unique serotypes in V116.</w:t>
      </w:r>
    </w:p>
    <w:p w14:paraId="5701C43B" w14:textId="77777777" w:rsidR="001F515E" w:rsidRPr="001F515E" w:rsidRDefault="001F515E" w:rsidP="001F515E">
      <w:pPr>
        <w:numPr>
          <w:ilvl w:val="0"/>
          <w:numId w:val="33"/>
        </w:numPr>
        <w:rPr>
          <w:lang w:val="en"/>
        </w:rPr>
      </w:pPr>
      <w:r w:rsidRPr="001F515E">
        <w:rPr>
          <w:lang w:val="en"/>
        </w:rPr>
        <w:t>Serotype-specific GMFRs from prevaccination to 30 days postvaccination for both OPA responses and IgG responses were generally comparable in both intervention groups for the common serotypes and higher in the V116 group compared with the PPSV23 group for the serotypes unique to V116.</w:t>
      </w:r>
    </w:p>
    <w:p w14:paraId="1246FFFF" w14:textId="361902BA" w:rsidR="001F515E" w:rsidRPr="000357F0" w:rsidRDefault="001F515E" w:rsidP="00FD254E">
      <w:pPr>
        <w:numPr>
          <w:ilvl w:val="0"/>
          <w:numId w:val="33"/>
        </w:numPr>
        <w:rPr>
          <w:lang w:val="en"/>
        </w:rPr>
      </w:pPr>
      <w:r w:rsidRPr="001F515E">
        <w:rPr>
          <w:lang w:val="en"/>
        </w:rPr>
        <w:t>The proportions of participants with a ≥4-fold increase in serotype-specific OPA</w:t>
      </w:r>
      <w:r w:rsidR="000357F0">
        <w:rPr>
          <w:lang w:val="en"/>
        </w:rPr>
        <w:t xml:space="preserve"> </w:t>
      </w:r>
      <w:r w:rsidRPr="000357F0">
        <w:rPr>
          <w:lang w:val="en"/>
        </w:rPr>
        <w:t>responses from pre</w:t>
      </w:r>
      <w:r w:rsidR="00241FF5">
        <w:rPr>
          <w:lang w:val="en"/>
        </w:rPr>
        <w:t>-</w:t>
      </w:r>
      <w:r w:rsidRPr="000357F0">
        <w:rPr>
          <w:lang w:val="en"/>
        </w:rPr>
        <w:t>vaccination to 30 days postvaccination were generally comparable in both intervention groups for the common serotypes and higher in the V116 group</w:t>
      </w:r>
      <w:r w:rsidR="000357F0">
        <w:rPr>
          <w:lang w:val="en"/>
        </w:rPr>
        <w:t xml:space="preserve"> </w:t>
      </w:r>
      <w:r w:rsidRPr="000357F0">
        <w:rPr>
          <w:lang w:val="en"/>
        </w:rPr>
        <w:t>compared with the PPSV23 group for the unique serotypes.</w:t>
      </w:r>
    </w:p>
    <w:p w14:paraId="08D188A9" w14:textId="33BFA7D2" w:rsidR="00BE1F65" w:rsidRPr="00BE1F65" w:rsidRDefault="00BE1F65" w:rsidP="008A622B">
      <w:pPr>
        <w:rPr>
          <w:b/>
          <w:bCs/>
        </w:rPr>
      </w:pPr>
      <w:r w:rsidRPr="00BE1F65">
        <w:rPr>
          <w:b/>
          <w:bCs/>
        </w:rPr>
        <w:t>Safety</w:t>
      </w:r>
    </w:p>
    <w:p w14:paraId="06B4C91B" w14:textId="741E7002" w:rsidR="00DD18BA" w:rsidRDefault="001129CD" w:rsidP="008A622B">
      <w:r>
        <w:t>The adverse event profile of V116-1</w:t>
      </w:r>
      <w:r w:rsidRPr="00BF3C5B">
        <w:t xml:space="preserve"> </w:t>
      </w:r>
      <w:r>
        <w:t>(2 μg per pneumococcal polysaccharide</w:t>
      </w:r>
      <w:r w:rsidR="00CC40AE">
        <w:t xml:space="preserve"> </w:t>
      </w:r>
      <w:r>
        <w:t>(PnP) per 0</w:t>
      </w:r>
      <w:r w:rsidR="00C866BC">
        <w:t>.</w:t>
      </w:r>
      <w:r>
        <w:t xml:space="preserve">5 mL) and V116-2 </w:t>
      </w:r>
      <w:r w:rsidRPr="00BF3C5B">
        <w:t>(4 μg per PnP per 1</w:t>
      </w:r>
      <w:r w:rsidR="00C866BC">
        <w:t>.</w:t>
      </w:r>
      <w:r w:rsidRPr="00BF3C5B">
        <w:t xml:space="preserve">0 mL) </w:t>
      </w:r>
      <w:r>
        <w:t>in phase 1 in adults aged 18–49 years, and of V116 in phase 2 in adults aged 50 years or older was generally similar to the safety profile of PPSV23. In the publication, it was further stated that</w:t>
      </w:r>
      <w:r w:rsidR="00DD18BA">
        <w:t>,</w:t>
      </w:r>
    </w:p>
    <w:p w14:paraId="701F6D9D" w14:textId="4EBC01CC" w:rsidR="001129CD" w:rsidRPr="00360005" w:rsidRDefault="001129CD" w:rsidP="00DD18BA">
      <w:pPr>
        <w:ind w:left="720"/>
      </w:pPr>
      <w:r w:rsidRPr="00241FF5">
        <w:rPr>
          <w:i/>
          <w:iCs/>
        </w:rPr>
        <w:t xml:space="preserve">the phase 1, first-in-human study in adults aged 18-49 years showed acceptable safety for initiation of the phase 2 studies in adults aged 50 years or older. Although the phase 1 study was not designed to directly compare V116-1 and V116-2, it was observed that the higher dose formulation in V116-2 elicited higher OPA and IgG immune responses for nearly all serotypes. These data supported the dose selection of 4 </w:t>
      </w:r>
      <w:proofErr w:type="spellStart"/>
      <w:r w:rsidRPr="00241FF5">
        <w:rPr>
          <w:i/>
          <w:iCs/>
        </w:rPr>
        <w:t>μg</w:t>
      </w:r>
      <w:proofErr w:type="spellEnd"/>
      <w:r w:rsidRPr="00241FF5">
        <w:rPr>
          <w:i/>
          <w:iCs/>
        </w:rPr>
        <w:t xml:space="preserve"> per PnP for the phase 2 study.</w:t>
      </w:r>
      <w:r w:rsidRPr="00DF5737">
        <w:rPr>
          <w:vertAlign w:val="superscript"/>
        </w:rPr>
        <w:t>1</w:t>
      </w:r>
      <w:r w:rsidR="000C0E51">
        <w:rPr>
          <w:vertAlign w:val="superscript"/>
        </w:rPr>
        <w:t>1</w:t>
      </w:r>
    </w:p>
    <w:p w14:paraId="15992B15" w14:textId="77777777" w:rsidR="00374DCE" w:rsidRPr="00374DCE" w:rsidRDefault="00374DCE" w:rsidP="0077676E"/>
    <w:p w14:paraId="3BD960A5" w14:textId="5CBFECBE" w:rsidR="009E4BC9" w:rsidRDefault="009E4BC9" w:rsidP="008A622B">
      <w:pPr>
        <w:rPr>
          <w:rFonts w:ascii="Arial" w:eastAsia="Times New Roman" w:hAnsi="Arial" w:cs="Times New Roman"/>
          <w:b/>
          <w:bCs/>
          <w:i/>
          <w:color w:val="001871"/>
          <w:sz w:val="26"/>
          <w:szCs w:val="26"/>
        </w:rPr>
      </w:pPr>
      <w:r>
        <w:br w:type="page"/>
      </w:r>
    </w:p>
    <w:p w14:paraId="00BD0FFB" w14:textId="2AF95FB5" w:rsidR="001129CD" w:rsidRPr="00BE4631" w:rsidRDefault="001129CD" w:rsidP="00B67749">
      <w:pPr>
        <w:pStyle w:val="Heading5"/>
      </w:pPr>
      <w:r w:rsidRPr="00BE4631">
        <w:lastRenderedPageBreak/>
        <w:t>Safety</w:t>
      </w:r>
    </w:p>
    <w:p w14:paraId="701AD20B" w14:textId="61933D98" w:rsidR="001129CD" w:rsidRDefault="001129CD" w:rsidP="00067200">
      <w:r w:rsidRPr="0058155D">
        <w:t xml:space="preserve">Patient exposure in the Phase </w:t>
      </w:r>
      <w:r>
        <w:t>3</w:t>
      </w:r>
      <w:r w:rsidRPr="0058155D">
        <w:t xml:space="preserve"> program of V116 is summarised in Table </w:t>
      </w:r>
      <w:r w:rsidR="006A74A9">
        <w:t>8.</w:t>
      </w:r>
      <w:r>
        <w:t xml:space="preserve"> </w:t>
      </w:r>
      <w:r w:rsidRPr="0058155D">
        <w:t>Overall, there were 6557 patients of whom 4556 and 2021 were V116 and control recipients respectively; 6038 (4020 and 2018 V116 and control recipients respectively) were included in the integrated analysis. Of the 4556 recipients of V116, 1816 were participants aged 18-49 years and 2204 were aged</w:t>
      </w:r>
      <w:r w:rsidR="00F11FEE">
        <w:t xml:space="preserve"> </w:t>
      </w:r>
      <w:r w:rsidRPr="0058155D">
        <w:t>50 y</w:t>
      </w:r>
      <w:r>
        <w:t>ea</w:t>
      </w:r>
      <w:r w:rsidRPr="0058155D">
        <w:t>rs</w:t>
      </w:r>
      <w:r w:rsidR="00F11FEE">
        <w:t xml:space="preserve"> or older</w:t>
      </w:r>
      <w:r w:rsidRPr="0058155D">
        <w:t>.</w:t>
      </w:r>
      <w:r w:rsidRPr="008E29D0">
        <w:t xml:space="preserve"> </w:t>
      </w:r>
      <w:r w:rsidR="00825BBF">
        <w:t>A</w:t>
      </w:r>
      <w:r w:rsidRPr="008E29D0">
        <w:t xml:space="preserve">t least one risk factor for </w:t>
      </w:r>
      <w:r>
        <w:t>pneumococcal disease</w:t>
      </w:r>
      <w:r w:rsidR="00825BBF">
        <w:t xml:space="preserve"> was observed in </w:t>
      </w:r>
      <w:r w:rsidR="00E86AA5">
        <w:t>34.1</w:t>
      </w:r>
      <w:r w:rsidR="00B71C94">
        <w:t>% of</w:t>
      </w:r>
      <w:r w:rsidR="00CF4147">
        <w:t xml:space="preserve"> participants</w:t>
      </w:r>
      <w:r w:rsidR="00825BBF" w:rsidRPr="00825BBF">
        <w:t xml:space="preserve"> (</w:t>
      </w:r>
      <w:r w:rsidR="00DD10A3">
        <w:t>n=</w:t>
      </w:r>
      <w:r w:rsidR="00E86AA5">
        <w:t>1,555</w:t>
      </w:r>
      <w:r w:rsidR="00825BBF" w:rsidRPr="00825BBF">
        <w:t>)</w:t>
      </w:r>
      <w:r w:rsidR="00DB66BB">
        <w:t xml:space="preserve"> (Table 9)</w:t>
      </w:r>
      <w:r>
        <w:t>.</w:t>
      </w:r>
    </w:p>
    <w:p w14:paraId="0CE81D15" w14:textId="18279D4C" w:rsidR="000414B5" w:rsidRDefault="000414B5" w:rsidP="000414B5">
      <w:pPr>
        <w:pStyle w:val="TableTitle"/>
      </w:pPr>
      <w:r w:rsidRPr="008E29D0">
        <w:t xml:space="preserve">Table </w:t>
      </w:r>
      <w:r w:rsidR="006A74A9">
        <w:t>8</w:t>
      </w:r>
      <w:r w:rsidRPr="008E29D0">
        <w:t>. Number of Participants Who Received V116 or Control (V116-003, V116-004, V116-005, V116-006)</w:t>
      </w:r>
    </w:p>
    <w:p w14:paraId="376E5CC6" w14:textId="6CB22361" w:rsidR="000414B5" w:rsidRDefault="000414B5" w:rsidP="00067200">
      <w:r>
        <w:rPr>
          <w:noProof/>
        </w:rPr>
        <w:drawing>
          <wp:inline distT="0" distB="0" distL="0" distR="0" wp14:anchorId="09042D6A" wp14:editId="45281E2A">
            <wp:extent cx="5965569" cy="3791164"/>
            <wp:effectExtent l="0" t="0" r="0" b="0"/>
            <wp:docPr id="2007670481" name="Picture 1" descr="Table 8. Number of Participants Who Received V116 or Control (V116-003, V116-004, V116-005, V1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70481" name="Picture 1" descr="Table 8. Number of Participants Who Received V116 or Control (V116-003, V116-004, V116-005, V116-006)"/>
                    <pic:cNvPicPr/>
                  </pic:nvPicPr>
                  <pic:blipFill>
                    <a:blip r:embed="rId32"/>
                    <a:stretch>
                      <a:fillRect/>
                    </a:stretch>
                  </pic:blipFill>
                  <pic:spPr>
                    <a:xfrm>
                      <a:off x="0" y="0"/>
                      <a:ext cx="6029453" cy="3831763"/>
                    </a:xfrm>
                    <a:prstGeom prst="rect">
                      <a:avLst/>
                    </a:prstGeom>
                  </pic:spPr>
                </pic:pic>
              </a:graphicData>
            </a:graphic>
          </wp:inline>
        </w:drawing>
      </w:r>
    </w:p>
    <w:p w14:paraId="498347FE" w14:textId="6E279093" w:rsidR="003C7BFA" w:rsidRDefault="00DB66BB" w:rsidP="005C2FE0">
      <w:pPr>
        <w:pStyle w:val="TableTitle"/>
        <w:rPr>
          <w:noProof/>
        </w:rPr>
      </w:pPr>
      <w:r>
        <w:rPr>
          <w:noProof/>
        </w:rPr>
        <w:lastRenderedPageBreak/>
        <w:t xml:space="preserve">Table 9. </w:t>
      </w:r>
      <w:r w:rsidR="005C2FE0">
        <w:rPr>
          <w:noProof/>
        </w:rPr>
        <w:t>P</w:t>
      </w:r>
      <w:r w:rsidR="003C7BFA" w:rsidRPr="00F21055">
        <w:rPr>
          <w:noProof/>
        </w:rPr>
        <w:t>articipants With Prespecified Medical History Conditions Associated With Increased Risk</w:t>
      </w:r>
      <w:r w:rsidR="003C7BFA">
        <w:rPr>
          <w:noProof/>
        </w:rPr>
        <w:t xml:space="preserve"> </w:t>
      </w:r>
      <w:r w:rsidR="003C7BFA" w:rsidRPr="00F21055">
        <w:rPr>
          <w:noProof/>
        </w:rPr>
        <w:t>of Pneumococcal Disease</w:t>
      </w:r>
      <w:r w:rsidR="003C7BFA">
        <w:rPr>
          <w:noProof/>
        </w:rPr>
        <w:t xml:space="preserve"> </w:t>
      </w:r>
      <w:r w:rsidR="003C7BFA" w:rsidRPr="00F21055">
        <w:rPr>
          <w:noProof/>
        </w:rPr>
        <w:t>(All Vaccinated Participants)(V116-003, V116-004, V116-005, V116-006)</w:t>
      </w:r>
    </w:p>
    <w:p w14:paraId="2E8E0B56" w14:textId="77777777" w:rsidR="004C6E74" w:rsidRDefault="00FC75DC" w:rsidP="004C6E74">
      <w:pPr>
        <w:pStyle w:val="TableTitle"/>
        <w:spacing w:before="0"/>
        <w:ind w:left="-227"/>
        <w:rPr>
          <w:noProof/>
        </w:rPr>
      </w:pPr>
      <w:r w:rsidRPr="00023C82">
        <w:rPr>
          <w:noProof/>
        </w:rPr>
        <w:drawing>
          <wp:inline distT="0" distB="0" distL="0" distR="0" wp14:anchorId="7D62FE35" wp14:editId="213E9E81">
            <wp:extent cx="5673436" cy="5056210"/>
            <wp:effectExtent l="0" t="0" r="3810" b="0"/>
            <wp:docPr id="1676997339" name="Picture 1" descr="Table 9. Participants With Prespecified Medical History Conditions Associated With Increased Risk of Pneumococcal Disease (All Vaccinated Participants)(V116-003, V116-004, V116-005, V1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47254" name="Picture 1" descr="Table 9. Participants With Prespecified Medical History Conditions Associated With Increased Risk of Pneumococcal Disease (All Vaccinated Participants)(V116-003, V116-004, V116-005, V116-006)"/>
                    <pic:cNvPicPr/>
                  </pic:nvPicPr>
                  <pic:blipFill rotWithShape="1">
                    <a:blip r:embed="rId33"/>
                    <a:srcRect l="2925" r="1238" b="2332"/>
                    <a:stretch>
                      <a:fillRect/>
                    </a:stretch>
                  </pic:blipFill>
                  <pic:spPr bwMode="auto">
                    <a:xfrm>
                      <a:off x="0" y="0"/>
                      <a:ext cx="5692432" cy="5073139"/>
                    </a:xfrm>
                    <a:prstGeom prst="rect">
                      <a:avLst/>
                    </a:prstGeom>
                    <a:ln>
                      <a:noFill/>
                    </a:ln>
                    <a:extLst>
                      <a:ext uri="{53640926-AAD7-44D8-BBD7-CCE9431645EC}">
                        <a14:shadowObscured xmlns:a14="http://schemas.microsoft.com/office/drawing/2010/main"/>
                      </a:ext>
                    </a:extLst>
                  </pic:spPr>
                </pic:pic>
              </a:graphicData>
            </a:graphic>
          </wp:inline>
        </w:drawing>
      </w:r>
    </w:p>
    <w:p w14:paraId="4DAD0B7C" w14:textId="6CA5C546" w:rsidR="00FC75DC" w:rsidRDefault="004C6E74" w:rsidP="004C6E74">
      <w:pPr>
        <w:pStyle w:val="TableTitle"/>
        <w:spacing w:before="0"/>
        <w:ind w:left="-227"/>
        <w:rPr>
          <w:noProof/>
        </w:rPr>
      </w:pPr>
      <w:r w:rsidRPr="004C6E74">
        <w:rPr>
          <w:noProof/>
        </w:rPr>
        <w:drawing>
          <wp:inline distT="0" distB="0" distL="0" distR="0" wp14:anchorId="3264A1C7" wp14:editId="0240AF03">
            <wp:extent cx="5680363" cy="1727907"/>
            <wp:effectExtent l="0" t="0" r="0" b="5715"/>
            <wp:docPr id="1627507815" name="Picture 1" descr="A close-up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07815" name="Picture 1" descr="A close-up of a medical report&#10;&#10;AI-generated content may be incorrect."/>
                    <pic:cNvPicPr/>
                  </pic:nvPicPr>
                  <pic:blipFill>
                    <a:blip r:embed="rId34"/>
                    <a:stretch>
                      <a:fillRect/>
                    </a:stretch>
                  </pic:blipFill>
                  <pic:spPr>
                    <a:xfrm>
                      <a:off x="0" y="0"/>
                      <a:ext cx="5696966" cy="1732957"/>
                    </a:xfrm>
                    <a:prstGeom prst="rect">
                      <a:avLst/>
                    </a:prstGeom>
                  </pic:spPr>
                </pic:pic>
              </a:graphicData>
            </a:graphic>
          </wp:inline>
        </w:drawing>
      </w:r>
    </w:p>
    <w:p w14:paraId="5EDC6E60" w14:textId="6B3B56AA" w:rsidR="003C7BFA" w:rsidRDefault="003C7BFA" w:rsidP="00BE4631">
      <w:pPr>
        <w:ind w:left="-227"/>
      </w:pPr>
    </w:p>
    <w:p w14:paraId="695F7B81" w14:textId="55275B2F" w:rsidR="00607335" w:rsidRPr="002E3A41" w:rsidRDefault="00F01BFA" w:rsidP="005C2FE0">
      <w:pPr>
        <w:pStyle w:val="TableTitle"/>
        <w:rPr>
          <w:noProof/>
        </w:rPr>
      </w:pPr>
      <w:r>
        <w:rPr>
          <w:noProof/>
        </w:rPr>
        <w:lastRenderedPageBreak/>
        <w:t xml:space="preserve">Table 10. </w:t>
      </w:r>
      <w:r w:rsidR="00607335" w:rsidRPr="002E3A41">
        <w:rPr>
          <w:noProof/>
        </w:rPr>
        <w:t>Participants With Solicited Adverse Events (Incidence &gt; 0% in One or More Vaccination Groups) (All Participants as Treated Population) (V116-003, V116-004, V116-005</w:t>
      </w:r>
      <w:r w:rsidR="00607335" w:rsidRPr="00500384">
        <w:rPr>
          <w:noProof/>
          <w:vertAlign w:val="superscript"/>
        </w:rPr>
        <w:t>a</w:t>
      </w:r>
      <w:r w:rsidR="00607335" w:rsidRPr="002E3A41">
        <w:rPr>
          <w:noProof/>
        </w:rPr>
        <w:t>, V116-006)</w:t>
      </w:r>
      <w:r w:rsidR="00607335">
        <w:rPr>
          <w:noProof/>
        </w:rPr>
        <w:t xml:space="preserve"> </w:t>
      </w:r>
    </w:p>
    <w:p w14:paraId="275E57EA" w14:textId="3A7C99BB" w:rsidR="00607335" w:rsidRDefault="00533016" w:rsidP="00067200">
      <w:r>
        <w:rPr>
          <w:noProof/>
        </w:rPr>
        <w:drawing>
          <wp:inline distT="0" distB="0" distL="0" distR="0" wp14:anchorId="59227632" wp14:editId="6A68B65A">
            <wp:extent cx="5686425" cy="3876675"/>
            <wp:effectExtent l="0" t="0" r="9525" b="9525"/>
            <wp:docPr id="2083020015" name="Picture 1" descr="A white text with black number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20015" name="Picture 1" descr="A white text with black numbers and black text&#10;&#10;AI-generated content may be incorrect."/>
                    <pic:cNvPicPr/>
                  </pic:nvPicPr>
                  <pic:blipFill>
                    <a:blip r:embed="rId35"/>
                    <a:stretch>
                      <a:fillRect/>
                    </a:stretch>
                  </pic:blipFill>
                  <pic:spPr>
                    <a:xfrm>
                      <a:off x="0" y="0"/>
                      <a:ext cx="5686425" cy="3876675"/>
                    </a:xfrm>
                    <a:prstGeom prst="rect">
                      <a:avLst/>
                    </a:prstGeom>
                  </pic:spPr>
                </pic:pic>
              </a:graphicData>
            </a:graphic>
          </wp:inline>
        </w:drawing>
      </w:r>
    </w:p>
    <w:p w14:paraId="1053440D" w14:textId="77777777" w:rsidR="00022D1C" w:rsidRDefault="00022D1C" w:rsidP="00523E77">
      <w:pPr>
        <w:pStyle w:val="Heading6"/>
      </w:pPr>
      <w:r w:rsidRPr="009658E0">
        <w:t>Integrated safety summary conclusions</w:t>
      </w:r>
    </w:p>
    <w:p w14:paraId="656659AC" w14:textId="01E6B522" w:rsidR="00022D1C" w:rsidRPr="00D30AB9" w:rsidRDefault="00022D1C" w:rsidP="00022D1C">
      <w:r>
        <w:t>The safety data from the integrated safety analysis demonstrated that V116 was well tolerated in adults who are pneumococcal vaccine naïve or pneumococcal vaccine experienced</w:t>
      </w:r>
      <w:r w:rsidR="006B5624">
        <w:t xml:space="preserve"> </w:t>
      </w:r>
      <w:r w:rsidR="00412D2C">
        <w:t>(Table 10)</w:t>
      </w:r>
      <w:r>
        <w:t xml:space="preserve">. There was no safety </w:t>
      </w:r>
      <w:r w:rsidR="00E6307A">
        <w:t>concerns</w:t>
      </w:r>
      <w:r w:rsidR="00853754">
        <w:t xml:space="preserve"> r</w:t>
      </w:r>
      <w:r>
        <w:t>evealed in subgroups analysed by age, sex, race, and the number of risk factors for pneumococcal disease. The safety profile of V116 was similar to the comparator pneumococcal vaccines.</w:t>
      </w:r>
    </w:p>
    <w:p w14:paraId="4AE920AF" w14:textId="77777777" w:rsidR="00022D1C" w:rsidRPr="00F10533" w:rsidRDefault="00022D1C" w:rsidP="00022D1C">
      <w:pPr>
        <w:rPr>
          <w:b/>
          <w:bCs/>
        </w:rPr>
      </w:pPr>
      <w:r w:rsidRPr="00314FA8">
        <w:rPr>
          <w:b/>
          <w:bCs/>
        </w:rPr>
        <w:t>Real world data</w:t>
      </w:r>
    </w:p>
    <w:p w14:paraId="467B6802" w14:textId="1832DF10" w:rsidR="00FD3377" w:rsidRDefault="00022D1C" w:rsidP="00FD3377">
      <w:r>
        <w:t xml:space="preserve">Real world data were not </w:t>
      </w:r>
      <w:r w:rsidRPr="00314FA8">
        <w:t>included in the submission</w:t>
      </w:r>
      <w:r>
        <w:t xml:space="preserve">, however the TGA acknowledges </w:t>
      </w:r>
      <w:r w:rsidRPr="00136071">
        <w:t>the FDA condition under accelerated approval for the pneumonia indication to provide adequate and well-controlled confirmatory studies</w:t>
      </w:r>
      <w:r>
        <w:t xml:space="preserve"> to verify clinical benefit. The </w:t>
      </w:r>
      <w:r w:rsidR="00B21848">
        <w:t>s</w:t>
      </w:r>
      <w:r>
        <w:t xml:space="preserve">ponsor has agreed to conduct a Phase 4 post marketing observational real-world effectiveness (RWE) test negative design (TND) case control study titled </w:t>
      </w:r>
      <w:r w:rsidR="00D5223C">
        <w:t>‘</w:t>
      </w:r>
      <w:r>
        <w:t>A Test-Negative Case-Control Study to Evaluate the Effectiveness of V116 Against Pneumococcal Pneumonia in Older Adults</w:t>
      </w:r>
      <w:r w:rsidR="00D5223C">
        <w:t>’</w:t>
      </w:r>
      <w:r>
        <w:t xml:space="preserve"> as the confirmatory study to verify and describe clinical benefit of C</w:t>
      </w:r>
      <w:r w:rsidR="00581CA5">
        <w:t>apvaxive</w:t>
      </w:r>
      <w:r>
        <w:t xml:space="preserve"> against pneumonia.</w:t>
      </w:r>
      <w:r>
        <w:rPr>
          <w:rStyle w:val="FootnoteReference"/>
        </w:rPr>
        <w:footnoteReference w:id="12"/>
      </w:r>
      <w:r w:rsidR="006A51FB">
        <w:t>,</w:t>
      </w:r>
      <w:r>
        <w:rPr>
          <w:rStyle w:val="FootnoteReference"/>
        </w:rPr>
        <w:footnoteReference w:id="13"/>
      </w:r>
      <w:r w:rsidR="006A51FB">
        <w:t xml:space="preserve"> </w:t>
      </w:r>
      <w:r w:rsidR="00FD3377">
        <w:t xml:space="preserve">The Delegate </w:t>
      </w:r>
      <w:r w:rsidR="000371AF">
        <w:t>noted</w:t>
      </w:r>
      <w:r w:rsidR="00FD3377">
        <w:t xml:space="preserve"> similar</w:t>
      </w:r>
      <w:r w:rsidR="00FD3377" w:rsidRPr="001029DE">
        <w:t xml:space="preserve"> post marketing</w:t>
      </w:r>
      <w:r w:rsidR="00FD3377">
        <w:t xml:space="preserve"> conditions to verify clinical benefit for the FDA accelerated approval for Prevenar 20 </w:t>
      </w:r>
      <w:r w:rsidR="00FD3377" w:rsidRPr="00310DFA">
        <w:t xml:space="preserve">for the prevention of pneumonia in adults caused by the </w:t>
      </w:r>
      <w:r w:rsidR="00FD3377">
        <w:t>seven</w:t>
      </w:r>
      <w:r w:rsidR="00FD3377" w:rsidRPr="00310DFA">
        <w:t xml:space="preserve"> new serotypes in P</w:t>
      </w:r>
      <w:r w:rsidR="00FD3377">
        <w:t xml:space="preserve">revenar </w:t>
      </w:r>
      <w:r w:rsidR="00FD3377" w:rsidRPr="00310DFA">
        <w:t>20</w:t>
      </w:r>
      <w:r w:rsidR="00FD3377">
        <w:t>.</w:t>
      </w:r>
      <w:r w:rsidR="00FD3377">
        <w:rPr>
          <w:rStyle w:val="FootnoteReference"/>
        </w:rPr>
        <w:footnoteReference w:id="14"/>
      </w:r>
    </w:p>
    <w:p w14:paraId="2E606D26" w14:textId="77777777" w:rsidR="00DF2388" w:rsidRDefault="00DF2388" w:rsidP="00C22214">
      <w:pPr>
        <w:pStyle w:val="Instructions"/>
      </w:pPr>
    </w:p>
    <w:p w14:paraId="2858B006" w14:textId="7FEE6DDA" w:rsidR="00C22214" w:rsidRDefault="00C22214" w:rsidP="00C22214">
      <w:pPr>
        <w:pStyle w:val="Heading3"/>
        <w:rPr>
          <w:lang w:eastAsia="en-AU"/>
        </w:rPr>
      </w:pPr>
      <w:bookmarkStart w:id="48" w:name="_Toc314842514"/>
      <w:bookmarkStart w:id="49" w:name="_Toc103679298"/>
      <w:bookmarkStart w:id="50" w:name="_Toc207110445"/>
      <w:r>
        <w:rPr>
          <w:lang w:eastAsia="en-AU"/>
        </w:rPr>
        <w:lastRenderedPageBreak/>
        <w:t>Risk management plan</w:t>
      </w:r>
      <w:bookmarkEnd w:id="48"/>
      <w:bookmarkEnd w:id="49"/>
      <w:r w:rsidR="007A2FF0">
        <w:rPr>
          <w:lang w:eastAsia="en-AU"/>
        </w:rPr>
        <w:t xml:space="preserve"> evaluation summary</w:t>
      </w:r>
      <w:bookmarkEnd w:id="50"/>
    </w:p>
    <w:p w14:paraId="39F3CD1D" w14:textId="19908FFF" w:rsidR="0072003B" w:rsidRPr="00BD5DBD" w:rsidRDefault="00C22214" w:rsidP="00C22214">
      <w:pPr>
        <w:rPr>
          <w:szCs w:val="22"/>
        </w:rPr>
      </w:pPr>
      <w:bookmarkStart w:id="51" w:name="_Toc247691531"/>
      <w:bookmarkStart w:id="52" w:name="_Toc314842515"/>
      <w:r w:rsidRPr="00BD5DBD">
        <w:rPr>
          <w:szCs w:val="22"/>
        </w:rPr>
        <w:t>The summary of safety concerns and their associated risk monitoring and mitigation strategies are summarised in</w:t>
      </w:r>
      <w:r w:rsidR="003B149C">
        <w:rPr>
          <w:szCs w:val="22"/>
        </w:rPr>
        <w:t xml:space="preserve"> </w:t>
      </w:r>
      <w:r w:rsidR="00254586">
        <w:rPr>
          <w:szCs w:val="22"/>
        </w:rPr>
        <w:t>Table 11</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724B83">
        <w:rPr>
          <w:szCs w:val="22"/>
        </w:rPr>
        <w:t xml:space="preserve"> </w:t>
      </w:r>
      <w:r w:rsidR="0072003B" w:rsidRPr="00BD5DBD">
        <w:rPr>
          <w:szCs w:val="22"/>
        </w:rPr>
        <w:t>cycle, during both the pre-approval and post-approval phases.</w:t>
      </w:r>
    </w:p>
    <w:p w14:paraId="56B51A93" w14:textId="4A8353EB" w:rsidR="006A277A" w:rsidRDefault="00C22214" w:rsidP="00C22214">
      <w:pPr>
        <w:pStyle w:val="TableTitle"/>
      </w:pPr>
      <w:bookmarkStart w:id="53" w:name="_Ref97629131"/>
      <w:r>
        <w:t xml:space="preserve">Table </w:t>
      </w:r>
      <w:bookmarkEnd w:id="53"/>
      <w:r w:rsidR="00254586">
        <w:t>11</w:t>
      </w:r>
      <w:r>
        <w:t>: Summary of safety concerns</w:t>
      </w:r>
    </w:p>
    <w:tbl>
      <w:tblPr>
        <w:tblStyle w:val="TableGrid"/>
        <w:tblW w:w="9063"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2561"/>
        <w:gridCol w:w="2760"/>
        <w:gridCol w:w="851"/>
        <w:gridCol w:w="1020"/>
        <w:gridCol w:w="823"/>
        <w:gridCol w:w="1048"/>
      </w:tblGrid>
      <w:tr w:rsidR="00387CE9" w:rsidRPr="00BF52F4" w14:paraId="30E2ED08" w14:textId="77777777" w:rsidTr="00254586">
        <w:trPr>
          <w:trHeight w:val="131"/>
          <w:jc w:val="center"/>
        </w:trPr>
        <w:tc>
          <w:tcPr>
            <w:tcW w:w="5321" w:type="dxa"/>
            <w:gridSpan w:val="2"/>
            <w:vMerge w:val="restart"/>
            <w:tcBorders>
              <w:top w:val="single" w:sz="8" w:space="0" w:color="auto"/>
              <w:right w:val="single" w:sz="4" w:space="0" w:color="auto"/>
            </w:tcBorders>
            <w:shd w:val="clear" w:color="auto" w:fill="F2F2F2" w:themeFill="background1" w:themeFillShade="F2"/>
          </w:tcPr>
          <w:p w14:paraId="65284F2D" w14:textId="77777777" w:rsidR="00387CE9" w:rsidRPr="00BF52F4" w:rsidRDefault="00387CE9">
            <w:pPr>
              <w:pStyle w:val="Tabletext0"/>
              <w:rPr>
                <w:b/>
                <w:kern w:val="0"/>
              </w:rPr>
            </w:pPr>
            <w:r w:rsidRPr="00BF52F4">
              <w:rPr>
                <w:b/>
                <w:kern w:val="0"/>
              </w:rPr>
              <w:t>Summary of safety concerns</w:t>
            </w:r>
          </w:p>
        </w:tc>
        <w:tc>
          <w:tcPr>
            <w:tcW w:w="1871" w:type="dxa"/>
            <w:gridSpan w:val="2"/>
            <w:tcBorders>
              <w:top w:val="single" w:sz="8" w:space="0" w:color="auto"/>
              <w:left w:val="single" w:sz="4" w:space="0" w:color="auto"/>
              <w:bottom w:val="single" w:sz="4" w:space="0" w:color="auto"/>
            </w:tcBorders>
            <w:shd w:val="clear" w:color="auto" w:fill="F2F2F2" w:themeFill="background1" w:themeFillShade="F2"/>
          </w:tcPr>
          <w:p w14:paraId="56726855" w14:textId="77777777" w:rsidR="00387CE9" w:rsidRPr="00BF52F4" w:rsidRDefault="00387CE9">
            <w:pPr>
              <w:pStyle w:val="Tabletext0"/>
              <w:rPr>
                <w:b/>
                <w:kern w:val="0"/>
                <w:sz w:val="18"/>
              </w:rPr>
            </w:pPr>
            <w:r w:rsidRPr="00BF52F4">
              <w:rPr>
                <w:b/>
                <w:kern w:val="0"/>
                <w:sz w:val="18"/>
              </w:rPr>
              <w:t>Pharmacovigilance</w:t>
            </w:r>
          </w:p>
        </w:tc>
        <w:tc>
          <w:tcPr>
            <w:tcW w:w="1871" w:type="dxa"/>
            <w:gridSpan w:val="2"/>
            <w:tcBorders>
              <w:top w:val="single" w:sz="8" w:space="0" w:color="auto"/>
              <w:left w:val="single" w:sz="4" w:space="0" w:color="auto"/>
              <w:bottom w:val="single" w:sz="4" w:space="0" w:color="auto"/>
            </w:tcBorders>
            <w:shd w:val="clear" w:color="auto" w:fill="F2F2F2" w:themeFill="background1" w:themeFillShade="F2"/>
          </w:tcPr>
          <w:p w14:paraId="7E196FCC" w14:textId="77777777" w:rsidR="00387CE9" w:rsidRPr="00BF52F4" w:rsidRDefault="00387CE9">
            <w:pPr>
              <w:pStyle w:val="Tabletext0"/>
              <w:rPr>
                <w:b/>
                <w:kern w:val="0"/>
                <w:sz w:val="18"/>
              </w:rPr>
            </w:pPr>
            <w:r w:rsidRPr="00BF52F4">
              <w:rPr>
                <w:b/>
                <w:kern w:val="0"/>
                <w:sz w:val="18"/>
              </w:rPr>
              <w:t>Risk Minimisation</w:t>
            </w:r>
          </w:p>
        </w:tc>
      </w:tr>
      <w:tr w:rsidR="00387CE9" w:rsidRPr="00BF52F4" w14:paraId="450242C8" w14:textId="77777777" w:rsidTr="00254586">
        <w:trPr>
          <w:trHeight w:val="150"/>
          <w:jc w:val="center"/>
        </w:trPr>
        <w:tc>
          <w:tcPr>
            <w:tcW w:w="5321" w:type="dxa"/>
            <w:gridSpan w:val="2"/>
            <w:vMerge/>
            <w:tcBorders>
              <w:bottom w:val="single" w:sz="8" w:space="0" w:color="auto"/>
              <w:right w:val="single" w:sz="4" w:space="0" w:color="auto"/>
            </w:tcBorders>
            <w:shd w:val="clear" w:color="auto" w:fill="F2F2F2" w:themeFill="background1" w:themeFillShade="F2"/>
          </w:tcPr>
          <w:p w14:paraId="0CAC1291" w14:textId="77777777" w:rsidR="00387CE9" w:rsidRPr="00BF52F4" w:rsidRDefault="00387CE9">
            <w:pPr>
              <w:pStyle w:val="Tabletext0"/>
              <w:rPr>
                <w:b/>
                <w:kern w:val="0"/>
              </w:rPr>
            </w:pPr>
          </w:p>
        </w:tc>
        <w:tc>
          <w:tcPr>
            <w:tcW w:w="851" w:type="dxa"/>
            <w:tcBorders>
              <w:top w:val="single" w:sz="4" w:space="0" w:color="auto"/>
              <w:left w:val="single" w:sz="4" w:space="0" w:color="auto"/>
              <w:bottom w:val="single" w:sz="8" w:space="0" w:color="auto"/>
              <w:right w:val="dotted" w:sz="2" w:space="0" w:color="auto"/>
            </w:tcBorders>
            <w:shd w:val="clear" w:color="auto" w:fill="F2F2F2" w:themeFill="background1" w:themeFillShade="F2"/>
          </w:tcPr>
          <w:p w14:paraId="4051032B" w14:textId="77777777" w:rsidR="00387CE9" w:rsidRPr="00BF52F4" w:rsidRDefault="00387CE9">
            <w:pPr>
              <w:pStyle w:val="Tabletext0"/>
              <w:rPr>
                <w:kern w:val="0"/>
                <w:sz w:val="18"/>
              </w:rPr>
            </w:pPr>
            <w:r w:rsidRPr="00BF52F4">
              <w:rPr>
                <w:kern w:val="0"/>
                <w:sz w:val="18"/>
              </w:rPr>
              <w:t>Routine</w:t>
            </w:r>
          </w:p>
        </w:tc>
        <w:tc>
          <w:tcPr>
            <w:tcW w:w="1020" w:type="dxa"/>
            <w:tcBorders>
              <w:top w:val="single" w:sz="4" w:space="0" w:color="auto"/>
              <w:left w:val="dotted" w:sz="2" w:space="0" w:color="auto"/>
              <w:bottom w:val="single" w:sz="8" w:space="0" w:color="auto"/>
            </w:tcBorders>
            <w:shd w:val="clear" w:color="auto" w:fill="F2F2F2" w:themeFill="background1" w:themeFillShade="F2"/>
          </w:tcPr>
          <w:p w14:paraId="7EF34ED3" w14:textId="77777777" w:rsidR="00387CE9" w:rsidRPr="00BF52F4" w:rsidRDefault="00387CE9">
            <w:pPr>
              <w:pStyle w:val="Tabletext0"/>
              <w:rPr>
                <w:kern w:val="0"/>
                <w:sz w:val="18"/>
              </w:rPr>
            </w:pPr>
            <w:r w:rsidRPr="00BF52F4">
              <w:rPr>
                <w:kern w:val="0"/>
                <w:sz w:val="18"/>
              </w:rPr>
              <w:t>Additional</w:t>
            </w:r>
          </w:p>
        </w:tc>
        <w:tc>
          <w:tcPr>
            <w:tcW w:w="823" w:type="dxa"/>
            <w:tcBorders>
              <w:top w:val="single" w:sz="4" w:space="0" w:color="auto"/>
              <w:left w:val="single" w:sz="4" w:space="0" w:color="auto"/>
              <w:bottom w:val="single" w:sz="8" w:space="0" w:color="auto"/>
              <w:right w:val="dotted" w:sz="2" w:space="0" w:color="auto"/>
            </w:tcBorders>
            <w:shd w:val="clear" w:color="auto" w:fill="F2F2F2" w:themeFill="background1" w:themeFillShade="F2"/>
          </w:tcPr>
          <w:p w14:paraId="5723FC6C" w14:textId="77777777" w:rsidR="00387CE9" w:rsidRPr="00BF52F4" w:rsidRDefault="00387CE9">
            <w:pPr>
              <w:pStyle w:val="Tabletext0"/>
              <w:rPr>
                <w:kern w:val="0"/>
                <w:sz w:val="18"/>
              </w:rPr>
            </w:pPr>
            <w:r w:rsidRPr="00BF52F4">
              <w:rPr>
                <w:kern w:val="0"/>
                <w:sz w:val="18"/>
              </w:rPr>
              <w:t>Routine</w:t>
            </w:r>
          </w:p>
        </w:tc>
        <w:tc>
          <w:tcPr>
            <w:tcW w:w="1048" w:type="dxa"/>
            <w:tcBorders>
              <w:top w:val="single" w:sz="4" w:space="0" w:color="auto"/>
              <w:left w:val="dotted" w:sz="2" w:space="0" w:color="auto"/>
              <w:bottom w:val="single" w:sz="8" w:space="0" w:color="auto"/>
            </w:tcBorders>
            <w:shd w:val="clear" w:color="auto" w:fill="F2F2F2" w:themeFill="background1" w:themeFillShade="F2"/>
          </w:tcPr>
          <w:p w14:paraId="1A979A2C" w14:textId="77777777" w:rsidR="00387CE9" w:rsidRPr="00BF52F4" w:rsidRDefault="00387CE9">
            <w:pPr>
              <w:pStyle w:val="Tabletext0"/>
              <w:rPr>
                <w:kern w:val="0"/>
                <w:sz w:val="18"/>
              </w:rPr>
            </w:pPr>
            <w:r w:rsidRPr="00BF52F4">
              <w:rPr>
                <w:kern w:val="0"/>
                <w:sz w:val="18"/>
              </w:rPr>
              <w:t>Additional</w:t>
            </w:r>
          </w:p>
        </w:tc>
      </w:tr>
      <w:tr w:rsidR="00387CE9" w:rsidRPr="008E536E" w14:paraId="1AF3C5E1" w14:textId="77777777" w:rsidTr="00254586">
        <w:trPr>
          <w:trHeight w:val="510"/>
          <w:jc w:val="center"/>
        </w:trPr>
        <w:tc>
          <w:tcPr>
            <w:tcW w:w="2561" w:type="dxa"/>
            <w:tcBorders>
              <w:top w:val="single" w:sz="8" w:space="0" w:color="auto"/>
            </w:tcBorders>
          </w:tcPr>
          <w:p w14:paraId="02C8C05C" w14:textId="77777777" w:rsidR="00387CE9" w:rsidRPr="00BF52F4" w:rsidRDefault="00387CE9">
            <w:pPr>
              <w:pStyle w:val="Tabletext0"/>
              <w:rPr>
                <w:b/>
                <w:kern w:val="0"/>
              </w:rPr>
            </w:pPr>
            <w:r w:rsidRPr="00BF52F4">
              <w:rPr>
                <w:b/>
                <w:kern w:val="0"/>
              </w:rPr>
              <w:t>Important identified risks</w:t>
            </w:r>
          </w:p>
        </w:tc>
        <w:tc>
          <w:tcPr>
            <w:tcW w:w="2760" w:type="dxa"/>
            <w:tcBorders>
              <w:top w:val="single" w:sz="8" w:space="0" w:color="auto"/>
              <w:right w:val="single" w:sz="4" w:space="0" w:color="auto"/>
            </w:tcBorders>
          </w:tcPr>
          <w:p w14:paraId="6A884AC2" w14:textId="77777777" w:rsidR="00387CE9" w:rsidRPr="008E536E" w:rsidRDefault="00387CE9">
            <w:pPr>
              <w:pStyle w:val="Tabletext0"/>
              <w:rPr>
                <w:kern w:val="0"/>
              </w:rPr>
            </w:pPr>
            <w:r w:rsidRPr="008E536E">
              <w:rPr>
                <w:kern w:val="0"/>
              </w:rPr>
              <w:t>None</w:t>
            </w:r>
          </w:p>
        </w:tc>
        <w:tc>
          <w:tcPr>
            <w:tcW w:w="851" w:type="dxa"/>
            <w:tcBorders>
              <w:top w:val="single" w:sz="8" w:space="0" w:color="auto"/>
              <w:left w:val="single" w:sz="4" w:space="0" w:color="auto"/>
              <w:right w:val="dotted" w:sz="2" w:space="0" w:color="auto"/>
            </w:tcBorders>
            <w:vAlign w:val="center"/>
          </w:tcPr>
          <w:p w14:paraId="09A8DD4F" w14:textId="77777777" w:rsidR="00387CE9" w:rsidRPr="008E536E" w:rsidRDefault="00387CE9">
            <w:pPr>
              <w:pStyle w:val="Tabletext0"/>
              <w:jc w:val="center"/>
              <w:rPr>
                <w:kern w:val="0"/>
              </w:rPr>
            </w:pPr>
            <w:r w:rsidRPr="008E536E">
              <w:rPr>
                <w:kern w:val="0"/>
              </w:rPr>
              <w:t>-</w:t>
            </w:r>
          </w:p>
        </w:tc>
        <w:tc>
          <w:tcPr>
            <w:tcW w:w="1020" w:type="dxa"/>
            <w:tcBorders>
              <w:top w:val="single" w:sz="8" w:space="0" w:color="auto"/>
              <w:left w:val="dotted" w:sz="2" w:space="0" w:color="auto"/>
            </w:tcBorders>
            <w:vAlign w:val="center"/>
          </w:tcPr>
          <w:p w14:paraId="2E3EC83D" w14:textId="77777777" w:rsidR="00387CE9" w:rsidRPr="008E536E" w:rsidRDefault="00387CE9">
            <w:pPr>
              <w:pStyle w:val="Tabletext0"/>
              <w:jc w:val="center"/>
              <w:rPr>
                <w:kern w:val="0"/>
              </w:rPr>
            </w:pPr>
            <w:r w:rsidRPr="008E536E">
              <w:rPr>
                <w:kern w:val="0"/>
              </w:rPr>
              <w:t>-</w:t>
            </w:r>
          </w:p>
        </w:tc>
        <w:tc>
          <w:tcPr>
            <w:tcW w:w="823" w:type="dxa"/>
            <w:tcBorders>
              <w:top w:val="single" w:sz="8" w:space="0" w:color="auto"/>
              <w:left w:val="single" w:sz="4" w:space="0" w:color="auto"/>
              <w:right w:val="dotted" w:sz="2" w:space="0" w:color="auto"/>
            </w:tcBorders>
            <w:vAlign w:val="center"/>
          </w:tcPr>
          <w:p w14:paraId="399489E7" w14:textId="77777777" w:rsidR="00387CE9" w:rsidRPr="008E536E" w:rsidRDefault="00387CE9">
            <w:pPr>
              <w:pStyle w:val="Tabletext0"/>
              <w:jc w:val="center"/>
              <w:rPr>
                <w:kern w:val="0"/>
              </w:rPr>
            </w:pPr>
            <w:r w:rsidRPr="008E536E">
              <w:rPr>
                <w:kern w:val="0"/>
              </w:rPr>
              <w:t>-</w:t>
            </w:r>
          </w:p>
        </w:tc>
        <w:tc>
          <w:tcPr>
            <w:tcW w:w="1048" w:type="dxa"/>
            <w:tcBorders>
              <w:top w:val="single" w:sz="8" w:space="0" w:color="auto"/>
              <w:left w:val="dotted" w:sz="2" w:space="0" w:color="auto"/>
            </w:tcBorders>
            <w:vAlign w:val="center"/>
          </w:tcPr>
          <w:p w14:paraId="127B302C" w14:textId="77777777" w:rsidR="00387CE9" w:rsidRPr="008E536E" w:rsidRDefault="00387CE9">
            <w:pPr>
              <w:pStyle w:val="Tabletext0"/>
              <w:jc w:val="center"/>
              <w:rPr>
                <w:kern w:val="0"/>
              </w:rPr>
            </w:pPr>
            <w:r w:rsidRPr="008E536E">
              <w:rPr>
                <w:kern w:val="0"/>
              </w:rPr>
              <w:t>-</w:t>
            </w:r>
          </w:p>
        </w:tc>
      </w:tr>
      <w:tr w:rsidR="00387CE9" w:rsidRPr="008E536E" w14:paraId="2C972CAD" w14:textId="77777777" w:rsidTr="00254586">
        <w:trPr>
          <w:trHeight w:val="415"/>
          <w:jc w:val="center"/>
        </w:trPr>
        <w:tc>
          <w:tcPr>
            <w:tcW w:w="2561" w:type="dxa"/>
          </w:tcPr>
          <w:p w14:paraId="14FAFD91" w14:textId="77777777" w:rsidR="00387CE9" w:rsidRPr="00BF52F4" w:rsidRDefault="00387CE9">
            <w:pPr>
              <w:pStyle w:val="Tabletext0"/>
              <w:rPr>
                <w:b/>
                <w:kern w:val="0"/>
              </w:rPr>
            </w:pPr>
            <w:r w:rsidRPr="00BF52F4">
              <w:rPr>
                <w:b/>
                <w:kern w:val="0"/>
              </w:rPr>
              <w:t>Important potential risks</w:t>
            </w:r>
          </w:p>
        </w:tc>
        <w:tc>
          <w:tcPr>
            <w:tcW w:w="2760" w:type="dxa"/>
            <w:tcBorders>
              <w:right w:val="single" w:sz="4" w:space="0" w:color="auto"/>
            </w:tcBorders>
          </w:tcPr>
          <w:p w14:paraId="7BDE5952" w14:textId="77777777" w:rsidR="00387CE9" w:rsidRPr="008E536E" w:rsidRDefault="00387CE9">
            <w:pPr>
              <w:pStyle w:val="Tabletext0"/>
              <w:rPr>
                <w:kern w:val="0"/>
              </w:rPr>
            </w:pPr>
            <w:r w:rsidRPr="008E536E">
              <w:rPr>
                <w:kern w:val="0"/>
              </w:rPr>
              <w:t>None</w:t>
            </w:r>
          </w:p>
        </w:tc>
        <w:tc>
          <w:tcPr>
            <w:tcW w:w="851" w:type="dxa"/>
            <w:tcBorders>
              <w:left w:val="single" w:sz="4" w:space="0" w:color="auto"/>
              <w:right w:val="dotted" w:sz="2" w:space="0" w:color="auto"/>
            </w:tcBorders>
            <w:vAlign w:val="center"/>
          </w:tcPr>
          <w:p w14:paraId="1C15A118" w14:textId="77777777" w:rsidR="00387CE9" w:rsidRPr="008E536E" w:rsidRDefault="00387CE9">
            <w:pPr>
              <w:pStyle w:val="Tabletext0"/>
              <w:jc w:val="center"/>
              <w:rPr>
                <w:kern w:val="0"/>
              </w:rPr>
            </w:pPr>
            <w:r w:rsidRPr="008E536E">
              <w:rPr>
                <w:kern w:val="0"/>
              </w:rPr>
              <w:t>-</w:t>
            </w:r>
          </w:p>
        </w:tc>
        <w:tc>
          <w:tcPr>
            <w:tcW w:w="1020" w:type="dxa"/>
            <w:tcBorders>
              <w:left w:val="dotted" w:sz="2" w:space="0" w:color="auto"/>
            </w:tcBorders>
            <w:vAlign w:val="center"/>
          </w:tcPr>
          <w:p w14:paraId="04D1C467" w14:textId="77777777" w:rsidR="00387CE9" w:rsidRPr="008E536E" w:rsidRDefault="00387CE9">
            <w:pPr>
              <w:pStyle w:val="Tabletext0"/>
              <w:jc w:val="center"/>
              <w:rPr>
                <w:kern w:val="0"/>
              </w:rPr>
            </w:pPr>
            <w:r w:rsidRPr="008E536E">
              <w:rPr>
                <w:kern w:val="0"/>
              </w:rPr>
              <w:t>-</w:t>
            </w:r>
          </w:p>
        </w:tc>
        <w:tc>
          <w:tcPr>
            <w:tcW w:w="823" w:type="dxa"/>
            <w:tcBorders>
              <w:left w:val="single" w:sz="4" w:space="0" w:color="auto"/>
              <w:right w:val="dotted" w:sz="2" w:space="0" w:color="auto"/>
            </w:tcBorders>
            <w:vAlign w:val="center"/>
          </w:tcPr>
          <w:p w14:paraId="7E685D1C" w14:textId="77777777" w:rsidR="00387CE9" w:rsidRPr="008E536E" w:rsidRDefault="00387CE9">
            <w:pPr>
              <w:pStyle w:val="Tabletext0"/>
              <w:jc w:val="center"/>
              <w:rPr>
                <w:kern w:val="0"/>
              </w:rPr>
            </w:pPr>
            <w:r w:rsidRPr="008E536E">
              <w:rPr>
                <w:kern w:val="0"/>
              </w:rPr>
              <w:t>-</w:t>
            </w:r>
          </w:p>
        </w:tc>
        <w:tc>
          <w:tcPr>
            <w:tcW w:w="1048" w:type="dxa"/>
            <w:tcBorders>
              <w:left w:val="dotted" w:sz="2" w:space="0" w:color="auto"/>
            </w:tcBorders>
            <w:vAlign w:val="center"/>
          </w:tcPr>
          <w:p w14:paraId="04C8F622" w14:textId="77777777" w:rsidR="00387CE9" w:rsidRPr="008E536E" w:rsidRDefault="00387CE9">
            <w:pPr>
              <w:pStyle w:val="Tabletext0"/>
              <w:jc w:val="center"/>
              <w:rPr>
                <w:kern w:val="0"/>
              </w:rPr>
            </w:pPr>
            <w:r w:rsidRPr="008E536E">
              <w:rPr>
                <w:kern w:val="0"/>
              </w:rPr>
              <w:t>-</w:t>
            </w:r>
          </w:p>
        </w:tc>
      </w:tr>
      <w:tr w:rsidR="00387CE9" w:rsidRPr="008E536E" w14:paraId="2A92B2E0" w14:textId="77777777" w:rsidTr="00254586">
        <w:trPr>
          <w:trHeight w:val="421"/>
          <w:jc w:val="center"/>
        </w:trPr>
        <w:tc>
          <w:tcPr>
            <w:tcW w:w="2561" w:type="dxa"/>
          </w:tcPr>
          <w:p w14:paraId="3E99B6C6" w14:textId="77777777" w:rsidR="00387CE9" w:rsidRPr="00BF52F4" w:rsidRDefault="00387CE9">
            <w:pPr>
              <w:pStyle w:val="Tabletext0"/>
              <w:rPr>
                <w:b/>
                <w:kern w:val="0"/>
              </w:rPr>
            </w:pPr>
            <w:r w:rsidRPr="00BF52F4">
              <w:rPr>
                <w:b/>
                <w:kern w:val="0"/>
              </w:rPr>
              <w:t>Missing information</w:t>
            </w:r>
          </w:p>
        </w:tc>
        <w:tc>
          <w:tcPr>
            <w:tcW w:w="2760" w:type="dxa"/>
            <w:tcBorders>
              <w:right w:val="single" w:sz="4" w:space="0" w:color="auto"/>
            </w:tcBorders>
          </w:tcPr>
          <w:p w14:paraId="2A05A02C" w14:textId="77777777" w:rsidR="00387CE9" w:rsidRPr="008E536E" w:rsidRDefault="00387CE9">
            <w:pPr>
              <w:pStyle w:val="Tabletext0"/>
              <w:rPr>
                <w:kern w:val="0"/>
              </w:rPr>
            </w:pPr>
            <w:r w:rsidRPr="008E536E">
              <w:rPr>
                <w:kern w:val="0"/>
              </w:rPr>
              <w:t>None</w:t>
            </w:r>
          </w:p>
        </w:tc>
        <w:tc>
          <w:tcPr>
            <w:tcW w:w="851" w:type="dxa"/>
            <w:tcBorders>
              <w:left w:val="single" w:sz="4" w:space="0" w:color="auto"/>
              <w:right w:val="dotted" w:sz="2" w:space="0" w:color="auto"/>
            </w:tcBorders>
            <w:vAlign w:val="center"/>
          </w:tcPr>
          <w:p w14:paraId="34DE9472" w14:textId="77777777" w:rsidR="00387CE9" w:rsidRPr="008E536E" w:rsidRDefault="00387CE9">
            <w:pPr>
              <w:pStyle w:val="Tabletext0"/>
              <w:jc w:val="center"/>
              <w:rPr>
                <w:kern w:val="0"/>
              </w:rPr>
            </w:pPr>
            <w:r w:rsidRPr="008E536E">
              <w:rPr>
                <w:kern w:val="0"/>
              </w:rPr>
              <w:t>-</w:t>
            </w:r>
          </w:p>
        </w:tc>
        <w:tc>
          <w:tcPr>
            <w:tcW w:w="1020" w:type="dxa"/>
            <w:tcBorders>
              <w:left w:val="dotted" w:sz="2" w:space="0" w:color="auto"/>
            </w:tcBorders>
            <w:vAlign w:val="center"/>
          </w:tcPr>
          <w:p w14:paraId="59F1B8CC" w14:textId="77777777" w:rsidR="00387CE9" w:rsidRPr="008E536E" w:rsidRDefault="00387CE9">
            <w:pPr>
              <w:pStyle w:val="Tabletext0"/>
              <w:jc w:val="center"/>
              <w:rPr>
                <w:kern w:val="0"/>
              </w:rPr>
            </w:pPr>
            <w:r w:rsidRPr="008E536E">
              <w:rPr>
                <w:kern w:val="0"/>
              </w:rPr>
              <w:t>-</w:t>
            </w:r>
          </w:p>
        </w:tc>
        <w:tc>
          <w:tcPr>
            <w:tcW w:w="823" w:type="dxa"/>
            <w:tcBorders>
              <w:left w:val="single" w:sz="4" w:space="0" w:color="auto"/>
              <w:right w:val="dotted" w:sz="2" w:space="0" w:color="auto"/>
            </w:tcBorders>
            <w:vAlign w:val="center"/>
          </w:tcPr>
          <w:p w14:paraId="294B4CB7" w14:textId="77777777" w:rsidR="00387CE9" w:rsidRPr="008E536E" w:rsidRDefault="00387CE9">
            <w:pPr>
              <w:pStyle w:val="Tabletext0"/>
              <w:jc w:val="center"/>
              <w:rPr>
                <w:kern w:val="0"/>
              </w:rPr>
            </w:pPr>
            <w:r w:rsidRPr="008E536E">
              <w:rPr>
                <w:kern w:val="0"/>
              </w:rPr>
              <w:t>-</w:t>
            </w:r>
          </w:p>
        </w:tc>
        <w:tc>
          <w:tcPr>
            <w:tcW w:w="1048" w:type="dxa"/>
            <w:tcBorders>
              <w:left w:val="dotted" w:sz="2" w:space="0" w:color="auto"/>
            </w:tcBorders>
            <w:vAlign w:val="center"/>
          </w:tcPr>
          <w:p w14:paraId="48CAE3D1" w14:textId="77777777" w:rsidR="00387CE9" w:rsidRPr="008E536E" w:rsidRDefault="00387CE9">
            <w:pPr>
              <w:pStyle w:val="Tabletext0"/>
              <w:jc w:val="center"/>
              <w:rPr>
                <w:kern w:val="0"/>
              </w:rPr>
            </w:pPr>
            <w:r w:rsidRPr="008E536E">
              <w:rPr>
                <w:kern w:val="0"/>
              </w:rPr>
              <w:t>-</w:t>
            </w:r>
          </w:p>
        </w:tc>
      </w:tr>
    </w:tbl>
    <w:p w14:paraId="58E50F12" w14:textId="77777777" w:rsidR="00387CE9" w:rsidRPr="00BF52F4" w:rsidRDefault="00387CE9" w:rsidP="00387CE9">
      <w:pPr>
        <w:pStyle w:val="Standard"/>
        <w:spacing w:after="0"/>
        <w:rPr>
          <w:kern w:val="0"/>
        </w:rPr>
      </w:pPr>
    </w:p>
    <w:p w14:paraId="5180F74A" w14:textId="77777777" w:rsidR="00AD7C75" w:rsidRPr="002A75ED" w:rsidRDefault="00AD7C75" w:rsidP="00AD7C75">
      <w:pPr>
        <w:pStyle w:val="Bulletlist"/>
        <w:numPr>
          <w:ilvl w:val="0"/>
          <w:numId w:val="0"/>
        </w:numPr>
        <w:rPr>
          <w:b/>
          <w:bCs/>
          <w:kern w:val="0"/>
        </w:rPr>
      </w:pPr>
      <w:r>
        <w:rPr>
          <w:kern w:val="0"/>
        </w:rPr>
        <w:t>No safety concerns are proposed. This is similar to other pneumococcal vaccines and is acceptable from an RMP perspective. T</w:t>
      </w:r>
      <w:r w:rsidRPr="008B1F32">
        <w:rPr>
          <w:kern w:val="0"/>
        </w:rPr>
        <w:t>he summary of safety concerns</w:t>
      </w:r>
      <w:r>
        <w:rPr>
          <w:kern w:val="0"/>
        </w:rPr>
        <w:t xml:space="preserve"> aligns with the Core-RMP. </w:t>
      </w:r>
    </w:p>
    <w:p w14:paraId="5B9BAD4B" w14:textId="77777777" w:rsidR="00AD7C75" w:rsidRPr="00BF52F4" w:rsidRDefault="00AD7C75" w:rsidP="00AD7C75">
      <w:pPr>
        <w:pStyle w:val="Bulletlist"/>
        <w:numPr>
          <w:ilvl w:val="0"/>
          <w:numId w:val="0"/>
        </w:numPr>
        <w:rPr>
          <w:color w:val="0070C0"/>
          <w:kern w:val="0"/>
        </w:rPr>
      </w:pPr>
      <w:r w:rsidRPr="008B1F32">
        <w:rPr>
          <w:kern w:val="0"/>
        </w:rPr>
        <w:t>Only routine pharmacovigilance measures have been proposed.</w:t>
      </w:r>
      <w:r>
        <w:rPr>
          <w:kern w:val="0"/>
        </w:rPr>
        <w:t xml:space="preserve"> This is acceptable from an RMP perspective.  </w:t>
      </w:r>
    </w:p>
    <w:p w14:paraId="7E540729" w14:textId="77777777" w:rsidR="00AD7C75" w:rsidRPr="00FD20E9" w:rsidRDefault="00AD7C75" w:rsidP="00AD7C75">
      <w:pPr>
        <w:pStyle w:val="Bulletlist"/>
        <w:numPr>
          <w:ilvl w:val="0"/>
          <w:numId w:val="0"/>
        </w:numPr>
        <w:rPr>
          <w:kern w:val="0"/>
        </w:rPr>
      </w:pPr>
      <w:r w:rsidRPr="006A61EF">
        <w:rPr>
          <w:kern w:val="0"/>
        </w:rPr>
        <w:t>Only routine risk minimisation activities have been proposed</w:t>
      </w:r>
      <w:r>
        <w:rPr>
          <w:kern w:val="0"/>
        </w:rPr>
        <w:t xml:space="preserve"> noting there are no safety concerns</w:t>
      </w:r>
      <w:r w:rsidRPr="006A61EF">
        <w:rPr>
          <w:kern w:val="0"/>
        </w:rPr>
        <w:t xml:space="preserve">. </w:t>
      </w:r>
      <w:r>
        <w:rPr>
          <w:kern w:val="0"/>
        </w:rPr>
        <w:t xml:space="preserve">This is acceptable from an RMP perspective.   </w:t>
      </w:r>
      <w:bookmarkStart w:id="54" w:name="_Hlk154133113"/>
    </w:p>
    <w:bookmarkEnd w:id="54"/>
    <w:p w14:paraId="56A4CB9C" w14:textId="77777777" w:rsidR="00377F44" w:rsidRPr="00377F44" w:rsidRDefault="00377F44" w:rsidP="007A2FF0">
      <w:pPr>
        <w:pStyle w:val="Heading5"/>
      </w:pPr>
      <w:r w:rsidRPr="00377F44">
        <w:t>RMP evaluator recommendations regarding conditions of registration</w:t>
      </w:r>
    </w:p>
    <w:p w14:paraId="58BFA6B1" w14:textId="01C99B01" w:rsidR="007A2FF0" w:rsidRPr="007A2FF0" w:rsidRDefault="00187278" w:rsidP="007A2FF0">
      <w:pPr>
        <w:rPr>
          <w:iCs/>
        </w:rPr>
      </w:pPr>
      <w:r w:rsidRPr="00187278">
        <w:rPr>
          <w:iCs/>
        </w:rPr>
        <w:t xml:space="preserve">Merck Sharp &amp; Dohme (Australia) </w:t>
      </w:r>
      <w:r w:rsidR="007A2FF0" w:rsidRPr="007A2FF0">
        <w:rPr>
          <w:iCs/>
        </w:rPr>
        <w:t xml:space="preserve">submitted Core-RMP version 1.0 (dated 7 November 2023; DLP 12 September 2023) and ASA version 0.1 (dated 10 November 2023) in support of this application.  </w:t>
      </w:r>
    </w:p>
    <w:p w14:paraId="4B6AB5C8" w14:textId="77777777" w:rsidR="007A2FF0" w:rsidRPr="007A2FF0" w:rsidRDefault="007A2FF0" w:rsidP="007A2FF0">
      <w:pPr>
        <w:rPr>
          <w:iCs/>
        </w:rPr>
      </w:pPr>
      <w:r w:rsidRPr="007A2FF0">
        <w:rPr>
          <w:iCs/>
        </w:rPr>
        <w:t>In response to the section 31 request, the sponsor provided ASA version 0.2 (dated 24 July 2024) in association with the previously submitted Core-RMP version 1.0 (dated 7 November 2023; DLP 12 September 2023).</w:t>
      </w:r>
    </w:p>
    <w:p w14:paraId="0EBD04F4" w14:textId="3FD36C69" w:rsidR="00377F44" w:rsidRPr="00377F44" w:rsidRDefault="00377F44" w:rsidP="00377F44">
      <w:r w:rsidRPr="00377F44">
        <w:t>As C</w:t>
      </w:r>
      <w:r w:rsidR="00074541">
        <w:t>apvaxive</w:t>
      </w:r>
      <w:r w:rsidRPr="00377F44">
        <w:t xml:space="preserve"> is a new </w:t>
      </w:r>
      <w:r w:rsidR="00040C33">
        <w:t xml:space="preserve">biological </w:t>
      </w:r>
      <w:r w:rsidRPr="00377F44">
        <w:t xml:space="preserve">entity it should be included in the Black Triangle Scheme as a condition of registration. The following wording is recommended for the condition of registration: </w:t>
      </w:r>
    </w:p>
    <w:p w14:paraId="0473BFEA" w14:textId="3297AD26" w:rsidR="00377F44" w:rsidRPr="00377F44" w:rsidRDefault="00EA20B0" w:rsidP="002F0695">
      <w:pPr>
        <w:pStyle w:val="ListBullet"/>
        <w:numPr>
          <w:ilvl w:val="0"/>
          <w:numId w:val="0"/>
        </w:numPr>
        <w:ind w:left="360"/>
      </w:pPr>
      <w:r>
        <w:t>‘</w:t>
      </w:r>
      <w:r w:rsidR="00377F44" w:rsidRPr="00377F44">
        <w:t>C</w:t>
      </w:r>
      <w:r w:rsidR="00B14204">
        <w:t xml:space="preserve">apvaxive </w:t>
      </w:r>
      <w:r w:rsidR="00377F44" w:rsidRPr="00377F44">
        <w:t>(Pneumococcal 21-valent Conjugate Vaccine) is to be included in the Black Triangle Scheme. The PI and CMI for C</w:t>
      </w:r>
      <w:r w:rsidR="009079DC">
        <w:t>apvaxive</w:t>
      </w:r>
      <w:r w:rsidR="00377F44" w:rsidRPr="00377F44">
        <w:t xml:space="preserve"> must include the black triangle symbol and mandatory accompanying text for five years, which starts from the date of first supply of the product.</w:t>
      </w:r>
      <w:r w:rsidR="008B28D0">
        <w:t>’</w:t>
      </w:r>
    </w:p>
    <w:p w14:paraId="6442D1B2" w14:textId="77777777" w:rsidR="00617B94" w:rsidRPr="00617B94" w:rsidRDefault="00617B94" w:rsidP="00617B94">
      <w:pPr>
        <w:rPr>
          <w:szCs w:val="22"/>
        </w:rPr>
      </w:pPr>
      <w:bookmarkStart w:id="55" w:name="_Toc103679299"/>
      <w:r w:rsidRPr="00617B94">
        <w:rPr>
          <w:szCs w:val="22"/>
        </w:rPr>
        <w:t>The following wording is recommended for the PSUR requirement:</w:t>
      </w:r>
    </w:p>
    <w:p w14:paraId="70F6C453" w14:textId="7273839C" w:rsidR="00617B94" w:rsidRDefault="00617B94" w:rsidP="002F0695">
      <w:pPr>
        <w:ind w:left="357"/>
        <w:rPr>
          <w:szCs w:val="22"/>
        </w:rPr>
      </w:pPr>
      <w:r w:rsidRPr="00617B94">
        <w:rPr>
          <w:szCs w:val="22"/>
        </w:rPr>
        <w:t>‘An obligatory component of risk management plans is routine pharmacovigilance. Routine pharmacovigilance includes the submission of periodic safety update reports (PSURs).’</w:t>
      </w:r>
    </w:p>
    <w:p w14:paraId="0908AE06" w14:textId="45D6A8C7" w:rsidR="00FA1BC9" w:rsidRPr="00BD5DBD" w:rsidRDefault="00FA1BC9" w:rsidP="00FA1BC9">
      <w:pPr>
        <w:rPr>
          <w:szCs w:val="22"/>
        </w:rPr>
      </w:pPr>
      <w:r w:rsidRPr="00BD5DBD">
        <w:rPr>
          <w:szCs w:val="22"/>
        </w:rPr>
        <w:t>The sponsor is required to comply with product vigilance and risk minimisation requirements.</w:t>
      </w:r>
    </w:p>
    <w:p w14:paraId="456C7934" w14:textId="33D88D4B" w:rsidR="00FA1BC9" w:rsidRDefault="00FA1BC9" w:rsidP="00FA1BC9">
      <w:pPr>
        <w:rPr>
          <w:szCs w:val="22"/>
        </w:rPr>
      </w:pPr>
      <w:r w:rsidRPr="00BD5DBD">
        <w:rPr>
          <w:szCs w:val="22"/>
        </w:rPr>
        <w:t>The TGA may request an updated RMP at any stage of a product's life</w:t>
      </w:r>
      <w:r w:rsidR="002F0695">
        <w:rPr>
          <w:szCs w:val="22"/>
        </w:rPr>
        <w:t xml:space="preserve"> </w:t>
      </w:r>
      <w:r w:rsidRPr="00BD5DBD">
        <w:rPr>
          <w:szCs w:val="22"/>
        </w:rPr>
        <w:t xml:space="preserve">cycle, during both the pre-approval and post-approval phases. Further information regarding the TGA’s risk management approach can be found in </w:t>
      </w:r>
      <w:hyperlink r:id="rId36" w:history="1">
        <w:r w:rsidRPr="00BD5DBD">
          <w:rPr>
            <w:rStyle w:val="Hyperlink"/>
            <w:szCs w:val="22"/>
          </w:rPr>
          <w:t>risk management plans for medicines and biologicals</w:t>
        </w:r>
      </w:hyperlink>
      <w:r w:rsidRPr="00BD5DBD">
        <w:rPr>
          <w:szCs w:val="22"/>
        </w:rPr>
        <w:t xml:space="preserve"> and </w:t>
      </w:r>
      <w:hyperlink r:id="rId37" w:history="1">
        <w:r w:rsidRPr="00BD5DBD">
          <w:rPr>
            <w:rStyle w:val="Hyperlink"/>
            <w:szCs w:val="22"/>
          </w:rPr>
          <w:t>the TGA's risk management approach</w:t>
        </w:r>
      </w:hyperlink>
      <w:r w:rsidRPr="00BD5DBD">
        <w:rPr>
          <w:szCs w:val="22"/>
        </w:rPr>
        <w:t xml:space="preserve">. Information on the </w:t>
      </w:r>
      <w:hyperlink r:id="rId38"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9" w:history="1">
        <w:r w:rsidRPr="00BD5DBD">
          <w:rPr>
            <w:rStyle w:val="Hyperlink"/>
            <w:szCs w:val="22"/>
          </w:rPr>
          <w:t>ASA</w:t>
        </w:r>
      </w:hyperlink>
      <w:r w:rsidRPr="00BD5DBD">
        <w:rPr>
          <w:szCs w:val="22"/>
        </w:rPr>
        <w:t>) can be found on the TGA website.</w:t>
      </w:r>
    </w:p>
    <w:p w14:paraId="13BFFFCC" w14:textId="15B1381C" w:rsidR="00CC7031" w:rsidRDefault="0066340F" w:rsidP="0066340F">
      <w:pPr>
        <w:pStyle w:val="Heading3"/>
      </w:pPr>
      <w:bookmarkStart w:id="56" w:name="_Toc207110446"/>
      <w:bookmarkStart w:id="57" w:name="_Toc200546960"/>
      <w:bookmarkEnd w:id="51"/>
      <w:bookmarkEnd w:id="52"/>
      <w:bookmarkEnd w:id="55"/>
      <w:r w:rsidRPr="0066340F">
        <w:lastRenderedPageBreak/>
        <w:t xml:space="preserve">Risk-benefit </w:t>
      </w:r>
      <w:r w:rsidR="00CC7031">
        <w:t>assessment</w:t>
      </w:r>
      <w:bookmarkEnd w:id="56"/>
    </w:p>
    <w:p w14:paraId="08E471C4" w14:textId="595B0447" w:rsidR="0066340F" w:rsidRPr="0066340F" w:rsidRDefault="0066340F" w:rsidP="002F0695">
      <w:pPr>
        <w:pStyle w:val="Heading4"/>
      </w:pPr>
      <w:bookmarkStart w:id="58" w:name="_Toc207110447"/>
      <w:r w:rsidRPr="0066340F">
        <w:t>Delegate’s considerations</w:t>
      </w:r>
      <w:bookmarkEnd w:id="57"/>
      <w:bookmarkEnd w:id="58"/>
      <w:r w:rsidRPr="0066340F">
        <w:t xml:space="preserve"> </w:t>
      </w:r>
    </w:p>
    <w:p w14:paraId="0DDB7ABD" w14:textId="08A4372A" w:rsidR="00EE2740" w:rsidRPr="002449EC" w:rsidRDefault="00EE2740" w:rsidP="00EE2740">
      <w:r>
        <w:t>The submitted data are sufficient to recommend registration of C</w:t>
      </w:r>
      <w:r w:rsidR="003C45B2">
        <w:t>apvaxive</w:t>
      </w:r>
      <w:r>
        <w:t xml:space="preserve">, with minor amendments to the indication. </w:t>
      </w:r>
    </w:p>
    <w:p w14:paraId="38006493" w14:textId="4FD33F6A" w:rsidR="00EE2740" w:rsidRDefault="00EE2740" w:rsidP="00EE2740">
      <w:pPr>
        <w:rPr>
          <w:iCs/>
        </w:rPr>
      </w:pPr>
      <w:r>
        <w:rPr>
          <w:iCs/>
        </w:rPr>
        <w:t>O</w:t>
      </w:r>
      <w:r w:rsidRPr="00FA4509">
        <w:rPr>
          <w:iCs/>
        </w:rPr>
        <w:t xml:space="preserve">psonophagocytic activity </w:t>
      </w:r>
      <w:r>
        <w:rPr>
          <w:iCs/>
        </w:rPr>
        <w:t>(</w:t>
      </w:r>
      <w:r w:rsidRPr="007F1BF0">
        <w:rPr>
          <w:iCs/>
        </w:rPr>
        <w:t>OPA</w:t>
      </w:r>
      <w:r>
        <w:rPr>
          <w:iCs/>
        </w:rPr>
        <w:t>)</w:t>
      </w:r>
      <w:r w:rsidRPr="007F1BF0">
        <w:rPr>
          <w:iCs/>
        </w:rPr>
        <w:t xml:space="preserve"> and ECL</w:t>
      </w:r>
      <w:r>
        <w:rPr>
          <w:iCs/>
        </w:rPr>
        <w:t xml:space="preserve"> assays</w:t>
      </w:r>
      <w:r w:rsidRPr="007F1BF0">
        <w:rPr>
          <w:iCs/>
        </w:rPr>
        <w:t xml:space="preserve"> are </w:t>
      </w:r>
      <w:r>
        <w:rPr>
          <w:iCs/>
        </w:rPr>
        <w:t xml:space="preserve">accepted </w:t>
      </w:r>
      <w:r w:rsidRPr="007F1BF0">
        <w:rPr>
          <w:iCs/>
        </w:rPr>
        <w:t xml:space="preserve">surrogate </w:t>
      </w:r>
      <w:r>
        <w:rPr>
          <w:iCs/>
        </w:rPr>
        <w:t xml:space="preserve">immunological endpoints, however there is no established </w:t>
      </w:r>
      <w:r w:rsidRPr="00F211FA">
        <w:rPr>
          <w:iCs/>
        </w:rPr>
        <w:t>immunological threshold level of antibody concentration that correlates with protection against pneumococcal disease</w:t>
      </w:r>
      <w:r>
        <w:rPr>
          <w:iCs/>
        </w:rPr>
        <w:t>.</w:t>
      </w:r>
    </w:p>
    <w:p w14:paraId="021F32EC" w14:textId="77777777" w:rsidR="00EE2740" w:rsidRDefault="00EE2740" w:rsidP="00EE2740">
      <w:pPr>
        <w:rPr>
          <w:iCs/>
        </w:rPr>
      </w:pPr>
      <w:r w:rsidRPr="009F0224">
        <w:rPr>
          <w:iCs/>
        </w:rPr>
        <w:t>Efficacy data were not included in the application</w:t>
      </w:r>
      <w:r>
        <w:rPr>
          <w:iCs/>
        </w:rPr>
        <w:t xml:space="preserve">, </w:t>
      </w:r>
      <w:r w:rsidRPr="00E175FB">
        <w:rPr>
          <w:iCs/>
        </w:rPr>
        <w:t>however the TGA acknowledges the FDA condition under accelerated approval for the pneumonia indication to provide adequate and well-controlled confirmatory studies</w:t>
      </w:r>
      <w:r>
        <w:rPr>
          <w:iCs/>
        </w:rPr>
        <w:t xml:space="preserve">. </w:t>
      </w:r>
      <w:r w:rsidRPr="001301A1">
        <w:rPr>
          <w:iCs/>
        </w:rPr>
        <w:t xml:space="preserve">The immunobridging strategy has been used </w:t>
      </w:r>
      <w:r>
        <w:rPr>
          <w:iCs/>
        </w:rPr>
        <w:t xml:space="preserve">for </w:t>
      </w:r>
      <w:r w:rsidRPr="001301A1">
        <w:rPr>
          <w:iCs/>
        </w:rPr>
        <w:t xml:space="preserve">other </w:t>
      </w:r>
      <w:r>
        <w:rPr>
          <w:iCs/>
        </w:rPr>
        <w:t xml:space="preserve">recently registered </w:t>
      </w:r>
      <w:r w:rsidRPr="001301A1">
        <w:rPr>
          <w:iCs/>
        </w:rPr>
        <w:t>pneumococcal vaccines and ongoing post-marketing surveillance will be critical, given the lack of efficacy data in the pre-registrational trials.</w:t>
      </w:r>
    </w:p>
    <w:p w14:paraId="01F14135" w14:textId="77777777" w:rsidR="00EE2740" w:rsidRDefault="00EE2740" w:rsidP="00EE2740">
      <w:pPr>
        <w:rPr>
          <w:iCs/>
        </w:rPr>
      </w:pPr>
      <w:r>
        <w:rPr>
          <w:iCs/>
        </w:rPr>
        <w:t>In the pivotal trial, STRIDE 3, there was a trend towards lower immune responses with increasing age strata.</w:t>
      </w:r>
      <w:r w:rsidRPr="00F825E5">
        <w:rPr>
          <w:iCs/>
          <w:vertAlign w:val="superscript"/>
        </w:rPr>
        <w:t>7</w:t>
      </w:r>
      <w:r>
        <w:rPr>
          <w:iCs/>
          <w:vertAlign w:val="superscript"/>
        </w:rPr>
        <w:t xml:space="preserve"> </w:t>
      </w:r>
      <w:r>
        <w:rPr>
          <w:iCs/>
        </w:rPr>
        <w:t>Immunogenicity data were limited to 30 days post-vaccination in all trials, there were no data in immunocompromised groups or for concomitant vaccination with COVID-19 and RSV vaccines.</w:t>
      </w:r>
    </w:p>
    <w:p w14:paraId="1F5F4DF3" w14:textId="57054A35" w:rsidR="00EE2740" w:rsidRDefault="00EE2740" w:rsidP="00EE2740">
      <w:pPr>
        <w:rPr>
          <w:iCs/>
        </w:rPr>
      </w:pPr>
      <w:r>
        <w:rPr>
          <w:iCs/>
        </w:rPr>
        <w:t xml:space="preserve">There was a </w:t>
      </w:r>
      <w:r w:rsidRPr="003F59C2">
        <w:rPr>
          <w:iCs/>
        </w:rPr>
        <w:t>pre-marketing safety database of 4556</w:t>
      </w:r>
      <w:r>
        <w:rPr>
          <w:iCs/>
        </w:rPr>
        <w:t xml:space="preserve"> participants who received C</w:t>
      </w:r>
      <w:r w:rsidR="009C18B8">
        <w:rPr>
          <w:iCs/>
        </w:rPr>
        <w:t>apvaxive</w:t>
      </w:r>
      <w:r w:rsidRPr="003F59C2">
        <w:rPr>
          <w:iCs/>
        </w:rPr>
        <w:t xml:space="preserve"> in the Phase 3 studies</w:t>
      </w:r>
      <w:r>
        <w:rPr>
          <w:iCs/>
        </w:rPr>
        <w:t xml:space="preserve"> and C</w:t>
      </w:r>
      <w:r w:rsidR="009C18B8">
        <w:rPr>
          <w:iCs/>
        </w:rPr>
        <w:t>apvaxive</w:t>
      </w:r>
      <w:r>
        <w:rPr>
          <w:iCs/>
        </w:rPr>
        <w:t xml:space="preserve"> demonstrated a similar safety profile to comparator pneumococcal vaccines.</w:t>
      </w:r>
    </w:p>
    <w:p w14:paraId="263E1687" w14:textId="7C5DB9E6" w:rsidR="00EE2740" w:rsidRPr="003F59C2" w:rsidRDefault="00EE2740" w:rsidP="00EE2740">
      <w:pPr>
        <w:rPr>
          <w:iCs/>
        </w:rPr>
      </w:pPr>
      <w:r w:rsidRPr="003F59C2">
        <w:rPr>
          <w:iCs/>
        </w:rPr>
        <w:t xml:space="preserve">Recommendations for </w:t>
      </w:r>
      <w:r>
        <w:rPr>
          <w:iCs/>
        </w:rPr>
        <w:t xml:space="preserve">pneumococcal vaccination </w:t>
      </w:r>
      <w:r w:rsidRPr="003F59C2">
        <w:rPr>
          <w:iCs/>
        </w:rPr>
        <w:t>program</w:t>
      </w:r>
      <w:r>
        <w:rPr>
          <w:iCs/>
        </w:rPr>
        <w:t>s are</w:t>
      </w:r>
      <w:r w:rsidRPr="003F59C2">
        <w:rPr>
          <w:iCs/>
        </w:rPr>
        <w:t xml:space="preserve"> becoming </w:t>
      </w:r>
      <w:r>
        <w:rPr>
          <w:iCs/>
        </w:rPr>
        <w:t>more</w:t>
      </w:r>
      <w:r w:rsidRPr="003F59C2">
        <w:rPr>
          <w:iCs/>
        </w:rPr>
        <w:t xml:space="preserve"> complex with </w:t>
      </w:r>
      <w:r>
        <w:rPr>
          <w:iCs/>
        </w:rPr>
        <w:t xml:space="preserve">the </w:t>
      </w:r>
      <w:r w:rsidRPr="003F59C2">
        <w:rPr>
          <w:iCs/>
        </w:rPr>
        <w:t xml:space="preserve">recent registration of </w:t>
      </w:r>
      <w:r>
        <w:rPr>
          <w:iCs/>
        </w:rPr>
        <w:t>Vaxneuvance and Prevenar 20 and the anticipated registration of C</w:t>
      </w:r>
      <w:r w:rsidR="0045212E">
        <w:rPr>
          <w:iCs/>
        </w:rPr>
        <w:t>apvaxive</w:t>
      </w:r>
      <w:r>
        <w:rPr>
          <w:iCs/>
        </w:rPr>
        <w:t xml:space="preserve">. The role of vaccination </w:t>
      </w:r>
      <w:r w:rsidRPr="00142A41">
        <w:rPr>
          <w:iCs/>
        </w:rPr>
        <w:t xml:space="preserve">with </w:t>
      </w:r>
      <w:r w:rsidR="00DF6BCE">
        <w:rPr>
          <w:iCs/>
        </w:rPr>
        <w:t>23v</w:t>
      </w:r>
      <w:r w:rsidRPr="00142A41">
        <w:rPr>
          <w:iCs/>
        </w:rPr>
        <w:t xml:space="preserve">PPV </w:t>
      </w:r>
      <w:r>
        <w:rPr>
          <w:iCs/>
        </w:rPr>
        <w:t>for people at increased risk of pneumococcal disease in the event of registration of C</w:t>
      </w:r>
      <w:r w:rsidR="0045212E">
        <w:rPr>
          <w:iCs/>
        </w:rPr>
        <w:t>apvaxive</w:t>
      </w:r>
      <w:r>
        <w:rPr>
          <w:iCs/>
        </w:rPr>
        <w:t xml:space="preserve"> will require review by the Australian Technical Advisory Group on Immunisation.</w:t>
      </w:r>
    </w:p>
    <w:p w14:paraId="36F2EE2B" w14:textId="7CE80070" w:rsidR="00EE2740" w:rsidRDefault="00D364C6" w:rsidP="005B4920">
      <w:pPr>
        <w:pStyle w:val="Heading5"/>
      </w:pPr>
      <w:r>
        <w:t xml:space="preserve">Proposed action </w:t>
      </w:r>
    </w:p>
    <w:p w14:paraId="20A7B925" w14:textId="731C4FF9" w:rsidR="00EE2740" w:rsidRDefault="00EE2740" w:rsidP="00EE2740">
      <w:r>
        <w:t>Registration of C</w:t>
      </w:r>
      <w:r w:rsidR="0045212E">
        <w:t>apvaxive</w:t>
      </w:r>
      <w:r>
        <w:t xml:space="preserve"> is recommended, subject to satisfactory resolution of the product information and implementation of the RMP and Quality conditions of registration. </w:t>
      </w:r>
    </w:p>
    <w:p w14:paraId="318CFABC" w14:textId="52EAED01" w:rsidR="00C22214" w:rsidRPr="00F73346" w:rsidRDefault="00C22214" w:rsidP="00CC76B6">
      <w:pPr>
        <w:pStyle w:val="Heading4"/>
      </w:pPr>
      <w:bookmarkStart w:id="59" w:name="_Toc98931936"/>
      <w:bookmarkStart w:id="60" w:name="_Toc207110448"/>
      <w:bookmarkStart w:id="61" w:name="_Toc247691532"/>
      <w:bookmarkStart w:id="62" w:name="_Toc314842516"/>
      <w:r w:rsidRPr="00F73346">
        <w:t xml:space="preserve">Advisory Committee </w:t>
      </w:r>
      <w:r w:rsidR="00833757">
        <w:t xml:space="preserve">on </w:t>
      </w:r>
      <w:r w:rsidR="0007632B">
        <w:t>Vaccines</w:t>
      </w:r>
      <w:r w:rsidR="00833757">
        <w:t xml:space="preserve"> </w:t>
      </w:r>
      <w:r w:rsidRPr="00F73346">
        <w:t>considerations</w:t>
      </w:r>
      <w:bookmarkEnd w:id="59"/>
      <w:bookmarkEnd w:id="60"/>
    </w:p>
    <w:p w14:paraId="087BB9CB" w14:textId="5EC1BAC2" w:rsidR="00C22214" w:rsidRPr="00BD5DBD" w:rsidRDefault="00C22214" w:rsidP="00C22214">
      <w:pPr>
        <w:rPr>
          <w:bCs/>
          <w:szCs w:val="22"/>
        </w:rPr>
      </w:pPr>
      <w:r w:rsidRPr="00BD5DBD">
        <w:rPr>
          <w:bCs/>
          <w:szCs w:val="22"/>
        </w:rPr>
        <w:t xml:space="preserve">The </w:t>
      </w:r>
      <w:hyperlink r:id="rId40" w:history="1">
        <w:r w:rsidRPr="00BD5DBD">
          <w:rPr>
            <w:rStyle w:val="Hyperlink"/>
            <w:szCs w:val="22"/>
          </w:rPr>
          <w:t xml:space="preserve">Advisory Committee on </w:t>
        </w:r>
        <w:r w:rsidR="0007632B">
          <w:rPr>
            <w:rStyle w:val="Hyperlink"/>
            <w:szCs w:val="22"/>
          </w:rPr>
          <w:t>Vaccines</w:t>
        </w:r>
        <w:r w:rsidRPr="00BD5DBD">
          <w:rPr>
            <w:rStyle w:val="Hyperlink"/>
            <w:szCs w:val="22"/>
          </w:rPr>
          <w:t xml:space="preserve"> (AC</w:t>
        </w:r>
        <w:r w:rsidR="0007632B">
          <w:rPr>
            <w:rStyle w:val="Hyperlink"/>
            <w:szCs w:val="22"/>
          </w:rPr>
          <w:t>V</w:t>
        </w:r>
        <w:r w:rsidRPr="00BD5DBD">
          <w:rPr>
            <w:rStyle w:val="Hyperlink"/>
            <w:szCs w:val="22"/>
          </w:rPr>
          <w:t>)</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45433BA8" w14:textId="77777777" w:rsidR="00B14712" w:rsidRDefault="00B14712" w:rsidP="006E2B43">
      <w:pPr>
        <w:pStyle w:val="DelegatesQuestions"/>
        <w:rPr>
          <w:lang w:eastAsia="en-AU"/>
        </w:rPr>
      </w:pPr>
      <w:r w:rsidRPr="008E6174">
        <w:rPr>
          <w:lang w:eastAsia="en-AU"/>
        </w:rPr>
        <w:t>Please comment on the Delegate’s amended wording of the indication.</w:t>
      </w:r>
    </w:p>
    <w:p w14:paraId="7B7AE8B8" w14:textId="77777777" w:rsidR="00BF16CC" w:rsidRDefault="00BF16CC" w:rsidP="00577CA8">
      <w:r>
        <w:t>The ACV advised that the Delegate’s amended wording of the indication was appropriate for this vaccine:</w:t>
      </w:r>
    </w:p>
    <w:p w14:paraId="353EC611" w14:textId="77777777" w:rsidR="00BF16CC" w:rsidRPr="00CF532A" w:rsidRDefault="00BF16CC" w:rsidP="00CF532A">
      <w:pPr>
        <w:ind w:left="720"/>
        <w:rPr>
          <w:i/>
          <w:iCs/>
          <w:szCs w:val="22"/>
        </w:rPr>
      </w:pPr>
      <w:r w:rsidRPr="00CF532A">
        <w:rPr>
          <w:i/>
          <w:iCs/>
          <w:szCs w:val="22"/>
        </w:rPr>
        <w:t>Active immunisation for the prevention of pneumococcal disease caused by Streptococcus pneumoniae serotypes (3, 6A, 7F, 8, 9N, 10A, 11A, 12F, 15A, 15B, 15C, 16F, 17F, 19A, 20A, 22F, 23A, 23B, 24F, 31, 33F, and 35B) in adults 18 years of age and older.</w:t>
      </w:r>
    </w:p>
    <w:p w14:paraId="44415151" w14:textId="13BAA395" w:rsidR="00BF16CC" w:rsidRPr="00CF532A" w:rsidRDefault="00BF16CC" w:rsidP="00CF532A">
      <w:pPr>
        <w:ind w:left="720"/>
        <w:rPr>
          <w:i/>
          <w:iCs/>
          <w:szCs w:val="22"/>
        </w:rPr>
      </w:pPr>
      <w:r w:rsidRPr="00CF532A">
        <w:rPr>
          <w:i/>
          <w:iCs/>
          <w:szCs w:val="22"/>
        </w:rPr>
        <w:t>C</w:t>
      </w:r>
      <w:r w:rsidR="00962953" w:rsidRPr="00CF532A">
        <w:rPr>
          <w:i/>
          <w:iCs/>
          <w:szCs w:val="22"/>
        </w:rPr>
        <w:t>apvaxive</w:t>
      </w:r>
      <w:r w:rsidRPr="00CF532A">
        <w:rPr>
          <w:i/>
          <w:iCs/>
          <w:szCs w:val="22"/>
        </w:rPr>
        <w:t xml:space="preserve"> may not prevent disease caused by S. pneumoniae serotypes that are not contained in the vaccine.</w:t>
      </w:r>
    </w:p>
    <w:p w14:paraId="18D973C9" w14:textId="1BA01F85" w:rsidR="00BF16CC" w:rsidRPr="00CF532A" w:rsidRDefault="00BF16CC" w:rsidP="00CF532A">
      <w:pPr>
        <w:ind w:left="720"/>
        <w:rPr>
          <w:i/>
          <w:iCs/>
          <w:szCs w:val="22"/>
        </w:rPr>
      </w:pPr>
      <w:r w:rsidRPr="00CF532A">
        <w:rPr>
          <w:i/>
          <w:iCs/>
          <w:szCs w:val="22"/>
        </w:rPr>
        <w:lastRenderedPageBreak/>
        <w:t>The use of C</w:t>
      </w:r>
      <w:r w:rsidR="00962953" w:rsidRPr="00CF532A">
        <w:rPr>
          <w:i/>
          <w:iCs/>
          <w:szCs w:val="22"/>
        </w:rPr>
        <w:t>apvaxive</w:t>
      </w:r>
      <w:r w:rsidRPr="00CF532A">
        <w:rPr>
          <w:i/>
          <w:iCs/>
          <w:szCs w:val="22"/>
        </w:rPr>
        <w:t xml:space="preserve"> should be in accordance with official recommendations.</w:t>
      </w:r>
    </w:p>
    <w:p w14:paraId="693B93F3" w14:textId="56BA0D9A" w:rsidR="00BF16CC" w:rsidRPr="00577CA8" w:rsidRDefault="00BF16CC" w:rsidP="00577CA8">
      <w:pPr>
        <w:rPr>
          <w:szCs w:val="22"/>
        </w:rPr>
      </w:pPr>
      <w:r w:rsidRPr="00577CA8">
        <w:rPr>
          <w:szCs w:val="22"/>
        </w:rPr>
        <w:t>The wording in the second paragraph is consistent with other pneumococcal vaccines, and the wording in the third paragraph is consistent with vaccines generally. There was no reason to vary the wording for C</w:t>
      </w:r>
      <w:r w:rsidR="00962953" w:rsidRPr="00577CA8">
        <w:rPr>
          <w:szCs w:val="22"/>
        </w:rPr>
        <w:t>apvaxive</w:t>
      </w:r>
      <w:r w:rsidRPr="00577CA8">
        <w:rPr>
          <w:szCs w:val="22"/>
        </w:rPr>
        <w:t>.</w:t>
      </w:r>
    </w:p>
    <w:p w14:paraId="24ED4CB0" w14:textId="26114DEC" w:rsidR="00B14712" w:rsidRDefault="00B14712" w:rsidP="006E2B43">
      <w:pPr>
        <w:pStyle w:val="DelegatesQuestions"/>
        <w:rPr>
          <w:lang w:eastAsia="en-AU"/>
        </w:rPr>
      </w:pPr>
      <w:r w:rsidRPr="008E6174">
        <w:rPr>
          <w:lang w:eastAsia="en-AU"/>
        </w:rPr>
        <w:t>Please comment on the clinical relevance of the immunogenicity results for the cross-reactive serotypes 15B and 6C which are not included in the vaccine formulation for C</w:t>
      </w:r>
      <w:r w:rsidR="00962953">
        <w:rPr>
          <w:lang w:eastAsia="en-AU"/>
        </w:rPr>
        <w:t>apvaxive</w:t>
      </w:r>
      <w:r w:rsidRPr="008E6174">
        <w:rPr>
          <w:lang w:eastAsia="en-AU"/>
        </w:rPr>
        <w:t xml:space="preserve"> and the Delegate’s request to exclude serotype 6C from the proposed indication for Australia. </w:t>
      </w:r>
    </w:p>
    <w:p w14:paraId="20EFE0D6" w14:textId="77777777" w:rsidR="009F513E" w:rsidRPr="00BC4203" w:rsidRDefault="009F513E" w:rsidP="00143F22">
      <w:r w:rsidRPr="009F513E">
        <w:rPr>
          <w:lang w:val="en-US"/>
        </w:rPr>
        <w:t xml:space="preserve">The ACV noted that a minority of participants experienced a </w:t>
      </w:r>
      <w:r>
        <w:t xml:space="preserve">≥4-fold rise in serotype 6C-specific OPA response (49.5%; 95% CI 46.0, 52.6). </w:t>
      </w:r>
      <w:r w:rsidRPr="009F513E">
        <w:rPr>
          <w:lang w:val="en-US"/>
        </w:rPr>
        <w:t xml:space="preserve">The ACV also noted that the data from studies of 13vPCV suggest the development of cross-protection against 6C when both 6A and 6B antigens are present in a vaccine; V116 contains only serotype 6A antigens. For these reasons, the ACV </w:t>
      </w:r>
      <w:r w:rsidRPr="00503C5C">
        <w:rPr>
          <w:lang w:val="en-US"/>
        </w:rPr>
        <w:t xml:space="preserve">advised that prevention of disease caused by serotype </w:t>
      </w:r>
      <w:r w:rsidRPr="009F513E">
        <w:rPr>
          <w:lang w:val="en-US"/>
        </w:rPr>
        <w:t>6C should not be included in the indication. Further immunogenicity or epidemiological data relating to V116 are required to make a claim for prevention of disease caused by serotype 6C.</w:t>
      </w:r>
    </w:p>
    <w:p w14:paraId="2D912D50" w14:textId="32B11775" w:rsidR="009F513E" w:rsidRDefault="009F513E" w:rsidP="00143F22">
      <w:r>
        <w:t xml:space="preserve">The ACV noted that </w:t>
      </w:r>
      <w:r w:rsidRPr="009F513E">
        <w:rPr>
          <w:lang w:val="en-US"/>
        </w:rPr>
        <w:t xml:space="preserve">a majority of participants experienced a </w:t>
      </w:r>
      <w:r w:rsidRPr="00C044AA">
        <w:t>≥4-fold rise in serotype 15B (64.7%; 95% C</w:t>
      </w:r>
      <w:r w:rsidR="005234F7">
        <w:t>I</w:t>
      </w:r>
      <w:r w:rsidRPr="00C044AA">
        <w:t xml:space="preserve"> 61.4, 67.8).</w:t>
      </w:r>
      <w:r>
        <w:t xml:space="preserve"> Inclusion of serotype 15B in the indication was appropriate.</w:t>
      </w:r>
    </w:p>
    <w:p w14:paraId="2663B7C0" w14:textId="77777777" w:rsidR="009A1C46" w:rsidRPr="009A1C46" w:rsidRDefault="00B14712" w:rsidP="006E2B43">
      <w:pPr>
        <w:pStyle w:val="DelegatesQuestions"/>
      </w:pPr>
      <w:r w:rsidRPr="00550312">
        <w:rPr>
          <w:lang w:eastAsia="en-AU"/>
        </w:rPr>
        <w:t>Please comment on the proposed rewording of Section 4.2 in the PI. Does the ACV accept the justification for a minimum 8-week dosing interval</w:t>
      </w:r>
      <w:r w:rsidRPr="00550312">
        <w:t xml:space="preserve"> </w:t>
      </w:r>
      <w:r w:rsidRPr="00550312">
        <w:rPr>
          <w:lang w:eastAsia="en-AU"/>
        </w:rPr>
        <w:t xml:space="preserve">as part of sequential adult pneumococcal vaccination? </w:t>
      </w:r>
    </w:p>
    <w:p w14:paraId="49A8E222" w14:textId="0C2E8EE5" w:rsidR="00427145" w:rsidRDefault="00427145" w:rsidP="009A1C46">
      <w:pPr>
        <w:adjustRightInd w:val="0"/>
        <w:snapToGrid w:val="0"/>
        <w:spacing w:before="180" w:after="180" w:line="240" w:lineRule="atLeast"/>
      </w:pPr>
      <w:r>
        <w:t xml:space="preserve">Study V116-006 had enrolled participants who had had another pneumococcal vaccine at least 12 months previously. </w:t>
      </w:r>
      <w:r w:rsidRPr="001F0FDD">
        <w:t xml:space="preserve">While there were no data presented to support minimum intervals for </w:t>
      </w:r>
      <w:r>
        <w:t>Capvaxive</w:t>
      </w:r>
      <w:r w:rsidRPr="001F0FDD">
        <w:t xml:space="preserve">, it would not seem unreasonable to extrapolate </w:t>
      </w:r>
      <w:r w:rsidRPr="005E0909">
        <w:t xml:space="preserve">from previous </w:t>
      </w:r>
      <w:r w:rsidRPr="005E0909">
        <w:rPr>
          <w:rFonts w:cs="Arial"/>
          <w:szCs w:val="18"/>
        </w:rPr>
        <w:t xml:space="preserve">pneumococcal conjugate vaccines </w:t>
      </w:r>
      <w:r w:rsidRPr="005E0909">
        <w:t>and refer to official guidelines (23vPPV followed by 21</w:t>
      </w:r>
      <w:r w:rsidR="00961A66" w:rsidRPr="005E0909">
        <w:t>-</w:t>
      </w:r>
      <w:r w:rsidRPr="005E0909">
        <w:t>v</w:t>
      </w:r>
      <w:r w:rsidR="00961A66" w:rsidRPr="005E0909">
        <w:t xml:space="preserve">alent </w:t>
      </w:r>
      <w:r w:rsidRPr="005E0909">
        <w:t>PCV at 12 months interval; 21</w:t>
      </w:r>
      <w:r w:rsidR="00D465C1" w:rsidRPr="005E0909">
        <w:t>-</w:t>
      </w:r>
      <w:r w:rsidRPr="005E0909">
        <w:t>v</w:t>
      </w:r>
      <w:r w:rsidR="00D465C1" w:rsidRPr="005E0909">
        <w:t xml:space="preserve">alent </w:t>
      </w:r>
      <w:r w:rsidRPr="005E0909">
        <w:t>PCV followed by 23vPPV at 12 months (preferred) but 2 to 12 months permissible).</w:t>
      </w:r>
    </w:p>
    <w:p w14:paraId="6EF8036C" w14:textId="77777777" w:rsidR="00427145" w:rsidRPr="00503C5C" w:rsidRDefault="00427145" w:rsidP="00427145">
      <w:r w:rsidRPr="00503C5C">
        <w:rPr>
          <w:rFonts w:cs="Arial"/>
        </w:rPr>
        <w:t>The ACV noted that the post-market effectiveness study may provide relevant data.</w:t>
      </w:r>
    </w:p>
    <w:p w14:paraId="7358874E" w14:textId="77777777" w:rsidR="00B14712" w:rsidRPr="008E6174" w:rsidRDefault="00B14712" w:rsidP="006E2B43">
      <w:pPr>
        <w:pStyle w:val="DelegatesQuestions"/>
        <w:rPr>
          <w:lang w:eastAsia="en-AU"/>
        </w:rPr>
      </w:pPr>
      <w:r w:rsidRPr="008E6174">
        <w:rPr>
          <w:lang w:eastAsia="en-AU"/>
        </w:rPr>
        <w:t>Please comment on the clinical significance of the results for Study V116-005, including the results for the A/H3N2 strain.</w:t>
      </w:r>
    </w:p>
    <w:p w14:paraId="382111BD" w14:textId="621470C2" w:rsidR="00FF39D3" w:rsidRPr="008F7B6D" w:rsidRDefault="00FF39D3" w:rsidP="00FF39D3">
      <w:r w:rsidRPr="008F7B6D">
        <w:t xml:space="preserve">The ACV noted </w:t>
      </w:r>
      <w:r w:rsidRPr="00503C5C">
        <w:t xml:space="preserve">that immune responses </w:t>
      </w:r>
      <w:r w:rsidRPr="008F7B6D">
        <w:t xml:space="preserve">to both vaccines were </w:t>
      </w:r>
      <w:r w:rsidR="0007632B" w:rsidRPr="008F7B6D">
        <w:t>lower but</w:t>
      </w:r>
      <w:r w:rsidRPr="008F7B6D">
        <w:t xml:space="preserve"> only failed non-inferiority criteria for serotype 23B and A/H3N2 when administered concomitantly.</w:t>
      </w:r>
      <w:r>
        <w:t xml:space="preserve"> The population group most likely to seek both pneumococcal and influenza vaccines are older people, and </w:t>
      </w:r>
      <w:r w:rsidR="00BE21C7">
        <w:t>weaker</w:t>
      </w:r>
      <w:r>
        <w:t xml:space="preserve"> immune responses are likely in this group.</w:t>
      </w:r>
    </w:p>
    <w:p w14:paraId="67B25886" w14:textId="13E059D3" w:rsidR="00FF39D3" w:rsidRPr="008F7B6D" w:rsidRDefault="00FF39D3" w:rsidP="00FF39D3">
      <w:r w:rsidRPr="008F7B6D">
        <w:t xml:space="preserve">The ACV advised that data describing the </w:t>
      </w:r>
      <w:r>
        <w:t xml:space="preserve">reduced </w:t>
      </w:r>
      <w:r w:rsidRPr="008F7B6D">
        <w:t xml:space="preserve">responses to both vaccines should be included in the </w:t>
      </w:r>
      <w:r w:rsidR="0007632B" w:rsidRPr="008F7B6D">
        <w:t>PI</w:t>
      </w:r>
      <w:r w:rsidR="0007632B">
        <w:t xml:space="preserve"> and</w:t>
      </w:r>
      <w:r>
        <w:t xml:space="preserve"> clearly state that t</w:t>
      </w:r>
      <w:r w:rsidRPr="008F7B6D">
        <w:t xml:space="preserve">he data indicate that </w:t>
      </w:r>
      <w:r>
        <w:t xml:space="preserve">it would be prudent to </w:t>
      </w:r>
      <w:r w:rsidRPr="008F7B6D">
        <w:t xml:space="preserve">avoid co-administration </w:t>
      </w:r>
      <w:r>
        <w:t>of C</w:t>
      </w:r>
      <w:r w:rsidR="0007632B">
        <w:t>apvaxive</w:t>
      </w:r>
      <w:r>
        <w:t xml:space="preserve"> with an influenza vaccine. </w:t>
      </w:r>
      <w:r w:rsidRPr="008F7B6D">
        <w:t xml:space="preserve">However, the ACV noted that in practice the clinical decision regarding co-administration reflects additional factors such as risk of IPD, risk of influenza (including vaccine efficacy which differs year by year), likelihood the patient may be lost to follow up, and </w:t>
      </w:r>
      <w:r>
        <w:t>convenience.</w:t>
      </w:r>
    </w:p>
    <w:p w14:paraId="3FFAF6DA" w14:textId="77777777" w:rsidR="00FF39D3" w:rsidRPr="00B04CCD" w:rsidRDefault="00FF39D3" w:rsidP="00FF39D3">
      <w:r>
        <w:t xml:space="preserve">The ACV noted that the presented data from </w:t>
      </w:r>
      <w:r w:rsidRPr="00143D0A">
        <w:t>1080 participants</w:t>
      </w:r>
      <w:r>
        <w:t xml:space="preserve"> did not reveal additional safety concerns with co-administration.</w:t>
      </w:r>
    </w:p>
    <w:p w14:paraId="770ECCFD" w14:textId="7B72F4C0" w:rsidR="00B14712" w:rsidRPr="008E6174" w:rsidRDefault="00B14712" w:rsidP="006E2B43">
      <w:pPr>
        <w:pStyle w:val="DelegatesQuestions"/>
        <w:rPr>
          <w:lang w:eastAsia="en-AU"/>
        </w:rPr>
      </w:pPr>
      <w:r w:rsidRPr="008E6174">
        <w:rPr>
          <w:lang w:eastAsia="en-AU"/>
        </w:rPr>
        <w:t>What would be the role of 23-valent pneumococcal polysaccharide vaccine in various at-risk groups in the event of registration of C</w:t>
      </w:r>
      <w:r w:rsidR="00DF1E18">
        <w:rPr>
          <w:lang w:eastAsia="en-AU"/>
        </w:rPr>
        <w:t>apvaxive</w:t>
      </w:r>
      <w:r w:rsidRPr="008E6174">
        <w:rPr>
          <w:lang w:eastAsia="en-AU"/>
        </w:rPr>
        <w:t xml:space="preserve">? </w:t>
      </w:r>
    </w:p>
    <w:p w14:paraId="69983DA8" w14:textId="7E66264E" w:rsidR="00EA25A1" w:rsidRDefault="00EA25A1" w:rsidP="00EA25A1">
      <w:r w:rsidRPr="00EA25A1">
        <w:lastRenderedPageBreak/>
        <w:t>The ACV noted that the optimal pneumococcal vaccination program for Australia is currently under review,</w:t>
      </w:r>
      <w:r w:rsidRPr="00291FE4">
        <w:rPr>
          <w:rStyle w:val="FootnoteReference"/>
          <w:rFonts w:cs="Arial"/>
        </w:rPr>
        <w:footnoteReference w:id="15"/>
      </w:r>
      <w:r w:rsidRPr="00EA25A1">
        <w:t xml:space="preserve"> and that this was a cost-effectiveness question and beyond the scope of the regulatory advice for C</w:t>
      </w:r>
      <w:r w:rsidR="000B7C92">
        <w:t>apvaxive</w:t>
      </w:r>
      <w:r w:rsidRPr="00EA25A1">
        <w:t>.</w:t>
      </w:r>
    </w:p>
    <w:p w14:paraId="0DDB0D4F" w14:textId="4A951C4D" w:rsidR="00B14712" w:rsidRPr="008E6174" w:rsidRDefault="00A130F1" w:rsidP="00EA25A1">
      <w:pPr>
        <w:rPr>
          <w:b/>
          <w:bCs/>
          <w:i/>
          <w:iCs/>
          <w:szCs w:val="21"/>
          <w:lang w:eastAsia="en-AU"/>
        </w:rPr>
      </w:pPr>
      <w:r w:rsidRPr="47B092D7">
        <w:rPr>
          <w:rFonts w:cs="Arial"/>
        </w:rPr>
        <w:t>Advice on this question is not possible without data on the effectiveness of C</w:t>
      </w:r>
      <w:r w:rsidR="000B7C92">
        <w:rPr>
          <w:rFonts w:cs="Arial"/>
        </w:rPr>
        <w:t>apvaxive</w:t>
      </w:r>
      <w:r w:rsidRPr="47B092D7">
        <w:rPr>
          <w:rFonts w:cs="Arial"/>
        </w:rPr>
        <w:t xml:space="preserve"> including the effectiveness of C</w:t>
      </w:r>
      <w:r w:rsidR="000B7C92">
        <w:rPr>
          <w:rFonts w:cs="Arial"/>
        </w:rPr>
        <w:t>apvaxive</w:t>
      </w:r>
      <w:r w:rsidRPr="47B092D7">
        <w:rPr>
          <w:rFonts w:cs="Arial"/>
        </w:rPr>
        <w:t xml:space="preserve"> in people who have previously received any other pneumococcal vaccine</w:t>
      </w:r>
      <w:r>
        <w:rPr>
          <w:rFonts w:cs="Arial"/>
        </w:rPr>
        <w:t>.</w:t>
      </w:r>
    </w:p>
    <w:p w14:paraId="279A4BDE" w14:textId="3D732443" w:rsidR="00B14712" w:rsidRDefault="00B14712" w:rsidP="006E2B43">
      <w:pPr>
        <w:pStyle w:val="DelegatesQuestions"/>
        <w:rPr>
          <w:lang w:eastAsia="en-AU"/>
        </w:rPr>
      </w:pPr>
      <w:r w:rsidRPr="008E6174">
        <w:rPr>
          <w:lang w:eastAsia="en-AU"/>
        </w:rPr>
        <w:t>C</w:t>
      </w:r>
      <w:r w:rsidR="000B7C92">
        <w:rPr>
          <w:lang w:eastAsia="en-AU"/>
        </w:rPr>
        <w:t>apvaxive</w:t>
      </w:r>
      <w:r w:rsidRPr="008E6174">
        <w:rPr>
          <w:lang w:eastAsia="en-AU"/>
        </w:rPr>
        <w:t xml:space="preserve"> has been developed to specifically target residual pneumococcal disease in adults. Pneumococcal vaccines which are currently registered include indications in infants and children. What are the potential consequences of inadvertent off-label use in the paediatric population? How can these risks be minimised?</w:t>
      </w:r>
    </w:p>
    <w:p w14:paraId="79C3D811" w14:textId="77777777" w:rsidR="007409FB" w:rsidRDefault="007409FB" w:rsidP="007409FB">
      <w:r w:rsidRPr="00467639">
        <w:t>The ACV acknowledged that when several vaccines are available ‘for the same disease’ there is a risk of administration to patients in an unapproved age group.</w:t>
      </w:r>
    </w:p>
    <w:p w14:paraId="69450DBE" w14:textId="77777777" w:rsidR="007409FB" w:rsidRPr="00467639" w:rsidRDefault="007409FB" w:rsidP="007409FB">
      <w:r>
        <w:t>The ACV advised that t</w:t>
      </w:r>
      <w:r w:rsidRPr="00467639">
        <w:t>he RMP should include monitoring for inadvertent off-label use; such use should be captured in the AIR.</w:t>
      </w:r>
    </w:p>
    <w:p w14:paraId="192D1EBF" w14:textId="77777777" w:rsidR="007409FB" w:rsidRPr="00467639" w:rsidRDefault="007409FB" w:rsidP="007409FB">
      <w:r w:rsidRPr="00467639">
        <w:t>The ACV supported labelling that clearly states the appropriate age group.</w:t>
      </w:r>
    </w:p>
    <w:p w14:paraId="73014E5D" w14:textId="77777777" w:rsidR="007409FB" w:rsidRPr="00B04CCD" w:rsidRDefault="007409FB" w:rsidP="007409FB">
      <w:r w:rsidRPr="00467639">
        <w:t>The ACV noted that a clinical trial of V116 in children and adolescents with increased risk of pneumococcal disease is underway.</w:t>
      </w:r>
      <w:r>
        <w:t xml:space="preserve"> Early insights from this study would assist in assessing risk, if any, from inadvertent use in children and adolescents.</w:t>
      </w:r>
    </w:p>
    <w:p w14:paraId="142842D8" w14:textId="77777777" w:rsidR="007409FB" w:rsidRPr="007409FB" w:rsidRDefault="007409FB" w:rsidP="006E2B43">
      <w:pPr>
        <w:pStyle w:val="DelegatesQuestions"/>
        <w:rPr>
          <w:rFonts w:cs="Arial"/>
        </w:rPr>
      </w:pPr>
      <w:r w:rsidRPr="007409FB">
        <w:t>The ACV is also requested to provide advice on any other issues that it thinks may be relevant.</w:t>
      </w:r>
    </w:p>
    <w:p w14:paraId="67991216" w14:textId="5376BB4E" w:rsidR="007409FB" w:rsidRPr="007409FB" w:rsidRDefault="007409FB" w:rsidP="007409FB">
      <w:pPr>
        <w:rPr>
          <w:lang w:val="en-US"/>
        </w:rPr>
      </w:pPr>
      <w:r w:rsidRPr="005816E2">
        <w:rPr>
          <w:lang w:val="en-US"/>
        </w:rPr>
        <w:t xml:space="preserve">The ACV noted that increased valency of pneumococcal vaccines has generally been associated with </w:t>
      </w:r>
      <w:r w:rsidRPr="007409FB">
        <w:rPr>
          <w:lang w:val="en-US"/>
        </w:rPr>
        <w:t xml:space="preserve">decreased </w:t>
      </w:r>
      <w:r w:rsidRPr="007409FB">
        <w:t xml:space="preserve">immune </w:t>
      </w:r>
      <w:r w:rsidRPr="007409FB">
        <w:rPr>
          <w:lang w:val="en-US"/>
        </w:rPr>
        <w:t>responses. This is important to monitor and correlate with vaccine effectiveness studies as an emerging concern given the correlate of protection based on OPA is still unclear.</w:t>
      </w:r>
    </w:p>
    <w:p w14:paraId="7657C9FA" w14:textId="77777777" w:rsidR="007409FB" w:rsidRPr="007409FB" w:rsidRDefault="007409FB" w:rsidP="007409FB">
      <w:pPr>
        <w:rPr>
          <w:lang w:val="en-US"/>
        </w:rPr>
      </w:pPr>
      <w:r w:rsidRPr="007409FB">
        <w:rPr>
          <w:lang w:val="en-US"/>
        </w:rPr>
        <w:t>Australian systems for monitoring IPD will contribute to an understanding of vaccine effectiveness and serotype replacement.</w:t>
      </w:r>
    </w:p>
    <w:p w14:paraId="655D5804" w14:textId="0B998557" w:rsidR="00B14712" w:rsidRPr="007409FB" w:rsidRDefault="007409FB" w:rsidP="007409FB">
      <w:pPr>
        <w:rPr>
          <w:lang w:val="en-US"/>
        </w:rPr>
      </w:pPr>
      <w:r w:rsidRPr="007409FB">
        <w:rPr>
          <w:lang w:val="en-US"/>
        </w:rPr>
        <w:t xml:space="preserve">The ACV suggested consistent use of ‘months’ for dose </w:t>
      </w:r>
      <w:r>
        <w:rPr>
          <w:lang w:val="en-US"/>
        </w:rPr>
        <w:t xml:space="preserve">intervals </w:t>
      </w:r>
      <w:r w:rsidRPr="47B092D7">
        <w:rPr>
          <w:lang w:val="en-US"/>
        </w:rPr>
        <w:t>throughout the PI</w:t>
      </w:r>
    </w:p>
    <w:p w14:paraId="5291EA2A" w14:textId="77777777" w:rsidR="00C22214" w:rsidRDefault="00C22214" w:rsidP="00C22214">
      <w:pPr>
        <w:pStyle w:val="Heading5"/>
      </w:pPr>
      <w:r w:rsidRPr="00F73346">
        <w:t>Conclusion</w:t>
      </w:r>
    </w:p>
    <w:p w14:paraId="767010E7" w14:textId="77777777" w:rsidR="00A617E8" w:rsidRPr="00A617E8" w:rsidRDefault="00A617E8" w:rsidP="006E5746">
      <w:r w:rsidRPr="00A617E8">
        <w:t>The ACV considered this vaccine to have an overall positive benefit-risk profile for the indication:</w:t>
      </w:r>
    </w:p>
    <w:p w14:paraId="44455565" w14:textId="77777777" w:rsidR="00A617E8" w:rsidRPr="00BB59BE" w:rsidRDefault="00A617E8" w:rsidP="00BB59BE">
      <w:pPr>
        <w:ind w:left="720"/>
        <w:rPr>
          <w:i/>
          <w:iCs/>
        </w:rPr>
      </w:pPr>
      <w:r w:rsidRPr="00BB59BE">
        <w:rPr>
          <w:i/>
          <w:iCs/>
        </w:rPr>
        <w:t>Active immunisation for the prevention of pneumococcal disease caused by Streptococcus pneumoniae serotypes (3, 6A, 7F, 8, 9N, 10A, 11A, 12F, 15A, 15B, 15C, 16F, 17F, 19A, 20A, 22F, 23A, 23B, 24F, 31, 33F, and 35B) in adults 18 years of age and older.</w:t>
      </w:r>
    </w:p>
    <w:p w14:paraId="32E9D7B0" w14:textId="53EDF814" w:rsidR="00A617E8" w:rsidRPr="00BB59BE" w:rsidRDefault="00A617E8" w:rsidP="00BB59BE">
      <w:pPr>
        <w:ind w:left="720"/>
        <w:rPr>
          <w:i/>
          <w:iCs/>
        </w:rPr>
      </w:pPr>
      <w:r w:rsidRPr="00BB59BE">
        <w:rPr>
          <w:i/>
          <w:iCs/>
        </w:rPr>
        <w:t>C</w:t>
      </w:r>
      <w:r w:rsidR="006E5746" w:rsidRPr="00BB59BE">
        <w:rPr>
          <w:i/>
          <w:iCs/>
        </w:rPr>
        <w:t xml:space="preserve">apvaxive </w:t>
      </w:r>
      <w:r w:rsidRPr="00BB59BE">
        <w:rPr>
          <w:i/>
          <w:iCs/>
        </w:rPr>
        <w:t>may not prevent disease caused by S. pneumoniae serotypes that are not contained in the vaccine.</w:t>
      </w:r>
    </w:p>
    <w:p w14:paraId="5004462A" w14:textId="2CE351F5" w:rsidR="00A617E8" w:rsidRPr="00BB59BE" w:rsidRDefault="00A617E8" w:rsidP="00BB59BE">
      <w:pPr>
        <w:ind w:left="720"/>
        <w:rPr>
          <w:i/>
          <w:iCs/>
        </w:rPr>
      </w:pPr>
      <w:r w:rsidRPr="00BB59BE">
        <w:rPr>
          <w:i/>
          <w:iCs/>
        </w:rPr>
        <w:t>The use of C</w:t>
      </w:r>
      <w:r w:rsidR="006E5746" w:rsidRPr="00BB59BE">
        <w:rPr>
          <w:i/>
          <w:iCs/>
        </w:rPr>
        <w:t>apvaxive</w:t>
      </w:r>
      <w:r w:rsidRPr="00BB59BE">
        <w:rPr>
          <w:i/>
          <w:iCs/>
        </w:rPr>
        <w:t xml:space="preserve"> should be in accordance with official recommendations.</w:t>
      </w:r>
    </w:p>
    <w:p w14:paraId="307F236C" w14:textId="114518B6" w:rsidR="00C22214" w:rsidRPr="002E238E" w:rsidRDefault="00CC0B1C" w:rsidP="00C01BA2">
      <w:pPr>
        <w:pStyle w:val="Heading2"/>
      </w:pPr>
      <w:bookmarkStart w:id="63" w:name="_Toc103679300"/>
      <w:bookmarkStart w:id="64" w:name="_Toc207110449"/>
      <w:r>
        <w:lastRenderedPageBreak/>
        <w:t>Assessment o</w:t>
      </w:r>
      <w:r w:rsidR="00C22214">
        <w:t>utcome</w:t>
      </w:r>
      <w:bookmarkEnd w:id="61"/>
      <w:bookmarkEnd w:id="62"/>
      <w:bookmarkEnd w:id="63"/>
      <w:bookmarkEnd w:id="64"/>
    </w:p>
    <w:p w14:paraId="4EF22939" w14:textId="2D89CF85" w:rsidR="00C22214" w:rsidRPr="0017005C" w:rsidRDefault="00C22214" w:rsidP="00830E83">
      <w:r w:rsidRPr="0017005C">
        <w:t xml:space="preserve">Based on a review of quality, safety, and efficacy, the TGA </w:t>
      </w:r>
      <w:r w:rsidR="00B46DFB">
        <w:t>decided to</w:t>
      </w:r>
      <w:r w:rsidRPr="0017005C">
        <w:t xml:space="preserve"> regist</w:t>
      </w:r>
      <w:r w:rsidR="00B46DFB">
        <w:t>er</w:t>
      </w:r>
      <w:r w:rsidR="004A48B7">
        <w:t xml:space="preserve"> Capvaxive (Pneumococcal 21-valent Conjugate Vaccine)</w:t>
      </w:r>
      <w:r w:rsidR="00830E83" w:rsidRPr="00830E83">
        <w:rPr>
          <w:rFonts w:cs="Cambria"/>
          <w:szCs w:val="22"/>
        </w:rPr>
        <w:t xml:space="preserve"> </w:t>
      </w:r>
      <w:r w:rsidR="00830E83" w:rsidRPr="00830E83">
        <w:t xml:space="preserve">0.5 mL </w:t>
      </w:r>
      <w:r w:rsidR="00830E83">
        <w:t>s</w:t>
      </w:r>
      <w:r w:rsidR="00830E83" w:rsidRPr="00830E83">
        <w:t xml:space="preserve">olution for </w:t>
      </w:r>
      <w:r w:rsidR="00830E83">
        <w:t>i</w:t>
      </w:r>
      <w:r w:rsidR="00830E83" w:rsidRPr="00830E83">
        <w:t>njection</w:t>
      </w:r>
      <w:r w:rsidR="00830E83">
        <w:t>- p</w:t>
      </w:r>
      <w:r w:rsidR="00830E83" w:rsidRPr="00830E83">
        <w:t xml:space="preserve">re-filled </w:t>
      </w:r>
      <w:r w:rsidR="00830E83">
        <w:t>s</w:t>
      </w:r>
      <w:r w:rsidR="00830E83" w:rsidRPr="00830E83">
        <w:t>yringe</w:t>
      </w:r>
      <w:r w:rsidR="00830E83">
        <w:t>,</w:t>
      </w:r>
      <w:r w:rsidR="004A48B7">
        <w:t xml:space="preserve"> </w:t>
      </w:r>
      <w:r w:rsidRPr="0017005C">
        <w:t>indicated for:</w:t>
      </w:r>
    </w:p>
    <w:p w14:paraId="03BD5B7C" w14:textId="08A06C7D" w:rsidR="005E77ED" w:rsidRPr="005E77ED" w:rsidRDefault="005E77ED" w:rsidP="005E77ED">
      <w:pPr>
        <w:pStyle w:val="Indication"/>
        <w:rPr>
          <w:iCs/>
        </w:rPr>
      </w:pPr>
      <w:r w:rsidRPr="005E77ED">
        <w:rPr>
          <w:iCs/>
        </w:rPr>
        <w:t>C</w:t>
      </w:r>
      <w:r w:rsidR="00855458">
        <w:rPr>
          <w:iCs/>
        </w:rPr>
        <w:t>apvaxive</w:t>
      </w:r>
      <w:r w:rsidRPr="005E77ED">
        <w:rPr>
          <w:iCs/>
        </w:rPr>
        <w:t xml:space="preserve"> is indicated for active immunisation for the prevention of pneumococcal disease caused by Streptococcus pneumoniae serotypes (3, 6A, 7F, 8, 9N, 10A, 11A, 12F, 15A, 15B, 15C, 16F, 17F, 19A, 20A, 22F, 23A, 23B, 24F, 31, 33F, and 35B) in adults 18 years of age and older.</w:t>
      </w:r>
    </w:p>
    <w:p w14:paraId="126B604B" w14:textId="77777777" w:rsidR="005E77ED" w:rsidRPr="005E77ED" w:rsidRDefault="005E77ED" w:rsidP="005E77ED">
      <w:pPr>
        <w:pStyle w:val="Indication"/>
        <w:rPr>
          <w:iCs/>
        </w:rPr>
      </w:pPr>
    </w:p>
    <w:p w14:paraId="3C59D239" w14:textId="067D7104" w:rsidR="005E77ED" w:rsidRPr="005E77ED" w:rsidRDefault="005E77ED" w:rsidP="005E77ED">
      <w:pPr>
        <w:pStyle w:val="Indication"/>
        <w:rPr>
          <w:iCs/>
        </w:rPr>
      </w:pPr>
      <w:r w:rsidRPr="005E77ED">
        <w:rPr>
          <w:iCs/>
        </w:rPr>
        <w:t>C</w:t>
      </w:r>
      <w:r w:rsidR="00855458">
        <w:rPr>
          <w:iCs/>
        </w:rPr>
        <w:t>apvaxive</w:t>
      </w:r>
      <w:r w:rsidRPr="005E77ED">
        <w:rPr>
          <w:iCs/>
        </w:rPr>
        <w:t xml:space="preserve"> may not prevent disease cause by S. pneumoniae serotypes that are not listed in the indications.</w:t>
      </w:r>
    </w:p>
    <w:p w14:paraId="5CE2984A" w14:textId="77777777" w:rsidR="005E77ED" w:rsidRPr="005E77ED" w:rsidRDefault="005E77ED" w:rsidP="005E77ED">
      <w:pPr>
        <w:pStyle w:val="Indication"/>
        <w:rPr>
          <w:iCs/>
        </w:rPr>
      </w:pPr>
    </w:p>
    <w:p w14:paraId="7BF948F0" w14:textId="25DAE192" w:rsidR="005E77ED" w:rsidRPr="005E77ED" w:rsidRDefault="005E77ED" w:rsidP="005E77ED">
      <w:pPr>
        <w:pStyle w:val="Indication"/>
        <w:ind w:left="0"/>
        <w:rPr>
          <w:iCs/>
        </w:rPr>
      </w:pPr>
      <w:r w:rsidRPr="005E77ED">
        <w:rPr>
          <w:iCs/>
        </w:rPr>
        <w:tab/>
        <w:t>The use of C</w:t>
      </w:r>
      <w:r w:rsidR="00855458">
        <w:rPr>
          <w:iCs/>
        </w:rPr>
        <w:t>apvaxive</w:t>
      </w:r>
      <w:r w:rsidRPr="005E77ED">
        <w:rPr>
          <w:iCs/>
        </w:rPr>
        <w:t xml:space="preserve"> should be guided by official recommendations.</w:t>
      </w:r>
    </w:p>
    <w:p w14:paraId="0D732DA4" w14:textId="77777777" w:rsidR="00854D98" w:rsidRPr="00D23139" w:rsidRDefault="00854D98" w:rsidP="00D053EF">
      <w:pPr>
        <w:pStyle w:val="Heading3"/>
      </w:pPr>
      <w:bookmarkStart w:id="65" w:name="_Toc103679301"/>
      <w:bookmarkStart w:id="66" w:name="_Toc207110450"/>
      <w:r w:rsidRPr="00D23139">
        <w:t>Specific conditions of registration applying to these goods</w:t>
      </w:r>
      <w:bookmarkEnd w:id="65"/>
      <w:bookmarkEnd w:id="66"/>
    </w:p>
    <w:p w14:paraId="343D78FE" w14:textId="361C59FC" w:rsidR="00076400" w:rsidRPr="00076400" w:rsidRDefault="00076400" w:rsidP="00806F58">
      <w:pPr>
        <w:pStyle w:val="ListBullet"/>
      </w:pPr>
      <w:r w:rsidRPr="00076400">
        <w:t>C</w:t>
      </w:r>
      <w:r w:rsidR="009D75B4">
        <w:t>apvaxive</w:t>
      </w:r>
      <w:r w:rsidRPr="00076400">
        <w:t xml:space="preserve"> (Pneumococcal 21-valent Conjugate Vaccine) is to be included in the Black Triangle Scheme. The PI and CMI for C</w:t>
      </w:r>
      <w:r w:rsidR="009D75B4">
        <w:t>apvaxive</w:t>
      </w:r>
      <w:r w:rsidRPr="00076400">
        <w:t xml:space="preserve"> must include the black triangle symbol and mandatory accompanying text for five years, which starts from the date of first supply of the product.</w:t>
      </w:r>
    </w:p>
    <w:p w14:paraId="79D3DC72" w14:textId="1F004914" w:rsidR="00076400" w:rsidRPr="00076400" w:rsidRDefault="00076400" w:rsidP="009D75B4">
      <w:pPr>
        <w:pStyle w:val="ListBullet"/>
        <w:rPr>
          <w:b/>
          <w:i/>
          <w:iCs/>
        </w:rPr>
      </w:pPr>
      <w:r w:rsidRPr="00076400">
        <w:t>The C</w:t>
      </w:r>
      <w:r w:rsidR="00855458">
        <w:t>apvaxive</w:t>
      </w:r>
      <w:r w:rsidRPr="00076400">
        <w:t xml:space="preserve"> Core-Risk Management Plan (RMP) version 1.0 </w:t>
      </w:r>
      <w:r w:rsidR="00406B73">
        <w:t>(</w:t>
      </w:r>
      <w:r w:rsidRPr="00076400">
        <w:t>dated 7 November 2023, data lock point 12 September 2023), with Australian Specific Annex</w:t>
      </w:r>
      <w:r w:rsidR="00907EF4">
        <w:t xml:space="preserve">, </w:t>
      </w:r>
      <w:r w:rsidRPr="00076400">
        <w:t>version 0.2</w:t>
      </w:r>
      <w:r w:rsidR="00907EF4">
        <w:t xml:space="preserve"> (</w:t>
      </w:r>
      <w:r w:rsidRPr="00076400">
        <w:t>dated 24 July 2024), included with submission PM-2023-05219-1-2, and any subsequent revisions, as agreed with the TGA will be implemented in Australia.</w:t>
      </w:r>
    </w:p>
    <w:p w14:paraId="1E533A69" w14:textId="749847C2" w:rsidR="00076400" w:rsidRPr="00076400" w:rsidRDefault="00076400" w:rsidP="000E0E26">
      <w:pPr>
        <w:pStyle w:val="ListBullet"/>
      </w:pPr>
      <w:r w:rsidRPr="00076400">
        <w:t>An obligatory component of risk management plans is routine pharmacovigilance. Routine pharmacovigilance includes the submission of periodic safety update reports (PSURs).  </w:t>
      </w:r>
    </w:p>
    <w:p w14:paraId="35E0CE21" w14:textId="0B470265" w:rsidR="00076400" w:rsidRPr="00076400" w:rsidRDefault="00076400" w:rsidP="000E0E26">
      <w:pPr>
        <w:pStyle w:val="ListBullet"/>
        <w:numPr>
          <w:ilvl w:val="0"/>
          <w:numId w:val="0"/>
        </w:numPr>
        <w:ind w:left="360"/>
      </w:pPr>
      <w:r w:rsidRPr="00076400">
        <w:t xml:space="preserve">Unless agreed </w:t>
      </w:r>
      <w:r w:rsidRPr="000B58E2">
        <w:t>separately between the supplier who is the recipient of the approval and the TGA, the first report must be submitted to TGA no later than 15 calendar months after the date of th</w:t>
      </w:r>
      <w:r w:rsidR="004E025A" w:rsidRPr="000B58E2">
        <w:t>e</w:t>
      </w:r>
      <w:r w:rsidRPr="000B58E2">
        <w:t xml:space="preserve"> approval letter. The subsequent reports must be submitted no less frequently than annually from the date of the first submitted report until the period covered by such reports is not less than th</w:t>
      </w:r>
      <w:r w:rsidRPr="00076400">
        <w:t>ree years from the date of th</w:t>
      </w:r>
      <w:r w:rsidR="009E7D6A">
        <w:t>e</w:t>
      </w:r>
      <w:r w:rsidRPr="00076400">
        <w:t xml:space="preserve"> approval letter. The annual submission may be made up of two PSURs each covering six months. If the sponsor wishes, the six</w:t>
      </w:r>
      <w:r w:rsidR="00EF6AD3">
        <w:t>-</w:t>
      </w:r>
      <w:r w:rsidRPr="00076400">
        <w:t>monthly reports may be submitted separately as they become available.</w:t>
      </w:r>
    </w:p>
    <w:p w14:paraId="0D150B6A" w14:textId="06EB8245" w:rsidR="00076400" w:rsidRPr="00076400" w:rsidRDefault="00076400" w:rsidP="00EF6AD3">
      <w:pPr>
        <w:ind w:left="360"/>
        <w:rPr>
          <w:szCs w:val="22"/>
        </w:rPr>
      </w:pPr>
      <w:r w:rsidRPr="00076400">
        <w:rPr>
          <w:szCs w:val="22"/>
        </w:rP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rsidR="002E0DF6">
        <w:rPr>
          <w:szCs w:val="22"/>
        </w:rPr>
        <w:t>e</w:t>
      </w:r>
      <w:r w:rsidRPr="00076400">
        <w:rPr>
          <w:szCs w:val="22"/>
        </w:rPr>
        <w:t xml:space="preserve"> approval letter.</w:t>
      </w:r>
    </w:p>
    <w:p w14:paraId="36FE11B8" w14:textId="0E886F0B" w:rsidR="00076400" w:rsidRPr="00076400" w:rsidRDefault="00076400" w:rsidP="00EF6AD3">
      <w:pPr>
        <w:ind w:left="360"/>
      </w:pPr>
      <w:r w:rsidRPr="0007640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66823048" w14:textId="53A4E77C" w:rsidR="00076400" w:rsidRPr="00076400" w:rsidRDefault="00076400" w:rsidP="002C32CD">
      <w:pPr>
        <w:pStyle w:val="ListBullet"/>
      </w:pPr>
      <w:r w:rsidRPr="00076400">
        <w:rPr>
          <w:b/>
          <w:bCs/>
        </w:rPr>
        <w:t xml:space="preserve">GMP clearance for listed manufacturers: </w:t>
      </w:r>
      <w:r w:rsidRPr="00076400">
        <w:t>All relevant manufacturing sites require approved and current GMP clearances prior to Australian supply. A commitment is required from the Sponsor that they maintain the validity of all manufacturer GMP Clearances for the duration of product supply to Australia. Additionally, that adherence to the conditions of GMP Clearance approval is upheld.</w:t>
      </w:r>
    </w:p>
    <w:p w14:paraId="60691AE0" w14:textId="2876044B" w:rsidR="00076400" w:rsidRPr="00076400" w:rsidRDefault="00076400" w:rsidP="002C32CD">
      <w:pPr>
        <w:pStyle w:val="ListBullet"/>
      </w:pPr>
      <w:bookmarkStart w:id="67" w:name="_Toc47096991"/>
      <w:r w:rsidRPr="00076400">
        <w:rPr>
          <w:b/>
          <w:bCs/>
        </w:rPr>
        <w:lastRenderedPageBreak/>
        <w:t xml:space="preserve">Post-approval stability protocol and stability commitment: </w:t>
      </w:r>
      <w:r w:rsidRPr="00076400">
        <w:t>The manufacturer has provided commitment to continue the ongoing stability studies presented in the stability studies protocol. Additionally, one (1) batch of DP per year will be placed on long</w:t>
      </w:r>
      <w:r w:rsidRPr="00076400">
        <w:noBreakHyphen/>
        <w:t>term stability program and on accelerated stability testing where significant changes are made to the manufacturing process. The manufacturer has committed to communicate any out of specifications stability test results to the TGA.</w:t>
      </w:r>
    </w:p>
    <w:bookmarkEnd w:id="67"/>
    <w:p w14:paraId="0FA2579F" w14:textId="2E6F83B1" w:rsidR="00076400" w:rsidRPr="00076400" w:rsidRDefault="00076400" w:rsidP="00175437">
      <w:pPr>
        <w:pStyle w:val="ListBullet"/>
      </w:pPr>
      <w:r w:rsidRPr="00076400">
        <w:t xml:space="preserve">It is a condition of registration that all independent batches of </w:t>
      </w:r>
      <w:r w:rsidRPr="00076400">
        <w:rPr>
          <w:lang w:val="en-US"/>
        </w:rPr>
        <w:t>C</w:t>
      </w:r>
      <w:r w:rsidR="00175437">
        <w:rPr>
          <w:lang w:val="en-US"/>
        </w:rPr>
        <w:t>apvaxive</w:t>
      </w:r>
      <w:r w:rsidR="00B92AF5">
        <w:rPr>
          <w:lang w:val="en-US"/>
        </w:rPr>
        <w:t xml:space="preserve"> </w:t>
      </w:r>
      <w:r w:rsidRPr="00076400">
        <w:t>vaccine</w:t>
      </w:r>
      <w:r w:rsidRPr="00076400">
        <w:rPr>
          <w:bCs/>
        </w:rPr>
        <w:t xml:space="preserve"> </w:t>
      </w:r>
      <w:r w:rsidRPr="00076400">
        <w:t>imported into Australia are not released for sale until samples and the manufacturer’s release data have been assessed and you have received notification acknowledging release from the Laboratories Branch, TGA.</w:t>
      </w:r>
    </w:p>
    <w:p w14:paraId="6208272E" w14:textId="77777777" w:rsidR="00076400" w:rsidRPr="00076400" w:rsidRDefault="00076400" w:rsidP="00B92AF5">
      <w:pPr>
        <w:ind w:left="360"/>
        <w:rPr>
          <w:szCs w:val="22"/>
        </w:rPr>
      </w:pPr>
      <w:r w:rsidRPr="00076400">
        <w:rPr>
          <w:szCs w:val="22"/>
        </w:rPr>
        <w:t>For each independent batch of the product imported into Australia, the Sponsor must supply the following:</w:t>
      </w:r>
    </w:p>
    <w:p w14:paraId="6DD4074B" w14:textId="77777777" w:rsidR="00076400" w:rsidRPr="00881B76" w:rsidRDefault="00076400" w:rsidP="00881B76">
      <w:pPr>
        <w:pStyle w:val="ListBullet2"/>
      </w:pPr>
      <w:r w:rsidRPr="00881B76">
        <w:t xml:space="preserve">A completed Request for Release Form, available from </w:t>
      </w:r>
      <w:hyperlink r:id="rId41" w:history="1">
        <w:r w:rsidRPr="00881B76">
          <w:rPr>
            <w:rStyle w:val="Hyperlink"/>
            <w:color w:val="000000" w:themeColor="text1"/>
            <w:u w:val="none"/>
          </w:rPr>
          <w:t>vaccines@health.gov.au</w:t>
        </w:r>
      </w:hyperlink>
      <w:r w:rsidRPr="00881B76">
        <w:t>.</w:t>
      </w:r>
    </w:p>
    <w:p w14:paraId="7A28C48D" w14:textId="77777777" w:rsidR="00076400" w:rsidRPr="00881B76" w:rsidRDefault="00076400" w:rsidP="00881B76">
      <w:pPr>
        <w:pStyle w:val="ListBullet2"/>
      </w:pPr>
      <w:r w:rsidRPr="00881B76">
        <w:t>Complete summary protocols for manufacture and QC, including all steps in production in the agreed format.</w:t>
      </w:r>
    </w:p>
    <w:p w14:paraId="09093C41" w14:textId="65976404" w:rsidR="00076400" w:rsidRPr="00881B76" w:rsidRDefault="00076400" w:rsidP="00881B76">
      <w:pPr>
        <w:pStyle w:val="ListBullet2"/>
      </w:pPr>
      <w:r w:rsidRPr="00881B76">
        <w:t>At least 20 (twenty) vials (Samples) of each manufacturing batch of C</w:t>
      </w:r>
      <w:r w:rsidR="00C92BE0" w:rsidRPr="00881B76">
        <w:t>apvaxive</w:t>
      </w:r>
      <w:r w:rsidRPr="00881B76">
        <w:t xml:space="preserve"> vaccine with the Australian approved labels, PI and packaging (unless an exemption to supply these has been granted) representative of all batches of product seeking distribution in Australia.</w:t>
      </w:r>
    </w:p>
    <w:p w14:paraId="425933CC" w14:textId="44D9CEC6" w:rsidR="00076400" w:rsidRPr="00881B76" w:rsidRDefault="00076400" w:rsidP="00881B76">
      <w:pPr>
        <w:pStyle w:val="ListBullet2"/>
      </w:pPr>
      <w:r w:rsidRPr="00881B76">
        <w:t>At least 5 (five) vials (Samples) of any further consignments of a manufacturing batch of C</w:t>
      </w:r>
      <w:r w:rsidR="00C92BE0" w:rsidRPr="00881B76">
        <w:t>apvaxive</w:t>
      </w:r>
      <w:r w:rsidRPr="00881B76">
        <w:t xml:space="preserve"> vaccine with the Australian approved labels, PI and packaging (unless an exemption to supply these has been granted). Further consignments cover batches previously supplied to TGA for the purposes of batch release testing but are seeking to be supplied again.</w:t>
      </w:r>
    </w:p>
    <w:p w14:paraId="7324FD10" w14:textId="77777777" w:rsidR="00076400" w:rsidRPr="00881B76" w:rsidRDefault="00076400" w:rsidP="00881B76">
      <w:pPr>
        <w:pStyle w:val="ListBullet2"/>
      </w:pPr>
      <w:r w:rsidRPr="00881B76">
        <w:t xml:space="preserve">If the manufacturing batch has been released in Europe or United Kingdom a copy of the EU Official Control Authority Batch Release (OCABR) certificate (or equivalent from the UK) must be provided. </w:t>
      </w:r>
    </w:p>
    <w:p w14:paraId="6D0D347D" w14:textId="77777777" w:rsidR="00076400" w:rsidRPr="00881B76" w:rsidRDefault="00076400" w:rsidP="00881B76">
      <w:pPr>
        <w:pStyle w:val="ListBullet2"/>
      </w:pPr>
      <w:r w:rsidRPr="00881B76">
        <w:t>Any reagents, reference material and standards required to undertake testing, as requested by Laboratories Branch, TGA.</w:t>
      </w:r>
    </w:p>
    <w:p w14:paraId="2EA38BFC" w14:textId="77777777" w:rsidR="00076400" w:rsidRPr="00076400" w:rsidRDefault="00076400" w:rsidP="00090118">
      <w:pPr>
        <w:ind w:left="425"/>
        <w:rPr>
          <w:szCs w:val="22"/>
        </w:rPr>
      </w:pPr>
      <w:r w:rsidRPr="00076400">
        <w:rPr>
          <w:szCs w:val="22"/>
        </w:rPr>
        <w:t xml:space="preserve">Sponsors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 </w:t>
      </w:r>
    </w:p>
    <w:p w14:paraId="533DFDAA" w14:textId="77777777" w:rsidR="00076400" w:rsidRPr="00076400" w:rsidRDefault="00076400" w:rsidP="00090118">
      <w:pPr>
        <w:ind w:left="425"/>
        <w:rPr>
          <w:szCs w:val="22"/>
        </w:rPr>
      </w:pPr>
      <w:r w:rsidRPr="00076400">
        <w:rPr>
          <w:szCs w:val="22"/>
        </w:rPr>
        <w:t>Samples and data should be forwarded to the Biotherapeutics Section, Laboratories Branch before release of each batch and with sufficient lead time to allow for Laboratories Branch testing. The address for courier delivery is:</w:t>
      </w:r>
    </w:p>
    <w:p w14:paraId="0C3948AA" w14:textId="77777777" w:rsidR="00076400" w:rsidRPr="00076400" w:rsidRDefault="00076400" w:rsidP="009F63A7">
      <w:pPr>
        <w:spacing w:after="0"/>
        <w:ind w:left="720"/>
      </w:pPr>
      <w:r w:rsidRPr="00076400">
        <w:t xml:space="preserve">ATTN: Batch Release Coordinator </w:t>
      </w:r>
    </w:p>
    <w:p w14:paraId="0CA55670" w14:textId="77777777" w:rsidR="00076400" w:rsidRPr="00076400" w:rsidRDefault="00076400" w:rsidP="009F63A7">
      <w:pPr>
        <w:spacing w:after="0"/>
        <w:ind w:left="720"/>
      </w:pPr>
      <w:r w:rsidRPr="00076400">
        <w:t>Batch Release Unit</w:t>
      </w:r>
    </w:p>
    <w:p w14:paraId="3DF1AE66" w14:textId="77777777" w:rsidR="00076400" w:rsidRPr="00937BC8" w:rsidRDefault="00076400" w:rsidP="009F63A7">
      <w:pPr>
        <w:spacing w:after="0"/>
        <w:ind w:left="720"/>
        <w:rPr>
          <w:lang w:val="it-IT"/>
        </w:rPr>
      </w:pPr>
      <w:r w:rsidRPr="00937BC8">
        <w:rPr>
          <w:lang w:val="it-IT"/>
        </w:rPr>
        <w:t xml:space="preserve">TGA Laboratories Branch </w:t>
      </w:r>
    </w:p>
    <w:p w14:paraId="7BBC633B" w14:textId="77777777" w:rsidR="00076400" w:rsidRPr="00937BC8" w:rsidRDefault="00076400" w:rsidP="009F63A7">
      <w:pPr>
        <w:spacing w:after="0"/>
        <w:ind w:left="720"/>
        <w:rPr>
          <w:lang w:val="it-IT"/>
        </w:rPr>
      </w:pPr>
      <w:r w:rsidRPr="00937BC8">
        <w:rPr>
          <w:lang w:val="it-IT"/>
        </w:rPr>
        <w:t>1 Tindal Lane</w:t>
      </w:r>
    </w:p>
    <w:p w14:paraId="0537C905" w14:textId="77777777" w:rsidR="00076400" w:rsidRPr="00937BC8" w:rsidRDefault="00076400" w:rsidP="009F63A7">
      <w:pPr>
        <w:spacing w:after="0"/>
        <w:ind w:left="720"/>
        <w:rPr>
          <w:lang w:val="it-IT"/>
        </w:rPr>
      </w:pPr>
      <w:r w:rsidRPr="00937BC8">
        <w:rPr>
          <w:lang w:val="it-IT"/>
        </w:rPr>
        <w:t>Canberra Airport</w:t>
      </w:r>
    </w:p>
    <w:p w14:paraId="48277E96" w14:textId="77777777" w:rsidR="00076400" w:rsidRPr="00076400" w:rsidRDefault="00076400" w:rsidP="009F63A7">
      <w:pPr>
        <w:spacing w:after="0"/>
        <w:ind w:left="720"/>
      </w:pPr>
      <w:r w:rsidRPr="00076400">
        <w:t>ACT 2609</w:t>
      </w:r>
    </w:p>
    <w:p w14:paraId="6B8CF4AF" w14:textId="77777777" w:rsidR="000D742C" w:rsidRDefault="000D742C">
      <w:pPr>
        <w:rPr>
          <w:bCs/>
          <w:szCs w:val="22"/>
        </w:rPr>
      </w:pPr>
      <w:r>
        <w:rPr>
          <w:bCs/>
          <w:szCs w:val="22"/>
        </w:rPr>
        <w:br w:type="page"/>
      </w:r>
    </w:p>
    <w:p w14:paraId="69C7A18E" w14:textId="49C0265F" w:rsidR="00AF3281" w:rsidRDefault="00076400" w:rsidP="00090118">
      <w:pPr>
        <w:ind w:left="360"/>
        <w:rPr>
          <w:bCs/>
          <w:szCs w:val="22"/>
        </w:rPr>
      </w:pPr>
      <w:r w:rsidRPr="00076400">
        <w:rPr>
          <w:bCs/>
          <w:szCs w:val="22"/>
        </w:rPr>
        <w:lastRenderedPageBreak/>
        <w:t>The shipments (including reagents) to TGA are the responsibility of the Australian     Sponsor/Agent who will be required to facilitate the import and customs clearance process.</w:t>
      </w:r>
    </w:p>
    <w:p w14:paraId="53C87E19" w14:textId="53ABA4B7" w:rsidR="00076400" w:rsidRPr="00AF3281" w:rsidRDefault="00076400" w:rsidP="00090118">
      <w:pPr>
        <w:pStyle w:val="ListBullet"/>
        <w:rPr>
          <w:bCs/>
          <w:szCs w:val="22"/>
        </w:rPr>
      </w:pPr>
      <w:r w:rsidRPr="00076400">
        <w:t xml:space="preserve">An electronic copy of the Certified Product Details (CPD) as described in Guidance 7: Certified Product Details of the Australian Regulatory Guidelines for Prescription Medicines (ARGPM) </w:t>
      </w:r>
      <w:hyperlink r:id="rId42" w:history="1">
        <w:r w:rsidRPr="00076400">
          <w:rPr>
            <w:rStyle w:val="Hyperlink"/>
            <w:szCs w:val="22"/>
          </w:rPr>
          <w:t>https://www.tga.gov.au/guidance-7-certified-product-details</w:t>
        </w:r>
      </w:hyperlink>
      <w:r w:rsidRPr="00076400">
        <w:t xml:space="preserve"> should be provided upon registration of the therapeutic good. In addition, an updated CPD, for the above products incorporating the approved changes is to be provided within one month of the date of</w:t>
      </w:r>
      <w:r w:rsidR="00086191">
        <w:t xml:space="preserve"> the</w:t>
      </w:r>
      <w:r w:rsidRPr="00076400">
        <w:t xml:space="preserve"> approval letter. A template for preparation of CPD for biological prescription medicines and Vaccines can be obtained from the TGA website </w:t>
      </w:r>
      <w:hyperlink r:id="rId43" w:history="1">
        <w:r w:rsidRPr="00076400">
          <w:rPr>
            <w:rStyle w:val="Hyperlink"/>
            <w:szCs w:val="22"/>
          </w:rPr>
          <w:t>https://www.tga.gov.au/form/certified-product-details-cpd-biological-prescription-medicines</w:t>
        </w:r>
      </w:hyperlink>
      <w:r w:rsidRPr="00076400">
        <w:t xml:space="preserve">]. The CPD should be sent as a </w:t>
      </w:r>
      <w:r w:rsidRPr="00076400">
        <w:rPr>
          <w:b/>
          <w:bCs/>
        </w:rPr>
        <w:t>single bookmarked</w:t>
      </w:r>
      <w:r w:rsidRPr="00076400">
        <w:t xml:space="preserve"> </w:t>
      </w:r>
      <w:r w:rsidRPr="00076400">
        <w:rPr>
          <w:b/>
          <w:bCs/>
        </w:rPr>
        <w:t xml:space="preserve">PDF </w:t>
      </w:r>
      <w:r w:rsidRPr="00076400">
        <w:t xml:space="preserve">document to </w:t>
      </w:r>
      <w:hyperlink r:id="rId44" w:history="1">
        <w:r w:rsidRPr="00076400">
          <w:rPr>
            <w:rStyle w:val="Hyperlink"/>
            <w:szCs w:val="22"/>
          </w:rPr>
          <w:t>Vaccines@health.gov.au</w:t>
        </w:r>
      </w:hyperlink>
      <w:r w:rsidRPr="00076400">
        <w:t xml:space="preserve"> as soon as possible after registration/approval of the product or any subsequent changes as indicated above.</w:t>
      </w:r>
    </w:p>
    <w:p w14:paraId="09246316" w14:textId="65A534A4" w:rsidR="0056321D" w:rsidRDefault="0056321D" w:rsidP="00FF2AC4">
      <w:pPr>
        <w:pStyle w:val="Heading2"/>
      </w:pPr>
      <w:bookmarkStart w:id="68" w:name="_Toc200546966"/>
      <w:bookmarkStart w:id="69" w:name="_Toc207110451"/>
      <w:r>
        <w:t xml:space="preserve">Product </w:t>
      </w:r>
      <w:r w:rsidRPr="00393289">
        <w:t>Information</w:t>
      </w:r>
      <w:r>
        <w:t xml:space="preserve"> and Consumer Medicine Information</w:t>
      </w:r>
      <w:bookmarkEnd w:id="68"/>
      <w:bookmarkEnd w:id="69"/>
      <w:r>
        <w:t xml:space="preserve"> </w:t>
      </w:r>
    </w:p>
    <w:p w14:paraId="53F9FCB0" w14:textId="77777777" w:rsidR="0056321D" w:rsidRPr="00805787" w:rsidRDefault="0056321D" w:rsidP="0056321D">
      <w:pPr>
        <w:rPr>
          <w:lang w:eastAsia="ja-JP"/>
        </w:rPr>
      </w:pPr>
      <w:r w:rsidRPr="00805787">
        <w:rPr>
          <w:lang w:eastAsia="ja-JP"/>
        </w:rPr>
        <w:t xml:space="preserve">For the most recent Product Information (PI) and Consumer Medicines Information (CMI), please refer to the TGA </w:t>
      </w:r>
      <w:hyperlink r:id="rId45" w:history="1">
        <w:r w:rsidRPr="00805787">
          <w:rPr>
            <w:rStyle w:val="Hyperlink"/>
            <w:lang w:eastAsia="ja-JP"/>
          </w:rPr>
          <w:t>PI/CMI search facility.</w:t>
        </w:r>
      </w:hyperlink>
    </w:p>
    <w:p w14:paraId="1C26439C" w14:textId="77777777" w:rsidR="00C22214" w:rsidRDefault="00C22214" w:rsidP="00C22214">
      <w:pPr>
        <w:rPr>
          <w:szCs w:val="22"/>
        </w:rPr>
      </w:pPr>
    </w:p>
    <w:p w14:paraId="257BF9BF" w14:textId="77777777" w:rsidR="00D52A26" w:rsidRDefault="00D52A26" w:rsidP="00C22214">
      <w:pPr>
        <w:rPr>
          <w:szCs w:val="22"/>
        </w:rPr>
      </w:pPr>
    </w:p>
    <w:p w14:paraId="53357BF3" w14:textId="0D0DFE21" w:rsidR="00D52A26" w:rsidRDefault="00D52A26" w:rsidP="00C22214">
      <w:pPr>
        <w:rPr>
          <w:lang w:eastAsia="ja-JP"/>
        </w:rPr>
        <w:sectPr w:rsidR="00D52A26" w:rsidSect="007452E8">
          <w:headerReference w:type="default" r:id="rId46"/>
          <w:footerReference w:type="default" r:id="rId4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F321BB"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AC09C6" w:rsidRDefault="00F02AEC">
            <w:pPr>
              <w:pStyle w:val="Address"/>
              <w:jc w:val="center"/>
              <w:rPr>
                <w:sz w:val="22"/>
                <w:szCs w:val="22"/>
              </w:rPr>
            </w:pPr>
            <w:r w:rsidRPr="00AC09C6">
              <w:t xml:space="preserve">Email: </w:t>
            </w:r>
            <w:hyperlink r:id="rId48" w:history="1">
              <w:r w:rsidRPr="00AC09C6">
                <w:rPr>
                  <w:rStyle w:val="Hyperlink"/>
                </w:rPr>
                <w:t>info@tga.gov.au</w:t>
              </w:r>
            </w:hyperlink>
            <w:r w:rsidRPr="00AC09C6">
              <w:t xml:space="preserve">  Phone: 1800 020 653  Fax: 02 6203 1605</w:t>
            </w:r>
          </w:p>
          <w:p w14:paraId="4533D80F" w14:textId="1519D7A3" w:rsidR="00F02AEC" w:rsidRPr="00AC09C6" w:rsidRDefault="00F02AEC">
            <w:pPr>
              <w:pStyle w:val="Address"/>
              <w:jc w:val="center"/>
              <w:rPr>
                <w:rStyle w:val="Hyperlink"/>
                <w:b/>
                <w:color w:val="auto"/>
                <w:sz w:val="22"/>
              </w:rPr>
            </w:pPr>
            <w:hyperlink r:id="rId49" w:history="1">
              <w:r w:rsidRPr="00AC09C6">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5FC0F5C7"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50"/>
      <w:footerReference w:type="first" r:id="rId5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B1656" w14:textId="77777777" w:rsidR="00EB71FA" w:rsidRDefault="00EB71FA" w:rsidP="00F02AEC">
      <w:pPr>
        <w:spacing w:after="0" w:line="240" w:lineRule="auto"/>
      </w:pPr>
      <w:r>
        <w:separator/>
      </w:r>
    </w:p>
  </w:endnote>
  <w:endnote w:type="continuationSeparator" w:id="0">
    <w:p w14:paraId="184F1E5A" w14:textId="77777777" w:rsidR="00EB71FA" w:rsidRDefault="00EB71F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MT">
    <w:altName w:val="Klee One"/>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97CF778" w:rsidR="007452E8" w:rsidRPr="004A3084" w:rsidRDefault="007452E8" w:rsidP="007452E8">
          <w:pPr>
            <w:pStyle w:val="Footer"/>
          </w:pPr>
          <w:r w:rsidRPr="00487162">
            <w:t>AusPA</w:t>
          </w:r>
          <w:r>
            <w:t xml:space="preserve">R - </w:t>
          </w:r>
          <w:r w:rsidR="00AF779D">
            <w:t>Capvaxive</w:t>
          </w:r>
          <w:r>
            <w:t xml:space="preserve"> </w:t>
          </w:r>
          <w:r w:rsidR="00616188">
            <w:t>–</w:t>
          </w:r>
          <w:r w:rsidRPr="00460036">
            <w:t xml:space="preserve"> </w:t>
          </w:r>
          <w:r w:rsidR="00616188">
            <w:t xml:space="preserve">Pneumococcal 21-valent conjugate vaccine- </w:t>
          </w:r>
          <w:r w:rsidR="0002051B">
            <w:t>Merck Sharp &amp; Dohme (Australia)</w:t>
          </w:r>
          <w:r w:rsidRPr="00460036">
            <w:t xml:space="preserve"> </w:t>
          </w:r>
          <w:r w:rsidR="008C754C">
            <w:t>-</w:t>
          </w:r>
          <w:r>
            <w:t xml:space="preserve"> PM-202</w:t>
          </w:r>
          <w:r w:rsidR="0002051B">
            <w:t>3</w:t>
          </w:r>
          <w:r w:rsidRPr="00487162">
            <w:t>-</w:t>
          </w:r>
          <w:r w:rsidR="001E6B45">
            <w:t>05219-1-2</w:t>
          </w:r>
          <w:r w:rsidR="00CB3D6C">
            <w:t xml:space="preserve"> </w:t>
          </w:r>
          <w:r w:rsidR="001803C8">
            <w:t>Final</w:t>
          </w:r>
          <w:r w:rsidRPr="00487162">
            <w:t xml:space="preserve"> </w:t>
          </w:r>
          <w:r w:rsidR="00552186">
            <w:t xml:space="preserve">20 </w:t>
          </w:r>
          <w:r w:rsidR="001803C8">
            <w:t xml:space="preserve">August </w:t>
          </w:r>
          <w:r w:rsidR="000307DD" w:rsidRPr="000307DD">
            <w:t>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DB11C" w14:textId="77777777" w:rsidR="00EB71FA" w:rsidRDefault="00EB71FA" w:rsidP="00F02AEC">
      <w:pPr>
        <w:spacing w:after="0" w:line="240" w:lineRule="auto"/>
      </w:pPr>
      <w:r>
        <w:separator/>
      </w:r>
    </w:p>
  </w:footnote>
  <w:footnote w:type="continuationSeparator" w:id="0">
    <w:p w14:paraId="01041625" w14:textId="77777777" w:rsidR="00EB71FA" w:rsidRDefault="00EB71FA"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6A78D50" w14:textId="77777777" w:rsidR="00B773F0" w:rsidRDefault="00B773F0" w:rsidP="00B773F0">
      <w:pPr>
        <w:pStyle w:val="FootnoteText"/>
      </w:pPr>
      <w:r>
        <w:rPr>
          <w:rStyle w:val="FootnoteReference"/>
        </w:rPr>
        <w:footnoteRef/>
      </w:r>
      <w:r>
        <w:t xml:space="preserve"> </w:t>
      </w:r>
      <w:r w:rsidRPr="002F4EC1">
        <w:t>Earle</w:t>
      </w:r>
      <w:r>
        <w:t xml:space="preserve"> K, </w:t>
      </w:r>
      <w:r w:rsidRPr="002F4EC1">
        <w:t>Williams</w:t>
      </w:r>
      <w:r>
        <w:t xml:space="preserve"> S.</w:t>
      </w:r>
      <w:r w:rsidRPr="002F4EC1">
        <w:t xml:space="preserve"> </w:t>
      </w:r>
      <w:r w:rsidRPr="00CD2B29">
        <w:rPr>
          <w:i/>
          <w:iCs/>
        </w:rPr>
        <w:t>Pneumonia (2016) 8:9</w:t>
      </w:r>
    </w:p>
  </w:footnote>
  <w:footnote w:id="3">
    <w:p w14:paraId="1A02CCD5" w14:textId="77777777" w:rsidR="003803E0" w:rsidRDefault="003803E0" w:rsidP="003803E0">
      <w:pPr>
        <w:pStyle w:val="FootnoteText"/>
      </w:pPr>
      <w:r>
        <w:rPr>
          <w:rStyle w:val="FootnoteReference"/>
        </w:rPr>
        <w:footnoteRef/>
      </w:r>
      <w:r>
        <w:t xml:space="preserve"> Plotkin’s Vaccines. 8</w:t>
      </w:r>
      <w:r w:rsidRPr="00C13C75">
        <w:rPr>
          <w:vertAlign w:val="superscript"/>
        </w:rPr>
        <w:t>th</w:t>
      </w:r>
      <w:r>
        <w:t xml:space="preserve"> Edition. Chapter 47. Pneumococcal Conjugate Vaccine and Pneumococcal Common Protein Vaccines. </w:t>
      </w:r>
    </w:p>
  </w:footnote>
  <w:footnote w:id="4">
    <w:p w14:paraId="7878B994" w14:textId="77777777" w:rsidR="003803E0" w:rsidRDefault="003803E0" w:rsidP="003803E0">
      <w:pPr>
        <w:pStyle w:val="FootnoteText"/>
      </w:pPr>
      <w:r>
        <w:rPr>
          <w:rStyle w:val="FootnoteReference"/>
        </w:rPr>
        <w:footnoteRef/>
      </w:r>
      <w:r>
        <w:t xml:space="preserve"> </w:t>
      </w:r>
      <w:r w:rsidRPr="005E539D">
        <w:t>https://immunisationhandbook.health.gov.au/contents/vaccine-preventable-diseases/pneumococcal-disease</w:t>
      </w:r>
    </w:p>
  </w:footnote>
  <w:footnote w:id="5">
    <w:p w14:paraId="4A74576E" w14:textId="77777777" w:rsidR="003803E0" w:rsidRDefault="003803E0" w:rsidP="003803E0">
      <w:pPr>
        <w:pStyle w:val="FootnoteText"/>
      </w:pPr>
      <w:r>
        <w:rPr>
          <w:rStyle w:val="FootnoteReference"/>
        </w:rPr>
        <w:footnoteRef/>
      </w:r>
      <w:r>
        <w:t xml:space="preserve"> </w:t>
      </w:r>
      <w:r w:rsidRPr="001C348D">
        <w:t>https://immunisationhandbook.health.gov.au/resources/publications/pneumococcal-vaccination-for-all-australians</w:t>
      </w:r>
    </w:p>
  </w:footnote>
  <w:footnote w:id="6">
    <w:p w14:paraId="6C4AE9C1" w14:textId="77777777" w:rsidR="003803E0" w:rsidRDefault="003803E0" w:rsidP="003803E0">
      <w:pPr>
        <w:pStyle w:val="FootnoteText"/>
      </w:pPr>
      <w:r>
        <w:rPr>
          <w:rStyle w:val="FootnoteReference"/>
        </w:rPr>
        <w:footnoteRef/>
      </w:r>
      <w:r>
        <w:t xml:space="preserve"> </w:t>
      </w:r>
      <w:r w:rsidRPr="00680F4D">
        <w:t>https://immunisationhandbook.health.gov.au/resources/publications/pneumococcal-vaccination-for-people-with-risk-conditions-for-pneumococcal-disease</w:t>
      </w:r>
    </w:p>
  </w:footnote>
  <w:footnote w:id="7">
    <w:p w14:paraId="224CD836" w14:textId="0A6A3D51"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Delegate of the Secretary of the Department of Health</w:t>
      </w:r>
      <w:r w:rsidR="0032471F">
        <w:t>, Disability and Aging</w:t>
      </w:r>
      <w:r w:rsidR="00AD0111" w:rsidRPr="00C133A3">
        <w:t xml:space="preserve"> who </w:t>
      </w:r>
      <w:r w:rsidR="00AD0111">
        <w:t>decided the submission</w:t>
      </w:r>
      <w:r w:rsidR="00AD0111" w:rsidRPr="00C133A3">
        <w:t xml:space="preserve"> under section 25 of the Act.</w:t>
      </w:r>
    </w:p>
  </w:footnote>
  <w:footnote w:id="8">
    <w:p w14:paraId="5806778A" w14:textId="406F00A1" w:rsidR="00832A4A" w:rsidRDefault="00832A4A" w:rsidP="00832A4A">
      <w:pPr>
        <w:pStyle w:val="FootnoteText"/>
      </w:pPr>
      <w:r>
        <w:rPr>
          <w:rStyle w:val="FootnoteReference"/>
        </w:rPr>
        <w:footnoteRef/>
      </w:r>
      <w:r w:rsidRPr="00312574">
        <w:rPr>
          <w:lang w:val="it-IT"/>
        </w:rPr>
        <w:t xml:space="preserve"> </w:t>
      </w:r>
      <w:r w:rsidR="00377334" w:rsidRPr="00312574">
        <w:rPr>
          <w:lang w:val="it-IT"/>
        </w:rPr>
        <w:t xml:space="preserve">Platt HL, Bruno C, Buntinx E, </w:t>
      </w:r>
      <w:r w:rsidR="00EF08C9" w:rsidRPr="00312574">
        <w:rPr>
          <w:lang w:val="it-IT"/>
        </w:rPr>
        <w:t>et al.</w:t>
      </w:r>
      <w:r w:rsidR="00377334" w:rsidRPr="00312574">
        <w:rPr>
          <w:lang w:val="it-IT"/>
        </w:rPr>
        <w:t xml:space="preserve"> </w:t>
      </w:r>
      <w:r w:rsidR="00377334" w:rsidRPr="00377334">
        <w:t>Safety, tolerability, and immunogenicity of an adult pneumococcal conjugate vaccine, V116 (STRIDE-3): a randomised, double-blind, active comparator controlled, international phase 3 trial. Lancet Infect Dis. 2024 Oct;24(10):1141-1150. doi: 10.1016/S1473-3099(24)00344-X. Epub 2024 Jul 1. PMID: 38964361.</w:t>
      </w:r>
    </w:p>
  </w:footnote>
  <w:footnote w:id="9">
    <w:p w14:paraId="30C8329B" w14:textId="2A86C116" w:rsidR="00A252BB" w:rsidRDefault="00A252BB" w:rsidP="00A252BB">
      <w:pPr>
        <w:pStyle w:val="FootnoteText"/>
      </w:pPr>
      <w:r>
        <w:rPr>
          <w:rStyle w:val="FootnoteReference"/>
        </w:rPr>
        <w:footnoteRef/>
      </w:r>
      <w:r w:rsidRPr="00AC09C6">
        <w:t xml:space="preserve"> </w:t>
      </w:r>
      <w:r w:rsidR="008A71EB" w:rsidRPr="00AC09C6">
        <w:t xml:space="preserve">Scott P, Haranaka M, Choi JH, et al. </w:t>
      </w:r>
      <w:r w:rsidR="008A71EB" w:rsidRPr="008A71EB">
        <w:t>STRIDE-6 Study Group. A Phase 3 Clinical Study to Evaluate the Safety, Tolerability, and Immunogenicity of V116 in Pneumococcal Vaccine-Experienced Adults 50 Years of Age or Older (STRIDE-6). Clin Infect Dis. 2024 Dec 17;79(6):1366-1374. doi: 10.1093/cid/ciae383. PMID: 39082735; PMCID: PMC11650886.</w:t>
      </w:r>
    </w:p>
  </w:footnote>
  <w:footnote w:id="10">
    <w:p w14:paraId="3B5EB709" w14:textId="576E5E8C" w:rsidR="00CE2D43" w:rsidRDefault="00CE2D43" w:rsidP="00CE2D43">
      <w:pPr>
        <w:pStyle w:val="FootnoteText"/>
      </w:pPr>
      <w:r>
        <w:rPr>
          <w:rStyle w:val="FootnoteReference"/>
        </w:rPr>
        <w:footnoteRef/>
      </w:r>
      <w:r>
        <w:t xml:space="preserve"> </w:t>
      </w:r>
      <w:r w:rsidRPr="005070AB">
        <w:t>FDA BLA Clinical Review Memorandum STN 125814/0 C</w:t>
      </w:r>
      <w:r w:rsidR="00F54541">
        <w:t>apvaxive</w:t>
      </w:r>
      <w:r>
        <w:t xml:space="preserve"> </w:t>
      </w:r>
    </w:p>
  </w:footnote>
  <w:footnote w:id="11">
    <w:p w14:paraId="73A243F0" w14:textId="2D9A5455" w:rsidR="00A00E53" w:rsidRDefault="00A00E53">
      <w:pPr>
        <w:pStyle w:val="FootnoteText"/>
      </w:pPr>
      <w:r>
        <w:rPr>
          <w:rStyle w:val="FootnoteReference"/>
        </w:rPr>
        <w:footnoteRef/>
      </w:r>
      <w:r w:rsidRPr="00AC09C6">
        <w:t xml:space="preserve"> </w:t>
      </w:r>
      <w:r w:rsidR="003C4CE0" w:rsidRPr="00AC09C6">
        <w:t xml:space="preserve">Platt H, Omole T, Cardona J, et al. </w:t>
      </w:r>
      <w:r w:rsidR="003C4CE0" w:rsidRPr="003C4CE0">
        <w:t>Safety, tolerability, and immunogenicity of a 21-valent pneumococcal conjugate vaccine, V116, in healthy adults: phase 1/2, randomised, double-blind, active comparator-controlled, multicentre, US-based trial. Lancet Infect Dis. 2023 Feb;23(2):233-246. doi: 10.1016/S1473-3099(22)00526-6. Epub 2022 Sep 15. PMID: 36116461.</w:t>
      </w:r>
    </w:p>
  </w:footnote>
  <w:footnote w:id="12">
    <w:p w14:paraId="10A893C1" w14:textId="77777777" w:rsidR="00022D1C" w:rsidRDefault="00022D1C" w:rsidP="00022D1C">
      <w:pPr>
        <w:pStyle w:val="FootnoteText"/>
      </w:pPr>
      <w:r>
        <w:rPr>
          <w:rStyle w:val="FootnoteReference"/>
        </w:rPr>
        <w:footnoteRef/>
      </w:r>
      <w:r>
        <w:t xml:space="preserve"> </w:t>
      </w:r>
      <w:r w:rsidRPr="001F3485">
        <w:t>Summary Basis for Regulatory Action</w:t>
      </w:r>
      <w:r>
        <w:t xml:space="preserve">, STN </w:t>
      </w:r>
      <w:r w:rsidRPr="00F7394C">
        <w:t>125814/0</w:t>
      </w:r>
      <w:r>
        <w:t xml:space="preserve">, </w:t>
      </w:r>
      <w:r w:rsidRPr="003E3710">
        <w:t>June 17, 2024</w:t>
      </w:r>
      <w:r>
        <w:t xml:space="preserve">, </w:t>
      </w:r>
      <w:hyperlink r:id="rId1" w:history="1">
        <w:r w:rsidRPr="00AB3F6B">
          <w:rPr>
            <w:rStyle w:val="Hyperlink"/>
          </w:rPr>
          <w:t>https://www.fda.gov/media/180070/download</w:t>
        </w:r>
      </w:hyperlink>
      <w:r>
        <w:t xml:space="preserve"> </w:t>
      </w:r>
    </w:p>
  </w:footnote>
  <w:footnote w:id="13">
    <w:p w14:paraId="2E3915E0" w14:textId="77777777" w:rsidR="00022D1C" w:rsidRDefault="00022D1C" w:rsidP="00022D1C">
      <w:pPr>
        <w:pStyle w:val="FootnoteText"/>
      </w:pPr>
      <w:r>
        <w:rPr>
          <w:rStyle w:val="FootnoteReference"/>
        </w:rPr>
        <w:footnoteRef/>
      </w:r>
      <w:r>
        <w:t xml:space="preserve"> </w:t>
      </w:r>
      <w:r w:rsidRPr="00D93CE5">
        <w:t>STN 125814/0</w:t>
      </w:r>
      <w:r>
        <w:t xml:space="preserve"> Post-marketing Real world evidence memorandum </w:t>
      </w:r>
      <w:r w:rsidRPr="00AB377A">
        <w:t>https://www.fda.gov/vaccines-blood-biologics/capvaxive</w:t>
      </w:r>
    </w:p>
  </w:footnote>
  <w:footnote w:id="14">
    <w:p w14:paraId="6C42CD78" w14:textId="77777777" w:rsidR="00FD3377" w:rsidRDefault="00FD3377" w:rsidP="00FD3377">
      <w:pPr>
        <w:pStyle w:val="FootnoteText"/>
      </w:pPr>
      <w:r>
        <w:rPr>
          <w:rStyle w:val="FootnoteReference"/>
        </w:rPr>
        <w:footnoteRef/>
      </w:r>
      <w:r>
        <w:t xml:space="preserve"> </w:t>
      </w:r>
      <w:hyperlink r:id="rId2" w:history="1">
        <w:r w:rsidRPr="00AB3F6B">
          <w:rPr>
            <w:rStyle w:val="Hyperlink"/>
          </w:rPr>
          <w:t>https://www.fda.gov/media/150021/download</w:t>
        </w:r>
      </w:hyperlink>
      <w:r>
        <w:t xml:space="preserve"> </w:t>
      </w:r>
    </w:p>
  </w:footnote>
  <w:footnote w:id="15">
    <w:p w14:paraId="108257BC" w14:textId="77777777" w:rsidR="00EA25A1" w:rsidRDefault="00EA25A1" w:rsidP="00EA25A1">
      <w:pPr>
        <w:pStyle w:val="FootnoteText"/>
      </w:pPr>
      <w:r>
        <w:rPr>
          <w:rStyle w:val="FootnoteReference"/>
        </w:rPr>
        <w:footnoteRef/>
      </w:r>
      <w:r>
        <w:t xml:space="preserve"> Australian Immunisation Handbook chapter on Pneumococcal disease, accessed 4 December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2636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4EE51B89" w:rsidR="007452E8" w:rsidRDefault="00265134" w:rsidP="007452E8">
    <w:pPr>
      <w:rPr>
        <w:noProof/>
      </w:rPr>
    </w:pPr>
    <w:r>
      <w:rPr>
        <w:noProof/>
      </w:rPr>
      <w:drawing>
        <wp:inline distT="0" distB="0" distL="0" distR="0" wp14:anchorId="465E45AA" wp14:editId="3F7C1D83">
          <wp:extent cx="2986405" cy="619734"/>
          <wp:effectExtent l="0" t="0" r="4445" b="9525"/>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7151" cy="624039"/>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1D58EB7">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78B8"/>
    <w:multiLevelType w:val="hybridMultilevel"/>
    <w:tmpl w:val="19122B62"/>
    <w:lvl w:ilvl="0" w:tplc="9C7E0702">
      <w:start w:val="1"/>
      <w:numFmt w:val="bullet"/>
      <w:lvlText w:val=""/>
      <w:lvlJc w:val="left"/>
      <w:pPr>
        <w:ind w:left="720" w:hanging="360"/>
      </w:pPr>
      <w:rPr>
        <w:rFonts w:ascii="Symbol" w:hAnsi="Symbol"/>
      </w:rPr>
    </w:lvl>
    <w:lvl w:ilvl="1" w:tplc="39B40308">
      <w:start w:val="1"/>
      <w:numFmt w:val="bullet"/>
      <w:lvlText w:val=""/>
      <w:lvlJc w:val="left"/>
      <w:pPr>
        <w:ind w:left="720" w:hanging="360"/>
      </w:pPr>
      <w:rPr>
        <w:rFonts w:ascii="Symbol" w:hAnsi="Symbol"/>
      </w:rPr>
    </w:lvl>
    <w:lvl w:ilvl="2" w:tplc="AEE2C836">
      <w:start w:val="1"/>
      <w:numFmt w:val="bullet"/>
      <w:lvlText w:val=""/>
      <w:lvlJc w:val="left"/>
      <w:pPr>
        <w:ind w:left="720" w:hanging="360"/>
      </w:pPr>
      <w:rPr>
        <w:rFonts w:ascii="Symbol" w:hAnsi="Symbol"/>
      </w:rPr>
    </w:lvl>
    <w:lvl w:ilvl="3" w:tplc="63845D54">
      <w:start w:val="1"/>
      <w:numFmt w:val="bullet"/>
      <w:lvlText w:val=""/>
      <w:lvlJc w:val="left"/>
      <w:pPr>
        <w:ind w:left="720" w:hanging="360"/>
      </w:pPr>
      <w:rPr>
        <w:rFonts w:ascii="Symbol" w:hAnsi="Symbol"/>
      </w:rPr>
    </w:lvl>
    <w:lvl w:ilvl="4" w:tplc="B2B08AC8">
      <w:start w:val="1"/>
      <w:numFmt w:val="bullet"/>
      <w:lvlText w:val=""/>
      <w:lvlJc w:val="left"/>
      <w:pPr>
        <w:ind w:left="720" w:hanging="360"/>
      </w:pPr>
      <w:rPr>
        <w:rFonts w:ascii="Symbol" w:hAnsi="Symbol"/>
      </w:rPr>
    </w:lvl>
    <w:lvl w:ilvl="5" w:tplc="C40C86CA">
      <w:start w:val="1"/>
      <w:numFmt w:val="bullet"/>
      <w:lvlText w:val=""/>
      <w:lvlJc w:val="left"/>
      <w:pPr>
        <w:ind w:left="720" w:hanging="360"/>
      </w:pPr>
      <w:rPr>
        <w:rFonts w:ascii="Symbol" w:hAnsi="Symbol"/>
      </w:rPr>
    </w:lvl>
    <w:lvl w:ilvl="6" w:tplc="797E338E">
      <w:start w:val="1"/>
      <w:numFmt w:val="bullet"/>
      <w:lvlText w:val=""/>
      <w:lvlJc w:val="left"/>
      <w:pPr>
        <w:ind w:left="720" w:hanging="360"/>
      </w:pPr>
      <w:rPr>
        <w:rFonts w:ascii="Symbol" w:hAnsi="Symbol"/>
      </w:rPr>
    </w:lvl>
    <w:lvl w:ilvl="7" w:tplc="1D98C1C0">
      <w:start w:val="1"/>
      <w:numFmt w:val="bullet"/>
      <w:lvlText w:val=""/>
      <w:lvlJc w:val="left"/>
      <w:pPr>
        <w:ind w:left="720" w:hanging="360"/>
      </w:pPr>
      <w:rPr>
        <w:rFonts w:ascii="Symbol" w:hAnsi="Symbol"/>
      </w:rPr>
    </w:lvl>
    <w:lvl w:ilvl="8" w:tplc="699E571A">
      <w:start w:val="1"/>
      <w:numFmt w:val="bullet"/>
      <w:lvlText w:val=""/>
      <w:lvlJc w:val="left"/>
      <w:pPr>
        <w:ind w:left="720" w:hanging="360"/>
      </w:pPr>
      <w:rPr>
        <w:rFonts w:ascii="Symbol" w:hAnsi="Symbol"/>
      </w:rPr>
    </w:lvl>
  </w:abstractNum>
  <w:abstractNum w:abstractNumId="1" w15:restartNumberingAfterBreak="0">
    <w:nsid w:val="06AD3A72"/>
    <w:multiLevelType w:val="hybridMultilevel"/>
    <w:tmpl w:val="E2BE24B8"/>
    <w:lvl w:ilvl="0" w:tplc="EA6A79D0">
      <w:start w:val="1"/>
      <w:numFmt w:val="bullet"/>
      <w:lvlText w:val=""/>
      <w:lvlJc w:val="left"/>
      <w:pPr>
        <w:ind w:left="720" w:hanging="360"/>
      </w:pPr>
      <w:rPr>
        <w:rFonts w:ascii="Symbol" w:hAnsi="Symbol"/>
      </w:rPr>
    </w:lvl>
    <w:lvl w:ilvl="1" w:tplc="984627A4">
      <w:start w:val="1"/>
      <w:numFmt w:val="bullet"/>
      <w:lvlText w:val=""/>
      <w:lvlJc w:val="left"/>
      <w:pPr>
        <w:ind w:left="720" w:hanging="360"/>
      </w:pPr>
      <w:rPr>
        <w:rFonts w:ascii="Symbol" w:hAnsi="Symbol"/>
      </w:rPr>
    </w:lvl>
    <w:lvl w:ilvl="2" w:tplc="360A76FC">
      <w:start w:val="1"/>
      <w:numFmt w:val="bullet"/>
      <w:lvlText w:val=""/>
      <w:lvlJc w:val="left"/>
      <w:pPr>
        <w:ind w:left="720" w:hanging="360"/>
      </w:pPr>
      <w:rPr>
        <w:rFonts w:ascii="Symbol" w:hAnsi="Symbol"/>
      </w:rPr>
    </w:lvl>
    <w:lvl w:ilvl="3" w:tplc="42841632">
      <w:start w:val="1"/>
      <w:numFmt w:val="bullet"/>
      <w:lvlText w:val=""/>
      <w:lvlJc w:val="left"/>
      <w:pPr>
        <w:ind w:left="720" w:hanging="360"/>
      </w:pPr>
      <w:rPr>
        <w:rFonts w:ascii="Symbol" w:hAnsi="Symbol"/>
      </w:rPr>
    </w:lvl>
    <w:lvl w:ilvl="4" w:tplc="026C4920">
      <w:start w:val="1"/>
      <w:numFmt w:val="bullet"/>
      <w:lvlText w:val=""/>
      <w:lvlJc w:val="left"/>
      <w:pPr>
        <w:ind w:left="720" w:hanging="360"/>
      </w:pPr>
      <w:rPr>
        <w:rFonts w:ascii="Symbol" w:hAnsi="Symbol"/>
      </w:rPr>
    </w:lvl>
    <w:lvl w:ilvl="5" w:tplc="BD40E2B2">
      <w:start w:val="1"/>
      <w:numFmt w:val="bullet"/>
      <w:lvlText w:val=""/>
      <w:lvlJc w:val="left"/>
      <w:pPr>
        <w:ind w:left="720" w:hanging="360"/>
      </w:pPr>
      <w:rPr>
        <w:rFonts w:ascii="Symbol" w:hAnsi="Symbol"/>
      </w:rPr>
    </w:lvl>
    <w:lvl w:ilvl="6" w:tplc="496AFB6A">
      <w:start w:val="1"/>
      <w:numFmt w:val="bullet"/>
      <w:lvlText w:val=""/>
      <w:lvlJc w:val="left"/>
      <w:pPr>
        <w:ind w:left="720" w:hanging="360"/>
      </w:pPr>
      <w:rPr>
        <w:rFonts w:ascii="Symbol" w:hAnsi="Symbol"/>
      </w:rPr>
    </w:lvl>
    <w:lvl w:ilvl="7" w:tplc="C53AFF46">
      <w:start w:val="1"/>
      <w:numFmt w:val="bullet"/>
      <w:lvlText w:val=""/>
      <w:lvlJc w:val="left"/>
      <w:pPr>
        <w:ind w:left="720" w:hanging="360"/>
      </w:pPr>
      <w:rPr>
        <w:rFonts w:ascii="Symbol" w:hAnsi="Symbol"/>
      </w:rPr>
    </w:lvl>
    <w:lvl w:ilvl="8" w:tplc="E9DC2C22">
      <w:start w:val="1"/>
      <w:numFmt w:val="bullet"/>
      <w:lvlText w:val=""/>
      <w:lvlJc w:val="left"/>
      <w:pPr>
        <w:ind w:left="720" w:hanging="360"/>
      </w:pPr>
      <w:rPr>
        <w:rFonts w:ascii="Symbol" w:hAnsi="Symbol"/>
      </w:rPr>
    </w:lvl>
  </w:abstractNum>
  <w:abstractNum w:abstractNumId="2" w15:restartNumberingAfterBreak="0">
    <w:nsid w:val="09A37376"/>
    <w:multiLevelType w:val="multilevel"/>
    <w:tmpl w:val="8CE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A1819"/>
    <w:multiLevelType w:val="hybridMultilevel"/>
    <w:tmpl w:val="76D8CF48"/>
    <w:lvl w:ilvl="0" w:tplc="BA06ED2A">
      <w:start w:val="1"/>
      <w:numFmt w:val="bullet"/>
      <w:lvlText w:val=""/>
      <w:lvlJc w:val="left"/>
      <w:pPr>
        <w:ind w:left="720" w:hanging="360"/>
      </w:pPr>
      <w:rPr>
        <w:rFonts w:ascii="Symbol" w:hAnsi="Symbol"/>
      </w:rPr>
    </w:lvl>
    <w:lvl w:ilvl="1" w:tplc="0FA8147E">
      <w:start w:val="1"/>
      <w:numFmt w:val="bullet"/>
      <w:lvlText w:val=""/>
      <w:lvlJc w:val="left"/>
      <w:pPr>
        <w:ind w:left="720" w:hanging="360"/>
      </w:pPr>
      <w:rPr>
        <w:rFonts w:ascii="Symbol" w:hAnsi="Symbol"/>
      </w:rPr>
    </w:lvl>
    <w:lvl w:ilvl="2" w:tplc="8B2ECBFC">
      <w:start w:val="1"/>
      <w:numFmt w:val="bullet"/>
      <w:lvlText w:val=""/>
      <w:lvlJc w:val="left"/>
      <w:pPr>
        <w:ind w:left="720" w:hanging="360"/>
      </w:pPr>
      <w:rPr>
        <w:rFonts w:ascii="Symbol" w:hAnsi="Symbol"/>
      </w:rPr>
    </w:lvl>
    <w:lvl w:ilvl="3" w:tplc="1548E924">
      <w:start w:val="1"/>
      <w:numFmt w:val="bullet"/>
      <w:lvlText w:val=""/>
      <w:lvlJc w:val="left"/>
      <w:pPr>
        <w:ind w:left="720" w:hanging="360"/>
      </w:pPr>
      <w:rPr>
        <w:rFonts w:ascii="Symbol" w:hAnsi="Symbol"/>
      </w:rPr>
    </w:lvl>
    <w:lvl w:ilvl="4" w:tplc="9FA29302">
      <w:start w:val="1"/>
      <w:numFmt w:val="bullet"/>
      <w:lvlText w:val=""/>
      <w:lvlJc w:val="left"/>
      <w:pPr>
        <w:ind w:left="720" w:hanging="360"/>
      </w:pPr>
      <w:rPr>
        <w:rFonts w:ascii="Symbol" w:hAnsi="Symbol"/>
      </w:rPr>
    </w:lvl>
    <w:lvl w:ilvl="5" w:tplc="1C681804">
      <w:start w:val="1"/>
      <w:numFmt w:val="bullet"/>
      <w:lvlText w:val=""/>
      <w:lvlJc w:val="left"/>
      <w:pPr>
        <w:ind w:left="720" w:hanging="360"/>
      </w:pPr>
      <w:rPr>
        <w:rFonts w:ascii="Symbol" w:hAnsi="Symbol"/>
      </w:rPr>
    </w:lvl>
    <w:lvl w:ilvl="6" w:tplc="A7DEA1CE">
      <w:start w:val="1"/>
      <w:numFmt w:val="bullet"/>
      <w:lvlText w:val=""/>
      <w:lvlJc w:val="left"/>
      <w:pPr>
        <w:ind w:left="720" w:hanging="360"/>
      </w:pPr>
      <w:rPr>
        <w:rFonts w:ascii="Symbol" w:hAnsi="Symbol"/>
      </w:rPr>
    </w:lvl>
    <w:lvl w:ilvl="7" w:tplc="038439BE">
      <w:start w:val="1"/>
      <w:numFmt w:val="bullet"/>
      <w:lvlText w:val=""/>
      <w:lvlJc w:val="left"/>
      <w:pPr>
        <w:ind w:left="720" w:hanging="360"/>
      </w:pPr>
      <w:rPr>
        <w:rFonts w:ascii="Symbol" w:hAnsi="Symbol"/>
      </w:rPr>
    </w:lvl>
    <w:lvl w:ilvl="8" w:tplc="823E008A">
      <w:start w:val="1"/>
      <w:numFmt w:val="bullet"/>
      <w:lvlText w:val=""/>
      <w:lvlJc w:val="left"/>
      <w:pPr>
        <w:ind w:left="720" w:hanging="360"/>
      </w:pPr>
      <w:rPr>
        <w:rFonts w:ascii="Symbol" w:hAnsi="Symbol"/>
      </w:rPr>
    </w:lvl>
  </w:abstractNum>
  <w:abstractNum w:abstractNumId="4" w15:restartNumberingAfterBreak="0">
    <w:nsid w:val="0B9450A2"/>
    <w:multiLevelType w:val="hybridMultilevel"/>
    <w:tmpl w:val="182478B2"/>
    <w:lvl w:ilvl="0" w:tplc="CD548ABC">
      <w:start w:val="1"/>
      <w:numFmt w:val="bullet"/>
      <w:lvlText w:val=""/>
      <w:lvlJc w:val="left"/>
      <w:pPr>
        <w:ind w:left="720" w:hanging="360"/>
      </w:pPr>
      <w:rPr>
        <w:rFonts w:ascii="Symbol" w:hAnsi="Symbol"/>
      </w:rPr>
    </w:lvl>
    <w:lvl w:ilvl="1" w:tplc="E37A7940">
      <w:start w:val="1"/>
      <w:numFmt w:val="bullet"/>
      <w:lvlText w:val=""/>
      <w:lvlJc w:val="left"/>
      <w:pPr>
        <w:ind w:left="720" w:hanging="360"/>
      </w:pPr>
      <w:rPr>
        <w:rFonts w:ascii="Symbol" w:hAnsi="Symbol"/>
      </w:rPr>
    </w:lvl>
    <w:lvl w:ilvl="2" w:tplc="EB56CE54">
      <w:start w:val="1"/>
      <w:numFmt w:val="bullet"/>
      <w:lvlText w:val=""/>
      <w:lvlJc w:val="left"/>
      <w:pPr>
        <w:ind w:left="720" w:hanging="360"/>
      </w:pPr>
      <w:rPr>
        <w:rFonts w:ascii="Symbol" w:hAnsi="Symbol"/>
      </w:rPr>
    </w:lvl>
    <w:lvl w:ilvl="3" w:tplc="F78C3A78">
      <w:start w:val="1"/>
      <w:numFmt w:val="bullet"/>
      <w:lvlText w:val=""/>
      <w:lvlJc w:val="left"/>
      <w:pPr>
        <w:ind w:left="720" w:hanging="360"/>
      </w:pPr>
      <w:rPr>
        <w:rFonts w:ascii="Symbol" w:hAnsi="Symbol"/>
      </w:rPr>
    </w:lvl>
    <w:lvl w:ilvl="4" w:tplc="945E7B66">
      <w:start w:val="1"/>
      <w:numFmt w:val="bullet"/>
      <w:lvlText w:val=""/>
      <w:lvlJc w:val="left"/>
      <w:pPr>
        <w:ind w:left="720" w:hanging="360"/>
      </w:pPr>
      <w:rPr>
        <w:rFonts w:ascii="Symbol" w:hAnsi="Symbol"/>
      </w:rPr>
    </w:lvl>
    <w:lvl w:ilvl="5" w:tplc="5A40DCF2">
      <w:start w:val="1"/>
      <w:numFmt w:val="bullet"/>
      <w:lvlText w:val=""/>
      <w:lvlJc w:val="left"/>
      <w:pPr>
        <w:ind w:left="720" w:hanging="360"/>
      </w:pPr>
      <w:rPr>
        <w:rFonts w:ascii="Symbol" w:hAnsi="Symbol"/>
      </w:rPr>
    </w:lvl>
    <w:lvl w:ilvl="6" w:tplc="EB7A5538">
      <w:start w:val="1"/>
      <w:numFmt w:val="bullet"/>
      <w:lvlText w:val=""/>
      <w:lvlJc w:val="left"/>
      <w:pPr>
        <w:ind w:left="720" w:hanging="360"/>
      </w:pPr>
      <w:rPr>
        <w:rFonts w:ascii="Symbol" w:hAnsi="Symbol"/>
      </w:rPr>
    </w:lvl>
    <w:lvl w:ilvl="7" w:tplc="DA9633F6">
      <w:start w:val="1"/>
      <w:numFmt w:val="bullet"/>
      <w:lvlText w:val=""/>
      <w:lvlJc w:val="left"/>
      <w:pPr>
        <w:ind w:left="720" w:hanging="360"/>
      </w:pPr>
      <w:rPr>
        <w:rFonts w:ascii="Symbol" w:hAnsi="Symbol"/>
      </w:rPr>
    </w:lvl>
    <w:lvl w:ilvl="8" w:tplc="EFBA61D2">
      <w:start w:val="1"/>
      <w:numFmt w:val="bullet"/>
      <w:lvlText w:val=""/>
      <w:lvlJc w:val="left"/>
      <w:pPr>
        <w:ind w:left="720" w:hanging="360"/>
      </w:pPr>
      <w:rPr>
        <w:rFonts w:ascii="Symbol" w:hAnsi="Symbol"/>
      </w:rPr>
    </w:lvl>
  </w:abstractNum>
  <w:abstractNum w:abstractNumId="5" w15:restartNumberingAfterBreak="0">
    <w:nsid w:val="0C3F74DD"/>
    <w:multiLevelType w:val="hybridMultilevel"/>
    <w:tmpl w:val="355449D8"/>
    <w:lvl w:ilvl="0" w:tplc="66C89720">
      <w:start w:val="1"/>
      <w:numFmt w:val="bullet"/>
      <w:lvlText w:val=""/>
      <w:lvlJc w:val="left"/>
      <w:pPr>
        <w:ind w:left="720" w:hanging="360"/>
      </w:pPr>
      <w:rPr>
        <w:rFonts w:ascii="Symbol" w:hAnsi="Symbol"/>
      </w:rPr>
    </w:lvl>
    <w:lvl w:ilvl="1" w:tplc="3844F5B6">
      <w:start w:val="1"/>
      <w:numFmt w:val="bullet"/>
      <w:lvlText w:val=""/>
      <w:lvlJc w:val="left"/>
      <w:pPr>
        <w:ind w:left="720" w:hanging="360"/>
      </w:pPr>
      <w:rPr>
        <w:rFonts w:ascii="Symbol" w:hAnsi="Symbol"/>
      </w:rPr>
    </w:lvl>
    <w:lvl w:ilvl="2" w:tplc="DE4CBD0C">
      <w:start w:val="1"/>
      <w:numFmt w:val="bullet"/>
      <w:lvlText w:val=""/>
      <w:lvlJc w:val="left"/>
      <w:pPr>
        <w:ind w:left="720" w:hanging="360"/>
      </w:pPr>
      <w:rPr>
        <w:rFonts w:ascii="Symbol" w:hAnsi="Symbol"/>
      </w:rPr>
    </w:lvl>
    <w:lvl w:ilvl="3" w:tplc="2DF6957A">
      <w:start w:val="1"/>
      <w:numFmt w:val="bullet"/>
      <w:lvlText w:val=""/>
      <w:lvlJc w:val="left"/>
      <w:pPr>
        <w:ind w:left="720" w:hanging="360"/>
      </w:pPr>
      <w:rPr>
        <w:rFonts w:ascii="Symbol" w:hAnsi="Symbol"/>
      </w:rPr>
    </w:lvl>
    <w:lvl w:ilvl="4" w:tplc="F8C2ABA8">
      <w:start w:val="1"/>
      <w:numFmt w:val="bullet"/>
      <w:lvlText w:val=""/>
      <w:lvlJc w:val="left"/>
      <w:pPr>
        <w:ind w:left="720" w:hanging="360"/>
      </w:pPr>
      <w:rPr>
        <w:rFonts w:ascii="Symbol" w:hAnsi="Symbol"/>
      </w:rPr>
    </w:lvl>
    <w:lvl w:ilvl="5" w:tplc="EEDE4EDC">
      <w:start w:val="1"/>
      <w:numFmt w:val="bullet"/>
      <w:lvlText w:val=""/>
      <w:lvlJc w:val="left"/>
      <w:pPr>
        <w:ind w:left="720" w:hanging="360"/>
      </w:pPr>
      <w:rPr>
        <w:rFonts w:ascii="Symbol" w:hAnsi="Symbol"/>
      </w:rPr>
    </w:lvl>
    <w:lvl w:ilvl="6" w:tplc="D7DEE370">
      <w:start w:val="1"/>
      <w:numFmt w:val="bullet"/>
      <w:lvlText w:val=""/>
      <w:lvlJc w:val="left"/>
      <w:pPr>
        <w:ind w:left="720" w:hanging="360"/>
      </w:pPr>
      <w:rPr>
        <w:rFonts w:ascii="Symbol" w:hAnsi="Symbol"/>
      </w:rPr>
    </w:lvl>
    <w:lvl w:ilvl="7" w:tplc="C13A89F4">
      <w:start w:val="1"/>
      <w:numFmt w:val="bullet"/>
      <w:lvlText w:val=""/>
      <w:lvlJc w:val="left"/>
      <w:pPr>
        <w:ind w:left="720" w:hanging="360"/>
      </w:pPr>
      <w:rPr>
        <w:rFonts w:ascii="Symbol" w:hAnsi="Symbol"/>
      </w:rPr>
    </w:lvl>
    <w:lvl w:ilvl="8" w:tplc="F6969608">
      <w:start w:val="1"/>
      <w:numFmt w:val="bullet"/>
      <w:lvlText w:val=""/>
      <w:lvlJc w:val="left"/>
      <w:pPr>
        <w:ind w:left="720" w:hanging="360"/>
      </w:pPr>
      <w:rPr>
        <w:rFonts w:ascii="Symbol" w:hAnsi="Symbol"/>
      </w:rPr>
    </w:lvl>
  </w:abstractNum>
  <w:abstractNum w:abstractNumId="6" w15:restartNumberingAfterBreak="0">
    <w:nsid w:val="0C890329"/>
    <w:multiLevelType w:val="hybridMultilevel"/>
    <w:tmpl w:val="E1BA31DE"/>
    <w:lvl w:ilvl="0" w:tplc="93E2BD5C">
      <w:start w:val="1"/>
      <w:numFmt w:val="bullet"/>
      <w:lvlText w:val=""/>
      <w:lvlJc w:val="left"/>
      <w:pPr>
        <w:ind w:left="720" w:hanging="360"/>
      </w:pPr>
      <w:rPr>
        <w:rFonts w:ascii="Symbol" w:hAnsi="Symbol"/>
      </w:rPr>
    </w:lvl>
    <w:lvl w:ilvl="1" w:tplc="F916661C">
      <w:start w:val="1"/>
      <w:numFmt w:val="bullet"/>
      <w:lvlText w:val=""/>
      <w:lvlJc w:val="left"/>
      <w:pPr>
        <w:ind w:left="720" w:hanging="360"/>
      </w:pPr>
      <w:rPr>
        <w:rFonts w:ascii="Symbol" w:hAnsi="Symbol"/>
      </w:rPr>
    </w:lvl>
    <w:lvl w:ilvl="2" w:tplc="CEA06E5C">
      <w:start w:val="1"/>
      <w:numFmt w:val="bullet"/>
      <w:lvlText w:val=""/>
      <w:lvlJc w:val="left"/>
      <w:pPr>
        <w:ind w:left="720" w:hanging="360"/>
      </w:pPr>
      <w:rPr>
        <w:rFonts w:ascii="Symbol" w:hAnsi="Symbol"/>
      </w:rPr>
    </w:lvl>
    <w:lvl w:ilvl="3" w:tplc="416AEE4C">
      <w:start w:val="1"/>
      <w:numFmt w:val="bullet"/>
      <w:lvlText w:val=""/>
      <w:lvlJc w:val="left"/>
      <w:pPr>
        <w:ind w:left="720" w:hanging="360"/>
      </w:pPr>
      <w:rPr>
        <w:rFonts w:ascii="Symbol" w:hAnsi="Symbol"/>
      </w:rPr>
    </w:lvl>
    <w:lvl w:ilvl="4" w:tplc="976C95B6">
      <w:start w:val="1"/>
      <w:numFmt w:val="bullet"/>
      <w:lvlText w:val=""/>
      <w:lvlJc w:val="left"/>
      <w:pPr>
        <w:ind w:left="720" w:hanging="360"/>
      </w:pPr>
      <w:rPr>
        <w:rFonts w:ascii="Symbol" w:hAnsi="Symbol"/>
      </w:rPr>
    </w:lvl>
    <w:lvl w:ilvl="5" w:tplc="E466B98C">
      <w:start w:val="1"/>
      <w:numFmt w:val="bullet"/>
      <w:lvlText w:val=""/>
      <w:lvlJc w:val="left"/>
      <w:pPr>
        <w:ind w:left="720" w:hanging="360"/>
      </w:pPr>
      <w:rPr>
        <w:rFonts w:ascii="Symbol" w:hAnsi="Symbol"/>
      </w:rPr>
    </w:lvl>
    <w:lvl w:ilvl="6" w:tplc="D0AE2B3A">
      <w:start w:val="1"/>
      <w:numFmt w:val="bullet"/>
      <w:lvlText w:val=""/>
      <w:lvlJc w:val="left"/>
      <w:pPr>
        <w:ind w:left="720" w:hanging="360"/>
      </w:pPr>
      <w:rPr>
        <w:rFonts w:ascii="Symbol" w:hAnsi="Symbol"/>
      </w:rPr>
    </w:lvl>
    <w:lvl w:ilvl="7" w:tplc="CD1054C2">
      <w:start w:val="1"/>
      <w:numFmt w:val="bullet"/>
      <w:lvlText w:val=""/>
      <w:lvlJc w:val="left"/>
      <w:pPr>
        <w:ind w:left="720" w:hanging="360"/>
      </w:pPr>
      <w:rPr>
        <w:rFonts w:ascii="Symbol" w:hAnsi="Symbol"/>
      </w:rPr>
    </w:lvl>
    <w:lvl w:ilvl="8" w:tplc="F28EDE92">
      <w:start w:val="1"/>
      <w:numFmt w:val="bullet"/>
      <w:lvlText w:val=""/>
      <w:lvlJc w:val="left"/>
      <w:pPr>
        <w:ind w:left="720" w:hanging="360"/>
      </w:pPr>
      <w:rPr>
        <w:rFonts w:ascii="Symbol" w:hAnsi="Symbol"/>
      </w:rPr>
    </w:lvl>
  </w:abstractNum>
  <w:abstractNum w:abstractNumId="7" w15:restartNumberingAfterBreak="0">
    <w:nsid w:val="0E9108CD"/>
    <w:multiLevelType w:val="hybridMultilevel"/>
    <w:tmpl w:val="453C7DB0"/>
    <w:lvl w:ilvl="0" w:tplc="3E6C3274">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B6B64"/>
    <w:multiLevelType w:val="multilevel"/>
    <w:tmpl w:val="3F12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0122C67"/>
    <w:multiLevelType w:val="multilevel"/>
    <w:tmpl w:val="30F4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477BD8"/>
    <w:multiLevelType w:val="hybridMultilevel"/>
    <w:tmpl w:val="DF2666BC"/>
    <w:lvl w:ilvl="0" w:tplc="BB042AA2">
      <w:start w:val="1"/>
      <w:numFmt w:val="bullet"/>
      <w:lvlText w:val=""/>
      <w:lvlJc w:val="left"/>
      <w:pPr>
        <w:ind w:left="720" w:hanging="360"/>
      </w:pPr>
      <w:rPr>
        <w:rFonts w:ascii="Symbol" w:hAnsi="Symbol"/>
      </w:rPr>
    </w:lvl>
    <w:lvl w:ilvl="1" w:tplc="CE507A2C">
      <w:start w:val="1"/>
      <w:numFmt w:val="bullet"/>
      <w:lvlText w:val=""/>
      <w:lvlJc w:val="left"/>
      <w:pPr>
        <w:ind w:left="720" w:hanging="360"/>
      </w:pPr>
      <w:rPr>
        <w:rFonts w:ascii="Symbol" w:hAnsi="Symbol"/>
      </w:rPr>
    </w:lvl>
    <w:lvl w:ilvl="2" w:tplc="4782A8BA">
      <w:start w:val="1"/>
      <w:numFmt w:val="bullet"/>
      <w:lvlText w:val=""/>
      <w:lvlJc w:val="left"/>
      <w:pPr>
        <w:ind w:left="720" w:hanging="360"/>
      </w:pPr>
      <w:rPr>
        <w:rFonts w:ascii="Symbol" w:hAnsi="Symbol"/>
      </w:rPr>
    </w:lvl>
    <w:lvl w:ilvl="3" w:tplc="56928532">
      <w:start w:val="1"/>
      <w:numFmt w:val="bullet"/>
      <w:lvlText w:val=""/>
      <w:lvlJc w:val="left"/>
      <w:pPr>
        <w:ind w:left="720" w:hanging="360"/>
      </w:pPr>
      <w:rPr>
        <w:rFonts w:ascii="Symbol" w:hAnsi="Symbol"/>
      </w:rPr>
    </w:lvl>
    <w:lvl w:ilvl="4" w:tplc="6D70C1C4">
      <w:start w:val="1"/>
      <w:numFmt w:val="bullet"/>
      <w:lvlText w:val=""/>
      <w:lvlJc w:val="left"/>
      <w:pPr>
        <w:ind w:left="720" w:hanging="360"/>
      </w:pPr>
      <w:rPr>
        <w:rFonts w:ascii="Symbol" w:hAnsi="Symbol"/>
      </w:rPr>
    </w:lvl>
    <w:lvl w:ilvl="5" w:tplc="11F8A534">
      <w:start w:val="1"/>
      <w:numFmt w:val="bullet"/>
      <w:lvlText w:val=""/>
      <w:lvlJc w:val="left"/>
      <w:pPr>
        <w:ind w:left="720" w:hanging="360"/>
      </w:pPr>
      <w:rPr>
        <w:rFonts w:ascii="Symbol" w:hAnsi="Symbol"/>
      </w:rPr>
    </w:lvl>
    <w:lvl w:ilvl="6" w:tplc="3F7CC22A">
      <w:start w:val="1"/>
      <w:numFmt w:val="bullet"/>
      <w:lvlText w:val=""/>
      <w:lvlJc w:val="left"/>
      <w:pPr>
        <w:ind w:left="720" w:hanging="360"/>
      </w:pPr>
      <w:rPr>
        <w:rFonts w:ascii="Symbol" w:hAnsi="Symbol"/>
      </w:rPr>
    </w:lvl>
    <w:lvl w:ilvl="7" w:tplc="6F940D0C">
      <w:start w:val="1"/>
      <w:numFmt w:val="bullet"/>
      <w:lvlText w:val=""/>
      <w:lvlJc w:val="left"/>
      <w:pPr>
        <w:ind w:left="720" w:hanging="360"/>
      </w:pPr>
      <w:rPr>
        <w:rFonts w:ascii="Symbol" w:hAnsi="Symbol"/>
      </w:rPr>
    </w:lvl>
    <w:lvl w:ilvl="8" w:tplc="098C8B34">
      <w:start w:val="1"/>
      <w:numFmt w:val="bullet"/>
      <w:lvlText w:val=""/>
      <w:lvlJc w:val="left"/>
      <w:pPr>
        <w:ind w:left="720" w:hanging="360"/>
      </w:pPr>
      <w:rPr>
        <w:rFonts w:ascii="Symbol" w:hAnsi="Symbol"/>
      </w:rPr>
    </w:lvl>
  </w:abstractNum>
  <w:abstractNum w:abstractNumId="12" w15:restartNumberingAfterBreak="0">
    <w:nsid w:val="139E484F"/>
    <w:multiLevelType w:val="hybridMultilevel"/>
    <w:tmpl w:val="7BE68302"/>
    <w:lvl w:ilvl="0" w:tplc="7F96199C">
      <w:start w:val="1"/>
      <w:numFmt w:val="bullet"/>
      <w:lvlText w:val=""/>
      <w:lvlJc w:val="left"/>
      <w:pPr>
        <w:ind w:left="720" w:hanging="360"/>
      </w:pPr>
      <w:rPr>
        <w:rFonts w:ascii="Symbol" w:hAnsi="Symbol"/>
      </w:rPr>
    </w:lvl>
    <w:lvl w:ilvl="1" w:tplc="FE245EFC">
      <w:start w:val="1"/>
      <w:numFmt w:val="bullet"/>
      <w:lvlText w:val=""/>
      <w:lvlJc w:val="left"/>
      <w:pPr>
        <w:ind w:left="720" w:hanging="360"/>
      </w:pPr>
      <w:rPr>
        <w:rFonts w:ascii="Symbol" w:hAnsi="Symbol"/>
      </w:rPr>
    </w:lvl>
    <w:lvl w:ilvl="2" w:tplc="452C30E6">
      <w:start w:val="1"/>
      <w:numFmt w:val="bullet"/>
      <w:lvlText w:val=""/>
      <w:lvlJc w:val="left"/>
      <w:pPr>
        <w:ind w:left="720" w:hanging="360"/>
      </w:pPr>
      <w:rPr>
        <w:rFonts w:ascii="Symbol" w:hAnsi="Symbol"/>
      </w:rPr>
    </w:lvl>
    <w:lvl w:ilvl="3" w:tplc="35F8CCC2">
      <w:start w:val="1"/>
      <w:numFmt w:val="bullet"/>
      <w:lvlText w:val=""/>
      <w:lvlJc w:val="left"/>
      <w:pPr>
        <w:ind w:left="720" w:hanging="360"/>
      </w:pPr>
      <w:rPr>
        <w:rFonts w:ascii="Symbol" w:hAnsi="Symbol"/>
      </w:rPr>
    </w:lvl>
    <w:lvl w:ilvl="4" w:tplc="DE32D52A">
      <w:start w:val="1"/>
      <w:numFmt w:val="bullet"/>
      <w:lvlText w:val=""/>
      <w:lvlJc w:val="left"/>
      <w:pPr>
        <w:ind w:left="720" w:hanging="360"/>
      </w:pPr>
      <w:rPr>
        <w:rFonts w:ascii="Symbol" w:hAnsi="Symbol"/>
      </w:rPr>
    </w:lvl>
    <w:lvl w:ilvl="5" w:tplc="447C9DBC">
      <w:start w:val="1"/>
      <w:numFmt w:val="bullet"/>
      <w:lvlText w:val=""/>
      <w:lvlJc w:val="left"/>
      <w:pPr>
        <w:ind w:left="720" w:hanging="360"/>
      </w:pPr>
      <w:rPr>
        <w:rFonts w:ascii="Symbol" w:hAnsi="Symbol"/>
      </w:rPr>
    </w:lvl>
    <w:lvl w:ilvl="6" w:tplc="B240BA44">
      <w:start w:val="1"/>
      <w:numFmt w:val="bullet"/>
      <w:lvlText w:val=""/>
      <w:lvlJc w:val="left"/>
      <w:pPr>
        <w:ind w:left="720" w:hanging="360"/>
      </w:pPr>
      <w:rPr>
        <w:rFonts w:ascii="Symbol" w:hAnsi="Symbol"/>
      </w:rPr>
    </w:lvl>
    <w:lvl w:ilvl="7" w:tplc="5CFE058C">
      <w:start w:val="1"/>
      <w:numFmt w:val="bullet"/>
      <w:lvlText w:val=""/>
      <w:lvlJc w:val="left"/>
      <w:pPr>
        <w:ind w:left="720" w:hanging="360"/>
      </w:pPr>
      <w:rPr>
        <w:rFonts w:ascii="Symbol" w:hAnsi="Symbol"/>
      </w:rPr>
    </w:lvl>
    <w:lvl w:ilvl="8" w:tplc="2E4C664A">
      <w:start w:val="1"/>
      <w:numFmt w:val="bullet"/>
      <w:lvlText w:val=""/>
      <w:lvlJc w:val="left"/>
      <w:pPr>
        <w:ind w:left="720" w:hanging="360"/>
      </w:pPr>
      <w:rPr>
        <w:rFonts w:ascii="Symbol" w:hAnsi="Symbol"/>
      </w:rPr>
    </w:lvl>
  </w:abstractNum>
  <w:abstractNum w:abstractNumId="13" w15:restartNumberingAfterBreak="0">
    <w:nsid w:val="13F37F85"/>
    <w:multiLevelType w:val="hybridMultilevel"/>
    <w:tmpl w:val="AAB20ABA"/>
    <w:lvl w:ilvl="0" w:tplc="D68E84D0">
      <w:start w:val="1"/>
      <w:numFmt w:val="bullet"/>
      <w:lvlText w:val=""/>
      <w:lvlJc w:val="left"/>
      <w:pPr>
        <w:ind w:left="720" w:hanging="360"/>
      </w:pPr>
      <w:rPr>
        <w:rFonts w:ascii="Symbol" w:hAnsi="Symbol"/>
      </w:rPr>
    </w:lvl>
    <w:lvl w:ilvl="1" w:tplc="8DEC08C8">
      <w:start w:val="1"/>
      <w:numFmt w:val="bullet"/>
      <w:lvlText w:val=""/>
      <w:lvlJc w:val="left"/>
      <w:pPr>
        <w:ind w:left="720" w:hanging="360"/>
      </w:pPr>
      <w:rPr>
        <w:rFonts w:ascii="Symbol" w:hAnsi="Symbol"/>
      </w:rPr>
    </w:lvl>
    <w:lvl w:ilvl="2" w:tplc="467A2DCE">
      <w:start w:val="1"/>
      <w:numFmt w:val="bullet"/>
      <w:lvlText w:val=""/>
      <w:lvlJc w:val="left"/>
      <w:pPr>
        <w:ind w:left="720" w:hanging="360"/>
      </w:pPr>
      <w:rPr>
        <w:rFonts w:ascii="Symbol" w:hAnsi="Symbol"/>
      </w:rPr>
    </w:lvl>
    <w:lvl w:ilvl="3" w:tplc="A87058A4">
      <w:start w:val="1"/>
      <w:numFmt w:val="bullet"/>
      <w:lvlText w:val=""/>
      <w:lvlJc w:val="left"/>
      <w:pPr>
        <w:ind w:left="720" w:hanging="360"/>
      </w:pPr>
      <w:rPr>
        <w:rFonts w:ascii="Symbol" w:hAnsi="Symbol"/>
      </w:rPr>
    </w:lvl>
    <w:lvl w:ilvl="4" w:tplc="230016F6">
      <w:start w:val="1"/>
      <w:numFmt w:val="bullet"/>
      <w:lvlText w:val=""/>
      <w:lvlJc w:val="left"/>
      <w:pPr>
        <w:ind w:left="720" w:hanging="360"/>
      </w:pPr>
      <w:rPr>
        <w:rFonts w:ascii="Symbol" w:hAnsi="Symbol"/>
      </w:rPr>
    </w:lvl>
    <w:lvl w:ilvl="5" w:tplc="33CCA244">
      <w:start w:val="1"/>
      <w:numFmt w:val="bullet"/>
      <w:lvlText w:val=""/>
      <w:lvlJc w:val="left"/>
      <w:pPr>
        <w:ind w:left="720" w:hanging="360"/>
      </w:pPr>
      <w:rPr>
        <w:rFonts w:ascii="Symbol" w:hAnsi="Symbol"/>
      </w:rPr>
    </w:lvl>
    <w:lvl w:ilvl="6" w:tplc="8B4C52B2">
      <w:start w:val="1"/>
      <w:numFmt w:val="bullet"/>
      <w:lvlText w:val=""/>
      <w:lvlJc w:val="left"/>
      <w:pPr>
        <w:ind w:left="720" w:hanging="360"/>
      </w:pPr>
      <w:rPr>
        <w:rFonts w:ascii="Symbol" w:hAnsi="Symbol"/>
      </w:rPr>
    </w:lvl>
    <w:lvl w:ilvl="7" w:tplc="F51CCAF0">
      <w:start w:val="1"/>
      <w:numFmt w:val="bullet"/>
      <w:lvlText w:val=""/>
      <w:lvlJc w:val="left"/>
      <w:pPr>
        <w:ind w:left="720" w:hanging="360"/>
      </w:pPr>
      <w:rPr>
        <w:rFonts w:ascii="Symbol" w:hAnsi="Symbol"/>
      </w:rPr>
    </w:lvl>
    <w:lvl w:ilvl="8" w:tplc="FE7469D6">
      <w:start w:val="1"/>
      <w:numFmt w:val="bullet"/>
      <w:lvlText w:val=""/>
      <w:lvlJc w:val="left"/>
      <w:pPr>
        <w:ind w:left="720" w:hanging="360"/>
      </w:pPr>
      <w:rPr>
        <w:rFonts w:ascii="Symbol" w:hAnsi="Symbol"/>
      </w:rPr>
    </w:lvl>
  </w:abstractNum>
  <w:abstractNum w:abstractNumId="1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1DD05D02"/>
    <w:multiLevelType w:val="multilevel"/>
    <w:tmpl w:val="CF06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66551E"/>
    <w:multiLevelType w:val="hybridMultilevel"/>
    <w:tmpl w:val="3F169F72"/>
    <w:lvl w:ilvl="0" w:tplc="4260E84A">
      <w:start w:val="1"/>
      <w:numFmt w:val="bullet"/>
      <w:lvlText w:val=""/>
      <w:lvlJc w:val="left"/>
      <w:pPr>
        <w:ind w:left="720" w:hanging="360"/>
      </w:pPr>
      <w:rPr>
        <w:rFonts w:ascii="Symbol" w:hAnsi="Symbol"/>
      </w:rPr>
    </w:lvl>
    <w:lvl w:ilvl="1" w:tplc="1E0E5E44">
      <w:start w:val="1"/>
      <w:numFmt w:val="bullet"/>
      <w:lvlText w:val=""/>
      <w:lvlJc w:val="left"/>
      <w:pPr>
        <w:ind w:left="720" w:hanging="360"/>
      </w:pPr>
      <w:rPr>
        <w:rFonts w:ascii="Symbol" w:hAnsi="Symbol"/>
      </w:rPr>
    </w:lvl>
    <w:lvl w:ilvl="2" w:tplc="E1480488">
      <w:start w:val="1"/>
      <w:numFmt w:val="bullet"/>
      <w:lvlText w:val=""/>
      <w:lvlJc w:val="left"/>
      <w:pPr>
        <w:ind w:left="720" w:hanging="360"/>
      </w:pPr>
      <w:rPr>
        <w:rFonts w:ascii="Symbol" w:hAnsi="Symbol"/>
      </w:rPr>
    </w:lvl>
    <w:lvl w:ilvl="3" w:tplc="542A5008">
      <w:start w:val="1"/>
      <w:numFmt w:val="bullet"/>
      <w:lvlText w:val=""/>
      <w:lvlJc w:val="left"/>
      <w:pPr>
        <w:ind w:left="720" w:hanging="360"/>
      </w:pPr>
      <w:rPr>
        <w:rFonts w:ascii="Symbol" w:hAnsi="Symbol"/>
      </w:rPr>
    </w:lvl>
    <w:lvl w:ilvl="4" w:tplc="C016AEAE">
      <w:start w:val="1"/>
      <w:numFmt w:val="bullet"/>
      <w:lvlText w:val=""/>
      <w:lvlJc w:val="left"/>
      <w:pPr>
        <w:ind w:left="720" w:hanging="360"/>
      </w:pPr>
      <w:rPr>
        <w:rFonts w:ascii="Symbol" w:hAnsi="Symbol"/>
      </w:rPr>
    </w:lvl>
    <w:lvl w:ilvl="5" w:tplc="DA94F1FC">
      <w:start w:val="1"/>
      <w:numFmt w:val="bullet"/>
      <w:lvlText w:val=""/>
      <w:lvlJc w:val="left"/>
      <w:pPr>
        <w:ind w:left="720" w:hanging="360"/>
      </w:pPr>
      <w:rPr>
        <w:rFonts w:ascii="Symbol" w:hAnsi="Symbol"/>
      </w:rPr>
    </w:lvl>
    <w:lvl w:ilvl="6" w:tplc="ED50A000">
      <w:start w:val="1"/>
      <w:numFmt w:val="bullet"/>
      <w:lvlText w:val=""/>
      <w:lvlJc w:val="left"/>
      <w:pPr>
        <w:ind w:left="720" w:hanging="360"/>
      </w:pPr>
      <w:rPr>
        <w:rFonts w:ascii="Symbol" w:hAnsi="Symbol"/>
      </w:rPr>
    </w:lvl>
    <w:lvl w:ilvl="7" w:tplc="9CE228EE">
      <w:start w:val="1"/>
      <w:numFmt w:val="bullet"/>
      <w:lvlText w:val=""/>
      <w:lvlJc w:val="left"/>
      <w:pPr>
        <w:ind w:left="720" w:hanging="360"/>
      </w:pPr>
      <w:rPr>
        <w:rFonts w:ascii="Symbol" w:hAnsi="Symbol"/>
      </w:rPr>
    </w:lvl>
    <w:lvl w:ilvl="8" w:tplc="7AEC4DFC">
      <w:start w:val="1"/>
      <w:numFmt w:val="bullet"/>
      <w:lvlText w:val=""/>
      <w:lvlJc w:val="left"/>
      <w:pPr>
        <w:ind w:left="720" w:hanging="360"/>
      </w:pPr>
      <w:rPr>
        <w:rFonts w:ascii="Symbol" w:hAnsi="Symbol"/>
      </w:rPr>
    </w:lvl>
  </w:abstractNum>
  <w:abstractNum w:abstractNumId="18" w15:restartNumberingAfterBreak="0">
    <w:nsid w:val="2017393E"/>
    <w:multiLevelType w:val="multilevel"/>
    <w:tmpl w:val="62AC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243944CB"/>
    <w:multiLevelType w:val="hybridMultilevel"/>
    <w:tmpl w:val="C6B00882"/>
    <w:lvl w:ilvl="0" w:tplc="D6D06306">
      <w:start w:val="1"/>
      <w:numFmt w:val="bullet"/>
      <w:lvlText w:val=""/>
      <w:lvlJc w:val="left"/>
      <w:pPr>
        <w:ind w:left="720" w:hanging="360"/>
      </w:pPr>
      <w:rPr>
        <w:rFonts w:ascii="Symbol" w:hAnsi="Symbol"/>
      </w:rPr>
    </w:lvl>
    <w:lvl w:ilvl="1" w:tplc="7446394A">
      <w:start w:val="1"/>
      <w:numFmt w:val="bullet"/>
      <w:lvlText w:val=""/>
      <w:lvlJc w:val="left"/>
      <w:pPr>
        <w:ind w:left="720" w:hanging="360"/>
      </w:pPr>
      <w:rPr>
        <w:rFonts w:ascii="Symbol" w:hAnsi="Symbol"/>
      </w:rPr>
    </w:lvl>
    <w:lvl w:ilvl="2" w:tplc="364A45A6">
      <w:start w:val="1"/>
      <w:numFmt w:val="bullet"/>
      <w:lvlText w:val=""/>
      <w:lvlJc w:val="left"/>
      <w:pPr>
        <w:ind w:left="720" w:hanging="360"/>
      </w:pPr>
      <w:rPr>
        <w:rFonts w:ascii="Symbol" w:hAnsi="Symbol"/>
      </w:rPr>
    </w:lvl>
    <w:lvl w:ilvl="3" w:tplc="3D3EE89A">
      <w:start w:val="1"/>
      <w:numFmt w:val="bullet"/>
      <w:lvlText w:val=""/>
      <w:lvlJc w:val="left"/>
      <w:pPr>
        <w:ind w:left="720" w:hanging="360"/>
      </w:pPr>
      <w:rPr>
        <w:rFonts w:ascii="Symbol" w:hAnsi="Symbol"/>
      </w:rPr>
    </w:lvl>
    <w:lvl w:ilvl="4" w:tplc="E1C4AE12">
      <w:start w:val="1"/>
      <w:numFmt w:val="bullet"/>
      <w:lvlText w:val=""/>
      <w:lvlJc w:val="left"/>
      <w:pPr>
        <w:ind w:left="720" w:hanging="360"/>
      </w:pPr>
      <w:rPr>
        <w:rFonts w:ascii="Symbol" w:hAnsi="Symbol"/>
      </w:rPr>
    </w:lvl>
    <w:lvl w:ilvl="5" w:tplc="7DF6D6D2">
      <w:start w:val="1"/>
      <w:numFmt w:val="bullet"/>
      <w:lvlText w:val=""/>
      <w:lvlJc w:val="left"/>
      <w:pPr>
        <w:ind w:left="720" w:hanging="360"/>
      </w:pPr>
      <w:rPr>
        <w:rFonts w:ascii="Symbol" w:hAnsi="Symbol"/>
      </w:rPr>
    </w:lvl>
    <w:lvl w:ilvl="6" w:tplc="DC80B6A2">
      <w:start w:val="1"/>
      <w:numFmt w:val="bullet"/>
      <w:lvlText w:val=""/>
      <w:lvlJc w:val="left"/>
      <w:pPr>
        <w:ind w:left="720" w:hanging="360"/>
      </w:pPr>
      <w:rPr>
        <w:rFonts w:ascii="Symbol" w:hAnsi="Symbol"/>
      </w:rPr>
    </w:lvl>
    <w:lvl w:ilvl="7" w:tplc="D72C7012">
      <w:start w:val="1"/>
      <w:numFmt w:val="bullet"/>
      <w:lvlText w:val=""/>
      <w:lvlJc w:val="left"/>
      <w:pPr>
        <w:ind w:left="720" w:hanging="360"/>
      </w:pPr>
      <w:rPr>
        <w:rFonts w:ascii="Symbol" w:hAnsi="Symbol"/>
      </w:rPr>
    </w:lvl>
    <w:lvl w:ilvl="8" w:tplc="ED5C6BCC">
      <w:start w:val="1"/>
      <w:numFmt w:val="bullet"/>
      <w:lvlText w:val=""/>
      <w:lvlJc w:val="left"/>
      <w:pPr>
        <w:ind w:left="720" w:hanging="360"/>
      </w:pPr>
      <w:rPr>
        <w:rFonts w:ascii="Symbol" w:hAnsi="Symbol"/>
      </w:rPr>
    </w:lvl>
  </w:abstractNum>
  <w:abstractNum w:abstractNumId="21" w15:restartNumberingAfterBreak="0">
    <w:nsid w:val="2A7F1606"/>
    <w:multiLevelType w:val="hybridMultilevel"/>
    <w:tmpl w:val="2EBE8C1E"/>
    <w:lvl w:ilvl="0" w:tplc="BDD8A040">
      <w:start w:val="1"/>
      <w:numFmt w:val="bullet"/>
      <w:lvlText w:val=""/>
      <w:lvlJc w:val="left"/>
      <w:pPr>
        <w:ind w:left="720" w:hanging="360"/>
      </w:pPr>
      <w:rPr>
        <w:rFonts w:ascii="Symbol" w:hAnsi="Symbol"/>
      </w:rPr>
    </w:lvl>
    <w:lvl w:ilvl="1" w:tplc="5B0A0F6A">
      <w:start w:val="1"/>
      <w:numFmt w:val="bullet"/>
      <w:lvlText w:val=""/>
      <w:lvlJc w:val="left"/>
      <w:pPr>
        <w:ind w:left="720" w:hanging="360"/>
      </w:pPr>
      <w:rPr>
        <w:rFonts w:ascii="Symbol" w:hAnsi="Symbol"/>
      </w:rPr>
    </w:lvl>
    <w:lvl w:ilvl="2" w:tplc="D52485D6">
      <w:start w:val="1"/>
      <w:numFmt w:val="bullet"/>
      <w:lvlText w:val=""/>
      <w:lvlJc w:val="left"/>
      <w:pPr>
        <w:ind w:left="720" w:hanging="360"/>
      </w:pPr>
      <w:rPr>
        <w:rFonts w:ascii="Symbol" w:hAnsi="Symbol"/>
      </w:rPr>
    </w:lvl>
    <w:lvl w:ilvl="3" w:tplc="F4C27D02">
      <w:start w:val="1"/>
      <w:numFmt w:val="bullet"/>
      <w:lvlText w:val=""/>
      <w:lvlJc w:val="left"/>
      <w:pPr>
        <w:ind w:left="720" w:hanging="360"/>
      </w:pPr>
      <w:rPr>
        <w:rFonts w:ascii="Symbol" w:hAnsi="Symbol"/>
      </w:rPr>
    </w:lvl>
    <w:lvl w:ilvl="4" w:tplc="14682AC0">
      <w:start w:val="1"/>
      <w:numFmt w:val="bullet"/>
      <w:lvlText w:val=""/>
      <w:lvlJc w:val="left"/>
      <w:pPr>
        <w:ind w:left="720" w:hanging="360"/>
      </w:pPr>
      <w:rPr>
        <w:rFonts w:ascii="Symbol" w:hAnsi="Symbol"/>
      </w:rPr>
    </w:lvl>
    <w:lvl w:ilvl="5" w:tplc="4C54C5C4">
      <w:start w:val="1"/>
      <w:numFmt w:val="bullet"/>
      <w:lvlText w:val=""/>
      <w:lvlJc w:val="left"/>
      <w:pPr>
        <w:ind w:left="720" w:hanging="360"/>
      </w:pPr>
      <w:rPr>
        <w:rFonts w:ascii="Symbol" w:hAnsi="Symbol"/>
      </w:rPr>
    </w:lvl>
    <w:lvl w:ilvl="6" w:tplc="72DE4298">
      <w:start w:val="1"/>
      <w:numFmt w:val="bullet"/>
      <w:lvlText w:val=""/>
      <w:lvlJc w:val="left"/>
      <w:pPr>
        <w:ind w:left="720" w:hanging="360"/>
      </w:pPr>
      <w:rPr>
        <w:rFonts w:ascii="Symbol" w:hAnsi="Symbol"/>
      </w:rPr>
    </w:lvl>
    <w:lvl w:ilvl="7" w:tplc="57084B46">
      <w:start w:val="1"/>
      <w:numFmt w:val="bullet"/>
      <w:lvlText w:val=""/>
      <w:lvlJc w:val="left"/>
      <w:pPr>
        <w:ind w:left="720" w:hanging="360"/>
      </w:pPr>
      <w:rPr>
        <w:rFonts w:ascii="Symbol" w:hAnsi="Symbol"/>
      </w:rPr>
    </w:lvl>
    <w:lvl w:ilvl="8" w:tplc="463AA7B2">
      <w:start w:val="1"/>
      <w:numFmt w:val="bullet"/>
      <w:lvlText w:val=""/>
      <w:lvlJc w:val="left"/>
      <w:pPr>
        <w:ind w:left="720" w:hanging="360"/>
      </w:pPr>
      <w:rPr>
        <w:rFonts w:ascii="Symbol" w:hAnsi="Symbol"/>
      </w:rPr>
    </w:lvl>
  </w:abstractNum>
  <w:abstractNum w:abstractNumId="22" w15:restartNumberingAfterBreak="0">
    <w:nsid w:val="2E3619B8"/>
    <w:multiLevelType w:val="hybridMultilevel"/>
    <w:tmpl w:val="C1403362"/>
    <w:lvl w:ilvl="0" w:tplc="BCD6DD2C">
      <w:start w:val="1"/>
      <w:numFmt w:val="bullet"/>
      <w:lvlText w:val=""/>
      <w:lvlJc w:val="left"/>
      <w:pPr>
        <w:ind w:left="720" w:hanging="360"/>
      </w:pPr>
      <w:rPr>
        <w:rFonts w:ascii="Symbol" w:hAnsi="Symbol"/>
      </w:rPr>
    </w:lvl>
    <w:lvl w:ilvl="1" w:tplc="A1801F84">
      <w:start w:val="1"/>
      <w:numFmt w:val="bullet"/>
      <w:lvlText w:val=""/>
      <w:lvlJc w:val="left"/>
      <w:pPr>
        <w:ind w:left="720" w:hanging="360"/>
      </w:pPr>
      <w:rPr>
        <w:rFonts w:ascii="Symbol" w:hAnsi="Symbol"/>
      </w:rPr>
    </w:lvl>
    <w:lvl w:ilvl="2" w:tplc="8512655C">
      <w:start w:val="1"/>
      <w:numFmt w:val="bullet"/>
      <w:lvlText w:val=""/>
      <w:lvlJc w:val="left"/>
      <w:pPr>
        <w:ind w:left="720" w:hanging="360"/>
      </w:pPr>
      <w:rPr>
        <w:rFonts w:ascii="Symbol" w:hAnsi="Symbol"/>
      </w:rPr>
    </w:lvl>
    <w:lvl w:ilvl="3" w:tplc="E938AC32">
      <w:start w:val="1"/>
      <w:numFmt w:val="bullet"/>
      <w:lvlText w:val=""/>
      <w:lvlJc w:val="left"/>
      <w:pPr>
        <w:ind w:left="720" w:hanging="360"/>
      </w:pPr>
      <w:rPr>
        <w:rFonts w:ascii="Symbol" w:hAnsi="Symbol"/>
      </w:rPr>
    </w:lvl>
    <w:lvl w:ilvl="4" w:tplc="7C7AB424">
      <w:start w:val="1"/>
      <w:numFmt w:val="bullet"/>
      <w:lvlText w:val=""/>
      <w:lvlJc w:val="left"/>
      <w:pPr>
        <w:ind w:left="720" w:hanging="360"/>
      </w:pPr>
      <w:rPr>
        <w:rFonts w:ascii="Symbol" w:hAnsi="Symbol"/>
      </w:rPr>
    </w:lvl>
    <w:lvl w:ilvl="5" w:tplc="79285DB6">
      <w:start w:val="1"/>
      <w:numFmt w:val="bullet"/>
      <w:lvlText w:val=""/>
      <w:lvlJc w:val="left"/>
      <w:pPr>
        <w:ind w:left="720" w:hanging="360"/>
      </w:pPr>
      <w:rPr>
        <w:rFonts w:ascii="Symbol" w:hAnsi="Symbol"/>
      </w:rPr>
    </w:lvl>
    <w:lvl w:ilvl="6" w:tplc="A34C3B18">
      <w:start w:val="1"/>
      <w:numFmt w:val="bullet"/>
      <w:lvlText w:val=""/>
      <w:lvlJc w:val="left"/>
      <w:pPr>
        <w:ind w:left="720" w:hanging="360"/>
      </w:pPr>
      <w:rPr>
        <w:rFonts w:ascii="Symbol" w:hAnsi="Symbol"/>
      </w:rPr>
    </w:lvl>
    <w:lvl w:ilvl="7" w:tplc="539E26D4">
      <w:start w:val="1"/>
      <w:numFmt w:val="bullet"/>
      <w:lvlText w:val=""/>
      <w:lvlJc w:val="left"/>
      <w:pPr>
        <w:ind w:left="720" w:hanging="360"/>
      </w:pPr>
      <w:rPr>
        <w:rFonts w:ascii="Symbol" w:hAnsi="Symbol"/>
      </w:rPr>
    </w:lvl>
    <w:lvl w:ilvl="8" w:tplc="FEB4015E">
      <w:start w:val="1"/>
      <w:numFmt w:val="bullet"/>
      <w:lvlText w:val=""/>
      <w:lvlJc w:val="left"/>
      <w:pPr>
        <w:ind w:left="720" w:hanging="360"/>
      </w:pPr>
      <w:rPr>
        <w:rFonts w:ascii="Symbol" w:hAnsi="Symbol"/>
      </w:rPr>
    </w:lvl>
  </w:abstractNum>
  <w:abstractNum w:abstractNumId="23" w15:restartNumberingAfterBreak="0">
    <w:nsid w:val="37003CDA"/>
    <w:multiLevelType w:val="multilevel"/>
    <w:tmpl w:val="9044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CB4E78"/>
    <w:multiLevelType w:val="multilevel"/>
    <w:tmpl w:val="2022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143FBD"/>
    <w:multiLevelType w:val="hybridMultilevel"/>
    <w:tmpl w:val="0F1C1AD6"/>
    <w:lvl w:ilvl="0" w:tplc="0CFA5912">
      <w:start w:val="1"/>
      <w:numFmt w:val="bullet"/>
      <w:lvlText w:val=""/>
      <w:lvlJc w:val="left"/>
      <w:pPr>
        <w:ind w:left="720" w:hanging="360"/>
      </w:pPr>
      <w:rPr>
        <w:rFonts w:ascii="Symbol" w:hAnsi="Symbol"/>
      </w:rPr>
    </w:lvl>
    <w:lvl w:ilvl="1" w:tplc="93746E34">
      <w:start w:val="1"/>
      <w:numFmt w:val="bullet"/>
      <w:lvlText w:val=""/>
      <w:lvlJc w:val="left"/>
      <w:pPr>
        <w:ind w:left="720" w:hanging="360"/>
      </w:pPr>
      <w:rPr>
        <w:rFonts w:ascii="Symbol" w:hAnsi="Symbol"/>
      </w:rPr>
    </w:lvl>
    <w:lvl w:ilvl="2" w:tplc="4FEA378E">
      <w:start w:val="1"/>
      <w:numFmt w:val="bullet"/>
      <w:lvlText w:val=""/>
      <w:lvlJc w:val="left"/>
      <w:pPr>
        <w:ind w:left="720" w:hanging="360"/>
      </w:pPr>
      <w:rPr>
        <w:rFonts w:ascii="Symbol" w:hAnsi="Symbol"/>
      </w:rPr>
    </w:lvl>
    <w:lvl w:ilvl="3" w:tplc="CB4CA95C">
      <w:start w:val="1"/>
      <w:numFmt w:val="bullet"/>
      <w:lvlText w:val=""/>
      <w:lvlJc w:val="left"/>
      <w:pPr>
        <w:ind w:left="720" w:hanging="360"/>
      </w:pPr>
      <w:rPr>
        <w:rFonts w:ascii="Symbol" w:hAnsi="Symbol"/>
      </w:rPr>
    </w:lvl>
    <w:lvl w:ilvl="4" w:tplc="B12A3CC2">
      <w:start w:val="1"/>
      <w:numFmt w:val="bullet"/>
      <w:lvlText w:val=""/>
      <w:lvlJc w:val="left"/>
      <w:pPr>
        <w:ind w:left="720" w:hanging="360"/>
      </w:pPr>
      <w:rPr>
        <w:rFonts w:ascii="Symbol" w:hAnsi="Symbol"/>
      </w:rPr>
    </w:lvl>
    <w:lvl w:ilvl="5" w:tplc="4D5E9574">
      <w:start w:val="1"/>
      <w:numFmt w:val="bullet"/>
      <w:lvlText w:val=""/>
      <w:lvlJc w:val="left"/>
      <w:pPr>
        <w:ind w:left="720" w:hanging="360"/>
      </w:pPr>
      <w:rPr>
        <w:rFonts w:ascii="Symbol" w:hAnsi="Symbol"/>
      </w:rPr>
    </w:lvl>
    <w:lvl w:ilvl="6" w:tplc="001A3E22">
      <w:start w:val="1"/>
      <w:numFmt w:val="bullet"/>
      <w:lvlText w:val=""/>
      <w:lvlJc w:val="left"/>
      <w:pPr>
        <w:ind w:left="720" w:hanging="360"/>
      </w:pPr>
      <w:rPr>
        <w:rFonts w:ascii="Symbol" w:hAnsi="Symbol"/>
      </w:rPr>
    </w:lvl>
    <w:lvl w:ilvl="7" w:tplc="2F263B72">
      <w:start w:val="1"/>
      <w:numFmt w:val="bullet"/>
      <w:lvlText w:val=""/>
      <w:lvlJc w:val="left"/>
      <w:pPr>
        <w:ind w:left="720" w:hanging="360"/>
      </w:pPr>
      <w:rPr>
        <w:rFonts w:ascii="Symbol" w:hAnsi="Symbol"/>
      </w:rPr>
    </w:lvl>
    <w:lvl w:ilvl="8" w:tplc="07F81ED6">
      <w:start w:val="1"/>
      <w:numFmt w:val="bullet"/>
      <w:lvlText w:val=""/>
      <w:lvlJc w:val="left"/>
      <w:pPr>
        <w:ind w:left="720" w:hanging="360"/>
      </w:pPr>
      <w:rPr>
        <w:rFonts w:ascii="Symbol" w:hAnsi="Symbol"/>
      </w:rPr>
    </w:lvl>
  </w:abstractNum>
  <w:abstractNum w:abstractNumId="26" w15:restartNumberingAfterBreak="0">
    <w:nsid w:val="3D150E5D"/>
    <w:multiLevelType w:val="hybridMultilevel"/>
    <w:tmpl w:val="4E82376E"/>
    <w:lvl w:ilvl="0" w:tplc="F780AE4C">
      <w:start w:val="1"/>
      <w:numFmt w:val="bullet"/>
      <w:lvlText w:val=""/>
      <w:lvlJc w:val="left"/>
      <w:pPr>
        <w:ind w:left="720" w:hanging="360"/>
      </w:pPr>
      <w:rPr>
        <w:rFonts w:ascii="Symbol" w:hAnsi="Symbol"/>
      </w:rPr>
    </w:lvl>
    <w:lvl w:ilvl="1" w:tplc="25966E78">
      <w:start w:val="1"/>
      <w:numFmt w:val="bullet"/>
      <w:lvlText w:val=""/>
      <w:lvlJc w:val="left"/>
      <w:pPr>
        <w:ind w:left="720" w:hanging="360"/>
      </w:pPr>
      <w:rPr>
        <w:rFonts w:ascii="Symbol" w:hAnsi="Symbol"/>
      </w:rPr>
    </w:lvl>
    <w:lvl w:ilvl="2" w:tplc="870C4AC0">
      <w:start w:val="1"/>
      <w:numFmt w:val="bullet"/>
      <w:lvlText w:val=""/>
      <w:lvlJc w:val="left"/>
      <w:pPr>
        <w:ind w:left="720" w:hanging="360"/>
      </w:pPr>
      <w:rPr>
        <w:rFonts w:ascii="Symbol" w:hAnsi="Symbol"/>
      </w:rPr>
    </w:lvl>
    <w:lvl w:ilvl="3" w:tplc="146A9C10">
      <w:start w:val="1"/>
      <w:numFmt w:val="bullet"/>
      <w:lvlText w:val=""/>
      <w:lvlJc w:val="left"/>
      <w:pPr>
        <w:ind w:left="720" w:hanging="360"/>
      </w:pPr>
      <w:rPr>
        <w:rFonts w:ascii="Symbol" w:hAnsi="Symbol"/>
      </w:rPr>
    </w:lvl>
    <w:lvl w:ilvl="4" w:tplc="87E619AA">
      <w:start w:val="1"/>
      <w:numFmt w:val="bullet"/>
      <w:lvlText w:val=""/>
      <w:lvlJc w:val="left"/>
      <w:pPr>
        <w:ind w:left="720" w:hanging="360"/>
      </w:pPr>
      <w:rPr>
        <w:rFonts w:ascii="Symbol" w:hAnsi="Symbol"/>
      </w:rPr>
    </w:lvl>
    <w:lvl w:ilvl="5" w:tplc="DA408B2E">
      <w:start w:val="1"/>
      <w:numFmt w:val="bullet"/>
      <w:lvlText w:val=""/>
      <w:lvlJc w:val="left"/>
      <w:pPr>
        <w:ind w:left="720" w:hanging="360"/>
      </w:pPr>
      <w:rPr>
        <w:rFonts w:ascii="Symbol" w:hAnsi="Symbol"/>
      </w:rPr>
    </w:lvl>
    <w:lvl w:ilvl="6" w:tplc="F542A67A">
      <w:start w:val="1"/>
      <w:numFmt w:val="bullet"/>
      <w:lvlText w:val=""/>
      <w:lvlJc w:val="left"/>
      <w:pPr>
        <w:ind w:left="720" w:hanging="360"/>
      </w:pPr>
      <w:rPr>
        <w:rFonts w:ascii="Symbol" w:hAnsi="Symbol"/>
      </w:rPr>
    </w:lvl>
    <w:lvl w:ilvl="7" w:tplc="024427EC">
      <w:start w:val="1"/>
      <w:numFmt w:val="bullet"/>
      <w:lvlText w:val=""/>
      <w:lvlJc w:val="left"/>
      <w:pPr>
        <w:ind w:left="720" w:hanging="360"/>
      </w:pPr>
      <w:rPr>
        <w:rFonts w:ascii="Symbol" w:hAnsi="Symbol"/>
      </w:rPr>
    </w:lvl>
    <w:lvl w:ilvl="8" w:tplc="DCFA19A8">
      <w:start w:val="1"/>
      <w:numFmt w:val="bullet"/>
      <w:lvlText w:val=""/>
      <w:lvlJc w:val="left"/>
      <w:pPr>
        <w:ind w:left="720" w:hanging="360"/>
      </w:pPr>
      <w:rPr>
        <w:rFonts w:ascii="Symbol" w:hAnsi="Symbol"/>
      </w:rPr>
    </w:lvl>
  </w:abstractNum>
  <w:abstractNum w:abstractNumId="27" w15:restartNumberingAfterBreak="0">
    <w:nsid w:val="3E4A6D42"/>
    <w:multiLevelType w:val="hybridMultilevel"/>
    <w:tmpl w:val="885A8938"/>
    <w:lvl w:ilvl="0" w:tplc="CD26A808">
      <w:start w:val="1"/>
      <w:numFmt w:val="bullet"/>
      <w:lvlText w:val=""/>
      <w:lvlJc w:val="left"/>
      <w:pPr>
        <w:ind w:left="720" w:hanging="360"/>
      </w:pPr>
      <w:rPr>
        <w:rFonts w:ascii="Symbol" w:hAnsi="Symbol"/>
      </w:rPr>
    </w:lvl>
    <w:lvl w:ilvl="1" w:tplc="CDF47DEC">
      <w:start w:val="1"/>
      <w:numFmt w:val="bullet"/>
      <w:lvlText w:val=""/>
      <w:lvlJc w:val="left"/>
      <w:pPr>
        <w:ind w:left="720" w:hanging="360"/>
      </w:pPr>
      <w:rPr>
        <w:rFonts w:ascii="Symbol" w:hAnsi="Symbol"/>
      </w:rPr>
    </w:lvl>
    <w:lvl w:ilvl="2" w:tplc="69FC41FE">
      <w:start w:val="1"/>
      <w:numFmt w:val="bullet"/>
      <w:lvlText w:val=""/>
      <w:lvlJc w:val="left"/>
      <w:pPr>
        <w:ind w:left="720" w:hanging="360"/>
      </w:pPr>
      <w:rPr>
        <w:rFonts w:ascii="Symbol" w:hAnsi="Symbol"/>
      </w:rPr>
    </w:lvl>
    <w:lvl w:ilvl="3" w:tplc="34DC4220">
      <w:start w:val="1"/>
      <w:numFmt w:val="bullet"/>
      <w:lvlText w:val=""/>
      <w:lvlJc w:val="left"/>
      <w:pPr>
        <w:ind w:left="720" w:hanging="360"/>
      </w:pPr>
      <w:rPr>
        <w:rFonts w:ascii="Symbol" w:hAnsi="Symbol"/>
      </w:rPr>
    </w:lvl>
    <w:lvl w:ilvl="4" w:tplc="10CCA674">
      <w:start w:val="1"/>
      <w:numFmt w:val="bullet"/>
      <w:lvlText w:val=""/>
      <w:lvlJc w:val="left"/>
      <w:pPr>
        <w:ind w:left="720" w:hanging="360"/>
      </w:pPr>
      <w:rPr>
        <w:rFonts w:ascii="Symbol" w:hAnsi="Symbol"/>
      </w:rPr>
    </w:lvl>
    <w:lvl w:ilvl="5" w:tplc="2BE8B0E0">
      <w:start w:val="1"/>
      <w:numFmt w:val="bullet"/>
      <w:lvlText w:val=""/>
      <w:lvlJc w:val="left"/>
      <w:pPr>
        <w:ind w:left="720" w:hanging="360"/>
      </w:pPr>
      <w:rPr>
        <w:rFonts w:ascii="Symbol" w:hAnsi="Symbol"/>
      </w:rPr>
    </w:lvl>
    <w:lvl w:ilvl="6" w:tplc="F1B44198">
      <w:start w:val="1"/>
      <w:numFmt w:val="bullet"/>
      <w:lvlText w:val=""/>
      <w:lvlJc w:val="left"/>
      <w:pPr>
        <w:ind w:left="720" w:hanging="360"/>
      </w:pPr>
      <w:rPr>
        <w:rFonts w:ascii="Symbol" w:hAnsi="Symbol"/>
      </w:rPr>
    </w:lvl>
    <w:lvl w:ilvl="7" w:tplc="DF66F74A">
      <w:start w:val="1"/>
      <w:numFmt w:val="bullet"/>
      <w:lvlText w:val=""/>
      <w:lvlJc w:val="left"/>
      <w:pPr>
        <w:ind w:left="720" w:hanging="360"/>
      </w:pPr>
      <w:rPr>
        <w:rFonts w:ascii="Symbol" w:hAnsi="Symbol"/>
      </w:rPr>
    </w:lvl>
    <w:lvl w:ilvl="8" w:tplc="7950557A">
      <w:start w:val="1"/>
      <w:numFmt w:val="bullet"/>
      <w:lvlText w:val=""/>
      <w:lvlJc w:val="left"/>
      <w:pPr>
        <w:ind w:left="720" w:hanging="360"/>
      </w:pPr>
      <w:rPr>
        <w:rFonts w:ascii="Symbol" w:hAnsi="Symbol"/>
      </w:rPr>
    </w:lvl>
  </w:abstractNum>
  <w:abstractNum w:abstractNumId="28" w15:restartNumberingAfterBreak="0">
    <w:nsid w:val="443E4FAA"/>
    <w:multiLevelType w:val="hybridMultilevel"/>
    <w:tmpl w:val="F10AB122"/>
    <w:lvl w:ilvl="0" w:tplc="E5B03C4E">
      <w:start w:val="1"/>
      <w:numFmt w:val="bullet"/>
      <w:lvlText w:val=""/>
      <w:lvlJc w:val="left"/>
      <w:pPr>
        <w:ind w:left="720" w:hanging="360"/>
      </w:pPr>
      <w:rPr>
        <w:rFonts w:ascii="Symbol" w:hAnsi="Symbol"/>
      </w:rPr>
    </w:lvl>
    <w:lvl w:ilvl="1" w:tplc="04522A1C">
      <w:start w:val="1"/>
      <w:numFmt w:val="bullet"/>
      <w:lvlText w:val=""/>
      <w:lvlJc w:val="left"/>
      <w:pPr>
        <w:ind w:left="720" w:hanging="360"/>
      </w:pPr>
      <w:rPr>
        <w:rFonts w:ascii="Symbol" w:hAnsi="Symbol"/>
      </w:rPr>
    </w:lvl>
    <w:lvl w:ilvl="2" w:tplc="BC64EB92">
      <w:start w:val="1"/>
      <w:numFmt w:val="bullet"/>
      <w:lvlText w:val=""/>
      <w:lvlJc w:val="left"/>
      <w:pPr>
        <w:ind w:left="720" w:hanging="360"/>
      </w:pPr>
      <w:rPr>
        <w:rFonts w:ascii="Symbol" w:hAnsi="Symbol"/>
      </w:rPr>
    </w:lvl>
    <w:lvl w:ilvl="3" w:tplc="E2A431BC">
      <w:start w:val="1"/>
      <w:numFmt w:val="bullet"/>
      <w:lvlText w:val=""/>
      <w:lvlJc w:val="left"/>
      <w:pPr>
        <w:ind w:left="720" w:hanging="360"/>
      </w:pPr>
      <w:rPr>
        <w:rFonts w:ascii="Symbol" w:hAnsi="Symbol"/>
      </w:rPr>
    </w:lvl>
    <w:lvl w:ilvl="4" w:tplc="71568336">
      <w:start w:val="1"/>
      <w:numFmt w:val="bullet"/>
      <w:lvlText w:val=""/>
      <w:lvlJc w:val="left"/>
      <w:pPr>
        <w:ind w:left="720" w:hanging="360"/>
      </w:pPr>
      <w:rPr>
        <w:rFonts w:ascii="Symbol" w:hAnsi="Symbol"/>
      </w:rPr>
    </w:lvl>
    <w:lvl w:ilvl="5" w:tplc="3AE49114">
      <w:start w:val="1"/>
      <w:numFmt w:val="bullet"/>
      <w:lvlText w:val=""/>
      <w:lvlJc w:val="left"/>
      <w:pPr>
        <w:ind w:left="720" w:hanging="360"/>
      </w:pPr>
      <w:rPr>
        <w:rFonts w:ascii="Symbol" w:hAnsi="Symbol"/>
      </w:rPr>
    </w:lvl>
    <w:lvl w:ilvl="6" w:tplc="2BBAEC06">
      <w:start w:val="1"/>
      <w:numFmt w:val="bullet"/>
      <w:lvlText w:val=""/>
      <w:lvlJc w:val="left"/>
      <w:pPr>
        <w:ind w:left="720" w:hanging="360"/>
      </w:pPr>
      <w:rPr>
        <w:rFonts w:ascii="Symbol" w:hAnsi="Symbol"/>
      </w:rPr>
    </w:lvl>
    <w:lvl w:ilvl="7" w:tplc="6030948A">
      <w:start w:val="1"/>
      <w:numFmt w:val="bullet"/>
      <w:lvlText w:val=""/>
      <w:lvlJc w:val="left"/>
      <w:pPr>
        <w:ind w:left="720" w:hanging="360"/>
      </w:pPr>
      <w:rPr>
        <w:rFonts w:ascii="Symbol" w:hAnsi="Symbol"/>
      </w:rPr>
    </w:lvl>
    <w:lvl w:ilvl="8" w:tplc="DF30EE3C">
      <w:start w:val="1"/>
      <w:numFmt w:val="bullet"/>
      <w:lvlText w:val=""/>
      <w:lvlJc w:val="left"/>
      <w:pPr>
        <w:ind w:left="720" w:hanging="360"/>
      </w:pPr>
      <w:rPr>
        <w:rFonts w:ascii="Symbol" w:hAnsi="Symbol"/>
      </w:rPr>
    </w:lvl>
  </w:abstractNum>
  <w:abstractNum w:abstractNumId="29" w15:restartNumberingAfterBreak="0">
    <w:nsid w:val="45046479"/>
    <w:multiLevelType w:val="hybridMultilevel"/>
    <w:tmpl w:val="A608266A"/>
    <w:lvl w:ilvl="0" w:tplc="02722F34">
      <w:start w:val="1"/>
      <w:numFmt w:val="bullet"/>
      <w:lvlText w:val=""/>
      <w:lvlJc w:val="left"/>
      <w:pPr>
        <w:ind w:left="720" w:hanging="360"/>
      </w:pPr>
      <w:rPr>
        <w:rFonts w:ascii="Symbol" w:hAnsi="Symbol"/>
      </w:rPr>
    </w:lvl>
    <w:lvl w:ilvl="1" w:tplc="539052FA">
      <w:start w:val="1"/>
      <w:numFmt w:val="bullet"/>
      <w:lvlText w:val=""/>
      <w:lvlJc w:val="left"/>
      <w:pPr>
        <w:ind w:left="720" w:hanging="360"/>
      </w:pPr>
      <w:rPr>
        <w:rFonts w:ascii="Symbol" w:hAnsi="Symbol"/>
      </w:rPr>
    </w:lvl>
    <w:lvl w:ilvl="2" w:tplc="A9DE4376">
      <w:start w:val="1"/>
      <w:numFmt w:val="bullet"/>
      <w:lvlText w:val=""/>
      <w:lvlJc w:val="left"/>
      <w:pPr>
        <w:ind w:left="720" w:hanging="360"/>
      </w:pPr>
      <w:rPr>
        <w:rFonts w:ascii="Symbol" w:hAnsi="Symbol"/>
      </w:rPr>
    </w:lvl>
    <w:lvl w:ilvl="3" w:tplc="695EBFF4">
      <w:start w:val="1"/>
      <w:numFmt w:val="bullet"/>
      <w:lvlText w:val=""/>
      <w:lvlJc w:val="left"/>
      <w:pPr>
        <w:ind w:left="720" w:hanging="360"/>
      </w:pPr>
      <w:rPr>
        <w:rFonts w:ascii="Symbol" w:hAnsi="Symbol"/>
      </w:rPr>
    </w:lvl>
    <w:lvl w:ilvl="4" w:tplc="86749AA8">
      <w:start w:val="1"/>
      <w:numFmt w:val="bullet"/>
      <w:lvlText w:val=""/>
      <w:lvlJc w:val="left"/>
      <w:pPr>
        <w:ind w:left="720" w:hanging="360"/>
      </w:pPr>
      <w:rPr>
        <w:rFonts w:ascii="Symbol" w:hAnsi="Symbol"/>
      </w:rPr>
    </w:lvl>
    <w:lvl w:ilvl="5" w:tplc="B1603ED8">
      <w:start w:val="1"/>
      <w:numFmt w:val="bullet"/>
      <w:lvlText w:val=""/>
      <w:lvlJc w:val="left"/>
      <w:pPr>
        <w:ind w:left="720" w:hanging="360"/>
      </w:pPr>
      <w:rPr>
        <w:rFonts w:ascii="Symbol" w:hAnsi="Symbol"/>
      </w:rPr>
    </w:lvl>
    <w:lvl w:ilvl="6" w:tplc="3A2E4FB8">
      <w:start w:val="1"/>
      <w:numFmt w:val="bullet"/>
      <w:lvlText w:val=""/>
      <w:lvlJc w:val="left"/>
      <w:pPr>
        <w:ind w:left="720" w:hanging="360"/>
      </w:pPr>
      <w:rPr>
        <w:rFonts w:ascii="Symbol" w:hAnsi="Symbol"/>
      </w:rPr>
    </w:lvl>
    <w:lvl w:ilvl="7" w:tplc="BB46EABA">
      <w:start w:val="1"/>
      <w:numFmt w:val="bullet"/>
      <w:lvlText w:val=""/>
      <w:lvlJc w:val="left"/>
      <w:pPr>
        <w:ind w:left="720" w:hanging="360"/>
      </w:pPr>
      <w:rPr>
        <w:rFonts w:ascii="Symbol" w:hAnsi="Symbol"/>
      </w:rPr>
    </w:lvl>
    <w:lvl w:ilvl="8" w:tplc="73668968">
      <w:start w:val="1"/>
      <w:numFmt w:val="bullet"/>
      <w:lvlText w:val=""/>
      <w:lvlJc w:val="left"/>
      <w:pPr>
        <w:ind w:left="720" w:hanging="360"/>
      </w:pPr>
      <w:rPr>
        <w:rFonts w:ascii="Symbol" w:hAnsi="Symbol"/>
      </w:rPr>
    </w:lvl>
  </w:abstractNum>
  <w:abstractNum w:abstractNumId="30" w15:restartNumberingAfterBreak="0">
    <w:nsid w:val="489242D9"/>
    <w:multiLevelType w:val="hybridMultilevel"/>
    <w:tmpl w:val="A16E6198"/>
    <w:lvl w:ilvl="0" w:tplc="9E6AE7F8">
      <w:start w:val="1"/>
      <w:numFmt w:val="bullet"/>
      <w:lvlText w:val=""/>
      <w:lvlJc w:val="left"/>
      <w:pPr>
        <w:ind w:left="720" w:hanging="360"/>
      </w:pPr>
      <w:rPr>
        <w:rFonts w:ascii="Symbol" w:hAnsi="Symbol"/>
      </w:rPr>
    </w:lvl>
    <w:lvl w:ilvl="1" w:tplc="A49EDD66">
      <w:start w:val="1"/>
      <w:numFmt w:val="bullet"/>
      <w:lvlText w:val=""/>
      <w:lvlJc w:val="left"/>
      <w:pPr>
        <w:ind w:left="720" w:hanging="360"/>
      </w:pPr>
      <w:rPr>
        <w:rFonts w:ascii="Symbol" w:hAnsi="Symbol"/>
      </w:rPr>
    </w:lvl>
    <w:lvl w:ilvl="2" w:tplc="4ADC3796">
      <w:start w:val="1"/>
      <w:numFmt w:val="bullet"/>
      <w:lvlText w:val=""/>
      <w:lvlJc w:val="left"/>
      <w:pPr>
        <w:ind w:left="720" w:hanging="360"/>
      </w:pPr>
      <w:rPr>
        <w:rFonts w:ascii="Symbol" w:hAnsi="Symbol"/>
      </w:rPr>
    </w:lvl>
    <w:lvl w:ilvl="3" w:tplc="CDDE38EA">
      <w:start w:val="1"/>
      <w:numFmt w:val="bullet"/>
      <w:lvlText w:val=""/>
      <w:lvlJc w:val="left"/>
      <w:pPr>
        <w:ind w:left="720" w:hanging="360"/>
      </w:pPr>
      <w:rPr>
        <w:rFonts w:ascii="Symbol" w:hAnsi="Symbol"/>
      </w:rPr>
    </w:lvl>
    <w:lvl w:ilvl="4" w:tplc="B18E279E">
      <w:start w:val="1"/>
      <w:numFmt w:val="bullet"/>
      <w:lvlText w:val=""/>
      <w:lvlJc w:val="left"/>
      <w:pPr>
        <w:ind w:left="720" w:hanging="360"/>
      </w:pPr>
      <w:rPr>
        <w:rFonts w:ascii="Symbol" w:hAnsi="Symbol"/>
      </w:rPr>
    </w:lvl>
    <w:lvl w:ilvl="5" w:tplc="273C7924">
      <w:start w:val="1"/>
      <w:numFmt w:val="bullet"/>
      <w:lvlText w:val=""/>
      <w:lvlJc w:val="left"/>
      <w:pPr>
        <w:ind w:left="720" w:hanging="360"/>
      </w:pPr>
      <w:rPr>
        <w:rFonts w:ascii="Symbol" w:hAnsi="Symbol"/>
      </w:rPr>
    </w:lvl>
    <w:lvl w:ilvl="6" w:tplc="E81C37CA">
      <w:start w:val="1"/>
      <w:numFmt w:val="bullet"/>
      <w:lvlText w:val=""/>
      <w:lvlJc w:val="left"/>
      <w:pPr>
        <w:ind w:left="720" w:hanging="360"/>
      </w:pPr>
      <w:rPr>
        <w:rFonts w:ascii="Symbol" w:hAnsi="Symbol"/>
      </w:rPr>
    </w:lvl>
    <w:lvl w:ilvl="7" w:tplc="B89CE2AC">
      <w:start w:val="1"/>
      <w:numFmt w:val="bullet"/>
      <w:lvlText w:val=""/>
      <w:lvlJc w:val="left"/>
      <w:pPr>
        <w:ind w:left="720" w:hanging="360"/>
      </w:pPr>
      <w:rPr>
        <w:rFonts w:ascii="Symbol" w:hAnsi="Symbol"/>
      </w:rPr>
    </w:lvl>
    <w:lvl w:ilvl="8" w:tplc="71345F38">
      <w:start w:val="1"/>
      <w:numFmt w:val="bullet"/>
      <w:lvlText w:val=""/>
      <w:lvlJc w:val="left"/>
      <w:pPr>
        <w:ind w:left="720" w:hanging="360"/>
      </w:pPr>
      <w:rPr>
        <w:rFonts w:ascii="Symbol" w:hAnsi="Symbol"/>
      </w:rPr>
    </w:lvl>
  </w:abstractNum>
  <w:abstractNum w:abstractNumId="31" w15:restartNumberingAfterBreak="0">
    <w:nsid w:val="49952F2D"/>
    <w:multiLevelType w:val="multilevel"/>
    <w:tmpl w:val="08FA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4D2BB5"/>
    <w:multiLevelType w:val="hybridMultilevel"/>
    <w:tmpl w:val="D160D266"/>
    <w:lvl w:ilvl="0" w:tplc="0A7C7370">
      <w:start w:val="1"/>
      <w:numFmt w:val="bullet"/>
      <w:lvlText w:val=""/>
      <w:lvlJc w:val="left"/>
      <w:pPr>
        <w:ind w:left="720" w:hanging="360"/>
      </w:pPr>
      <w:rPr>
        <w:rFonts w:ascii="Symbol" w:hAnsi="Symbol"/>
      </w:rPr>
    </w:lvl>
    <w:lvl w:ilvl="1" w:tplc="34E82FDA">
      <w:start w:val="1"/>
      <w:numFmt w:val="bullet"/>
      <w:lvlText w:val=""/>
      <w:lvlJc w:val="left"/>
      <w:pPr>
        <w:ind w:left="720" w:hanging="360"/>
      </w:pPr>
      <w:rPr>
        <w:rFonts w:ascii="Symbol" w:hAnsi="Symbol"/>
      </w:rPr>
    </w:lvl>
    <w:lvl w:ilvl="2" w:tplc="16BA2978">
      <w:start w:val="1"/>
      <w:numFmt w:val="bullet"/>
      <w:lvlText w:val=""/>
      <w:lvlJc w:val="left"/>
      <w:pPr>
        <w:ind w:left="720" w:hanging="360"/>
      </w:pPr>
      <w:rPr>
        <w:rFonts w:ascii="Symbol" w:hAnsi="Symbol"/>
      </w:rPr>
    </w:lvl>
    <w:lvl w:ilvl="3" w:tplc="5C98871E">
      <w:start w:val="1"/>
      <w:numFmt w:val="bullet"/>
      <w:lvlText w:val=""/>
      <w:lvlJc w:val="left"/>
      <w:pPr>
        <w:ind w:left="720" w:hanging="360"/>
      </w:pPr>
      <w:rPr>
        <w:rFonts w:ascii="Symbol" w:hAnsi="Symbol"/>
      </w:rPr>
    </w:lvl>
    <w:lvl w:ilvl="4" w:tplc="30301274">
      <w:start w:val="1"/>
      <w:numFmt w:val="bullet"/>
      <w:lvlText w:val=""/>
      <w:lvlJc w:val="left"/>
      <w:pPr>
        <w:ind w:left="720" w:hanging="360"/>
      </w:pPr>
      <w:rPr>
        <w:rFonts w:ascii="Symbol" w:hAnsi="Symbol"/>
      </w:rPr>
    </w:lvl>
    <w:lvl w:ilvl="5" w:tplc="5B60F288">
      <w:start w:val="1"/>
      <w:numFmt w:val="bullet"/>
      <w:lvlText w:val=""/>
      <w:lvlJc w:val="left"/>
      <w:pPr>
        <w:ind w:left="720" w:hanging="360"/>
      </w:pPr>
      <w:rPr>
        <w:rFonts w:ascii="Symbol" w:hAnsi="Symbol"/>
      </w:rPr>
    </w:lvl>
    <w:lvl w:ilvl="6" w:tplc="E0025132">
      <w:start w:val="1"/>
      <w:numFmt w:val="bullet"/>
      <w:lvlText w:val=""/>
      <w:lvlJc w:val="left"/>
      <w:pPr>
        <w:ind w:left="720" w:hanging="360"/>
      </w:pPr>
      <w:rPr>
        <w:rFonts w:ascii="Symbol" w:hAnsi="Symbol"/>
      </w:rPr>
    </w:lvl>
    <w:lvl w:ilvl="7" w:tplc="5A1C630A">
      <w:start w:val="1"/>
      <w:numFmt w:val="bullet"/>
      <w:lvlText w:val=""/>
      <w:lvlJc w:val="left"/>
      <w:pPr>
        <w:ind w:left="720" w:hanging="360"/>
      </w:pPr>
      <w:rPr>
        <w:rFonts w:ascii="Symbol" w:hAnsi="Symbol"/>
      </w:rPr>
    </w:lvl>
    <w:lvl w:ilvl="8" w:tplc="F08CB0E4">
      <w:start w:val="1"/>
      <w:numFmt w:val="bullet"/>
      <w:lvlText w:val=""/>
      <w:lvlJc w:val="left"/>
      <w:pPr>
        <w:ind w:left="720" w:hanging="360"/>
      </w:pPr>
      <w:rPr>
        <w:rFonts w:ascii="Symbol" w:hAnsi="Symbol"/>
      </w:rPr>
    </w:lvl>
  </w:abstractNum>
  <w:abstractNum w:abstractNumId="33" w15:restartNumberingAfterBreak="0">
    <w:nsid w:val="4DAC0534"/>
    <w:multiLevelType w:val="hybridMultilevel"/>
    <w:tmpl w:val="A45CDA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DB65E0"/>
    <w:multiLevelType w:val="hybridMultilevel"/>
    <w:tmpl w:val="0B92299A"/>
    <w:lvl w:ilvl="0" w:tplc="6DAE08A2">
      <w:start w:val="1"/>
      <w:numFmt w:val="bullet"/>
      <w:lvlText w:val=""/>
      <w:lvlJc w:val="left"/>
      <w:pPr>
        <w:ind w:left="720" w:hanging="360"/>
      </w:pPr>
      <w:rPr>
        <w:rFonts w:ascii="Symbol" w:hAnsi="Symbol"/>
      </w:rPr>
    </w:lvl>
    <w:lvl w:ilvl="1" w:tplc="A3F67F46">
      <w:start w:val="1"/>
      <w:numFmt w:val="bullet"/>
      <w:lvlText w:val=""/>
      <w:lvlJc w:val="left"/>
      <w:pPr>
        <w:ind w:left="720" w:hanging="360"/>
      </w:pPr>
      <w:rPr>
        <w:rFonts w:ascii="Symbol" w:hAnsi="Symbol"/>
      </w:rPr>
    </w:lvl>
    <w:lvl w:ilvl="2" w:tplc="41C207FA">
      <w:start w:val="1"/>
      <w:numFmt w:val="bullet"/>
      <w:lvlText w:val=""/>
      <w:lvlJc w:val="left"/>
      <w:pPr>
        <w:ind w:left="720" w:hanging="360"/>
      </w:pPr>
      <w:rPr>
        <w:rFonts w:ascii="Symbol" w:hAnsi="Symbol"/>
      </w:rPr>
    </w:lvl>
    <w:lvl w:ilvl="3" w:tplc="58C63F04">
      <w:start w:val="1"/>
      <w:numFmt w:val="bullet"/>
      <w:lvlText w:val=""/>
      <w:lvlJc w:val="left"/>
      <w:pPr>
        <w:ind w:left="720" w:hanging="360"/>
      </w:pPr>
      <w:rPr>
        <w:rFonts w:ascii="Symbol" w:hAnsi="Symbol"/>
      </w:rPr>
    </w:lvl>
    <w:lvl w:ilvl="4" w:tplc="0B3AF1E0">
      <w:start w:val="1"/>
      <w:numFmt w:val="bullet"/>
      <w:lvlText w:val=""/>
      <w:lvlJc w:val="left"/>
      <w:pPr>
        <w:ind w:left="720" w:hanging="360"/>
      </w:pPr>
      <w:rPr>
        <w:rFonts w:ascii="Symbol" w:hAnsi="Symbol"/>
      </w:rPr>
    </w:lvl>
    <w:lvl w:ilvl="5" w:tplc="D52CAFB6">
      <w:start w:val="1"/>
      <w:numFmt w:val="bullet"/>
      <w:lvlText w:val=""/>
      <w:lvlJc w:val="left"/>
      <w:pPr>
        <w:ind w:left="720" w:hanging="360"/>
      </w:pPr>
      <w:rPr>
        <w:rFonts w:ascii="Symbol" w:hAnsi="Symbol"/>
      </w:rPr>
    </w:lvl>
    <w:lvl w:ilvl="6" w:tplc="84229E32">
      <w:start w:val="1"/>
      <w:numFmt w:val="bullet"/>
      <w:lvlText w:val=""/>
      <w:lvlJc w:val="left"/>
      <w:pPr>
        <w:ind w:left="720" w:hanging="360"/>
      </w:pPr>
      <w:rPr>
        <w:rFonts w:ascii="Symbol" w:hAnsi="Symbol"/>
      </w:rPr>
    </w:lvl>
    <w:lvl w:ilvl="7" w:tplc="4C722A56">
      <w:start w:val="1"/>
      <w:numFmt w:val="bullet"/>
      <w:lvlText w:val=""/>
      <w:lvlJc w:val="left"/>
      <w:pPr>
        <w:ind w:left="720" w:hanging="360"/>
      </w:pPr>
      <w:rPr>
        <w:rFonts w:ascii="Symbol" w:hAnsi="Symbol"/>
      </w:rPr>
    </w:lvl>
    <w:lvl w:ilvl="8" w:tplc="7B502B7C">
      <w:start w:val="1"/>
      <w:numFmt w:val="bullet"/>
      <w:lvlText w:val=""/>
      <w:lvlJc w:val="left"/>
      <w:pPr>
        <w:ind w:left="720" w:hanging="360"/>
      </w:pPr>
      <w:rPr>
        <w:rFonts w:ascii="Symbol" w:hAnsi="Symbol"/>
      </w:rPr>
    </w:lvl>
  </w:abstractNum>
  <w:abstractNum w:abstractNumId="37" w15:restartNumberingAfterBreak="0">
    <w:nsid w:val="54325C7F"/>
    <w:multiLevelType w:val="hybridMultilevel"/>
    <w:tmpl w:val="83109A60"/>
    <w:lvl w:ilvl="0" w:tplc="D09C9EDC">
      <w:start w:val="1"/>
      <w:numFmt w:val="bullet"/>
      <w:lvlText w:val=""/>
      <w:lvlJc w:val="left"/>
      <w:pPr>
        <w:ind w:left="720" w:hanging="360"/>
      </w:pPr>
      <w:rPr>
        <w:rFonts w:ascii="Symbol" w:hAnsi="Symbol"/>
      </w:rPr>
    </w:lvl>
    <w:lvl w:ilvl="1" w:tplc="E9920BE0">
      <w:start w:val="1"/>
      <w:numFmt w:val="bullet"/>
      <w:lvlText w:val=""/>
      <w:lvlJc w:val="left"/>
      <w:pPr>
        <w:ind w:left="720" w:hanging="360"/>
      </w:pPr>
      <w:rPr>
        <w:rFonts w:ascii="Symbol" w:hAnsi="Symbol"/>
      </w:rPr>
    </w:lvl>
    <w:lvl w:ilvl="2" w:tplc="0D167F76">
      <w:start w:val="1"/>
      <w:numFmt w:val="bullet"/>
      <w:lvlText w:val=""/>
      <w:lvlJc w:val="left"/>
      <w:pPr>
        <w:ind w:left="720" w:hanging="360"/>
      </w:pPr>
      <w:rPr>
        <w:rFonts w:ascii="Symbol" w:hAnsi="Symbol"/>
      </w:rPr>
    </w:lvl>
    <w:lvl w:ilvl="3" w:tplc="56EC0D6C">
      <w:start w:val="1"/>
      <w:numFmt w:val="bullet"/>
      <w:lvlText w:val=""/>
      <w:lvlJc w:val="left"/>
      <w:pPr>
        <w:ind w:left="720" w:hanging="360"/>
      </w:pPr>
      <w:rPr>
        <w:rFonts w:ascii="Symbol" w:hAnsi="Symbol"/>
      </w:rPr>
    </w:lvl>
    <w:lvl w:ilvl="4" w:tplc="4D6A7276">
      <w:start w:val="1"/>
      <w:numFmt w:val="bullet"/>
      <w:lvlText w:val=""/>
      <w:lvlJc w:val="left"/>
      <w:pPr>
        <w:ind w:left="720" w:hanging="360"/>
      </w:pPr>
      <w:rPr>
        <w:rFonts w:ascii="Symbol" w:hAnsi="Symbol"/>
      </w:rPr>
    </w:lvl>
    <w:lvl w:ilvl="5" w:tplc="7BF27A7E">
      <w:start w:val="1"/>
      <w:numFmt w:val="bullet"/>
      <w:lvlText w:val=""/>
      <w:lvlJc w:val="left"/>
      <w:pPr>
        <w:ind w:left="720" w:hanging="360"/>
      </w:pPr>
      <w:rPr>
        <w:rFonts w:ascii="Symbol" w:hAnsi="Symbol"/>
      </w:rPr>
    </w:lvl>
    <w:lvl w:ilvl="6" w:tplc="B4AA58EC">
      <w:start w:val="1"/>
      <w:numFmt w:val="bullet"/>
      <w:lvlText w:val=""/>
      <w:lvlJc w:val="left"/>
      <w:pPr>
        <w:ind w:left="720" w:hanging="360"/>
      </w:pPr>
      <w:rPr>
        <w:rFonts w:ascii="Symbol" w:hAnsi="Symbol"/>
      </w:rPr>
    </w:lvl>
    <w:lvl w:ilvl="7" w:tplc="BA54A326">
      <w:start w:val="1"/>
      <w:numFmt w:val="bullet"/>
      <w:lvlText w:val=""/>
      <w:lvlJc w:val="left"/>
      <w:pPr>
        <w:ind w:left="720" w:hanging="360"/>
      </w:pPr>
      <w:rPr>
        <w:rFonts w:ascii="Symbol" w:hAnsi="Symbol"/>
      </w:rPr>
    </w:lvl>
    <w:lvl w:ilvl="8" w:tplc="65B89D88">
      <w:start w:val="1"/>
      <w:numFmt w:val="bullet"/>
      <w:lvlText w:val=""/>
      <w:lvlJc w:val="left"/>
      <w:pPr>
        <w:ind w:left="720" w:hanging="360"/>
      </w:pPr>
      <w:rPr>
        <w:rFonts w:ascii="Symbol" w:hAnsi="Symbol"/>
      </w:rPr>
    </w:lvl>
  </w:abstractNum>
  <w:abstractNum w:abstractNumId="38" w15:restartNumberingAfterBreak="0">
    <w:nsid w:val="56CE69AC"/>
    <w:multiLevelType w:val="hybridMultilevel"/>
    <w:tmpl w:val="932EDAD8"/>
    <w:lvl w:ilvl="0" w:tplc="47060666">
      <w:start w:val="1"/>
      <w:numFmt w:val="bullet"/>
      <w:lvlText w:val=""/>
      <w:lvlJc w:val="left"/>
      <w:pPr>
        <w:ind w:left="720" w:hanging="360"/>
      </w:pPr>
      <w:rPr>
        <w:rFonts w:ascii="Symbol" w:hAnsi="Symbol"/>
      </w:rPr>
    </w:lvl>
    <w:lvl w:ilvl="1" w:tplc="C7DCCF26">
      <w:start w:val="1"/>
      <w:numFmt w:val="bullet"/>
      <w:lvlText w:val=""/>
      <w:lvlJc w:val="left"/>
      <w:pPr>
        <w:ind w:left="720" w:hanging="360"/>
      </w:pPr>
      <w:rPr>
        <w:rFonts w:ascii="Symbol" w:hAnsi="Symbol"/>
      </w:rPr>
    </w:lvl>
    <w:lvl w:ilvl="2" w:tplc="9586BE04">
      <w:start w:val="1"/>
      <w:numFmt w:val="bullet"/>
      <w:lvlText w:val=""/>
      <w:lvlJc w:val="left"/>
      <w:pPr>
        <w:ind w:left="720" w:hanging="360"/>
      </w:pPr>
      <w:rPr>
        <w:rFonts w:ascii="Symbol" w:hAnsi="Symbol"/>
      </w:rPr>
    </w:lvl>
    <w:lvl w:ilvl="3" w:tplc="23886DBA">
      <w:start w:val="1"/>
      <w:numFmt w:val="bullet"/>
      <w:lvlText w:val=""/>
      <w:lvlJc w:val="left"/>
      <w:pPr>
        <w:ind w:left="720" w:hanging="360"/>
      </w:pPr>
      <w:rPr>
        <w:rFonts w:ascii="Symbol" w:hAnsi="Symbol"/>
      </w:rPr>
    </w:lvl>
    <w:lvl w:ilvl="4" w:tplc="0EAAEC4C">
      <w:start w:val="1"/>
      <w:numFmt w:val="bullet"/>
      <w:lvlText w:val=""/>
      <w:lvlJc w:val="left"/>
      <w:pPr>
        <w:ind w:left="720" w:hanging="360"/>
      </w:pPr>
      <w:rPr>
        <w:rFonts w:ascii="Symbol" w:hAnsi="Symbol"/>
      </w:rPr>
    </w:lvl>
    <w:lvl w:ilvl="5" w:tplc="D7A217EE">
      <w:start w:val="1"/>
      <w:numFmt w:val="bullet"/>
      <w:lvlText w:val=""/>
      <w:lvlJc w:val="left"/>
      <w:pPr>
        <w:ind w:left="720" w:hanging="360"/>
      </w:pPr>
      <w:rPr>
        <w:rFonts w:ascii="Symbol" w:hAnsi="Symbol"/>
      </w:rPr>
    </w:lvl>
    <w:lvl w:ilvl="6" w:tplc="5CB62884">
      <w:start w:val="1"/>
      <w:numFmt w:val="bullet"/>
      <w:lvlText w:val=""/>
      <w:lvlJc w:val="left"/>
      <w:pPr>
        <w:ind w:left="720" w:hanging="360"/>
      </w:pPr>
      <w:rPr>
        <w:rFonts w:ascii="Symbol" w:hAnsi="Symbol"/>
      </w:rPr>
    </w:lvl>
    <w:lvl w:ilvl="7" w:tplc="C0FE50D4">
      <w:start w:val="1"/>
      <w:numFmt w:val="bullet"/>
      <w:lvlText w:val=""/>
      <w:lvlJc w:val="left"/>
      <w:pPr>
        <w:ind w:left="720" w:hanging="360"/>
      </w:pPr>
      <w:rPr>
        <w:rFonts w:ascii="Symbol" w:hAnsi="Symbol"/>
      </w:rPr>
    </w:lvl>
    <w:lvl w:ilvl="8" w:tplc="46E66148">
      <w:start w:val="1"/>
      <w:numFmt w:val="bullet"/>
      <w:lvlText w:val=""/>
      <w:lvlJc w:val="left"/>
      <w:pPr>
        <w:ind w:left="720" w:hanging="360"/>
      </w:pPr>
      <w:rPr>
        <w:rFonts w:ascii="Symbol" w:hAnsi="Symbol"/>
      </w:rPr>
    </w:lvl>
  </w:abstractNum>
  <w:abstractNum w:abstractNumId="39" w15:restartNumberingAfterBreak="0">
    <w:nsid w:val="59ED2FB6"/>
    <w:multiLevelType w:val="hybridMultilevel"/>
    <w:tmpl w:val="1EBC7B38"/>
    <w:lvl w:ilvl="0" w:tplc="A882FC6E">
      <w:start w:val="1"/>
      <w:numFmt w:val="bullet"/>
      <w:lvlText w:val=""/>
      <w:lvlJc w:val="left"/>
      <w:pPr>
        <w:ind w:left="720" w:hanging="360"/>
      </w:pPr>
      <w:rPr>
        <w:rFonts w:ascii="Symbol" w:hAnsi="Symbol"/>
      </w:rPr>
    </w:lvl>
    <w:lvl w:ilvl="1" w:tplc="C978B580">
      <w:start w:val="1"/>
      <w:numFmt w:val="bullet"/>
      <w:lvlText w:val=""/>
      <w:lvlJc w:val="left"/>
      <w:pPr>
        <w:ind w:left="720" w:hanging="360"/>
      </w:pPr>
      <w:rPr>
        <w:rFonts w:ascii="Symbol" w:hAnsi="Symbol"/>
      </w:rPr>
    </w:lvl>
    <w:lvl w:ilvl="2" w:tplc="96BE750E">
      <w:start w:val="1"/>
      <w:numFmt w:val="bullet"/>
      <w:lvlText w:val=""/>
      <w:lvlJc w:val="left"/>
      <w:pPr>
        <w:ind w:left="720" w:hanging="360"/>
      </w:pPr>
      <w:rPr>
        <w:rFonts w:ascii="Symbol" w:hAnsi="Symbol"/>
      </w:rPr>
    </w:lvl>
    <w:lvl w:ilvl="3" w:tplc="30824466">
      <w:start w:val="1"/>
      <w:numFmt w:val="bullet"/>
      <w:lvlText w:val=""/>
      <w:lvlJc w:val="left"/>
      <w:pPr>
        <w:ind w:left="720" w:hanging="360"/>
      </w:pPr>
      <w:rPr>
        <w:rFonts w:ascii="Symbol" w:hAnsi="Symbol"/>
      </w:rPr>
    </w:lvl>
    <w:lvl w:ilvl="4" w:tplc="786668A4">
      <w:start w:val="1"/>
      <w:numFmt w:val="bullet"/>
      <w:lvlText w:val=""/>
      <w:lvlJc w:val="left"/>
      <w:pPr>
        <w:ind w:left="720" w:hanging="360"/>
      </w:pPr>
      <w:rPr>
        <w:rFonts w:ascii="Symbol" w:hAnsi="Symbol"/>
      </w:rPr>
    </w:lvl>
    <w:lvl w:ilvl="5" w:tplc="D75A4D7A">
      <w:start w:val="1"/>
      <w:numFmt w:val="bullet"/>
      <w:lvlText w:val=""/>
      <w:lvlJc w:val="left"/>
      <w:pPr>
        <w:ind w:left="720" w:hanging="360"/>
      </w:pPr>
      <w:rPr>
        <w:rFonts w:ascii="Symbol" w:hAnsi="Symbol"/>
      </w:rPr>
    </w:lvl>
    <w:lvl w:ilvl="6" w:tplc="AC4EADC4">
      <w:start w:val="1"/>
      <w:numFmt w:val="bullet"/>
      <w:lvlText w:val=""/>
      <w:lvlJc w:val="left"/>
      <w:pPr>
        <w:ind w:left="720" w:hanging="360"/>
      </w:pPr>
      <w:rPr>
        <w:rFonts w:ascii="Symbol" w:hAnsi="Symbol"/>
      </w:rPr>
    </w:lvl>
    <w:lvl w:ilvl="7" w:tplc="ED5698A0">
      <w:start w:val="1"/>
      <w:numFmt w:val="bullet"/>
      <w:lvlText w:val=""/>
      <w:lvlJc w:val="left"/>
      <w:pPr>
        <w:ind w:left="720" w:hanging="360"/>
      </w:pPr>
      <w:rPr>
        <w:rFonts w:ascii="Symbol" w:hAnsi="Symbol"/>
      </w:rPr>
    </w:lvl>
    <w:lvl w:ilvl="8" w:tplc="D1F2AA70">
      <w:start w:val="1"/>
      <w:numFmt w:val="bullet"/>
      <w:lvlText w:val=""/>
      <w:lvlJc w:val="left"/>
      <w:pPr>
        <w:ind w:left="720" w:hanging="360"/>
      </w:pPr>
      <w:rPr>
        <w:rFonts w:ascii="Symbol" w:hAnsi="Symbol"/>
      </w:rPr>
    </w:lvl>
  </w:abstractNum>
  <w:abstractNum w:abstractNumId="40" w15:restartNumberingAfterBreak="0">
    <w:nsid w:val="6226276E"/>
    <w:multiLevelType w:val="hybridMultilevel"/>
    <w:tmpl w:val="E62833EA"/>
    <w:lvl w:ilvl="0" w:tplc="17F09D04">
      <w:start w:val="1"/>
      <w:numFmt w:val="bullet"/>
      <w:lvlText w:val=""/>
      <w:lvlJc w:val="left"/>
      <w:pPr>
        <w:ind w:left="720" w:hanging="360"/>
      </w:pPr>
      <w:rPr>
        <w:rFonts w:ascii="Symbol" w:hAnsi="Symbol"/>
      </w:rPr>
    </w:lvl>
    <w:lvl w:ilvl="1" w:tplc="37BEE608">
      <w:start w:val="1"/>
      <w:numFmt w:val="bullet"/>
      <w:lvlText w:val=""/>
      <w:lvlJc w:val="left"/>
      <w:pPr>
        <w:ind w:left="720" w:hanging="360"/>
      </w:pPr>
      <w:rPr>
        <w:rFonts w:ascii="Symbol" w:hAnsi="Symbol"/>
      </w:rPr>
    </w:lvl>
    <w:lvl w:ilvl="2" w:tplc="5600A768">
      <w:start w:val="1"/>
      <w:numFmt w:val="bullet"/>
      <w:lvlText w:val=""/>
      <w:lvlJc w:val="left"/>
      <w:pPr>
        <w:ind w:left="720" w:hanging="360"/>
      </w:pPr>
      <w:rPr>
        <w:rFonts w:ascii="Symbol" w:hAnsi="Symbol"/>
      </w:rPr>
    </w:lvl>
    <w:lvl w:ilvl="3" w:tplc="DD0E07AA">
      <w:start w:val="1"/>
      <w:numFmt w:val="bullet"/>
      <w:lvlText w:val=""/>
      <w:lvlJc w:val="left"/>
      <w:pPr>
        <w:ind w:left="720" w:hanging="360"/>
      </w:pPr>
      <w:rPr>
        <w:rFonts w:ascii="Symbol" w:hAnsi="Symbol"/>
      </w:rPr>
    </w:lvl>
    <w:lvl w:ilvl="4" w:tplc="80EC7852">
      <w:start w:val="1"/>
      <w:numFmt w:val="bullet"/>
      <w:lvlText w:val=""/>
      <w:lvlJc w:val="left"/>
      <w:pPr>
        <w:ind w:left="720" w:hanging="360"/>
      </w:pPr>
      <w:rPr>
        <w:rFonts w:ascii="Symbol" w:hAnsi="Symbol"/>
      </w:rPr>
    </w:lvl>
    <w:lvl w:ilvl="5" w:tplc="47F26416">
      <w:start w:val="1"/>
      <w:numFmt w:val="bullet"/>
      <w:lvlText w:val=""/>
      <w:lvlJc w:val="left"/>
      <w:pPr>
        <w:ind w:left="720" w:hanging="360"/>
      </w:pPr>
      <w:rPr>
        <w:rFonts w:ascii="Symbol" w:hAnsi="Symbol"/>
      </w:rPr>
    </w:lvl>
    <w:lvl w:ilvl="6" w:tplc="27EC0118">
      <w:start w:val="1"/>
      <w:numFmt w:val="bullet"/>
      <w:lvlText w:val=""/>
      <w:lvlJc w:val="left"/>
      <w:pPr>
        <w:ind w:left="720" w:hanging="360"/>
      </w:pPr>
      <w:rPr>
        <w:rFonts w:ascii="Symbol" w:hAnsi="Symbol"/>
      </w:rPr>
    </w:lvl>
    <w:lvl w:ilvl="7" w:tplc="55D072C2">
      <w:start w:val="1"/>
      <w:numFmt w:val="bullet"/>
      <w:lvlText w:val=""/>
      <w:lvlJc w:val="left"/>
      <w:pPr>
        <w:ind w:left="720" w:hanging="360"/>
      </w:pPr>
      <w:rPr>
        <w:rFonts w:ascii="Symbol" w:hAnsi="Symbol"/>
      </w:rPr>
    </w:lvl>
    <w:lvl w:ilvl="8" w:tplc="DD3CE426">
      <w:start w:val="1"/>
      <w:numFmt w:val="bullet"/>
      <w:lvlText w:val=""/>
      <w:lvlJc w:val="left"/>
      <w:pPr>
        <w:ind w:left="720" w:hanging="360"/>
      </w:pPr>
      <w:rPr>
        <w:rFonts w:ascii="Symbol" w:hAnsi="Symbol"/>
      </w:rPr>
    </w:lvl>
  </w:abstractNum>
  <w:abstractNum w:abstractNumId="41" w15:restartNumberingAfterBreak="0">
    <w:nsid w:val="65D27A78"/>
    <w:multiLevelType w:val="hybridMultilevel"/>
    <w:tmpl w:val="58263CE2"/>
    <w:lvl w:ilvl="0" w:tplc="1AE6570E">
      <w:start w:val="1"/>
      <w:numFmt w:val="bullet"/>
      <w:lvlText w:val=""/>
      <w:lvlJc w:val="left"/>
      <w:pPr>
        <w:ind w:left="720" w:hanging="360"/>
      </w:pPr>
      <w:rPr>
        <w:rFonts w:ascii="Symbol" w:hAnsi="Symbol"/>
      </w:rPr>
    </w:lvl>
    <w:lvl w:ilvl="1" w:tplc="3DB6EE2E">
      <w:start w:val="1"/>
      <w:numFmt w:val="bullet"/>
      <w:lvlText w:val=""/>
      <w:lvlJc w:val="left"/>
      <w:pPr>
        <w:ind w:left="720" w:hanging="360"/>
      </w:pPr>
      <w:rPr>
        <w:rFonts w:ascii="Symbol" w:hAnsi="Symbol"/>
      </w:rPr>
    </w:lvl>
    <w:lvl w:ilvl="2" w:tplc="EF368D94">
      <w:start w:val="1"/>
      <w:numFmt w:val="bullet"/>
      <w:lvlText w:val=""/>
      <w:lvlJc w:val="left"/>
      <w:pPr>
        <w:ind w:left="720" w:hanging="360"/>
      </w:pPr>
      <w:rPr>
        <w:rFonts w:ascii="Symbol" w:hAnsi="Symbol"/>
      </w:rPr>
    </w:lvl>
    <w:lvl w:ilvl="3" w:tplc="C9FC5174">
      <w:start w:val="1"/>
      <w:numFmt w:val="bullet"/>
      <w:lvlText w:val=""/>
      <w:lvlJc w:val="left"/>
      <w:pPr>
        <w:ind w:left="720" w:hanging="360"/>
      </w:pPr>
      <w:rPr>
        <w:rFonts w:ascii="Symbol" w:hAnsi="Symbol"/>
      </w:rPr>
    </w:lvl>
    <w:lvl w:ilvl="4" w:tplc="5BB6AF24">
      <w:start w:val="1"/>
      <w:numFmt w:val="bullet"/>
      <w:lvlText w:val=""/>
      <w:lvlJc w:val="left"/>
      <w:pPr>
        <w:ind w:left="720" w:hanging="360"/>
      </w:pPr>
      <w:rPr>
        <w:rFonts w:ascii="Symbol" w:hAnsi="Symbol"/>
      </w:rPr>
    </w:lvl>
    <w:lvl w:ilvl="5" w:tplc="8D3224CE">
      <w:start w:val="1"/>
      <w:numFmt w:val="bullet"/>
      <w:lvlText w:val=""/>
      <w:lvlJc w:val="left"/>
      <w:pPr>
        <w:ind w:left="720" w:hanging="360"/>
      </w:pPr>
      <w:rPr>
        <w:rFonts w:ascii="Symbol" w:hAnsi="Symbol"/>
      </w:rPr>
    </w:lvl>
    <w:lvl w:ilvl="6" w:tplc="40989216">
      <w:start w:val="1"/>
      <w:numFmt w:val="bullet"/>
      <w:lvlText w:val=""/>
      <w:lvlJc w:val="left"/>
      <w:pPr>
        <w:ind w:left="720" w:hanging="360"/>
      </w:pPr>
      <w:rPr>
        <w:rFonts w:ascii="Symbol" w:hAnsi="Symbol"/>
      </w:rPr>
    </w:lvl>
    <w:lvl w:ilvl="7" w:tplc="BD5AC1DE">
      <w:start w:val="1"/>
      <w:numFmt w:val="bullet"/>
      <w:lvlText w:val=""/>
      <w:lvlJc w:val="left"/>
      <w:pPr>
        <w:ind w:left="720" w:hanging="360"/>
      </w:pPr>
      <w:rPr>
        <w:rFonts w:ascii="Symbol" w:hAnsi="Symbol"/>
      </w:rPr>
    </w:lvl>
    <w:lvl w:ilvl="8" w:tplc="DE08843A">
      <w:start w:val="1"/>
      <w:numFmt w:val="bullet"/>
      <w:lvlText w:val=""/>
      <w:lvlJc w:val="left"/>
      <w:pPr>
        <w:ind w:left="720" w:hanging="360"/>
      </w:pPr>
      <w:rPr>
        <w:rFonts w:ascii="Symbol" w:hAnsi="Symbol"/>
      </w:rPr>
    </w:lvl>
  </w:abstractNum>
  <w:abstractNum w:abstractNumId="42" w15:restartNumberingAfterBreak="0">
    <w:nsid w:val="67865529"/>
    <w:multiLevelType w:val="hybridMultilevel"/>
    <w:tmpl w:val="B23AE938"/>
    <w:lvl w:ilvl="0" w:tplc="BF98AE04">
      <w:start w:val="1"/>
      <w:numFmt w:val="bullet"/>
      <w:lvlText w:val=""/>
      <w:lvlJc w:val="left"/>
      <w:pPr>
        <w:ind w:left="720" w:hanging="360"/>
      </w:pPr>
      <w:rPr>
        <w:rFonts w:ascii="Symbol" w:hAnsi="Symbol"/>
      </w:rPr>
    </w:lvl>
    <w:lvl w:ilvl="1" w:tplc="649873F4">
      <w:start w:val="1"/>
      <w:numFmt w:val="bullet"/>
      <w:lvlText w:val=""/>
      <w:lvlJc w:val="left"/>
      <w:pPr>
        <w:ind w:left="720" w:hanging="360"/>
      </w:pPr>
      <w:rPr>
        <w:rFonts w:ascii="Symbol" w:hAnsi="Symbol"/>
      </w:rPr>
    </w:lvl>
    <w:lvl w:ilvl="2" w:tplc="C56AE4EC">
      <w:start w:val="1"/>
      <w:numFmt w:val="bullet"/>
      <w:lvlText w:val=""/>
      <w:lvlJc w:val="left"/>
      <w:pPr>
        <w:ind w:left="720" w:hanging="360"/>
      </w:pPr>
      <w:rPr>
        <w:rFonts w:ascii="Symbol" w:hAnsi="Symbol"/>
      </w:rPr>
    </w:lvl>
    <w:lvl w:ilvl="3" w:tplc="C4BAAAD8">
      <w:start w:val="1"/>
      <w:numFmt w:val="bullet"/>
      <w:lvlText w:val=""/>
      <w:lvlJc w:val="left"/>
      <w:pPr>
        <w:ind w:left="720" w:hanging="360"/>
      </w:pPr>
      <w:rPr>
        <w:rFonts w:ascii="Symbol" w:hAnsi="Symbol"/>
      </w:rPr>
    </w:lvl>
    <w:lvl w:ilvl="4" w:tplc="C7325772">
      <w:start w:val="1"/>
      <w:numFmt w:val="bullet"/>
      <w:lvlText w:val=""/>
      <w:lvlJc w:val="left"/>
      <w:pPr>
        <w:ind w:left="720" w:hanging="360"/>
      </w:pPr>
      <w:rPr>
        <w:rFonts w:ascii="Symbol" w:hAnsi="Symbol"/>
      </w:rPr>
    </w:lvl>
    <w:lvl w:ilvl="5" w:tplc="4AAE68B8">
      <w:start w:val="1"/>
      <w:numFmt w:val="bullet"/>
      <w:lvlText w:val=""/>
      <w:lvlJc w:val="left"/>
      <w:pPr>
        <w:ind w:left="720" w:hanging="360"/>
      </w:pPr>
      <w:rPr>
        <w:rFonts w:ascii="Symbol" w:hAnsi="Symbol"/>
      </w:rPr>
    </w:lvl>
    <w:lvl w:ilvl="6" w:tplc="C08A281A">
      <w:start w:val="1"/>
      <w:numFmt w:val="bullet"/>
      <w:lvlText w:val=""/>
      <w:lvlJc w:val="left"/>
      <w:pPr>
        <w:ind w:left="720" w:hanging="360"/>
      </w:pPr>
      <w:rPr>
        <w:rFonts w:ascii="Symbol" w:hAnsi="Symbol"/>
      </w:rPr>
    </w:lvl>
    <w:lvl w:ilvl="7" w:tplc="F0DEFB2E">
      <w:start w:val="1"/>
      <w:numFmt w:val="bullet"/>
      <w:lvlText w:val=""/>
      <w:lvlJc w:val="left"/>
      <w:pPr>
        <w:ind w:left="720" w:hanging="360"/>
      </w:pPr>
      <w:rPr>
        <w:rFonts w:ascii="Symbol" w:hAnsi="Symbol"/>
      </w:rPr>
    </w:lvl>
    <w:lvl w:ilvl="8" w:tplc="BD1A096E">
      <w:start w:val="1"/>
      <w:numFmt w:val="bullet"/>
      <w:lvlText w:val=""/>
      <w:lvlJc w:val="left"/>
      <w:pPr>
        <w:ind w:left="720" w:hanging="360"/>
      </w:pPr>
      <w:rPr>
        <w:rFonts w:ascii="Symbol" w:hAnsi="Symbol"/>
      </w:rPr>
    </w:lvl>
  </w:abstractNum>
  <w:abstractNum w:abstractNumId="43" w15:restartNumberingAfterBreak="0">
    <w:nsid w:val="69221071"/>
    <w:multiLevelType w:val="multilevel"/>
    <w:tmpl w:val="FD3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F41954"/>
    <w:multiLevelType w:val="multilevel"/>
    <w:tmpl w:val="A4CC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B922D7"/>
    <w:multiLevelType w:val="hybridMultilevel"/>
    <w:tmpl w:val="88C8FD8C"/>
    <w:lvl w:ilvl="0" w:tplc="A6602CB2">
      <w:start w:val="1"/>
      <w:numFmt w:val="bullet"/>
      <w:lvlText w:val=""/>
      <w:lvlJc w:val="left"/>
      <w:pPr>
        <w:ind w:left="720" w:hanging="360"/>
      </w:pPr>
      <w:rPr>
        <w:rFonts w:ascii="Symbol" w:hAnsi="Symbol"/>
      </w:rPr>
    </w:lvl>
    <w:lvl w:ilvl="1" w:tplc="F07A1C4A">
      <w:start w:val="1"/>
      <w:numFmt w:val="bullet"/>
      <w:lvlText w:val=""/>
      <w:lvlJc w:val="left"/>
      <w:pPr>
        <w:ind w:left="720" w:hanging="360"/>
      </w:pPr>
      <w:rPr>
        <w:rFonts w:ascii="Symbol" w:hAnsi="Symbol"/>
      </w:rPr>
    </w:lvl>
    <w:lvl w:ilvl="2" w:tplc="C0B4422A">
      <w:start w:val="1"/>
      <w:numFmt w:val="bullet"/>
      <w:lvlText w:val=""/>
      <w:lvlJc w:val="left"/>
      <w:pPr>
        <w:ind w:left="720" w:hanging="360"/>
      </w:pPr>
      <w:rPr>
        <w:rFonts w:ascii="Symbol" w:hAnsi="Symbol"/>
      </w:rPr>
    </w:lvl>
    <w:lvl w:ilvl="3" w:tplc="9770432C">
      <w:start w:val="1"/>
      <w:numFmt w:val="bullet"/>
      <w:lvlText w:val=""/>
      <w:lvlJc w:val="left"/>
      <w:pPr>
        <w:ind w:left="720" w:hanging="360"/>
      </w:pPr>
      <w:rPr>
        <w:rFonts w:ascii="Symbol" w:hAnsi="Symbol"/>
      </w:rPr>
    </w:lvl>
    <w:lvl w:ilvl="4" w:tplc="72F459D0">
      <w:start w:val="1"/>
      <w:numFmt w:val="bullet"/>
      <w:lvlText w:val=""/>
      <w:lvlJc w:val="left"/>
      <w:pPr>
        <w:ind w:left="720" w:hanging="360"/>
      </w:pPr>
      <w:rPr>
        <w:rFonts w:ascii="Symbol" w:hAnsi="Symbol"/>
      </w:rPr>
    </w:lvl>
    <w:lvl w:ilvl="5" w:tplc="D8B08DC4">
      <w:start w:val="1"/>
      <w:numFmt w:val="bullet"/>
      <w:lvlText w:val=""/>
      <w:lvlJc w:val="left"/>
      <w:pPr>
        <w:ind w:left="720" w:hanging="360"/>
      </w:pPr>
      <w:rPr>
        <w:rFonts w:ascii="Symbol" w:hAnsi="Symbol"/>
      </w:rPr>
    </w:lvl>
    <w:lvl w:ilvl="6" w:tplc="43AC9104">
      <w:start w:val="1"/>
      <w:numFmt w:val="bullet"/>
      <w:lvlText w:val=""/>
      <w:lvlJc w:val="left"/>
      <w:pPr>
        <w:ind w:left="720" w:hanging="360"/>
      </w:pPr>
      <w:rPr>
        <w:rFonts w:ascii="Symbol" w:hAnsi="Symbol"/>
      </w:rPr>
    </w:lvl>
    <w:lvl w:ilvl="7" w:tplc="AAD63F34">
      <w:start w:val="1"/>
      <w:numFmt w:val="bullet"/>
      <w:lvlText w:val=""/>
      <w:lvlJc w:val="left"/>
      <w:pPr>
        <w:ind w:left="720" w:hanging="360"/>
      </w:pPr>
      <w:rPr>
        <w:rFonts w:ascii="Symbol" w:hAnsi="Symbol"/>
      </w:rPr>
    </w:lvl>
    <w:lvl w:ilvl="8" w:tplc="0016C010">
      <w:start w:val="1"/>
      <w:numFmt w:val="bullet"/>
      <w:lvlText w:val=""/>
      <w:lvlJc w:val="left"/>
      <w:pPr>
        <w:ind w:left="720" w:hanging="360"/>
      </w:pPr>
      <w:rPr>
        <w:rFonts w:ascii="Symbol" w:hAnsi="Symbol"/>
      </w:rPr>
    </w:lvl>
  </w:abstractNum>
  <w:abstractNum w:abstractNumId="46" w15:restartNumberingAfterBreak="0">
    <w:nsid w:val="6E852938"/>
    <w:multiLevelType w:val="hybridMultilevel"/>
    <w:tmpl w:val="2050F61E"/>
    <w:lvl w:ilvl="0" w:tplc="8626BFAC">
      <w:start w:val="1"/>
      <w:numFmt w:val="bullet"/>
      <w:lvlText w:val=""/>
      <w:lvlJc w:val="left"/>
      <w:pPr>
        <w:ind w:left="720" w:hanging="360"/>
      </w:pPr>
      <w:rPr>
        <w:rFonts w:ascii="Symbol" w:hAnsi="Symbol"/>
      </w:rPr>
    </w:lvl>
    <w:lvl w:ilvl="1" w:tplc="AAA87216">
      <w:start w:val="1"/>
      <w:numFmt w:val="bullet"/>
      <w:lvlText w:val=""/>
      <w:lvlJc w:val="left"/>
      <w:pPr>
        <w:ind w:left="720" w:hanging="360"/>
      </w:pPr>
      <w:rPr>
        <w:rFonts w:ascii="Symbol" w:hAnsi="Symbol"/>
      </w:rPr>
    </w:lvl>
    <w:lvl w:ilvl="2" w:tplc="1F52E214">
      <w:start w:val="1"/>
      <w:numFmt w:val="bullet"/>
      <w:lvlText w:val=""/>
      <w:lvlJc w:val="left"/>
      <w:pPr>
        <w:ind w:left="720" w:hanging="360"/>
      </w:pPr>
      <w:rPr>
        <w:rFonts w:ascii="Symbol" w:hAnsi="Symbol"/>
      </w:rPr>
    </w:lvl>
    <w:lvl w:ilvl="3" w:tplc="AA44809E">
      <w:start w:val="1"/>
      <w:numFmt w:val="bullet"/>
      <w:lvlText w:val=""/>
      <w:lvlJc w:val="left"/>
      <w:pPr>
        <w:ind w:left="720" w:hanging="360"/>
      </w:pPr>
      <w:rPr>
        <w:rFonts w:ascii="Symbol" w:hAnsi="Symbol"/>
      </w:rPr>
    </w:lvl>
    <w:lvl w:ilvl="4" w:tplc="B4941C60">
      <w:start w:val="1"/>
      <w:numFmt w:val="bullet"/>
      <w:lvlText w:val=""/>
      <w:lvlJc w:val="left"/>
      <w:pPr>
        <w:ind w:left="720" w:hanging="360"/>
      </w:pPr>
      <w:rPr>
        <w:rFonts w:ascii="Symbol" w:hAnsi="Symbol"/>
      </w:rPr>
    </w:lvl>
    <w:lvl w:ilvl="5" w:tplc="E8102F44">
      <w:start w:val="1"/>
      <w:numFmt w:val="bullet"/>
      <w:lvlText w:val=""/>
      <w:lvlJc w:val="left"/>
      <w:pPr>
        <w:ind w:left="720" w:hanging="360"/>
      </w:pPr>
      <w:rPr>
        <w:rFonts w:ascii="Symbol" w:hAnsi="Symbol"/>
      </w:rPr>
    </w:lvl>
    <w:lvl w:ilvl="6" w:tplc="947CCB9A">
      <w:start w:val="1"/>
      <w:numFmt w:val="bullet"/>
      <w:lvlText w:val=""/>
      <w:lvlJc w:val="left"/>
      <w:pPr>
        <w:ind w:left="720" w:hanging="360"/>
      </w:pPr>
      <w:rPr>
        <w:rFonts w:ascii="Symbol" w:hAnsi="Symbol"/>
      </w:rPr>
    </w:lvl>
    <w:lvl w:ilvl="7" w:tplc="7A7ED7E2">
      <w:start w:val="1"/>
      <w:numFmt w:val="bullet"/>
      <w:lvlText w:val=""/>
      <w:lvlJc w:val="left"/>
      <w:pPr>
        <w:ind w:left="720" w:hanging="360"/>
      </w:pPr>
      <w:rPr>
        <w:rFonts w:ascii="Symbol" w:hAnsi="Symbol"/>
      </w:rPr>
    </w:lvl>
    <w:lvl w:ilvl="8" w:tplc="8C0AC450">
      <w:start w:val="1"/>
      <w:numFmt w:val="bullet"/>
      <w:lvlText w:val=""/>
      <w:lvlJc w:val="left"/>
      <w:pPr>
        <w:ind w:left="720" w:hanging="360"/>
      </w:pPr>
      <w:rPr>
        <w:rFonts w:ascii="Symbol" w:hAnsi="Symbol"/>
      </w:rPr>
    </w:lvl>
  </w:abstractNum>
  <w:abstractNum w:abstractNumId="47" w15:restartNumberingAfterBreak="0">
    <w:nsid w:val="77F13D0F"/>
    <w:multiLevelType w:val="multilevel"/>
    <w:tmpl w:val="322E9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BC430E"/>
    <w:multiLevelType w:val="hybridMultilevel"/>
    <w:tmpl w:val="68D64D82"/>
    <w:lvl w:ilvl="0" w:tplc="EFEA84DA">
      <w:start w:val="1"/>
      <w:numFmt w:val="bullet"/>
      <w:lvlText w:val=""/>
      <w:lvlJc w:val="left"/>
      <w:pPr>
        <w:ind w:left="720" w:hanging="360"/>
      </w:pPr>
      <w:rPr>
        <w:rFonts w:ascii="Symbol" w:hAnsi="Symbol"/>
      </w:rPr>
    </w:lvl>
    <w:lvl w:ilvl="1" w:tplc="FD487470">
      <w:start w:val="1"/>
      <w:numFmt w:val="bullet"/>
      <w:lvlText w:val=""/>
      <w:lvlJc w:val="left"/>
      <w:pPr>
        <w:ind w:left="720" w:hanging="360"/>
      </w:pPr>
      <w:rPr>
        <w:rFonts w:ascii="Symbol" w:hAnsi="Symbol"/>
      </w:rPr>
    </w:lvl>
    <w:lvl w:ilvl="2" w:tplc="896C697A">
      <w:start w:val="1"/>
      <w:numFmt w:val="bullet"/>
      <w:lvlText w:val=""/>
      <w:lvlJc w:val="left"/>
      <w:pPr>
        <w:ind w:left="720" w:hanging="360"/>
      </w:pPr>
      <w:rPr>
        <w:rFonts w:ascii="Symbol" w:hAnsi="Symbol"/>
      </w:rPr>
    </w:lvl>
    <w:lvl w:ilvl="3" w:tplc="E02C97BA">
      <w:start w:val="1"/>
      <w:numFmt w:val="bullet"/>
      <w:lvlText w:val=""/>
      <w:lvlJc w:val="left"/>
      <w:pPr>
        <w:ind w:left="720" w:hanging="360"/>
      </w:pPr>
      <w:rPr>
        <w:rFonts w:ascii="Symbol" w:hAnsi="Symbol"/>
      </w:rPr>
    </w:lvl>
    <w:lvl w:ilvl="4" w:tplc="224AF0DA">
      <w:start w:val="1"/>
      <w:numFmt w:val="bullet"/>
      <w:lvlText w:val=""/>
      <w:lvlJc w:val="left"/>
      <w:pPr>
        <w:ind w:left="720" w:hanging="360"/>
      </w:pPr>
      <w:rPr>
        <w:rFonts w:ascii="Symbol" w:hAnsi="Symbol"/>
      </w:rPr>
    </w:lvl>
    <w:lvl w:ilvl="5" w:tplc="90404B18">
      <w:start w:val="1"/>
      <w:numFmt w:val="bullet"/>
      <w:lvlText w:val=""/>
      <w:lvlJc w:val="left"/>
      <w:pPr>
        <w:ind w:left="720" w:hanging="360"/>
      </w:pPr>
      <w:rPr>
        <w:rFonts w:ascii="Symbol" w:hAnsi="Symbol"/>
      </w:rPr>
    </w:lvl>
    <w:lvl w:ilvl="6" w:tplc="2D4AEF0A">
      <w:start w:val="1"/>
      <w:numFmt w:val="bullet"/>
      <w:lvlText w:val=""/>
      <w:lvlJc w:val="left"/>
      <w:pPr>
        <w:ind w:left="720" w:hanging="360"/>
      </w:pPr>
      <w:rPr>
        <w:rFonts w:ascii="Symbol" w:hAnsi="Symbol"/>
      </w:rPr>
    </w:lvl>
    <w:lvl w:ilvl="7" w:tplc="D826D65C">
      <w:start w:val="1"/>
      <w:numFmt w:val="bullet"/>
      <w:lvlText w:val=""/>
      <w:lvlJc w:val="left"/>
      <w:pPr>
        <w:ind w:left="720" w:hanging="360"/>
      </w:pPr>
      <w:rPr>
        <w:rFonts w:ascii="Symbol" w:hAnsi="Symbol"/>
      </w:rPr>
    </w:lvl>
    <w:lvl w:ilvl="8" w:tplc="23A8558E">
      <w:start w:val="1"/>
      <w:numFmt w:val="bullet"/>
      <w:lvlText w:val=""/>
      <w:lvlJc w:val="left"/>
      <w:pPr>
        <w:ind w:left="720" w:hanging="360"/>
      </w:pPr>
      <w:rPr>
        <w:rFonts w:ascii="Symbol" w:hAnsi="Symbol"/>
      </w:rPr>
    </w:lvl>
  </w:abstractNum>
  <w:abstractNum w:abstractNumId="49" w15:restartNumberingAfterBreak="0">
    <w:nsid w:val="7E265994"/>
    <w:multiLevelType w:val="hybridMultilevel"/>
    <w:tmpl w:val="7C44B6FA"/>
    <w:lvl w:ilvl="0" w:tplc="1180C0C6">
      <w:start w:val="1"/>
      <w:numFmt w:val="bullet"/>
      <w:lvlText w:val=""/>
      <w:lvlJc w:val="left"/>
      <w:pPr>
        <w:ind w:left="720" w:hanging="360"/>
      </w:pPr>
      <w:rPr>
        <w:rFonts w:ascii="Symbol" w:hAnsi="Symbol"/>
      </w:rPr>
    </w:lvl>
    <w:lvl w:ilvl="1" w:tplc="2160C132">
      <w:start w:val="1"/>
      <w:numFmt w:val="bullet"/>
      <w:lvlText w:val=""/>
      <w:lvlJc w:val="left"/>
      <w:pPr>
        <w:ind w:left="720" w:hanging="360"/>
      </w:pPr>
      <w:rPr>
        <w:rFonts w:ascii="Symbol" w:hAnsi="Symbol"/>
      </w:rPr>
    </w:lvl>
    <w:lvl w:ilvl="2" w:tplc="3DF68FD2">
      <w:start w:val="1"/>
      <w:numFmt w:val="bullet"/>
      <w:lvlText w:val=""/>
      <w:lvlJc w:val="left"/>
      <w:pPr>
        <w:ind w:left="720" w:hanging="360"/>
      </w:pPr>
      <w:rPr>
        <w:rFonts w:ascii="Symbol" w:hAnsi="Symbol"/>
      </w:rPr>
    </w:lvl>
    <w:lvl w:ilvl="3" w:tplc="FE967CA2">
      <w:start w:val="1"/>
      <w:numFmt w:val="bullet"/>
      <w:lvlText w:val=""/>
      <w:lvlJc w:val="left"/>
      <w:pPr>
        <w:ind w:left="720" w:hanging="360"/>
      </w:pPr>
      <w:rPr>
        <w:rFonts w:ascii="Symbol" w:hAnsi="Symbol"/>
      </w:rPr>
    </w:lvl>
    <w:lvl w:ilvl="4" w:tplc="E4F648AA">
      <w:start w:val="1"/>
      <w:numFmt w:val="bullet"/>
      <w:lvlText w:val=""/>
      <w:lvlJc w:val="left"/>
      <w:pPr>
        <w:ind w:left="720" w:hanging="360"/>
      </w:pPr>
      <w:rPr>
        <w:rFonts w:ascii="Symbol" w:hAnsi="Symbol"/>
      </w:rPr>
    </w:lvl>
    <w:lvl w:ilvl="5" w:tplc="1B56F0FE">
      <w:start w:val="1"/>
      <w:numFmt w:val="bullet"/>
      <w:lvlText w:val=""/>
      <w:lvlJc w:val="left"/>
      <w:pPr>
        <w:ind w:left="720" w:hanging="360"/>
      </w:pPr>
      <w:rPr>
        <w:rFonts w:ascii="Symbol" w:hAnsi="Symbol"/>
      </w:rPr>
    </w:lvl>
    <w:lvl w:ilvl="6" w:tplc="C2D6025C">
      <w:start w:val="1"/>
      <w:numFmt w:val="bullet"/>
      <w:lvlText w:val=""/>
      <w:lvlJc w:val="left"/>
      <w:pPr>
        <w:ind w:left="720" w:hanging="360"/>
      </w:pPr>
      <w:rPr>
        <w:rFonts w:ascii="Symbol" w:hAnsi="Symbol"/>
      </w:rPr>
    </w:lvl>
    <w:lvl w:ilvl="7" w:tplc="E736B0D4">
      <w:start w:val="1"/>
      <w:numFmt w:val="bullet"/>
      <w:lvlText w:val=""/>
      <w:lvlJc w:val="left"/>
      <w:pPr>
        <w:ind w:left="720" w:hanging="360"/>
      </w:pPr>
      <w:rPr>
        <w:rFonts w:ascii="Symbol" w:hAnsi="Symbol"/>
      </w:rPr>
    </w:lvl>
    <w:lvl w:ilvl="8" w:tplc="4482C106">
      <w:start w:val="1"/>
      <w:numFmt w:val="bullet"/>
      <w:lvlText w:val=""/>
      <w:lvlJc w:val="left"/>
      <w:pPr>
        <w:ind w:left="720" w:hanging="360"/>
      </w:pPr>
      <w:rPr>
        <w:rFonts w:ascii="Symbol" w:hAnsi="Symbol"/>
      </w:rPr>
    </w:lvl>
  </w:abstractNum>
  <w:abstractNum w:abstractNumId="50" w15:restartNumberingAfterBreak="0">
    <w:nsid w:val="7FB50849"/>
    <w:multiLevelType w:val="hybridMultilevel"/>
    <w:tmpl w:val="04268324"/>
    <w:lvl w:ilvl="0" w:tplc="9A7ACBF2">
      <w:start w:val="1"/>
      <w:numFmt w:val="bullet"/>
      <w:lvlText w:val=""/>
      <w:lvlJc w:val="left"/>
      <w:pPr>
        <w:ind w:left="720" w:hanging="360"/>
      </w:pPr>
      <w:rPr>
        <w:rFonts w:ascii="Symbol" w:hAnsi="Symbol"/>
      </w:rPr>
    </w:lvl>
    <w:lvl w:ilvl="1" w:tplc="B43E359C">
      <w:start w:val="1"/>
      <w:numFmt w:val="bullet"/>
      <w:lvlText w:val=""/>
      <w:lvlJc w:val="left"/>
      <w:pPr>
        <w:ind w:left="720" w:hanging="360"/>
      </w:pPr>
      <w:rPr>
        <w:rFonts w:ascii="Symbol" w:hAnsi="Symbol"/>
      </w:rPr>
    </w:lvl>
    <w:lvl w:ilvl="2" w:tplc="015A1092">
      <w:start w:val="1"/>
      <w:numFmt w:val="bullet"/>
      <w:lvlText w:val=""/>
      <w:lvlJc w:val="left"/>
      <w:pPr>
        <w:ind w:left="720" w:hanging="360"/>
      </w:pPr>
      <w:rPr>
        <w:rFonts w:ascii="Symbol" w:hAnsi="Symbol"/>
      </w:rPr>
    </w:lvl>
    <w:lvl w:ilvl="3" w:tplc="0B74CAD2">
      <w:start w:val="1"/>
      <w:numFmt w:val="bullet"/>
      <w:lvlText w:val=""/>
      <w:lvlJc w:val="left"/>
      <w:pPr>
        <w:ind w:left="720" w:hanging="360"/>
      </w:pPr>
      <w:rPr>
        <w:rFonts w:ascii="Symbol" w:hAnsi="Symbol"/>
      </w:rPr>
    </w:lvl>
    <w:lvl w:ilvl="4" w:tplc="7F568208">
      <w:start w:val="1"/>
      <w:numFmt w:val="bullet"/>
      <w:lvlText w:val=""/>
      <w:lvlJc w:val="left"/>
      <w:pPr>
        <w:ind w:left="720" w:hanging="360"/>
      </w:pPr>
      <w:rPr>
        <w:rFonts w:ascii="Symbol" w:hAnsi="Symbol"/>
      </w:rPr>
    </w:lvl>
    <w:lvl w:ilvl="5" w:tplc="0C56C14E">
      <w:start w:val="1"/>
      <w:numFmt w:val="bullet"/>
      <w:lvlText w:val=""/>
      <w:lvlJc w:val="left"/>
      <w:pPr>
        <w:ind w:left="720" w:hanging="360"/>
      </w:pPr>
      <w:rPr>
        <w:rFonts w:ascii="Symbol" w:hAnsi="Symbol"/>
      </w:rPr>
    </w:lvl>
    <w:lvl w:ilvl="6" w:tplc="3FAC1B74">
      <w:start w:val="1"/>
      <w:numFmt w:val="bullet"/>
      <w:lvlText w:val=""/>
      <w:lvlJc w:val="left"/>
      <w:pPr>
        <w:ind w:left="720" w:hanging="360"/>
      </w:pPr>
      <w:rPr>
        <w:rFonts w:ascii="Symbol" w:hAnsi="Symbol"/>
      </w:rPr>
    </w:lvl>
    <w:lvl w:ilvl="7" w:tplc="817E35B6">
      <w:start w:val="1"/>
      <w:numFmt w:val="bullet"/>
      <w:lvlText w:val=""/>
      <w:lvlJc w:val="left"/>
      <w:pPr>
        <w:ind w:left="720" w:hanging="360"/>
      </w:pPr>
      <w:rPr>
        <w:rFonts w:ascii="Symbol" w:hAnsi="Symbol"/>
      </w:rPr>
    </w:lvl>
    <w:lvl w:ilvl="8" w:tplc="0E8A2A0E">
      <w:start w:val="1"/>
      <w:numFmt w:val="bullet"/>
      <w:lvlText w:val=""/>
      <w:lvlJc w:val="left"/>
      <w:pPr>
        <w:ind w:left="720" w:hanging="360"/>
      </w:pPr>
      <w:rPr>
        <w:rFonts w:ascii="Symbol" w:hAnsi="Symbol"/>
      </w:rPr>
    </w:lvl>
  </w:abstractNum>
  <w:abstractNum w:abstractNumId="51" w15:restartNumberingAfterBreak="0">
    <w:nsid w:val="7FFB20AF"/>
    <w:multiLevelType w:val="hybridMultilevel"/>
    <w:tmpl w:val="0FE05912"/>
    <w:lvl w:ilvl="0" w:tplc="6BF401AC">
      <w:start w:val="1"/>
      <w:numFmt w:val="bullet"/>
      <w:lvlText w:val=""/>
      <w:lvlJc w:val="left"/>
      <w:pPr>
        <w:ind w:left="720" w:hanging="360"/>
      </w:pPr>
      <w:rPr>
        <w:rFonts w:ascii="Symbol" w:hAnsi="Symbol"/>
      </w:rPr>
    </w:lvl>
    <w:lvl w:ilvl="1" w:tplc="87321966">
      <w:start w:val="1"/>
      <w:numFmt w:val="bullet"/>
      <w:lvlText w:val=""/>
      <w:lvlJc w:val="left"/>
      <w:pPr>
        <w:ind w:left="720" w:hanging="360"/>
      </w:pPr>
      <w:rPr>
        <w:rFonts w:ascii="Symbol" w:hAnsi="Symbol"/>
      </w:rPr>
    </w:lvl>
    <w:lvl w:ilvl="2" w:tplc="CBBCA5AE">
      <w:start w:val="1"/>
      <w:numFmt w:val="bullet"/>
      <w:lvlText w:val=""/>
      <w:lvlJc w:val="left"/>
      <w:pPr>
        <w:ind w:left="720" w:hanging="360"/>
      </w:pPr>
      <w:rPr>
        <w:rFonts w:ascii="Symbol" w:hAnsi="Symbol"/>
      </w:rPr>
    </w:lvl>
    <w:lvl w:ilvl="3" w:tplc="896EEC74">
      <w:start w:val="1"/>
      <w:numFmt w:val="bullet"/>
      <w:lvlText w:val=""/>
      <w:lvlJc w:val="left"/>
      <w:pPr>
        <w:ind w:left="720" w:hanging="360"/>
      </w:pPr>
      <w:rPr>
        <w:rFonts w:ascii="Symbol" w:hAnsi="Symbol"/>
      </w:rPr>
    </w:lvl>
    <w:lvl w:ilvl="4" w:tplc="D6143760">
      <w:start w:val="1"/>
      <w:numFmt w:val="bullet"/>
      <w:lvlText w:val=""/>
      <w:lvlJc w:val="left"/>
      <w:pPr>
        <w:ind w:left="720" w:hanging="360"/>
      </w:pPr>
      <w:rPr>
        <w:rFonts w:ascii="Symbol" w:hAnsi="Symbol"/>
      </w:rPr>
    </w:lvl>
    <w:lvl w:ilvl="5" w:tplc="B21210FC">
      <w:start w:val="1"/>
      <w:numFmt w:val="bullet"/>
      <w:lvlText w:val=""/>
      <w:lvlJc w:val="left"/>
      <w:pPr>
        <w:ind w:left="720" w:hanging="360"/>
      </w:pPr>
      <w:rPr>
        <w:rFonts w:ascii="Symbol" w:hAnsi="Symbol"/>
      </w:rPr>
    </w:lvl>
    <w:lvl w:ilvl="6" w:tplc="DBCEF330">
      <w:start w:val="1"/>
      <w:numFmt w:val="bullet"/>
      <w:lvlText w:val=""/>
      <w:lvlJc w:val="left"/>
      <w:pPr>
        <w:ind w:left="720" w:hanging="360"/>
      </w:pPr>
      <w:rPr>
        <w:rFonts w:ascii="Symbol" w:hAnsi="Symbol"/>
      </w:rPr>
    </w:lvl>
    <w:lvl w:ilvl="7" w:tplc="17683108">
      <w:start w:val="1"/>
      <w:numFmt w:val="bullet"/>
      <w:lvlText w:val=""/>
      <w:lvlJc w:val="left"/>
      <w:pPr>
        <w:ind w:left="720" w:hanging="360"/>
      </w:pPr>
      <w:rPr>
        <w:rFonts w:ascii="Symbol" w:hAnsi="Symbol"/>
      </w:rPr>
    </w:lvl>
    <w:lvl w:ilvl="8" w:tplc="7730F548">
      <w:start w:val="1"/>
      <w:numFmt w:val="bullet"/>
      <w:lvlText w:val=""/>
      <w:lvlJc w:val="left"/>
      <w:pPr>
        <w:ind w:left="720" w:hanging="360"/>
      </w:pPr>
      <w:rPr>
        <w:rFonts w:ascii="Symbol" w:hAnsi="Symbol"/>
      </w:rPr>
    </w:lvl>
  </w:abstractNum>
  <w:num w:numId="1" w16cid:durableId="1032997172">
    <w:abstractNumId w:val="15"/>
  </w:num>
  <w:num w:numId="2" w16cid:durableId="1856573705">
    <w:abstractNumId w:val="9"/>
  </w:num>
  <w:num w:numId="3" w16cid:durableId="357703499">
    <w:abstractNumId w:val="14"/>
  </w:num>
  <w:num w:numId="4" w16cid:durableId="1869176708">
    <w:abstractNumId w:val="35"/>
  </w:num>
  <w:num w:numId="5" w16cid:durableId="1652950129">
    <w:abstractNumId w:val="19"/>
  </w:num>
  <w:num w:numId="6" w16cid:durableId="1053193207">
    <w:abstractNumId w:val="34"/>
  </w:num>
  <w:num w:numId="7" w16cid:durableId="178393912">
    <w:abstractNumId w:val="7"/>
  </w:num>
  <w:num w:numId="8" w16cid:durableId="66810520">
    <w:abstractNumId w:val="33"/>
  </w:num>
  <w:num w:numId="9" w16cid:durableId="1900049753">
    <w:abstractNumId w:val="29"/>
  </w:num>
  <w:num w:numId="10" w16cid:durableId="1975986407">
    <w:abstractNumId w:val="22"/>
  </w:num>
  <w:num w:numId="11" w16cid:durableId="1099371160">
    <w:abstractNumId w:val="49"/>
  </w:num>
  <w:num w:numId="12" w16cid:durableId="1298300369">
    <w:abstractNumId w:val="12"/>
  </w:num>
  <w:num w:numId="13" w16cid:durableId="485051653">
    <w:abstractNumId w:val="6"/>
  </w:num>
  <w:num w:numId="14" w16cid:durableId="1305626515">
    <w:abstractNumId w:val="38"/>
  </w:num>
  <w:num w:numId="15" w16cid:durableId="388385718">
    <w:abstractNumId w:val="39"/>
  </w:num>
  <w:num w:numId="16" w16cid:durableId="1093549426">
    <w:abstractNumId w:val="36"/>
  </w:num>
  <w:num w:numId="17" w16cid:durableId="904880674">
    <w:abstractNumId w:val="25"/>
  </w:num>
  <w:num w:numId="18" w16cid:durableId="1941182012">
    <w:abstractNumId w:val="21"/>
  </w:num>
  <w:num w:numId="19" w16cid:durableId="1418362626">
    <w:abstractNumId w:val="13"/>
  </w:num>
  <w:num w:numId="20" w16cid:durableId="612791517">
    <w:abstractNumId w:val="43"/>
  </w:num>
  <w:num w:numId="21" w16cid:durableId="429353801">
    <w:abstractNumId w:val="10"/>
  </w:num>
  <w:num w:numId="22" w16cid:durableId="1673529964">
    <w:abstractNumId w:val="18"/>
  </w:num>
  <w:num w:numId="23" w16cid:durableId="2082288798">
    <w:abstractNumId w:val="47"/>
  </w:num>
  <w:num w:numId="24" w16cid:durableId="1280260516">
    <w:abstractNumId w:val="47"/>
    <w:lvlOverride w:ilvl="1">
      <w:lvl w:ilvl="1">
        <w:numFmt w:val="bullet"/>
        <w:lvlText w:val=""/>
        <w:lvlJc w:val="left"/>
        <w:pPr>
          <w:tabs>
            <w:tab w:val="num" w:pos="1440"/>
          </w:tabs>
          <w:ind w:left="1440" w:hanging="360"/>
        </w:pPr>
        <w:rPr>
          <w:rFonts w:ascii="Symbol" w:hAnsi="Symbol" w:hint="default"/>
          <w:sz w:val="20"/>
        </w:rPr>
      </w:lvl>
    </w:lvlOverride>
  </w:num>
  <w:num w:numId="25" w16cid:durableId="422801411">
    <w:abstractNumId w:val="47"/>
    <w:lvlOverride w:ilvl="1">
      <w:lvl w:ilvl="1">
        <w:numFmt w:val="bullet"/>
        <w:lvlText w:val=""/>
        <w:lvlJc w:val="left"/>
        <w:pPr>
          <w:tabs>
            <w:tab w:val="num" w:pos="1440"/>
          </w:tabs>
          <w:ind w:left="1440" w:hanging="360"/>
        </w:pPr>
        <w:rPr>
          <w:rFonts w:ascii="Symbol" w:hAnsi="Symbol" w:hint="default"/>
          <w:sz w:val="20"/>
        </w:rPr>
      </w:lvl>
    </w:lvlOverride>
  </w:num>
  <w:num w:numId="26" w16cid:durableId="406920230">
    <w:abstractNumId w:val="47"/>
    <w:lvlOverride w:ilvl="1">
      <w:lvl w:ilvl="1">
        <w:numFmt w:val="bullet"/>
        <w:lvlText w:val=""/>
        <w:lvlJc w:val="left"/>
        <w:pPr>
          <w:tabs>
            <w:tab w:val="num" w:pos="1440"/>
          </w:tabs>
          <w:ind w:left="1440" w:hanging="360"/>
        </w:pPr>
        <w:rPr>
          <w:rFonts w:ascii="Symbol" w:hAnsi="Symbol" w:hint="default"/>
          <w:sz w:val="20"/>
        </w:rPr>
      </w:lvl>
    </w:lvlOverride>
  </w:num>
  <w:num w:numId="27" w16cid:durableId="1900743867">
    <w:abstractNumId w:val="44"/>
  </w:num>
  <w:num w:numId="28" w16cid:durableId="635912284">
    <w:abstractNumId w:val="2"/>
  </w:num>
  <w:num w:numId="29" w16cid:durableId="362487117">
    <w:abstractNumId w:val="31"/>
  </w:num>
  <w:num w:numId="30" w16cid:durableId="460194492">
    <w:abstractNumId w:val="23"/>
  </w:num>
  <w:num w:numId="31" w16cid:durableId="319816368">
    <w:abstractNumId w:val="8"/>
  </w:num>
  <w:num w:numId="32" w16cid:durableId="1543714382">
    <w:abstractNumId w:val="24"/>
  </w:num>
  <w:num w:numId="33" w16cid:durableId="1407729752">
    <w:abstractNumId w:val="16"/>
  </w:num>
  <w:num w:numId="34" w16cid:durableId="1637372152">
    <w:abstractNumId w:val="50"/>
  </w:num>
  <w:num w:numId="35" w16cid:durableId="1596086073">
    <w:abstractNumId w:val="11"/>
  </w:num>
  <w:num w:numId="36" w16cid:durableId="2105105576">
    <w:abstractNumId w:val="42"/>
  </w:num>
  <w:num w:numId="37" w16cid:durableId="535460787">
    <w:abstractNumId w:val="4"/>
  </w:num>
  <w:num w:numId="38" w16cid:durableId="1318924209">
    <w:abstractNumId w:val="27"/>
  </w:num>
  <w:num w:numId="39" w16cid:durableId="707947675">
    <w:abstractNumId w:val="30"/>
  </w:num>
  <w:num w:numId="40" w16cid:durableId="162089968">
    <w:abstractNumId w:val="28"/>
  </w:num>
  <w:num w:numId="41" w16cid:durableId="909925042">
    <w:abstractNumId w:val="51"/>
  </w:num>
  <w:num w:numId="42" w16cid:durableId="1086221464">
    <w:abstractNumId w:val="26"/>
  </w:num>
  <w:num w:numId="43" w16cid:durableId="1856337468">
    <w:abstractNumId w:val="0"/>
  </w:num>
  <w:num w:numId="44" w16cid:durableId="165364942">
    <w:abstractNumId w:val="17"/>
  </w:num>
  <w:num w:numId="45" w16cid:durableId="1435251313">
    <w:abstractNumId w:val="32"/>
  </w:num>
  <w:num w:numId="46" w16cid:durableId="1813253884">
    <w:abstractNumId w:val="46"/>
  </w:num>
  <w:num w:numId="47" w16cid:durableId="123550714">
    <w:abstractNumId w:val="41"/>
  </w:num>
  <w:num w:numId="48" w16cid:durableId="1440029484">
    <w:abstractNumId w:val="45"/>
  </w:num>
  <w:num w:numId="49" w16cid:durableId="420487701">
    <w:abstractNumId w:val="5"/>
  </w:num>
  <w:num w:numId="50" w16cid:durableId="502403676">
    <w:abstractNumId w:val="40"/>
  </w:num>
  <w:num w:numId="51" w16cid:durableId="1212812561">
    <w:abstractNumId w:val="1"/>
  </w:num>
  <w:num w:numId="52" w16cid:durableId="2103068108">
    <w:abstractNumId w:val="3"/>
  </w:num>
  <w:num w:numId="53" w16cid:durableId="2076001519">
    <w:abstractNumId w:val="20"/>
  </w:num>
  <w:num w:numId="54" w16cid:durableId="93945157">
    <w:abstractNumId w:val="37"/>
  </w:num>
  <w:num w:numId="55" w16cid:durableId="1334605980">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184"/>
    <w:rsid w:val="00004431"/>
    <w:rsid w:val="00004553"/>
    <w:rsid w:val="00005062"/>
    <w:rsid w:val="000069DD"/>
    <w:rsid w:val="00007F37"/>
    <w:rsid w:val="0001064C"/>
    <w:rsid w:val="0001384A"/>
    <w:rsid w:val="00014E49"/>
    <w:rsid w:val="0002051B"/>
    <w:rsid w:val="00020B9F"/>
    <w:rsid w:val="00021849"/>
    <w:rsid w:val="00022203"/>
    <w:rsid w:val="00022D1C"/>
    <w:rsid w:val="000264B0"/>
    <w:rsid w:val="00027A57"/>
    <w:rsid w:val="000307DD"/>
    <w:rsid w:val="00031620"/>
    <w:rsid w:val="00032A0F"/>
    <w:rsid w:val="00033FE6"/>
    <w:rsid w:val="000357F0"/>
    <w:rsid w:val="00035F61"/>
    <w:rsid w:val="000371AF"/>
    <w:rsid w:val="00037A27"/>
    <w:rsid w:val="00040C33"/>
    <w:rsid w:val="00040D8D"/>
    <w:rsid w:val="00040E47"/>
    <w:rsid w:val="000414B5"/>
    <w:rsid w:val="00044430"/>
    <w:rsid w:val="0004482F"/>
    <w:rsid w:val="00046423"/>
    <w:rsid w:val="00050E11"/>
    <w:rsid w:val="0005204B"/>
    <w:rsid w:val="0005507F"/>
    <w:rsid w:val="00055423"/>
    <w:rsid w:val="00055B3C"/>
    <w:rsid w:val="00056055"/>
    <w:rsid w:val="0005613D"/>
    <w:rsid w:val="0006104E"/>
    <w:rsid w:val="000636C1"/>
    <w:rsid w:val="000640BD"/>
    <w:rsid w:val="00064F4F"/>
    <w:rsid w:val="00065839"/>
    <w:rsid w:val="00065FDF"/>
    <w:rsid w:val="00065FE6"/>
    <w:rsid w:val="00067200"/>
    <w:rsid w:val="000707E8"/>
    <w:rsid w:val="0007245D"/>
    <w:rsid w:val="00074541"/>
    <w:rsid w:val="00075E58"/>
    <w:rsid w:val="0007632B"/>
    <w:rsid w:val="00076400"/>
    <w:rsid w:val="00077844"/>
    <w:rsid w:val="00081AF9"/>
    <w:rsid w:val="000825F9"/>
    <w:rsid w:val="00086191"/>
    <w:rsid w:val="00086AF3"/>
    <w:rsid w:val="00090118"/>
    <w:rsid w:val="00090510"/>
    <w:rsid w:val="000915A3"/>
    <w:rsid w:val="000917AE"/>
    <w:rsid w:val="00094B81"/>
    <w:rsid w:val="000975AA"/>
    <w:rsid w:val="000A2685"/>
    <w:rsid w:val="000B4671"/>
    <w:rsid w:val="000B578D"/>
    <w:rsid w:val="000B58E2"/>
    <w:rsid w:val="000B6B15"/>
    <w:rsid w:val="000B769E"/>
    <w:rsid w:val="000B7C92"/>
    <w:rsid w:val="000C0E51"/>
    <w:rsid w:val="000C1A4C"/>
    <w:rsid w:val="000C25A7"/>
    <w:rsid w:val="000C3DB9"/>
    <w:rsid w:val="000C47E0"/>
    <w:rsid w:val="000C4CC0"/>
    <w:rsid w:val="000D055D"/>
    <w:rsid w:val="000D29BB"/>
    <w:rsid w:val="000D6FE6"/>
    <w:rsid w:val="000D742C"/>
    <w:rsid w:val="000D78EC"/>
    <w:rsid w:val="000D7934"/>
    <w:rsid w:val="000E0E26"/>
    <w:rsid w:val="000E2597"/>
    <w:rsid w:val="000E2D3C"/>
    <w:rsid w:val="000E3C5D"/>
    <w:rsid w:val="000E42AA"/>
    <w:rsid w:val="000E504E"/>
    <w:rsid w:val="000E542C"/>
    <w:rsid w:val="000E6746"/>
    <w:rsid w:val="000E79B7"/>
    <w:rsid w:val="000F12BE"/>
    <w:rsid w:val="000F24F0"/>
    <w:rsid w:val="000F398A"/>
    <w:rsid w:val="000F42DB"/>
    <w:rsid w:val="000F74EE"/>
    <w:rsid w:val="000F7B51"/>
    <w:rsid w:val="00101BEE"/>
    <w:rsid w:val="00101CE6"/>
    <w:rsid w:val="00101FB1"/>
    <w:rsid w:val="001034E5"/>
    <w:rsid w:val="0010558A"/>
    <w:rsid w:val="001058D3"/>
    <w:rsid w:val="00106195"/>
    <w:rsid w:val="001101FF"/>
    <w:rsid w:val="00111651"/>
    <w:rsid w:val="001129CD"/>
    <w:rsid w:val="001134F5"/>
    <w:rsid w:val="00113F9F"/>
    <w:rsid w:val="0011408C"/>
    <w:rsid w:val="001159E8"/>
    <w:rsid w:val="001219C1"/>
    <w:rsid w:val="001246F1"/>
    <w:rsid w:val="0012473C"/>
    <w:rsid w:val="00124888"/>
    <w:rsid w:val="00127068"/>
    <w:rsid w:val="00127A74"/>
    <w:rsid w:val="00127DE3"/>
    <w:rsid w:val="0013132F"/>
    <w:rsid w:val="0013306D"/>
    <w:rsid w:val="00133C90"/>
    <w:rsid w:val="0013528C"/>
    <w:rsid w:val="00136830"/>
    <w:rsid w:val="00140062"/>
    <w:rsid w:val="00141616"/>
    <w:rsid w:val="001429A0"/>
    <w:rsid w:val="0014343C"/>
    <w:rsid w:val="00143F22"/>
    <w:rsid w:val="001442A2"/>
    <w:rsid w:val="001468CA"/>
    <w:rsid w:val="001472BC"/>
    <w:rsid w:val="001500A8"/>
    <w:rsid w:val="00150940"/>
    <w:rsid w:val="00152151"/>
    <w:rsid w:val="00155D85"/>
    <w:rsid w:val="00155DA3"/>
    <w:rsid w:val="00157661"/>
    <w:rsid w:val="00160176"/>
    <w:rsid w:val="001604F6"/>
    <w:rsid w:val="00164669"/>
    <w:rsid w:val="00165D28"/>
    <w:rsid w:val="0017005C"/>
    <w:rsid w:val="0017484F"/>
    <w:rsid w:val="00175437"/>
    <w:rsid w:val="00175CD8"/>
    <w:rsid w:val="001803C8"/>
    <w:rsid w:val="00181430"/>
    <w:rsid w:val="00182BD8"/>
    <w:rsid w:val="00183C42"/>
    <w:rsid w:val="00186B51"/>
    <w:rsid w:val="00187278"/>
    <w:rsid w:val="001909C0"/>
    <w:rsid w:val="00195342"/>
    <w:rsid w:val="001958AE"/>
    <w:rsid w:val="001A15E1"/>
    <w:rsid w:val="001A417A"/>
    <w:rsid w:val="001A5B11"/>
    <w:rsid w:val="001A76F9"/>
    <w:rsid w:val="001B06FF"/>
    <w:rsid w:val="001B1703"/>
    <w:rsid w:val="001B3AE0"/>
    <w:rsid w:val="001B4657"/>
    <w:rsid w:val="001C15EC"/>
    <w:rsid w:val="001C1C2E"/>
    <w:rsid w:val="001C2095"/>
    <w:rsid w:val="001C31A1"/>
    <w:rsid w:val="001C3BD9"/>
    <w:rsid w:val="001C3FA2"/>
    <w:rsid w:val="001C4F64"/>
    <w:rsid w:val="001C5EE2"/>
    <w:rsid w:val="001C6E60"/>
    <w:rsid w:val="001C70EB"/>
    <w:rsid w:val="001C7CDE"/>
    <w:rsid w:val="001D0077"/>
    <w:rsid w:val="001D0EA6"/>
    <w:rsid w:val="001D2F3C"/>
    <w:rsid w:val="001D3EFD"/>
    <w:rsid w:val="001D613A"/>
    <w:rsid w:val="001D6D9A"/>
    <w:rsid w:val="001D749B"/>
    <w:rsid w:val="001E407B"/>
    <w:rsid w:val="001E4A9C"/>
    <w:rsid w:val="001E6A78"/>
    <w:rsid w:val="001E6B45"/>
    <w:rsid w:val="001E7A53"/>
    <w:rsid w:val="001E7FC6"/>
    <w:rsid w:val="001F04BB"/>
    <w:rsid w:val="001F1EFD"/>
    <w:rsid w:val="001F2502"/>
    <w:rsid w:val="001F41D6"/>
    <w:rsid w:val="001F515E"/>
    <w:rsid w:val="001F70A5"/>
    <w:rsid w:val="0020235D"/>
    <w:rsid w:val="0020369B"/>
    <w:rsid w:val="0020791A"/>
    <w:rsid w:val="00207B4D"/>
    <w:rsid w:val="00210806"/>
    <w:rsid w:val="00211442"/>
    <w:rsid w:val="002117B1"/>
    <w:rsid w:val="00214BB3"/>
    <w:rsid w:val="00217CCE"/>
    <w:rsid w:val="002203B1"/>
    <w:rsid w:val="002218B5"/>
    <w:rsid w:val="00222368"/>
    <w:rsid w:val="002232C1"/>
    <w:rsid w:val="00226F39"/>
    <w:rsid w:val="00227F31"/>
    <w:rsid w:val="002334AD"/>
    <w:rsid w:val="00240F38"/>
    <w:rsid w:val="00241B60"/>
    <w:rsid w:val="00241FF5"/>
    <w:rsid w:val="0024523D"/>
    <w:rsid w:val="00245732"/>
    <w:rsid w:val="002461BB"/>
    <w:rsid w:val="00250F09"/>
    <w:rsid w:val="0025129E"/>
    <w:rsid w:val="00251E4D"/>
    <w:rsid w:val="00254586"/>
    <w:rsid w:val="00254807"/>
    <w:rsid w:val="0025539E"/>
    <w:rsid w:val="00256A4D"/>
    <w:rsid w:val="0025785B"/>
    <w:rsid w:val="00257969"/>
    <w:rsid w:val="00257DE0"/>
    <w:rsid w:val="00260130"/>
    <w:rsid w:val="00262F30"/>
    <w:rsid w:val="00263003"/>
    <w:rsid w:val="0026476B"/>
    <w:rsid w:val="00264B82"/>
    <w:rsid w:val="00265134"/>
    <w:rsid w:val="00265955"/>
    <w:rsid w:val="00266938"/>
    <w:rsid w:val="00270859"/>
    <w:rsid w:val="00272970"/>
    <w:rsid w:val="0027539D"/>
    <w:rsid w:val="00280048"/>
    <w:rsid w:val="00282055"/>
    <w:rsid w:val="0028489E"/>
    <w:rsid w:val="002848DE"/>
    <w:rsid w:val="00285553"/>
    <w:rsid w:val="0028794E"/>
    <w:rsid w:val="00287C23"/>
    <w:rsid w:val="002925B3"/>
    <w:rsid w:val="00292FB3"/>
    <w:rsid w:val="00296A75"/>
    <w:rsid w:val="002A0D54"/>
    <w:rsid w:val="002A3462"/>
    <w:rsid w:val="002A5841"/>
    <w:rsid w:val="002B0A7E"/>
    <w:rsid w:val="002B1EDF"/>
    <w:rsid w:val="002B2061"/>
    <w:rsid w:val="002B2131"/>
    <w:rsid w:val="002C1232"/>
    <w:rsid w:val="002C17C0"/>
    <w:rsid w:val="002C1E44"/>
    <w:rsid w:val="002C32CD"/>
    <w:rsid w:val="002C3A18"/>
    <w:rsid w:val="002C5C92"/>
    <w:rsid w:val="002C5E29"/>
    <w:rsid w:val="002C62E9"/>
    <w:rsid w:val="002C64F1"/>
    <w:rsid w:val="002D0478"/>
    <w:rsid w:val="002D2522"/>
    <w:rsid w:val="002D2901"/>
    <w:rsid w:val="002D304D"/>
    <w:rsid w:val="002D5737"/>
    <w:rsid w:val="002D5CFB"/>
    <w:rsid w:val="002D7127"/>
    <w:rsid w:val="002E0DF6"/>
    <w:rsid w:val="002E1C47"/>
    <w:rsid w:val="002E1EF9"/>
    <w:rsid w:val="002E6832"/>
    <w:rsid w:val="002F0695"/>
    <w:rsid w:val="002F599E"/>
    <w:rsid w:val="002F729C"/>
    <w:rsid w:val="003008D8"/>
    <w:rsid w:val="003018D3"/>
    <w:rsid w:val="00301D9A"/>
    <w:rsid w:val="00302690"/>
    <w:rsid w:val="00303959"/>
    <w:rsid w:val="00306AAD"/>
    <w:rsid w:val="00306B96"/>
    <w:rsid w:val="00306E72"/>
    <w:rsid w:val="00312574"/>
    <w:rsid w:val="00312AC3"/>
    <w:rsid w:val="00313A7B"/>
    <w:rsid w:val="00314430"/>
    <w:rsid w:val="003144F1"/>
    <w:rsid w:val="003163BC"/>
    <w:rsid w:val="00316CE7"/>
    <w:rsid w:val="00323347"/>
    <w:rsid w:val="0032351A"/>
    <w:rsid w:val="003243D6"/>
    <w:rsid w:val="0032471F"/>
    <w:rsid w:val="00324B33"/>
    <w:rsid w:val="0032539D"/>
    <w:rsid w:val="0032642D"/>
    <w:rsid w:val="00327237"/>
    <w:rsid w:val="00327488"/>
    <w:rsid w:val="00333060"/>
    <w:rsid w:val="003351B7"/>
    <w:rsid w:val="00336FE1"/>
    <w:rsid w:val="00342D56"/>
    <w:rsid w:val="003456E7"/>
    <w:rsid w:val="00346EC2"/>
    <w:rsid w:val="003477F9"/>
    <w:rsid w:val="00347A1F"/>
    <w:rsid w:val="00347C21"/>
    <w:rsid w:val="0035444D"/>
    <w:rsid w:val="00354C4B"/>
    <w:rsid w:val="00355FDC"/>
    <w:rsid w:val="00356C7D"/>
    <w:rsid w:val="00356D62"/>
    <w:rsid w:val="00360FE4"/>
    <w:rsid w:val="003634F5"/>
    <w:rsid w:val="003639A8"/>
    <w:rsid w:val="00363EE3"/>
    <w:rsid w:val="0036682E"/>
    <w:rsid w:val="00367AAA"/>
    <w:rsid w:val="0037027D"/>
    <w:rsid w:val="00370935"/>
    <w:rsid w:val="00370A86"/>
    <w:rsid w:val="00372EC6"/>
    <w:rsid w:val="003735F3"/>
    <w:rsid w:val="00374729"/>
    <w:rsid w:val="00374DCE"/>
    <w:rsid w:val="00377334"/>
    <w:rsid w:val="00377970"/>
    <w:rsid w:val="00377F44"/>
    <w:rsid w:val="003803E0"/>
    <w:rsid w:val="003815B7"/>
    <w:rsid w:val="00381B6A"/>
    <w:rsid w:val="003832F5"/>
    <w:rsid w:val="00383FA6"/>
    <w:rsid w:val="00387298"/>
    <w:rsid w:val="00387984"/>
    <w:rsid w:val="00387CE9"/>
    <w:rsid w:val="00390DB5"/>
    <w:rsid w:val="00394479"/>
    <w:rsid w:val="00395140"/>
    <w:rsid w:val="00397CF1"/>
    <w:rsid w:val="003A0AC2"/>
    <w:rsid w:val="003A2422"/>
    <w:rsid w:val="003A4DDB"/>
    <w:rsid w:val="003A4EA5"/>
    <w:rsid w:val="003A696C"/>
    <w:rsid w:val="003B0EB3"/>
    <w:rsid w:val="003B149C"/>
    <w:rsid w:val="003B1BCD"/>
    <w:rsid w:val="003B7BFD"/>
    <w:rsid w:val="003C0FDB"/>
    <w:rsid w:val="003C1192"/>
    <w:rsid w:val="003C23F9"/>
    <w:rsid w:val="003C3FFE"/>
    <w:rsid w:val="003C45B2"/>
    <w:rsid w:val="003C4CE0"/>
    <w:rsid w:val="003C5570"/>
    <w:rsid w:val="003C55E2"/>
    <w:rsid w:val="003C63D5"/>
    <w:rsid w:val="003C7AA8"/>
    <w:rsid w:val="003C7BFA"/>
    <w:rsid w:val="003D1D2A"/>
    <w:rsid w:val="003D31D0"/>
    <w:rsid w:val="003D3C3A"/>
    <w:rsid w:val="003D4187"/>
    <w:rsid w:val="003D71A1"/>
    <w:rsid w:val="003E0396"/>
    <w:rsid w:val="003E082B"/>
    <w:rsid w:val="003E4164"/>
    <w:rsid w:val="003E47AB"/>
    <w:rsid w:val="003E576B"/>
    <w:rsid w:val="003E76F3"/>
    <w:rsid w:val="003E7A5C"/>
    <w:rsid w:val="003F076D"/>
    <w:rsid w:val="003F172E"/>
    <w:rsid w:val="003F546D"/>
    <w:rsid w:val="0040659D"/>
    <w:rsid w:val="00406872"/>
    <w:rsid w:val="00406B73"/>
    <w:rsid w:val="00411CF3"/>
    <w:rsid w:val="00412D2C"/>
    <w:rsid w:val="0041469A"/>
    <w:rsid w:val="0041688F"/>
    <w:rsid w:val="00416A98"/>
    <w:rsid w:val="00417829"/>
    <w:rsid w:val="00421B31"/>
    <w:rsid w:val="0042326E"/>
    <w:rsid w:val="00423563"/>
    <w:rsid w:val="0042376F"/>
    <w:rsid w:val="00423DCD"/>
    <w:rsid w:val="004246B8"/>
    <w:rsid w:val="004248F1"/>
    <w:rsid w:val="004248F4"/>
    <w:rsid w:val="00427145"/>
    <w:rsid w:val="00427B97"/>
    <w:rsid w:val="0043098F"/>
    <w:rsid w:val="00433318"/>
    <w:rsid w:val="004335C9"/>
    <w:rsid w:val="004344EA"/>
    <w:rsid w:val="004358D5"/>
    <w:rsid w:val="004427E5"/>
    <w:rsid w:val="00442A56"/>
    <w:rsid w:val="004444B0"/>
    <w:rsid w:val="00447987"/>
    <w:rsid w:val="0045060B"/>
    <w:rsid w:val="00451131"/>
    <w:rsid w:val="0045212E"/>
    <w:rsid w:val="00453261"/>
    <w:rsid w:val="00453F49"/>
    <w:rsid w:val="00454CE5"/>
    <w:rsid w:val="00461DCA"/>
    <w:rsid w:val="004626FF"/>
    <w:rsid w:val="00470404"/>
    <w:rsid w:val="00470A52"/>
    <w:rsid w:val="00471BD5"/>
    <w:rsid w:val="00472599"/>
    <w:rsid w:val="00472AE5"/>
    <w:rsid w:val="00472B0E"/>
    <w:rsid w:val="004765AD"/>
    <w:rsid w:val="0047668C"/>
    <w:rsid w:val="00477C4E"/>
    <w:rsid w:val="00477F07"/>
    <w:rsid w:val="00481503"/>
    <w:rsid w:val="00481D12"/>
    <w:rsid w:val="004837DC"/>
    <w:rsid w:val="004847DB"/>
    <w:rsid w:val="004854A6"/>
    <w:rsid w:val="0048615F"/>
    <w:rsid w:val="00487098"/>
    <w:rsid w:val="004879B2"/>
    <w:rsid w:val="00491A55"/>
    <w:rsid w:val="004929A5"/>
    <w:rsid w:val="00494C3E"/>
    <w:rsid w:val="00497DF1"/>
    <w:rsid w:val="004A04E0"/>
    <w:rsid w:val="004A2AF7"/>
    <w:rsid w:val="004A318E"/>
    <w:rsid w:val="004A3BC9"/>
    <w:rsid w:val="004A48B7"/>
    <w:rsid w:val="004A57E8"/>
    <w:rsid w:val="004A7998"/>
    <w:rsid w:val="004B2166"/>
    <w:rsid w:val="004B28E4"/>
    <w:rsid w:val="004B3081"/>
    <w:rsid w:val="004B4A09"/>
    <w:rsid w:val="004B4DBB"/>
    <w:rsid w:val="004C3A5A"/>
    <w:rsid w:val="004C41CE"/>
    <w:rsid w:val="004C631B"/>
    <w:rsid w:val="004C6E74"/>
    <w:rsid w:val="004D1AFD"/>
    <w:rsid w:val="004D2F00"/>
    <w:rsid w:val="004D31D8"/>
    <w:rsid w:val="004D5388"/>
    <w:rsid w:val="004D55F8"/>
    <w:rsid w:val="004D7F4B"/>
    <w:rsid w:val="004E025A"/>
    <w:rsid w:val="004E2AFD"/>
    <w:rsid w:val="004E3546"/>
    <w:rsid w:val="004E4DAD"/>
    <w:rsid w:val="004E5668"/>
    <w:rsid w:val="004E6E7E"/>
    <w:rsid w:val="004E7F16"/>
    <w:rsid w:val="004F18EC"/>
    <w:rsid w:val="004F1943"/>
    <w:rsid w:val="004F77C7"/>
    <w:rsid w:val="00500384"/>
    <w:rsid w:val="00500D68"/>
    <w:rsid w:val="0050132E"/>
    <w:rsid w:val="005022B5"/>
    <w:rsid w:val="00502A9A"/>
    <w:rsid w:val="00502DC6"/>
    <w:rsid w:val="005037EB"/>
    <w:rsid w:val="00503C5C"/>
    <w:rsid w:val="00505669"/>
    <w:rsid w:val="005073FA"/>
    <w:rsid w:val="0051014C"/>
    <w:rsid w:val="00512413"/>
    <w:rsid w:val="005142EF"/>
    <w:rsid w:val="00521D0B"/>
    <w:rsid w:val="005234F7"/>
    <w:rsid w:val="00523E77"/>
    <w:rsid w:val="00525FFC"/>
    <w:rsid w:val="0052636A"/>
    <w:rsid w:val="00530342"/>
    <w:rsid w:val="00532600"/>
    <w:rsid w:val="00533016"/>
    <w:rsid w:val="0053377D"/>
    <w:rsid w:val="00535DFE"/>
    <w:rsid w:val="005361EF"/>
    <w:rsid w:val="005373B5"/>
    <w:rsid w:val="00537504"/>
    <w:rsid w:val="00537AB7"/>
    <w:rsid w:val="00541605"/>
    <w:rsid w:val="00546371"/>
    <w:rsid w:val="0054669B"/>
    <w:rsid w:val="00546DFF"/>
    <w:rsid w:val="00550312"/>
    <w:rsid w:val="00552186"/>
    <w:rsid w:val="00552446"/>
    <w:rsid w:val="00553219"/>
    <w:rsid w:val="00553B02"/>
    <w:rsid w:val="00556638"/>
    <w:rsid w:val="00557E7F"/>
    <w:rsid w:val="005610D1"/>
    <w:rsid w:val="005619C3"/>
    <w:rsid w:val="005628EC"/>
    <w:rsid w:val="00562DC1"/>
    <w:rsid w:val="00562F42"/>
    <w:rsid w:val="0056321D"/>
    <w:rsid w:val="00565739"/>
    <w:rsid w:val="00567245"/>
    <w:rsid w:val="0056766D"/>
    <w:rsid w:val="005720A3"/>
    <w:rsid w:val="00572E7D"/>
    <w:rsid w:val="005746FC"/>
    <w:rsid w:val="00575215"/>
    <w:rsid w:val="005755FC"/>
    <w:rsid w:val="00576735"/>
    <w:rsid w:val="00577CA8"/>
    <w:rsid w:val="0058066C"/>
    <w:rsid w:val="00581095"/>
    <w:rsid w:val="00581CA5"/>
    <w:rsid w:val="00585017"/>
    <w:rsid w:val="0058575E"/>
    <w:rsid w:val="0058783C"/>
    <w:rsid w:val="00590F1C"/>
    <w:rsid w:val="005911AE"/>
    <w:rsid w:val="00591C37"/>
    <w:rsid w:val="005926E2"/>
    <w:rsid w:val="0059313A"/>
    <w:rsid w:val="00596170"/>
    <w:rsid w:val="005963C8"/>
    <w:rsid w:val="005A0EDB"/>
    <w:rsid w:val="005A10D7"/>
    <w:rsid w:val="005A1BDF"/>
    <w:rsid w:val="005A54EA"/>
    <w:rsid w:val="005A791C"/>
    <w:rsid w:val="005B023F"/>
    <w:rsid w:val="005B02A2"/>
    <w:rsid w:val="005B1417"/>
    <w:rsid w:val="005B1E0F"/>
    <w:rsid w:val="005B249D"/>
    <w:rsid w:val="005B2D1C"/>
    <w:rsid w:val="005B3D22"/>
    <w:rsid w:val="005B4734"/>
    <w:rsid w:val="005B4920"/>
    <w:rsid w:val="005B69CF"/>
    <w:rsid w:val="005B6FCE"/>
    <w:rsid w:val="005C29C7"/>
    <w:rsid w:val="005C2FE0"/>
    <w:rsid w:val="005C3DEB"/>
    <w:rsid w:val="005C3F07"/>
    <w:rsid w:val="005C41EB"/>
    <w:rsid w:val="005C4B46"/>
    <w:rsid w:val="005C5301"/>
    <w:rsid w:val="005C5DC5"/>
    <w:rsid w:val="005D0B19"/>
    <w:rsid w:val="005D2089"/>
    <w:rsid w:val="005D3121"/>
    <w:rsid w:val="005D42B6"/>
    <w:rsid w:val="005D4835"/>
    <w:rsid w:val="005D55EF"/>
    <w:rsid w:val="005D69B0"/>
    <w:rsid w:val="005D7514"/>
    <w:rsid w:val="005E0909"/>
    <w:rsid w:val="005E0FC6"/>
    <w:rsid w:val="005E1A7B"/>
    <w:rsid w:val="005E231F"/>
    <w:rsid w:val="005E2D9F"/>
    <w:rsid w:val="005E5246"/>
    <w:rsid w:val="005E52D8"/>
    <w:rsid w:val="005E6361"/>
    <w:rsid w:val="005E77ED"/>
    <w:rsid w:val="005F0EC7"/>
    <w:rsid w:val="005F66D6"/>
    <w:rsid w:val="005F6A94"/>
    <w:rsid w:val="00600966"/>
    <w:rsid w:val="00600CBC"/>
    <w:rsid w:val="00601924"/>
    <w:rsid w:val="00602D6E"/>
    <w:rsid w:val="00605C05"/>
    <w:rsid w:val="00607335"/>
    <w:rsid w:val="00607F2D"/>
    <w:rsid w:val="00611351"/>
    <w:rsid w:val="0061217D"/>
    <w:rsid w:val="00612D33"/>
    <w:rsid w:val="00612E48"/>
    <w:rsid w:val="00616188"/>
    <w:rsid w:val="00617B94"/>
    <w:rsid w:val="00617BEB"/>
    <w:rsid w:val="006206BD"/>
    <w:rsid w:val="006226A3"/>
    <w:rsid w:val="00622D0B"/>
    <w:rsid w:val="00623499"/>
    <w:rsid w:val="00623F36"/>
    <w:rsid w:val="00625B53"/>
    <w:rsid w:val="006277A1"/>
    <w:rsid w:val="006324AA"/>
    <w:rsid w:val="00633BD7"/>
    <w:rsid w:val="00634580"/>
    <w:rsid w:val="00634884"/>
    <w:rsid w:val="006351D9"/>
    <w:rsid w:val="00637130"/>
    <w:rsid w:val="0063794C"/>
    <w:rsid w:val="00637F0E"/>
    <w:rsid w:val="006411A5"/>
    <w:rsid w:val="00641F2D"/>
    <w:rsid w:val="006423F2"/>
    <w:rsid w:val="006449F8"/>
    <w:rsid w:val="0064675A"/>
    <w:rsid w:val="00647934"/>
    <w:rsid w:val="00650234"/>
    <w:rsid w:val="00651C32"/>
    <w:rsid w:val="0065213E"/>
    <w:rsid w:val="00656EB8"/>
    <w:rsid w:val="0066044B"/>
    <w:rsid w:val="006606FC"/>
    <w:rsid w:val="006630AA"/>
    <w:rsid w:val="0066340F"/>
    <w:rsid w:val="00663544"/>
    <w:rsid w:val="00666539"/>
    <w:rsid w:val="00666764"/>
    <w:rsid w:val="00666911"/>
    <w:rsid w:val="00675F81"/>
    <w:rsid w:val="00676D6E"/>
    <w:rsid w:val="0068143E"/>
    <w:rsid w:val="006820D6"/>
    <w:rsid w:val="0068507D"/>
    <w:rsid w:val="00685E07"/>
    <w:rsid w:val="00691AF2"/>
    <w:rsid w:val="00692B80"/>
    <w:rsid w:val="00692CCD"/>
    <w:rsid w:val="00692D51"/>
    <w:rsid w:val="006932CE"/>
    <w:rsid w:val="006932FF"/>
    <w:rsid w:val="00694DD7"/>
    <w:rsid w:val="0069636B"/>
    <w:rsid w:val="006A0BC3"/>
    <w:rsid w:val="006A1762"/>
    <w:rsid w:val="006A1F0B"/>
    <w:rsid w:val="006A277A"/>
    <w:rsid w:val="006A2B30"/>
    <w:rsid w:val="006A2B6A"/>
    <w:rsid w:val="006A4065"/>
    <w:rsid w:val="006A51FB"/>
    <w:rsid w:val="006A5973"/>
    <w:rsid w:val="006A65A0"/>
    <w:rsid w:val="006A74A9"/>
    <w:rsid w:val="006B0B2F"/>
    <w:rsid w:val="006B2BEE"/>
    <w:rsid w:val="006B2EEC"/>
    <w:rsid w:val="006B4BFA"/>
    <w:rsid w:val="006B5624"/>
    <w:rsid w:val="006B7126"/>
    <w:rsid w:val="006B784B"/>
    <w:rsid w:val="006C113B"/>
    <w:rsid w:val="006C64CB"/>
    <w:rsid w:val="006C6B86"/>
    <w:rsid w:val="006C7E54"/>
    <w:rsid w:val="006D0651"/>
    <w:rsid w:val="006D149E"/>
    <w:rsid w:val="006D4553"/>
    <w:rsid w:val="006D4A35"/>
    <w:rsid w:val="006D6B44"/>
    <w:rsid w:val="006E0AEA"/>
    <w:rsid w:val="006E1BCB"/>
    <w:rsid w:val="006E27FE"/>
    <w:rsid w:val="006E2B43"/>
    <w:rsid w:val="006E5746"/>
    <w:rsid w:val="006E7D5C"/>
    <w:rsid w:val="006F19C8"/>
    <w:rsid w:val="006F1AF1"/>
    <w:rsid w:val="006F285E"/>
    <w:rsid w:val="006F45E8"/>
    <w:rsid w:val="00700C00"/>
    <w:rsid w:val="00701110"/>
    <w:rsid w:val="00702E91"/>
    <w:rsid w:val="0070330F"/>
    <w:rsid w:val="00703624"/>
    <w:rsid w:val="00703733"/>
    <w:rsid w:val="007046ED"/>
    <w:rsid w:val="0070611B"/>
    <w:rsid w:val="007072A1"/>
    <w:rsid w:val="007102C6"/>
    <w:rsid w:val="00710BC5"/>
    <w:rsid w:val="00711ECA"/>
    <w:rsid w:val="007121CA"/>
    <w:rsid w:val="00712838"/>
    <w:rsid w:val="007129D0"/>
    <w:rsid w:val="00713F07"/>
    <w:rsid w:val="00717C09"/>
    <w:rsid w:val="0072003B"/>
    <w:rsid w:val="00721059"/>
    <w:rsid w:val="007211E6"/>
    <w:rsid w:val="00721274"/>
    <w:rsid w:val="007220C4"/>
    <w:rsid w:val="00724207"/>
    <w:rsid w:val="00724B83"/>
    <w:rsid w:val="00732361"/>
    <w:rsid w:val="007357B9"/>
    <w:rsid w:val="00740404"/>
    <w:rsid w:val="007409FB"/>
    <w:rsid w:val="00741AB9"/>
    <w:rsid w:val="00742D03"/>
    <w:rsid w:val="00744216"/>
    <w:rsid w:val="007452E8"/>
    <w:rsid w:val="00746990"/>
    <w:rsid w:val="00747093"/>
    <w:rsid w:val="007473FF"/>
    <w:rsid w:val="00750D70"/>
    <w:rsid w:val="007517F5"/>
    <w:rsid w:val="00751D35"/>
    <w:rsid w:val="0075286D"/>
    <w:rsid w:val="00754E35"/>
    <w:rsid w:val="00755D8A"/>
    <w:rsid w:val="00756621"/>
    <w:rsid w:val="007575D0"/>
    <w:rsid w:val="00761030"/>
    <w:rsid w:val="00763E9B"/>
    <w:rsid w:val="007662E0"/>
    <w:rsid w:val="00770618"/>
    <w:rsid w:val="00770FE9"/>
    <w:rsid w:val="00773E24"/>
    <w:rsid w:val="0077556F"/>
    <w:rsid w:val="0077676E"/>
    <w:rsid w:val="00776E9C"/>
    <w:rsid w:val="007778DF"/>
    <w:rsid w:val="00780AD1"/>
    <w:rsid w:val="007816D8"/>
    <w:rsid w:val="00784150"/>
    <w:rsid w:val="007846D9"/>
    <w:rsid w:val="0079191B"/>
    <w:rsid w:val="007929C2"/>
    <w:rsid w:val="00793272"/>
    <w:rsid w:val="007939D1"/>
    <w:rsid w:val="00793D7D"/>
    <w:rsid w:val="0079499A"/>
    <w:rsid w:val="00794B64"/>
    <w:rsid w:val="007967C3"/>
    <w:rsid w:val="007A070B"/>
    <w:rsid w:val="007A0A33"/>
    <w:rsid w:val="007A2F65"/>
    <w:rsid w:val="007A2FF0"/>
    <w:rsid w:val="007A4833"/>
    <w:rsid w:val="007A4840"/>
    <w:rsid w:val="007A5D07"/>
    <w:rsid w:val="007A5D3D"/>
    <w:rsid w:val="007A5D8D"/>
    <w:rsid w:val="007B04DE"/>
    <w:rsid w:val="007B0879"/>
    <w:rsid w:val="007B0AE6"/>
    <w:rsid w:val="007B3CB8"/>
    <w:rsid w:val="007B5C3D"/>
    <w:rsid w:val="007B6942"/>
    <w:rsid w:val="007B6B74"/>
    <w:rsid w:val="007B7A61"/>
    <w:rsid w:val="007B7EA8"/>
    <w:rsid w:val="007C0F0B"/>
    <w:rsid w:val="007C3B29"/>
    <w:rsid w:val="007C4B71"/>
    <w:rsid w:val="007C4E8D"/>
    <w:rsid w:val="007C57BC"/>
    <w:rsid w:val="007C5F0D"/>
    <w:rsid w:val="007D0461"/>
    <w:rsid w:val="007D04CA"/>
    <w:rsid w:val="007D0A2B"/>
    <w:rsid w:val="007D12A1"/>
    <w:rsid w:val="007D2666"/>
    <w:rsid w:val="007D3BD2"/>
    <w:rsid w:val="007D40E5"/>
    <w:rsid w:val="007D4138"/>
    <w:rsid w:val="007D66A0"/>
    <w:rsid w:val="007E33FD"/>
    <w:rsid w:val="007E39CC"/>
    <w:rsid w:val="007E4178"/>
    <w:rsid w:val="007E46CF"/>
    <w:rsid w:val="007E497B"/>
    <w:rsid w:val="007F0A77"/>
    <w:rsid w:val="007F1E37"/>
    <w:rsid w:val="007F2914"/>
    <w:rsid w:val="007F3E84"/>
    <w:rsid w:val="007F50D3"/>
    <w:rsid w:val="007F6B1F"/>
    <w:rsid w:val="007F7D8C"/>
    <w:rsid w:val="007F7E3C"/>
    <w:rsid w:val="0080039A"/>
    <w:rsid w:val="00801ACD"/>
    <w:rsid w:val="00804897"/>
    <w:rsid w:val="008066FC"/>
    <w:rsid w:val="00806F58"/>
    <w:rsid w:val="00810468"/>
    <w:rsid w:val="00810EF9"/>
    <w:rsid w:val="00812334"/>
    <w:rsid w:val="008155BF"/>
    <w:rsid w:val="00816D4C"/>
    <w:rsid w:val="008205C2"/>
    <w:rsid w:val="00820AF4"/>
    <w:rsid w:val="00821C77"/>
    <w:rsid w:val="008226BC"/>
    <w:rsid w:val="008241A3"/>
    <w:rsid w:val="00824470"/>
    <w:rsid w:val="00825BBF"/>
    <w:rsid w:val="00825C62"/>
    <w:rsid w:val="008277C0"/>
    <w:rsid w:val="00830E83"/>
    <w:rsid w:val="0083144A"/>
    <w:rsid w:val="008329DB"/>
    <w:rsid w:val="00832A4A"/>
    <w:rsid w:val="00833757"/>
    <w:rsid w:val="008361C5"/>
    <w:rsid w:val="0083628F"/>
    <w:rsid w:val="00836634"/>
    <w:rsid w:val="0083685D"/>
    <w:rsid w:val="00837AB9"/>
    <w:rsid w:val="00842BF9"/>
    <w:rsid w:val="00845D61"/>
    <w:rsid w:val="00847DF7"/>
    <w:rsid w:val="00850637"/>
    <w:rsid w:val="008531F1"/>
    <w:rsid w:val="00853754"/>
    <w:rsid w:val="00854167"/>
    <w:rsid w:val="00854D98"/>
    <w:rsid w:val="00855458"/>
    <w:rsid w:val="0085612F"/>
    <w:rsid w:val="008562AF"/>
    <w:rsid w:val="0085751E"/>
    <w:rsid w:val="0085771B"/>
    <w:rsid w:val="008577FB"/>
    <w:rsid w:val="00860B29"/>
    <w:rsid w:val="008622E8"/>
    <w:rsid w:val="008645EE"/>
    <w:rsid w:val="00870144"/>
    <w:rsid w:val="0087072C"/>
    <w:rsid w:val="0087315D"/>
    <w:rsid w:val="00873D7A"/>
    <w:rsid w:val="00877CB3"/>
    <w:rsid w:val="008804CF"/>
    <w:rsid w:val="00881B76"/>
    <w:rsid w:val="00882D58"/>
    <w:rsid w:val="00882F19"/>
    <w:rsid w:val="008833FF"/>
    <w:rsid w:val="00883CD8"/>
    <w:rsid w:val="00883D35"/>
    <w:rsid w:val="00884569"/>
    <w:rsid w:val="00886F1E"/>
    <w:rsid w:val="00887A51"/>
    <w:rsid w:val="00890AC0"/>
    <w:rsid w:val="00890B30"/>
    <w:rsid w:val="00890BA6"/>
    <w:rsid w:val="00890D9B"/>
    <w:rsid w:val="008919E0"/>
    <w:rsid w:val="00891C6C"/>
    <w:rsid w:val="00891CA7"/>
    <w:rsid w:val="00891DB7"/>
    <w:rsid w:val="00893838"/>
    <w:rsid w:val="00893CCD"/>
    <w:rsid w:val="00895149"/>
    <w:rsid w:val="008964B3"/>
    <w:rsid w:val="00896513"/>
    <w:rsid w:val="00896948"/>
    <w:rsid w:val="008970D8"/>
    <w:rsid w:val="008975A8"/>
    <w:rsid w:val="008A1574"/>
    <w:rsid w:val="008A3870"/>
    <w:rsid w:val="008A3F4D"/>
    <w:rsid w:val="008A622B"/>
    <w:rsid w:val="008A71EB"/>
    <w:rsid w:val="008B0C37"/>
    <w:rsid w:val="008B0EAE"/>
    <w:rsid w:val="008B1CB5"/>
    <w:rsid w:val="008B28D0"/>
    <w:rsid w:val="008B53A0"/>
    <w:rsid w:val="008B6D24"/>
    <w:rsid w:val="008C1220"/>
    <w:rsid w:val="008C2D69"/>
    <w:rsid w:val="008C30E3"/>
    <w:rsid w:val="008C3A28"/>
    <w:rsid w:val="008C49C6"/>
    <w:rsid w:val="008C67EC"/>
    <w:rsid w:val="008C754C"/>
    <w:rsid w:val="008D56C9"/>
    <w:rsid w:val="008D5D98"/>
    <w:rsid w:val="008D6A54"/>
    <w:rsid w:val="008D7395"/>
    <w:rsid w:val="008D7D71"/>
    <w:rsid w:val="008E1AC8"/>
    <w:rsid w:val="008E2585"/>
    <w:rsid w:val="008E2CF0"/>
    <w:rsid w:val="008E2D7A"/>
    <w:rsid w:val="008E438B"/>
    <w:rsid w:val="008E6174"/>
    <w:rsid w:val="008F1514"/>
    <w:rsid w:val="008F3215"/>
    <w:rsid w:val="008F4A62"/>
    <w:rsid w:val="008F4F2B"/>
    <w:rsid w:val="008F7256"/>
    <w:rsid w:val="008F7BD1"/>
    <w:rsid w:val="0090033C"/>
    <w:rsid w:val="0090424C"/>
    <w:rsid w:val="009051F4"/>
    <w:rsid w:val="00905765"/>
    <w:rsid w:val="0090586C"/>
    <w:rsid w:val="00905D99"/>
    <w:rsid w:val="0090605E"/>
    <w:rsid w:val="009079DC"/>
    <w:rsid w:val="00907EF4"/>
    <w:rsid w:val="00910797"/>
    <w:rsid w:val="009108CE"/>
    <w:rsid w:val="00910F76"/>
    <w:rsid w:val="009117B7"/>
    <w:rsid w:val="00913A2C"/>
    <w:rsid w:val="00915434"/>
    <w:rsid w:val="00915A9F"/>
    <w:rsid w:val="009161FA"/>
    <w:rsid w:val="009165B0"/>
    <w:rsid w:val="00921A0F"/>
    <w:rsid w:val="0092382C"/>
    <w:rsid w:val="00924DAA"/>
    <w:rsid w:val="00925321"/>
    <w:rsid w:val="00925687"/>
    <w:rsid w:val="00925B9D"/>
    <w:rsid w:val="009267A0"/>
    <w:rsid w:val="009269BF"/>
    <w:rsid w:val="00927DF2"/>
    <w:rsid w:val="009305D7"/>
    <w:rsid w:val="00930D58"/>
    <w:rsid w:val="00930E06"/>
    <w:rsid w:val="009329F8"/>
    <w:rsid w:val="009339C9"/>
    <w:rsid w:val="00935093"/>
    <w:rsid w:val="009359B6"/>
    <w:rsid w:val="00935AAA"/>
    <w:rsid w:val="00937BC8"/>
    <w:rsid w:val="009440C1"/>
    <w:rsid w:val="0094747B"/>
    <w:rsid w:val="0095031E"/>
    <w:rsid w:val="00950FB7"/>
    <w:rsid w:val="009520A3"/>
    <w:rsid w:val="00954297"/>
    <w:rsid w:val="00955607"/>
    <w:rsid w:val="00960A56"/>
    <w:rsid w:val="0096188E"/>
    <w:rsid w:val="00961A66"/>
    <w:rsid w:val="00961AFA"/>
    <w:rsid w:val="00962953"/>
    <w:rsid w:val="00963B40"/>
    <w:rsid w:val="00966D6F"/>
    <w:rsid w:val="00966EF1"/>
    <w:rsid w:val="00967223"/>
    <w:rsid w:val="009679DF"/>
    <w:rsid w:val="00967E65"/>
    <w:rsid w:val="00970113"/>
    <w:rsid w:val="009751F7"/>
    <w:rsid w:val="0097527D"/>
    <w:rsid w:val="0098090A"/>
    <w:rsid w:val="009826D7"/>
    <w:rsid w:val="0098350E"/>
    <w:rsid w:val="00983852"/>
    <w:rsid w:val="00983BAA"/>
    <w:rsid w:val="00984C84"/>
    <w:rsid w:val="00990C12"/>
    <w:rsid w:val="0099404F"/>
    <w:rsid w:val="00995BBF"/>
    <w:rsid w:val="00996FA5"/>
    <w:rsid w:val="00997706"/>
    <w:rsid w:val="009977C7"/>
    <w:rsid w:val="009A1C46"/>
    <w:rsid w:val="009A1E38"/>
    <w:rsid w:val="009A277D"/>
    <w:rsid w:val="009A623B"/>
    <w:rsid w:val="009A6314"/>
    <w:rsid w:val="009B02CA"/>
    <w:rsid w:val="009B0362"/>
    <w:rsid w:val="009B2986"/>
    <w:rsid w:val="009B4EBF"/>
    <w:rsid w:val="009B5662"/>
    <w:rsid w:val="009B60F2"/>
    <w:rsid w:val="009B6336"/>
    <w:rsid w:val="009B6A5E"/>
    <w:rsid w:val="009C18B8"/>
    <w:rsid w:val="009C2211"/>
    <w:rsid w:val="009C2C8D"/>
    <w:rsid w:val="009C40E8"/>
    <w:rsid w:val="009C45C5"/>
    <w:rsid w:val="009C4EFF"/>
    <w:rsid w:val="009C76AA"/>
    <w:rsid w:val="009D4F96"/>
    <w:rsid w:val="009D75B4"/>
    <w:rsid w:val="009E17FE"/>
    <w:rsid w:val="009E2488"/>
    <w:rsid w:val="009E3FF4"/>
    <w:rsid w:val="009E4BC9"/>
    <w:rsid w:val="009E5865"/>
    <w:rsid w:val="009E62FE"/>
    <w:rsid w:val="009E6858"/>
    <w:rsid w:val="009E6F8C"/>
    <w:rsid w:val="009E7275"/>
    <w:rsid w:val="009E7D6A"/>
    <w:rsid w:val="009F0718"/>
    <w:rsid w:val="009F0B3F"/>
    <w:rsid w:val="009F1F29"/>
    <w:rsid w:val="009F2B7B"/>
    <w:rsid w:val="009F3171"/>
    <w:rsid w:val="009F405F"/>
    <w:rsid w:val="009F513E"/>
    <w:rsid w:val="009F5B7C"/>
    <w:rsid w:val="009F5C7E"/>
    <w:rsid w:val="009F63A7"/>
    <w:rsid w:val="00A00E53"/>
    <w:rsid w:val="00A01C56"/>
    <w:rsid w:val="00A02021"/>
    <w:rsid w:val="00A06EE8"/>
    <w:rsid w:val="00A079FA"/>
    <w:rsid w:val="00A11FBD"/>
    <w:rsid w:val="00A130F1"/>
    <w:rsid w:val="00A1492A"/>
    <w:rsid w:val="00A24370"/>
    <w:rsid w:val="00A25205"/>
    <w:rsid w:val="00A252BB"/>
    <w:rsid w:val="00A25D1A"/>
    <w:rsid w:val="00A26A9E"/>
    <w:rsid w:val="00A30155"/>
    <w:rsid w:val="00A30AEB"/>
    <w:rsid w:val="00A31C9D"/>
    <w:rsid w:val="00A32C50"/>
    <w:rsid w:val="00A32D5A"/>
    <w:rsid w:val="00A35697"/>
    <w:rsid w:val="00A358E7"/>
    <w:rsid w:val="00A415A2"/>
    <w:rsid w:val="00A4299A"/>
    <w:rsid w:val="00A432D0"/>
    <w:rsid w:val="00A437A3"/>
    <w:rsid w:val="00A4380B"/>
    <w:rsid w:val="00A44157"/>
    <w:rsid w:val="00A451BE"/>
    <w:rsid w:val="00A474EB"/>
    <w:rsid w:val="00A47887"/>
    <w:rsid w:val="00A51A2D"/>
    <w:rsid w:val="00A54018"/>
    <w:rsid w:val="00A5596B"/>
    <w:rsid w:val="00A6029B"/>
    <w:rsid w:val="00A617E8"/>
    <w:rsid w:val="00A631C4"/>
    <w:rsid w:val="00A636C2"/>
    <w:rsid w:val="00A63796"/>
    <w:rsid w:val="00A63C07"/>
    <w:rsid w:val="00A63D9B"/>
    <w:rsid w:val="00A654CB"/>
    <w:rsid w:val="00A704DC"/>
    <w:rsid w:val="00A70FAD"/>
    <w:rsid w:val="00A722B7"/>
    <w:rsid w:val="00A758F6"/>
    <w:rsid w:val="00A81E37"/>
    <w:rsid w:val="00A8299D"/>
    <w:rsid w:val="00A8451B"/>
    <w:rsid w:val="00A85214"/>
    <w:rsid w:val="00A85348"/>
    <w:rsid w:val="00A85453"/>
    <w:rsid w:val="00A93DC6"/>
    <w:rsid w:val="00A9411A"/>
    <w:rsid w:val="00AA109A"/>
    <w:rsid w:val="00AA1F0A"/>
    <w:rsid w:val="00AA22EE"/>
    <w:rsid w:val="00AA4A4B"/>
    <w:rsid w:val="00AA521E"/>
    <w:rsid w:val="00AA6682"/>
    <w:rsid w:val="00AB0613"/>
    <w:rsid w:val="00AB17ED"/>
    <w:rsid w:val="00AB1C1A"/>
    <w:rsid w:val="00AB2421"/>
    <w:rsid w:val="00AB4A1A"/>
    <w:rsid w:val="00AB4A46"/>
    <w:rsid w:val="00AB7C5C"/>
    <w:rsid w:val="00AB7CBF"/>
    <w:rsid w:val="00AC09C6"/>
    <w:rsid w:val="00AC10D5"/>
    <w:rsid w:val="00AC16EA"/>
    <w:rsid w:val="00AC25A1"/>
    <w:rsid w:val="00AC2A8A"/>
    <w:rsid w:val="00AC3C46"/>
    <w:rsid w:val="00AC5CC8"/>
    <w:rsid w:val="00AC6371"/>
    <w:rsid w:val="00AD0111"/>
    <w:rsid w:val="00AD0A71"/>
    <w:rsid w:val="00AD0D8B"/>
    <w:rsid w:val="00AD3E1F"/>
    <w:rsid w:val="00AD4577"/>
    <w:rsid w:val="00AD4C72"/>
    <w:rsid w:val="00AD5451"/>
    <w:rsid w:val="00AD75F2"/>
    <w:rsid w:val="00AD7C75"/>
    <w:rsid w:val="00AE0EF2"/>
    <w:rsid w:val="00AE1194"/>
    <w:rsid w:val="00AE17CE"/>
    <w:rsid w:val="00AE1947"/>
    <w:rsid w:val="00AE3223"/>
    <w:rsid w:val="00AE53D3"/>
    <w:rsid w:val="00AE5621"/>
    <w:rsid w:val="00AE5A81"/>
    <w:rsid w:val="00AF0949"/>
    <w:rsid w:val="00AF11BA"/>
    <w:rsid w:val="00AF1C8B"/>
    <w:rsid w:val="00AF1E91"/>
    <w:rsid w:val="00AF299B"/>
    <w:rsid w:val="00AF3281"/>
    <w:rsid w:val="00AF779D"/>
    <w:rsid w:val="00AF7E43"/>
    <w:rsid w:val="00B02AE0"/>
    <w:rsid w:val="00B03AAA"/>
    <w:rsid w:val="00B05326"/>
    <w:rsid w:val="00B05AB2"/>
    <w:rsid w:val="00B0786B"/>
    <w:rsid w:val="00B10DAA"/>
    <w:rsid w:val="00B116DD"/>
    <w:rsid w:val="00B119FB"/>
    <w:rsid w:val="00B1313F"/>
    <w:rsid w:val="00B13529"/>
    <w:rsid w:val="00B13E70"/>
    <w:rsid w:val="00B14204"/>
    <w:rsid w:val="00B14545"/>
    <w:rsid w:val="00B14712"/>
    <w:rsid w:val="00B14C9C"/>
    <w:rsid w:val="00B14E60"/>
    <w:rsid w:val="00B17BA2"/>
    <w:rsid w:val="00B204C0"/>
    <w:rsid w:val="00B21848"/>
    <w:rsid w:val="00B21C31"/>
    <w:rsid w:val="00B2227D"/>
    <w:rsid w:val="00B24FA9"/>
    <w:rsid w:val="00B2545F"/>
    <w:rsid w:val="00B267A1"/>
    <w:rsid w:val="00B26DC3"/>
    <w:rsid w:val="00B27CD5"/>
    <w:rsid w:val="00B30056"/>
    <w:rsid w:val="00B30B9D"/>
    <w:rsid w:val="00B35440"/>
    <w:rsid w:val="00B36389"/>
    <w:rsid w:val="00B378A2"/>
    <w:rsid w:val="00B404CF"/>
    <w:rsid w:val="00B4082D"/>
    <w:rsid w:val="00B42601"/>
    <w:rsid w:val="00B42618"/>
    <w:rsid w:val="00B42FCE"/>
    <w:rsid w:val="00B44500"/>
    <w:rsid w:val="00B44DC0"/>
    <w:rsid w:val="00B4574D"/>
    <w:rsid w:val="00B45DF8"/>
    <w:rsid w:val="00B466A9"/>
    <w:rsid w:val="00B468E1"/>
    <w:rsid w:val="00B46BC0"/>
    <w:rsid w:val="00B46DFB"/>
    <w:rsid w:val="00B47C4A"/>
    <w:rsid w:val="00B5141B"/>
    <w:rsid w:val="00B5194D"/>
    <w:rsid w:val="00B51EEF"/>
    <w:rsid w:val="00B55681"/>
    <w:rsid w:val="00B55766"/>
    <w:rsid w:val="00B55DC2"/>
    <w:rsid w:val="00B5706A"/>
    <w:rsid w:val="00B574DE"/>
    <w:rsid w:val="00B57AAD"/>
    <w:rsid w:val="00B614FC"/>
    <w:rsid w:val="00B634BD"/>
    <w:rsid w:val="00B63A2D"/>
    <w:rsid w:val="00B65D20"/>
    <w:rsid w:val="00B660FD"/>
    <w:rsid w:val="00B67749"/>
    <w:rsid w:val="00B700AE"/>
    <w:rsid w:val="00B71C94"/>
    <w:rsid w:val="00B72B16"/>
    <w:rsid w:val="00B72D8E"/>
    <w:rsid w:val="00B750CA"/>
    <w:rsid w:val="00B76349"/>
    <w:rsid w:val="00B773F0"/>
    <w:rsid w:val="00B77543"/>
    <w:rsid w:val="00B80408"/>
    <w:rsid w:val="00B81397"/>
    <w:rsid w:val="00B83393"/>
    <w:rsid w:val="00B925DB"/>
    <w:rsid w:val="00B92AF5"/>
    <w:rsid w:val="00B945CD"/>
    <w:rsid w:val="00B967FF"/>
    <w:rsid w:val="00B97267"/>
    <w:rsid w:val="00B974B9"/>
    <w:rsid w:val="00B9792E"/>
    <w:rsid w:val="00BA1A91"/>
    <w:rsid w:val="00BA391F"/>
    <w:rsid w:val="00BA3F6D"/>
    <w:rsid w:val="00BA4BE6"/>
    <w:rsid w:val="00BA4FC0"/>
    <w:rsid w:val="00BA510D"/>
    <w:rsid w:val="00BA61E0"/>
    <w:rsid w:val="00BA7A15"/>
    <w:rsid w:val="00BA7F7D"/>
    <w:rsid w:val="00BB1C14"/>
    <w:rsid w:val="00BB59BE"/>
    <w:rsid w:val="00BB6847"/>
    <w:rsid w:val="00BB790E"/>
    <w:rsid w:val="00BB7F8F"/>
    <w:rsid w:val="00BC5EF5"/>
    <w:rsid w:val="00BC67DC"/>
    <w:rsid w:val="00BC716A"/>
    <w:rsid w:val="00BD07DF"/>
    <w:rsid w:val="00BD2412"/>
    <w:rsid w:val="00BD2578"/>
    <w:rsid w:val="00BD26F4"/>
    <w:rsid w:val="00BD30C1"/>
    <w:rsid w:val="00BD3656"/>
    <w:rsid w:val="00BD5C65"/>
    <w:rsid w:val="00BD5DBD"/>
    <w:rsid w:val="00BD5DF6"/>
    <w:rsid w:val="00BE0041"/>
    <w:rsid w:val="00BE0471"/>
    <w:rsid w:val="00BE1AF7"/>
    <w:rsid w:val="00BE1F65"/>
    <w:rsid w:val="00BE21C7"/>
    <w:rsid w:val="00BE2667"/>
    <w:rsid w:val="00BE4631"/>
    <w:rsid w:val="00BE50D4"/>
    <w:rsid w:val="00BE640F"/>
    <w:rsid w:val="00BF16CC"/>
    <w:rsid w:val="00BF3F05"/>
    <w:rsid w:val="00BF4638"/>
    <w:rsid w:val="00BF5E26"/>
    <w:rsid w:val="00BF6028"/>
    <w:rsid w:val="00BF7D19"/>
    <w:rsid w:val="00C01BA2"/>
    <w:rsid w:val="00C059D0"/>
    <w:rsid w:val="00C07481"/>
    <w:rsid w:val="00C07551"/>
    <w:rsid w:val="00C1109F"/>
    <w:rsid w:val="00C11E95"/>
    <w:rsid w:val="00C12C29"/>
    <w:rsid w:val="00C12D65"/>
    <w:rsid w:val="00C133AB"/>
    <w:rsid w:val="00C134F0"/>
    <w:rsid w:val="00C1354E"/>
    <w:rsid w:val="00C1368D"/>
    <w:rsid w:val="00C20B56"/>
    <w:rsid w:val="00C21FDF"/>
    <w:rsid w:val="00C22214"/>
    <w:rsid w:val="00C22460"/>
    <w:rsid w:val="00C22879"/>
    <w:rsid w:val="00C2370A"/>
    <w:rsid w:val="00C257D0"/>
    <w:rsid w:val="00C26F72"/>
    <w:rsid w:val="00C300C2"/>
    <w:rsid w:val="00C309A7"/>
    <w:rsid w:val="00C31C98"/>
    <w:rsid w:val="00C335AB"/>
    <w:rsid w:val="00C33DF1"/>
    <w:rsid w:val="00C3416F"/>
    <w:rsid w:val="00C37D3A"/>
    <w:rsid w:val="00C407AB"/>
    <w:rsid w:val="00C433A1"/>
    <w:rsid w:val="00C440CB"/>
    <w:rsid w:val="00C44F3A"/>
    <w:rsid w:val="00C45411"/>
    <w:rsid w:val="00C457D6"/>
    <w:rsid w:val="00C466F6"/>
    <w:rsid w:val="00C46B70"/>
    <w:rsid w:val="00C471E6"/>
    <w:rsid w:val="00C471F6"/>
    <w:rsid w:val="00C503BE"/>
    <w:rsid w:val="00C5178E"/>
    <w:rsid w:val="00C52369"/>
    <w:rsid w:val="00C525D0"/>
    <w:rsid w:val="00C52B7B"/>
    <w:rsid w:val="00C53327"/>
    <w:rsid w:val="00C547CD"/>
    <w:rsid w:val="00C570FF"/>
    <w:rsid w:val="00C57CEA"/>
    <w:rsid w:val="00C606D8"/>
    <w:rsid w:val="00C60FEC"/>
    <w:rsid w:val="00C655C9"/>
    <w:rsid w:val="00C6574E"/>
    <w:rsid w:val="00C668D6"/>
    <w:rsid w:val="00C707FD"/>
    <w:rsid w:val="00C72DAE"/>
    <w:rsid w:val="00C76DEB"/>
    <w:rsid w:val="00C80028"/>
    <w:rsid w:val="00C80305"/>
    <w:rsid w:val="00C816C6"/>
    <w:rsid w:val="00C83311"/>
    <w:rsid w:val="00C83DB5"/>
    <w:rsid w:val="00C840AE"/>
    <w:rsid w:val="00C863A7"/>
    <w:rsid w:val="00C866BC"/>
    <w:rsid w:val="00C8756F"/>
    <w:rsid w:val="00C87ED5"/>
    <w:rsid w:val="00C912F4"/>
    <w:rsid w:val="00C9156F"/>
    <w:rsid w:val="00C92BE0"/>
    <w:rsid w:val="00C9581A"/>
    <w:rsid w:val="00C95FB3"/>
    <w:rsid w:val="00C975D1"/>
    <w:rsid w:val="00C97D29"/>
    <w:rsid w:val="00CA267D"/>
    <w:rsid w:val="00CA4521"/>
    <w:rsid w:val="00CA7001"/>
    <w:rsid w:val="00CB0460"/>
    <w:rsid w:val="00CB0550"/>
    <w:rsid w:val="00CB3552"/>
    <w:rsid w:val="00CB3D6C"/>
    <w:rsid w:val="00CB6813"/>
    <w:rsid w:val="00CC0B1C"/>
    <w:rsid w:val="00CC16AB"/>
    <w:rsid w:val="00CC23D2"/>
    <w:rsid w:val="00CC2567"/>
    <w:rsid w:val="00CC3150"/>
    <w:rsid w:val="00CC40AE"/>
    <w:rsid w:val="00CC4650"/>
    <w:rsid w:val="00CC7031"/>
    <w:rsid w:val="00CC76B6"/>
    <w:rsid w:val="00CD0997"/>
    <w:rsid w:val="00CD3F95"/>
    <w:rsid w:val="00CD53E3"/>
    <w:rsid w:val="00CE00F9"/>
    <w:rsid w:val="00CE17E2"/>
    <w:rsid w:val="00CE23B1"/>
    <w:rsid w:val="00CE2D43"/>
    <w:rsid w:val="00CE62F1"/>
    <w:rsid w:val="00CF0864"/>
    <w:rsid w:val="00CF11AE"/>
    <w:rsid w:val="00CF129A"/>
    <w:rsid w:val="00CF2324"/>
    <w:rsid w:val="00CF38CE"/>
    <w:rsid w:val="00CF4147"/>
    <w:rsid w:val="00CF532A"/>
    <w:rsid w:val="00CF5610"/>
    <w:rsid w:val="00CF6A55"/>
    <w:rsid w:val="00CF6DC6"/>
    <w:rsid w:val="00CF6DCF"/>
    <w:rsid w:val="00CF7893"/>
    <w:rsid w:val="00CF7FB0"/>
    <w:rsid w:val="00D011E0"/>
    <w:rsid w:val="00D01DDB"/>
    <w:rsid w:val="00D01F39"/>
    <w:rsid w:val="00D053EF"/>
    <w:rsid w:val="00D078BE"/>
    <w:rsid w:val="00D13F8A"/>
    <w:rsid w:val="00D14A47"/>
    <w:rsid w:val="00D16F60"/>
    <w:rsid w:val="00D22981"/>
    <w:rsid w:val="00D23C6A"/>
    <w:rsid w:val="00D242B0"/>
    <w:rsid w:val="00D24A40"/>
    <w:rsid w:val="00D26421"/>
    <w:rsid w:val="00D2679A"/>
    <w:rsid w:val="00D3067C"/>
    <w:rsid w:val="00D31738"/>
    <w:rsid w:val="00D3349B"/>
    <w:rsid w:val="00D33F23"/>
    <w:rsid w:val="00D364C6"/>
    <w:rsid w:val="00D37C6B"/>
    <w:rsid w:val="00D401DC"/>
    <w:rsid w:val="00D418CE"/>
    <w:rsid w:val="00D41C18"/>
    <w:rsid w:val="00D4219E"/>
    <w:rsid w:val="00D424A8"/>
    <w:rsid w:val="00D42822"/>
    <w:rsid w:val="00D43932"/>
    <w:rsid w:val="00D43BB1"/>
    <w:rsid w:val="00D451CF"/>
    <w:rsid w:val="00D45353"/>
    <w:rsid w:val="00D465C1"/>
    <w:rsid w:val="00D46DF3"/>
    <w:rsid w:val="00D46F71"/>
    <w:rsid w:val="00D50B62"/>
    <w:rsid w:val="00D51902"/>
    <w:rsid w:val="00D5223C"/>
    <w:rsid w:val="00D52A26"/>
    <w:rsid w:val="00D6036F"/>
    <w:rsid w:val="00D61FE2"/>
    <w:rsid w:val="00D62877"/>
    <w:rsid w:val="00D63760"/>
    <w:rsid w:val="00D6703F"/>
    <w:rsid w:val="00D7087F"/>
    <w:rsid w:val="00D734EB"/>
    <w:rsid w:val="00D739E9"/>
    <w:rsid w:val="00D73E8F"/>
    <w:rsid w:val="00D82697"/>
    <w:rsid w:val="00D82713"/>
    <w:rsid w:val="00D83ACF"/>
    <w:rsid w:val="00D86F00"/>
    <w:rsid w:val="00D87F2C"/>
    <w:rsid w:val="00D918D5"/>
    <w:rsid w:val="00D91DF4"/>
    <w:rsid w:val="00D94C8E"/>
    <w:rsid w:val="00D958AD"/>
    <w:rsid w:val="00D97985"/>
    <w:rsid w:val="00DA07D7"/>
    <w:rsid w:val="00DA0B10"/>
    <w:rsid w:val="00DA13A9"/>
    <w:rsid w:val="00DA2606"/>
    <w:rsid w:val="00DA2931"/>
    <w:rsid w:val="00DA5FC8"/>
    <w:rsid w:val="00DA6357"/>
    <w:rsid w:val="00DA7DAC"/>
    <w:rsid w:val="00DB1372"/>
    <w:rsid w:val="00DB192C"/>
    <w:rsid w:val="00DB1CF3"/>
    <w:rsid w:val="00DB3F5A"/>
    <w:rsid w:val="00DB5425"/>
    <w:rsid w:val="00DB54CC"/>
    <w:rsid w:val="00DB66BB"/>
    <w:rsid w:val="00DB72A6"/>
    <w:rsid w:val="00DB7768"/>
    <w:rsid w:val="00DC084C"/>
    <w:rsid w:val="00DC1F00"/>
    <w:rsid w:val="00DC6611"/>
    <w:rsid w:val="00DD10A3"/>
    <w:rsid w:val="00DD18BA"/>
    <w:rsid w:val="00DD73CE"/>
    <w:rsid w:val="00DE1344"/>
    <w:rsid w:val="00DE74DD"/>
    <w:rsid w:val="00DF01FC"/>
    <w:rsid w:val="00DF1E18"/>
    <w:rsid w:val="00DF2388"/>
    <w:rsid w:val="00DF3143"/>
    <w:rsid w:val="00DF40D9"/>
    <w:rsid w:val="00DF5BFE"/>
    <w:rsid w:val="00DF6BCE"/>
    <w:rsid w:val="00E0079D"/>
    <w:rsid w:val="00E01AD9"/>
    <w:rsid w:val="00E0523F"/>
    <w:rsid w:val="00E05C98"/>
    <w:rsid w:val="00E10265"/>
    <w:rsid w:val="00E161BA"/>
    <w:rsid w:val="00E23E50"/>
    <w:rsid w:val="00E23E61"/>
    <w:rsid w:val="00E26213"/>
    <w:rsid w:val="00E274DF"/>
    <w:rsid w:val="00E30C1F"/>
    <w:rsid w:val="00E3109F"/>
    <w:rsid w:val="00E33752"/>
    <w:rsid w:val="00E34D66"/>
    <w:rsid w:val="00E34E07"/>
    <w:rsid w:val="00E36230"/>
    <w:rsid w:val="00E362C4"/>
    <w:rsid w:val="00E371A5"/>
    <w:rsid w:val="00E4182E"/>
    <w:rsid w:val="00E42AF3"/>
    <w:rsid w:val="00E45281"/>
    <w:rsid w:val="00E46CC2"/>
    <w:rsid w:val="00E47E0C"/>
    <w:rsid w:val="00E50E5E"/>
    <w:rsid w:val="00E51813"/>
    <w:rsid w:val="00E52C0B"/>
    <w:rsid w:val="00E5390F"/>
    <w:rsid w:val="00E53D3F"/>
    <w:rsid w:val="00E54D0B"/>
    <w:rsid w:val="00E5579B"/>
    <w:rsid w:val="00E57FF4"/>
    <w:rsid w:val="00E60BCC"/>
    <w:rsid w:val="00E61680"/>
    <w:rsid w:val="00E62452"/>
    <w:rsid w:val="00E6307A"/>
    <w:rsid w:val="00E633CF"/>
    <w:rsid w:val="00E65141"/>
    <w:rsid w:val="00E672E3"/>
    <w:rsid w:val="00E6733E"/>
    <w:rsid w:val="00E679D1"/>
    <w:rsid w:val="00E67C1C"/>
    <w:rsid w:val="00E708F3"/>
    <w:rsid w:val="00E70C4A"/>
    <w:rsid w:val="00E71DDA"/>
    <w:rsid w:val="00E73C73"/>
    <w:rsid w:val="00E7449B"/>
    <w:rsid w:val="00E75825"/>
    <w:rsid w:val="00E761EA"/>
    <w:rsid w:val="00E76BBB"/>
    <w:rsid w:val="00E86AA5"/>
    <w:rsid w:val="00E91F11"/>
    <w:rsid w:val="00E92546"/>
    <w:rsid w:val="00E955B5"/>
    <w:rsid w:val="00E9706D"/>
    <w:rsid w:val="00EA20B0"/>
    <w:rsid w:val="00EA25A1"/>
    <w:rsid w:val="00EA3AF4"/>
    <w:rsid w:val="00EB04EE"/>
    <w:rsid w:val="00EB0755"/>
    <w:rsid w:val="00EB2E5F"/>
    <w:rsid w:val="00EB530F"/>
    <w:rsid w:val="00EB7151"/>
    <w:rsid w:val="00EB71FA"/>
    <w:rsid w:val="00EC0181"/>
    <w:rsid w:val="00EC02CF"/>
    <w:rsid w:val="00EC0F02"/>
    <w:rsid w:val="00EC1D1E"/>
    <w:rsid w:val="00EC28A4"/>
    <w:rsid w:val="00EC65DF"/>
    <w:rsid w:val="00EC781E"/>
    <w:rsid w:val="00ED0E84"/>
    <w:rsid w:val="00ED638D"/>
    <w:rsid w:val="00EE0CB3"/>
    <w:rsid w:val="00EE270B"/>
    <w:rsid w:val="00EE2740"/>
    <w:rsid w:val="00EE2E2F"/>
    <w:rsid w:val="00EE673A"/>
    <w:rsid w:val="00EF08C9"/>
    <w:rsid w:val="00EF10D0"/>
    <w:rsid w:val="00EF20DD"/>
    <w:rsid w:val="00EF3F0B"/>
    <w:rsid w:val="00EF4544"/>
    <w:rsid w:val="00EF5583"/>
    <w:rsid w:val="00EF6996"/>
    <w:rsid w:val="00EF6AD3"/>
    <w:rsid w:val="00EF7E77"/>
    <w:rsid w:val="00F00709"/>
    <w:rsid w:val="00F01BFA"/>
    <w:rsid w:val="00F0289D"/>
    <w:rsid w:val="00F02AEC"/>
    <w:rsid w:val="00F031A5"/>
    <w:rsid w:val="00F04A6D"/>
    <w:rsid w:val="00F06645"/>
    <w:rsid w:val="00F07572"/>
    <w:rsid w:val="00F1037A"/>
    <w:rsid w:val="00F11FEE"/>
    <w:rsid w:val="00F120DE"/>
    <w:rsid w:val="00F13699"/>
    <w:rsid w:val="00F1464A"/>
    <w:rsid w:val="00F1476A"/>
    <w:rsid w:val="00F157FC"/>
    <w:rsid w:val="00F16D52"/>
    <w:rsid w:val="00F21A18"/>
    <w:rsid w:val="00F2208C"/>
    <w:rsid w:val="00F233B3"/>
    <w:rsid w:val="00F30AF3"/>
    <w:rsid w:val="00F31C6D"/>
    <w:rsid w:val="00F321BB"/>
    <w:rsid w:val="00F342BC"/>
    <w:rsid w:val="00F43830"/>
    <w:rsid w:val="00F43CD1"/>
    <w:rsid w:val="00F45AE0"/>
    <w:rsid w:val="00F50086"/>
    <w:rsid w:val="00F50ACC"/>
    <w:rsid w:val="00F53A40"/>
    <w:rsid w:val="00F54541"/>
    <w:rsid w:val="00F56CDC"/>
    <w:rsid w:val="00F57BD0"/>
    <w:rsid w:val="00F6036C"/>
    <w:rsid w:val="00F60CF2"/>
    <w:rsid w:val="00F60CFA"/>
    <w:rsid w:val="00F618B7"/>
    <w:rsid w:val="00F6196F"/>
    <w:rsid w:val="00F63A0D"/>
    <w:rsid w:val="00F657B4"/>
    <w:rsid w:val="00F660E8"/>
    <w:rsid w:val="00F66CA3"/>
    <w:rsid w:val="00F72725"/>
    <w:rsid w:val="00F7450C"/>
    <w:rsid w:val="00F75FD6"/>
    <w:rsid w:val="00F7649F"/>
    <w:rsid w:val="00F76561"/>
    <w:rsid w:val="00F77366"/>
    <w:rsid w:val="00F8083B"/>
    <w:rsid w:val="00F81074"/>
    <w:rsid w:val="00F82469"/>
    <w:rsid w:val="00F82D1B"/>
    <w:rsid w:val="00F837CE"/>
    <w:rsid w:val="00F84043"/>
    <w:rsid w:val="00F865A7"/>
    <w:rsid w:val="00F91B04"/>
    <w:rsid w:val="00F945E7"/>
    <w:rsid w:val="00F9739F"/>
    <w:rsid w:val="00F97570"/>
    <w:rsid w:val="00FA0754"/>
    <w:rsid w:val="00FA1BC9"/>
    <w:rsid w:val="00FA49C3"/>
    <w:rsid w:val="00FA4BCE"/>
    <w:rsid w:val="00FA5C22"/>
    <w:rsid w:val="00FB0427"/>
    <w:rsid w:val="00FB0915"/>
    <w:rsid w:val="00FB098F"/>
    <w:rsid w:val="00FB236E"/>
    <w:rsid w:val="00FB3104"/>
    <w:rsid w:val="00FB343D"/>
    <w:rsid w:val="00FB3F7B"/>
    <w:rsid w:val="00FB4C2A"/>
    <w:rsid w:val="00FB4E2A"/>
    <w:rsid w:val="00FB59E3"/>
    <w:rsid w:val="00FB5A22"/>
    <w:rsid w:val="00FB790A"/>
    <w:rsid w:val="00FC1BF2"/>
    <w:rsid w:val="00FC2107"/>
    <w:rsid w:val="00FC48FE"/>
    <w:rsid w:val="00FC6A4B"/>
    <w:rsid w:val="00FC6F56"/>
    <w:rsid w:val="00FC75DC"/>
    <w:rsid w:val="00FD0267"/>
    <w:rsid w:val="00FD0F2E"/>
    <w:rsid w:val="00FD23C0"/>
    <w:rsid w:val="00FD254E"/>
    <w:rsid w:val="00FD2D9E"/>
    <w:rsid w:val="00FD3230"/>
    <w:rsid w:val="00FD3377"/>
    <w:rsid w:val="00FD4D8F"/>
    <w:rsid w:val="00FD696B"/>
    <w:rsid w:val="00FE087C"/>
    <w:rsid w:val="00FE2905"/>
    <w:rsid w:val="00FE3BBF"/>
    <w:rsid w:val="00FE7508"/>
    <w:rsid w:val="00FE79A0"/>
    <w:rsid w:val="00FF0939"/>
    <w:rsid w:val="00FF0DBC"/>
    <w:rsid w:val="00FF2AC4"/>
    <w:rsid w:val="00FF34C3"/>
    <w:rsid w:val="00FF39D3"/>
    <w:rsid w:val="00FF59F9"/>
    <w:rsid w:val="00FF73BA"/>
    <w:rsid w:val="1FDEFD4C"/>
    <w:rsid w:val="47D43658"/>
    <w:rsid w:val="4FB027FA"/>
    <w:rsid w:val="5CFDD6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EFE8CF41-59A7-46E6-B4C1-91305445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B614F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C668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7Char">
    <w:name w:val="Heading 7 Char"/>
    <w:basedOn w:val="DefaultParagraphFont"/>
    <w:link w:val="Heading7"/>
    <w:uiPriority w:val="9"/>
    <w:rsid w:val="00B614FC"/>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C668D6"/>
    <w:rPr>
      <w:rFonts w:asciiTheme="majorHAnsi" w:eastAsiaTheme="majorEastAsia" w:hAnsiTheme="majorHAnsi" w:cstheme="majorBidi"/>
      <w:color w:val="272727" w:themeColor="text1" w:themeTint="D8"/>
      <w:sz w:val="21"/>
      <w:szCs w:val="21"/>
    </w:rPr>
  </w:style>
  <w:style w:type="paragraph" w:customStyle="1" w:styleId="Standard">
    <w:name w:val="Standard"/>
    <w:basedOn w:val="Normal"/>
    <w:link w:val="StandardChar"/>
    <w:qFormat/>
    <w:rsid w:val="00387CE9"/>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87CE9"/>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387CE9"/>
    <w:pPr>
      <w:spacing w:before="20" w:after="20"/>
    </w:pPr>
  </w:style>
  <w:style w:type="character" w:customStyle="1" w:styleId="TabletextChar">
    <w:name w:val="Table text Char"/>
    <w:basedOn w:val="StandardChar"/>
    <w:link w:val="Tabletext0"/>
    <w:rsid w:val="00387CE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D7C75"/>
    <w:pPr>
      <w:numPr>
        <w:numId w:val="7"/>
      </w:numPr>
      <w:spacing w:after="180"/>
      <w:ind w:left="426" w:hanging="284"/>
    </w:pPr>
    <w:rPr>
      <w:kern w:val="2"/>
      <w:szCs w:val="22"/>
    </w:rPr>
  </w:style>
  <w:style w:type="character" w:customStyle="1" w:styleId="BulletlistChar">
    <w:name w:val="Bullet list Char"/>
    <w:basedOn w:val="StandardChar"/>
    <w:link w:val="Bulletlist"/>
    <w:rsid w:val="00AD7C75"/>
    <w:rPr>
      <w:rFonts w:ascii="Cambria" w:eastAsia="Times New Roman" w:hAnsi="Cambria" w:cs="Times New Roman"/>
      <w:snapToGrid w:val="0"/>
      <w:kern w:val="2"/>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53777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96429917">
      <w:bodyDiv w:val="1"/>
      <w:marLeft w:val="0"/>
      <w:marRight w:val="0"/>
      <w:marTop w:val="0"/>
      <w:marBottom w:val="0"/>
      <w:divBdr>
        <w:top w:val="none" w:sz="0" w:space="0" w:color="auto"/>
        <w:left w:val="none" w:sz="0" w:space="0" w:color="auto"/>
        <w:bottom w:val="none" w:sz="0" w:space="0" w:color="auto"/>
        <w:right w:val="none" w:sz="0" w:space="0" w:color="auto"/>
      </w:divBdr>
    </w:div>
    <w:div w:id="925653465">
      <w:bodyDiv w:val="1"/>
      <w:marLeft w:val="0"/>
      <w:marRight w:val="0"/>
      <w:marTop w:val="0"/>
      <w:marBottom w:val="0"/>
      <w:divBdr>
        <w:top w:val="none" w:sz="0" w:space="0" w:color="auto"/>
        <w:left w:val="none" w:sz="0" w:space="0" w:color="auto"/>
        <w:bottom w:val="none" w:sz="0" w:space="0" w:color="auto"/>
        <w:right w:val="none" w:sz="0" w:space="0" w:color="auto"/>
      </w:divBdr>
    </w:div>
    <w:div w:id="1212420950">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704404133">
      <w:bodyDiv w:val="1"/>
      <w:marLeft w:val="0"/>
      <w:marRight w:val="0"/>
      <w:marTop w:val="0"/>
      <w:marBottom w:val="0"/>
      <w:divBdr>
        <w:top w:val="none" w:sz="0" w:space="0" w:color="auto"/>
        <w:left w:val="none" w:sz="0" w:space="0" w:color="auto"/>
        <w:bottom w:val="none" w:sz="0" w:space="0" w:color="auto"/>
        <w:right w:val="none" w:sz="0" w:space="0" w:color="auto"/>
      </w:divBdr>
    </w:div>
    <w:div w:id="17205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7.png"/><Relationship Id="rId39" Type="http://schemas.openxmlformats.org/officeDocument/2006/relationships/hyperlink" Target="https://www.tga.gov.au/resources/resource/guidance/risk-management-plans-medicines-and-biologicals/australia-specific-annex-eu-rmp" TargetMode="External"/><Relationship Id="rId3" Type="http://schemas.openxmlformats.org/officeDocument/2006/relationships/customXml" Target="../customXml/item3.xml"/><Relationship Id="rId21" Type="http://schemas.openxmlformats.org/officeDocument/2006/relationships/hyperlink" Target="https://www.tga.gov.au/obstetric-drug-information-services" TargetMode="External"/><Relationship Id="rId34" Type="http://schemas.openxmlformats.org/officeDocument/2006/relationships/image" Target="media/image15.png"/><Relationship Id="rId42" Type="http://schemas.openxmlformats.org/officeDocument/2006/relationships/hyperlink" Target="https://www.tga.gov.au/guidance-7-certified-product-details" TargetMode="Externa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www.tga.gov.au/resources/resource/guidance/risk-management-plans-medicines-and-biologicals/australia-specific-annex-eu-rmp"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0.png"/><Relationship Id="rId41" Type="http://schemas.openxmlformats.org/officeDocument/2006/relationships/hyperlink" Target="mailto:vaccines@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tga.gov.au/tgas-risk-management-approach" TargetMode="External"/><Relationship Id="rId40" Type="http://schemas.openxmlformats.org/officeDocument/2006/relationships/hyperlink" Target="https://www.tga.gov.au/committee/advisory-committee-medicines-acm" TargetMode="External"/><Relationship Id="rId45" Type="http://schemas.openxmlformats.org/officeDocument/2006/relationships/hyperlink" Target="https://www.ebs.tga.gov.au/"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tga.gov.au/publication/risk-management-plans-medicines-and-biologicals" TargetMode="External"/><Relationship Id="rId49" Type="http://schemas.openxmlformats.org/officeDocument/2006/relationships/hyperlink" Target="https://www.tga.gov.au" TargetMode="External"/><Relationship Id="rId10" Type="http://schemas.openxmlformats.org/officeDocument/2006/relationships/endnotes" Target="endnotes.xml"/><Relationship Id="rId19" Type="http://schemas.openxmlformats.org/officeDocument/2006/relationships/hyperlink" Target="https://www.tga.gov.au/products/australian-register-therapeutic-goods-artg/product-information-pi" TargetMode="External"/><Relationship Id="rId31" Type="http://schemas.openxmlformats.org/officeDocument/2006/relationships/image" Target="media/image12.png"/><Relationship Id="rId44" Type="http://schemas.openxmlformats.org/officeDocument/2006/relationships/hyperlink" Target="mailto:Vaccines@health.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tga.gov.au/form/certified-product-details-cpd-biological-prescription-medicines" TargetMode="External"/><Relationship Id="rId48" Type="http://schemas.openxmlformats.org/officeDocument/2006/relationships/hyperlink" Target="mailto:info@tga.gov.au" TargetMode="Externa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fda.gov/media/150021/download" TargetMode="External"/><Relationship Id="rId1" Type="http://schemas.openxmlformats.org/officeDocument/2006/relationships/hyperlink" Target="https://www.fda.gov/media/180070/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D26D20A46094CB8229B11615AA9F8" ma:contentTypeVersion="6" ma:contentTypeDescription="Create a new document." ma:contentTypeScope="" ma:versionID="e063067ccfe32b0872eac43722adf862">
  <xsd:schema xmlns:xsd="http://www.w3.org/2001/XMLSchema" xmlns:xs="http://www.w3.org/2001/XMLSchema" xmlns:p="http://schemas.microsoft.com/office/2006/metadata/properties" xmlns:ns2="9d8913bd-aed4-4680-a37d-9b7d2b330d64" xmlns:ns3="f3ca3a06-3fe5-4187-8876-e49e2cdb08df" targetNamespace="http://schemas.microsoft.com/office/2006/metadata/properties" ma:root="true" ma:fieldsID="ad657675ec6823f6afb613429479aea7" ns2:_="" ns3:_="">
    <xsd:import namespace="9d8913bd-aed4-4680-a37d-9b7d2b330d64"/>
    <xsd:import namespace="f3ca3a06-3fe5-4187-8876-e49e2cdb08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913bd-aed4-4680-a37d-9b7d2b330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a3a06-3fe5-4187-8876-e49e2cdb08d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929500-2A89-4CC0-9044-9A4ECFBE2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913bd-aed4-4680-a37d-9b7d2b330d64"/>
    <ds:schemaRef ds:uri="f3ca3a06-3fe5-4187-8876-e49e2cdb0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B744F-FF4B-4D5B-82E1-86E4528792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7771E254-A403-4304-AE59-D03D52C4D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11929</Words>
  <Characters>67997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Capvaxive</vt:lpstr>
    </vt:vector>
  </TitlesOfParts>
  <Manager/>
  <Company>Department of Health, Disability and Ageing</Company>
  <LinksUpToDate>false</LinksUpToDate>
  <CharactersWithSpaces>79767</CharactersWithSpaces>
  <SharedDoc>false</SharedDoc>
  <HLinks>
    <vt:vector size="282" baseType="variant">
      <vt:variant>
        <vt:i4>3473445</vt:i4>
      </vt:variant>
      <vt:variant>
        <vt:i4>210</vt:i4>
      </vt:variant>
      <vt:variant>
        <vt:i4>0</vt:i4>
      </vt:variant>
      <vt:variant>
        <vt:i4>5</vt:i4>
      </vt:variant>
      <vt:variant>
        <vt:lpwstr>https://www.tga.gov.au/</vt:lpwstr>
      </vt:variant>
      <vt:variant>
        <vt:lpwstr/>
      </vt:variant>
      <vt:variant>
        <vt:i4>5242926</vt:i4>
      </vt:variant>
      <vt:variant>
        <vt:i4>207</vt:i4>
      </vt:variant>
      <vt:variant>
        <vt:i4>0</vt:i4>
      </vt:variant>
      <vt:variant>
        <vt:i4>5</vt:i4>
      </vt:variant>
      <vt:variant>
        <vt:lpwstr>mailto:info@tga.gov.au</vt:lpwstr>
      </vt:variant>
      <vt:variant>
        <vt:lpwstr/>
      </vt:variant>
      <vt:variant>
        <vt:i4>7929907</vt:i4>
      </vt:variant>
      <vt:variant>
        <vt:i4>204</vt:i4>
      </vt:variant>
      <vt:variant>
        <vt:i4>0</vt:i4>
      </vt:variant>
      <vt:variant>
        <vt:i4>5</vt:i4>
      </vt:variant>
      <vt:variant>
        <vt:lpwstr>https://www.ebs.tga.gov.au/</vt:lpwstr>
      </vt:variant>
      <vt:variant>
        <vt:lpwstr/>
      </vt:variant>
      <vt:variant>
        <vt:i4>2752583</vt:i4>
      </vt:variant>
      <vt:variant>
        <vt:i4>201</vt:i4>
      </vt:variant>
      <vt:variant>
        <vt:i4>0</vt:i4>
      </vt:variant>
      <vt:variant>
        <vt:i4>5</vt:i4>
      </vt:variant>
      <vt:variant>
        <vt:lpwstr>mailto:Vaccines@health.gov.au</vt:lpwstr>
      </vt:variant>
      <vt:variant>
        <vt:lpwstr/>
      </vt:variant>
      <vt:variant>
        <vt:i4>3473449</vt:i4>
      </vt:variant>
      <vt:variant>
        <vt:i4>198</vt:i4>
      </vt:variant>
      <vt:variant>
        <vt:i4>0</vt:i4>
      </vt:variant>
      <vt:variant>
        <vt:i4>5</vt:i4>
      </vt:variant>
      <vt:variant>
        <vt:lpwstr>https://www.tga.gov.au/form/certified-product-details-cpd-biological-prescription-medicines</vt:lpwstr>
      </vt:variant>
      <vt:variant>
        <vt:lpwstr/>
      </vt:variant>
      <vt:variant>
        <vt:i4>3538997</vt:i4>
      </vt:variant>
      <vt:variant>
        <vt:i4>195</vt:i4>
      </vt:variant>
      <vt:variant>
        <vt:i4>0</vt:i4>
      </vt:variant>
      <vt:variant>
        <vt:i4>5</vt:i4>
      </vt:variant>
      <vt:variant>
        <vt:lpwstr>https://www.tga.gov.au/guidance-7-certified-product-details</vt:lpwstr>
      </vt:variant>
      <vt:variant>
        <vt:lpwstr/>
      </vt:variant>
      <vt:variant>
        <vt:i4>2752583</vt:i4>
      </vt:variant>
      <vt:variant>
        <vt:i4>192</vt:i4>
      </vt:variant>
      <vt:variant>
        <vt:i4>0</vt:i4>
      </vt:variant>
      <vt:variant>
        <vt:i4>5</vt:i4>
      </vt:variant>
      <vt:variant>
        <vt:lpwstr>mailto:vaccines@health.gov.au</vt:lpwstr>
      </vt:variant>
      <vt:variant>
        <vt:lpwstr/>
      </vt:variant>
      <vt:variant>
        <vt:i4>524365</vt:i4>
      </vt:variant>
      <vt:variant>
        <vt:i4>189</vt:i4>
      </vt:variant>
      <vt:variant>
        <vt:i4>0</vt:i4>
      </vt:variant>
      <vt:variant>
        <vt:i4>5</vt:i4>
      </vt:variant>
      <vt:variant>
        <vt:lpwstr>https://www.tga.gov.au/committee/advisory-committee-medicines-acm</vt:lpwstr>
      </vt:variant>
      <vt:variant>
        <vt:lpwstr/>
      </vt:variant>
      <vt:variant>
        <vt:i4>2424877</vt:i4>
      </vt:variant>
      <vt:variant>
        <vt:i4>186</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183</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180</vt:i4>
      </vt:variant>
      <vt:variant>
        <vt:i4>0</vt:i4>
      </vt:variant>
      <vt:variant>
        <vt:i4>5</vt:i4>
      </vt:variant>
      <vt:variant>
        <vt:lpwstr>https://www.tga.gov.au/tgas-risk-management-approach</vt:lpwstr>
      </vt:variant>
      <vt:variant>
        <vt:lpwstr/>
      </vt:variant>
      <vt:variant>
        <vt:i4>7929888</vt:i4>
      </vt:variant>
      <vt:variant>
        <vt:i4>177</vt:i4>
      </vt:variant>
      <vt:variant>
        <vt:i4>0</vt:i4>
      </vt:variant>
      <vt:variant>
        <vt:i4>5</vt:i4>
      </vt:variant>
      <vt:variant>
        <vt:lpwstr>https://www.tga.gov.au/publication/risk-management-plans-medicines-and-biologicals</vt:lpwstr>
      </vt:variant>
      <vt:variant>
        <vt:lpwstr/>
      </vt:variant>
      <vt:variant>
        <vt:i4>1835097</vt:i4>
      </vt:variant>
      <vt:variant>
        <vt:i4>171</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165</vt:i4>
      </vt:variant>
      <vt:variant>
        <vt:i4>0</vt:i4>
      </vt:variant>
      <vt:variant>
        <vt:i4>5</vt:i4>
      </vt:variant>
      <vt:variant>
        <vt:lpwstr>https://www.tga.gov.au/obstetric-drug-information-services</vt:lpwstr>
      </vt:variant>
      <vt:variant>
        <vt:lpwstr/>
      </vt:variant>
      <vt:variant>
        <vt:i4>2949173</vt:i4>
      </vt:variant>
      <vt:variant>
        <vt:i4>162</vt:i4>
      </vt:variant>
      <vt:variant>
        <vt:i4>0</vt:i4>
      </vt:variant>
      <vt:variant>
        <vt:i4>5</vt:i4>
      </vt:variant>
      <vt:variant>
        <vt:lpwstr>https://www.tga.gov.au/products/medicines/find-information-about-medicine/prescribing-medicines-pregnancy-database</vt:lpwstr>
      </vt:variant>
      <vt:variant>
        <vt:lpwstr/>
      </vt:variant>
      <vt:variant>
        <vt:i4>5242887</vt:i4>
      </vt:variant>
      <vt:variant>
        <vt:i4>159</vt:i4>
      </vt:variant>
      <vt:variant>
        <vt:i4>0</vt:i4>
      </vt:variant>
      <vt:variant>
        <vt:i4>5</vt:i4>
      </vt:variant>
      <vt:variant>
        <vt:lpwstr>https://www.tga.gov.au/products/australian-register-therapeutic-goods-artg/product-information-pi</vt:lpwstr>
      </vt:variant>
      <vt:variant>
        <vt:lpwstr/>
      </vt:variant>
      <vt:variant>
        <vt:i4>786511</vt:i4>
      </vt:variant>
      <vt:variant>
        <vt:i4>156</vt:i4>
      </vt:variant>
      <vt:variant>
        <vt:i4>0</vt:i4>
      </vt:variant>
      <vt:variant>
        <vt:i4>5</vt:i4>
      </vt:variant>
      <vt:variant>
        <vt:lpwstr>https://www.tga.gov.au/black-triangle-scheme</vt:lpwstr>
      </vt:variant>
      <vt:variant>
        <vt:lpwstr/>
      </vt:variant>
      <vt:variant>
        <vt:i4>1966133</vt:i4>
      </vt:variant>
      <vt:variant>
        <vt:i4>149</vt:i4>
      </vt:variant>
      <vt:variant>
        <vt:i4>0</vt:i4>
      </vt:variant>
      <vt:variant>
        <vt:i4>5</vt:i4>
      </vt:variant>
      <vt:variant>
        <vt:lpwstr/>
      </vt:variant>
      <vt:variant>
        <vt:lpwstr>_Toc204861503</vt:lpwstr>
      </vt:variant>
      <vt:variant>
        <vt:i4>1966133</vt:i4>
      </vt:variant>
      <vt:variant>
        <vt:i4>143</vt:i4>
      </vt:variant>
      <vt:variant>
        <vt:i4>0</vt:i4>
      </vt:variant>
      <vt:variant>
        <vt:i4>5</vt:i4>
      </vt:variant>
      <vt:variant>
        <vt:lpwstr/>
      </vt:variant>
      <vt:variant>
        <vt:lpwstr>_Toc204861502</vt:lpwstr>
      </vt:variant>
      <vt:variant>
        <vt:i4>1966133</vt:i4>
      </vt:variant>
      <vt:variant>
        <vt:i4>137</vt:i4>
      </vt:variant>
      <vt:variant>
        <vt:i4>0</vt:i4>
      </vt:variant>
      <vt:variant>
        <vt:i4>5</vt:i4>
      </vt:variant>
      <vt:variant>
        <vt:lpwstr/>
      </vt:variant>
      <vt:variant>
        <vt:lpwstr>_Toc204861501</vt:lpwstr>
      </vt:variant>
      <vt:variant>
        <vt:i4>1966133</vt:i4>
      </vt:variant>
      <vt:variant>
        <vt:i4>131</vt:i4>
      </vt:variant>
      <vt:variant>
        <vt:i4>0</vt:i4>
      </vt:variant>
      <vt:variant>
        <vt:i4>5</vt:i4>
      </vt:variant>
      <vt:variant>
        <vt:lpwstr/>
      </vt:variant>
      <vt:variant>
        <vt:lpwstr>_Toc204861500</vt:lpwstr>
      </vt:variant>
      <vt:variant>
        <vt:i4>1507380</vt:i4>
      </vt:variant>
      <vt:variant>
        <vt:i4>125</vt:i4>
      </vt:variant>
      <vt:variant>
        <vt:i4>0</vt:i4>
      </vt:variant>
      <vt:variant>
        <vt:i4>5</vt:i4>
      </vt:variant>
      <vt:variant>
        <vt:lpwstr/>
      </vt:variant>
      <vt:variant>
        <vt:lpwstr>_Toc204861499</vt:lpwstr>
      </vt:variant>
      <vt:variant>
        <vt:i4>1507380</vt:i4>
      </vt:variant>
      <vt:variant>
        <vt:i4>119</vt:i4>
      </vt:variant>
      <vt:variant>
        <vt:i4>0</vt:i4>
      </vt:variant>
      <vt:variant>
        <vt:i4>5</vt:i4>
      </vt:variant>
      <vt:variant>
        <vt:lpwstr/>
      </vt:variant>
      <vt:variant>
        <vt:lpwstr>_Toc204861498</vt:lpwstr>
      </vt:variant>
      <vt:variant>
        <vt:i4>1507380</vt:i4>
      </vt:variant>
      <vt:variant>
        <vt:i4>113</vt:i4>
      </vt:variant>
      <vt:variant>
        <vt:i4>0</vt:i4>
      </vt:variant>
      <vt:variant>
        <vt:i4>5</vt:i4>
      </vt:variant>
      <vt:variant>
        <vt:lpwstr/>
      </vt:variant>
      <vt:variant>
        <vt:lpwstr>_Toc204861497</vt:lpwstr>
      </vt:variant>
      <vt:variant>
        <vt:i4>1507380</vt:i4>
      </vt:variant>
      <vt:variant>
        <vt:i4>107</vt:i4>
      </vt:variant>
      <vt:variant>
        <vt:i4>0</vt:i4>
      </vt:variant>
      <vt:variant>
        <vt:i4>5</vt:i4>
      </vt:variant>
      <vt:variant>
        <vt:lpwstr/>
      </vt:variant>
      <vt:variant>
        <vt:lpwstr>_Toc204861496</vt:lpwstr>
      </vt:variant>
      <vt:variant>
        <vt:i4>1507380</vt:i4>
      </vt:variant>
      <vt:variant>
        <vt:i4>101</vt:i4>
      </vt:variant>
      <vt:variant>
        <vt:i4>0</vt:i4>
      </vt:variant>
      <vt:variant>
        <vt:i4>5</vt:i4>
      </vt:variant>
      <vt:variant>
        <vt:lpwstr/>
      </vt:variant>
      <vt:variant>
        <vt:lpwstr>_Toc204861495</vt:lpwstr>
      </vt:variant>
      <vt:variant>
        <vt:i4>1507380</vt:i4>
      </vt:variant>
      <vt:variant>
        <vt:i4>95</vt:i4>
      </vt:variant>
      <vt:variant>
        <vt:i4>0</vt:i4>
      </vt:variant>
      <vt:variant>
        <vt:i4>5</vt:i4>
      </vt:variant>
      <vt:variant>
        <vt:lpwstr/>
      </vt:variant>
      <vt:variant>
        <vt:lpwstr>_Toc204861494</vt:lpwstr>
      </vt:variant>
      <vt:variant>
        <vt:i4>1507380</vt:i4>
      </vt:variant>
      <vt:variant>
        <vt:i4>89</vt:i4>
      </vt:variant>
      <vt:variant>
        <vt:i4>0</vt:i4>
      </vt:variant>
      <vt:variant>
        <vt:i4>5</vt:i4>
      </vt:variant>
      <vt:variant>
        <vt:lpwstr/>
      </vt:variant>
      <vt:variant>
        <vt:lpwstr>_Toc204861493</vt:lpwstr>
      </vt:variant>
      <vt:variant>
        <vt:i4>1507380</vt:i4>
      </vt:variant>
      <vt:variant>
        <vt:i4>83</vt:i4>
      </vt:variant>
      <vt:variant>
        <vt:i4>0</vt:i4>
      </vt:variant>
      <vt:variant>
        <vt:i4>5</vt:i4>
      </vt:variant>
      <vt:variant>
        <vt:lpwstr/>
      </vt:variant>
      <vt:variant>
        <vt:lpwstr>_Toc204861492</vt:lpwstr>
      </vt:variant>
      <vt:variant>
        <vt:i4>1507380</vt:i4>
      </vt:variant>
      <vt:variant>
        <vt:i4>77</vt:i4>
      </vt:variant>
      <vt:variant>
        <vt:i4>0</vt:i4>
      </vt:variant>
      <vt:variant>
        <vt:i4>5</vt:i4>
      </vt:variant>
      <vt:variant>
        <vt:lpwstr/>
      </vt:variant>
      <vt:variant>
        <vt:lpwstr>_Toc204861491</vt:lpwstr>
      </vt:variant>
      <vt:variant>
        <vt:i4>1507380</vt:i4>
      </vt:variant>
      <vt:variant>
        <vt:i4>71</vt:i4>
      </vt:variant>
      <vt:variant>
        <vt:i4>0</vt:i4>
      </vt:variant>
      <vt:variant>
        <vt:i4>5</vt:i4>
      </vt:variant>
      <vt:variant>
        <vt:lpwstr/>
      </vt:variant>
      <vt:variant>
        <vt:lpwstr>_Toc204861490</vt:lpwstr>
      </vt:variant>
      <vt:variant>
        <vt:i4>1441844</vt:i4>
      </vt:variant>
      <vt:variant>
        <vt:i4>65</vt:i4>
      </vt:variant>
      <vt:variant>
        <vt:i4>0</vt:i4>
      </vt:variant>
      <vt:variant>
        <vt:i4>5</vt:i4>
      </vt:variant>
      <vt:variant>
        <vt:lpwstr/>
      </vt:variant>
      <vt:variant>
        <vt:lpwstr>_Toc204861489</vt:lpwstr>
      </vt:variant>
      <vt:variant>
        <vt:i4>1441844</vt:i4>
      </vt:variant>
      <vt:variant>
        <vt:i4>59</vt:i4>
      </vt:variant>
      <vt:variant>
        <vt:i4>0</vt:i4>
      </vt:variant>
      <vt:variant>
        <vt:i4>5</vt:i4>
      </vt:variant>
      <vt:variant>
        <vt:lpwstr/>
      </vt:variant>
      <vt:variant>
        <vt:lpwstr>_Toc204861488</vt:lpwstr>
      </vt:variant>
      <vt:variant>
        <vt:i4>1441844</vt:i4>
      </vt:variant>
      <vt:variant>
        <vt:i4>53</vt:i4>
      </vt:variant>
      <vt:variant>
        <vt:i4>0</vt:i4>
      </vt:variant>
      <vt:variant>
        <vt:i4>5</vt:i4>
      </vt:variant>
      <vt:variant>
        <vt:lpwstr/>
      </vt:variant>
      <vt:variant>
        <vt:lpwstr>_Toc204861487</vt:lpwstr>
      </vt:variant>
      <vt:variant>
        <vt:i4>1441844</vt:i4>
      </vt:variant>
      <vt:variant>
        <vt:i4>47</vt:i4>
      </vt:variant>
      <vt:variant>
        <vt:i4>0</vt:i4>
      </vt:variant>
      <vt:variant>
        <vt:i4>5</vt:i4>
      </vt:variant>
      <vt:variant>
        <vt:lpwstr/>
      </vt:variant>
      <vt:variant>
        <vt:lpwstr>_Toc204861486</vt:lpwstr>
      </vt:variant>
      <vt:variant>
        <vt:i4>1441844</vt:i4>
      </vt:variant>
      <vt:variant>
        <vt:i4>41</vt:i4>
      </vt:variant>
      <vt:variant>
        <vt:i4>0</vt:i4>
      </vt:variant>
      <vt:variant>
        <vt:i4>5</vt:i4>
      </vt:variant>
      <vt:variant>
        <vt:lpwstr/>
      </vt:variant>
      <vt:variant>
        <vt:lpwstr>_Toc204861485</vt:lpwstr>
      </vt:variant>
      <vt:variant>
        <vt:i4>1441844</vt:i4>
      </vt:variant>
      <vt:variant>
        <vt:i4>35</vt:i4>
      </vt:variant>
      <vt:variant>
        <vt:i4>0</vt:i4>
      </vt:variant>
      <vt:variant>
        <vt:i4>5</vt:i4>
      </vt:variant>
      <vt:variant>
        <vt:lpwstr/>
      </vt:variant>
      <vt:variant>
        <vt:lpwstr>_Toc204861484</vt:lpwstr>
      </vt:variant>
      <vt:variant>
        <vt:i4>1441844</vt:i4>
      </vt:variant>
      <vt:variant>
        <vt:i4>29</vt:i4>
      </vt:variant>
      <vt:variant>
        <vt:i4>0</vt:i4>
      </vt:variant>
      <vt:variant>
        <vt:i4>5</vt:i4>
      </vt:variant>
      <vt:variant>
        <vt:lpwstr/>
      </vt:variant>
      <vt:variant>
        <vt:lpwstr>_Toc204861483</vt:lpwstr>
      </vt:variant>
      <vt:variant>
        <vt:i4>1441844</vt:i4>
      </vt:variant>
      <vt:variant>
        <vt:i4>23</vt:i4>
      </vt:variant>
      <vt:variant>
        <vt:i4>0</vt:i4>
      </vt:variant>
      <vt:variant>
        <vt:i4>5</vt:i4>
      </vt:variant>
      <vt:variant>
        <vt:lpwstr/>
      </vt:variant>
      <vt:variant>
        <vt:lpwstr>_Toc204861482</vt:lpwstr>
      </vt:variant>
      <vt:variant>
        <vt:i4>1441844</vt:i4>
      </vt:variant>
      <vt:variant>
        <vt:i4>17</vt:i4>
      </vt:variant>
      <vt:variant>
        <vt:i4>0</vt:i4>
      </vt:variant>
      <vt:variant>
        <vt:i4>5</vt:i4>
      </vt:variant>
      <vt:variant>
        <vt:lpwstr/>
      </vt:variant>
      <vt:variant>
        <vt:lpwstr>_Toc204861481</vt:lpwstr>
      </vt:variant>
      <vt:variant>
        <vt:i4>1441844</vt:i4>
      </vt:variant>
      <vt:variant>
        <vt:i4>11</vt:i4>
      </vt:variant>
      <vt:variant>
        <vt:i4>0</vt:i4>
      </vt:variant>
      <vt:variant>
        <vt:i4>5</vt:i4>
      </vt:variant>
      <vt:variant>
        <vt:lpwstr/>
      </vt:variant>
      <vt:variant>
        <vt:lpwstr>_Toc204861480</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4915276</vt:i4>
      </vt:variant>
      <vt:variant>
        <vt:i4>3</vt:i4>
      </vt:variant>
      <vt:variant>
        <vt:i4>0</vt:i4>
      </vt:variant>
      <vt:variant>
        <vt:i4>5</vt:i4>
      </vt:variant>
      <vt:variant>
        <vt:lpwstr>https://www.fda.gov/media/150021/download</vt:lpwstr>
      </vt:variant>
      <vt:variant>
        <vt:lpwstr/>
      </vt:variant>
      <vt:variant>
        <vt:i4>4653129</vt:i4>
      </vt:variant>
      <vt:variant>
        <vt:i4>0</vt:i4>
      </vt:variant>
      <vt:variant>
        <vt:i4>0</vt:i4>
      </vt:variant>
      <vt:variant>
        <vt:i4>5</vt:i4>
      </vt:variant>
      <vt:variant>
        <vt:lpwstr>https://www.fda.gov/media/180070/download</vt:lpwstr>
      </vt:variant>
      <vt:variant>
        <vt:lpwstr/>
      </vt:variant>
      <vt:variant>
        <vt:i4>3801151</vt:i4>
      </vt:variant>
      <vt:variant>
        <vt:i4>0</vt:i4>
      </vt:variant>
      <vt:variant>
        <vt:i4>0</vt:i4>
      </vt:variant>
      <vt:variant>
        <vt:i4>5</vt:i4>
      </vt:variant>
      <vt:variant>
        <vt:lpwstr>https://www.tga.gov.au/sites/default/files/stability-testing-prescription-medicines.pdf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Capvaxive</dc:title>
  <dc:subject>prescription medicines</dc:subject>
  <dc:creator>Therapeutic Goods Administration</dc:creator>
  <cp:keywords/>
  <dc:description/>
  <cp:lastModifiedBy>LACK, Janet</cp:lastModifiedBy>
  <cp:revision>2</cp:revision>
  <dcterms:created xsi:type="dcterms:W3CDTF">2025-08-26T04:08:00Z</dcterms:created>
  <dcterms:modified xsi:type="dcterms:W3CDTF">2025-08-26T23:09:00Z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2025-07-17T18:43:55Z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2be6bf94-1dc0-4136-8a51-9fb35b9a38f7</vt:lpwstr>
  </property>
  <property fmtid="{D5CDD505-2E9C-101B-9397-08002B2CF9AE}" pid="8" name="MSIP_Label_e81acc0d-dcc4-4dc9-a2c5-be70b05a2fe6_ContentBits">
    <vt:lpwstr>0</vt:lpwstr>
  </property>
  <property fmtid="{D5CDD505-2E9C-101B-9397-08002B2CF9AE}" pid="9" name="MSIP_Label_e81acc0d-dcc4-4dc9-a2c5-be70b05a2fe6_Tag">
    <vt:lpwstr>10, 0, 1, 1</vt:lpwstr>
  </property>
  <property fmtid="{D5CDD505-2E9C-101B-9397-08002B2CF9AE}" pid="10" name="_NewReviewCycle">
    <vt:lpwstr/>
  </property>
  <property fmtid="{D5CDD505-2E9C-101B-9397-08002B2CF9AE}" pid="11" name="_AdHocReviewCycleID">
    <vt:i4>1006373866</vt:i4>
  </property>
  <property fmtid="{D5CDD505-2E9C-101B-9397-08002B2CF9AE}" pid="12" name="ContentTypeId">
    <vt:lpwstr>0x01010042ED26D20A46094CB8229B11615AA9F8</vt:lpwstr>
  </property>
  <property fmtid="{D5CDD505-2E9C-101B-9397-08002B2CF9AE}" pid="13" name="MediaServiceImageTags">
    <vt:lpwstr/>
  </property>
  <property fmtid="{D5CDD505-2E9C-101B-9397-08002B2CF9AE}" pid="14" name="_PreviousAdHocReviewCycleID">
    <vt:i4>-1952675325</vt:i4>
  </property>
  <property fmtid="{D5CDD505-2E9C-101B-9397-08002B2CF9AE}" pid="15" name="_ReviewingToolsShownOnce">
    <vt:lpwstr/>
  </property>
</Properties>
</file>