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6F696D8C" w:rsidR="00F02AEC" w:rsidRPr="00215D48" w:rsidRDefault="00346EC2" w:rsidP="007452E8">
            <w:pPr>
              <w:pStyle w:val="Title"/>
            </w:pPr>
            <w:r w:rsidRPr="00346EC2">
              <w:t xml:space="preserve">Australian Public Assessment Report for </w:t>
            </w:r>
            <w:r w:rsidR="00893229">
              <w:t>BYLVAY</w:t>
            </w:r>
          </w:p>
        </w:tc>
      </w:tr>
      <w:tr w:rsidR="00F02AEC" w:rsidRPr="00215D48" w14:paraId="318A40A3" w14:textId="77777777" w:rsidTr="00346EC2">
        <w:trPr>
          <w:trHeight w:val="995"/>
        </w:trPr>
        <w:tc>
          <w:tcPr>
            <w:tcW w:w="8720" w:type="dxa"/>
          </w:tcPr>
          <w:p w14:paraId="1AA7C701" w14:textId="6CE72AF1" w:rsidR="00F02AEC" w:rsidRPr="00215D48" w:rsidRDefault="00346EC2" w:rsidP="007452E8">
            <w:pPr>
              <w:pStyle w:val="Subtitle"/>
              <w:ind w:left="0"/>
            </w:pPr>
            <w:r w:rsidRPr="00346EC2">
              <w:t>Active ingredient:</w:t>
            </w:r>
            <w:r w:rsidR="00F319F9">
              <w:t xml:space="preserve"> </w:t>
            </w:r>
            <w:proofErr w:type="spellStart"/>
            <w:r w:rsidR="00A80E85">
              <w:t>O</w:t>
            </w:r>
            <w:r w:rsidR="00F319F9" w:rsidRPr="00F319F9">
              <w:t>devixibat</w:t>
            </w:r>
            <w:proofErr w:type="spellEnd"/>
          </w:p>
        </w:tc>
      </w:tr>
      <w:tr w:rsidR="00346EC2" w:rsidRPr="00215D48" w14:paraId="362CCAE4" w14:textId="77777777" w:rsidTr="007452E8">
        <w:trPr>
          <w:trHeight w:val="1916"/>
        </w:trPr>
        <w:tc>
          <w:tcPr>
            <w:tcW w:w="8720" w:type="dxa"/>
          </w:tcPr>
          <w:p w14:paraId="709C45C0" w14:textId="5FF01F09" w:rsidR="00346EC2" w:rsidRPr="00215D48" w:rsidRDefault="00346EC2" w:rsidP="007452E8">
            <w:pPr>
              <w:pStyle w:val="Subtitle"/>
              <w:ind w:left="0"/>
            </w:pPr>
            <w:r w:rsidRPr="00346EC2">
              <w:t>Sponsor:</w:t>
            </w:r>
            <w:r w:rsidR="00313D71">
              <w:t xml:space="preserve"> </w:t>
            </w:r>
            <w:r w:rsidR="00F319F9" w:rsidRPr="00F319F9">
              <w:t>Ipsen Pty Ltd</w:t>
            </w:r>
          </w:p>
        </w:tc>
      </w:tr>
      <w:tr w:rsidR="00F02AEC" w:rsidRPr="00215D48" w14:paraId="37F2AA1F" w14:textId="77777777" w:rsidTr="007452E8">
        <w:tc>
          <w:tcPr>
            <w:tcW w:w="8720" w:type="dxa"/>
          </w:tcPr>
          <w:p w14:paraId="1FDE8DCD" w14:textId="1F3BF634" w:rsidR="00F02AEC" w:rsidRPr="00215D48" w:rsidRDefault="00F319F9" w:rsidP="007452E8">
            <w:pPr>
              <w:pStyle w:val="Date"/>
            </w:pPr>
            <w:r>
              <w:t>July 2025</w:t>
            </w:r>
          </w:p>
        </w:tc>
      </w:tr>
    </w:tbl>
    <w:p w14:paraId="73752706" w14:textId="77777777" w:rsidR="00F02AEC" w:rsidRPr="00215D48" w:rsidRDefault="00F02AEC" w:rsidP="007452E8">
      <w:pPr>
        <w:pStyle w:val="ListBullet"/>
        <w:numPr>
          <w:ilvl w:val="0"/>
          <w:numId w:val="0"/>
        </w:numPr>
        <w:sectPr w:rsidR="00F02AEC" w:rsidRPr="00215D48" w:rsidSect="00CB0550">
          <w:headerReference w:type="default"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038D0DA4" w:rsidR="00346EC2" w:rsidRPr="00391B0C" w:rsidRDefault="00346EC2" w:rsidP="0056766D">
      <w:pPr>
        <w:pStyle w:val="ListBullet"/>
      </w:pPr>
      <w:r w:rsidRPr="00391B0C">
        <w:t xml:space="preserve">The Therapeutic Goods Administration (TGA) is part of the Australian Government </w:t>
      </w:r>
      <w:r w:rsidRPr="00C22214">
        <w:t>Department of Health</w:t>
      </w:r>
      <w:r w:rsidR="0006693A">
        <w:t>, Disability</w:t>
      </w:r>
      <w:r w:rsidRPr="00C22214">
        <w:t xml:space="preserve"> and Ag</w:t>
      </w:r>
      <w:r w:rsidR="0006693A">
        <w:t>eing</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5" w:history="1">
        <w:r w:rsidRPr="00A63C07">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010FE2EE"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6"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796829F4" w:rsidR="00175CD8" w:rsidRPr="00346EC2" w:rsidRDefault="00F02AEC" w:rsidP="00346EC2">
      <w:pPr>
        <w:pStyle w:val="LegalCopy"/>
        <w:rPr>
          <w:rFonts w:cs="Arial"/>
        </w:rPr>
      </w:pPr>
      <w:r w:rsidRPr="00215D48">
        <w:rPr>
          <w:rFonts w:cs="Arial"/>
        </w:rPr>
        <w:t>© Commonwealth of Australia 20</w:t>
      </w:r>
      <w:r>
        <w:rPr>
          <w:rFonts w:cs="Arial"/>
        </w:rPr>
        <w:t>2</w:t>
      </w:r>
      <w:r w:rsidR="00210F9B">
        <w:rPr>
          <w:rFonts w:cs="Arial"/>
        </w:rPr>
        <w:t>5</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7" w:history="1">
        <w:r w:rsidRPr="00215D48">
          <w:rPr>
            <w:rStyle w:val="Hyperlink"/>
            <w:rFonts w:cs="Arial"/>
          </w:rPr>
          <w:t>tga.copyright@tga.gov.au</w:t>
        </w:r>
      </w:hyperlink>
      <w:r w:rsidRPr="00215D48">
        <w:rPr>
          <w:rFonts w:cs="Arial"/>
        </w:rPr>
        <w:t>&gt;.</w:t>
      </w:r>
    </w:p>
    <w:sdt>
      <w:sdtPr>
        <w:rPr>
          <w:rFonts w:ascii="Cambria" w:eastAsiaTheme="minorEastAsia" w:hAnsi="Cambria" w:cstheme="minorBidi"/>
          <w:b w:val="0"/>
          <w:color w:val="auto"/>
          <w:sz w:val="22"/>
          <w:szCs w:val="22"/>
        </w:rPr>
        <w:id w:val="21514769"/>
        <w:docPartObj>
          <w:docPartGallery w:val="Table of Contents"/>
          <w:docPartUnique/>
        </w:docPartObj>
      </w:sdtPr>
      <w:sdtEndPr/>
      <w:sdtContent>
        <w:p w14:paraId="0A6ADA2B" w14:textId="77777777" w:rsidR="00F02AEC" w:rsidRPr="00215D48" w:rsidRDefault="00F02AEC" w:rsidP="007452E8">
          <w:pPr>
            <w:pStyle w:val="NonTOCheading2"/>
          </w:pPr>
          <w:r w:rsidRPr="00215D48">
            <w:t>Contents</w:t>
          </w:r>
        </w:p>
        <w:p w14:paraId="5D3EF2BF" w14:textId="18FD68D0" w:rsidR="00805564" w:rsidRDefault="00F02AEC">
          <w:pPr>
            <w:pStyle w:val="TOC1"/>
            <w:rPr>
              <w:rFonts w:asciiTheme="minorHAnsi" w:eastAsiaTheme="minorEastAsia" w:hAnsiTheme="minorHAnsi" w:cstheme="minorBidi"/>
              <w:b w:val="0"/>
              <w:noProof/>
              <w:color w:val="auto"/>
              <w:kern w:val="2"/>
              <w:sz w:val="24"/>
              <w:szCs w:val="24"/>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204158902" w:history="1">
            <w:r w:rsidR="00805564" w:rsidRPr="00BA5E62">
              <w:rPr>
                <w:rStyle w:val="Hyperlink"/>
                <w:noProof/>
              </w:rPr>
              <w:t>BYLVAY (odevixibat) submission</w:t>
            </w:r>
            <w:r w:rsidR="00805564">
              <w:rPr>
                <w:noProof/>
                <w:webHidden/>
              </w:rPr>
              <w:tab/>
            </w:r>
            <w:r w:rsidR="00805564">
              <w:rPr>
                <w:noProof/>
                <w:webHidden/>
              </w:rPr>
              <w:fldChar w:fldCharType="begin"/>
            </w:r>
            <w:r w:rsidR="00805564">
              <w:rPr>
                <w:noProof/>
                <w:webHidden/>
              </w:rPr>
              <w:instrText xml:space="preserve"> PAGEREF _Toc204158902 \h </w:instrText>
            </w:r>
            <w:r w:rsidR="00805564">
              <w:rPr>
                <w:noProof/>
                <w:webHidden/>
              </w:rPr>
            </w:r>
            <w:r w:rsidR="00805564">
              <w:rPr>
                <w:noProof/>
                <w:webHidden/>
              </w:rPr>
              <w:fldChar w:fldCharType="separate"/>
            </w:r>
            <w:r w:rsidR="00805564">
              <w:rPr>
                <w:noProof/>
                <w:webHidden/>
              </w:rPr>
              <w:t>5</w:t>
            </w:r>
            <w:r w:rsidR="00805564">
              <w:rPr>
                <w:noProof/>
                <w:webHidden/>
              </w:rPr>
              <w:fldChar w:fldCharType="end"/>
            </w:r>
          </w:hyperlink>
        </w:p>
        <w:p w14:paraId="52F3749C" w14:textId="287F56E9" w:rsidR="00805564" w:rsidRDefault="00805564">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4158903" w:history="1">
            <w:r w:rsidRPr="00BA5E62">
              <w:rPr>
                <w:rStyle w:val="Hyperlink"/>
                <w:noProof/>
              </w:rPr>
              <w:t>Proposed indication</w:t>
            </w:r>
            <w:r>
              <w:rPr>
                <w:noProof/>
                <w:webHidden/>
              </w:rPr>
              <w:tab/>
            </w:r>
            <w:r>
              <w:rPr>
                <w:noProof/>
                <w:webHidden/>
              </w:rPr>
              <w:fldChar w:fldCharType="begin"/>
            </w:r>
            <w:r>
              <w:rPr>
                <w:noProof/>
                <w:webHidden/>
              </w:rPr>
              <w:instrText xml:space="preserve"> PAGEREF _Toc204158903 \h </w:instrText>
            </w:r>
            <w:r>
              <w:rPr>
                <w:noProof/>
                <w:webHidden/>
              </w:rPr>
            </w:r>
            <w:r>
              <w:rPr>
                <w:noProof/>
                <w:webHidden/>
              </w:rPr>
              <w:fldChar w:fldCharType="separate"/>
            </w:r>
            <w:r>
              <w:rPr>
                <w:noProof/>
                <w:webHidden/>
              </w:rPr>
              <w:t>6</w:t>
            </w:r>
            <w:r>
              <w:rPr>
                <w:noProof/>
                <w:webHidden/>
              </w:rPr>
              <w:fldChar w:fldCharType="end"/>
            </w:r>
          </w:hyperlink>
        </w:p>
        <w:p w14:paraId="60CD5BBD" w14:textId="7B41FD1E" w:rsidR="00805564" w:rsidRDefault="00805564">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4158904" w:history="1">
            <w:r w:rsidRPr="00BA5E62">
              <w:rPr>
                <w:rStyle w:val="Hyperlink"/>
                <w:noProof/>
              </w:rPr>
              <w:t>Progressive familial intrahepatic cholestasis</w:t>
            </w:r>
            <w:r>
              <w:rPr>
                <w:noProof/>
                <w:webHidden/>
              </w:rPr>
              <w:tab/>
            </w:r>
            <w:r>
              <w:rPr>
                <w:noProof/>
                <w:webHidden/>
              </w:rPr>
              <w:fldChar w:fldCharType="begin"/>
            </w:r>
            <w:r>
              <w:rPr>
                <w:noProof/>
                <w:webHidden/>
              </w:rPr>
              <w:instrText xml:space="preserve"> PAGEREF _Toc204158904 \h </w:instrText>
            </w:r>
            <w:r>
              <w:rPr>
                <w:noProof/>
                <w:webHidden/>
              </w:rPr>
            </w:r>
            <w:r>
              <w:rPr>
                <w:noProof/>
                <w:webHidden/>
              </w:rPr>
              <w:fldChar w:fldCharType="separate"/>
            </w:r>
            <w:r>
              <w:rPr>
                <w:noProof/>
                <w:webHidden/>
              </w:rPr>
              <w:t>6</w:t>
            </w:r>
            <w:r>
              <w:rPr>
                <w:noProof/>
                <w:webHidden/>
              </w:rPr>
              <w:fldChar w:fldCharType="end"/>
            </w:r>
          </w:hyperlink>
        </w:p>
        <w:p w14:paraId="41453E0C" w14:textId="6C4FBA90" w:rsidR="00805564" w:rsidRDefault="00805564">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4158905" w:history="1">
            <w:r w:rsidRPr="00BA5E62">
              <w:rPr>
                <w:rStyle w:val="Hyperlink"/>
                <w:noProof/>
              </w:rPr>
              <w:t>Current treatment options</w:t>
            </w:r>
            <w:r>
              <w:rPr>
                <w:noProof/>
                <w:webHidden/>
              </w:rPr>
              <w:tab/>
            </w:r>
            <w:r>
              <w:rPr>
                <w:noProof/>
                <w:webHidden/>
              </w:rPr>
              <w:fldChar w:fldCharType="begin"/>
            </w:r>
            <w:r>
              <w:rPr>
                <w:noProof/>
                <w:webHidden/>
              </w:rPr>
              <w:instrText xml:space="preserve"> PAGEREF _Toc204158905 \h </w:instrText>
            </w:r>
            <w:r>
              <w:rPr>
                <w:noProof/>
                <w:webHidden/>
              </w:rPr>
            </w:r>
            <w:r>
              <w:rPr>
                <w:noProof/>
                <w:webHidden/>
              </w:rPr>
              <w:fldChar w:fldCharType="separate"/>
            </w:r>
            <w:r>
              <w:rPr>
                <w:noProof/>
                <w:webHidden/>
              </w:rPr>
              <w:t>6</w:t>
            </w:r>
            <w:r>
              <w:rPr>
                <w:noProof/>
                <w:webHidden/>
              </w:rPr>
              <w:fldChar w:fldCharType="end"/>
            </w:r>
          </w:hyperlink>
        </w:p>
        <w:p w14:paraId="186A2AC7" w14:textId="42FE1E63" w:rsidR="00805564" w:rsidRDefault="00805564">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4158906" w:history="1">
            <w:r w:rsidRPr="00BA5E62">
              <w:rPr>
                <w:rStyle w:val="Hyperlink"/>
                <w:noProof/>
              </w:rPr>
              <w:t>Clinical rationale</w:t>
            </w:r>
            <w:r>
              <w:rPr>
                <w:noProof/>
                <w:webHidden/>
              </w:rPr>
              <w:tab/>
            </w:r>
            <w:r>
              <w:rPr>
                <w:noProof/>
                <w:webHidden/>
              </w:rPr>
              <w:fldChar w:fldCharType="begin"/>
            </w:r>
            <w:r>
              <w:rPr>
                <w:noProof/>
                <w:webHidden/>
              </w:rPr>
              <w:instrText xml:space="preserve"> PAGEREF _Toc204158906 \h </w:instrText>
            </w:r>
            <w:r>
              <w:rPr>
                <w:noProof/>
                <w:webHidden/>
              </w:rPr>
            </w:r>
            <w:r>
              <w:rPr>
                <w:noProof/>
                <w:webHidden/>
              </w:rPr>
              <w:fldChar w:fldCharType="separate"/>
            </w:r>
            <w:r>
              <w:rPr>
                <w:noProof/>
                <w:webHidden/>
              </w:rPr>
              <w:t>6</w:t>
            </w:r>
            <w:r>
              <w:rPr>
                <w:noProof/>
                <w:webHidden/>
              </w:rPr>
              <w:fldChar w:fldCharType="end"/>
            </w:r>
          </w:hyperlink>
        </w:p>
        <w:p w14:paraId="3BF7D4A8" w14:textId="5AB26493" w:rsidR="00805564" w:rsidRDefault="00805564">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4158907" w:history="1">
            <w:r w:rsidRPr="00BA5E62">
              <w:rPr>
                <w:rStyle w:val="Hyperlink"/>
                <w:noProof/>
              </w:rPr>
              <w:t>Regulatory status</w:t>
            </w:r>
            <w:r>
              <w:rPr>
                <w:noProof/>
                <w:webHidden/>
              </w:rPr>
              <w:tab/>
            </w:r>
            <w:r>
              <w:rPr>
                <w:noProof/>
                <w:webHidden/>
              </w:rPr>
              <w:fldChar w:fldCharType="begin"/>
            </w:r>
            <w:r>
              <w:rPr>
                <w:noProof/>
                <w:webHidden/>
              </w:rPr>
              <w:instrText xml:space="preserve"> PAGEREF _Toc204158907 \h </w:instrText>
            </w:r>
            <w:r>
              <w:rPr>
                <w:noProof/>
                <w:webHidden/>
              </w:rPr>
            </w:r>
            <w:r>
              <w:rPr>
                <w:noProof/>
                <w:webHidden/>
              </w:rPr>
              <w:fldChar w:fldCharType="separate"/>
            </w:r>
            <w:r>
              <w:rPr>
                <w:noProof/>
                <w:webHidden/>
              </w:rPr>
              <w:t>7</w:t>
            </w:r>
            <w:r>
              <w:rPr>
                <w:noProof/>
                <w:webHidden/>
              </w:rPr>
              <w:fldChar w:fldCharType="end"/>
            </w:r>
          </w:hyperlink>
        </w:p>
        <w:p w14:paraId="2DA60BFF" w14:textId="4C6B0A5D" w:rsidR="00805564" w:rsidRDefault="00805564">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4158908" w:history="1">
            <w:r w:rsidRPr="00BA5E62">
              <w:rPr>
                <w:rStyle w:val="Hyperlink"/>
                <w:noProof/>
              </w:rPr>
              <w:t>Registration timeline</w:t>
            </w:r>
            <w:r>
              <w:rPr>
                <w:noProof/>
                <w:webHidden/>
              </w:rPr>
              <w:tab/>
            </w:r>
            <w:r>
              <w:rPr>
                <w:noProof/>
                <w:webHidden/>
              </w:rPr>
              <w:fldChar w:fldCharType="begin"/>
            </w:r>
            <w:r>
              <w:rPr>
                <w:noProof/>
                <w:webHidden/>
              </w:rPr>
              <w:instrText xml:space="preserve"> PAGEREF _Toc204158908 \h </w:instrText>
            </w:r>
            <w:r>
              <w:rPr>
                <w:noProof/>
                <w:webHidden/>
              </w:rPr>
            </w:r>
            <w:r>
              <w:rPr>
                <w:noProof/>
                <w:webHidden/>
              </w:rPr>
              <w:fldChar w:fldCharType="separate"/>
            </w:r>
            <w:r>
              <w:rPr>
                <w:noProof/>
                <w:webHidden/>
              </w:rPr>
              <w:t>7</w:t>
            </w:r>
            <w:r>
              <w:rPr>
                <w:noProof/>
                <w:webHidden/>
              </w:rPr>
              <w:fldChar w:fldCharType="end"/>
            </w:r>
          </w:hyperlink>
        </w:p>
        <w:p w14:paraId="5626FCBE" w14:textId="4D18496F" w:rsidR="00805564" w:rsidRDefault="00805564">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4158909" w:history="1">
            <w:r w:rsidRPr="00BA5E62">
              <w:rPr>
                <w:rStyle w:val="Hyperlink"/>
                <w:noProof/>
              </w:rPr>
              <w:t>Assessment overview</w:t>
            </w:r>
            <w:r>
              <w:rPr>
                <w:noProof/>
                <w:webHidden/>
              </w:rPr>
              <w:tab/>
            </w:r>
            <w:r>
              <w:rPr>
                <w:noProof/>
                <w:webHidden/>
              </w:rPr>
              <w:fldChar w:fldCharType="begin"/>
            </w:r>
            <w:r>
              <w:rPr>
                <w:noProof/>
                <w:webHidden/>
              </w:rPr>
              <w:instrText xml:space="preserve"> PAGEREF _Toc204158909 \h </w:instrText>
            </w:r>
            <w:r>
              <w:rPr>
                <w:noProof/>
                <w:webHidden/>
              </w:rPr>
            </w:r>
            <w:r>
              <w:rPr>
                <w:noProof/>
                <w:webHidden/>
              </w:rPr>
              <w:fldChar w:fldCharType="separate"/>
            </w:r>
            <w:r>
              <w:rPr>
                <w:noProof/>
                <w:webHidden/>
              </w:rPr>
              <w:t>8</w:t>
            </w:r>
            <w:r>
              <w:rPr>
                <w:noProof/>
                <w:webHidden/>
              </w:rPr>
              <w:fldChar w:fldCharType="end"/>
            </w:r>
          </w:hyperlink>
        </w:p>
        <w:p w14:paraId="30BAED53" w14:textId="3E2CAF80" w:rsidR="00805564" w:rsidRDefault="00805564">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4158910" w:history="1">
            <w:r w:rsidRPr="00BA5E62">
              <w:rPr>
                <w:rStyle w:val="Hyperlink"/>
                <w:noProof/>
              </w:rPr>
              <w:t>Quality evaluation summary</w:t>
            </w:r>
            <w:r>
              <w:rPr>
                <w:noProof/>
                <w:webHidden/>
              </w:rPr>
              <w:tab/>
            </w:r>
            <w:r>
              <w:rPr>
                <w:noProof/>
                <w:webHidden/>
              </w:rPr>
              <w:fldChar w:fldCharType="begin"/>
            </w:r>
            <w:r>
              <w:rPr>
                <w:noProof/>
                <w:webHidden/>
              </w:rPr>
              <w:instrText xml:space="preserve"> PAGEREF _Toc204158910 \h </w:instrText>
            </w:r>
            <w:r>
              <w:rPr>
                <w:noProof/>
                <w:webHidden/>
              </w:rPr>
            </w:r>
            <w:r>
              <w:rPr>
                <w:noProof/>
                <w:webHidden/>
              </w:rPr>
              <w:fldChar w:fldCharType="separate"/>
            </w:r>
            <w:r>
              <w:rPr>
                <w:noProof/>
                <w:webHidden/>
              </w:rPr>
              <w:t>8</w:t>
            </w:r>
            <w:r>
              <w:rPr>
                <w:noProof/>
                <w:webHidden/>
              </w:rPr>
              <w:fldChar w:fldCharType="end"/>
            </w:r>
          </w:hyperlink>
        </w:p>
        <w:p w14:paraId="0E2F5D00" w14:textId="6BC62353" w:rsidR="00805564" w:rsidRDefault="00805564">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4158911" w:history="1">
            <w:r w:rsidRPr="00BA5E62">
              <w:rPr>
                <w:rStyle w:val="Hyperlink"/>
                <w:noProof/>
              </w:rPr>
              <w:t>Nonclinical evaluation summary</w:t>
            </w:r>
            <w:r>
              <w:rPr>
                <w:noProof/>
                <w:webHidden/>
              </w:rPr>
              <w:tab/>
            </w:r>
            <w:r>
              <w:rPr>
                <w:noProof/>
                <w:webHidden/>
              </w:rPr>
              <w:fldChar w:fldCharType="begin"/>
            </w:r>
            <w:r>
              <w:rPr>
                <w:noProof/>
                <w:webHidden/>
              </w:rPr>
              <w:instrText xml:space="preserve"> PAGEREF _Toc204158911 \h </w:instrText>
            </w:r>
            <w:r>
              <w:rPr>
                <w:noProof/>
                <w:webHidden/>
              </w:rPr>
            </w:r>
            <w:r>
              <w:rPr>
                <w:noProof/>
                <w:webHidden/>
              </w:rPr>
              <w:fldChar w:fldCharType="separate"/>
            </w:r>
            <w:r>
              <w:rPr>
                <w:noProof/>
                <w:webHidden/>
              </w:rPr>
              <w:t>9</w:t>
            </w:r>
            <w:r>
              <w:rPr>
                <w:noProof/>
                <w:webHidden/>
              </w:rPr>
              <w:fldChar w:fldCharType="end"/>
            </w:r>
          </w:hyperlink>
        </w:p>
        <w:p w14:paraId="4A0F864B" w14:textId="686791CB" w:rsidR="00805564" w:rsidRDefault="00805564">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4158912" w:history="1">
            <w:r w:rsidRPr="00BA5E62">
              <w:rPr>
                <w:rStyle w:val="Hyperlink"/>
                <w:noProof/>
              </w:rPr>
              <w:t>Clinical evaluation summary</w:t>
            </w:r>
            <w:r>
              <w:rPr>
                <w:noProof/>
                <w:webHidden/>
              </w:rPr>
              <w:tab/>
            </w:r>
            <w:r>
              <w:rPr>
                <w:noProof/>
                <w:webHidden/>
              </w:rPr>
              <w:fldChar w:fldCharType="begin"/>
            </w:r>
            <w:r>
              <w:rPr>
                <w:noProof/>
                <w:webHidden/>
              </w:rPr>
              <w:instrText xml:space="preserve"> PAGEREF _Toc204158912 \h </w:instrText>
            </w:r>
            <w:r>
              <w:rPr>
                <w:noProof/>
                <w:webHidden/>
              </w:rPr>
            </w:r>
            <w:r>
              <w:rPr>
                <w:noProof/>
                <w:webHidden/>
              </w:rPr>
              <w:fldChar w:fldCharType="separate"/>
            </w:r>
            <w:r>
              <w:rPr>
                <w:noProof/>
                <w:webHidden/>
              </w:rPr>
              <w:t>9</w:t>
            </w:r>
            <w:r>
              <w:rPr>
                <w:noProof/>
                <w:webHidden/>
              </w:rPr>
              <w:fldChar w:fldCharType="end"/>
            </w:r>
          </w:hyperlink>
        </w:p>
        <w:p w14:paraId="509FB50D" w14:textId="2EC3A451" w:rsidR="00805564" w:rsidRDefault="00805564">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4158913" w:history="1">
            <w:r w:rsidRPr="00BA5E62">
              <w:rPr>
                <w:rStyle w:val="Hyperlink"/>
                <w:noProof/>
              </w:rPr>
              <w:t>Summary of clinical studies</w:t>
            </w:r>
            <w:r>
              <w:rPr>
                <w:noProof/>
                <w:webHidden/>
              </w:rPr>
              <w:tab/>
            </w:r>
            <w:r>
              <w:rPr>
                <w:noProof/>
                <w:webHidden/>
              </w:rPr>
              <w:fldChar w:fldCharType="begin"/>
            </w:r>
            <w:r>
              <w:rPr>
                <w:noProof/>
                <w:webHidden/>
              </w:rPr>
              <w:instrText xml:space="preserve"> PAGEREF _Toc204158913 \h </w:instrText>
            </w:r>
            <w:r>
              <w:rPr>
                <w:noProof/>
                <w:webHidden/>
              </w:rPr>
            </w:r>
            <w:r>
              <w:rPr>
                <w:noProof/>
                <w:webHidden/>
              </w:rPr>
              <w:fldChar w:fldCharType="separate"/>
            </w:r>
            <w:r>
              <w:rPr>
                <w:noProof/>
                <w:webHidden/>
              </w:rPr>
              <w:t>9</w:t>
            </w:r>
            <w:r>
              <w:rPr>
                <w:noProof/>
                <w:webHidden/>
              </w:rPr>
              <w:fldChar w:fldCharType="end"/>
            </w:r>
          </w:hyperlink>
        </w:p>
        <w:p w14:paraId="19F18A58" w14:textId="27D4C27F" w:rsidR="00805564" w:rsidRDefault="00805564">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4158914" w:history="1">
            <w:r w:rsidRPr="00BA5E62">
              <w:rPr>
                <w:rStyle w:val="Hyperlink"/>
                <w:noProof/>
              </w:rPr>
              <w:t>Pharmacology</w:t>
            </w:r>
            <w:r>
              <w:rPr>
                <w:noProof/>
                <w:webHidden/>
              </w:rPr>
              <w:tab/>
            </w:r>
            <w:r>
              <w:rPr>
                <w:noProof/>
                <w:webHidden/>
              </w:rPr>
              <w:fldChar w:fldCharType="begin"/>
            </w:r>
            <w:r>
              <w:rPr>
                <w:noProof/>
                <w:webHidden/>
              </w:rPr>
              <w:instrText xml:space="preserve"> PAGEREF _Toc204158914 \h </w:instrText>
            </w:r>
            <w:r>
              <w:rPr>
                <w:noProof/>
                <w:webHidden/>
              </w:rPr>
            </w:r>
            <w:r>
              <w:rPr>
                <w:noProof/>
                <w:webHidden/>
              </w:rPr>
              <w:fldChar w:fldCharType="separate"/>
            </w:r>
            <w:r>
              <w:rPr>
                <w:noProof/>
                <w:webHidden/>
              </w:rPr>
              <w:t>10</w:t>
            </w:r>
            <w:r>
              <w:rPr>
                <w:noProof/>
                <w:webHidden/>
              </w:rPr>
              <w:fldChar w:fldCharType="end"/>
            </w:r>
          </w:hyperlink>
        </w:p>
        <w:p w14:paraId="6255048B" w14:textId="37B9C147" w:rsidR="00805564" w:rsidRDefault="00805564">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4158915" w:history="1">
            <w:r w:rsidRPr="00BA5E62">
              <w:rPr>
                <w:rStyle w:val="Hyperlink"/>
                <w:noProof/>
              </w:rPr>
              <w:t>Efficacy</w:t>
            </w:r>
            <w:r>
              <w:rPr>
                <w:noProof/>
                <w:webHidden/>
              </w:rPr>
              <w:tab/>
            </w:r>
            <w:r>
              <w:rPr>
                <w:noProof/>
                <w:webHidden/>
              </w:rPr>
              <w:fldChar w:fldCharType="begin"/>
            </w:r>
            <w:r>
              <w:rPr>
                <w:noProof/>
                <w:webHidden/>
              </w:rPr>
              <w:instrText xml:space="preserve"> PAGEREF _Toc204158915 \h </w:instrText>
            </w:r>
            <w:r>
              <w:rPr>
                <w:noProof/>
                <w:webHidden/>
              </w:rPr>
            </w:r>
            <w:r>
              <w:rPr>
                <w:noProof/>
                <w:webHidden/>
              </w:rPr>
              <w:fldChar w:fldCharType="separate"/>
            </w:r>
            <w:r>
              <w:rPr>
                <w:noProof/>
                <w:webHidden/>
              </w:rPr>
              <w:t>13</w:t>
            </w:r>
            <w:r>
              <w:rPr>
                <w:noProof/>
                <w:webHidden/>
              </w:rPr>
              <w:fldChar w:fldCharType="end"/>
            </w:r>
          </w:hyperlink>
        </w:p>
        <w:p w14:paraId="729C39A3" w14:textId="5E15E2BA" w:rsidR="00805564" w:rsidRDefault="00805564">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4158916" w:history="1">
            <w:r w:rsidRPr="00BA5E62">
              <w:rPr>
                <w:rStyle w:val="Hyperlink"/>
                <w:noProof/>
                <w:lang w:eastAsia="en-AU"/>
              </w:rPr>
              <w:t>Risk management plan evaluation summary</w:t>
            </w:r>
            <w:r>
              <w:rPr>
                <w:noProof/>
                <w:webHidden/>
              </w:rPr>
              <w:tab/>
            </w:r>
            <w:r>
              <w:rPr>
                <w:noProof/>
                <w:webHidden/>
              </w:rPr>
              <w:fldChar w:fldCharType="begin"/>
            </w:r>
            <w:r>
              <w:rPr>
                <w:noProof/>
                <w:webHidden/>
              </w:rPr>
              <w:instrText xml:space="preserve"> PAGEREF _Toc204158916 \h </w:instrText>
            </w:r>
            <w:r>
              <w:rPr>
                <w:noProof/>
                <w:webHidden/>
              </w:rPr>
            </w:r>
            <w:r>
              <w:rPr>
                <w:noProof/>
                <w:webHidden/>
              </w:rPr>
              <w:fldChar w:fldCharType="separate"/>
            </w:r>
            <w:r>
              <w:rPr>
                <w:noProof/>
                <w:webHidden/>
              </w:rPr>
              <w:t>22</w:t>
            </w:r>
            <w:r>
              <w:rPr>
                <w:noProof/>
                <w:webHidden/>
              </w:rPr>
              <w:fldChar w:fldCharType="end"/>
            </w:r>
          </w:hyperlink>
        </w:p>
        <w:p w14:paraId="6E5C06B1" w14:textId="3F0D3EFE" w:rsidR="00805564" w:rsidRDefault="00805564">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4158917" w:history="1">
            <w:r w:rsidRPr="00BA5E62">
              <w:rPr>
                <w:rStyle w:val="Hyperlink"/>
                <w:noProof/>
              </w:rPr>
              <w:t>Risk-benefit analysis</w:t>
            </w:r>
            <w:r>
              <w:rPr>
                <w:noProof/>
                <w:webHidden/>
              </w:rPr>
              <w:tab/>
            </w:r>
            <w:r>
              <w:rPr>
                <w:noProof/>
                <w:webHidden/>
              </w:rPr>
              <w:fldChar w:fldCharType="begin"/>
            </w:r>
            <w:r>
              <w:rPr>
                <w:noProof/>
                <w:webHidden/>
              </w:rPr>
              <w:instrText xml:space="preserve"> PAGEREF _Toc204158917 \h </w:instrText>
            </w:r>
            <w:r>
              <w:rPr>
                <w:noProof/>
                <w:webHidden/>
              </w:rPr>
            </w:r>
            <w:r>
              <w:rPr>
                <w:noProof/>
                <w:webHidden/>
              </w:rPr>
              <w:fldChar w:fldCharType="separate"/>
            </w:r>
            <w:r>
              <w:rPr>
                <w:noProof/>
                <w:webHidden/>
              </w:rPr>
              <w:t>23</w:t>
            </w:r>
            <w:r>
              <w:rPr>
                <w:noProof/>
                <w:webHidden/>
              </w:rPr>
              <w:fldChar w:fldCharType="end"/>
            </w:r>
          </w:hyperlink>
        </w:p>
        <w:p w14:paraId="5B79A478" w14:textId="06AE061C" w:rsidR="00805564" w:rsidRDefault="00805564">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4158918" w:history="1">
            <w:r w:rsidRPr="00BA5E62">
              <w:rPr>
                <w:rStyle w:val="Hyperlink"/>
                <w:noProof/>
              </w:rPr>
              <w:t>Conclusions</w:t>
            </w:r>
            <w:r>
              <w:rPr>
                <w:noProof/>
                <w:webHidden/>
              </w:rPr>
              <w:tab/>
            </w:r>
            <w:r>
              <w:rPr>
                <w:noProof/>
                <w:webHidden/>
              </w:rPr>
              <w:fldChar w:fldCharType="begin"/>
            </w:r>
            <w:r>
              <w:rPr>
                <w:noProof/>
                <w:webHidden/>
              </w:rPr>
              <w:instrText xml:space="preserve"> PAGEREF _Toc204158918 \h </w:instrText>
            </w:r>
            <w:r>
              <w:rPr>
                <w:noProof/>
                <w:webHidden/>
              </w:rPr>
            </w:r>
            <w:r>
              <w:rPr>
                <w:noProof/>
                <w:webHidden/>
              </w:rPr>
              <w:fldChar w:fldCharType="separate"/>
            </w:r>
            <w:r>
              <w:rPr>
                <w:noProof/>
                <w:webHidden/>
              </w:rPr>
              <w:t>23</w:t>
            </w:r>
            <w:r>
              <w:rPr>
                <w:noProof/>
                <w:webHidden/>
              </w:rPr>
              <w:fldChar w:fldCharType="end"/>
            </w:r>
          </w:hyperlink>
        </w:p>
        <w:p w14:paraId="64A76649" w14:textId="2E9A8962" w:rsidR="00805564" w:rsidRDefault="00805564">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4158919" w:history="1">
            <w:r w:rsidRPr="00BA5E62">
              <w:rPr>
                <w:rStyle w:val="Hyperlink"/>
                <w:noProof/>
              </w:rPr>
              <w:t>Assessment outcome</w:t>
            </w:r>
            <w:r>
              <w:rPr>
                <w:noProof/>
                <w:webHidden/>
              </w:rPr>
              <w:tab/>
            </w:r>
            <w:r>
              <w:rPr>
                <w:noProof/>
                <w:webHidden/>
              </w:rPr>
              <w:fldChar w:fldCharType="begin"/>
            </w:r>
            <w:r>
              <w:rPr>
                <w:noProof/>
                <w:webHidden/>
              </w:rPr>
              <w:instrText xml:space="preserve"> PAGEREF _Toc204158919 \h </w:instrText>
            </w:r>
            <w:r>
              <w:rPr>
                <w:noProof/>
                <w:webHidden/>
              </w:rPr>
            </w:r>
            <w:r>
              <w:rPr>
                <w:noProof/>
                <w:webHidden/>
              </w:rPr>
              <w:fldChar w:fldCharType="separate"/>
            </w:r>
            <w:r>
              <w:rPr>
                <w:noProof/>
                <w:webHidden/>
              </w:rPr>
              <w:t>24</w:t>
            </w:r>
            <w:r>
              <w:rPr>
                <w:noProof/>
                <w:webHidden/>
              </w:rPr>
              <w:fldChar w:fldCharType="end"/>
            </w:r>
          </w:hyperlink>
        </w:p>
        <w:p w14:paraId="77659F2D" w14:textId="050BDE6F"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77777777" w:rsidR="00324B33" w:rsidRDefault="00324B33" w:rsidP="007711B8">
      <w:pPr>
        <w:pStyle w:val="Heading5"/>
      </w:pPr>
      <w:bookmarkStart w:id="0" w:name="_Toc98931917"/>
      <w:bookmarkStart w:id="1" w:name="_Toc103679287"/>
      <w:bookmarkStart w:id="2" w:name="_Toc323739589"/>
      <w:bookmarkStart w:id="3" w:name="_Toc356305216"/>
      <w:r>
        <w:lastRenderedPageBreak/>
        <w:t>List of abbreviations</w:t>
      </w:r>
      <w:bookmarkEnd w:id="0"/>
      <w:bookmarkEnd w:id="1"/>
    </w:p>
    <w:tbl>
      <w:tblPr>
        <w:tblStyle w:val="TableTGAblue2023"/>
        <w:tblW w:w="5000" w:type="pct"/>
        <w:tblLook w:val="04A0" w:firstRow="1" w:lastRow="0" w:firstColumn="1" w:lastColumn="0" w:noHBand="0" w:noVBand="1"/>
      </w:tblPr>
      <w:tblGrid>
        <w:gridCol w:w="2174"/>
        <w:gridCol w:w="6886"/>
      </w:tblGrid>
      <w:tr w:rsidR="000E5C51" w:rsidRPr="00F13721" w14:paraId="7E4D56C9" w14:textId="77777777" w:rsidTr="0092543A">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7CB8CAF8" w14:textId="77777777" w:rsidR="000E5C51" w:rsidRPr="00F13721" w:rsidRDefault="000E5C51" w:rsidP="0092543A">
            <w:pPr>
              <w:rPr>
                <w:szCs w:val="22"/>
              </w:rPr>
            </w:pPr>
            <w:r w:rsidRPr="00F13721">
              <w:rPr>
                <w:szCs w:val="22"/>
              </w:rPr>
              <w:t>Abbreviation</w:t>
            </w:r>
          </w:p>
        </w:tc>
        <w:tc>
          <w:tcPr>
            <w:tcW w:w="3800" w:type="pct"/>
          </w:tcPr>
          <w:p w14:paraId="584F8926" w14:textId="77777777" w:rsidR="000E5C51" w:rsidRPr="00F13721" w:rsidRDefault="000E5C51" w:rsidP="0092543A">
            <w:pPr>
              <w:cnfStyle w:val="100000000000" w:firstRow="1" w:lastRow="0" w:firstColumn="0" w:lastColumn="0" w:oddVBand="0" w:evenVBand="0" w:oddHBand="0" w:evenHBand="0" w:firstRowFirstColumn="0" w:firstRowLastColumn="0" w:lastRowFirstColumn="0" w:lastRowLastColumn="0"/>
              <w:rPr>
                <w:szCs w:val="22"/>
              </w:rPr>
            </w:pPr>
            <w:r w:rsidRPr="00F13721">
              <w:rPr>
                <w:szCs w:val="22"/>
              </w:rPr>
              <w:t>Meaning</w:t>
            </w:r>
          </w:p>
        </w:tc>
      </w:tr>
      <w:tr w:rsidR="000E5C51" w:rsidRPr="00F13721" w14:paraId="77216786" w14:textId="77777777" w:rsidTr="0092543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8075101" w14:textId="77777777" w:rsidR="000E5C51" w:rsidRPr="00F13721" w:rsidRDefault="000E5C51" w:rsidP="0092543A">
            <w:pPr>
              <w:rPr>
                <w:szCs w:val="22"/>
              </w:rPr>
            </w:pPr>
            <w:r w:rsidRPr="00F13721">
              <w:rPr>
                <w:szCs w:val="22"/>
              </w:rPr>
              <w:t>ARTG</w:t>
            </w:r>
          </w:p>
        </w:tc>
        <w:tc>
          <w:tcPr>
            <w:tcW w:w="3800" w:type="pct"/>
          </w:tcPr>
          <w:p w14:paraId="4BBB9A75" w14:textId="77777777" w:rsidR="000E5C51" w:rsidRPr="00F13721" w:rsidRDefault="000E5C51" w:rsidP="0092543A">
            <w:pPr>
              <w:cnfStyle w:val="000000000000" w:firstRow="0" w:lastRow="0" w:firstColumn="0" w:lastColumn="0" w:oddVBand="0" w:evenVBand="0" w:oddHBand="0" w:evenHBand="0" w:firstRowFirstColumn="0" w:firstRowLastColumn="0" w:lastRowFirstColumn="0" w:lastRowLastColumn="0"/>
              <w:rPr>
                <w:szCs w:val="22"/>
              </w:rPr>
            </w:pPr>
            <w:r w:rsidRPr="00F13721">
              <w:rPr>
                <w:szCs w:val="22"/>
              </w:rPr>
              <w:t>Australian Register of Therapeutic Goods</w:t>
            </w:r>
          </w:p>
        </w:tc>
      </w:tr>
      <w:tr w:rsidR="000E5C51" w:rsidRPr="00F13721" w14:paraId="249694F8" w14:textId="77777777" w:rsidTr="0092543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78D6488" w14:textId="77777777" w:rsidR="000E5C51" w:rsidRPr="00F13721" w:rsidRDefault="000E5C51" w:rsidP="0092543A">
            <w:pPr>
              <w:rPr>
                <w:szCs w:val="22"/>
              </w:rPr>
            </w:pPr>
            <w:r w:rsidRPr="00F13721">
              <w:rPr>
                <w:szCs w:val="22"/>
              </w:rPr>
              <w:t>AUC</w:t>
            </w:r>
          </w:p>
        </w:tc>
        <w:tc>
          <w:tcPr>
            <w:tcW w:w="3800" w:type="pct"/>
          </w:tcPr>
          <w:p w14:paraId="6656A220" w14:textId="480C8348" w:rsidR="000E5C51" w:rsidRPr="00F13721" w:rsidRDefault="00CE11BC" w:rsidP="0092543A">
            <w:pPr>
              <w:cnfStyle w:val="000000000000" w:firstRow="0" w:lastRow="0" w:firstColumn="0" w:lastColumn="0" w:oddVBand="0" w:evenVBand="0" w:oddHBand="0" w:evenHBand="0" w:firstRowFirstColumn="0" w:firstRowLastColumn="0" w:lastRowFirstColumn="0" w:lastRowLastColumn="0"/>
              <w:rPr>
                <w:szCs w:val="22"/>
              </w:rPr>
            </w:pPr>
            <w:r>
              <w:rPr>
                <w:szCs w:val="22"/>
              </w:rPr>
              <w:t>A</w:t>
            </w:r>
            <w:r w:rsidR="000E5C51" w:rsidRPr="00F13721">
              <w:rPr>
                <w:szCs w:val="22"/>
              </w:rPr>
              <w:t>rea under the concentration-time profile</w:t>
            </w:r>
          </w:p>
        </w:tc>
      </w:tr>
      <w:tr w:rsidR="000E5C51" w:rsidRPr="00F13721" w14:paraId="76559B1E" w14:textId="77777777" w:rsidTr="0092543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FDDC4C9" w14:textId="77777777" w:rsidR="000E5C51" w:rsidRPr="00F13721" w:rsidRDefault="000E5C51" w:rsidP="0092543A">
            <w:pPr>
              <w:rPr>
                <w:szCs w:val="22"/>
              </w:rPr>
            </w:pPr>
            <w:r w:rsidRPr="00F13721">
              <w:rPr>
                <w:szCs w:val="22"/>
              </w:rPr>
              <w:t>CL/F</w:t>
            </w:r>
          </w:p>
        </w:tc>
        <w:tc>
          <w:tcPr>
            <w:tcW w:w="3800" w:type="pct"/>
          </w:tcPr>
          <w:p w14:paraId="39D332EE" w14:textId="02960284" w:rsidR="000E5C51" w:rsidRPr="00F13721" w:rsidRDefault="00CE11BC" w:rsidP="0092543A">
            <w:pPr>
              <w:cnfStyle w:val="000000000000" w:firstRow="0" w:lastRow="0" w:firstColumn="0" w:lastColumn="0" w:oddVBand="0" w:evenVBand="0" w:oddHBand="0" w:evenHBand="0" w:firstRowFirstColumn="0" w:firstRowLastColumn="0" w:lastRowFirstColumn="0" w:lastRowLastColumn="0"/>
              <w:rPr>
                <w:szCs w:val="22"/>
              </w:rPr>
            </w:pPr>
            <w:r>
              <w:rPr>
                <w:szCs w:val="22"/>
              </w:rPr>
              <w:t>A</w:t>
            </w:r>
            <w:r w:rsidR="000E5C51" w:rsidRPr="00F13721">
              <w:rPr>
                <w:szCs w:val="22"/>
              </w:rPr>
              <w:t>pparent clearance</w:t>
            </w:r>
          </w:p>
        </w:tc>
      </w:tr>
      <w:tr w:rsidR="000E5C51" w:rsidRPr="00F13721" w14:paraId="0F3256F1" w14:textId="77777777" w:rsidTr="0092543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D2CB2C0" w14:textId="77777777" w:rsidR="000E5C51" w:rsidRPr="00F13721" w:rsidRDefault="000E5C51" w:rsidP="0092543A">
            <w:pPr>
              <w:rPr>
                <w:rFonts w:eastAsia="TimesNewRoman" w:cs="TimesNewRoman"/>
                <w:szCs w:val="22"/>
                <w14:ligatures w14:val="standardContextual"/>
              </w:rPr>
            </w:pPr>
            <w:r w:rsidRPr="00F13721">
              <w:rPr>
                <w:rFonts w:eastAsia="TimesNewRoman" w:cs="TimesNewRoman"/>
                <w:szCs w:val="22"/>
                <w14:ligatures w14:val="standardContextual"/>
              </w:rPr>
              <w:t>C</w:t>
            </w:r>
            <w:r w:rsidRPr="00F13721">
              <w:rPr>
                <w:rFonts w:eastAsia="TimesNewRoman" w:cs="TimesNewRoman"/>
                <w:szCs w:val="22"/>
                <w:vertAlign w:val="subscript"/>
                <w14:ligatures w14:val="standardContextual"/>
              </w:rPr>
              <w:t>max</w:t>
            </w:r>
          </w:p>
        </w:tc>
        <w:tc>
          <w:tcPr>
            <w:tcW w:w="3800" w:type="pct"/>
          </w:tcPr>
          <w:p w14:paraId="46D25C79" w14:textId="549B6629" w:rsidR="000E5C51" w:rsidRPr="00F13721" w:rsidRDefault="00CE11BC" w:rsidP="0092543A">
            <w:pPr>
              <w:cnfStyle w:val="000000000000" w:firstRow="0" w:lastRow="0" w:firstColumn="0" w:lastColumn="0" w:oddVBand="0" w:evenVBand="0" w:oddHBand="0" w:evenHBand="0" w:firstRowFirstColumn="0" w:firstRowLastColumn="0" w:lastRowFirstColumn="0" w:lastRowLastColumn="0"/>
              <w:rPr>
                <w:szCs w:val="22"/>
              </w:rPr>
            </w:pPr>
            <w:r>
              <w:rPr>
                <w:szCs w:val="22"/>
              </w:rPr>
              <w:t>M</w:t>
            </w:r>
            <w:r w:rsidR="000E5C51" w:rsidRPr="00F13721">
              <w:rPr>
                <w:szCs w:val="22"/>
              </w:rPr>
              <w:t>aximum plasma concentration</w:t>
            </w:r>
          </w:p>
        </w:tc>
      </w:tr>
      <w:tr w:rsidR="000E5C51" w:rsidRPr="00F13721" w14:paraId="3A5224F6" w14:textId="77777777" w:rsidTr="0092543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93E0BE2" w14:textId="77777777" w:rsidR="000E5C51" w:rsidRPr="00F13721" w:rsidRDefault="000E5C51" w:rsidP="0092543A">
            <w:pPr>
              <w:rPr>
                <w:szCs w:val="22"/>
              </w:rPr>
            </w:pPr>
            <w:r w:rsidRPr="00F13721">
              <w:rPr>
                <w:szCs w:val="22"/>
              </w:rPr>
              <w:t>F</w:t>
            </w:r>
            <w:r w:rsidRPr="00F13721">
              <w:rPr>
                <w:szCs w:val="22"/>
                <w:vertAlign w:val="subscript"/>
              </w:rPr>
              <w:t>rel</w:t>
            </w:r>
          </w:p>
        </w:tc>
        <w:tc>
          <w:tcPr>
            <w:tcW w:w="3800" w:type="pct"/>
          </w:tcPr>
          <w:p w14:paraId="7C5A96A5" w14:textId="062B2D6E" w:rsidR="000E5C51" w:rsidRPr="00F13721" w:rsidRDefault="00CE11BC" w:rsidP="0092543A">
            <w:pPr>
              <w:cnfStyle w:val="000000000000" w:firstRow="0" w:lastRow="0" w:firstColumn="0" w:lastColumn="0" w:oddVBand="0" w:evenVBand="0" w:oddHBand="0" w:evenHBand="0" w:firstRowFirstColumn="0" w:firstRowLastColumn="0" w:lastRowFirstColumn="0" w:lastRowLastColumn="0"/>
              <w:rPr>
                <w:szCs w:val="22"/>
              </w:rPr>
            </w:pPr>
            <w:r>
              <w:rPr>
                <w:szCs w:val="22"/>
              </w:rPr>
              <w:t>R</w:t>
            </w:r>
            <w:r w:rsidR="000E5C51" w:rsidRPr="00F13721">
              <w:rPr>
                <w:szCs w:val="22"/>
              </w:rPr>
              <w:t>elative bioavailability</w:t>
            </w:r>
          </w:p>
        </w:tc>
      </w:tr>
      <w:tr w:rsidR="000E5C51" w:rsidRPr="00F13721" w14:paraId="5A1A7274" w14:textId="77777777" w:rsidTr="0092543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C60D64B" w14:textId="77777777" w:rsidR="000E5C51" w:rsidRPr="00F13721" w:rsidRDefault="000E5C51" w:rsidP="0092543A">
            <w:pPr>
              <w:rPr>
                <w:szCs w:val="22"/>
              </w:rPr>
            </w:pPr>
            <w:r w:rsidRPr="00F13721">
              <w:rPr>
                <w:szCs w:val="22"/>
              </w:rPr>
              <w:t>IBAT</w:t>
            </w:r>
          </w:p>
        </w:tc>
        <w:tc>
          <w:tcPr>
            <w:tcW w:w="3800" w:type="pct"/>
          </w:tcPr>
          <w:p w14:paraId="2A09EECA" w14:textId="1255BEF2" w:rsidR="000E5C51" w:rsidRPr="00F13721" w:rsidRDefault="00CE11BC" w:rsidP="0092543A">
            <w:pPr>
              <w:cnfStyle w:val="000000000000" w:firstRow="0" w:lastRow="0" w:firstColumn="0" w:lastColumn="0" w:oddVBand="0" w:evenVBand="0" w:oddHBand="0" w:evenHBand="0" w:firstRowFirstColumn="0" w:firstRowLastColumn="0" w:lastRowFirstColumn="0" w:lastRowLastColumn="0"/>
              <w:rPr>
                <w:szCs w:val="22"/>
              </w:rPr>
            </w:pPr>
            <w:r>
              <w:rPr>
                <w:szCs w:val="22"/>
              </w:rPr>
              <w:t>I</w:t>
            </w:r>
            <w:r w:rsidR="000E5C51" w:rsidRPr="00F13721">
              <w:rPr>
                <w:szCs w:val="22"/>
              </w:rPr>
              <w:t>leal bile acid transporter</w:t>
            </w:r>
          </w:p>
        </w:tc>
      </w:tr>
      <w:tr w:rsidR="000E5C51" w:rsidRPr="00F13721" w14:paraId="0CF04FA2" w14:textId="77777777" w:rsidTr="0092543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3A5B963" w14:textId="77777777" w:rsidR="000E5C51" w:rsidRPr="00F13721" w:rsidRDefault="000E5C51" w:rsidP="0092543A">
            <w:pPr>
              <w:rPr>
                <w:szCs w:val="22"/>
              </w:rPr>
            </w:pPr>
            <w:r w:rsidRPr="00F13721">
              <w:rPr>
                <w:szCs w:val="22"/>
              </w:rPr>
              <w:t>PD</w:t>
            </w:r>
          </w:p>
        </w:tc>
        <w:tc>
          <w:tcPr>
            <w:tcW w:w="3800" w:type="pct"/>
          </w:tcPr>
          <w:p w14:paraId="47C5DE5C" w14:textId="339828FA" w:rsidR="000E5C51" w:rsidRPr="00F13721" w:rsidRDefault="00CE11BC" w:rsidP="0092543A">
            <w:pPr>
              <w:cnfStyle w:val="000000000000" w:firstRow="0" w:lastRow="0" w:firstColumn="0" w:lastColumn="0" w:oddVBand="0" w:evenVBand="0" w:oddHBand="0" w:evenHBand="0" w:firstRowFirstColumn="0" w:firstRowLastColumn="0" w:lastRowFirstColumn="0" w:lastRowLastColumn="0"/>
              <w:rPr>
                <w:szCs w:val="22"/>
              </w:rPr>
            </w:pPr>
            <w:r>
              <w:rPr>
                <w:szCs w:val="22"/>
              </w:rPr>
              <w:t>P</w:t>
            </w:r>
            <w:r w:rsidR="000E5C51" w:rsidRPr="00F13721">
              <w:rPr>
                <w:szCs w:val="22"/>
              </w:rPr>
              <w:t>harmacodynamic(s)</w:t>
            </w:r>
          </w:p>
        </w:tc>
      </w:tr>
      <w:tr w:rsidR="000E5C51" w:rsidRPr="00F13721" w14:paraId="6EAAA34B" w14:textId="77777777" w:rsidTr="0092543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A2BB604" w14:textId="77777777" w:rsidR="000E5C51" w:rsidRPr="00F13721" w:rsidRDefault="000E5C51" w:rsidP="0092543A">
            <w:pPr>
              <w:rPr>
                <w:szCs w:val="22"/>
              </w:rPr>
            </w:pPr>
            <w:r w:rsidRPr="00F13721">
              <w:rPr>
                <w:szCs w:val="22"/>
              </w:rPr>
              <w:t>PFIC</w:t>
            </w:r>
          </w:p>
        </w:tc>
        <w:tc>
          <w:tcPr>
            <w:tcW w:w="3800" w:type="pct"/>
          </w:tcPr>
          <w:p w14:paraId="79F2B22F" w14:textId="23D9A23E" w:rsidR="000E5C51" w:rsidRPr="00F13721" w:rsidRDefault="00CE11BC" w:rsidP="0092543A">
            <w:pPr>
              <w:cnfStyle w:val="000000000000" w:firstRow="0" w:lastRow="0" w:firstColumn="0" w:lastColumn="0" w:oddVBand="0" w:evenVBand="0" w:oddHBand="0" w:evenHBand="0" w:firstRowFirstColumn="0" w:firstRowLastColumn="0" w:lastRowFirstColumn="0" w:lastRowLastColumn="0"/>
              <w:rPr>
                <w:szCs w:val="22"/>
              </w:rPr>
            </w:pPr>
            <w:r>
              <w:rPr>
                <w:szCs w:val="22"/>
              </w:rPr>
              <w:t>P</w:t>
            </w:r>
            <w:r w:rsidR="000E5C51" w:rsidRPr="00F13721">
              <w:rPr>
                <w:szCs w:val="22"/>
              </w:rPr>
              <w:t>rogressive familial intrahepatic cholestasis</w:t>
            </w:r>
          </w:p>
        </w:tc>
      </w:tr>
      <w:tr w:rsidR="000E5C51" w:rsidRPr="00F13721" w14:paraId="71655715" w14:textId="77777777" w:rsidTr="0092543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3475594" w14:textId="77777777" w:rsidR="000E5C51" w:rsidRPr="00F13721" w:rsidRDefault="000E5C51" w:rsidP="0092543A">
            <w:pPr>
              <w:rPr>
                <w:szCs w:val="22"/>
              </w:rPr>
            </w:pPr>
            <w:r w:rsidRPr="00F13721">
              <w:rPr>
                <w:szCs w:val="22"/>
              </w:rPr>
              <w:t>PI</w:t>
            </w:r>
          </w:p>
        </w:tc>
        <w:tc>
          <w:tcPr>
            <w:tcW w:w="3800" w:type="pct"/>
          </w:tcPr>
          <w:p w14:paraId="02AAE6CF" w14:textId="630A9159" w:rsidR="000E5C51" w:rsidRPr="00F13721" w:rsidRDefault="00CE11BC" w:rsidP="0092543A">
            <w:pPr>
              <w:cnfStyle w:val="000000000000" w:firstRow="0" w:lastRow="0" w:firstColumn="0" w:lastColumn="0" w:oddVBand="0" w:evenVBand="0" w:oddHBand="0" w:evenHBand="0" w:firstRowFirstColumn="0" w:firstRowLastColumn="0" w:lastRowFirstColumn="0" w:lastRowLastColumn="0"/>
              <w:rPr>
                <w:szCs w:val="22"/>
              </w:rPr>
            </w:pPr>
            <w:r>
              <w:rPr>
                <w:szCs w:val="22"/>
              </w:rPr>
              <w:t>P</w:t>
            </w:r>
            <w:r w:rsidR="000E5C51" w:rsidRPr="00F13721">
              <w:rPr>
                <w:szCs w:val="22"/>
              </w:rPr>
              <w:t xml:space="preserve">roduct </w:t>
            </w:r>
            <w:r>
              <w:rPr>
                <w:szCs w:val="22"/>
              </w:rPr>
              <w:t>I</w:t>
            </w:r>
            <w:r w:rsidR="000E5C51" w:rsidRPr="00F13721">
              <w:rPr>
                <w:szCs w:val="22"/>
              </w:rPr>
              <w:t>nformation</w:t>
            </w:r>
          </w:p>
        </w:tc>
      </w:tr>
      <w:tr w:rsidR="000E5C51" w:rsidRPr="00F13721" w14:paraId="5EB0D9AE" w14:textId="77777777" w:rsidTr="0092543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7CAB033" w14:textId="77777777" w:rsidR="000E5C51" w:rsidRPr="00F13721" w:rsidRDefault="000E5C51" w:rsidP="0092543A">
            <w:pPr>
              <w:rPr>
                <w:szCs w:val="22"/>
              </w:rPr>
            </w:pPr>
            <w:r w:rsidRPr="00F13721">
              <w:rPr>
                <w:szCs w:val="22"/>
              </w:rPr>
              <w:t>PK</w:t>
            </w:r>
          </w:p>
        </w:tc>
        <w:tc>
          <w:tcPr>
            <w:tcW w:w="3800" w:type="pct"/>
          </w:tcPr>
          <w:p w14:paraId="15D670C4" w14:textId="1AD83B91" w:rsidR="000E5C51" w:rsidRPr="00F13721" w:rsidRDefault="00CE11BC" w:rsidP="0092543A">
            <w:pPr>
              <w:cnfStyle w:val="000000000000" w:firstRow="0" w:lastRow="0" w:firstColumn="0" w:lastColumn="0" w:oddVBand="0" w:evenVBand="0" w:oddHBand="0" w:evenHBand="0" w:firstRowFirstColumn="0" w:firstRowLastColumn="0" w:lastRowFirstColumn="0" w:lastRowLastColumn="0"/>
              <w:rPr>
                <w:szCs w:val="22"/>
              </w:rPr>
            </w:pPr>
            <w:r>
              <w:rPr>
                <w:szCs w:val="22"/>
              </w:rPr>
              <w:t>P</w:t>
            </w:r>
            <w:r w:rsidR="000E5C51" w:rsidRPr="00F13721">
              <w:rPr>
                <w:szCs w:val="22"/>
              </w:rPr>
              <w:t>harmacokinetic(s)</w:t>
            </w:r>
          </w:p>
        </w:tc>
      </w:tr>
      <w:tr w:rsidR="000E5C51" w:rsidRPr="00F13721" w14:paraId="59A7273F" w14:textId="77777777" w:rsidTr="0092543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19BD72E" w14:textId="77777777" w:rsidR="000E5C51" w:rsidRPr="00F13721" w:rsidRDefault="000E5C51" w:rsidP="0092543A">
            <w:pPr>
              <w:rPr>
                <w:szCs w:val="22"/>
              </w:rPr>
            </w:pPr>
            <w:r w:rsidRPr="00F13721">
              <w:rPr>
                <w:szCs w:val="22"/>
              </w:rPr>
              <w:t>popPK</w:t>
            </w:r>
          </w:p>
        </w:tc>
        <w:tc>
          <w:tcPr>
            <w:tcW w:w="3800" w:type="pct"/>
          </w:tcPr>
          <w:p w14:paraId="129AD9ED" w14:textId="508B63D6" w:rsidR="000E5C51" w:rsidRPr="00F13721" w:rsidRDefault="00CE11BC" w:rsidP="0092543A">
            <w:pPr>
              <w:cnfStyle w:val="000000000000" w:firstRow="0" w:lastRow="0" w:firstColumn="0" w:lastColumn="0" w:oddVBand="0" w:evenVBand="0" w:oddHBand="0" w:evenHBand="0" w:firstRowFirstColumn="0" w:firstRowLastColumn="0" w:lastRowFirstColumn="0" w:lastRowLastColumn="0"/>
              <w:rPr>
                <w:szCs w:val="22"/>
              </w:rPr>
            </w:pPr>
            <w:r>
              <w:rPr>
                <w:szCs w:val="22"/>
              </w:rPr>
              <w:t>P</w:t>
            </w:r>
            <w:r w:rsidR="000E5C51" w:rsidRPr="00F13721">
              <w:rPr>
                <w:szCs w:val="22"/>
              </w:rPr>
              <w:t>opulation pharmacokinetic(s)</w:t>
            </w:r>
          </w:p>
        </w:tc>
      </w:tr>
      <w:tr w:rsidR="000E5C51" w:rsidRPr="00F13721" w14:paraId="6F8BDABA" w14:textId="77777777" w:rsidTr="0092543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C998708" w14:textId="77777777" w:rsidR="000E5C51" w:rsidRPr="00F13721" w:rsidRDefault="000E5C51" w:rsidP="0092543A">
            <w:pPr>
              <w:rPr>
                <w:szCs w:val="22"/>
              </w:rPr>
            </w:pPr>
            <w:r w:rsidRPr="00F13721">
              <w:rPr>
                <w:szCs w:val="22"/>
              </w:rPr>
              <w:t>RMP</w:t>
            </w:r>
          </w:p>
        </w:tc>
        <w:tc>
          <w:tcPr>
            <w:tcW w:w="3800" w:type="pct"/>
          </w:tcPr>
          <w:p w14:paraId="28DE345F" w14:textId="77777777" w:rsidR="000E5C51" w:rsidRPr="00F13721" w:rsidRDefault="000E5C51" w:rsidP="0092543A">
            <w:pPr>
              <w:cnfStyle w:val="000000000000" w:firstRow="0" w:lastRow="0" w:firstColumn="0" w:lastColumn="0" w:oddVBand="0" w:evenVBand="0" w:oddHBand="0" w:evenHBand="0" w:firstRowFirstColumn="0" w:firstRowLastColumn="0" w:lastRowFirstColumn="0" w:lastRowLastColumn="0"/>
              <w:rPr>
                <w:szCs w:val="22"/>
              </w:rPr>
            </w:pPr>
            <w:r w:rsidRPr="00F13721">
              <w:rPr>
                <w:szCs w:val="22"/>
              </w:rPr>
              <w:t>Risk management plan</w:t>
            </w:r>
          </w:p>
        </w:tc>
      </w:tr>
      <w:tr w:rsidR="000E5C51" w:rsidRPr="00F13721" w14:paraId="7FE139C9" w14:textId="77777777" w:rsidTr="0092543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35316F1" w14:textId="77777777" w:rsidR="000E5C51" w:rsidRPr="00F13721" w:rsidRDefault="000E5C51" w:rsidP="0092543A">
            <w:pPr>
              <w:rPr>
                <w:szCs w:val="22"/>
              </w:rPr>
            </w:pPr>
            <w:r w:rsidRPr="00F13721">
              <w:rPr>
                <w:szCs w:val="22"/>
              </w:rPr>
              <w:t>SD</w:t>
            </w:r>
          </w:p>
        </w:tc>
        <w:tc>
          <w:tcPr>
            <w:tcW w:w="3800" w:type="pct"/>
          </w:tcPr>
          <w:p w14:paraId="05A401AF" w14:textId="2AEC1CA0" w:rsidR="000E5C51" w:rsidRPr="00F13721" w:rsidRDefault="00CE11BC" w:rsidP="0092543A">
            <w:pPr>
              <w:cnfStyle w:val="000000000000" w:firstRow="0" w:lastRow="0" w:firstColumn="0" w:lastColumn="0" w:oddVBand="0" w:evenVBand="0" w:oddHBand="0" w:evenHBand="0" w:firstRowFirstColumn="0" w:firstRowLastColumn="0" w:lastRowFirstColumn="0" w:lastRowLastColumn="0"/>
              <w:rPr>
                <w:szCs w:val="22"/>
              </w:rPr>
            </w:pPr>
            <w:r>
              <w:rPr>
                <w:szCs w:val="22"/>
              </w:rPr>
              <w:t>S</w:t>
            </w:r>
            <w:r w:rsidR="000E5C51" w:rsidRPr="00F13721">
              <w:rPr>
                <w:szCs w:val="22"/>
              </w:rPr>
              <w:t>tandard deviation</w:t>
            </w:r>
          </w:p>
        </w:tc>
      </w:tr>
      <w:tr w:rsidR="000E5C51" w:rsidRPr="00F13721" w14:paraId="3077B9CD" w14:textId="77777777" w:rsidTr="0092543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E72E274" w14:textId="77777777" w:rsidR="000E5C51" w:rsidRPr="00F13721" w:rsidRDefault="000E5C51" w:rsidP="0092543A">
            <w:pPr>
              <w:rPr>
                <w:szCs w:val="22"/>
              </w:rPr>
            </w:pPr>
            <w:r w:rsidRPr="00F13721">
              <w:rPr>
                <w:szCs w:val="22"/>
              </w:rPr>
              <w:t>SE</w:t>
            </w:r>
          </w:p>
        </w:tc>
        <w:tc>
          <w:tcPr>
            <w:tcW w:w="3800" w:type="pct"/>
          </w:tcPr>
          <w:p w14:paraId="186687E2" w14:textId="559F47A9" w:rsidR="000E5C51" w:rsidRPr="00F13721" w:rsidRDefault="00CE11BC" w:rsidP="0092543A">
            <w:pPr>
              <w:cnfStyle w:val="000000000000" w:firstRow="0" w:lastRow="0" w:firstColumn="0" w:lastColumn="0" w:oddVBand="0" w:evenVBand="0" w:oddHBand="0" w:evenHBand="0" w:firstRowFirstColumn="0" w:firstRowLastColumn="0" w:lastRowFirstColumn="0" w:lastRowLastColumn="0"/>
              <w:rPr>
                <w:szCs w:val="22"/>
              </w:rPr>
            </w:pPr>
            <w:r>
              <w:rPr>
                <w:szCs w:val="22"/>
              </w:rPr>
              <w:t>S</w:t>
            </w:r>
            <w:r w:rsidR="000E5C51" w:rsidRPr="00F13721">
              <w:rPr>
                <w:szCs w:val="22"/>
              </w:rPr>
              <w:t>tandard error</w:t>
            </w:r>
          </w:p>
        </w:tc>
      </w:tr>
      <w:tr w:rsidR="000E5C51" w:rsidRPr="00F13721" w14:paraId="3F1519A5" w14:textId="77777777" w:rsidTr="0092543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C1FB8FF" w14:textId="77777777" w:rsidR="000E5C51" w:rsidRPr="00F13721" w:rsidRDefault="000E5C51" w:rsidP="0092543A">
            <w:pPr>
              <w:rPr>
                <w:szCs w:val="22"/>
              </w:rPr>
            </w:pPr>
            <w:r w:rsidRPr="00F13721">
              <w:rPr>
                <w:szCs w:val="22"/>
              </w:rPr>
              <w:t>SBA</w:t>
            </w:r>
          </w:p>
        </w:tc>
        <w:tc>
          <w:tcPr>
            <w:tcW w:w="3800" w:type="pct"/>
          </w:tcPr>
          <w:p w14:paraId="6809126F" w14:textId="70ED3B7F" w:rsidR="000E5C51" w:rsidRPr="00F13721" w:rsidRDefault="00CE11BC" w:rsidP="0092543A">
            <w:pPr>
              <w:cnfStyle w:val="000000000000" w:firstRow="0" w:lastRow="0" w:firstColumn="0" w:lastColumn="0" w:oddVBand="0" w:evenVBand="0" w:oddHBand="0" w:evenHBand="0" w:firstRowFirstColumn="0" w:firstRowLastColumn="0" w:lastRowFirstColumn="0" w:lastRowLastColumn="0"/>
              <w:rPr>
                <w:szCs w:val="22"/>
              </w:rPr>
            </w:pPr>
            <w:r>
              <w:rPr>
                <w:szCs w:val="22"/>
              </w:rPr>
              <w:t>S</w:t>
            </w:r>
            <w:r w:rsidR="000E5C51" w:rsidRPr="00F13721">
              <w:rPr>
                <w:szCs w:val="22"/>
              </w:rPr>
              <w:t>erum bile acid</w:t>
            </w:r>
          </w:p>
        </w:tc>
      </w:tr>
      <w:tr w:rsidR="000E5C51" w:rsidRPr="00F13721" w14:paraId="64869F23" w14:textId="77777777" w:rsidTr="0092543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785A94F" w14:textId="77777777" w:rsidR="000E5C51" w:rsidRPr="00F13721" w:rsidRDefault="000E5C51" w:rsidP="0092543A">
            <w:pPr>
              <w:rPr>
                <w:szCs w:val="22"/>
              </w:rPr>
            </w:pPr>
            <w:r w:rsidRPr="00F13721">
              <w:rPr>
                <w:szCs w:val="22"/>
              </w:rPr>
              <w:t>t</w:t>
            </w:r>
            <w:r w:rsidRPr="00F13721">
              <w:rPr>
                <w:szCs w:val="22"/>
                <w:vertAlign w:val="subscript"/>
              </w:rPr>
              <w:t>1/2</w:t>
            </w:r>
          </w:p>
        </w:tc>
        <w:tc>
          <w:tcPr>
            <w:tcW w:w="3800" w:type="pct"/>
          </w:tcPr>
          <w:p w14:paraId="4DBCF16C" w14:textId="07AB79CB" w:rsidR="000E5C51" w:rsidRPr="00F13721" w:rsidRDefault="00CE11BC" w:rsidP="0092543A">
            <w:pPr>
              <w:cnfStyle w:val="000000000000" w:firstRow="0" w:lastRow="0" w:firstColumn="0" w:lastColumn="0" w:oddVBand="0" w:evenVBand="0" w:oddHBand="0" w:evenHBand="0" w:firstRowFirstColumn="0" w:firstRowLastColumn="0" w:lastRowFirstColumn="0" w:lastRowLastColumn="0"/>
              <w:rPr>
                <w:szCs w:val="22"/>
              </w:rPr>
            </w:pPr>
            <w:r>
              <w:rPr>
                <w:szCs w:val="22"/>
              </w:rPr>
              <w:t>E</w:t>
            </w:r>
            <w:r w:rsidR="000E5C51" w:rsidRPr="00F13721">
              <w:rPr>
                <w:szCs w:val="22"/>
              </w:rPr>
              <w:t>limination half- life</w:t>
            </w:r>
          </w:p>
        </w:tc>
      </w:tr>
      <w:tr w:rsidR="000E5C51" w:rsidRPr="00F13721" w14:paraId="16C7EA82" w14:textId="77777777" w:rsidTr="0092543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B93F8EE" w14:textId="77777777" w:rsidR="000E5C51" w:rsidRPr="00F13721" w:rsidRDefault="000E5C51" w:rsidP="0092543A">
            <w:pPr>
              <w:rPr>
                <w:szCs w:val="22"/>
              </w:rPr>
            </w:pPr>
            <w:r w:rsidRPr="00F13721">
              <w:rPr>
                <w:szCs w:val="22"/>
              </w:rPr>
              <w:t>TEAE</w:t>
            </w:r>
          </w:p>
        </w:tc>
        <w:tc>
          <w:tcPr>
            <w:tcW w:w="3800" w:type="pct"/>
          </w:tcPr>
          <w:p w14:paraId="16C17591" w14:textId="43091AA2" w:rsidR="000E5C51" w:rsidRPr="00F13721" w:rsidRDefault="00CE11BC" w:rsidP="0092543A">
            <w:pPr>
              <w:cnfStyle w:val="000000000000" w:firstRow="0" w:lastRow="0" w:firstColumn="0" w:lastColumn="0" w:oddVBand="0" w:evenVBand="0" w:oddHBand="0" w:evenHBand="0" w:firstRowFirstColumn="0" w:firstRowLastColumn="0" w:lastRowFirstColumn="0" w:lastRowLastColumn="0"/>
              <w:rPr>
                <w:szCs w:val="22"/>
              </w:rPr>
            </w:pPr>
            <w:r>
              <w:rPr>
                <w:szCs w:val="22"/>
              </w:rPr>
              <w:t>T</w:t>
            </w:r>
            <w:r w:rsidR="000E5C51" w:rsidRPr="00F13721">
              <w:rPr>
                <w:szCs w:val="22"/>
              </w:rPr>
              <w:t>reatment</w:t>
            </w:r>
            <w:r>
              <w:rPr>
                <w:szCs w:val="22"/>
              </w:rPr>
              <w:t>-</w:t>
            </w:r>
            <w:r w:rsidR="000E5C51" w:rsidRPr="00F13721">
              <w:rPr>
                <w:szCs w:val="22"/>
              </w:rPr>
              <w:t>emergent adverse event</w:t>
            </w:r>
          </w:p>
        </w:tc>
      </w:tr>
      <w:tr w:rsidR="000E5C51" w:rsidRPr="00F13721" w14:paraId="1F94F2CB" w14:textId="77777777" w:rsidTr="0092543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E7C44DD" w14:textId="77777777" w:rsidR="000E5C51" w:rsidRPr="00F13721" w:rsidRDefault="000E5C51" w:rsidP="0092543A">
            <w:pPr>
              <w:rPr>
                <w:szCs w:val="22"/>
              </w:rPr>
            </w:pPr>
            <w:r w:rsidRPr="00F13721">
              <w:rPr>
                <w:szCs w:val="22"/>
              </w:rPr>
              <w:t>TGA</w:t>
            </w:r>
          </w:p>
        </w:tc>
        <w:tc>
          <w:tcPr>
            <w:tcW w:w="3800" w:type="pct"/>
          </w:tcPr>
          <w:p w14:paraId="506A7846" w14:textId="77777777" w:rsidR="000E5C51" w:rsidRPr="00F13721" w:rsidRDefault="000E5C51" w:rsidP="0092543A">
            <w:pPr>
              <w:cnfStyle w:val="000000000000" w:firstRow="0" w:lastRow="0" w:firstColumn="0" w:lastColumn="0" w:oddVBand="0" w:evenVBand="0" w:oddHBand="0" w:evenHBand="0" w:firstRowFirstColumn="0" w:firstRowLastColumn="0" w:lastRowFirstColumn="0" w:lastRowLastColumn="0"/>
              <w:rPr>
                <w:szCs w:val="22"/>
              </w:rPr>
            </w:pPr>
            <w:r w:rsidRPr="00F13721">
              <w:rPr>
                <w:szCs w:val="22"/>
              </w:rPr>
              <w:t>Therapeutic Goods Administration</w:t>
            </w:r>
          </w:p>
        </w:tc>
      </w:tr>
      <w:tr w:rsidR="000E5C51" w:rsidRPr="00F13721" w14:paraId="5BE5897A" w14:textId="77777777" w:rsidTr="0092543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03315A9" w14:textId="1F87494B" w:rsidR="000E5C51" w:rsidRPr="00F13721" w:rsidRDefault="000E5C51" w:rsidP="0092543A">
            <w:pPr>
              <w:rPr>
                <w:szCs w:val="22"/>
              </w:rPr>
            </w:pPr>
            <w:r w:rsidRPr="00F13721">
              <w:rPr>
                <w:szCs w:val="22"/>
              </w:rPr>
              <w:t>UDCA</w:t>
            </w:r>
          </w:p>
        </w:tc>
        <w:tc>
          <w:tcPr>
            <w:tcW w:w="3800" w:type="pct"/>
          </w:tcPr>
          <w:p w14:paraId="32D2CBE9" w14:textId="2413950B" w:rsidR="000E5C51" w:rsidRPr="00F13721" w:rsidRDefault="000E5C51" w:rsidP="0092543A">
            <w:pPr>
              <w:cnfStyle w:val="000000000000" w:firstRow="0" w:lastRow="0" w:firstColumn="0" w:lastColumn="0" w:oddVBand="0" w:evenVBand="0" w:oddHBand="0" w:evenHBand="0" w:firstRowFirstColumn="0" w:firstRowLastColumn="0" w:lastRowFirstColumn="0" w:lastRowLastColumn="0"/>
              <w:rPr>
                <w:szCs w:val="22"/>
              </w:rPr>
            </w:pPr>
            <w:r w:rsidRPr="00F13721">
              <w:rPr>
                <w:szCs w:val="22"/>
              </w:rPr>
              <w:t>Ursodeoxycholic acid</w:t>
            </w:r>
          </w:p>
        </w:tc>
      </w:tr>
      <w:tr w:rsidR="000E5C51" w:rsidRPr="00F13721" w14:paraId="276EBD3F" w14:textId="77777777" w:rsidTr="0092543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FD7F360" w14:textId="77777777" w:rsidR="000E5C51" w:rsidRPr="00F13721" w:rsidRDefault="000E5C51" w:rsidP="0092543A">
            <w:pPr>
              <w:rPr>
                <w:szCs w:val="22"/>
              </w:rPr>
            </w:pPr>
            <w:r w:rsidRPr="00F13721">
              <w:rPr>
                <w:szCs w:val="22"/>
              </w:rPr>
              <w:t>V/F</w:t>
            </w:r>
          </w:p>
        </w:tc>
        <w:tc>
          <w:tcPr>
            <w:tcW w:w="3800" w:type="pct"/>
          </w:tcPr>
          <w:p w14:paraId="6AA06C7C" w14:textId="66EB7BC4" w:rsidR="000E5C51" w:rsidRPr="00F13721" w:rsidRDefault="00CE11BC" w:rsidP="0092543A">
            <w:pPr>
              <w:cnfStyle w:val="000000000000" w:firstRow="0" w:lastRow="0" w:firstColumn="0" w:lastColumn="0" w:oddVBand="0" w:evenVBand="0" w:oddHBand="0" w:evenHBand="0" w:firstRowFirstColumn="0" w:firstRowLastColumn="0" w:lastRowFirstColumn="0" w:lastRowLastColumn="0"/>
              <w:rPr>
                <w:szCs w:val="22"/>
              </w:rPr>
            </w:pPr>
            <w:r>
              <w:rPr>
                <w:szCs w:val="22"/>
              </w:rPr>
              <w:t>V</w:t>
            </w:r>
            <w:r w:rsidR="000E5C51" w:rsidRPr="00F13721">
              <w:rPr>
                <w:szCs w:val="22"/>
              </w:rPr>
              <w:t>olume of distribution</w:t>
            </w:r>
          </w:p>
        </w:tc>
      </w:tr>
    </w:tbl>
    <w:p w14:paraId="7378F926" w14:textId="77777777" w:rsidR="00324B33" w:rsidRDefault="00324B33" w:rsidP="00324B33"/>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1E123277" w:rsidR="00324B33" w:rsidRDefault="00893229" w:rsidP="00324B33">
      <w:pPr>
        <w:pStyle w:val="Heading2"/>
      </w:pPr>
      <w:bookmarkStart w:id="4" w:name="_Toc204158902"/>
      <w:r>
        <w:lastRenderedPageBreak/>
        <w:t>BYLVAY</w:t>
      </w:r>
      <w:r w:rsidR="00F319F9" w:rsidRPr="00F319F9">
        <w:t xml:space="preserve"> </w:t>
      </w:r>
      <w:r w:rsidR="00F319F9">
        <w:t>(</w:t>
      </w:r>
      <w:r w:rsidR="00F319F9" w:rsidRPr="00F319F9">
        <w:t>odevixibat</w:t>
      </w:r>
      <w:r w:rsidR="00F319F9">
        <w:t>)</w:t>
      </w:r>
      <w:r w:rsidR="001B5CA6" w:rsidRPr="001B5CA6">
        <w:t xml:space="preserve"> submission</w:t>
      </w:r>
      <w:bookmarkEnd w:id="4"/>
    </w:p>
    <w:tbl>
      <w:tblPr>
        <w:tblW w:w="5000" w:type="pct"/>
        <w:tblLook w:val="01E0" w:firstRow="1" w:lastRow="1" w:firstColumn="1" w:lastColumn="1" w:noHBand="0" w:noVBand="0"/>
      </w:tblPr>
      <w:tblGrid>
        <w:gridCol w:w="2861"/>
        <w:gridCol w:w="6209"/>
      </w:tblGrid>
      <w:tr w:rsidR="00324B33" w:rsidRPr="00BD5DBD" w14:paraId="77D11C95" w14:textId="77777777" w:rsidTr="00F865A7">
        <w:tc>
          <w:tcPr>
            <w:tcW w:w="1577" w:type="pct"/>
          </w:tcPr>
          <w:p w14:paraId="10E57D62" w14:textId="52B9868F" w:rsidR="00324B33" w:rsidRPr="00BD5DBD" w:rsidRDefault="00324B33" w:rsidP="007452E8">
            <w:pPr>
              <w:rPr>
                <w:i/>
                <w:szCs w:val="22"/>
              </w:rPr>
            </w:pPr>
            <w:r w:rsidRPr="00BD5DBD">
              <w:rPr>
                <w:i/>
                <w:szCs w:val="22"/>
              </w:rPr>
              <w:t>Type of submission:</w:t>
            </w:r>
          </w:p>
        </w:tc>
        <w:tc>
          <w:tcPr>
            <w:tcW w:w="3423" w:type="pct"/>
          </w:tcPr>
          <w:p w14:paraId="4F07C303" w14:textId="6F1C1368" w:rsidR="00324B33" w:rsidRPr="00BD5DBD" w:rsidRDefault="00324B33" w:rsidP="00F319F9">
            <w:pPr>
              <w:rPr>
                <w:szCs w:val="22"/>
              </w:rPr>
            </w:pPr>
            <w:r w:rsidRPr="00BD5DBD">
              <w:rPr>
                <w:szCs w:val="22"/>
              </w:rPr>
              <w:t>New chemical</w:t>
            </w:r>
            <w:r w:rsidR="00C17759">
              <w:rPr>
                <w:szCs w:val="22"/>
              </w:rPr>
              <w:t xml:space="preserve"> entity</w:t>
            </w:r>
          </w:p>
        </w:tc>
      </w:tr>
      <w:tr w:rsidR="00324B33" w:rsidRPr="00BD5DBD" w14:paraId="13482B61" w14:textId="77777777" w:rsidTr="00F865A7">
        <w:tc>
          <w:tcPr>
            <w:tcW w:w="1577" w:type="pct"/>
          </w:tcPr>
          <w:p w14:paraId="2C427FCF" w14:textId="1F1F6AEE" w:rsidR="00324B33" w:rsidRPr="00BD5DBD" w:rsidRDefault="00324B33" w:rsidP="007452E8">
            <w:pPr>
              <w:rPr>
                <w:i/>
                <w:szCs w:val="22"/>
              </w:rPr>
            </w:pPr>
            <w:r w:rsidRPr="00BD5DBD">
              <w:rPr>
                <w:i/>
                <w:szCs w:val="22"/>
              </w:rPr>
              <w:t>Product name:</w:t>
            </w:r>
          </w:p>
        </w:tc>
        <w:tc>
          <w:tcPr>
            <w:tcW w:w="3423" w:type="pct"/>
          </w:tcPr>
          <w:p w14:paraId="0E2DEF76" w14:textId="579F9B8C" w:rsidR="00324B33" w:rsidRPr="00BD5DBD" w:rsidRDefault="00893229" w:rsidP="007452E8">
            <w:pPr>
              <w:rPr>
                <w:szCs w:val="22"/>
              </w:rPr>
            </w:pPr>
            <w:r>
              <w:rPr>
                <w:szCs w:val="22"/>
              </w:rPr>
              <w:t>BYLVAY</w:t>
            </w:r>
          </w:p>
        </w:tc>
      </w:tr>
      <w:tr w:rsidR="00324B33" w:rsidRPr="00BD5DBD" w14:paraId="01255B5B" w14:textId="77777777" w:rsidTr="00F865A7">
        <w:tc>
          <w:tcPr>
            <w:tcW w:w="1577" w:type="pct"/>
          </w:tcPr>
          <w:p w14:paraId="52B4F3D7" w14:textId="1355FC7D" w:rsidR="00324B33" w:rsidRPr="00BD5DBD" w:rsidRDefault="00324B33" w:rsidP="007452E8">
            <w:pPr>
              <w:rPr>
                <w:i/>
                <w:szCs w:val="22"/>
              </w:rPr>
            </w:pPr>
            <w:r w:rsidRPr="00BD5DBD">
              <w:rPr>
                <w:i/>
                <w:szCs w:val="22"/>
              </w:rPr>
              <w:t>Active ingredient:</w:t>
            </w:r>
          </w:p>
        </w:tc>
        <w:tc>
          <w:tcPr>
            <w:tcW w:w="3423" w:type="pct"/>
          </w:tcPr>
          <w:p w14:paraId="02FB6383" w14:textId="2F1557A4" w:rsidR="00324B33" w:rsidRPr="00BD5DBD" w:rsidRDefault="00F319F9" w:rsidP="007452E8">
            <w:pPr>
              <w:rPr>
                <w:szCs w:val="22"/>
              </w:rPr>
            </w:pPr>
            <w:r w:rsidRPr="00F319F9">
              <w:rPr>
                <w:szCs w:val="22"/>
              </w:rPr>
              <w:t>odevixibat</w:t>
            </w:r>
          </w:p>
        </w:tc>
      </w:tr>
      <w:tr w:rsidR="00324B33" w:rsidRPr="00BD5DBD" w14:paraId="219A281B" w14:textId="77777777" w:rsidTr="00F865A7">
        <w:tc>
          <w:tcPr>
            <w:tcW w:w="1577" w:type="pct"/>
          </w:tcPr>
          <w:p w14:paraId="112E5F78" w14:textId="77777777" w:rsidR="00324B33" w:rsidRPr="00BD5DBD" w:rsidRDefault="00324B33" w:rsidP="007452E8">
            <w:pPr>
              <w:rPr>
                <w:i/>
                <w:szCs w:val="22"/>
              </w:rPr>
            </w:pPr>
            <w:r w:rsidRPr="00BD5DBD">
              <w:rPr>
                <w:i/>
                <w:szCs w:val="22"/>
              </w:rPr>
              <w:t>Decision:</w:t>
            </w:r>
          </w:p>
        </w:tc>
        <w:tc>
          <w:tcPr>
            <w:tcW w:w="3423" w:type="pct"/>
          </w:tcPr>
          <w:p w14:paraId="3B114BEA" w14:textId="133BC675" w:rsidR="00324B33" w:rsidRPr="00BD5DBD" w:rsidRDefault="00F319F9" w:rsidP="007452E8">
            <w:pPr>
              <w:rPr>
                <w:szCs w:val="22"/>
              </w:rPr>
            </w:pPr>
            <w:r>
              <w:rPr>
                <w:szCs w:val="22"/>
              </w:rPr>
              <w:t>Approved</w:t>
            </w:r>
          </w:p>
        </w:tc>
      </w:tr>
      <w:tr w:rsidR="00AE1947" w:rsidRPr="00BD5DBD" w14:paraId="32B72632" w14:textId="77777777" w:rsidTr="00F865A7">
        <w:tc>
          <w:tcPr>
            <w:tcW w:w="1577" w:type="pct"/>
          </w:tcPr>
          <w:p w14:paraId="332A5CD5" w14:textId="65682B5F" w:rsidR="00AE1947" w:rsidRPr="00BD5DBD" w:rsidRDefault="00AE1947" w:rsidP="007F1E37">
            <w:r w:rsidRPr="00BD5DBD">
              <w:rPr>
                <w:i/>
                <w:szCs w:val="22"/>
              </w:rPr>
              <w:t>Date of decision:</w:t>
            </w:r>
          </w:p>
        </w:tc>
        <w:tc>
          <w:tcPr>
            <w:tcW w:w="3423" w:type="pct"/>
          </w:tcPr>
          <w:p w14:paraId="7B381CD6" w14:textId="1075C63A" w:rsidR="00AE1947" w:rsidRPr="00BD5DBD" w:rsidRDefault="00697D0E" w:rsidP="00602658">
            <w:pPr>
              <w:rPr>
                <w:szCs w:val="22"/>
              </w:rPr>
            </w:pPr>
            <w:r w:rsidRPr="00697D0E">
              <w:rPr>
                <w:szCs w:val="22"/>
              </w:rPr>
              <w:t>24 March 2025</w:t>
            </w:r>
          </w:p>
        </w:tc>
      </w:tr>
      <w:tr w:rsidR="00B27E5F" w:rsidRPr="00BD5DBD" w14:paraId="35D7443B" w14:textId="77777777" w:rsidTr="00F865A7">
        <w:tc>
          <w:tcPr>
            <w:tcW w:w="1577" w:type="pct"/>
          </w:tcPr>
          <w:p w14:paraId="67C7FBF3" w14:textId="0A62D219" w:rsidR="00B27E5F" w:rsidRPr="00BD5DBD" w:rsidRDefault="00B27E5F" w:rsidP="007F1E37">
            <w:pPr>
              <w:rPr>
                <w:i/>
                <w:szCs w:val="22"/>
              </w:rPr>
            </w:pPr>
            <w:r w:rsidRPr="00B27E5F">
              <w:rPr>
                <w:i/>
                <w:szCs w:val="22"/>
              </w:rPr>
              <w:t>Date of entry onto ARTG:</w:t>
            </w:r>
          </w:p>
        </w:tc>
        <w:tc>
          <w:tcPr>
            <w:tcW w:w="3423" w:type="pct"/>
          </w:tcPr>
          <w:p w14:paraId="7E1990DC" w14:textId="0B913811" w:rsidR="00B27E5F" w:rsidRPr="00BD5DBD" w:rsidRDefault="00B10527" w:rsidP="00602658">
            <w:pPr>
              <w:rPr>
                <w:szCs w:val="22"/>
              </w:rPr>
            </w:pPr>
            <w:r w:rsidRPr="00B10527">
              <w:rPr>
                <w:szCs w:val="22"/>
              </w:rPr>
              <w:t>26 March 2025</w:t>
            </w:r>
          </w:p>
        </w:tc>
      </w:tr>
      <w:tr w:rsidR="00B27E5F" w:rsidRPr="00BD5DBD" w14:paraId="6AF532DF" w14:textId="77777777" w:rsidTr="00F865A7">
        <w:tc>
          <w:tcPr>
            <w:tcW w:w="1577" w:type="pct"/>
          </w:tcPr>
          <w:p w14:paraId="34BD7C65" w14:textId="5D208E36" w:rsidR="00B27E5F" w:rsidRPr="00B27E5F" w:rsidRDefault="00B27E5F" w:rsidP="007F1E37">
            <w:pPr>
              <w:rPr>
                <w:i/>
                <w:szCs w:val="22"/>
              </w:rPr>
            </w:pPr>
            <w:r>
              <w:rPr>
                <w:i/>
                <w:szCs w:val="22"/>
              </w:rPr>
              <w:t>ARTG number</w:t>
            </w:r>
            <w:r w:rsidR="00B10527">
              <w:rPr>
                <w:i/>
                <w:szCs w:val="22"/>
              </w:rPr>
              <w:t>s</w:t>
            </w:r>
            <w:r>
              <w:rPr>
                <w:i/>
                <w:szCs w:val="22"/>
              </w:rPr>
              <w:t>:</w:t>
            </w:r>
          </w:p>
        </w:tc>
        <w:tc>
          <w:tcPr>
            <w:tcW w:w="3423" w:type="pct"/>
          </w:tcPr>
          <w:p w14:paraId="4400B083" w14:textId="422DC143" w:rsidR="00B27E5F" w:rsidRDefault="00893229" w:rsidP="00602658">
            <w:pPr>
              <w:rPr>
                <w:szCs w:val="22"/>
              </w:rPr>
            </w:pPr>
            <w:r>
              <w:rPr>
                <w:szCs w:val="22"/>
              </w:rPr>
              <w:t>BYLVAY</w:t>
            </w:r>
            <w:r w:rsidR="00B10527" w:rsidRPr="00B10527">
              <w:rPr>
                <w:szCs w:val="22"/>
              </w:rPr>
              <w:t xml:space="preserve"> odevixibat 200 microgram capsule bottle (</w:t>
            </w:r>
            <w:hyperlink r:id="rId18" w:history="1">
              <w:r w:rsidR="00B10527" w:rsidRPr="0029715C">
                <w:rPr>
                  <w:rStyle w:val="Hyperlink"/>
                  <w:szCs w:val="22"/>
                </w:rPr>
                <w:t>419590</w:t>
              </w:r>
            </w:hyperlink>
            <w:r w:rsidR="00B10527" w:rsidRPr="00B10527">
              <w:rPr>
                <w:szCs w:val="22"/>
              </w:rPr>
              <w:t>)</w:t>
            </w:r>
          </w:p>
          <w:p w14:paraId="6F7ACF17" w14:textId="12644D61" w:rsidR="00B10527" w:rsidRDefault="00893229" w:rsidP="00602658">
            <w:pPr>
              <w:rPr>
                <w:szCs w:val="22"/>
              </w:rPr>
            </w:pPr>
            <w:r>
              <w:rPr>
                <w:szCs w:val="22"/>
              </w:rPr>
              <w:t>BYLVAY</w:t>
            </w:r>
            <w:r w:rsidR="00FE68D2" w:rsidRPr="00FE68D2">
              <w:rPr>
                <w:szCs w:val="22"/>
              </w:rPr>
              <w:t xml:space="preserve"> odevixibat 1200 microgram capsule bottle (</w:t>
            </w:r>
            <w:hyperlink r:id="rId19" w:history="1">
              <w:r w:rsidR="00FE68D2" w:rsidRPr="0029715C">
                <w:rPr>
                  <w:rStyle w:val="Hyperlink"/>
                  <w:szCs w:val="22"/>
                </w:rPr>
                <w:t>419592</w:t>
              </w:r>
            </w:hyperlink>
            <w:r w:rsidR="00FE68D2" w:rsidRPr="00FE68D2">
              <w:rPr>
                <w:szCs w:val="22"/>
              </w:rPr>
              <w:t>)</w:t>
            </w:r>
          </w:p>
          <w:p w14:paraId="3A7E9B9F" w14:textId="72E7189C" w:rsidR="00FE68D2" w:rsidRDefault="00893229" w:rsidP="00602658">
            <w:pPr>
              <w:rPr>
                <w:szCs w:val="22"/>
              </w:rPr>
            </w:pPr>
            <w:r>
              <w:rPr>
                <w:szCs w:val="22"/>
              </w:rPr>
              <w:t>BYLVAY</w:t>
            </w:r>
            <w:r w:rsidR="00FE68D2" w:rsidRPr="00FE68D2">
              <w:rPr>
                <w:szCs w:val="22"/>
              </w:rPr>
              <w:t xml:space="preserve"> odevixibat 400 microgram capsule bottle (</w:t>
            </w:r>
            <w:hyperlink r:id="rId20" w:history="1">
              <w:r w:rsidR="00FE68D2" w:rsidRPr="008831EC">
                <w:rPr>
                  <w:rStyle w:val="Hyperlink"/>
                  <w:szCs w:val="22"/>
                </w:rPr>
                <w:t>419591</w:t>
              </w:r>
            </w:hyperlink>
            <w:r w:rsidR="00FE68D2" w:rsidRPr="00FE68D2">
              <w:rPr>
                <w:szCs w:val="22"/>
              </w:rPr>
              <w:t>)</w:t>
            </w:r>
          </w:p>
          <w:p w14:paraId="6459FABE" w14:textId="19AC9CAD" w:rsidR="00FE68D2" w:rsidRPr="00BD5DBD" w:rsidRDefault="00893229" w:rsidP="00602658">
            <w:pPr>
              <w:rPr>
                <w:szCs w:val="22"/>
              </w:rPr>
            </w:pPr>
            <w:r>
              <w:rPr>
                <w:szCs w:val="22"/>
              </w:rPr>
              <w:t>BYLVAY</w:t>
            </w:r>
            <w:r w:rsidR="00FE68D2" w:rsidRPr="00FE68D2">
              <w:rPr>
                <w:szCs w:val="22"/>
              </w:rPr>
              <w:t xml:space="preserve"> odevixibat 600 microgram capsule bottle (</w:t>
            </w:r>
            <w:hyperlink r:id="rId21" w:history="1">
              <w:r w:rsidR="00FE68D2" w:rsidRPr="008831EC">
                <w:rPr>
                  <w:rStyle w:val="Hyperlink"/>
                  <w:szCs w:val="22"/>
                </w:rPr>
                <w:t>419593</w:t>
              </w:r>
            </w:hyperlink>
            <w:r w:rsidR="00FE68D2" w:rsidRPr="00FE68D2">
              <w:rPr>
                <w:szCs w:val="22"/>
              </w:rPr>
              <w:t>)</w:t>
            </w:r>
          </w:p>
        </w:tc>
      </w:tr>
      <w:tr w:rsidR="005D5F54" w:rsidRPr="00BD5DBD" w14:paraId="7618393F" w14:textId="77777777" w:rsidTr="00F865A7">
        <w:tc>
          <w:tcPr>
            <w:tcW w:w="1577" w:type="pct"/>
          </w:tcPr>
          <w:p w14:paraId="02260DE2" w14:textId="692C0A49" w:rsidR="005D5F54" w:rsidRPr="00BD5DBD" w:rsidRDefault="005D5F54" w:rsidP="005D5F54">
            <w:pPr>
              <w:rPr>
                <w:i/>
                <w:szCs w:val="22"/>
              </w:rPr>
            </w:pPr>
            <w:r w:rsidRPr="00BD5DBD">
              <w:rPr>
                <w:rFonts w:ascii="Wingdings 3" w:hAnsi="Wingdings 3"/>
                <w:szCs w:val="22"/>
                <w:lang w:eastAsia="en-AU"/>
              </w:rPr>
              <w:t></w:t>
            </w:r>
            <w:hyperlink r:id="rId22" w:history="1">
              <w:r w:rsidRPr="00BD5DBD">
                <w:rPr>
                  <w:rStyle w:val="Hyperlink"/>
                  <w:i/>
                  <w:szCs w:val="22"/>
                </w:rPr>
                <w:t>Black Triangle Scheme</w:t>
              </w:r>
            </w:hyperlink>
          </w:p>
        </w:tc>
        <w:tc>
          <w:tcPr>
            <w:tcW w:w="3423" w:type="pct"/>
          </w:tcPr>
          <w:p w14:paraId="6FF3C6A2" w14:textId="3D7D8751" w:rsidR="005D5F54" w:rsidRPr="00BD5DBD" w:rsidRDefault="005D5F54" w:rsidP="005D5F54">
            <w:pPr>
              <w:rPr>
                <w:szCs w:val="22"/>
              </w:rPr>
            </w:pPr>
            <w:r w:rsidRPr="00BD5DBD">
              <w:rPr>
                <w:szCs w:val="22"/>
              </w:rPr>
              <w:t>Yes</w:t>
            </w:r>
          </w:p>
        </w:tc>
      </w:tr>
      <w:tr w:rsidR="005D5F54" w:rsidRPr="00BD5DBD" w14:paraId="179E09FE" w14:textId="77777777" w:rsidTr="00F865A7">
        <w:tc>
          <w:tcPr>
            <w:tcW w:w="1577" w:type="pct"/>
          </w:tcPr>
          <w:p w14:paraId="1A592498" w14:textId="77777777" w:rsidR="005D5F54" w:rsidRPr="00BD5DBD" w:rsidRDefault="005D5F54" w:rsidP="005D5F54">
            <w:pPr>
              <w:rPr>
                <w:i/>
                <w:szCs w:val="22"/>
              </w:rPr>
            </w:pPr>
            <w:r w:rsidRPr="00BD5DBD">
              <w:rPr>
                <w:i/>
                <w:szCs w:val="22"/>
              </w:rPr>
              <w:t>Sponsor’s name and address:</w:t>
            </w:r>
          </w:p>
        </w:tc>
        <w:tc>
          <w:tcPr>
            <w:tcW w:w="3423" w:type="pct"/>
          </w:tcPr>
          <w:p w14:paraId="68DD94B0" w14:textId="46C72FAE" w:rsidR="005D5F54" w:rsidRPr="00BD5DBD" w:rsidRDefault="002B671E" w:rsidP="002B671E">
            <w:pPr>
              <w:rPr>
                <w:szCs w:val="22"/>
              </w:rPr>
            </w:pPr>
            <w:r w:rsidRPr="002B671E">
              <w:rPr>
                <w:szCs w:val="22"/>
              </w:rPr>
              <w:t>Ipsen Pty Ltd</w:t>
            </w:r>
            <w:r>
              <w:rPr>
                <w:szCs w:val="22"/>
              </w:rPr>
              <w:t xml:space="preserve">, </w:t>
            </w:r>
            <w:r w:rsidRPr="002B671E">
              <w:rPr>
                <w:szCs w:val="22"/>
              </w:rPr>
              <w:t>Level 5, 627 Chapel Street South Yarra VIC 3134</w:t>
            </w:r>
          </w:p>
        </w:tc>
      </w:tr>
      <w:tr w:rsidR="005D5F54" w:rsidRPr="00BD5DBD" w14:paraId="5322B989" w14:textId="77777777" w:rsidTr="00F865A7">
        <w:tc>
          <w:tcPr>
            <w:tcW w:w="1577" w:type="pct"/>
          </w:tcPr>
          <w:p w14:paraId="24F217E3" w14:textId="1A451E5B" w:rsidR="005D5F54" w:rsidRPr="00BD5DBD" w:rsidRDefault="005D5F54" w:rsidP="005D5F54">
            <w:pPr>
              <w:rPr>
                <w:i/>
                <w:szCs w:val="22"/>
              </w:rPr>
            </w:pPr>
            <w:r w:rsidRPr="00BD5DBD">
              <w:rPr>
                <w:i/>
                <w:szCs w:val="22"/>
              </w:rPr>
              <w:t>Dose form:</w:t>
            </w:r>
          </w:p>
        </w:tc>
        <w:tc>
          <w:tcPr>
            <w:tcW w:w="3423" w:type="pct"/>
          </w:tcPr>
          <w:p w14:paraId="768B254C" w14:textId="1389FBC7" w:rsidR="005D5F54" w:rsidRPr="00BD5DBD" w:rsidRDefault="00DD1C81" w:rsidP="005D5F54">
            <w:pPr>
              <w:rPr>
                <w:szCs w:val="22"/>
              </w:rPr>
            </w:pPr>
            <w:r>
              <w:rPr>
                <w:szCs w:val="22"/>
              </w:rPr>
              <w:t>O</w:t>
            </w:r>
            <w:r w:rsidRPr="00DD1C81">
              <w:rPr>
                <w:szCs w:val="22"/>
              </w:rPr>
              <w:t>paque, hard capsules contain white to off-white pellets containing odevixibat</w:t>
            </w:r>
          </w:p>
        </w:tc>
      </w:tr>
      <w:tr w:rsidR="005D5F54" w:rsidRPr="00BD5DBD" w14:paraId="115243E6" w14:textId="77777777" w:rsidTr="00F865A7">
        <w:tc>
          <w:tcPr>
            <w:tcW w:w="1577" w:type="pct"/>
          </w:tcPr>
          <w:p w14:paraId="7634B062" w14:textId="32CC4C11" w:rsidR="005D5F54" w:rsidRPr="00BD5DBD" w:rsidRDefault="005D5F54" w:rsidP="005D5F54">
            <w:pPr>
              <w:rPr>
                <w:i/>
                <w:szCs w:val="22"/>
              </w:rPr>
            </w:pPr>
            <w:r w:rsidRPr="00BD5DBD">
              <w:rPr>
                <w:i/>
                <w:szCs w:val="22"/>
              </w:rPr>
              <w:t>Strength:</w:t>
            </w:r>
          </w:p>
        </w:tc>
        <w:tc>
          <w:tcPr>
            <w:tcW w:w="3423" w:type="pct"/>
          </w:tcPr>
          <w:p w14:paraId="5E5F83DB" w14:textId="6E384ACF" w:rsidR="005D5F54" w:rsidRPr="00BD5DBD" w:rsidRDefault="00904C78" w:rsidP="005D5F54">
            <w:pPr>
              <w:rPr>
                <w:szCs w:val="22"/>
              </w:rPr>
            </w:pPr>
            <w:r w:rsidRPr="00904C78">
              <w:rPr>
                <w:szCs w:val="22"/>
              </w:rPr>
              <w:t>odevixibat 200 micrograms, 400 micrograms, 600 micrograms, or 1200 micrograms.</w:t>
            </w:r>
          </w:p>
        </w:tc>
      </w:tr>
      <w:tr w:rsidR="005D5F54" w:rsidRPr="00BD5DBD" w14:paraId="34B07BA6" w14:textId="77777777" w:rsidTr="00F865A7">
        <w:tc>
          <w:tcPr>
            <w:tcW w:w="1577" w:type="pct"/>
          </w:tcPr>
          <w:p w14:paraId="1C039224" w14:textId="6BF25614" w:rsidR="005D5F54" w:rsidRPr="00BD5DBD" w:rsidRDefault="005D5F54" w:rsidP="005D5F54">
            <w:pPr>
              <w:rPr>
                <w:i/>
                <w:szCs w:val="22"/>
              </w:rPr>
            </w:pPr>
            <w:r w:rsidRPr="00BD5DBD">
              <w:rPr>
                <w:i/>
                <w:szCs w:val="22"/>
              </w:rPr>
              <w:t>Container:</w:t>
            </w:r>
          </w:p>
        </w:tc>
        <w:tc>
          <w:tcPr>
            <w:tcW w:w="3423" w:type="pct"/>
          </w:tcPr>
          <w:p w14:paraId="500A42C6" w14:textId="2685B86F" w:rsidR="005D5F54" w:rsidRPr="00BD5DBD" w:rsidRDefault="008B2375" w:rsidP="005D5F54">
            <w:pPr>
              <w:rPr>
                <w:szCs w:val="22"/>
              </w:rPr>
            </w:pPr>
            <w:r w:rsidRPr="008B2375">
              <w:rPr>
                <w:szCs w:val="22"/>
              </w:rPr>
              <w:t>HDPE bottle with a child-resistant polypropylene closure</w:t>
            </w:r>
          </w:p>
        </w:tc>
      </w:tr>
      <w:tr w:rsidR="005D5F54" w:rsidRPr="00BD5DBD" w14:paraId="176B6773" w14:textId="77777777" w:rsidTr="00F865A7">
        <w:tc>
          <w:tcPr>
            <w:tcW w:w="1577" w:type="pct"/>
          </w:tcPr>
          <w:p w14:paraId="71846159" w14:textId="3E1CC34F" w:rsidR="005D5F54" w:rsidRPr="00BD5DBD" w:rsidRDefault="005D5F54" w:rsidP="005D5F54">
            <w:pPr>
              <w:rPr>
                <w:i/>
                <w:szCs w:val="22"/>
              </w:rPr>
            </w:pPr>
            <w:r w:rsidRPr="00BD5DBD">
              <w:rPr>
                <w:i/>
                <w:szCs w:val="22"/>
              </w:rPr>
              <w:t>Pack size:</w:t>
            </w:r>
          </w:p>
        </w:tc>
        <w:tc>
          <w:tcPr>
            <w:tcW w:w="3423" w:type="pct"/>
          </w:tcPr>
          <w:p w14:paraId="7E978F8F" w14:textId="0CC669E6" w:rsidR="005D5F54" w:rsidRPr="00BD5DBD" w:rsidRDefault="00B41495" w:rsidP="005D5F54">
            <w:pPr>
              <w:rPr>
                <w:szCs w:val="22"/>
              </w:rPr>
            </w:pPr>
            <w:r w:rsidRPr="00B41495">
              <w:rPr>
                <w:szCs w:val="22"/>
              </w:rPr>
              <w:t>Each pack contains 30 hard capsules</w:t>
            </w:r>
          </w:p>
        </w:tc>
      </w:tr>
      <w:tr w:rsidR="005D5F54" w:rsidRPr="00BD5DBD" w14:paraId="19A2544A" w14:textId="77777777" w:rsidTr="00F865A7">
        <w:tc>
          <w:tcPr>
            <w:tcW w:w="1577" w:type="pct"/>
          </w:tcPr>
          <w:p w14:paraId="0E6C5C0E" w14:textId="7DB3FC66" w:rsidR="005D5F54" w:rsidRPr="00BD5DBD" w:rsidRDefault="005D5F54" w:rsidP="005D5F54">
            <w:pPr>
              <w:rPr>
                <w:i/>
                <w:szCs w:val="22"/>
              </w:rPr>
            </w:pPr>
            <w:r w:rsidRPr="00BD5DBD">
              <w:rPr>
                <w:i/>
                <w:szCs w:val="22"/>
              </w:rPr>
              <w:t>Approved therapeutic use for the current submission:</w:t>
            </w:r>
          </w:p>
        </w:tc>
        <w:tc>
          <w:tcPr>
            <w:tcW w:w="3423" w:type="pct"/>
          </w:tcPr>
          <w:p w14:paraId="6E143E2E" w14:textId="32375F6F" w:rsidR="005D5F54" w:rsidRPr="00BD5DBD" w:rsidRDefault="00893229" w:rsidP="005D5F54">
            <w:pPr>
              <w:rPr>
                <w:szCs w:val="22"/>
              </w:rPr>
            </w:pPr>
            <w:r>
              <w:rPr>
                <w:szCs w:val="22"/>
              </w:rPr>
              <w:t>BYLVAY</w:t>
            </w:r>
            <w:r w:rsidR="002A4A77" w:rsidRPr="002A4A77">
              <w:rPr>
                <w:szCs w:val="22"/>
              </w:rPr>
              <w:t xml:space="preserve"> is indicated for the treatment of progressive familial intrahepatic cholestasis (PFIC) in patients aged 6 months or older</w:t>
            </w:r>
          </w:p>
        </w:tc>
      </w:tr>
      <w:tr w:rsidR="005D5F54" w:rsidRPr="00BD5DBD" w14:paraId="5AFDEED3" w14:textId="77777777" w:rsidTr="00F865A7">
        <w:tc>
          <w:tcPr>
            <w:tcW w:w="1577" w:type="pct"/>
          </w:tcPr>
          <w:p w14:paraId="03884BD1" w14:textId="1DE8660F" w:rsidR="005D5F54" w:rsidRPr="00BD5DBD" w:rsidRDefault="005D5F54" w:rsidP="005D5F54">
            <w:pPr>
              <w:rPr>
                <w:i/>
                <w:szCs w:val="22"/>
              </w:rPr>
            </w:pPr>
            <w:r w:rsidRPr="00BD5DBD">
              <w:rPr>
                <w:i/>
                <w:szCs w:val="22"/>
              </w:rPr>
              <w:t>Route of administration:</w:t>
            </w:r>
          </w:p>
        </w:tc>
        <w:tc>
          <w:tcPr>
            <w:tcW w:w="3423" w:type="pct"/>
          </w:tcPr>
          <w:p w14:paraId="1ED1357E" w14:textId="6BDD3049" w:rsidR="005D5F54" w:rsidRPr="00BD5DBD" w:rsidRDefault="00E33F71" w:rsidP="005D5F54">
            <w:pPr>
              <w:rPr>
                <w:szCs w:val="22"/>
              </w:rPr>
            </w:pPr>
            <w:r>
              <w:rPr>
                <w:szCs w:val="22"/>
              </w:rPr>
              <w:t>Oral</w:t>
            </w:r>
          </w:p>
        </w:tc>
      </w:tr>
      <w:tr w:rsidR="005D5F54" w:rsidRPr="00BD5DBD" w14:paraId="70D7E9FA" w14:textId="77777777" w:rsidTr="00F865A7">
        <w:tc>
          <w:tcPr>
            <w:tcW w:w="1577" w:type="pct"/>
          </w:tcPr>
          <w:p w14:paraId="5ABFFC80" w14:textId="77777777" w:rsidR="005D5F54" w:rsidRPr="00BD5DBD" w:rsidRDefault="005D5F54" w:rsidP="005D5F54">
            <w:pPr>
              <w:rPr>
                <w:i/>
                <w:szCs w:val="22"/>
              </w:rPr>
            </w:pPr>
            <w:r w:rsidRPr="00BD5DBD">
              <w:rPr>
                <w:i/>
                <w:szCs w:val="22"/>
              </w:rPr>
              <w:t>Dosage:</w:t>
            </w:r>
          </w:p>
        </w:tc>
        <w:tc>
          <w:tcPr>
            <w:tcW w:w="3423" w:type="pct"/>
          </w:tcPr>
          <w:p w14:paraId="3AF93D4E" w14:textId="77777777" w:rsidR="00E33F71" w:rsidRDefault="00E33F71" w:rsidP="005D5F54">
            <w:pPr>
              <w:rPr>
                <w:szCs w:val="22"/>
              </w:rPr>
            </w:pPr>
            <w:r w:rsidRPr="00E33F71">
              <w:rPr>
                <w:szCs w:val="22"/>
              </w:rPr>
              <w:t>40 micrograms/kg</w:t>
            </w:r>
            <w:r>
              <w:rPr>
                <w:szCs w:val="22"/>
              </w:rPr>
              <w:t xml:space="preserve">. </w:t>
            </w:r>
          </w:p>
          <w:p w14:paraId="3D0B2D5C" w14:textId="49E6EC04" w:rsidR="005D5F54" w:rsidRPr="00BD5DBD" w:rsidRDefault="005D5F54" w:rsidP="005D5F54">
            <w:pPr>
              <w:rPr>
                <w:szCs w:val="22"/>
              </w:rPr>
            </w:pPr>
            <w:r w:rsidRPr="00BD5DBD">
              <w:rPr>
                <w:szCs w:val="22"/>
              </w:rPr>
              <w:t>For further information regarding dosage</w:t>
            </w:r>
            <w:r>
              <w:rPr>
                <w:szCs w:val="22"/>
              </w:rPr>
              <w:t xml:space="preserve">, </w:t>
            </w:r>
            <w:r w:rsidRPr="00BD5DBD">
              <w:rPr>
                <w:szCs w:val="22"/>
              </w:rPr>
              <w:t xml:space="preserve">refer to the </w:t>
            </w:r>
            <w:hyperlink r:id="rId23" w:history="1">
              <w:r w:rsidRPr="00543610">
                <w:rPr>
                  <w:rStyle w:val="Hyperlink"/>
                  <w:szCs w:val="22"/>
                </w:rPr>
                <w:t>Product Information</w:t>
              </w:r>
            </w:hyperlink>
            <w:r w:rsidRPr="00BD5DBD">
              <w:rPr>
                <w:szCs w:val="22"/>
              </w:rPr>
              <w:t>.</w:t>
            </w:r>
          </w:p>
        </w:tc>
      </w:tr>
      <w:tr w:rsidR="005D5F54" w:rsidRPr="00BD5DBD" w14:paraId="7B7BB6AE" w14:textId="77777777" w:rsidTr="00F865A7">
        <w:tc>
          <w:tcPr>
            <w:tcW w:w="1577" w:type="pct"/>
          </w:tcPr>
          <w:p w14:paraId="3A76AFF7" w14:textId="78D8CB1D" w:rsidR="00F516A0" w:rsidRPr="00A80E85" w:rsidRDefault="005D5F54" w:rsidP="00A80E85">
            <w:pPr>
              <w:rPr>
                <w:i/>
                <w:szCs w:val="22"/>
              </w:rPr>
            </w:pPr>
            <w:r w:rsidRPr="00BD5DBD">
              <w:rPr>
                <w:i/>
                <w:szCs w:val="22"/>
              </w:rPr>
              <w:t>Pregnancy category:</w:t>
            </w:r>
          </w:p>
        </w:tc>
        <w:tc>
          <w:tcPr>
            <w:tcW w:w="3423" w:type="pct"/>
          </w:tcPr>
          <w:p w14:paraId="68E78691" w14:textId="77777777" w:rsidR="005D5F54" w:rsidRDefault="005D5F54" w:rsidP="005D5F54">
            <w:r w:rsidRPr="00995FD3">
              <w:t>Category D</w:t>
            </w:r>
          </w:p>
          <w:p w14:paraId="65FD374D" w14:textId="77777777" w:rsidR="00A80E85" w:rsidRPr="00995FD3" w:rsidRDefault="00A80E85" w:rsidP="00A80E85">
            <w:r w:rsidRPr="00995FD3">
              <w:t xml:space="preserve">Drugs which have caused, are suspected to have caused or may be expected to cause, an increased incidence of human fetal malformations or irreversible damage. These drugs may also have adverse pharmacological effects. </w:t>
            </w:r>
          </w:p>
          <w:p w14:paraId="76497789" w14:textId="3E3F82ED" w:rsidR="00A80E85" w:rsidRPr="00A80E85" w:rsidRDefault="00A80E85" w:rsidP="00A80E85">
            <w:r w:rsidRPr="00BD5DBD">
              <w:rPr>
                <w:szCs w:val="22"/>
              </w:rPr>
              <w:t xml:space="preserve">The use of any medicine during pregnancy requires careful consideration of both risks and benefits by the treating health professional. </w:t>
            </w:r>
            <w:r>
              <w:rPr>
                <w:szCs w:val="22"/>
              </w:rPr>
              <w:t xml:space="preserve">The </w:t>
            </w:r>
            <w:hyperlink r:id="rId24" w:history="1">
              <w:r w:rsidRPr="00065FDF">
                <w:rPr>
                  <w:rStyle w:val="Hyperlink"/>
                  <w:szCs w:val="22"/>
                </w:rPr>
                <w:t>pregnancy database</w:t>
              </w:r>
            </w:hyperlink>
            <w:r>
              <w:t xml:space="preserve"> </w:t>
            </w:r>
            <w:r w:rsidRPr="00BD5DBD">
              <w:rPr>
                <w:szCs w:val="22"/>
              </w:rPr>
              <w:t xml:space="preserve">must not be used as the sole basis of decision making in the use of medicines during pregnancy. The TGA does not provide advice on the use of medicines in pregnancy for specific cases. More information is available from </w:t>
            </w:r>
            <w:hyperlink r:id="rId25" w:history="1">
              <w:r w:rsidRPr="00C059D0">
                <w:rPr>
                  <w:rStyle w:val="Hyperlink"/>
                  <w:szCs w:val="22"/>
                </w:rPr>
                <w:t>obstetric drug information services</w:t>
              </w:r>
            </w:hyperlink>
            <w:r w:rsidRPr="00BD5DBD">
              <w:rPr>
                <w:szCs w:val="22"/>
              </w:rPr>
              <w:t xml:space="preserve"> in your </w:t>
            </w:r>
            <w:r>
              <w:rPr>
                <w:szCs w:val="22"/>
              </w:rPr>
              <w:t>s</w:t>
            </w:r>
            <w:r w:rsidRPr="00BD5DBD">
              <w:rPr>
                <w:szCs w:val="22"/>
              </w:rPr>
              <w:t xml:space="preserve">tate or </w:t>
            </w:r>
            <w:r>
              <w:rPr>
                <w:szCs w:val="22"/>
              </w:rPr>
              <w:t>t</w:t>
            </w:r>
            <w:r w:rsidRPr="00BD5DBD">
              <w:rPr>
                <w:szCs w:val="22"/>
              </w:rPr>
              <w:t>erritory.</w:t>
            </w:r>
          </w:p>
        </w:tc>
      </w:tr>
    </w:tbl>
    <w:p w14:paraId="51F2479F" w14:textId="4B44F17A" w:rsidR="00324B33" w:rsidRDefault="00574BAB" w:rsidP="00F0231B">
      <w:pPr>
        <w:pStyle w:val="Heading3"/>
      </w:pPr>
      <w:bookmarkStart w:id="5" w:name="_Toc204158903"/>
      <w:r>
        <w:lastRenderedPageBreak/>
        <w:t>P</w:t>
      </w:r>
      <w:r w:rsidR="006D0E86" w:rsidRPr="006D0E86">
        <w:t>roposed indication</w:t>
      </w:r>
      <w:bookmarkEnd w:id="5"/>
    </w:p>
    <w:p w14:paraId="59BF31D1" w14:textId="035530E0" w:rsidR="001500A8" w:rsidRDefault="00324B33" w:rsidP="00065839">
      <w:r w:rsidRPr="00065839">
        <w:t>This AusPAR describes the submission by</w:t>
      </w:r>
      <w:r w:rsidR="003A4814">
        <w:t xml:space="preserve"> </w:t>
      </w:r>
      <w:r w:rsidR="003A4814" w:rsidRPr="003A4814">
        <w:t>Ipsen Pty Ltd</w:t>
      </w:r>
      <w:r w:rsidRPr="00065839">
        <w:t xml:space="preserve"> (the </w:t>
      </w:r>
      <w:r w:rsidR="00417D9A">
        <w:t>S</w:t>
      </w:r>
      <w:r w:rsidRPr="00065839">
        <w:t>ponsor)</w:t>
      </w:r>
      <w:r w:rsidR="007E50E2">
        <w:rPr>
          <w:rStyle w:val="FootnoteReference"/>
        </w:rPr>
        <w:footnoteReference w:id="2"/>
      </w:r>
      <w:r w:rsidRPr="00065839">
        <w:t xml:space="preserve"> to register </w:t>
      </w:r>
      <w:r w:rsidR="00893229">
        <w:t>BYLVAY</w:t>
      </w:r>
      <w:r w:rsidR="003A4814" w:rsidRPr="003A4814">
        <w:t xml:space="preserve"> </w:t>
      </w:r>
      <w:r w:rsidRPr="00065839">
        <w:t>(</w:t>
      </w:r>
      <w:r w:rsidR="003A4814" w:rsidRPr="003A4814">
        <w:t>odevixibat</w:t>
      </w:r>
      <w:r w:rsidRPr="00065839">
        <w:t>) for the following proposed indication:</w:t>
      </w:r>
    </w:p>
    <w:p w14:paraId="611C23C6" w14:textId="2BBFFCDD" w:rsidR="003A4814" w:rsidRPr="00065839" w:rsidRDefault="00893229" w:rsidP="003A4814">
      <w:pPr>
        <w:pStyle w:val="Indication"/>
      </w:pPr>
      <w:r>
        <w:t>BYLVAY</w:t>
      </w:r>
      <w:r w:rsidR="003A4814" w:rsidRPr="003A4814">
        <w:t xml:space="preserve"> is indicated for the treatment of progressive familial intrahepatic cholestasis (PFIC) in patients aged 6 months or older.</w:t>
      </w:r>
    </w:p>
    <w:p w14:paraId="1E63A2AE" w14:textId="69BF2B4D" w:rsidR="00CB6813" w:rsidRDefault="004877B9" w:rsidP="00F0231B">
      <w:pPr>
        <w:pStyle w:val="Heading3"/>
      </w:pPr>
      <w:bookmarkStart w:id="6" w:name="_Toc204158904"/>
      <w:bookmarkStart w:id="7" w:name="_Toc314842485"/>
      <w:bookmarkStart w:id="8" w:name="_Toc247691504"/>
      <w:r w:rsidRPr="004877B9">
        <w:t>Progressive familial intrahepatic cholestasis</w:t>
      </w:r>
      <w:bookmarkEnd w:id="6"/>
    </w:p>
    <w:p w14:paraId="373AE3C6" w14:textId="20B120FF" w:rsidR="004877B9" w:rsidRDefault="004877B9" w:rsidP="004877B9">
      <w:r>
        <w:t xml:space="preserve">Progressive familial intrahepatic cholestasis (PFIC) is a life-threatening group of inherited disorders associated with significant morbidity. The age of presentation varies by PFIC subtype (1-6), but typically the disease occurs in infancy and early childhood with failure to thrive and progressive liver disease. PFIC1 and PFIC2 together represent approximately two-thirds of cases of PFIC, and PFIC3, approximately one-third. Symptoms develop early with a median age at onset of approximately 3 months; 78% of patients develop jaundice before 12 months of age and in association with abnormal liver transaminase concentrations patients develop severe </w:t>
      </w:r>
      <w:r w:rsidR="00C70F23">
        <w:t>pruritus</w:t>
      </w:r>
      <w:r>
        <w:t xml:space="preserve"> and may also develop fat-soluble vitamin deficiencies.</w:t>
      </w:r>
    </w:p>
    <w:p w14:paraId="6940E829" w14:textId="77777777" w:rsidR="004877B9" w:rsidRDefault="004877B9" w:rsidP="004877B9">
      <w:r>
        <w:t xml:space="preserve">The underlying pathology in PFIC is gene mutation. In PFIC1, also known as Byler disease, the mutation is in the P-type ATPase gene (ATP8B1, FIC1). In PFIC2, the defect is in ABCB11, the gene coding for sister P-glycoprotein (SPGP), also known as bile salt export pump (BSEP); PFIC3 involves mutations in the ABCB4 gene coding for multidrug resistance protein-3 P-glycoprotein (MDR3 or PGY3). Considerably </w:t>
      </w:r>
      <w:proofErr w:type="gramStart"/>
      <w:r>
        <w:t>less</w:t>
      </w:r>
      <w:proofErr w:type="gramEnd"/>
      <w:r>
        <w:t xml:space="preserve"> common defects include protein-truncating mutations in the TJP2 gene that expresses tight junction protein 2 (PFIC4).</w:t>
      </w:r>
    </w:p>
    <w:p w14:paraId="7A1766CD" w14:textId="77777777" w:rsidR="004877B9" w:rsidRDefault="004877B9" w:rsidP="00F0231B">
      <w:pPr>
        <w:pStyle w:val="Heading3"/>
      </w:pPr>
      <w:bookmarkStart w:id="9" w:name="_Toc204158905"/>
      <w:r>
        <w:t>Current treatment options</w:t>
      </w:r>
      <w:bookmarkEnd w:id="9"/>
    </w:p>
    <w:p w14:paraId="6ECFB49D" w14:textId="0E035CDB" w:rsidR="004877B9" w:rsidRDefault="004877B9" w:rsidP="004877B9">
      <w:r>
        <w:t xml:space="preserve">There is an unmet need for treatment for patients with PFIC. Pharmaceutical options are limited to symptomatic medical therapies for itch, for example colestyramine and ursodeoxycholic acid. Colestyramine has an approved indication in Australia for “Relief of </w:t>
      </w:r>
      <w:r w:rsidR="00C70F23">
        <w:t>pruritus</w:t>
      </w:r>
      <w:r>
        <w:t xml:space="preserve"> associated with partial biliary obstruction” and has limited clinical trial data in children. Ursodeoxycholic acid (UDCA) has an indication in “the treatment of chronic cholestatic liver diseases”, predominantly focused on primary biliary cirrhosis and primary sclerosing cholangitis, also with limited clinical trial data in children. Off-label treatment of persistent </w:t>
      </w:r>
      <w:r w:rsidR="00C70F23">
        <w:t>pruritus</w:t>
      </w:r>
      <w:r>
        <w:t xml:space="preserve"> with rifampicin may also be trialled. Surgical options for unremitting itch include surgical biliary diversion, and ultimately patients may require liver transplantation.</w:t>
      </w:r>
    </w:p>
    <w:p w14:paraId="670B4FD2" w14:textId="091F74C0" w:rsidR="00FE7C68" w:rsidRDefault="00FE7C68" w:rsidP="00F0231B">
      <w:pPr>
        <w:pStyle w:val="Heading3"/>
      </w:pPr>
      <w:bookmarkStart w:id="10" w:name="_Toc204158906"/>
      <w:r w:rsidRPr="00FE7C68">
        <w:t>Clinical rationale</w:t>
      </w:r>
      <w:bookmarkEnd w:id="10"/>
    </w:p>
    <w:p w14:paraId="493295F7" w14:textId="3E86CC6F" w:rsidR="004877B9" w:rsidRPr="004877B9" w:rsidRDefault="004877B9" w:rsidP="004877B9">
      <w:r>
        <w:t xml:space="preserve">Odevixibat is a small molecule that acts as a potent, selective inhibitor of the ileal bile acid transporter (IBAT, also known as the apical sodium/bile acid transporter </w:t>
      </w:r>
      <w:r w:rsidR="00C70F23">
        <w:t>[</w:t>
      </w:r>
      <w:r>
        <w:t>ASBT</w:t>
      </w:r>
      <w:r w:rsidR="00C70F23">
        <w:t>]</w:t>
      </w:r>
      <w:r>
        <w:t xml:space="preserve">). IBAT is a luminal epithelium glycoprotein expressed mainly in the distal ileum that co-transports sodium and bile acids, moving bile acids from the lumen of the small intestine across the apical brush border membrane. The bile acids are shuttled to the basolateral membrane, ultimately returning to the liver via portal venous blood (enterohepatic circulation). Minimal passive reabsorption of bile acids occurs throughout the intestine, active transport via IBAT is the major mechanism for bile acid reabsorption. Effectively blocking the action of IBAT decreases the reuptake of bile </w:t>
      </w:r>
      <w:r>
        <w:lastRenderedPageBreak/>
        <w:t xml:space="preserve">acids and therefore bile acid concentrations in the circulation. Elevated serum bile acid </w:t>
      </w:r>
      <w:r w:rsidR="00E76C27">
        <w:t xml:space="preserve">(SBA) </w:t>
      </w:r>
      <w:r>
        <w:t xml:space="preserve">concentrations are thought to contribute to the severe </w:t>
      </w:r>
      <w:r w:rsidR="00C70F23">
        <w:t>pruritus</w:t>
      </w:r>
      <w:r>
        <w:t xml:space="preserve"> associated with cholestatic disease.</w:t>
      </w:r>
    </w:p>
    <w:p w14:paraId="0D615854" w14:textId="77777777" w:rsidR="00324B33" w:rsidRPr="003F31A2" w:rsidRDefault="00324B33" w:rsidP="00F0231B">
      <w:pPr>
        <w:pStyle w:val="Heading3"/>
      </w:pPr>
      <w:bookmarkStart w:id="11" w:name="_Toc103679291"/>
      <w:bookmarkStart w:id="12" w:name="_Toc204158907"/>
      <w:r>
        <w:t>Regulatory status</w:t>
      </w:r>
      <w:bookmarkEnd w:id="7"/>
      <w:bookmarkEnd w:id="8"/>
      <w:bookmarkEnd w:id="11"/>
      <w:bookmarkEnd w:id="12"/>
    </w:p>
    <w:p w14:paraId="72C889D6" w14:textId="7E200950" w:rsidR="0017005C" w:rsidRPr="00BD5DBD" w:rsidRDefault="0017005C" w:rsidP="00326F66">
      <w:pPr>
        <w:pStyle w:val="Heading5"/>
      </w:pPr>
      <w:r w:rsidRPr="00BD5DBD">
        <w:t>Australian regulatory</w:t>
      </w:r>
      <w:r>
        <w:t xml:space="preserve"> sta</w:t>
      </w:r>
      <w:r w:rsidR="0025785B">
        <w:t>t</w:t>
      </w:r>
      <w:r>
        <w:t>us</w:t>
      </w:r>
    </w:p>
    <w:p w14:paraId="6A8633FA" w14:textId="64194270" w:rsidR="00324B33" w:rsidRDefault="00324B33" w:rsidP="00324B33">
      <w:pPr>
        <w:rPr>
          <w:szCs w:val="22"/>
        </w:rPr>
      </w:pPr>
      <w:r w:rsidRPr="00BD5DBD">
        <w:rPr>
          <w:szCs w:val="22"/>
        </w:rPr>
        <w:t>This product is a new chemical</w:t>
      </w:r>
      <w:r w:rsidR="008C754C" w:rsidRPr="00BD5DBD">
        <w:rPr>
          <w:szCs w:val="22"/>
        </w:rPr>
        <w:t xml:space="preserve"> entity</w:t>
      </w:r>
      <w:r w:rsidR="00A75D75">
        <w:rPr>
          <w:szCs w:val="22"/>
        </w:rPr>
        <w:t xml:space="preserve"> for </w:t>
      </w:r>
      <w:r w:rsidRPr="00BD5DBD">
        <w:rPr>
          <w:szCs w:val="22"/>
        </w:rPr>
        <w:t>Australian regulatory purposes.</w:t>
      </w:r>
      <w:r w:rsidR="00A75D75">
        <w:rPr>
          <w:szCs w:val="22"/>
        </w:rPr>
        <w:t xml:space="preserve"> </w:t>
      </w:r>
      <w:r w:rsidR="00A75D75" w:rsidRPr="00A75D75">
        <w:rPr>
          <w:szCs w:val="22"/>
        </w:rPr>
        <w:t>Odevixibat has been supplied in Australia under a compassionate use program. At the time of submission of request for orphan designation (July 2023) eight patients were receiving odevixibat via the Special Access Scheme (SAS). The TGA granted orphan drug designation to odevixibat (</w:t>
      </w:r>
      <w:r w:rsidR="00893229">
        <w:rPr>
          <w:szCs w:val="22"/>
        </w:rPr>
        <w:t>BYLVAY</w:t>
      </w:r>
      <w:r w:rsidR="00A75D75" w:rsidRPr="00A75D75">
        <w:rPr>
          <w:szCs w:val="22"/>
        </w:rPr>
        <w:t>) for the treatment of PFIC on 3 August 2023.</w:t>
      </w:r>
      <w:r w:rsidR="0028507D">
        <w:rPr>
          <w:szCs w:val="22"/>
        </w:rPr>
        <w:t xml:space="preserve"> </w:t>
      </w:r>
      <w:r w:rsidR="0028507D" w:rsidRPr="0028507D">
        <w:rPr>
          <w:szCs w:val="22"/>
        </w:rPr>
        <w:t>This submission was submitted through the TGA’s Comparable Overseas Regulator A (COR-A) process, using evaluation reports from the European Medicines Agency (EMA). The full dossier was submitted to the TGA.</w:t>
      </w:r>
    </w:p>
    <w:p w14:paraId="546C1031" w14:textId="4EF98FA1" w:rsidR="0017005C" w:rsidRDefault="00131B1B" w:rsidP="00326F66">
      <w:pPr>
        <w:pStyle w:val="Heading5"/>
      </w:pPr>
      <w:r>
        <w:t xml:space="preserve">International </w:t>
      </w:r>
      <w:r w:rsidR="0017005C" w:rsidRPr="00BD5DBD">
        <w:t>regulatory</w:t>
      </w:r>
      <w:r w:rsidR="0017005C">
        <w:t xml:space="preserve"> status</w:t>
      </w:r>
    </w:p>
    <w:p w14:paraId="32EA7A59" w14:textId="5B2B82EA" w:rsidR="001E4504" w:rsidRDefault="00893229" w:rsidP="001E4504">
      <w:r>
        <w:t>BYLVAY</w:t>
      </w:r>
      <w:r w:rsidR="001E4504">
        <w:t xml:space="preserve"> (sponsored by Albireo AB) was granted orphan designation by the </w:t>
      </w:r>
      <w:r w:rsidR="00911ACD">
        <w:t>US Food and Drugs Administration (</w:t>
      </w:r>
      <w:r w:rsidR="001E4504">
        <w:t>FDA</w:t>
      </w:r>
      <w:r w:rsidR="00911ACD">
        <w:t>)</w:t>
      </w:r>
      <w:r w:rsidR="001E4504">
        <w:t xml:space="preserve"> on 31 October 2012 for “Treatment of progressive familial intrahepatic cholestasis” and was registered by the FDA on 20 Jul 2021.</w:t>
      </w:r>
    </w:p>
    <w:p w14:paraId="68646AA4" w14:textId="4C2F1696" w:rsidR="001E4504" w:rsidRDefault="00893229" w:rsidP="001E4504">
      <w:r>
        <w:t>BYLVAY</w:t>
      </w:r>
      <w:r w:rsidR="001E4504">
        <w:t xml:space="preserve"> was granted orphan designation by </w:t>
      </w:r>
      <w:r w:rsidR="00911ACD">
        <w:t xml:space="preserve">the </w:t>
      </w:r>
      <w:r w:rsidR="001E4504">
        <w:t>EMA on 17 Jul 2012 for “Treatment of progressive familial intrahepatic cholestasis” and received marketing authorization on 16 July 2021.</w:t>
      </w:r>
    </w:p>
    <w:p w14:paraId="6F5C0C43" w14:textId="77777777" w:rsidR="001E4504" w:rsidRDefault="001E4504" w:rsidP="001E4504">
      <w:r>
        <w:t>Marketing authorization was granted under exceptional circumstances following accelerated assessment, as the product was considered of major public health interest.</w:t>
      </w:r>
    </w:p>
    <w:p w14:paraId="394F5BC1" w14:textId="362CBB11" w:rsidR="001E4504" w:rsidRDefault="00893229" w:rsidP="001E4504">
      <w:r>
        <w:t>BYLVAY</w:t>
      </w:r>
      <w:r w:rsidR="001E4504">
        <w:t xml:space="preserve"> was granted orphan designation by the Japan Ministry of Health, Labour and Welfare on 23 May 2023.</w:t>
      </w:r>
    </w:p>
    <w:p w14:paraId="37EC7480" w14:textId="4A11AD7E" w:rsidR="001E4504" w:rsidRPr="001E4504" w:rsidRDefault="00893229" w:rsidP="001E4504">
      <w:r>
        <w:t>BYLVAY</w:t>
      </w:r>
      <w:r w:rsidR="001E4504">
        <w:t xml:space="preserve"> is also authorised for marketing in Great Britain, Canada and Israel.</w:t>
      </w:r>
    </w:p>
    <w:p w14:paraId="6D92589C" w14:textId="1481A11E" w:rsidR="00324B33" w:rsidRDefault="00324B33" w:rsidP="00F0231B">
      <w:pPr>
        <w:pStyle w:val="Heading3"/>
      </w:pPr>
      <w:bookmarkStart w:id="13" w:name="_Toc504480011"/>
      <w:bookmarkStart w:id="14" w:name="_Toc103679293"/>
      <w:bookmarkStart w:id="15" w:name="_Toc204158908"/>
      <w:r>
        <w:t>Registration timeline</w:t>
      </w:r>
      <w:bookmarkEnd w:id="13"/>
      <w:bookmarkEnd w:id="14"/>
      <w:bookmarkEnd w:id="15"/>
    </w:p>
    <w:p w14:paraId="225E3D87" w14:textId="3ABA84C5" w:rsidR="00324B33" w:rsidRPr="00BD5DBD" w:rsidRDefault="00BB25A3" w:rsidP="00324B33">
      <w:pPr>
        <w:rPr>
          <w:szCs w:val="22"/>
        </w:rPr>
      </w:pPr>
      <w:r>
        <w:rPr>
          <w:szCs w:val="22"/>
        </w:rPr>
        <w:t>T</w:t>
      </w:r>
      <w:r w:rsidR="00324B33" w:rsidRPr="00BD5DBD">
        <w:rPr>
          <w:szCs w:val="22"/>
        </w:rPr>
        <w:t>able</w:t>
      </w:r>
      <w:r>
        <w:rPr>
          <w:szCs w:val="22"/>
        </w:rPr>
        <w:t xml:space="preserve"> </w:t>
      </w:r>
      <w:r w:rsidR="00A230AB">
        <w:rPr>
          <w:szCs w:val="22"/>
        </w:rPr>
        <w:t>1</w:t>
      </w:r>
      <w:r w:rsidR="00324B33" w:rsidRPr="00BD5DBD">
        <w:rPr>
          <w:szCs w:val="22"/>
        </w:rPr>
        <w:t xml:space="preserve"> captures the key steps and dates for this submission.</w:t>
      </w:r>
    </w:p>
    <w:p w14:paraId="6BB76942" w14:textId="49C62989" w:rsidR="00477C4E" w:rsidRPr="00BD5DBD" w:rsidRDefault="00477C4E" w:rsidP="00324B33">
      <w:pPr>
        <w:rPr>
          <w:szCs w:val="22"/>
        </w:rPr>
      </w:pPr>
      <w:r w:rsidRPr="00BD5DBD">
        <w:rPr>
          <w:szCs w:val="22"/>
        </w:rPr>
        <w:t xml:space="preserve">This submission was evaluated under the </w:t>
      </w:r>
      <w:hyperlink r:id="rId26" w:history="1">
        <w:r w:rsidRPr="00BD5DBD">
          <w:rPr>
            <w:rStyle w:val="Hyperlink"/>
            <w:szCs w:val="22"/>
          </w:rPr>
          <w:t>standard prescription medicines registration process</w:t>
        </w:r>
      </w:hyperlink>
      <w:r w:rsidRPr="00BD5DBD">
        <w:rPr>
          <w:szCs w:val="22"/>
        </w:rPr>
        <w:t>.</w:t>
      </w:r>
    </w:p>
    <w:p w14:paraId="44628C5F" w14:textId="2D1D4DB1" w:rsidR="00324B33" w:rsidRDefault="00324B33" w:rsidP="002C1232">
      <w:pPr>
        <w:pStyle w:val="TableTitle"/>
      </w:pPr>
      <w:r w:rsidRPr="002C1232">
        <w:t xml:space="preserve">Table </w:t>
      </w:r>
      <w:r w:rsidR="00A230AB">
        <w:t>1</w:t>
      </w:r>
      <w:r w:rsidR="00CE11BC">
        <w:t>.</w:t>
      </w:r>
      <w:r w:rsidRPr="002C1232">
        <w:t xml:space="preserve"> </w:t>
      </w:r>
      <w:r w:rsidR="001A716C" w:rsidRPr="001A716C">
        <w:t>Registration timeline for</w:t>
      </w:r>
      <w:r w:rsidR="00911ACD">
        <w:t xml:space="preserve"> </w:t>
      </w:r>
      <w:r w:rsidR="00893229">
        <w:t>BYLVAY</w:t>
      </w:r>
      <w:r w:rsidR="00911ACD" w:rsidRPr="00911ACD">
        <w:t xml:space="preserve"> </w:t>
      </w:r>
      <w:r w:rsidR="001A716C" w:rsidRPr="001A716C">
        <w:t>(</w:t>
      </w:r>
      <w:r w:rsidR="00911ACD" w:rsidRPr="00911ACD">
        <w:t>odevixibat</w:t>
      </w:r>
      <w:r w:rsidR="001A716C" w:rsidRPr="001A716C">
        <w:t xml:space="preserve">), submission </w:t>
      </w:r>
      <w:r w:rsidR="00911ACD" w:rsidRPr="00911ACD">
        <w:t>PM-2023-03749-1-1</w:t>
      </w:r>
    </w:p>
    <w:tbl>
      <w:tblPr>
        <w:tblStyle w:val="TableTGAblue2023"/>
        <w:tblW w:w="8642" w:type="dxa"/>
        <w:tblLook w:val="04A0" w:firstRow="1" w:lastRow="0" w:firstColumn="1" w:lastColumn="0" w:noHBand="0" w:noVBand="1"/>
      </w:tblPr>
      <w:tblGrid>
        <w:gridCol w:w="6516"/>
        <w:gridCol w:w="2126"/>
      </w:tblGrid>
      <w:tr w:rsidR="00324B33" w:rsidRPr="00D01DDB" w14:paraId="6C59BE9C" w14:textId="77777777" w:rsidTr="00A80E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14:paraId="16D80E78" w14:textId="3EC0CCAF" w:rsidR="00324B33" w:rsidRPr="00D01DDB" w:rsidRDefault="00324B33" w:rsidP="00324B33">
            <w:pPr>
              <w:rPr>
                <w:szCs w:val="22"/>
              </w:rPr>
            </w:pPr>
            <w:r w:rsidRPr="00D01DDB">
              <w:rPr>
                <w:szCs w:val="22"/>
              </w:rPr>
              <w:t>Description</w:t>
            </w:r>
          </w:p>
        </w:tc>
        <w:tc>
          <w:tcPr>
            <w:tcW w:w="2126"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324B33" w:rsidRPr="00D01DDB" w14:paraId="1398460B" w14:textId="77777777" w:rsidTr="00A80E85">
        <w:tc>
          <w:tcPr>
            <w:cnfStyle w:val="001000000000" w:firstRow="0" w:lastRow="0" w:firstColumn="1" w:lastColumn="0" w:oddVBand="0" w:evenVBand="0" w:oddHBand="0" w:evenHBand="0" w:firstRowFirstColumn="0" w:firstRowLastColumn="0" w:lastRowFirstColumn="0" w:lastRowLastColumn="0"/>
            <w:tcW w:w="6516" w:type="dxa"/>
          </w:tcPr>
          <w:p w14:paraId="1106CC1E" w14:textId="56269E33" w:rsidR="00324B33" w:rsidRPr="00E679D1" w:rsidRDefault="00324B33" w:rsidP="00133F91">
            <w:pPr>
              <w:ind w:left="71"/>
            </w:pPr>
            <w:r w:rsidRPr="00E679D1">
              <w:t>Designation (Orphan)</w:t>
            </w:r>
          </w:p>
        </w:tc>
        <w:tc>
          <w:tcPr>
            <w:tcW w:w="2126" w:type="dxa"/>
          </w:tcPr>
          <w:p w14:paraId="4CD143CF" w14:textId="1D39F32A" w:rsidR="00324B33" w:rsidRPr="00D01DDB" w:rsidRDefault="007E4205"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 August 2023</w:t>
            </w:r>
          </w:p>
        </w:tc>
      </w:tr>
      <w:tr w:rsidR="00324B33" w:rsidRPr="00D01DDB" w14:paraId="23610C53" w14:textId="77777777" w:rsidTr="00A80E85">
        <w:tc>
          <w:tcPr>
            <w:cnfStyle w:val="001000000000" w:firstRow="0" w:lastRow="0" w:firstColumn="1" w:lastColumn="0" w:oddVBand="0" w:evenVBand="0" w:oddHBand="0" w:evenHBand="0" w:firstRowFirstColumn="0" w:firstRowLastColumn="0" w:lastRowFirstColumn="0" w:lastRowLastColumn="0"/>
            <w:tcW w:w="6516" w:type="dxa"/>
          </w:tcPr>
          <w:p w14:paraId="759D2A12" w14:textId="4F4E722F" w:rsidR="00324B33" w:rsidRPr="00E679D1" w:rsidRDefault="00324B33" w:rsidP="00133F91">
            <w:pPr>
              <w:ind w:left="71"/>
            </w:pPr>
            <w:r w:rsidRPr="00E679D1">
              <w:t>Submission dossier accepted and evaluation commenced</w:t>
            </w:r>
          </w:p>
        </w:tc>
        <w:tc>
          <w:tcPr>
            <w:tcW w:w="2126" w:type="dxa"/>
          </w:tcPr>
          <w:p w14:paraId="2963D9D8" w14:textId="3D28CA98" w:rsidR="00324B33" w:rsidRPr="00D01DDB" w:rsidRDefault="007E4205" w:rsidP="00324B33">
            <w:pPr>
              <w:cnfStyle w:val="000000000000" w:firstRow="0" w:lastRow="0" w:firstColumn="0" w:lastColumn="0" w:oddVBand="0" w:evenVBand="0" w:oddHBand="0" w:evenHBand="0" w:firstRowFirstColumn="0" w:firstRowLastColumn="0" w:lastRowFirstColumn="0" w:lastRowLastColumn="0"/>
              <w:rPr>
                <w:szCs w:val="22"/>
              </w:rPr>
            </w:pPr>
            <w:r w:rsidRPr="007E4205">
              <w:rPr>
                <w:szCs w:val="22"/>
              </w:rPr>
              <w:t>3 October 2023</w:t>
            </w:r>
          </w:p>
        </w:tc>
      </w:tr>
      <w:tr w:rsidR="00803926" w:rsidRPr="00D01DDB" w14:paraId="16D13F79" w14:textId="77777777" w:rsidTr="00A80E85">
        <w:tc>
          <w:tcPr>
            <w:cnfStyle w:val="001000000000" w:firstRow="0" w:lastRow="0" w:firstColumn="1" w:lastColumn="0" w:oddVBand="0" w:evenVBand="0" w:oddHBand="0" w:evenHBand="0" w:firstRowFirstColumn="0" w:firstRowLastColumn="0" w:lastRowFirstColumn="0" w:lastRowLastColumn="0"/>
            <w:tcW w:w="6516" w:type="dxa"/>
          </w:tcPr>
          <w:p w14:paraId="6858B45A" w14:textId="4A6E19A0" w:rsidR="00803926" w:rsidRPr="00E679D1" w:rsidDel="00C62B1C" w:rsidRDefault="00803926" w:rsidP="00133F91">
            <w:pPr>
              <w:ind w:left="71"/>
            </w:pPr>
            <w:r>
              <w:t>Evaluation completed</w:t>
            </w:r>
          </w:p>
        </w:tc>
        <w:tc>
          <w:tcPr>
            <w:tcW w:w="2126" w:type="dxa"/>
          </w:tcPr>
          <w:p w14:paraId="2E0BD403" w14:textId="72F3B2C4" w:rsidR="00803926" w:rsidRPr="00D01DDB" w:rsidRDefault="004F3247"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16 April 2024</w:t>
            </w:r>
          </w:p>
        </w:tc>
      </w:tr>
      <w:tr w:rsidR="00324B33" w:rsidRPr="00D01DDB" w14:paraId="6E5D32FE" w14:textId="77777777" w:rsidTr="00A80E85">
        <w:tc>
          <w:tcPr>
            <w:cnfStyle w:val="001000000000" w:firstRow="0" w:lastRow="0" w:firstColumn="1" w:lastColumn="0" w:oddVBand="0" w:evenVBand="0" w:oddHBand="0" w:evenHBand="0" w:firstRowFirstColumn="0" w:firstRowLastColumn="0" w:lastRowFirstColumn="0" w:lastRowLastColumn="0"/>
            <w:tcW w:w="6516" w:type="dxa"/>
          </w:tcPr>
          <w:p w14:paraId="4E95C44C" w14:textId="546EA3B1" w:rsidR="00324B33" w:rsidRPr="00E679D1" w:rsidRDefault="00324B33" w:rsidP="00133F91">
            <w:pPr>
              <w:ind w:left="71"/>
            </w:pPr>
            <w:r w:rsidRPr="00E679D1">
              <w:t>Registration decision (</w:t>
            </w:r>
            <w:r w:rsidR="000D0A18">
              <w:t>Approved</w:t>
            </w:r>
            <w:r w:rsidRPr="00E679D1">
              <w:t>)</w:t>
            </w:r>
          </w:p>
        </w:tc>
        <w:tc>
          <w:tcPr>
            <w:tcW w:w="2126" w:type="dxa"/>
          </w:tcPr>
          <w:p w14:paraId="62987ABD" w14:textId="7505FCE2" w:rsidR="00324B33" w:rsidRPr="00D01DDB" w:rsidRDefault="004F3247"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24 March 2024</w:t>
            </w:r>
          </w:p>
        </w:tc>
      </w:tr>
      <w:tr w:rsidR="00324B33" w:rsidRPr="00D01DDB" w14:paraId="6DDCDDA4" w14:textId="77777777" w:rsidTr="00A80E85">
        <w:tc>
          <w:tcPr>
            <w:cnfStyle w:val="001000000000" w:firstRow="0" w:lastRow="0" w:firstColumn="1" w:lastColumn="0" w:oddVBand="0" w:evenVBand="0" w:oddHBand="0" w:evenHBand="0" w:firstRowFirstColumn="0" w:firstRowLastColumn="0" w:lastRowFirstColumn="0" w:lastRowLastColumn="0"/>
            <w:tcW w:w="6516" w:type="dxa"/>
          </w:tcPr>
          <w:p w14:paraId="192FD19D" w14:textId="336B85B1" w:rsidR="00324B33" w:rsidRPr="00E679D1" w:rsidRDefault="00C00844" w:rsidP="00133F91">
            <w:pPr>
              <w:ind w:left="71"/>
            </w:pPr>
            <w:r>
              <w:t>R</w:t>
            </w:r>
            <w:r w:rsidR="0013132F" w:rsidRPr="00E679D1">
              <w:t xml:space="preserve">egistration </w:t>
            </w:r>
            <w:r w:rsidR="005C4B46" w:rsidRPr="00E679D1">
              <w:t xml:space="preserve">in </w:t>
            </w:r>
            <w:r w:rsidR="0013132F" w:rsidRPr="00E679D1">
              <w:t>the ARTG completed</w:t>
            </w:r>
          </w:p>
        </w:tc>
        <w:tc>
          <w:tcPr>
            <w:tcW w:w="2126" w:type="dxa"/>
          </w:tcPr>
          <w:p w14:paraId="5A8923FD" w14:textId="3C3EA8AD" w:rsidR="00324B33" w:rsidRPr="00D01DDB" w:rsidRDefault="004F3247" w:rsidP="00324B33">
            <w:pPr>
              <w:cnfStyle w:val="000000000000" w:firstRow="0" w:lastRow="0" w:firstColumn="0" w:lastColumn="0" w:oddVBand="0" w:evenVBand="0" w:oddHBand="0" w:evenHBand="0" w:firstRowFirstColumn="0" w:firstRowLastColumn="0" w:lastRowFirstColumn="0" w:lastRowLastColumn="0"/>
              <w:rPr>
                <w:szCs w:val="22"/>
              </w:rPr>
            </w:pPr>
            <w:r w:rsidRPr="004F3247">
              <w:rPr>
                <w:szCs w:val="22"/>
              </w:rPr>
              <w:t>2</w:t>
            </w:r>
            <w:r>
              <w:rPr>
                <w:szCs w:val="22"/>
              </w:rPr>
              <w:t>6</w:t>
            </w:r>
            <w:r w:rsidRPr="004F3247">
              <w:rPr>
                <w:szCs w:val="22"/>
              </w:rPr>
              <w:t xml:space="preserve"> March 2024</w:t>
            </w:r>
          </w:p>
        </w:tc>
      </w:tr>
      <w:tr w:rsidR="00324B33" w:rsidRPr="00D01DDB" w14:paraId="56D922E2" w14:textId="77777777" w:rsidTr="00A80E85">
        <w:tc>
          <w:tcPr>
            <w:cnfStyle w:val="001000000000" w:firstRow="0" w:lastRow="0" w:firstColumn="1" w:lastColumn="0" w:oddVBand="0" w:evenVBand="0" w:oddHBand="0" w:evenHBand="0" w:firstRowFirstColumn="0" w:firstRowLastColumn="0" w:lastRowFirstColumn="0" w:lastRowLastColumn="0"/>
            <w:tcW w:w="6516" w:type="dxa"/>
          </w:tcPr>
          <w:p w14:paraId="787FD8DD" w14:textId="0E0CF97F" w:rsidR="00324B33" w:rsidRPr="00E679D1" w:rsidRDefault="00324B33" w:rsidP="00133F91">
            <w:pPr>
              <w:ind w:left="71"/>
            </w:pPr>
            <w:r w:rsidRPr="00E679D1">
              <w:t>Number of working days from submission dossier acceptance to registration decision*</w:t>
            </w:r>
          </w:p>
        </w:tc>
        <w:tc>
          <w:tcPr>
            <w:tcW w:w="2126" w:type="dxa"/>
          </w:tcPr>
          <w:p w14:paraId="5BAF9FA1" w14:textId="3F9040FA" w:rsidR="00324B33" w:rsidRPr="00D01DDB" w:rsidRDefault="000D0A18" w:rsidP="00324B33">
            <w:pPr>
              <w:cnfStyle w:val="000000000000" w:firstRow="0" w:lastRow="0" w:firstColumn="0" w:lastColumn="0" w:oddVBand="0" w:evenVBand="0" w:oddHBand="0" w:evenHBand="0" w:firstRowFirstColumn="0" w:firstRowLastColumn="0" w:lastRowFirstColumn="0" w:lastRowLastColumn="0"/>
              <w:rPr>
                <w:szCs w:val="22"/>
              </w:rPr>
            </w:pPr>
            <w:r w:rsidRPr="000D0A18">
              <w:rPr>
                <w:szCs w:val="22"/>
              </w:rPr>
              <w:t>121 days</w:t>
            </w:r>
          </w:p>
        </w:tc>
      </w:tr>
    </w:tbl>
    <w:p w14:paraId="7B02554C" w14:textId="77777777" w:rsidR="00433318" w:rsidRDefault="00433318" w:rsidP="00433318">
      <w:pPr>
        <w:pStyle w:val="TableDescription"/>
      </w:pPr>
      <w:r>
        <w:t>*</w:t>
      </w:r>
      <w:r w:rsidRPr="00BF3774">
        <w:t xml:space="preserve">Statutory </w:t>
      </w:r>
      <w:r>
        <w:t>timeframe for standard submissions is 255 working days</w:t>
      </w:r>
    </w:p>
    <w:p w14:paraId="220925F1" w14:textId="300AE514" w:rsidR="00C22214" w:rsidRPr="00792A32" w:rsidRDefault="00083763" w:rsidP="00C22214">
      <w:pPr>
        <w:pStyle w:val="Heading2"/>
      </w:pPr>
      <w:bookmarkStart w:id="16" w:name="_Toc204158909"/>
      <w:bookmarkStart w:id="17" w:name="_Toc196046504"/>
      <w:bookmarkStart w:id="18" w:name="_Toc247691527"/>
      <w:bookmarkStart w:id="19" w:name="_Toc314842510"/>
      <w:bookmarkStart w:id="20" w:name="_Toc103679294"/>
      <w:r>
        <w:lastRenderedPageBreak/>
        <w:t xml:space="preserve">Assessment </w:t>
      </w:r>
      <w:r w:rsidR="00C22214" w:rsidRPr="00006FAB">
        <w:t>overview</w:t>
      </w:r>
      <w:bookmarkEnd w:id="16"/>
      <w:bookmarkEnd w:id="17"/>
      <w:bookmarkEnd w:id="18"/>
      <w:bookmarkEnd w:id="19"/>
      <w:bookmarkEnd w:id="20"/>
    </w:p>
    <w:p w14:paraId="37F5A1C0" w14:textId="24C35B4E" w:rsidR="00C22214" w:rsidRDefault="00095C6A" w:rsidP="00C22214">
      <w:pPr>
        <w:pStyle w:val="Heading3"/>
      </w:pPr>
      <w:bookmarkStart w:id="21" w:name="_Toc247691528"/>
      <w:bookmarkStart w:id="22" w:name="_Toc314842511"/>
      <w:bookmarkStart w:id="23" w:name="_Toc103679295"/>
      <w:bookmarkStart w:id="24" w:name="_Toc204158910"/>
      <w:r>
        <w:t>Q</w:t>
      </w:r>
      <w:r w:rsidR="00C22214">
        <w:t>uality</w:t>
      </w:r>
      <w:bookmarkEnd w:id="21"/>
      <w:bookmarkEnd w:id="22"/>
      <w:bookmarkEnd w:id="23"/>
      <w:r w:rsidR="007E6443">
        <w:t xml:space="preserve"> evaluation</w:t>
      </w:r>
      <w:r>
        <w:t xml:space="preserve"> summary</w:t>
      </w:r>
      <w:bookmarkEnd w:id="24"/>
    </w:p>
    <w:p w14:paraId="3B00BB74" w14:textId="6DF2865B" w:rsidR="00911ACD" w:rsidRPr="00911ACD" w:rsidRDefault="00911ACD" w:rsidP="00A80E85">
      <w:r w:rsidRPr="00911ACD">
        <w:t>Australian-specific data relating to the composition, development, manufacture, quality control, stability and bioavailability of the product and checked for compliance, as applicable, with Australian legislation and requirements for new medicines and in accordance with pharmacopoeial standards and the technical guidelines adopted by the TGA</w:t>
      </w:r>
      <w:r w:rsidR="00F0231B">
        <w:t>, were also assessed</w:t>
      </w:r>
      <w:r w:rsidRPr="00911ACD">
        <w:t xml:space="preserve">. There is no objection to registration of </w:t>
      </w:r>
      <w:r w:rsidR="00893229">
        <w:t>BYLVAY</w:t>
      </w:r>
      <w:r w:rsidRPr="00911ACD">
        <w:t>, when the outstanding GMP clearance has been established.</w:t>
      </w:r>
    </w:p>
    <w:p w14:paraId="2624181A" w14:textId="456C21E2" w:rsidR="00911ACD" w:rsidRPr="00911ACD" w:rsidRDefault="00911ACD" w:rsidP="00911ACD">
      <w:pPr>
        <w:rPr>
          <w:szCs w:val="22"/>
        </w:rPr>
      </w:pPr>
      <w:r w:rsidRPr="00911ACD">
        <w:rPr>
          <w:szCs w:val="22"/>
        </w:rPr>
        <w:t>Odevixibat is a white to off-white crystalline solid. The drug substance has two chiral centres and is manufactured as a single stereoisomer with the (S,R)-configuration.</w:t>
      </w:r>
    </w:p>
    <w:p w14:paraId="51BD5172" w14:textId="77777777" w:rsidR="00911ACD" w:rsidRPr="00911ACD" w:rsidRDefault="00911ACD" w:rsidP="00911ACD">
      <w:pPr>
        <w:rPr>
          <w:szCs w:val="22"/>
        </w:rPr>
      </w:pPr>
      <w:r w:rsidRPr="00911ACD">
        <w:rPr>
          <w:szCs w:val="22"/>
        </w:rPr>
        <w:t>Solubility is pH dependent and the drug substance is insoluble in aqueous buffers pH 1 to 4.</w:t>
      </w:r>
    </w:p>
    <w:p w14:paraId="66EA5E80" w14:textId="77777777" w:rsidR="00911ACD" w:rsidRPr="00911ACD" w:rsidRDefault="00911ACD" w:rsidP="00911ACD">
      <w:pPr>
        <w:rPr>
          <w:szCs w:val="22"/>
        </w:rPr>
      </w:pPr>
      <w:r w:rsidRPr="00911ACD">
        <w:rPr>
          <w:szCs w:val="22"/>
        </w:rPr>
        <w:t>The polymorphic Form 1 was established as the stable solid-state crystalline form of the drug substance. It is noted that the crystalline fraction of Form 1 is dependent on the drying conditions used in the final stage of the manufacturing process.</w:t>
      </w:r>
    </w:p>
    <w:p w14:paraId="48383768" w14:textId="77777777" w:rsidR="00911ACD" w:rsidRPr="00911ACD" w:rsidRDefault="00911ACD" w:rsidP="00911ACD">
      <w:pPr>
        <w:rPr>
          <w:szCs w:val="22"/>
        </w:rPr>
      </w:pPr>
      <w:r w:rsidRPr="00911ACD">
        <w:rPr>
          <w:szCs w:val="22"/>
        </w:rPr>
        <w:t>Odevixibat sesquihydrate, its starting materials and all reagents used in the manufacture of the drug substance were assessed for any genotoxic alert structures. All potentially genotoxic impurities identified are adequately controlled or eliminated during the manufacturing process in accordance with ICH guidelines. A nitrosamine risk assessment has also been performed and concluded that the manufacturing process does not present a risk of formation of</w:t>
      </w:r>
    </w:p>
    <w:p w14:paraId="695836F3" w14:textId="4E699DB8" w:rsidR="00911ACD" w:rsidRPr="00911ACD" w:rsidRDefault="00911ACD" w:rsidP="00911ACD">
      <w:pPr>
        <w:rPr>
          <w:szCs w:val="22"/>
        </w:rPr>
      </w:pPr>
      <w:r w:rsidRPr="00911ACD">
        <w:rPr>
          <w:szCs w:val="22"/>
        </w:rPr>
        <w:t xml:space="preserve">N-nitrosamines. The analytical methods used to analyse the drug products were adequately described and validated. </w:t>
      </w:r>
    </w:p>
    <w:p w14:paraId="784103D5" w14:textId="14156656" w:rsidR="00911ACD" w:rsidRPr="00911ACD" w:rsidRDefault="00911ACD" w:rsidP="00911ACD">
      <w:pPr>
        <w:rPr>
          <w:szCs w:val="22"/>
        </w:rPr>
      </w:pPr>
      <w:r w:rsidRPr="00911ACD">
        <w:rPr>
          <w:szCs w:val="22"/>
        </w:rPr>
        <w:t>Four</w:t>
      </w:r>
      <w:r w:rsidR="00285DF8">
        <w:rPr>
          <w:szCs w:val="22"/>
        </w:rPr>
        <w:t xml:space="preserve"> </w:t>
      </w:r>
      <w:r w:rsidRPr="00911ACD">
        <w:rPr>
          <w:szCs w:val="22"/>
        </w:rPr>
        <w:t xml:space="preserve">strengths of the </w:t>
      </w:r>
      <w:r w:rsidR="00893229">
        <w:rPr>
          <w:szCs w:val="22"/>
        </w:rPr>
        <w:t>BYLVAY</w:t>
      </w:r>
      <w:r w:rsidRPr="00911ACD">
        <w:rPr>
          <w:szCs w:val="22"/>
        </w:rPr>
        <w:t xml:space="preserve"> odevixibat (as sesquihydrate) immediate release hard capsules are proposed for registration, namely 200 µg, 400 µg, 600 µg and 1200 µg. The capsule strengths are easily distinguishable from one another in terms of colour and printed text.</w:t>
      </w:r>
    </w:p>
    <w:p w14:paraId="713CF05F" w14:textId="77777777" w:rsidR="00911ACD" w:rsidRPr="00911ACD" w:rsidRDefault="00911ACD" w:rsidP="00911ACD">
      <w:pPr>
        <w:rPr>
          <w:szCs w:val="22"/>
        </w:rPr>
      </w:pPr>
      <w:r w:rsidRPr="00911ACD">
        <w:rPr>
          <w:szCs w:val="22"/>
        </w:rPr>
        <w:t>Two concentrations of ‘odevixibat pellets’ are prepared: 5 mg/g (or 0.5% w/w) and 1.5 mg /g (or 1.5 w/w) odevixibat pellets.</w:t>
      </w:r>
    </w:p>
    <w:p w14:paraId="49DE5F3A" w14:textId="6B278012" w:rsidR="00911ACD" w:rsidRPr="00911ACD" w:rsidRDefault="00911ACD" w:rsidP="00285DF8">
      <w:pPr>
        <w:pStyle w:val="ListBullet"/>
      </w:pPr>
      <w:r w:rsidRPr="00911ACD">
        <w:t>200 µg and 400 µg: these capsule strengths are manufactured from the common odevixibat pellets of 5 mg/g (0.5% w/w) by adjusting the fill weight of the pellets into different size capsules, and are direct scale, and</w:t>
      </w:r>
    </w:p>
    <w:p w14:paraId="72F81181" w14:textId="0F175CD9" w:rsidR="00911ACD" w:rsidRPr="00911ACD" w:rsidRDefault="00911ACD" w:rsidP="00285DF8">
      <w:pPr>
        <w:pStyle w:val="ListBullet"/>
      </w:pPr>
      <w:r w:rsidRPr="00911ACD">
        <w:t>600 µg and 1200 µg: these capsule strengths are manufactured from the common odevixibat pellets of 15 mg/g (1.5% w/w) by adjusting the fill weight of the pellet into different size capsules and are direct scale.</w:t>
      </w:r>
    </w:p>
    <w:p w14:paraId="31C46F1C" w14:textId="77777777" w:rsidR="00911ACD" w:rsidRPr="00911ACD" w:rsidRDefault="00911ACD" w:rsidP="00911ACD">
      <w:pPr>
        <w:rPr>
          <w:szCs w:val="22"/>
        </w:rPr>
      </w:pPr>
      <w:r w:rsidRPr="00911ACD">
        <w:rPr>
          <w:szCs w:val="22"/>
        </w:rPr>
        <w:t>The capsules are manufactured by Patheon France, France using conventional manufacturing processes.</w:t>
      </w:r>
    </w:p>
    <w:p w14:paraId="29A3BB75" w14:textId="6EA44C8B" w:rsidR="00A01C56" w:rsidRDefault="00893229" w:rsidP="00911ACD">
      <w:pPr>
        <w:rPr>
          <w:szCs w:val="22"/>
        </w:rPr>
      </w:pPr>
      <w:r>
        <w:rPr>
          <w:szCs w:val="22"/>
        </w:rPr>
        <w:t>BYLVAY</w:t>
      </w:r>
      <w:r w:rsidR="00911ACD" w:rsidRPr="00911ACD">
        <w:rPr>
          <w:szCs w:val="22"/>
        </w:rPr>
        <w:t xml:space="preserve"> odevixibat (as sesquihydrate) hard capsules (all strengths) are packaged in 50 mL HDPE bottles (for 200 and 600 µg) or 30 mL HDPE bottle (for 400 and 1200 strengths) and closed with tamper-evident PP child resistant closure, in pack sizes of 30 capsules for all strengths. Satisfactory assurances of compliance with the requirements of TGO95- Child Resistant Packaging Requirements for Medicines have been provided.</w:t>
      </w:r>
    </w:p>
    <w:p w14:paraId="14889779" w14:textId="4DF99F45" w:rsidR="00285DF8" w:rsidRPr="00BD5DBD" w:rsidRDefault="00285DF8" w:rsidP="00911ACD">
      <w:pPr>
        <w:rPr>
          <w:szCs w:val="22"/>
        </w:rPr>
      </w:pPr>
      <w:r>
        <w:rPr>
          <w:szCs w:val="22"/>
        </w:rPr>
        <w:t>There were no objections to approval from a quality perspective</w:t>
      </w:r>
    </w:p>
    <w:p w14:paraId="2BE90AAE" w14:textId="35796FD3" w:rsidR="00C22214" w:rsidRDefault="00C22214" w:rsidP="00C22214">
      <w:pPr>
        <w:pStyle w:val="Heading3"/>
      </w:pPr>
      <w:bookmarkStart w:id="25" w:name="_Toc314842512"/>
      <w:bookmarkStart w:id="26" w:name="_Toc103679296"/>
      <w:bookmarkStart w:id="27" w:name="_Toc204158911"/>
      <w:r>
        <w:lastRenderedPageBreak/>
        <w:t>Nonclinical</w:t>
      </w:r>
      <w:bookmarkEnd w:id="25"/>
      <w:bookmarkEnd w:id="26"/>
      <w:r w:rsidR="007E6443">
        <w:t xml:space="preserve"> evaluation</w:t>
      </w:r>
      <w:r w:rsidR="00095C6A">
        <w:t xml:space="preserve"> summary</w:t>
      </w:r>
      <w:bookmarkEnd w:id="27"/>
    </w:p>
    <w:p w14:paraId="427F4E53" w14:textId="3F944964" w:rsidR="00C62914" w:rsidRDefault="00C62914" w:rsidP="00C62914">
      <w:r>
        <w:t xml:space="preserve">The non-clinical </w:t>
      </w:r>
      <w:r w:rsidR="002C1F98">
        <w:t>Evaluator</w:t>
      </w:r>
      <w:r>
        <w:t xml:space="preserve"> had no objection to registration of odevixibat. The scope of the submitted Module 4 dossier was in accordance with the relevant TGA-adopted guideline (ICH S3 [R2]).</w:t>
      </w:r>
      <w:r w:rsidR="00793CD6">
        <w:rPr>
          <w:rStyle w:val="FootnoteReference"/>
        </w:rPr>
        <w:footnoteReference w:id="3"/>
      </w:r>
      <w:r>
        <w:t xml:space="preserve"> Most pivotal toxicity studies were conducted under GLP conditions using the proposed clinical route (oral) and dosing regimen (once daily). This evaluation report has used the assessments and considerations detailed in the EMA nonclinical evaluation reports. The evaluation concluded that</w:t>
      </w:r>
      <w:r w:rsidR="00793CD6">
        <w:t>:</w:t>
      </w:r>
    </w:p>
    <w:p w14:paraId="28ECB14D" w14:textId="5EB4C549" w:rsidR="00C62914" w:rsidRDefault="00C62914" w:rsidP="00793CD6">
      <w:pPr>
        <w:pStyle w:val="ListBullet"/>
      </w:pPr>
      <w:r>
        <w:t>The pharmacology studies were adequate to support the use of odevixibat for the proposed indication.</w:t>
      </w:r>
    </w:p>
    <w:p w14:paraId="1B5AA713" w14:textId="4B115C71" w:rsidR="00C62914" w:rsidRDefault="00C62914" w:rsidP="00793CD6">
      <w:pPr>
        <w:pStyle w:val="ListBullet"/>
      </w:pPr>
      <w:r>
        <w:t>No clinically relevant hazards were identified in safety pharmacology studies.</w:t>
      </w:r>
    </w:p>
    <w:p w14:paraId="7FC83E0B" w14:textId="46A27BF9" w:rsidR="00C62914" w:rsidRDefault="00C62914" w:rsidP="00793CD6">
      <w:pPr>
        <w:pStyle w:val="ListBullet"/>
      </w:pPr>
      <w:r>
        <w:t>Odevixibat may alter the exposure of co-administered drugs that are CYP3A4/5 substrates.</w:t>
      </w:r>
    </w:p>
    <w:p w14:paraId="40012A67" w14:textId="1F423B06" w:rsidR="00C62914" w:rsidRDefault="00C62914" w:rsidP="00793CD6">
      <w:pPr>
        <w:pStyle w:val="ListBullet"/>
      </w:pPr>
      <w:r>
        <w:t>Odevixibat was generally well-tolerated in all species. Toxicities were reversible and associated with localised pharmacological effects on the gastrointestinal tract (e.g. diarrhoea).</w:t>
      </w:r>
    </w:p>
    <w:p w14:paraId="07C47562" w14:textId="6B27D202" w:rsidR="00C62914" w:rsidRDefault="00C62914" w:rsidP="00793CD6">
      <w:pPr>
        <w:pStyle w:val="ListBullet"/>
      </w:pPr>
      <w:r>
        <w:t>Odevixibat did not show any potential for genotoxicity or carcinogenicity.</w:t>
      </w:r>
    </w:p>
    <w:p w14:paraId="15C51A23" w14:textId="02696F1E" w:rsidR="008804CF" w:rsidRPr="00BD5DBD" w:rsidRDefault="00C62914" w:rsidP="00793CD6">
      <w:pPr>
        <w:pStyle w:val="ListBullet"/>
        <w:rPr>
          <w:b/>
          <w:bCs/>
          <w:szCs w:val="22"/>
        </w:rPr>
      </w:pPr>
      <w:r>
        <w:t>Unexplained cardiovascular malformations were seen in rabbits at low systemic (and therefore clinically relevant) exposures. A risk to human embryo-fetal development cannot be excluded. Accordingly, Pregnancy Category D was recommended for odevixibat.</w:t>
      </w:r>
      <w:r w:rsidR="00793CD6">
        <w:t xml:space="preserve"> </w:t>
      </w:r>
      <w:bookmarkStart w:id="28" w:name="_Toc247691530"/>
      <w:bookmarkStart w:id="29" w:name="_Toc314842513"/>
      <w:bookmarkStart w:id="30" w:name="_Toc103679297"/>
    </w:p>
    <w:p w14:paraId="35B580A5" w14:textId="40B226DC" w:rsidR="00C22214" w:rsidRDefault="00C22214" w:rsidP="008804CF">
      <w:pPr>
        <w:pStyle w:val="Heading3"/>
      </w:pPr>
      <w:bookmarkStart w:id="31" w:name="_Toc204158912"/>
      <w:r>
        <w:t>Clinical</w:t>
      </w:r>
      <w:bookmarkEnd w:id="28"/>
      <w:bookmarkEnd w:id="29"/>
      <w:bookmarkEnd w:id="30"/>
      <w:r w:rsidR="00095C6A">
        <w:t xml:space="preserve"> evaluation summary</w:t>
      </w:r>
      <w:bookmarkEnd w:id="31"/>
    </w:p>
    <w:p w14:paraId="4FFC00FA" w14:textId="09C5251C" w:rsidR="00B6659D" w:rsidRDefault="00B6659D" w:rsidP="00BA4C0C">
      <w:r w:rsidRPr="00B6659D">
        <w:t xml:space="preserve">Relevant guidelines or guidance documents referred to by the Delegate </w:t>
      </w:r>
      <w:r w:rsidR="002C1F98">
        <w:rPr>
          <w:rStyle w:val="FootnoteReference"/>
        </w:rPr>
        <w:footnoteReference w:id="4"/>
      </w:r>
      <w:r w:rsidRPr="00B6659D">
        <w:t xml:space="preserve">are listed below: </w:t>
      </w:r>
    </w:p>
    <w:p w14:paraId="7D8AE4BF" w14:textId="53ED5D2E" w:rsidR="00BA4C0C" w:rsidRDefault="00042959" w:rsidP="00E52A4C">
      <w:pPr>
        <w:pStyle w:val="ListBullet"/>
      </w:pPr>
      <w:r w:rsidRPr="00042959">
        <w:t>European Medicines Agency</w:t>
      </w:r>
      <w:r w:rsidR="008F4354">
        <w:t xml:space="preserve">, </w:t>
      </w:r>
      <w:r w:rsidR="008F7E91" w:rsidRPr="008F7E91">
        <w:t xml:space="preserve">Committee </w:t>
      </w:r>
      <w:r w:rsidR="008F7E91">
        <w:t>f</w:t>
      </w:r>
      <w:r w:rsidR="008F7E91" w:rsidRPr="008F7E91">
        <w:t xml:space="preserve">or Medicinal Products </w:t>
      </w:r>
      <w:r w:rsidR="008F7E91">
        <w:t>f</w:t>
      </w:r>
      <w:r w:rsidR="008F7E91" w:rsidRPr="008F7E91">
        <w:t>or Human Use</w:t>
      </w:r>
      <w:r w:rsidR="008F7E91">
        <w:t>,</w:t>
      </w:r>
      <w:r w:rsidR="008F7E91" w:rsidRPr="008F7E91">
        <w:t xml:space="preserve"> </w:t>
      </w:r>
      <w:hyperlink r:id="rId27" w:history="1">
        <w:r w:rsidR="008F7E91" w:rsidRPr="006C568C">
          <w:rPr>
            <w:rStyle w:val="Hyperlink"/>
          </w:rPr>
          <w:t>Guideline on clinical trials in small populations</w:t>
        </w:r>
      </w:hyperlink>
      <w:r w:rsidR="008F7E91">
        <w:t xml:space="preserve"> (</w:t>
      </w:r>
      <w:r w:rsidR="008F7E91" w:rsidRPr="008F7E91">
        <w:t>CHMP/EWP/83561/2005</w:t>
      </w:r>
      <w:r w:rsidR="008F7E91">
        <w:t>),</w:t>
      </w:r>
      <w:r w:rsidR="00BA4C0C">
        <w:t xml:space="preserve"> 27 July 2006</w:t>
      </w:r>
      <w:r w:rsidR="008F7E91">
        <w:t xml:space="preserve">. </w:t>
      </w:r>
    </w:p>
    <w:p w14:paraId="0D521923" w14:textId="5C8B62EA" w:rsidR="00031831" w:rsidRDefault="004F1B5E" w:rsidP="00E52A4C">
      <w:pPr>
        <w:pStyle w:val="ListBullet"/>
      </w:pPr>
      <w:r w:rsidRPr="004F1B5E">
        <w:t>International Conference on Harmonisation of Technical Requirements for Registration of Pharmaceuticals for Human Use</w:t>
      </w:r>
      <w:r>
        <w:t>,</w:t>
      </w:r>
      <w:r w:rsidRPr="004F1B5E">
        <w:t xml:space="preserve"> </w:t>
      </w:r>
      <w:hyperlink r:id="rId28" w:history="1">
        <w:r w:rsidR="00031831" w:rsidRPr="00A26965">
          <w:rPr>
            <w:rStyle w:val="Hyperlink"/>
          </w:rPr>
          <w:t>ICH E11(R1) guideline on clinical investigation of medicinal products in the pediatric population - Scientific guideline</w:t>
        </w:r>
      </w:hyperlink>
      <w:r>
        <w:t xml:space="preserve"> (</w:t>
      </w:r>
      <w:r w:rsidRPr="004F1B5E">
        <w:t>EMA/CPMP/ICH/2711/1999</w:t>
      </w:r>
      <w:r>
        <w:t xml:space="preserve">), </w:t>
      </w:r>
      <w:r w:rsidR="00A26965" w:rsidRPr="00A26965">
        <w:t>06/10/2017</w:t>
      </w:r>
      <w:r w:rsidR="00A26965">
        <w:t xml:space="preserve">. </w:t>
      </w:r>
    </w:p>
    <w:p w14:paraId="7FD10775" w14:textId="368284D7" w:rsidR="00BA4C0C" w:rsidRPr="00BA4C0C" w:rsidRDefault="00042959" w:rsidP="00E52A4C">
      <w:pPr>
        <w:pStyle w:val="ListBullet"/>
      </w:pPr>
      <w:r w:rsidRPr="00042959">
        <w:t>European Medicines Agency</w:t>
      </w:r>
      <w:r w:rsidR="00C76A94">
        <w:t xml:space="preserve">, </w:t>
      </w:r>
      <w:r w:rsidR="00C76A94" w:rsidRPr="00C76A94">
        <w:t xml:space="preserve">Committee </w:t>
      </w:r>
      <w:r w:rsidR="00C76A94">
        <w:t>f</w:t>
      </w:r>
      <w:r w:rsidR="00C76A94" w:rsidRPr="00C76A94">
        <w:t xml:space="preserve">or Proprietary </w:t>
      </w:r>
      <w:hyperlink r:id="rId29" w:history="1">
        <w:r w:rsidR="00C76A94" w:rsidRPr="00E52A4C">
          <w:rPr>
            <w:rStyle w:val="Hyperlink"/>
          </w:rPr>
          <w:t xml:space="preserve">Medicinal Products, </w:t>
        </w:r>
        <w:r w:rsidR="00BA4C0C" w:rsidRPr="00E52A4C">
          <w:rPr>
            <w:rStyle w:val="Hyperlink"/>
          </w:rPr>
          <w:t>Points to consider on applications with 1. Meta-analyses; 2. One pivotal study</w:t>
        </w:r>
      </w:hyperlink>
      <w:r>
        <w:t xml:space="preserve"> (</w:t>
      </w:r>
      <w:r w:rsidRPr="00042959">
        <w:t>CPMP/EWP/2330/99</w:t>
      </w:r>
      <w:r>
        <w:t>),</w:t>
      </w:r>
      <w:r w:rsidR="00BA4C0C">
        <w:t xml:space="preserve"> 31 May 2001</w:t>
      </w:r>
      <w:r>
        <w:t xml:space="preserve">. </w:t>
      </w:r>
    </w:p>
    <w:p w14:paraId="32B0DEDA" w14:textId="77777777" w:rsidR="00C22214" w:rsidRDefault="00C22214" w:rsidP="00433318">
      <w:pPr>
        <w:pStyle w:val="Heading4"/>
      </w:pPr>
      <w:bookmarkStart w:id="32" w:name="_Toc98931928"/>
      <w:bookmarkStart w:id="33" w:name="_Toc204158913"/>
      <w:r>
        <w:t>Summary of clinical studies</w:t>
      </w:r>
      <w:bookmarkEnd w:id="32"/>
      <w:bookmarkEnd w:id="33"/>
    </w:p>
    <w:p w14:paraId="199698DB" w14:textId="1ADB88FB" w:rsidR="004177B9" w:rsidRDefault="004177B9" w:rsidP="004177B9">
      <w:r>
        <w:t xml:space="preserve">The delegate reviewed the clinical assessment reports prepared by the COR and additional long- term data provided in response to a request for information. The primary data in support of the efficacy of odevixibat were derived from Study A4250-005, a completed Phase 3, randomised, double-blind, placebo-controlled, 24-week study of two dose levels of odevixibat, 40 and 120 μg/kg/day, conducted in paediatric patients with PFIC1 or PFIC2, aged between 6 months and 18 years and weighing at least 5kg. Participants were required to have SBA concentrations ≥ 100 μmol/L, and a documented history of severe </w:t>
      </w:r>
      <w:r w:rsidR="00C70F23">
        <w:t>pruritus</w:t>
      </w:r>
      <w:r>
        <w:t xml:space="preserve">. The primary efficacy endpoint was the </w:t>
      </w:r>
      <w:r>
        <w:lastRenderedPageBreak/>
        <w:t>proportion of patients experiencing at least a 70% reduction in SBA concentration from baseline to the end of treatment or reaching a level ≤70 μmol/L (28.6 μg/mL) after 24 weeks of treatment. SBA concentration at baseline was calculated as the average of the last two values prior to the first dose of study drug. The end value was calculated as the average of the values at Weeks 22 and 24 after the start of treatment.</w:t>
      </w:r>
    </w:p>
    <w:p w14:paraId="4172C3A1" w14:textId="18A81F53" w:rsidR="004177B9" w:rsidRDefault="004177B9" w:rsidP="004177B9">
      <w:r>
        <w:t xml:space="preserve">Long-term efficacy data are presented from Study A4250-008, an ongoing, open-label, 72-week extension study of odevixibat 120 μg/kg/day, including participants aged between four months and 26 years at enrolment with any type of PFIC. A total of 114 study participants had received at least one dose of odevixibat in Study A4250-008 at data cutoff date of 31 July 2022. All 114 patients were included in the full analysis set; 63 patients had completed the 72-week treatment period, 25 patients were ongoing on treatment in the 72-week treatment period and 26 had discontinued treatment prior to Week 72. Supportive efficacy data for the proposed indication are provided by the results of the 4-week Phase 2 study A4250-003, which evaluated multiple dose levels of odevixibat up to 200 μg/kg/day in 10 patients with cholestatic </w:t>
      </w:r>
      <w:r w:rsidR="00C70F23">
        <w:t>pruritus</w:t>
      </w:r>
      <w:r>
        <w:t>.</w:t>
      </w:r>
    </w:p>
    <w:p w14:paraId="6AC7C88F" w14:textId="77777777" w:rsidR="004177B9" w:rsidRDefault="004177B9" w:rsidP="004177B9">
      <w:r>
        <w:t>The safety of odevixibat has been evaluated in a total of eight clinical studies, including five Phase 1 studies in healthy adults, one Phase 2 study in paediatric patients with cholestatic liver disease, including PFIC, and two Phase 3 studies conducted in paediatric patients with PFIC.</w:t>
      </w:r>
    </w:p>
    <w:p w14:paraId="1DC086B2" w14:textId="77777777" w:rsidR="004177B9" w:rsidRDefault="004177B9" w:rsidP="00F11117">
      <w:pPr>
        <w:pStyle w:val="Heading4"/>
      </w:pPr>
      <w:bookmarkStart w:id="34" w:name="_Toc204158914"/>
      <w:r>
        <w:t>Pharmacology</w:t>
      </w:r>
      <w:bookmarkEnd w:id="34"/>
    </w:p>
    <w:p w14:paraId="7DFC2A62" w14:textId="043EC2DC" w:rsidR="004177B9" w:rsidRDefault="004177B9" w:rsidP="00F11117">
      <w:pPr>
        <w:pStyle w:val="Heading5"/>
      </w:pPr>
      <w:r>
        <w:t xml:space="preserve">Pharmacokinetics </w:t>
      </w:r>
    </w:p>
    <w:p w14:paraId="4DF2FBFE" w14:textId="4BF9ED89" w:rsidR="004177B9" w:rsidRDefault="004177B9" w:rsidP="004177B9">
      <w:r>
        <w:t>The pharmacokinetics</w:t>
      </w:r>
      <w:r w:rsidR="00E76C27">
        <w:t xml:space="preserve"> (PK)</w:t>
      </w:r>
      <w:r>
        <w:t xml:space="preserve"> of odevixibat were evaluated in three Phase 1 studies in healthy adults and one Phase 2 study in paediatric patients with cholestatic </w:t>
      </w:r>
      <w:r w:rsidR="00C70F23">
        <w:t>pruritus</w:t>
      </w:r>
      <w:r>
        <w:t xml:space="preserve">. These studies were conducted to support dose selection and to characterise the single-dose and multiple-dose pharmacokinetics in children (A4250-003) and adults (A4250-001), to evaluate the impact of food (A4250-004) and to assess the interaction potential of odevixibat (A4250-013). In the Phase 3 study A4250-005 sparse PK sampling was performed; these PK samples were included in the population PK analysis ALBI-PMX-A4250-1167_PPK. Further the applicant conducted an </w:t>
      </w:r>
      <w:r w:rsidR="002A13C1" w:rsidRPr="002A13C1">
        <w:t>absorption</w:t>
      </w:r>
      <w:r w:rsidR="002A13C1">
        <w:t>/</w:t>
      </w:r>
      <w:r w:rsidR="002A13C1" w:rsidRPr="002A13C1">
        <w:t>distribution</w:t>
      </w:r>
      <w:r w:rsidR="002A13C1">
        <w:t>/</w:t>
      </w:r>
      <w:r w:rsidR="002A13C1" w:rsidRPr="002A13C1">
        <w:t>metabolism</w:t>
      </w:r>
      <w:r w:rsidR="002A13C1">
        <w:t>/</w:t>
      </w:r>
      <w:r w:rsidR="002A13C1" w:rsidRPr="002A13C1">
        <w:t>excretion</w:t>
      </w:r>
      <w:r w:rsidR="002A13C1">
        <w:t xml:space="preserve"> </w:t>
      </w:r>
      <w:r>
        <w:t>study (A4250-007) to assess the mass balance recovery and the metabolite profile of odevixibat. Several in vitro studies were conducted to assess the role of different transporters and cytochrome P450 (CYP) enzymes on the fate of odevixibat and the interaction potential of odevixibat.</w:t>
      </w:r>
    </w:p>
    <w:p w14:paraId="7DBA2BFE" w14:textId="77777777" w:rsidR="004177B9" w:rsidRDefault="004177B9" w:rsidP="004177B9">
      <w:r>
        <w:t>Non-compartmental methods were used to determine the pharmacokinetic parameters of odevixibat in the phase 1 studies. Odevixibat is poorly absorbed and plasma levels were not quantifiable in several patients, therefore the pharmacokinetic parameters of odevixibat could not be determined for all participants.</w:t>
      </w:r>
    </w:p>
    <w:p w14:paraId="6A369E9D" w14:textId="77777777" w:rsidR="004177B9" w:rsidRDefault="6506F083" w:rsidP="004177B9">
      <w:r>
        <w:t>In the mass balance study A4250-007 about 83% of the administered oral dose was recovered in 216 hours. An average of 0.002% of the total radioactivity was recovered from the urine, and 82.9% was recovered from the faeces. Also, in single and multiple-dose studies A4250-001 and A4250-003, the relative bioavailability of odevixibat was estimated to be low.</w:t>
      </w:r>
    </w:p>
    <w:p w14:paraId="4C6FEA3D" w14:textId="25D38906" w:rsidR="004177B9" w:rsidRDefault="004177B9" w:rsidP="004177B9">
      <w:r>
        <w:t xml:space="preserve">Noncompartmental pharmacokinetic data obtained in </w:t>
      </w:r>
      <w:r w:rsidR="00E76C27">
        <w:t>drug-drug interaction</w:t>
      </w:r>
      <w:r>
        <w:t xml:space="preserve"> study A4250-013, in healthy adult volunteers, is presented </w:t>
      </w:r>
      <w:r w:rsidR="00F11117">
        <w:t xml:space="preserve">in Table </w:t>
      </w:r>
      <w:r w:rsidR="007E694B">
        <w:t>2</w:t>
      </w:r>
      <w:r>
        <w:t>.</w:t>
      </w:r>
    </w:p>
    <w:p w14:paraId="36E8CEFF" w14:textId="0DED97D5" w:rsidR="004177B9" w:rsidRDefault="00F11117" w:rsidP="00F11117">
      <w:pPr>
        <w:pStyle w:val="TableTitle"/>
      </w:pPr>
      <w:r>
        <w:t xml:space="preserve">Table </w:t>
      </w:r>
      <w:r w:rsidR="007E694B">
        <w:t>2</w:t>
      </w:r>
      <w:r>
        <w:t xml:space="preserve">. </w:t>
      </w:r>
      <w:r w:rsidR="004177B9">
        <w:t xml:space="preserve">Summary of </w:t>
      </w:r>
      <w:r>
        <w:t>o</w:t>
      </w:r>
      <w:r w:rsidR="004177B9">
        <w:t xml:space="preserve">devixibat </w:t>
      </w:r>
      <w:r>
        <w:t>p</w:t>
      </w:r>
      <w:r w:rsidR="004177B9">
        <w:t xml:space="preserve">harmacokinetic </w:t>
      </w:r>
      <w:r>
        <w:t>p</w:t>
      </w:r>
      <w:r w:rsidR="004177B9">
        <w:t>arameters following a single oral dose of</w:t>
      </w:r>
      <w:r>
        <w:t xml:space="preserve"> </w:t>
      </w:r>
      <w:r w:rsidR="004177B9">
        <w:t>7.2mg odevixibat in healthy adult [PK Evaluable Population] study A4250-013</w:t>
      </w:r>
    </w:p>
    <w:tbl>
      <w:tblPr>
        <w:tblStyle w:val="TableTGAblue2023"/>
        <w:tblW w:w="6205" w:type="dxa"/>
        <w:tblLook w:val="04A0" w:firstRow="1" w:lastRow="0" w:firstColumn="1" w:lastColumn="0" w:noHBand="0" w:noVBand="1"/>
      </w:tblPr>
      <w:tblGrid>
        <w:gridCol w:w="3055"/>
        <w:gridCol w:w="3150"/>
      </w:tblGrid>
      <w:tr w:rsidR="006668EA" w:rsidRPr="00D01DDB" w14:paraId="2616BBD5" w14:textId="77777777" w:rsidTr="006D69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1F57349E" w14:textId="3A3A82A8" w:rsidR="006668EA" w:rsidRPr="00D01DDB" w:rsidRDefault="00353975" w:rsidP="0092543A">
            <w:pPr>
              <w:rPr>
                <w:szCs w:val="22"/>
              </w:rPr>
            </w:pPr>
            <w:bookmarkStart w:id="35" w:name="_Hlk202730948"/>
            <w:r>
              <w:rPr>
                <w:szCs w:val="22"/>
              </w:rPr>
              <w:t>Plasma PK parameter</w:t>
            </w:r>
          </w:p>
        </w:tc>
        <w:tc>
          <w:tcPr>
            <w:tcW w:w="3150" w:type="dxa"/>
          </w:tcPr>
          <w:p w14:paraId="6F8A4219" w14:textId="210E4DF8" w:rsidR="006668EA" w:rsidRPr="00D01DDB" w:rsidRDefault="006D6972" w:rsidP="0092543A">
            <w:pPr>
              <w:cnfStyle w:val="100000000000" w:firstRow="1" w:lastRow="0" w:firstColumn="0" w:lastColumn="0" w:oddVBand="0" w:evenVBand="0" w:oddHBand="0" w:evenHBand="0" w:firstRowFirstColumn="0" w:firstRowLastColumn="0" w:lastRowFirstColumn="0" w:lastRowLastColumn="0"/>
              <w:rPr>
                <w:szCs w:val="22"/>
              </w:rPr>
            </w:pPr>
            <w:r>
              <w:rPr>
                <w:szCs w:val="22"/>
              </w:rPr>
              <w:t>Odevixibat (N=21)</w:t>
            </w:r>
          </w:p>
        </w:tc>
      </w:tr>
      <w:tr w:rsidR="006668EA" w:rsidRPr="00D01DDB" w14:paraId="56F3F2CF" w14:textId="77777777" w:rsidTr="006D6972">
        <w:tc>
          <w:tcPr>
            <w:cnfStyle w:val="001000000000" w:firstRow="0" w:lastRow="0" w:firstColumn="1" w:lastColumn="0" w:oddVBand="0" w:evenVBand="0" w:oddHBand="0" w:evenHBand="0" w:firstRowFirstColumn="0" w:firstRowLastColumn="0" w:lastRowFirstColumn="0" w:lastRowLastColumn="0"/>
            <w:tcW w:w="3055" w:type="dxa"/>
          </w:tcPr>
          <w:p w14:paraId="5130B2DE" w14:textId="74B285F3" w:rsidR="006668EA" w:rsidRPr="00E679D1" w:rsidRDefault="006D6972" w:rsidP="0092543A">
            <w:r>
              <w:t>AUC</w:t>
            </w:r>
            <w:r w:rsidRPr="006D6972">
              <w:rPr>
                <w:vertAlign w:val="subscript"/>
              </w:rPr>
              <w:t>0-t</w:t>
            </w:r>
            <w:r>
              <w:t>(h*ng/mL)</w:t>
            </w:r>
          </w:p>
        </w:tc>
        <w:tc>
          <w:tcPr>
            <w:tcW w:w="3150" w:type="dxa"/>
          </w:tcPr>
          <w:p w14:paraId="544ADC58" w14:textId="7C096543" w:rsidR="006668EA" w:rsidRPr="00D01DDB" w:rsidRDefault="006D6972" w:rsidP="0092543A">
            <w:pPr>
              <w:cnfStyle w:val="000000000000" w:firstRow="0" w:lastRow="0" w:firstColumn="0" w:lastColumn="0" w:oddVBand="0" w:evenVBand="0" w:oddHBand="0" w:evenHBand="0" w:firstRowFirstColumn="0" w:firstRowLastColumn="0" w:lastRowFirstColumn="0" w:lastRowLastColumn="0"/>
              <w:rPr>
                <w:szCs w:val="22"/>
              </w:rPr>
            </w:pPr>
            <w:r>
              <w:rPr>
                <w:szCs w:val="22"/>
              </w:rPr>
              <w:t>2.04 (42.8); 21</w:t>
            </w:r>
          </w:p>
        </w:tc>
      </w:tr>
      <w:tr w:rsidR="006668EA" w:rsidRPr="00D01DDB" w14:paraId="6AAB3888" w14:textId="77777777" w:rsidTr="006D6972">
        <w:tc>
          <w:tcPr>
            <w:cnfStyle w:val="001000000000" w:firstRow="0" w:lastRow="0" w:firstColumn="1" w:lastColumn="0" w:oddVBand="0" w:evenVBand="0" w:oddHBand="0" w:evenHBand="0" w:firstRowFirstColumn="0" w:firstRowLastColumn="0" w:lastRowFirstColumn="0" w:lastRowLastColumn="0"/>
            <w:tcW w:w="3055" w:type="dxa"/>
          </w:tcPr>
          <w:p w14:paraId="67B6DD0B" w14:textId="3970B1E1" w:rsidR="006668EA" w:rsidRPr="002E03DA" w:rsidRDefault="006D6972" w:rsidP="0092543A">
            <w:pPr>
              <w:rPr>
                <w:szCs w:val="22"/>
                <w:lang w:val="pt-BR"/>
              </w:rPr>
            </w:pPr>
            <w:r w:rsidRPr="002E03DA">
              <w:rPr>
                <w:szCs w:val="22"/>
                <w:lang w:val="pt-BR"/>
              </w:rPr>
              <w:lastRenderedPageBreak/>
              <w:t>AUC</w:t>
            </w:r>
            <w:r w:rsidRPr="002E03DA">
              <w:rPr>
                <w:szCs w:val="22"/>
                <w:vertAlign w:val="subscript"/>
                <w:lang w:val="pt-BR"/>
              </w:rPr>
              <w:t>0-inf</w:t>
            </w:r>
            <w:r w:rsidRPr="002E03DA">
              <w:rPr>
                <w:szCs w:val="22"/>
                <w:lang w:val="pt-BR"/>
              </w:rPr>
              <w:t>(h*ng/mL)</w:t>
            </w:r>
          </w:p>
        </w:tc>
        <w:tc>
          <w:tcPr>
            <w:tcW w:w="3150" w:type="dxa"/>
          </w:tcPr>
          <w:p w14:paraId="6D4AD3C6" w14:textId="4136E43E" w:rsidR="006668EA" w:rsidRPr="00D01DDB" w:rsidRDefault="006D6972" w:rsidP="0092543A">
            <w:pPr>
              <w:cnfStyle w:val="000000000000" w:firstRow="0" w:lastRow="0" w:firstColumn="0" w:lastColumn="0" w:oddVBand="0" w:evenVBand="0" w:oddHBand="0" w:evenHBand="0" w:firstRowFirstColumn="0" w:firstRowLastColumn="0" w:lastRowFirstColumn="0" w:lastRowLastColumn="0"/>
              <w:rPr>
                <w:szCs w:val="22"/>
              </w:rPr>
            </w:pPr>
            <w:r>
              <w:rPr>
                <w:szCs w:val="22"/>
              </w:rPr>
              <w:t>2.45 (30.4); 19</w:t>
            </w:r>
          </w:p>
        </w:tc>
      </w:tr>
      <w:tr w:rsidR="006668EA" w:rsidRPr="00D01DDB" w14:paraId="4EAB3348" w14:textId="77777777" w:rsidTr="006D6972">
        <w:tc>
          <w:tcPr>
            <w:cnfStyle w:val="001000000000" w:firstRow="0" w:lastRow="0" w:firstColumn="1" w:lastColumn="0" w:oddVBand="0" w:evenVBand="0" w:oddHBand="0" w:evenHBand="0" w:firstRowFirstColumn="0" w:firstRowLastColumn="0" w:lastRowFirstColumn="0" w:lastRowLastColumn="0"/>
            <w:tcW w:w="3055" w:type="dxa"/>
          </w:tcPr>
          <w:p w14:paraId="45A49EEF" w14:textId="55D8BC72" w:rsidR="006668EA" w:rsidRPr="00D01DDB" w:rsidRDefault="006D6972" w:rsidP="0092543A">
            <w:pPr>
              <w:rPr>
                <w:szCs w:val="22"/>
              </w:rPr>
            </w:pPr>
            <w:r>
              <w:rPr>
                <w:szCs w:val="22"/>
              </w:rPr>
              <w:t>C</w:t>
            </w:r>
            <w:r w:rsidRPr="006D6972">
              <w:rPr>
                <w:szCs w:val="22"/>
                <w:vertAlign w:val="subscript"/>
              </w:rPr>
              <w:t>max</w:t>
            </w:r>
          </w:p>
        </w:tc>
        <w:tc>
          <w:tcPr>
            <w:tcW w:w="3150" w:type="dxa"/>
          </w:tcPr>
          <w:p w14:paraId="57721562" w14:textId="459BCECF" w:rsidR="006668EA" w:rsidRPr="00D01DDB" w:rsidRDefault="006D6972" w:rsidP="0092543A">
            <w:pPr>
              <w:cnfStyle w:val="000000000000" w:firstRow="0" w:lastRow="0" w:firstColumn="0" w:lastColumn="0" w:oddVBand="0" w:evenVBand="0" w:oddHBand="0" w:evenHBand="0" w:firstRowFirstColumn="0" w:firstRowLastColumn="0" w:lastRowFirstColumn="0" w:lastRowLastColumn="0"/>
              <w:rPr>
                <w:szCs w:val="22"/>
              </w:rPr>
            </w:pPr>
            <w:r>
              <w:rPr>
                <w:szCs w:val="22"/>
              </w:rPr>
              <w:t>0.435 (40.6); 21</w:t>
            </w:r>
          </w:p>
        </w:tc>
      </w:tr>
      <w:tr w:rsidR="006668EA" w:rsidRPr="00D01DDB" w14:paraId="64FD4FBB" w14:textId="77777777" w:rsidTr="006D6972">
        <w:tc>
          <w:tcPr>
            <w:cnfStyle w:val="001000000000" w:firstRow="0" w:lastRow="0" w:firstColumn="1" w:lastColumn="0" w:oddVBand="0" w:evenVBand="0" w:oddHBand="0" w:evenHBand="0" w:firstRowFirstColumn="0" w:firstRowLastColumn="0" w:lastRowFirstColumn="0" w:lastRowLastColumn="0"/>
            <w:tcW w:w="3055" w:type="dxa"/>
          </w:tcPr>
          <w:p w14:paraId="18DB3377" w14:textId="2367B61D" w:rsidR="006668EA" w:rsidRPr="00D01DDB" w:rsidRDefault="006D6972" w:rsidP="0092543A">
            <w:pPr>
              <w:rPr>
                <w:szCs w:val="22"/>
              </w:rPr>
            </w:pPr>
            <w:r>
              <w:rPr>
                <w:szCs w:val="22"/>
              </w:rPr>
              <w:t>T</w:t>
            </w:r>
            <w:r w:rsidRPr="006D6972">
              <w:rPr>
                <w:szCs w:val="22"/>
                <w:vertAlign w:val="subscript"/>
              </w:rPr>
              <w:t>max</w:t>
            </w:r>
          </w:p>
        </w:tc>
        <w:tc>
          <w:tcPr>
            <w:tcW w:w="3150" w:type="dxa"/>
          </w:tcPr>
          <w:p w14:paraId="2C521BB2" w14:textId="0026AA14" w:rsidR="006668EA" w:rsidRPr="00D01DDB" w:rsidRDefault="006D6972" w:rsidP="0092543A">
            <w:pPr>
              <w:cnfStyle w:val="000000000000" w:firstRow="0" w:lastRow="0" w:firstColumn="0" w:lastColumn="0" w:oddVBand="0" w:evenVBand="0" w:oddHBand="0" w:evenHBand="0" w:firstRowFirstColumn="0" w:firstRowLastColumn="0" w:lastRowFirstColumn="0" w:lastRowLastColumn="0"/>
              <w:rPr>
                <w:szCs w:val="22"/>
              </w:rPr>
            </w:pPr>
            <w:r>
              <w:rPr>
                <w:szCs w:val="22"/>
              </w:rPr>
              <w:t>2.50 (1.00-5.00); 21</w:t>
            </w:r>
          </w:p>
        </w:tc>
      </w:tr>
      <w:tr w:rsidR="006668EA" w:rsidRPr="00D01DDB" w14:paraId="414B8F82" w14:textId="77777777" w:rsidTr="006D6972">
        <w:tc>
          <w:tcPr>
            <w:cnfStyle w:val="001000000000" w:firstRow="0" w:lastRow="0" w:firstColumn="1" w:lastColumn="0" w:oddVBand="0" w:evenVBand="0" w:oddHBand="0" w:evenHBand="0" w:firstRowFirstColumn="0" w:firstRowLastColumn="0" w:lastRowFirstColumn="0" w:lastRowLastColumn="0"/>
            <w:tcW w:w="3055" w:type="dxa"/>
          </w:tcPr>
          <w:p w14:paraId="64E8B17E" w14:textId="3D850505" w:rsidR="006668EA" w:rsidRPr="00D01DDB" w:rsidRDefault="006D6972" w:rsidP="0092543A">
            <w:pPr>
              <w:rPr>
                <w:szCs w:val="22"/>
              </w:rPr>
            </w:pPr>
            <w:r>
              <w:rPr>
                <w:szCs w:val="22"/>
              </w:rPr>
              <w:t>t</w:t>
            </w:r>
            <w:r w:rsidRPr="006D6972">
              <w:rPr>
                <w:szCs w:val="22"/>
                <w:vertAlign w:val="subscript"/>
              </w:rPr>
              <w:t>1/2</w:t>
            </w:r>
          </w:p>
        </w:tc>
        <w:tc>
          <w:tcPr>
            <w:tcW w:w="3150" w:type="dxa"/>
          </w:tcPr>
          <w:p w14:paraId="4DEE1294" w14:textId="77791299" w:rsidR="006668EA" w:rsidRPr="00D01DDB" w:rsidRDefault="008934F8" w:rsidP="0092543A">
            <w:pPr>
              <w:cnfStyle w:val="000000000000" w:firstRow="0" w:lastRow="0" w:firstColumn="0" w:lastColumn="0" w:oddVBand="0" w:evenVBand="0" w:oddHBand="0" w:evenHBand="0" w:firstRowFirstColumn="0" w:firstRowLastColumn="0" w:lastRowFirstColumn="0" w:lastRowLastColumn="0"/>
              <w:rPr>
                <w:szCs w:val="22"/>
              </w:rPr>
            </w:pPr>
            <w:r>
              <w:rPr>
                <w:szCs w:val="22"/>
              </w:rPr>
              <w:t>2.36 (2.00); 19</w:t>
            </w:r>
          </w:p>
        </w:tc>
      </w:tr>
      <w:tr w:rsidR="006668EA" w:rsidRPr="00D01DDB" w14:paraId="10D065F4" w14:textId="77777777" w:rsidTr="006D6972">
        <w:tc>
          <w:tcPr>
            <w:cnfStyle w:val="001000000000" w:firstRow="0" w:lastRow="0" w:firstColumn="1" w:lastColumn="0" w:oddVBand="0" w:evenVBand="0" w:oddHBand="0" w:evenHBand="0" w:firstRowFirstColumn="0" w:firstRowLastColumn="0" w:lastRowFirstColumn="0" w:lastRowLastColumn="0"/>
            <w:tcW w:w="3055" w:type="dxa"/>
          </w:tcPr>
          <w:p w14:paraId="0ACD3C9B" w14:textId="050C928B" w:rsidR="006668EA" w:rsidRPr="00D01DDB" w:rsidRDefault="006D6972" w:rsidP="0092543A">
            <w:pPr>
              <w:rPr>
                <w:szCs w:val="22"/>
              </w:rPr>
            </w:pPr>
            <w:r>
              <w:rPr>
                <w:szCs w:val="22"/>
              </w:rPr>
              <w:t>CL/F</w:t>
            </w:r>
          </w:p>
        </w:tc>
        <w:tc>
          <w:tcPr>
            <w:tcW w:w="3150" w:type="dxa"/>
          </w:tcPr>
          <w:p w14:paraId="7E9AB9A2" w14:textId="513E2600" w:rsidR="006668EA" w:rsidRPr="00D01DDB" w:rsidRDefault="008934F8" w:rsidP="0092543A">
            <w:pPr>
              <w:cnfStyle w:val="000000000000" w:firstRow="0" w:lastRow="0" w:firstColumn="0" w:lastColumn="0" w:oddVBand="0" w:evenVBand="0" w:oddHBand="0" w:evenHBand="0" w:firstRowFirstColumn="0" w:firstRowLastColumn="0" w:lastRowFirstColumn="0" w:lastRowLastColumn="0"/>
              <w:rPr>
                <w:szCs w:val="22"/>
              </w:rPr>
            </w:pPr>
            <w:r>
              <w:rPr>
                <w:szCs w:val="22"/>
              </w:rPr>
              <w:t>3060 (955); 19</w:t>
            </w:r>
          </w:p>
        </w:tc>
      </w:tr>
      <w:tr w:rsidR="006668EA" w:rsidRPr="00D01DDB" w14:paraId="25C42C0F" w14:textId="77777777" w:rsidTr="006D6972">
        <w:tc>
          <w:tcPr>
            <w:cnfStyle w:val="001000000000" w:firstRow="0" w:lastRow="0" w:firstColumn="1" w:lastColumn="0" w:oddVBand="0" w:evenVBand="0" w:oddHBand="0" w:evenHBand="0" w:firstRowFirstColumn="0" w:firstRowLastColumn="0" w:lastRowFirstColumn="0" w:lastRowLastColumn="0"/>
            <w:tcW w:w="3055" w:type="dxa"/>
          </w:tcPr>
          <w:p w14:paraId="25E3FCE9" w14:textId="5682E66C" w:rsidR="006668EA" w:rsidRPr="00D01DDB" w:rsidRDefault="006D6972" w:rsidP="0092543A">
            <w:pPr>
              <w:rPr>
                <w:szCs w:val="22"/>
              </w:rPr>
            </w:pPr>
            <w:r>
              <w:rPr>
                <w:szCs w:val="22"/>
              </w:rPr>
              <w:t>V</w:t>
            </w:r>
            <w:r w:rsidRPr="006D6972">
              <w:rPr>
                <w:szCs w:val="22"/>
                <w:vertAlign w:val="subscript"/>
              </w:rPr>
              <w:t>z</w:t>
            </w:r>
            <w:r>
              <w:rPr>
                <w:szCs w:val="22"/>
              </w:rPr>
              <w:t>/F</w:t>
            </w:r>
          </w:p>
        </w:tc>
        <w:tc>
          <w:tcPr>
            <w:tcW w:w="3150" w:type="dxa"/>
          </w:tcPr>
          <w:p w14:paraId="366A441F" w14:textId="6BA319B9" w:rsidR="006668EA" w:rsidRPr="00D01DDB" w:rsidRDefault="008934F8" w:rsidP="0092543A">
            <w:pPr>
              <w:cnfStyle w:val="000000000000" w:firstRow="0" w:lastRow="0" w:firstColumn="0" w:lastColumn="0" w:oddVBand="0" w:evenVBand="0" w:oddHBand="0" w:evenHBand="0" w:firstRowFirstColumn="0" w:firstRowLastColumn="0" w:lastRowFirstColumn="0" w:lastRowLastColumn="0"/>
              <w:rPr>
                <w:szCs w:val="22"/>
              </w:rPr>
            </w:pPr>
            <w:r>
              <w:rPr>
                <w:szCs w:val="22"/>
              </w:rPr>
              <w:t>9940 (7280); 19</w:t>
            </w:r>
          </w:p>
        </w:tc>
      </w:tr>
    </w:tbl>
    <w:bookmarkEnd w:id="35"/>
    <w:p w14:paraId="33016F21" w14:textId="1BD9B183" w:rsidR="006668EA" w:rsidRDefault="0016315A" w:rsidP="0016315A">
      <w:pPr>
        <w:pStyle w:val="TableDescription"/>
      </w:pPr>
      <w:r>
        <w:t>AUCs and C</w:t>
      </w:r>
      <w:r w:rsidRPr="00E76C27">
        <w:rPr>
          <w:vertAlign w:val="subscript"/>
        </w:rPr>
        <w:t>max</w:t>
      </w:r>
      <w:r>
        <w:t xml:space="preserve"> are presented as geometric mean (geometric CV%), Tmax is presented as Median (Min, Max)</w:t>
      </w:r>
      <w:r w:rsidR="00F11117">
        <w:t>; other parameters are presented as mean (SD)</w:t>
      </w:r>
    </w:p>
    <w:p w14:paraId="556754C9" w14:textId="51042241" w:rsidR="0076118F" w:rsidRDefault="0076118F" w:rsidP="0076118F">
      <w:r>
        <w:t>Exposure to odevixibat was lower in both the fed state (decrease of 72% and 62% in C</w:t>
      </w:r>
      <w:r w:rsidRPr="002A13C1">
        <w:rPr>
          <w:vertAlign w:val="subscript"/>
        </w:rPr>
        <w:t>max</w:t>
      </w:r>
      <w:r>
        <w:t xml:space="preserve"> and AUC</w:t>
      </w:r>
      <w:r w:rsidRPr="002A13C1">
        <w:rPr>
          <w:vertAlign w:val="subscript"/>
        </w:rPr>
        <w:t>0-24</w:t>
      </w:r>
      <w:r>
        <w:t>, respectively) and when dosed as a sprinkled formulation on apple sauce (decrease of 39% and 36% in C</w:t>
      </w:r>
      <w:r w:rsidRPr="002A13C1">
        <w:rPr>
          <w:vertAlign w:val="subscript"/>
        </w:rPr>
        <w:t>max</w:t>
      </w:r>
      <w:r>
        <w:t xml:space="preserve"> and AU</w:t>
      </w:r>
      <w:r w:rsidR="002A13C1" w:rsidRPr="002A13C1">
        <w:t>C</w:t>
      </w:r>
      <w:r w:rsidRPr="002A13C1">
        <w:rPr>
          <w:vertAlign w:val="subscript"/>
        </w:rPr>
        <w:t>0-24</w:t>
      </w:r>
      <w:r>
        <w:t xml:space="preserve">, respectively) when each condition was compared to fasted state exposure. The decrease in the bioavailability of odevixibat following administration with food did not correlate with differences in changes from baseline in the concentration of the </w:t>
      </w:r>
      <w:r w:rsidR="00E83D80">
        <w:t>pharmacodynamic (</w:t>
      </w:r>
      <w:r>
        <w:t>PD</w:t>
      </w:r>
      <w:r w:rsidR="00E83D80">
        <w:t>)</w:t>
      </w:r>
      <w:r>
        <w:t xml:space="preserve"> marker, C4. As a PK/PD relationship could not be established, and because younger children were unlikely to be able to swallow whole capsules, thereby requiring “sprinkled” capsule contents, EMA agreed to recommend that odevixibat can be administered with food.</w:t>
      </w:r>
    </w:p>
    <w:p w14:paraId="782C7F2E" w14:textId="77777777" w:rsidR="0076118F" w:rsidRDefault="0076118F" w:rsidP="0076118F">
      <w:r>
        <w:t>Plasma protein binding of odevixibat was high, &gt;99.7% at 4 μM and &gt;99.97% at 40 μM (unbound fraction &lt;0.3%). The mean body weight adjusted apparent volumes of distribution (V/F) in paediatric patients for the 40 and 120 μg/kg/day dose regimens were 40.3 and 43.7 L/kg, respectively.</w:t>
      </w:r>
    </w:p>
    <w:p w14:paraId="5E17F195" w14:textId="77777777" w:rsidR="0076118F" w:rsidRDefault="466018C4" w:rsidP="0076118F">
      <w:r>
        <w:t>Based on population PK modelling, the mean half-life of odevixibat in paediatric patients was about 2.4 hours. The half-life is highly variable and could often not be determined using non- compartmental data, owing to the frequency of samples with undetectable levels.</w:t>
      </w:r>
    </w:p>
    <w:p w14:paraId="579BD44B" w14:textId="77777777" w:rsidR="0076118F" w:rsidRDefault="0076118F" w:rsidP="0076118F">
      <w:r>
        <w:t>The pharmacokinetics of odevixibat were adequately assessed. Odevixibat is poorly absorbed and its main action is locally in the gut.</w:t>
      </w:r>
    </w:p>
    <w:p w14:paraId="102C220F" w14:textId="48728E93" w:rsidR="0076118F" w:rsidRDefault="0076118F" w:rsidP="0076118F">
      <w:pPr>
        <w:pStyle w:val="Heading5"/>
      </w:pPr>
      <w:r>
        <w:t xml:space="preserve">Population pharmacokinetic data </w:t>
      </w:r>
    </w:p>
    <w:p w14:paraId="082340A4" w14:textId="092F85EB" w:rsidR="0076118F" w:rsidRDefault="0076118F" w:rsidP="0076118F">
      <w:r>
        <w:t xml:space="preserve">The population PK </w:t>
      </w:r>
      <w:r w:rsidRPr="0076118F">
        <w:t>(popPK)</w:t>
      </w:r>
      <w:r w:rsidR="00871DFB">
        <w:t xml:space="preserve"> </w:t>
      </w:r>
      <w:r>
        <w:t>analysis ALBI-PMX-A4250-1167_PPK was performed based on Phase 1 studies in healthy adult subjects (A4250-001, A4250-004, and A4250-013) and Phase 2/3 studies in paediatric patients (A4250-003 and A4250-005). Due to the limited availability of detectable PK samples, the population model is mainly driven by data from adult studies A4250- 004 and A4250-013. Population PK modelling and simulations were performed using NONMEM.</w:t>
      </w:r>
    </w:p>
    <w:p w14:paraId="4B7386FB" w14:textId="54A32986" w:rsidR="0076118F" w:rsidRDefault="0076118F" w:rsidP="0076118F">
      <w:r>
        <w:t>A total of 105 adult and 53 paediatric subjects were included in the population PK analysis. The PK of odevixibat was described using a one-compartment model with linear elimination. The population PK model included a first- and second-rate constant of absorption to characterise double peak absorption profiles (K</w:t>
      </w:r>
      <w:r w:rsidRPr="002500B7">
        <w:rPr>
          <w:vertAlign w:val="subscript"/>
        </w:rPr>
        <w:t>a1</w:t>
      </w:r>
      <w:r>
        <w:t xml:space="preserve"> and K</w:t>
      </w:r>
      <w:r w:rsidRPr="002500B7">
        <w:rPr>
          <w:vertAlign w:val="subscript"/>
        </w:rPr>
        <w:t>a2</w:t>
      </w:r>
      <w:r>
        <w:t xml:space="preserve">, respectively). Covariates included in the final model were bodyweight on </w:t>
      </w:r>
      <w:r w:rsidR="00871DFB" w:rsidRPr="00871DFB">
        <w:t xml:space="preserve">apparent clearance </w:t>
      </w:r>
      <w:r w:rsidR="00871DFB">
        <w:t>(</w:t>
      </w:r>
      <w:r>
        <w:t>CL/F</w:t>
      </w:r>
      <w:r w:rsidR="00871DFB">
        <w:t>)</w:t>
      </w:r>
      <w:r>
        <w:t>, P-gp inhibitors and liver impairment on CL/F, body weight on V/F, dosage form and formulation on relative bioavailability (F</w:t>
      </w:r>
      <w:r w:rsidRPr="009D0565">
        <w:rPr>
          <w:vertAlign w:val="subscript"/>
        </w:rPr>
        <w:t>rel</w:t>
      </w:r>
      <w:r>
        <w:t>), and formulation on K</w:t>
      </w:r>
      <w:r w:rsidRPr="00FF0EB3">
        <w:rPr>
          <w:vertAlign w:val="subscript"/>
        </w:rPr>
        <w:t>a1</w:t>
      </w:r>
      <w:r>
        <w:t>. The estimated typical (CL/F), volume of distribution (V/F) and elimination half- life (t</w:t>
      </w:r>
      <w:r w:rsidRPr="00802E50">
        <w:rPr>
          <w:vertAlign w:val="subscript"/>
        </w:rPr>
        <w:t>1/2</w:t>
      </w:r>
      <w:r>
        <w:t>) of odevixibat in a 70-kg subject were 2180 L/h, 2510 L and 47.9 min, respectively.</w:t>
      </w:r>
    </w:p>
    <w:p w14:paraId="062F7EAD" w14:textId="5DDCAC53" w:rsidR="0076118F" w:rsidRDefault="0076118F" w:rsidP="0076118F">
      <w:r>
        <w:t>The exposure of odevixibat in paediatric patients with PFIC was calculated for the 40 and 120 μg/kg/day dose levels (study A4250-005), using the population model. The mean C</w:t>
      </w:r>
      <w:r w:rsidRPr="005848B4">
        <w:rPr>
          <w:vertAlign w:val="subscript"/>
        </w:rPr>
        <w:t>max</w:t>
      </w:r>
      <w:r>
        <w:t xml:space="preserve"> of odevixibat in paediatric patients treated with the 40 and 120 μg/kg/day dose were estimated to </w:t>
      </w:r>
      <w:r>
        <w:lastRenderedPageBreak/>
        <w:t>be 0.211 and 0.623 ng/mL, respectively, and the mean AUCs were 2.26 and 5.99 ng*hr/mL, respectively.</w:t>
      </w:r>
    </w:p>
    <w:p w14:paraId="671B5BD5" w14:textId="77777777" w:rsidR="0076118F" w:rsidRDefault="0076118F" w:rsidP="0076118F">
      <w:r>
        <w:t>Due to the low bioavailability of odevixibat, the variability of the PK parameters is relatively high. The applicant concluded that it was not possible to estimate dose proportionality (C</w:t>
      </w:r>
      <w:r w:rsidRPr="005848B4">
        <w:rPr>
          <w:vertAlign w:val="subscript"/>
        </w:rPr>
        <w:t>max</w:t>
      </w:r>
      <w:r>
        <w:t>/dose and AUC/dose) accurately. However, the mean C</w:t>
      </w:r>
      <w:r w:rsidRPr="005848B4">
        <w:rPr>
          <w:vertAlign w:val="subscript"/>
        </w:rPr>
        <w:t>max</w:t>
      </w:r>
      <w:r>
        <w:t xml:space="preserve"> and AUC</w:t>
      </w:r>
      <w:r w:rsidRPr="005848B4">
        <w:rPr>
          <w:vertAlign w:val="subscript"/>
        </w:rPr>
        <w:t>0-t</w:t>
      </w:r>
      <w:r>
        <w:t xml:space="preserve"> tended to increase with increasing doses. Odevixibat has a short elimination half-life, and no accumulation is observed. The EMA SmPC includes a statement that the C</w:t>
      </w:r>
      <w:r w:rsidRPr="005848B4">
        <w:rPr>
          <w:vertAlign w:val="subscript"/>
        </w:rPr>
        <w:t>max</w:t>
      </w:r>
      <w:r>
        <w:t xml:space="preserve"> and AUC</w:t>
      </w:r>
      <w:r w:rsidRPr="005848B4">
        <w:rPr>
          <w:vertAlign w:val="subscript"/>
        </w:rPr>
        <w:t xml:space="preserve">0-t </w:t>
      </w:r>
      <w:r>
        <w:t xml:space="preserve">increase with increasing doses; </w:t>
      </w:r>
      <w:proofErr w:type="gramStart"/>
      <w:r>
        <w:t>however</w:t>
      </w:r>
      <w:proofErr w:type="gramEnd"/>
      <w:r>
        <w:t xml:space="preserve"> due to the high between-subject variability of approximately 40%, it is not possible to estimate dose proportionality accurately.</w:t>
      </w:r>
    </w:p>
    <w:p w14:paraId="1F9EE1EF" w14:textId="77777777" w:rsidR="0076118F" w:rsidRDefault="0076118F" w:rsidP="0076118F">
      <w:pPr>
        <w:pStyle w:val="Heading5"/>
      </w:pPr>
      <w:r>
        <w:t>Special populations</w:t>
      </w:r>
    </w:p>
    <w:p w14:paraId="2D4E425A" w14:textId="77777777" w:rsidR="0076118F" w:rsidRDefault="0076118F" w:rsidP="0076118F">
      <w:r>
        <w:t>Limited PK data are available to compare the effects of hepatic dysfunction on odevixibat PK, as few patients with PFIC have normal hepatic function. No clinically significant differences in the pharmacokinetics of odevixibat were observed based on mild renal impairment, age, sex or race. No subjects with moderate and severe renal impairment were included in the studies.</w:t>
      </w:r>
    </w:p>
    <w:p w14:paraId="2E5436D6" w14:textId="79B32422" w:rsidR="0076118F" w:rsidRPr="0076118F" w:rsidRDefault="0076118F" w:rsidP="0076118F">
      <w:pPr>
        <w:pStyle w:val="Heading5"/>
      </w:pPr>
      <w:r>
        <w:t xml:space="preserve">Pharmacodynamics </w:t>
      </w:r>
    </w:p>
    <w:p w14:paraId="6FC875CC" w14:textId="6BDB21F1" w:rsidR="0076118F" w:rsidRDefault="0076118F" w:rsidP="0076118F">
      <w:r>
        <w:t xml:space="preserve">The PD of odevixibat were evaluated in Studies A4250-001 and A4250- 003 by assessment of changes from baseline in SBA, faecal bile acids, fibroblast growth factor 19 (FGF19), 7α-hydroxy-4-cholesten-3-one (C4) and autotaxin levels. A reduction in bile acid absorption is expected to result in lower levels of FGF19 and higher levels of C4. Autotaxin levels have been correlated with cholestatic </w:t>
      </w:r>
      <w:r w:rsidR="00C70F23">
        <w:t>pruritus</w:t>
      </w:r>
      <w:r>
        <w:t>.</w:t>
      </w:r>
    </w:p>
    <w:p w14:paraId="785C0CF1" w14:textId="77777777" w:rsidR="0076118F" w:rsidRDefault="0076118F" w:rsidP="0076118F">
      <w:r>
        <w:t>In the multiple ascending dose cohorts (odevixibat 1mg daily, 3mg daily, or 1.5mg bd vs placebo) mean decreases from Day 1 pre-dose in FGF19 concentrations were observed for all odevixibat dose levels at all post-dose time points on Days 1 and 7, and at pre-dose on Day 7. Comparable mean increases from Day 1 pre-dose in C4 concentrations were observed for all odevixibat dose levels at all post-dose time points on Days 1 and 7, with greater mean increases observed on Day 7. Pairwise treatment comparisons with placebo showed the adjusted arithmetic mean concentrations were statistically significant for 3 mg odevixibat (FGF19 and C4 on both study days) and for 1.5 mg odevixibat BID (FGF19 on both study days and C4 on Day 7).</w:t>
      </w:r>
    </w:p>
    <w:p w14:paraId="7E6960E0" w14:textId="77777777" w:rsidR="0076118F" w:rsidRDefault="0076118F" w:rsidP="0076118F">
      <w:r>
        <w:t>Mean decreases from Day 1 pre-dose in plasma levels of total bile acids were observed for odevixibat-dosed participants in all cohorts, but with a high degree of variability. Pairwise treatment comparisons with placebo showed the mean decreases were statistically significant for 3 mg odevixibat QD and 1.5 mg odevixibat BID at isolated time points and were of similar magnitude.</w:t>
      </w:r>
    </w:p>
    <w:p w14:paraId="2BB65DCC" w14:textId="77777777" w:rsidR="0076118F" w:rsidRDefault="0076118F" w:rsidP="0076118F">
      <w:r>
        <w:t>In study A4250-003 a reduction in SBA levels was observed after 4 weeks of daily treatment with odevixibat in all dose groups, with the smallest mean reduction being 30.9% in the 0.01 mg/kg dose group and the largest being 62.8% in the 0.06 mg/kg dose group. Further dose escalation did not show any further decrease in total SBA. Individual responses varied from a 98% reduction in some patients to almost unchanged levels in others. Numerically, patients with PFIC trended toward a greater response than patients with other diagnoses. The best response in the subgroup of patients with PFIC was at 30 μg/kg/day.</w:t>
      </w:r>
    </w:p>
    <w:p w14:paraId="0E392EA8" w14:textId="77777777" w:rsidR="0076118F" w:rsidRDefault="0076118F" w:rsidP="0076118F">
      <w:r>
        <w:t>A dedicated QT study was not conducted. Non-clinical data indicated a low potential for adverse effects on the cardiovascular system. The clinical data in conjunction with the minimal systemic exposure to odevixibat, resulting only in transient nanomolar plasma concentrations (where quantifiable), indicates odevixibat does not carry a significant risk for induction of arrhythmias or QTc prolongation.</w:t>
      </w:r>
    </w:p>
    <w:p w14:paraId="4E08C7DA" w14:textId="77777777" w:rsidR="0076118F" w:rsidRDefault="0076118F" w:rsidP="0076118F">
      <w:pPr>
        <w:pStyle w:val="Heading4"/>
      </w:pPr>
      <w:bookmarkStart w:id="36" w:name="_Toc204158915"/>
      <w:r>
        <w:lastRenderedPageBreak/>
        <w:t>Efficacy</w:t>
      </w:r>
      <w:bookmarkEnd w:id="36"/>
    </w:p>
    <w:p w14:paraId="4DDE9727" w14:textId="49F4B77E" w:rsidR="0076118F" w:rsidRDefault="0076118F" w:rsidP="0076118F">
      <w:r>
        <w:t>The pivotal study in support of this application was A4250-005, a double-blind, randomized, placebo-controlled phase 3 study in children with PFIC types 1 and 2. Randomisation was done in block size of 6 and stratified according to PFIC type (Type 1 or 2) and age group (6 months to 5 years, 6 to 12 years, and 13 to ≤18 years) to ensure an approximate balance between dose schemes.</w:t>
      </w:r>
    </w:p>
    <w:p w14:paraId="6F59849D" w14:textId="39EA19D7" w:rsidR="0076118F" w:rsidRDefault="0076118F" w:rsidP="0076118F">
      <w:pPr>
        <w:pStyle w:val="Heading5"/>
      </w:pPr>
      <w:r>
        <w:t xml:space="preserve">Inclusion </w:t>
      </w:r>
      <w:r w:rsidR="00A80E85">
        <w:t>c</w:t>
      </w:r>
      <w:r>
        <w:t>riteria</w:t>
      </w:r>
    </w:p>
    <w:p w14:paraId="584165E2" w14:textId="77777777" w:rsidR="0076118F" w:rsidRDefault="0076118F" w:rsidP="0076118F">
      <w:r>
        <w:t>Based on Protocol Amendment 6 (dated 24 June 2019), patients who met all the following criteria were eligible for enrolment in this study:</w:t>
      </w:r>
    </w:p>
    <w:p w14:paraId="585F35AB" w14:textId="1D337178" w:rsidR="0076118F" w:rsidRDefault="0076118F" w:rsidP="0076118F">
      <w:pPr>
        <w:pStyle w:val="Numberbullet0"/>
      </w:pPr>
      <w:r>
        <w:t>Male or female, with clinical diagnosis of PFIC1 or PFIC2, aged ≥6 months and ≤18 years at Visit 1, with a body weight above 5 kg</w:t>
      </w:r>
    </w:p>
    <w:p w14:paraId="579AD5C9" w14:textId="6CC9D971" w:rsidR="0076118F" w:rsidRDefault="0076118F" w:rsidP="0076118F">
      <w:pPr>
        <w:pStyle w:val="Numberbullet0"/>
      </w:pPr>
      <w:r>
        <w:t>Had clinical genetic confirmation of PFIC1 or PFIC2 through identification of biallelic pathogenic variants in either the ATP8B1 or ABCB11 genes</w:t>
      </w:r>
    </w:p>
    <w:p w14:paraId="6A0852BD" w14:textId="4ACE3E0B" w:rsidR="0076118F" w:rsidRDefault="0076118F" w:rsidP="0076118F">
      <w:pPr>
        <w:pStyle w:val="Numberbullet0"/>
      </w:pPr>
      <w:r>
        <w:t>Had SBA concentration (the average of 2 samples at least 7 days apart, Visits 1 and 2) ≥100 μmol/L (40 μg/mL) prior to randomisation</w:t>
      </w:r>
    </w:p>
    <w:p w14:paraId="5C5B0AE1" w14:textId="585AD6A8" w:rsidR="0076118F" w:rsidRDefault="0076118F" w:rsidP="0076118F">
      <w:pPr>
        <w:pStyle w:val="Numberbullet0"/>
      </w:pPr>
      <w:r>
        <w:t xml:space="preserve">Had a history of significant </w:t>
      </w:r>
      <w:r w:rsidR="00C70F23">
        <w:t>pruritus</w:t>
      </w:r>
      <w:r>
        <w:t xml:space="preserve"> and caregiver-reported observed scratching (recorded in an eDiary) average of ≥2 (on 0 to 4 scale) in the 2 weeks prior to randomisation</w:t>
      </w:r>
    </w:p>
    <w:p w14:paraId="2BBD3AFF" w14:textId="2D41B26D" w:rsidR="0076118F" w:rsidRDefault="0076118F" w:rsidP="0076118F">
      <w:pPr>
        <w:pStyle w:val="Numberbullet0"/>
      </w:pPr>
      <w:r>
        <w:t>Patient and/or legal guardian signed informed consent (and assent) as appropriate.</w:t>
      </w:r>
    </w:p>
    <w:p w14:paraId="158D19A3" w14:textId="1C6AA558" w:rsidR="0076118F" w:rsidRDefault="0076118F" w:rsidP="0076118F">
      <w:pPr>
        <w:pStyle w:val="Heading5"/>
      </w:pPr>
      <w:r>
        <w:t xml:space="preserve">Exclusion </w:t>
      </w:r>
      <w:r w:rsidR="00A80E85">
        <w:t>c</w:t>
      </w:r>
      <w:r>
        <w:t>riteria</w:t>
      </w:r>
    </w:p>
    <w:p w14:paraId="611D4340" w14:textId="3DCA90CA" w:rsidR="0076118F" w:rsidRDefault="0076118F" w:rsidP="00D5129D">
      <w:pPr>
        <w:pStyle w:val="Numberbullet0"/>
        <w:numPr>
          <w:ilvl w:val="0"/>
          <w:numId w:val="14"/>
        </w:numPr>
      </w:pPr>
      <w:r>
        <w:t>Pathologic variations of the ABCB11 gene that predicted complete absence of the BSEP protein</w:t>
      </w:r>
    </w:p>
    <w:p w14:paraId="3AA9E191" w14:textId="59E98A9F" w:rsidR="0076118F" w:rsidRDefault="0076118F" w:rsidP="00D5129D">
      <w:pPr>
        <w:pStyle w:val="Numberbullet0"/>
        <w:numPr>
          <w:ilvl w:val="0"/>
          <w:numId w:val="14"/>
        </w:numPr>
      </w:pPr>
      <w:r>
        <w:t>Past medical history or ongoing presence of other types of liver disease including, but not limited to, the following:</w:t>
      </w:r>
    </w:p>
    <w:p w14:paraId="223F400F" w14:textId="02099AD1" w:rsidR="0076118F" w:rsidRDefault="0076118F" w:rsidP="00D5129D">
      <w:pPr>
        <w:pStyle w:val="Numberbullet2"/>
      </w:pPr>
      <w:r>
        <w:t>Biliary atresia of any kind</w:t>
      </w:r>
    </w:p>
    <w:p w14:paraId="6F8944C1" w14:textId="075ADD4C" w:rsidR="0076118F" w:rsidRDefault="0076118F" w:rsidP="00D5129D">
      <w:pPr>
        <w:pStyle w:val="Numberbullet2"/>
      </w:pPr>
      <w:r>
        <w:t>Benign recurrent intrahepatic cholestasis (BRIC), indicated by any history of normal serum bile acids</w:t>
      </w:r>
    </w:p>
    <w:p w14:paraId="001FA0FF" w14:textId="38AB8314" w:rsidR="0076118F" w:rsidRDefault="0076118F" w:rsidP="00D5129D">
      <w:pPr>
        <w:pStyle w:val="Numberbullet2"/>
      </w:pPr>
      <w:r>
        <w:t>Suspected or proven liver cancer or metastasis to the liver on imaging studies</w:t>
      </w:r>
    </w:p>
    <w:p w14:paraId="586FF3EF" w14:textId="734A36A1" w:rsidR="0076118F" w:rsidRDefault="0076118F" w:rsidP="00D5129D">
      <w:pPr>
        <w:pStyle w:val="Numberbullet2"/>
      </w:pPr>
      <w:r>
        <w:t>Histopathology on liver biopsy suggestive of alternate non-PFIC related aetiology of cholestasis</w:t>
      </w:r>
    </w:p>
    <w:p w14:paraId="59EDF27D" w14:textId="5A79299A" w:rsidR="0076118F" w:rsidRDefault="0076118F" w:rsidP="00D5129D">
      <w:pPr>
        <w:pStyle w:val="Numberbullet0"/>
        <w:numPr>
          <w:ilvl w:val="0"/>
          <w:numId w:val="14"/>
        </w:numPr>
      </w:pPr>
      <w:r>
        <w:t>Past medical history or ongoing presence of any other disease or condition known to interfere with the absorption, distribution, metabolism (specifically bile acid metabolism), or excretion of drugs in the intestine, including but not limited to, inflammatory bowel disease</w:t>
      </w:r>
    </w:p>
    <w:p w14:paraId="187C8565" w14:textId="4655ACA0" w:rsidR="0076118F" w:rsidRDefault="0076118F" w:rsidP="00D5129D">
      <w:pPr>
        <w:pStyle w:val="Numberbullet0"/>
        <w:numPr>
          <w:ilvl w:val="0"/>
          <w:numId w:val="14"/>
        </w:numPr>
      </w:pPr>
      <w:r>
        <w:t>Past medical history or ongoing chronic (i.e. &gt;3 months) diarrhoea requiring intravenous fluid or nutritional intervention for treatment of the diarrhoea and/or its sequelae</w:t>
      </w:r>
    </w:p>
    <w:p w14:paraId="7C164150" w14:textId="33007EBC" w:rsidR="0076118F" w:rsidRDefault="0076118F" w:rsidP="00D5129D">
      <w:pPr>
        <w:pStyle w:val="Numberbullet0"/>
        <w:numPr>
          <w:ilvl w:val="0"/>
          <w:numId w:val="14"/>
        </w:numPr>
      </w:pPr>
      <w:r>
        <w:t>Surgical history of disruption of the enterohepatic circulation (biliary diversion surgery) within 6 months prior to start of screening period</w:t>
      </w:r>
    </w:p>
    <w:p w14:paraId="7CD4A128" w14:textId="3BD5CBEC" w:rsidR="0076118F" w:rsidRDefault="0076118F" w:rsidP="00D5129D">
      <w:pPr>
        <w:pStyle w:val="Numberbullet0"/>
        <w:numPr>
          <w:ilvl w:val="0"/>
          <w:numId w:val="14"/>
        </w:numPr>
      </w:pPr>
      <w:r>
        <w:t>Previous liver transplant or a liver transplant that was planned within 6 months of randomization</w:t>
      </w:r>
    </w:p>
    <w:p w14:paraId="0437688E" w14:textId="327ED4F0" w:rsidR="0076118F" w:rsidRDefault="0076118F" w:rsidP="00D5129D">
      <w:pPr>
        <w:pStyle w:val="Numberbullet0"/>
        <w:numPr>
          <w:ilvl w:val="0"/>
          <w:numId w:val="14"/>
        </w:numPr>
      </w:pPr>
      <w:r>
        <w:t>Decompensated liver disease, coagulopathy, history or presence of clinically significant ascites, variceal haemorrhage, and/or encephalopathy</w:t>
      </w:r>
    </w:p>
    <w:p w14:paraId="529B7B58" w14:textId="5982030E" w:rsidR="0076118F" w:rsidRDefault="0076118F" w:rsidP="00A80E85">
      <w:pPr>
        <w:pStyle w:val="Numberbullet0"/>
        <w:numPr>
          <w:ilvl w:val="0"/>
          <w:numId w:val="14"/>
        </w:numPr>
      </w:pPr>
      <w:r>
        <w:lastRenderedPageBreak/>
        <w:t>International normalized ratio (INR) &gt;1.4 (the patient could be treated with vitamin K</w:t>
      </w:r>
      <w:r w:rsidR="00867855">
        <w:t xml:space="preserve"> </w:t>
      </w:r>
      <w:r>
        <w:t>intravenously, and if INR was ≤1.4 at resampling, the patient could have been randomised)</w:t>
      </w:r>
    </w:p>
    <w:p w14:paraId="31D7BC41" w14:textId="6FFC3CC7" w:rsidR="0076118F" w:rsidRDefault="0076118F" w:rsidP="00A80E85">
      <w:pPr>
        <w:pStyle w:val="Numberbullet0"/>
        <w:numPr>
          <w:ilvl w:val="0"/>
          <w:numId w:val="14"/>
        </w:numPr>
      </w:pPr>
      <w:r>
        <w:t>Serum ALT &gt;10 × upper limit of normal (ULN) at screening</w:t>
      </w:r>
    </w:p>
    <w:p w14:paraId="3C5DE8EC" w14:textId="59149EB7" w:rsidR="0076118F" w:rsidRDefault="0076118F" w:rsidP="00A80E85">
      <w:pPr>
        <w:pStyle w:val="Numberbullet0"/>
        <w:numPr>
          <w:ilvl w:val="0"/>
          <w:numId w:val="14"/>
        </w:numPr>
      </w:pPr>
      <w:r>
        <w:t>Serum ALT &gt;15 × ULN at any time point during the last 6 months unless an alternate aetiology was confirmed for the elevation</w:t>
      </w:r>
    </w:p>
    <w:p w14:paraId="79BD815E" w14:textId="4DF626D3" w:rsidR="0076118F" w:rsidRDefault="0076118F" w:rsidP="00D5129D">
      <w:pPr>
        <w:pStyle w:val="Numberbullet0"/>
        <w:numPr>
          <w:ilvl w:val="0"/>
          <w:numId w:val="14"/>
        </w:numPr>
      </w:pPr>
      <w:r>
        <w:t>Total bilirubin &gt;10 × ULN at screening</w:t>
      </w:r>
    </w:p>
    <w:p w14:paraId="37142BD2" w14:textId="43A4E5FA" w:rsidR="0076118F" w:rsidRDefault="0076118F" w:rsidP="00543503">
      <w:pPr>
        <w:pStyle w:val="Heading5"/>
      </w:pPr>
      <w:r>
        <w:t>Treatment</w:t>
      </w:r>
    </w:p>
    <w:p w14:paraId="1BE1D628" w14:textId="77777777" w:rsidR="0076118F" w:rsidRDefault="0076118F" w:rsidP="0076118F">
      <w:r>
        <w:t>Patients received oral odevixibat at a dose of 40 μg/kg or 120 μg/kg, or placebo, for 24 weeks.</w:t>
      </w:r>
    </w:p>
    <w:p w14:paraId="41E17F38" w14:textId="77777777" w:rsidR="0076118F" w:rsidRDefault="0076118F" w:rsidP="00543503">
      <w:pPr>
        <w:pStyle w:val="Heading6"/>
      </w:pPr>
      <w:r>
        <w:t>Concomitant medication</w:t>
      </w:r>
    </w:p>
    <w:p w14:paraId="02DA5426" w14:textId="77777777" w:rsidR="0076118F" w:rsidRDefault="0076118F" w:rsidP="0076118F">
      <w:r>
        <w:t>Treatment with UDCA, rifampicin, and/or antihistamines was allowed provided the patient was on a stable dosage for at least four weeks before enrolment and no dosage changes were planned during the entire study period. Topical treatment was allowed without restriction.</w:t>
      </w:r>
    </w:p>
    <w:p w14:paraId="0CDAF041" w14:textId="77777777" w:rsidR="0076118F" w:rsidRDefault="0076118F" w:rsidP="0076118F">
      <w:r>
        <w:t>Other drugs/natural products with possible effects on GI motility (e.g. selective serotonin reuptake inhibiting drugs, tetracyclic antidepressants, fibre supplementation, yoghurt variants) were allowed provided there was stable usage of the product for at least four weeks before enrolment until treatment discontinuation.</w:t>
      </w:r>
    </w:p>
    <w:p w14:paraId="103C6D3C" w14:textId="6F6268CA" w:rsidR="0076118F" w:rsidRDefault="0076118F" w:rsidP="0076118F">
      <w:r>
        <w:t>The primary objective of the study was to demonstrate the efficacy of repeated daily doses of 40</w:t>
      </w:r>
      <w:r w:rsidR="00543503">
        <w:t xml:space="preserve"> </w:t>
      </w:r>
      <w:r>
        <w:t>μg/kg/day and 120 μg/kg/day odevixibat in children with PFIC1 and PFIC2.</w:t>
      </w:r>
    </w:p>
    <w:p w14:paraId="79374925" w14:textId="77777777" w:rsidR="0076118F" w:rsidRDefault="0076118F" w:rsidP="0076118F">
      <w:r>
        <w:t>The secondary objectives of the study were to evaluate the effect of odevixibat on serum ALT concentration, growth, sleep disturbance, and the need for surgical treatment (biliary diversion or liver transplantation) as well as to assess the safety and tolerability of repeated daily doses of odevixibat for 24 weeks.</w:t>
      </w:r>
    </w:p>
    <w:p w14:paraId="58FE130A" w14:textId="3CDCE51E" w:rsidR="0076118F" w:rsidRDefault="0076118F" w:rsidP="0076118F">
      <w:r>
        <w:t xml:space="preserve">The primary efficacy endpoint (for the EU, and for Australia) was the proportion of patients experiencing at least a 70% reduction in SBA concentration from baseline to the end of treatment or reaching a level ≤70 μmol/L (28.6 μg/mL) after 24 weeks of treatment. SBA concentration at baseline was calculated as the average of the last 2 values prior to the first dose of odevixibat. The end value was calculated as the average of the values at Weeks 22 and 24 after the start of treatment. Several secondary and exploratory efficacy endpoints were also considered including the proportion of positive </w:t>
      </w:r>
      <w:r w:rsidR="00C70F23">
        <w:t>pruritus</w:t>
      </w:r>
      <w:r>
        <w:t xml:space="preserve"> assessments at the patient level over the 24-week treatment period based on the Albireo ObsRO instrument;</w:t>
      </w:r>
      <w:r w:rsidR="00101DBB">
        <w:rPr>
          <w:rStyle w:val="FootnoteReference"/>
        </w:rPr>
        <w:footnoteReference w:id="5"/>
      </w:r>
      <w:r>
        <w:t xml:space="preserve"> the proportion of patients achieving a positive </w:t>
      </w:r>
      <w:r w:rsidR="00C70F23">
        <w:t>pruritus</w:t>
      </w:r>
      <w:r>
        <w:t xml:space="preserve"> assessment for &gt;50% the time during the 24-week treatment period, change from baseline to week 12 and to week 24 in SBA, change from baseline to week 12 and to week 24 in growth, change from baseline to week 24 in PELD/MELD scores.</w:t>
      </w:r>
    </w:p>
    <w:p w14:paraId="440FD4A9" w14:textId="262D578D" w:rsidR="0076118F" w:rsidRDefault="0076118F" w:rsidP="0076118F">
      <w:r>
        <w:t xml:space="preserve">Subgroup efficacy analyses on the primary endpoint and selected secondary endpoints (changes from baseline to each visit in serum bile acid, ALT, and growth) were performed by age group (6 months to 5 years, 6 to 12 years, and 13 to 18 years), by PFIC type (1 and 2), region (US, Europe and rest of world (RoW)), sex (male and female), race (Caucasian and non-Caucasian), ethnicity (Hispanic, non- Hispanic, and unknown), baseline SBA level (≥250 and &lt;250 μmol/L), Child- Pugh classification (A, B, C), BSEP type of PFIC2 patients, and the use of UDCA and rifampicin </w:t>
      </w:r>
      <w:r>
        <w:lastRenderedPageBreak/>
        <w:t>(alone or either). Statistical analysis was performed only if the sample size was ≥ 10 in each treatment group.</w:t>
      </w:r>
    </w:p>
    <w:p w14:paraId="6A2126FE" w14:textId="77777777" w:rsidR="00917A87" w:rsidRDefault="00917A87" w:rsidP="00917A87">
      <w:pPr>
        <w:pStyle w:val="Heading6"/>
      </w:pPr>
      <w:r>
        <w:t>Results</w:t>
      </w:r>
    </w:p>
    <w:p w14:paraId="0C0DAF4F" w14:textId="15647DDB" w:rsidR="00917A87" w:rsidRDefault="00917A87" w:rsidP="00917A87">
      <w:r>
        <w:t xml:space="preserve">A total of 62 study participants were randomised into three treatment groups. Participant flow is summarised in the </w:t>
      </w:r>
      <w:r w:rsidR="002B4A7A">
        <w:t>Figure 1</w:t>
      </w:r>
      <w:r>
        <w:t>.</w:t>
      </w:r>
    </w:p>
    <w:p w14:paraId="65BFA482" w14:textId="23728C8C" w:rsidR="00562C0D" w:rsidRDefault="00562C0D" w:rsidP="00562C0D">
      <w:pPr>
        <w:pStyle w:val="FigureTitle"/>
      </w:pPr>
      <w:r>
        <w:t xml:space="preserve">Figure 1. </w:t>
      </w:r>
      <w:r w:rsidRPr="00562C0D">
        <w:t>Participant flow</w:t>
      </w:r>
      <w:r>
        <w:t xml:space="preserve"> in study </w:t>
      </w:r>
      <w:r w:rsidRPr="00562C0D">
        <w:t>A4250-005</w:t>
      </w:r>
      <w:r>
        <w:t>.</w:t>
      </w:r>
    </w:p>
    <w:p w14:paraId="20F97400" w14:textId="68FC15CB" w:rsidR="00187256" w:rsidRDefault="00187256" w:rsidP="00917A87">
      <w:r>
        <w:rPr>
          <w:noProof/>
        </w:rPr>
        <w:drawing>
          <wp:inline distT="0" distB="0" distL="0" distR="0" wp14:anchorId="308EFB94" wp14:editId="0C88260F">
            <wp:extent cx="5679095" cy="4832350"/>
            <wp:effectExtent l="0" t="0" r="0" b="6350"/>
            <wp:docPr id="298992131" name="Picture 1" descr="Figure 1. Participant flow in study A425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992131" name="Picture 1" descr="Figure 1. Participant flow in study A4250-005."/>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690397" cy="4841967"/>
                    </a:xfrm>
                    <a:prstGeom prst="rect">
                      <a:avLst/>
                    </a:prstGeom>
                    <a:noFill/>
                  </pic:spPr>
                </pic:pic>
              </a:graphicData>
            </a:graphic>
          </wp:inline>
        </w:drawing>
      </w:r>
    </w:p>
    <w:p w14:paraId="23DE9B41" w14:textId="77777777" w:rsidR="00EA36E9" w:rsidRDefault="00EA36E9" w:rsidP="00EA36E9">
      <w:r>
        <w:t>Within the limits of small participant numbers, demographic and baseline disease data were comparable across the three groups. The mean (±SD) and median ages (years) of participants randomized to 120 μg/kg/day (5.2±4.2y, 4.9y resp) were nominally greater than in the 40 μg/kg/day (3.9±3.7y, 3.2y) and placebo groups (3.8±3.8y, 2.8y). Children aged between six months and five years represented most study participants (75.8% overall), with fewer aged six to 12 years (19.4% overall, 3-5 in each treatment group) or 13 to 18 years (4.8% overall, 1 in each treatment group). Over 80% were Caucasian, and more than half were recruited in Europe (n=35), compared to the United States (n=8) and rest of the world (n=19).</w:t>
      </w:r>
    </w:p>
    <w:p w14:paraId="2DF6D0A6" w14:textId="3D040976" w:rsidR="00EA36E9" w:rsidRDefault="00EA36E9" w:rsidP="00EA36E9">
      <w:r>
        <w:t xml:space="preserve">The mean (±SD) and median duration since diagnosis (years) across all groups were 2.9±3.3y and 1.45y respectively. Most participants had PFIC2 (45, 72.6%). Almost all had a reported history of significant </w:t>
      </w:r>
      <w:r w:rsidR="00C70F23">
        <w:t>pruritus</w:t>
      </w:r>
      <w:r>
        <w:t>, and almost 90% (n=55) were being treated with UDCA and/or rifampicin for symptoms.</w:t>
      </w:r>
    </w:p>
    <w:p w14:paraId="70AF4772" w14:textId="32A272BA" w:rsidR="00EA36E9" w:rsidRDefault="00EA36E9" w:rsidP="00EA36E9">
      <w:r>
        <w:t xml:space="preserve">At baseline, SBA levels were ≥250 μmol/L (≥102 μg/mL) in 25 (40%) of the 62 patients, including 15 (36%) of 42 patients who received odevixibat and 10 (50%) of 20 patients who </w:t>
      </w:r>
      <w:r>
        <w:lastRenderedPageBreak/>
        <w:t>received placebo. Median levels of serum bile acids were extremely elevated at baseline at 228.0 μmol/L (93.1 μg/mL), 188.5 μmol/L (77.0 μg/mL), and 254.5 μmol/L (104.0 μg/mL) in the odevixibat 40 μg/kg/day, odevixibat 120 μg/kg/day, and placebo groups, respectively</w:t>
      </w:r>
      <w:r w:rsidR="00027943">
        <w:t xml:space="preserve"> (Table 3)</w:t>
      </w:r>
      <w:r>
        <w:t>.</w:t>
      </w:r>
    </w:p>
    <w:p w14:paraId="231856EB" w14:textId="40305A8B" w:rsidR="00365743" w:rsidRDefault="00AE5B68" w:rsidP="00110740">
      <w:pPr>
        <w:pStyle w:val="TableTitle"/>
      </w:pPr>
      <w:r>
        <w:t xml:space="preserve">Table </w:t>
      </w:r>
      <w:r w:rsidR="00027943">
        <w:t>3</w:t>
      </w:r>
      <w:r>
        <w:t>. E</w:t>
      </w:r>
      <w:r w:rsidR="00EA36E9">
        <w:t>fficacy results for the pivotal study</w:t>
      </w:r>
      <w:r>
        <w:t xml:space="preserve">, </w:t>
      </w:r>
      <w:r w:rsidRPr="00AE5B68">
        <w:t>A4250-005</w:t>
      </w:r>
      <w:r w:rsidR="00EA36E9">
        <w:t>.</w:t>
      </w:r>
    </w:p>
    <w:tbl>
      <w:tblPr>
        <w:tblStyle w:val="TableTGAblue2023"/>
        <w:tblW w:w="9355" w:type="dxa"/>
        <w:tblLook w:val="04A0" w:firstRow="1" w:lastRow="0" w:firstColumn="1" w:lastColumn="0" w:noHBand="0" w:noVBand="1"/>
      </w:tblPr>
      <w:tblGrid>
        <w:gridCol w:w="2547"/>
        <w:gridCol w:w="1495"/>
        <w:gridCol w:w="1726"/>
        <w:gridCol w:w="1789"/>
        <w:gridCol w:w="1798"/>
      </w:tblGrid>
      <w:tr w:rsidR="00B43BD1" w:rsidRPr="00A80E85" w14:paraId="13BB934B" w14:textId="2F002493" w:rsidTr="00A80E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317F340" w14:textId="2B6100D6" w:rsidR="004735FD" w:rsidRPr="00A80E85" w:rsidRDefault="00455F75" w:rsidP="0092543A">
            <w:pPr>
              <w:rPr>
                <w:sz w:val="20"/>
                <w:szCs w:val="20"/>
              </w:rPr>
            </w:pPr>
            <w:r w:rsidRPr="00A80E85">
              <w:rPr>
                <w:sz w:val="20"/>
                <w:szCs w:val="20"/>
              </w:rPr>
              <w:t>Analysis</w:t>
            </w:r>
          </w:p>
        </w:tc>
        <w:tc>
          <w:tcPr>
            <w:tcW w:w="6808" w:type="dxa"/>
            <w:gridSpan w:val="4"/>
          </w:tcPr>
          <w:p w14:paraId="3387F8C4" w14:textId="73A64683" w:rsidR="004735FD" w:rsidRPr="00A80E85" w:rsidRDefault="00560C51" w:rsidP="0092543A">
            <w:pPr>
              <w:cnfStyle w:val="100000000000" w:firstRow="1" w:lastRow="0" w:firstColumn="0" w:lastColumn="0" w:oddVBand="0" w:evenVBand="0" w:oddHBand="0" w:evenHBand="0" w:firstRowFirstColumn="0" w:firstRowLastColumn="0" w:lastRowFirstColumn="0" w:lastRowLastColumn="0"/>
              <w:rPr>
                <w:sz w:val="20"/>
                <w:szCs w:val="20"/>
              </w:rPr>
            </w:pPr>
            <w:r w:rsidRPr="00A80E85">
              <w:rPr>
                <w:sz w:val="20"/>
                <w:szCs w:val="20"/>
              </w:rPr>
              <w:t>Primary Analysis</w:t>
            </w:r>
          </w:p>
        </w:tc>
      </w:tr>
      <w:tr w:rsidR="0049647C" w:rsidRPr="00A80E85" w14:paraId="410FDBB6" w14:textId="348A2F58" w:rsidTr="00A80E85">
        <w:tc>
          <w:tcPr>
            <w:cnfStyle w:val="001000000000" w:firstRow="0" w:lastRow="0" w:firstColumn="1" w:lastColumn="0" w:oddVBand="0" w:evenVBand="0" w:oddHBand="0" w:evenHBand="0" w:firstRowFirstColumn="0" w:firstRowLastColumn="0" w:lastRowFirstColumn="0" w:lastRowLastColumn="0"/>
            <w:tcW w:w="2547" w:type="dxa"/>
          </w:tcPr>
          <w:p w14:paraId="1E0E5D7E" w14:textId="3D69C9CF" w:rsidR="0049647C" w:rsidRPr="00A80E85" w:rsidRDefault="00825CED" w:rsidP="0092543A">
            <w:pPr>
              <w:rPr>
                <w:sz w:val="20"/>
                <w:szCs w:val="20"/>
              </w:rPr>
            </w:pPr>
            <w:r w:rsidRPr="00A80E85">
              <w:rPr>
                <w:sz w:val="20"/>
                <w:szCs w:val="20"/>
              </w:rPr>
              <w:t>Analysis population and time point</w:t>
            </w:r>
          </w:p>
        </w:tc>
        <w:tc>
          <w:tcPr>
            <w:tcW w:w="6808" w:type="dxa"/>
            <w:gridSpan w:val="4"/>
          </w:tcPr>
          <w:p w14:paraId="344719A9" w14:textId="0EAFEF53" w:rsidR="0049647C" w:rsidRPr="00A80E85" w:rsidRDefault="00246487" w:rsidP="0092543A">
            <w:pPr>
              <w:cnfStyle w:val="000000000000" w:firstRow="0" w:lastRow="0" w:firstColumn="0" w:lastColumn="0" w:oddVBand="0" w:evenVBand="0" w:oddHBand="0" w:evenHBand="0" w:firstRowFirstColumn="0" w:firstRowLastColumn="0" w:lastRowFirstColumn="0" w:lastRowLastColumn="0"/>
              <w:rPr>
                <w:sz w:val="20"/>
                <w:szCs w:val="20"/>
              </w:rPr>
            </w:pPr>
            <w:r w:rsidRPr="00A80E85">
              <w:rPr>
                <w:sz w:val="20"/>
                <w:szCs w:val="20"/>
              </w:rPr>
              <w:t>Full analysis set (FAS)</w:t>
            </w:r>
          </w:p>
        </w:tc>
      </w:tr>
      <w:tr w:rsidR="0077241D" w:rsidRPr="00A80E85" w14:paraId="188F2713" w14:textId="522A5B20" w:rsidTr="00A80E85">
        <w:tc>
          <w:tcPr>
            <w:cnfStyle w:val="001000000000" w:firstRow="0" w:lastRow="0" w:firstColumn="1" w:lastColumn="0" w:oddVBand="0" w:evenVBand="0" w:oddHBand="0" w:evenHBand="0" w:firstRowFirstColumn="0" w:firstRowLastColumn="0" w:lastRowFirstColumn="0" w:lastRowLastColumn="0"/>
            <w:tcW w:w="2547" w:type="dxa"/>
            <w:vMerge w:val="restart"/>
          </w:tcPr>
          <w:p w14:paraId="186C99D4" w14:textId="5DE4CAA1" w:rsidR="0077241D" w:rsidRPr="00A80E85" w:rsidRDefault="0077241D" w:rsidP="0092543A">
            <w:pPr>
              <w:rPr>
                <w:sz w:val="20"/>
                <w:szCs w:val="20"/>
              </w:rPr>
            </w:pPr>
            <w:r w:rsidRPr="00A80E85">
              <w:rPr>
                <w:sz w:val="20"/>
                <w:szCs w:val="20"/>
              </w:rPr>
              <w:t xml:space="preserve">Effect </w:t>
            </w:r>
            <w:proofErr w:type="gramStart"/>
            <w:r w:rsidRPr="00A80E85">
              <w:rPr>
                <w:sz w:val="20"/>
                <w:szCs w:val="20"/>
              </w:rPr>
              <w:t>estimate</w:t>
            </w:r>
            <w:proofErr w:type="gramEnd"/>
            <w:r w:rsidRPr="00A80E85">
              <w:rPr>
                <w:sz w:val="20"/>
                <w:szCs w:val="20"/>
              </w:rPr>
              <w:t xml:space="preserve"> per comparison</w:t>
            </w:r>
          </w:p>
        </w:tc>
        <w:tc>
          <w:tcPr>
            <w:tcW w:w="1495" w:type="dxa"/>
            <w:vMerge w:val="restart"/>
          </w:tcPr>
          <w:p w14:paraId="19562326" w14:textId="534DAAA5" w:rsidR="0077241D" w:rsidRPr="00A80E85" w:rsidRDefault="0077241D" w:rsidP="56F0C3D7">
            <w:pPr>
              <w:cnfStyle w:val="000000000000" w:firstRow="0" w:lastRow="0" w:firstColumn="0" w:lastColumn="0" w:oddVBand="0" w:evenVBand="0" w:oddHBand="0" w:evenHBand="0" w:firstRowFirstColumn="0" w:firstRowLastColumn="0" w:lastRowFirstColumn="0" w:lastRowLastColumn="0"/>
              <w:rPr>
                <w:sz w:val="20"/>
                <w:szCs w:val="20"/>
              </w:rPr>
            </w:pPr>
            <w:r w:rsidRPr="00A80E85">
              <w:rPr>
                <w:b/>
                <w:bCs/>
                <w:sz w:val="20"/>
                <w:szCs w:val="20"/>
              </w:rPr>
              <w:t xml:space="preserve">Primary endpoint: </w:t>
            </w:r>
            <w:r w:rsidRPr="00A80E85">
              <w:rPr>
                <w:sz w:val="20"/>
                <w:szCs w:val="20"/>
              </w:rPr>
              <w:t xml:space="preserve">Proportion of patients 70% reduction in </w:t>
            </w:r>
            <w:r w:rsidR="003360A3" w:rsidRPr="00A80E85">
              <w:rPr>
                <w:sz w:val="20"/>
                <w:szCs w:val="20"/>
              </w:rPr>
              <w:t>S</w:t>
            </w:r>
            <w:r w:rsidRPr="00A80E85">
              <w:rPr>
                <w:sz w:val="20"/>
                <w:szCs w:val="20"/>
              </w:rPr>
              <w:t>BA.</w:t>
            </w:r>
          </w:p>
        </w:tc>
        <w:tc>
          <w:tcPr>
            <w:tcW w:w="1726" w:type="dxa"/>
          </w:tcPr>
          <w:p w14:paraId="35F70183" w14:textId="6E6DFD0E" w:rsidR="0077241D" w:rsidRPr="00A80E85" w:rsidRDefault="0077241D" w:rsidP="0092543A">
            <w:pPr>
              <w:cnfStyle w:val="000000000000" w:firstRow="0" w:lastRow="0" w:firstColumn="0" w:lastColumn="0" w:oddVBand="0" w:evenVBand="0" w:oddHBand="0" w:evenHBand="0" w:firstRowFirstColumn="0" w:firstRowLastColumn="0" w:lastRowFirstColumn="0" w:lastRowLastColumn="0"/>
              <w:rPr>
                <w:b/>
                <w:bCs/>
                <w:sz w:val="20"/>
                <w:szCs w:val="20"/>
              </w:rPr>
            </w:pPr>
            <w:r w:rsidRPr="00A80E85">
              <w:rPr>
                <w:b/>
                <w:bCs/>
                <w:sz w:val="20"/>
                <w:szCs w:val="20"/>
              </w:rPr>
              <w:t>Comparison groups</w:t>
            </w:r>
          </w:p>
        </w:tc>
        <w:tc>
          <w:tcPr>
            <w:tcW w:w="1789" w:type="dxa"/>
          </w:tcPr>
          <w:p w14:paraId="7BCA50FC" w14:textId="669F130F" w:rsidR="0077241D" w:rsidRPr="00A80E85" w:rsidRDefault="0077241D" w:rsidP="519BC882">
            <w:pPr>
              <w:cnfStyle w:val="000000000000" w:firstRow="0" w:lastRow="0" w:firstColumn="0" w:lastColumn="0" w:oddVBand="0" w:evenVBand="0" w:oddHBand="0" w:evenHBand="0" w:firstRowFirstColumn="0" w:firstRowLastColumn="0" w:lastRowFirstColumn="0" w:lastRowLastColumn="0"/>
              <w:rPr>
                <w:b/>
                <w:bCs/>
                <w:sz w:val="20"/>
                <w:szCs w:val="20"/>
              </w:rPr>
            </w:pPr>
            <w:r w:rsidRPr="00A80E85">
              <w:rPr>
                <w:b/>
                <w:bCs/>
                <w:sz w:val="20"/>
                <w:szCs w:val="20"/>
              </w:rPr>
              <w:t>40 µg/kg/day</w:t>
            </w:r>
          </w:p>
        </w:tc>
        <w:tc>
          <w:tcPr>
            <w:tcW w:w="1798" w:type="dxa"/>
          </w:tcPr>
          <w:p w14:paraId="3DF6C732" w14:textId="0679ADBB" w:rsidR="0077241D" w:rsidRPr="00A80E85" w:rsidRDefault="0077241D" w:rsidP="56F0C3D7">
            <w:pPr>
              <w:cnfStyle w:val="000000000000" w:firstRow="0" w:lastRow="0" w:firstColumn="0" w:lastColumn="0" w:oddVBand="0" w:evenVBand="0" w:oddHBand="0" w:evenHBand="0" w:firstRowFirstColumn="0" w:firstRowLastColumn="0" w:lastRowFirstColumn="0" w:lastRowLastColumn="0"/>
              <w:rPr>
                <w:b/>
                <w:bCs/>
                <w:sz w:val="20"/>
                <w:szCs w:val="20"/>
              </w:rPr>
            </w:pPr>
            <w:r w:rsidRPr="00A80E85">
              <w:rPr>
                <w:b/>
                <w:bCs/>
                <w:sz w:val="20"/>
                <w:szCs w:val="20"/>
              </w:rPr>
              <w:t>120 µg/kg/day</w:t>
            </w:r>
          </w:p>
        </w:tc>
      </w:tr>
      <w:tr w:rsidR="0077241D" w:rsidRPr="00A80E85" w14:paraId="29562635" w14:textId="53970C9D" w:rsidTr="00A80E85">
        <w:tc>
          <w:tcPr>
            <w:cnfStyle w:val="001000000000" w:firstRow="0" w:lastRow="0" w:firstColumn="1" w:lastColumn="0" w:oddVBand="0" w:evenVBand="0" w:oddHBand="0" w:evenHBand="0" w:firstRowFirstColumn="0" w:firstRowLastColumn="0" w:lastRowFirstColumn="0" w:lastRowLastColumn="0"/>
            <w:tcW w:w="2547" w:type="dxa"/>
            <w:vMerge/>
          </w:tcPr>
          <w:p w14:paraId="46DAB534" w14:textId="07F5181B" w:rsidR="0077241D" w:rsidRPr="00A80E85" w:rsidRDefault="0077241D" w:rsidP="0092543A">
            <w:pPr>
              <w:rPr>
                <w:sz w:val="20"/>
                <w:szCs w:val="20"/>
              </w:rPr>
            </w:pPr>
          </w:p>
        </w:tc>
        <w:tc>
          <w:tcPr>
            <w:tcW w:w="1495" w:type="dxa"/>
            <w:vMerge/>
          </w:tcPr>
          <w:p w14:paraId="4F6679A9" w14:textId="036F53C2" w:rsidR="0077241D" w:rsidRPr="00A80E85" w:rsidRDefault="0077241D" w:rsidP="0092543A">
            <w:pPr>
              <w:cnfStyle w:val="000000000000" w:firstRow="0" w:lastRow="0" w:firstColumn="0" w:lastColumn="0" w:oddVBand="0" w:evenVBand="0" w:oddHBand="0" w:evenHBand="0" w:firstRowFirstColumn="0" w:firstRowLastColumn="0" w:lastRowFirstColumn="0" w:lastRowLastColumn="0"/>
              <w:rPr>
                <w:sz w:val="20"/>
                <w:szCs w:val="20"/>
              </w:rPr>
            </w:pPr>
          </w:p>
        </w:tc>
        <w:tc>
          <w:tcPr>
            <w:tcW w:w="1726" w:type="dxa"/>
          </w:tcPr>
          <w:p w14:paraId="6A07B932" w14:textId="36D3F0AA" w:rsidR="0077241D" w:rsidRPr="00A80E85" w:rsidRDefault="0077241D" w:rsidP="0092543A">
            <w:pPr>
              <w:cnfStyle w:val="000000000000" w:firstRow="0" w:lastRow="0" w:firstColumn="0" w:lastColumn="0" w:oddVBand="0" w:evenVBand="0" w:oddHBand="0" w:evenHBand="0" w:firstRowFirstColumn="0" w:firstRowLastColumn="0" w:lastRowFirstColumn="0" w:lastRowLastColumn="0"/>
              <w:rPr>
                <w:sz w:val="20"/>
                <w:szCs w:val="20"/>
              </w:rPr>
            </w:pPr>
            <w:r w:rsidRPr="00A80E85">
              <w:rPr>
                <w:sz w:val="20"/>
                <w:szCs w:val="20"/>
              </w:rPr>
              <w:t>Proportion Difference Adjusting for Stratification</w:t>
            </w:r>
          </w:p>
        </w:tc>
        <w:tc>
          <w:tcPr>
            <w:tcW w:w="1789" w:type="dxa"/>
          </w:tcPr>
          <w:p w14:paraId="261766FD" w14:textId="06C2FB56" w:rsidR="0077241D" w:rsidRPr="00A80E85" w:rsidRDefault="0077241D" w:rsidP="0092543A">
            <w:pPr>
              <w:cnfStyle w:val="000000000000" w:firstRow="0" w:lastRow="0" w:firstColumn="0" w:lastColumn="0" w:oddVBand="0" w:evenVBand="0" w:oddHBand="0" w:evenHBand="0" w:firstRowFirstColumn="0" w:firstRowLastColumn="0" w:lastRowFirstColumn="0" w:lastRowLastColumn="0"/>
              <w:rPr>
                <w:sz w:val="20"/>
                <w:szCs w:val="20"/>
              </w:rPr>
            </w:pPr>
            <w:r w:rsidRPr="00A80E85">
              <w:rPr>
                <w:sz w:val="20"/>
                <w:szCs w:val="20"/>
              </w:rPr>
              <w:t>0.441</w:t>
            </w:r>
          </w:p>
        </w:tc>
        <w:tc>
          <w:tcPr>
            <w:tcW w:w="1798" w:type="dxa"/>
          </w:tcPr>
          <w:p w14:paraId="64CBD719" w14:textId="015A2A46" w:rsidR="0077241D" w:rsidRPr="00A80E85" w:rsidRDefault="0077241D" w:rsidP="0092543A">
            <w:pPr>
              <w:cnfStyle w:val="000000000000" w:firstRow="0" w:lastRow="0" w:firstColumn="0" w:lastColumn="0" w:oddVBand="0" w:evenVBand="0" w:oddHBand="0" w:evenHBand="0" w:firstRowFirstColumn="0" w:firstRowLastColumn="0" w:lastRowFirstColumn="0" w:lastRowLastColumn="0"/>
              <w:rPr>
                <w:sz w:val="20"/>
                <w:szCs w:val="20"/>
              </w:rPr>
            </w:pPr>
            <w:r w:rsidRPr="00A80E85">
              <w:rPr>
                <w:sz w:val="20"/>
                <w:szCs w:val="20"/>
              </w:rPr>
              <w:t>0.216</w:t>
            </w:r>
          </w:p>
        </w:tc>
      </w:tr>
      <w:tr w:rsidR="0077241D" w:rsidRPr="00A80E85" w14:paraId="25DB6185" w14:textId="28AC9305" w:rsidTr="00A80E85">
        <w:tc>
          <w:tcPr>
            <w:cnfStyle w:val="001000000000" w:firstRow="0" w:lastRow="0" w:firstColumn="1" w:lastColumn="0" w:oddVBand="0" w:evenVBand="0" w:oddHBand="0" w:evenHBand="0" w:firstRowFirstColumn="0" w:firstRowLastColumn="0" w:lastRowFirstColumn="0" w:lastRowLastColumn="0"/>
            <w:tcW w:w="2547" w:type="dxa"/>
            <w:vMerge/>
          </w:tcPr>
          <w:p w14:paraId="6904829D" w14:textId="47B6EFA9" w:rsidR="0077241D" w:rsidRPr="00A80E85" w:rsidRDefault="0077241D" w:rsidP="0092543A">
            <w:pPr>
              <w:rPr>
                <w:sz w:val="20"/>
                <w:szCs w:val="20"/>
              </w:rPr>
            </w:pPr>
          </w:p>
        </w:tc>
        <w:tc>
          <w:tcPr>
            <w:tcW w:w="1495" w:type="dxa"/>
            <w:vMerge/>
          </w:tcPr>
          <w:p w14:paraId="6D13A630" w14:textId="245F1FDE" w:rsidR="0077241D" w:rsidRPr="00A80E85" w:rsidRDefault="0077241D" w:rsidP="0092543A">
            <w:pPr>
              <w:cnfStyle w:val="000000000000" w:firstRow="0" w:lastRow="0" w:firstColumn="0" w:lastColumn="0" w:oddVBand="0" w:evenVBand="0" w:oddHBand="0" w:evenHBand="0" w:firstRowFirstColumn="0" w:firstRowLastColumn="0" w:lastRowFirstColumn="0" w:lastRowLastColumn="0"/>
              <w:rPr>
                <w:sz w:val="20"/>
                <w:szCs w:val="20"/>
              </w:rPr>
            </w:pPr>
          </w:p>
        </w:tc>
        <w:tc>
          <w:tcPr>
            <w:tcW w:w="1726" w:type="dxa"/>
          </w:tcPr>
          <w:p w14:paraId="1CEB5C46" w14:textId="16F46B62" w:rsidR="0077241D" w:rsidRPr="00A80E85" w:rsidRDefault="0077241D" w:rsidP="56F0C3D7">
            <w:pPr>
              <w:cnfStyle w:val="000000000000" w:firstRow="0" w:lastRow="0" w:firstColumn="0" w:lastColumn="0" w:oddVBand="0" w:evenVBand="0" w:oddHBand="0" w:evenHBand="0" w:firstRowFirstColumn="0" w:firstRowLastColumn="0" w:lastRowFirstColumn="0" w:lastRowLastColumn="0"/>
              <w:rPr>
                <w:sz w:val="20"/>
                <w:szCs w:val="20"/>
              </w:rPr>
            </w:pPr>
            <w:r w:rsidRPr="00A80E85">
              <w:rPr>
                <w:sz w:val="20"/>
                <w:szCs w:val="20"/>
              </w:rPr>
              <w:t>95% CI</w:t>
            </w:r>
            <w:r w:rsidRPr="00A80E85">
              <w:rPr>
                <w:sz w:val="20"/>
                <w:szCs w:val="20"/>
                <w:vertAlign w:val="superscript"/>
              </w:rPr>
              <w:t>a</w:t>
            </w:r>
          </w:p>
        </w:tc>
        <w:tc>
          <w:tcPr>
            <w:tcW w:w="1789" w:type="dxa"/>
          </w:tcPr>
          <w:p w14:paraId="21CAF7F0" w14:textId="77777777" w:rsidR="0077241D" w:rsidRPr="00A80E85" w:rsidRDefault="0077241D" w:rsidP="00EA20AB">
            <w:pPr>
              <w:cnfStyle w:val="000000000000" w:firstRow="0" w:lastRow="0" w:firstColumn="0" w:lastColumn="0" w:oddVBand="0" w:evenVBand="0" w:oddHBand="0" w:evenHBand="0" w:firstRowFirstColumn="0" w:firstRowLastColumn="0" w:lastRowFirstColumn="0" w:lastRowLastColumn="0"/>
              <w:rPr>
                <w:sz w:val="20"/>
                <w:szCs w:val="20"/>
              </w:rPr>
            </w:pPr>
            <w:r w:rsidRPr="00A80E85">
              <w:rPr>
                <w:sz w:val="20"/>
                <w:szCs w:val="20"/>
              </w:rPr>
              <w:t>(0.2361,</w:t>
            </w:r>
          </w:p>
          <w:p w14:paraId="224BA4CB" w14:textId="02967674" w:rsidR="0077241D" w:rsidRPr="00A80E85" w:rsidRDefault="0077241D" w:rsidP="00EA20AB">
            <w:pPr>
              <w:cnfStyle w:val="000000000000" w:firstRow="0" w:lastRow="0" w:firstColumn="0" w:lastColumn="0" w:oddVBand="0" w:evenVBand="0" w:oddHBand="0" w:evenHBand="0" w:firstRowFirstColumn="0" w:firstRowLastColumn="0" w:lastRowFirstColumn="0" w:lastRowLastColumn="0"/>
              <w:rPr>
                <w:sz w:val="20"/>
                <w:szCs w:val="20"/>
              </w:rPr>
            </w:pPr>
            <w:r w:rsidRPr="00A80E85">
              <w:rPr>
                <w:sz w:val="20"/>
                <w:szCs w:val="20"/>
              </w:rPr>
              <w:t>0.6464)</w:t>
            </w:r>
          </w:p>
        </w:tc>
        <w:tc>
          <w:tcPr>
            <w:tcW w:w="1798" w:type="dxa"/>
          </w:tcPr>
          <w:p w14:paraId="7F90F4AA" w14:textId="5CCEA2E0" w:rsidR="0077241D" w:rsidRPr="00A80E85" w:rsidRDefault="0077241D" w:rsidP="0092543A">
            <w:pPr>
              <w:cnfStyle w:val="000000000000" w:firstRow="0" w:lastRow="0" w:firstColumn="0" w:lastColumn="0" w:oddVBand="0" w:evenVBand="0" w:oddHBand="0" w:evenHBand="0" w:firstRowFirstColumn="0" w:firstRowLastColumn="0" w:lastRowFirstColumn="0" w:lastRowLastColumn="0"/>
              <w:rPr>
                <w:sz w:val="20"/>
                <w:szCs w:val="20"/>
              </w:rPr>
            </w:pPr>
            <w:r w:rsidRPr="00A80E85">
              <w:rPr>
                <w:sz w:val="20"/>
                <w:szCs w:val="20"/>
              </w:rPr>
              <w:t xml:space="preserve">(-0.0050, 0.4380) </w:t>
            </w:r>
          </w:p>
        </w:tc>
      </w:tr>
      <w:tr w:rsidR="0077241D" w:rsidRPr="00A80E85" w14:paraId="33CB522F" w14:textId="77511E41" w:rsidTr="00A80E85">
        <w:tc>
          <w:tcPr>
            <w:cnfStyle w:val="001000000000" w:firstRow="0" w:lastRow="0" w:firstColumn="1" w:lastColumn="0" w:oddVBand="0" w:evenVBand="0" w:oddHBand="0" w:evenHBand="0" w:firstRowFirstColumn="0" w:firstRowLastColumn="0" w:lastRowFirstColumn="0" w:lastRowLastColumn="0"/>
            <w:tcW w:w="2547" w:type="dxa"/>
            <w:vMerge/>
          </w:tcPr>
          <w:p w14:paraId="6C38FC50" w14:textId="03DA0B17" w:rsidR="0077241D" w:rsidRPr="00A80E85" w:rsidRDefault="0077241D" w:rsidP="0092543A">
            <w:pPr>
              <w:rPr>
                <w:sz w:val="20"/>
                <w:szCs w:val="20"/>
              </w:rPr>
            </w:pPr>
          </w:p>
        </w:tc>
        <w:tc>
          <w:tcPr>
            <w:tcW w:w="1495" w:type="dxa"/>
            <w:vMerge/>
          </w:tcPr>
          <w:p w14:paraId="61347076" w14:textId="1DB0D33B" w:rsidR="0077241D" w:rsidRPr="00A80E85" w:rsidRDefault="0077241D" w:rsidP="0092543A">
            <w:pPr>
              <w:cnfStyle w:val="000000000000" w:firstRow="0" w:lastRow="0" w:firstColumn="0" w:lastColumn="0" w:oddVBand="0" w:evenVBand="0" w:oddHBand="0" w:evenHBand="0" w:firstRowFirstColumn="0" w:firstRowLastColumn="0" w:lastRowFirstColumn="0" w:lastRowLastColumn="0"/>
              <w:rPr>
                <w:sz w:val="20"/>
                <w:szCs w:val="20"/>
              </w:rPr>
            </w:pPr>
          </w:p>
        </w:tc>
        <w:tc>
          <w:tcPr>
            <w:tcW w:w="1726" w:type="dxa"/>
          </w:tcPr>
          <w:p w14:paraId="6DBCBA61" w14:textId="4FA44DFD" w:rsidR="0077241D" w:rsidRPr="00A80E85" w:rsidRDefault="0077241D" w:rsidP="0092543A">
            <w:pPr>
              <w:cnfStyle w:val="000000000000" w:firstRow="0" w:lastRow="0" w:firstColumn="0" w:lastColumn="0" w:oddVBand="0" w:evenVBand="0" w:oddHBand="0" w:evenHBand="0" w:firstRowFirstColumn="0" w:firstRowLastColumn="0" w:lastRowFirstColumn="0" w:lastRowLastColumn="0"/>
              <w:rPr>
                <w:sz w:val="20"/>
                <w:szCs w:val="20"/>
              </w:rPr>
            </w:pPr>
            <w:r w:rsidRPr="00A80E85">
              <w:rPr>
                <w:sz w:val="20"/>
                <w:szCs w:val="20"/>
              </w:rPr>
              <w:t>One-sided Adjusted p-value</w:t>
            </w:r>
          </w:p>
        </w:tc>
        <w:tc>
          <w:tcPr>
            <w:tcW w:w="1789" w:type="dxa"/>
          </w:tcPr>
          <w:p w14:paraId="5E3231FB" w14:textId="57C8C312" w:rsidR="0077241D" w:rsidRPr="00A80E85" w:rsidRDefault="0077241D" w:rsidP="0092543A">
            <w:pPr>
              <w:cnfStyle w:val="000000000000" w:firstRow="0" w:lastRow="0" w:firstColumn="0" w:lastColumn="0" w:oddVBand="0" w:evenVBand="0" w:oddHBand="0" w:evenHBand="0" w:firstRowFirstColumn="0" w:firstRowLastColumn="0" w:lastRowFirstColumn="0" w:lastRowLastColumn="0"/>
              <w:rPr>
                <w:sz w:val="20"/>
                <w:szCs w:val="20"/>
              </w:rPr>
            </w:pPr>
            <w:r w:rsidRPr="00A80E85">
              <w:rPr>
                <w:sz w:val="20"/>
                <w:szCs w:val="20"/>
              </w:rPr>
              <w:t>0.0015</w:t>
            </w:r>
          </w:p>
        </w:tc>
        <w:tc>
          <w:tcPr>
            <w:tcW w:w="1798" w:type="dxa"/>
          </w:tcPr>
          <w:p w14:paraId="7E028877" w14:textId="5A65DCBC" w:rsidR="0077241D" w:rsidRPr="00A80E85" w:rsidRDefault="0077241D" w:rsidP="0092543A">
            <w:pPr>
              <w:cnfStyle w:val="000000000000" w:firstRow="0" w:lastRow="0" w:firstColumn="0" w:lastColumn="0" w:oddVBand="0" w:evenVBand="0" w:oddHBand="0" w:evenHBand="0" w:firstRowFirstColumn="0" w:firstRowLastColumn="0" w:lastRowFirstColumn="0" w:lastRowLastColumn="0"/>
              <w:rPr>
                <w:sz w:val="20"/>
                <w:szCs w:val="20"/>
              </w:rPr>
            </w:pPr>
            <w:r w:rsidRPr="00A80E85">
              <w:rPr>
                <w:sz w:val="20"/>
                <w:szCs w:val="20"/>
              </w:rPr>
              <w:t>0.0174</w:t>
            </w:r>
          </w:p>
        </w:tc>
      </w:tr>
      <w:tr w:rsidR="0077241D" w:rsidRPr="00A80E85" w14:paraId="37FC4414" w14:textId="563A1053" w:rsidTr="00A80E85">
        <w:tc>
          <w:tcPr>
            <w:cnfStyle w:val="001000000000" w:firstRow="0" w:lastRow="0" w:firstColumn="1" w:lastColumn="0" w:oddVBand="0" w:evenVBand="0" w:oddHBand="0" w:evenHBand="0" w:firstRowFirstColumn="0" w:firstRowLastColumn="0" w:lastRowFirstColumn="0" w:lastRowLastColumn="0"/>
            <w:tcW w:w="2547" w:type="dxa"/>
            <w:vMerge/>
          </w:tcPr>
          <w:p w14:paraId="1A1C9D75" w14:textId="2BCB020E" w:rsidR="0077241D" w:rsidRPr="00A80E85" w:rsidRDefault="0077241D" w:rsidP="00E16527">
            <w:pPr>
              <w:rPr>
                <w:sz w:val="20"/>
                <w:szCs w:val="20"/>
              </w:rPr>
            </w:pPr>
          </w:p>
        </w:tc>
        <w:tc>
          <w:tcPr>
            <w:tcW w:w="1495" w:type="dxa"/>
            <w:vMerge w:val="restart"/>
          </w:tcPr>
          <w:p w14:paraId="56D156D0" w14:textId="17CC4F8E" w:rsidR="0077241D" w:rsidRPr="00A80E85" w:rsidRDefault="0077241D" w:rsidP="5A3319E3">
            <w:pPr>
              <w:cnfStyle w:val="000000000000" w:firstRow="0" w:lastRow="0" w:firstColumn="0" w:lastColumn="0" w:oddVBand="0" w:evenVBand="0" w:oddHBand="0" w:evenHBand="0" w:firstRowFirstColumn="0" w:firstRowLastColumn="0" w:lastRowFirstColumn="0" w:lastRowLastColumn="0"/>
              <w:rPr>
                <w:sz w:val="20"/>
                <w:szCs w:val="20"/>
              </w:rPr>
            </w:pPr>
            <w:r w:rsidRPr="00A80E85">
              <w:rPr>
                <w:b/>
                <w:bCs/>
                <w:sz w:val="20"/>
                <w:szCs w:val="20"/>
              </w:rPr>
              <w:t>Secondary endpoin</w:t>
            </w:r>
            <w:r w:rsidRPr="00A80E85">
              <w:rPr>
                <w:sz w:val="20"/>
                <w:szCs w:val="20"/>
              </w:rPr>
              <w:t>t: Proportion of positive pruritus assessment.</w:t>
            </w:r>
          </w:p>
        </w:tc>
        <w:tc>
          <w:tcPr>
            <w:tcW w:w="1726" w:type="dxa"/>
          </w:tcPr>
          <w:p w14:paraId="7F2D7BD6" w14:textId="7D0A6BF1" w:rsidR="0077241D" w:rsidRPr="00A80E85" w:rsidRDefault="0077241D" w:rsidP="00E16527">
            <w:pPr>
              <w:cnfStyle w:val="000000000000" w:firstRow="0" w:lastRow="0" w:firstColumn="0" w:lastColumn="0" w:oddVBand="0" w:evenVBand="0" w:oddHBand="0" w:evenHBand="0" w:firstRowFirstColumn="0" w:firstRowLastColumn="0" w:lastRowFirstColumn="0" w:lastRowLastColumn="0"/>
              <w:rPr>
                <w:b/>
                <w:bCs/>
                <w:sz w:val="20"/>
                <w:szCs w:val="20"/>
              </w:rPr>
            </w:pPr>
            <w:r w:rsidRPr="00A80E85">
              <w:rPr>
                <w:b/>
                <w:bCs/>
                <w:sz w:val="20"/>
                <w:szCs w:val="20"/>
              </w:rPr>
              <w:t>Comparison groups</w:t>
            </w:r>
          </w:p>
        </w:tc>
        <w:tc>
          <w:tcPr>
            <w:tcW w:w="1789" w:type="dxa"/>
          </w:tcPr>
          <w:p w14:paraId="36313467" w14:textId="56304777" w:rsidR="0077241D" w:rsidRPr="00A80E85" w:rsidRDefault="0077241D" w:rsidP="519BC882">
            <w:pPr>
              <w:cnfStyle w:val="000000000000" w:firstRow="0" w:lastRow="0" w:firstColumn="0" w:lastColumn="0" w:oddVBand="0" w:evenVBand="0" w:oddHBand="0" w:evenHBand="0" w:firstRowFirstColumn="0" w:firstRowLastColumn="0" w:lastRowFirstColumn="0" w:lastRowLastColumn="0"/>
              <w:rPr>
                <w:b/>
                <w:bCs/>
                <w:sz w:val="20"/>
                <w:szCs w:val="20"/>
              </w:rPr>
            </w:pPr>
            <w:proofErr w:type="gramStart"/>
            <w:r w:rsidRPr="00A80E85">
              <w:rPr>
                <w:b/>
                <w:bCs/>
                <w:sz w:val="20"/>
                <w:szCs w:val="20"/>
              </w:rPr>
              <w:t>40  µ</w:t>
            </w:r>
            <w:proofErr w:type="gramEnd"/>
            <w:r w:rsidRPr="00A80E85">
              <w:rPr>
                <w:b/>
                <w:bCs/>
                <w:sz w:val="20"/>
                <w:szCs w:val="20"/>
              </w:rPr>
              <w:t>g/kg/day</w:t>
            </w:r>
          </w:p>
        </w:tc>
        <w:tc>
          <w:tcPr>
            <w:tcW w:w="1798" w:type="dxa"/>
          </w:tcPr>
          <w:p w14:paraId="0C911BF1" w14:textId="4D4F8F67" w:rsidR="0077241D" w:rsidRPr="00A80E85" w:rsidRDefault="0077241D" w:rsidP="519BC882">
            <w:pPr>
              <w:cnfStyle w:val="000000000000" w:firstRow="0" w:lastRow="0" w:firstColumn="0" w:lastColumn="0" w:oddVBand="0" w:evenVBand="0" w:oddHBand="0" w:evenHBand="0" w:firstRowFirstColumn="0" w:firstRowLastColumn="0" w:lastRowFirstColumn="0" w:lastRowLastColumn="0"/>
              <w:rPr>
                <w:b/>
                <w:bCs/>
                <w:sz w:val="20"/>
                <w:szCs w:val="20"/>
              </w:rPr>
            </w:pPr>
            <w:proofErr w:type="gramStart"/>
            <w:r w:rsidRPr="00A80E85">
              <w:rPr>
                <w:b/>
                <w:bCs/>
                <w:sz w:val="20"/>
                <w:szCs w:val="20"/>
              </w:rPr>
              <w:t>120  µ</w:t>
            </w:r>
            <w:proofErr w:type="gramEnd"/>
            <w:r w:rsidRPr="00A80E85">
              <w:rPr>
                <w:b/>
                <w:bCs/>
                <w:sz w:val="20"/>
                <w:szCs w:val="20"/>
              </w:rPr>
              <w:t>g/kg/day</w:t>
            </w:r>
          </w:p>
        </w:tc>
      </w:tr>
      <w:tr w:rsidR="0077241D" w:rsidRPr="00A80E85" w14:paraId="0256D671" w14:textId="1B6B52D6" w:rsidTr="00A80E85">
        <w:tc>
          <w:tcPr>
            <w:cnfStyle w:val="001000000000" w:firstRow="0" w:lastRow="0" w:firstColumn="1" w:lastColumn="0" w:oddVBand="0" w:evenVBand="0" w:oddHBand="0" w:evenHBand="0" w:firstRowFirstColumn="0" w:firstRowLastColumn="0" w:lastRowFirstColumn="0" w:lastRowLastColumn="0"/>
            <w:tcW w:w="2547" w:type="dxa"/>
            <w:vMerge/>
          </w:tcPr>
          <w:p w14:paraId="63CC76ED" w14:textId="66C80485" w:rsidR="0077241D" w:rsidRPr="00A80E85" w:rsidRDefault="0077241D" w:rsidP="0092543A">
            <w:pPr>
              <w:rPr>
                <w:sz w:val="20"/>
                <w:szCs w:val="20"/>
              </w:rPr>
            </w:pPr>
          </w:p>
        </w:tc>
        <w:tc>
          <w:tcPr>
            <w:tcW w:w="1495" w:type="dxa"/>
            <w:vMerge/>
          </w:tcPr>
          <w:p w14:paraId="35FB3CC3" w14:textId="261AA210" w:rsidR="0077241D" w:rsidRPr="00A80E85" w:rsidRDefault="0077241D" w:rsidP="0092543A">
            <w:pPr>
              <w:cnfStyle w:val="000000000000" w:firstRow="0" w:lastRow="0" w:firstColumn="0" w:lastColumn="0" w:oddVBand="0" w:evenVBand="0" w:oddHBand="0" w:evenHBand="0" w:firstRowFirstColumn="0" w:firstRowLastColumn="0" w:lastRowFirstColumn="0" w:lastRowLastColumn="0"/>
              <w:rPr>
                <w:sz w:val="20"/>
                <w:szCs w:val="20"/>
              </w:rPr>
            </w:pPr>
          </w:p>
        </w:tc>
        <w:tc>
          <w:tcPr>
            <w:tcW w:w="1726" w:type="dxa"/>
          </w:tcPr>
          <w:p w14:paraId="201649A1" w14:textId="498107E1" w:rsidR="0077241D" w:rsidRPr="00A80E85" w:rsidRDefault="0077241D" w:rsidP="0092543A">
            <w:pPr>
              <w:cnfStyle w:val="000000000000" w:firstRow="0" w:lastRow="0" w:firstColumn="0" w:lastColumn="0" w:oddVBand="0" w:evenVBand="0" w:oddHBand="0" w:evenHBand="0" w:firstRowFirstColumn="0" w:firstRowLastColumn="0" w:lastRowFirstColumn="0" w:lastRowLastColumn="0"/>
              <w:rPr>
                <w:b/>
                <w:bCs/>
                <w:sz w:val="20"/>
                <w:szCs w:val="20"/>
              </w:rPr>
            </w:pPr>
            <w:r w:rsidRPr="00A80E85">
              <w:rPr>
                <w:sz w:val="20"/>
                <w:szCs w:val="20"/>
              </w:rPr>
              <w:t xml:space="preserve">LS Mean Difference (SE) (Odevixibat - </w:t>
            </w:r>
            <w:proofErr w:type="gramStart"/>
            <w:r w:rsidRPr="00A80E85">
              <w:rPr>
                <w:sz w:val="20"/>
                <w:szCs w:val="20"/>
              </w:rPr>
              <w:t>Placebo)</w:t>
            </w:r>
            <w:r w:rsidRPr="00A80E85">
              <w:rPr>
                <w:sz w:val="20"/>
                <w:szCs w:val="20"/>
                <w:vertAlign w:val="superscript"/>
              </w:rPr>
              <w:t>b</w:t>
            </w:r>
            <w:proofErr w:type="gramEnd"/>
          </w:p>
        </w:tc>
        <w:tc>
          <w:tcPr>
            <w:tcW w:w="1789" w:type="dxa"/>
          </w:tcPr>
          <w:p w14:paraId="28F6820E" w14:textId="178FFD4B" w:rsidR="0077241D" w:rsidRPr="00A80E85" w:rsidRDefault="0077241D" w:rsidP="0092543A">
            <w:pPr>
              <w:cnfStyle w:val="000000000000" w:firstRow="0" w:lastRow="0" w:firstColumn="0" w:lastColumn="0" w:oddVBand="0" w:evenVBand="0" w:oddHBand="0" w:evenHBand="0" w:firstRowFirstColumn="0" w:firstRowLastColumn="0" w:lastRowFirstColumn="0" w:lastRowLastColumn="0"/>
              <w:rPr>
                <w:sz w:val="20"/>
                <w:szCs w:val="20"/>
              </w:rPr>
            </w:pPr>
            <w:r w:rsidRPr="00A80E85">
              <w:rPr>
                <w:sz w:val="20"/>
                <w:szCs w:val="20"/>
              </w:rPr>
              <w:t>28.23 (9.182)</w:t>
            </w:r>
          </w:p>
        </w:tc>
        <w:tc>
          <w:tcPr>
            <w:tcW w:w="1798" w:type="dxa"/>
          </w:tcPr>
          <w:p w14:paraId="7F5598A8" w14:textId="4CD73C97" w:rsidR="0077241D" w:rsidRPr="00A80E85" w:rsidRDefault="0077241D" w:rsidP="0092543A">
            <w:pPr>
              <w:cnfStyle w:val="000000000000" w:firstRow="0" w:lastRow="0" w:firstColumn="0" w:lastColumn="0" w:oddVBand="0" w:evenVBand="0" w:oddHBand="0" w:evenHBand="0" w:firstRowFirstColumn="0" w:firstRowLastColumn="0" w:lastRowFirstColumn="0" w:lastRowLastColumn="0"/>
              <w:rPr>
                <w:sz w:val="20"/>
                <w:szCs w:val="20"/>
              </w:rPr>
            </w:pPr>
            <w:r w:rsidRPr="00A80E85">
              <w:rPr>
                <w:sz w:val="20"/>
                <w:szCs w:val="20"/>
              </w:rPr>
              <w:t>21.71 (9.892)</w:t>
            </w:r>
          </w:p>
        </w:tc>
      </w:tr>
      <w:tr w:rsidR="0077241D" w:rsidRPr="00A80E85" w14:paraId="42E928FF" w14:textId="77777777" w:rsidTr="00A80E85">
        <w:tc>
          <w:tcPr>
            <w:cnfStyle w:val="001000000000" w:firstRow="0" w:lastRow="0" w:firstColumn="1" w:lastColumn="0" w:oddVBand="0" w:evenVBand="0" w:oddHBand="0" w:evenHBand="0" w:firstRowFirstColumn="0" w:firstRowLastColumn="0" w:lastRowFirstColumn="0" w:lastRowLastColumn="0"/>
            <w:tcW w:w="2547" w:type="dxa"/>
            <w:vMerge/>
          </w:tcPr>
          <w:p w14:paraId="05B87663" w14:textId="77777777" w:rsidR="0077241D" w:rsidRPr="00A80E85" w:rsidRDefault="0077241D" w:rsidP="0092543A">
            <w:pPr>
              <w:rPr>
                <w:sz w:val="20"/>
                <w:szCs w:val="20"/>
              </w:rPr>
            </w:pPr>
          </w:p>
        </w:tc>
        <w:tc>
          <w:tcPr>
            <w:tcW w:w="1495" w:type="dxa"/>
            <w:vMerge/>
          </w:tcPr>
          <w:p w14:paraId="10A26D23" w14:textId="77777777" w:rsidR="0077241D" w:rsidRPr="00A80E85" w:rsidRDefault="0077241D" w:rsidP="0092543A">
            <w:pPr>
              <w:cnfStyle w:val="000000000000" w:firstRow="0" w:lastRow="0" w:firstColumn="0" w:lastColumn="0" w:oddVBand="0" w:evenVBand="0" w:oddHBand="0" w:evenHBand="0" w:firstRowFirstColumn="0" w:firstRowLastColumn="0" w:lastRowFirstColumn="0" w:lastRowLastColumn="0"/>
              <w:rPr>
                <w:sz w:val="20"/>
                <w:szCs w:val="20"/>
              </w:rPr>
            </w:pPr>
          </w:p>
        </w:tc>
        <w:tc>
          <w:tcPr>
            <w:tcW w:w="1726" w:type="dxa"/>
          </w:tcPr>
          <w:p w14:paraId="4241A1E5" w14:textId="6E459BD2" w:rsidR="0077241D" w:rsidRPr="00A80E85" w:rsidRDefault="0077241D" w:rsidP="0092543A">
            <w:pPr>
              <w:cnfStyle w:val="000000000000" w:firstRow="0" w:lastRow="0" w:firstColumn="0" w:lastColumn="0" w:oddVBand="0" w:evenVBand="0" w:oddHBand="0" w:evenHBand="0" w:firstRowFirstColumn="0" w:firstRowLastColumn="0" w:lastRowFirstColumn="0" w:lastRowLastColumn="0"/>
              <w:rPr>
                <w:sz w:val="20"/>
                <w:szCs w:val="20"/>
              </w:rPr>
            </w:pPr>
            <w:r w:rsidRPr="00A80E85">
              <w:rPr>
                <w:sz w:val="20"/>
                <w:szCs w:val="20"/>
              </w:rPr>
              <w:t xml:space="preserve">95% CI </w:t>
            </w:r>
            <w:r w:rsidRPr="00A80E85">
              <w:rPr>
                <w:sz w:val="20"/>
                <w:szCs w:val="20"/>
                <w:vertAlign w:val="superscript"/>
              </w:rPr>
              <w:t>b</w:t>
            </w:r>
          </w:p>
        </w:tc>
        <w:tc>
          <w:tcPr>
            <w:tcW w:w="1789" w:type="dxa"/>
          </w:tcPr>
          <w:p w14:paraId="6AECA149" w14:textId="663A87B6" w:rsidR="0077241D" w:rsidRPr="00A80E85" w:rsidRDefault="0077241D" w:rsidP="0092543A">
            <w:pPr>
              <w:cnfStyle w:val="000000000000" w:firstRow="0" w:lastRow="0" w:firstColumn="0" w:lastColumn="0" w:oddVBand="0" w:evenVBand="0" w:oddHBand="0" w:evenHBand="0" w:firstRowFirstColumn="0" w:firstRowLastColumn="0" w:lastRowFirstColumn="0" w:lastRowLastColumn="0"/>
              <w:rPr>
                <w:sz w:val="20"/>
                <w:szCs w:val="20"/>
              </w:rPr>
            </w:pPr>
            <w:r w:rsidRPr="00A80E85">
              <w:rPr>
                <w:sz w:val="20"/>
                <w:szCs w:val="20"/>
              </w:rPr>
              <w:t>(9.83, 46.64)</w:t>
            </w:r>
          </w:p>
        </w:tc>
        <w:tc>
          <w:tcPr>
            <w:tcW w:w="1798" w:type="dxa"/>
          </w:tcPr>
          <w:p w14:paraId="12F45838" w14:textId="25B88668" w:rsidR="0077241D" w:rsidRPr="00A80E85" w:rsidRDefault="0077241D" w:rsidP="0092543A">
            <w:pPr>
              <w:cnfStyle w:val="000000000000" w:firstRow="0" w:lastRow="0" w:firstColumn="0" w:lastColumn="0" w:oddVBand="0" w:evenVBand="0" w:oddHBand="0" w:evenHBand="0" w:firstRowFirstColumn="0" w:firstRowLastColumn="0" w:lastRowFirstColumn="0" w:lastRowLastColumn="0"/>
              <w:rPr>
                <w:sz w:val="20"/>
                <w:szCs w:val="20"/>
              </w:rPr>
            </w:pPr>
            <w:r w:rsidRPr="00A80E85">
              <w:rPr>
                <w:sz w:val="20"/>
                <w:szCs w:val="20"/>
              </w:rPr>
              <w:t>(1.87, 41.54)</w:t>
            </w:r>
          </w:p>
        </w:tc>
      </w:tr>
      <w:tr w:rsidR="0077241D" w:rsidRPr="00A80E85" w14:paraId="2F74420C" w14:textId="77777777" w:rsidTr="00A80E85">
        <w:tc>
          <w:tcPr>
            <w:cnfStyle w:val="001000000000" w:firstRow="0" w:lastRow="0" w:firstColumn="1" w:lastColumn="0" w:oddVBand="0" w:evenVBand="0" w:oddHBand="0" w:evenHBand="0" w:firstRowFirstColumn="0" w:firstRowLastColumn="0" w:lastRowFirstColumn="0" w:lastRowLastColumn="0"/>
            <w:tcW w:w="2547" w:type="dxa"/>
            <w:vMerge/>
          </w:tcPr>
          <w:p w14:paraId="4FB50E5C" w14:textId="77777777" w:rsidR="0077241D" w:rsidRPr="00A80E85" w:rsidRDefault="0077241D" w:rsidP="0092543A">
            <w:pPr>
              <w:rPr>
                <w:sz w:val="20"/>
                <w:szCs w:val="20"/>
              </w:rPr>
            </w:pPr>
          </w:p>
        </w:tc>
        <w:tc>
          <w:tcPr>
            <w:tcW w:w="1495" w:type="dxa"/>
            <w:vMerge/>
          </w:tcPr>
          <w:p w14:paraId="6FF4AE3E" w14:textId="77777777" w:rsidR="0077241D" w:rsidRPr="00A80E85" w:rsidRDefault="0077241D" w:rsidP="0092543A">
            <w:pPr>
              <w:cnfStyle w:val="000000000000" w:firstRow="0" w:lastRow="0" w:firstColumn="0" w:lastColumn="0" w:oddVBand="0" w:evenVBand="0" w:oddHBand="0" w:evenHBand="0" w:firstRowFirstColumn="0" w:firstRowLastColumn="0" w:lastRowFirstColumn="0" w:lastRowLastColumn="0"/>
              <w:rPr>
                <w:sz w:val="20"/>
                <w:szCs w:val="20"/>
              </w:rPr>
            </w:pPr>
          </w:p>
        </w:tc>
        <w:tc>
          <w:tcPr>
            <w:tcW w:w="1726" w:type="dxa"/>
          </w:tcPr>
          <w:p w14:paraId="18CD8406" w14:textId="501225B0" w:rsidR="0077241D" w:rsidRPr="00A80E85" w:rsidRDefault="0077241D" w:rsidP="0092543A">
            <w:pPr>
              <w:cnfStyle w:val="000000000000" w:firstRow="0" w:lastRow="0" w:firstColumn="0" w:lastColumn="0" w:oddVBand="0" w:evenVBand="0" w:oddHBand="0" w:evenHBand="0" w:firstRowFirstColumn="0" w:firstRowLastColumn="0" w:lastRowFirstColumn="0" w:lastRowLastColumn="0"/>
              <w:rPr>
                <w:sz w:val="20"/>
                <w:szCs w:val="20"/>
              </w:rPr>
            </w:pPr>
            <w:r w:rsidRPr="00A80E85">
              <w:rPr>
                <w:sz w:val="20"/>
                <w:szCs w:val="20"/>
              </w:rPr>
              <w:t>One-sided Adjusted p-value</w:t>
            </w:r>
            <w:r w:rsidRPr="00A80E85">
              <w:rPr>
                <w:sz w:val="20"/>
                <w:szCs w:val="20"/>
                <w:vertAlign w:val="superscript"/>
              </w:rPr>
              <w:t>c</w:t>
            </w:r>
          </w:p>
        </w:tc>
        <w:tc>
          <w:tcPr>
            <w:tcW w:w="1789" w:type="dxa"/>
          </w:tcPr>
          <w:p w14:paraId="1F4EABA1" w14:textId="712F8825" w:rsidR="0077241D" w:rsidRPr="00A80E85" w:rsidRDefault="0077241D" w:rsidP="0092543A">
            <w:pPr>
              <w:cnfStyle w:val="000000000000" w:firstRow="0" w:lastRow="0" w:firstColumn="0" w:lastColumn="0" w:oddVBand="0" w:evenVBand="0" w:oddHBand="0" w:evenHBand="0" w:firstRowFirstColumn="0" w:firstRowLastColumn="0" w:lastRowFirstColumn="0" w:lastRowLastColumn="0"/>
              <w:rPr>
                <w:sz w:val="20"/>
                <w:szCs w:val="20"/>
              </w:rPr>
            </w:pPr>
            <w:r w:rsidRPr="00A80E85">
              <w:rPr>
                <w:sz w:val="20"/>
                <w:szCs w:val="20"/>
              </w:rPr>
              <w:t>0.0019</w:t>
            </w:r>
          </w:p>
        </w:tc>
        <w:tc>
          <w:tcPr>
            <w:tcW w:w="1798" w:type="dxa"/>
          </w:tcPr>
          <w:p w14:paraId="281B03F9" w14:textId="4C773C44" w:rsidR="0077241D" w:rsidRPr="00A80E85" w:rsidRDefault="0077241D" w:rsidP="0092543A">
            <w:pPr>
              <w:cnfStyle w:val="000000000000" w:firstRow="0" w:lastRow="0" w:firstColumn="0" w:lastColumn="0" w:oddVBand="0" w:evenVBand="0" w:oddHBand="0" w:evenHBand="0" w:firstRowFirstColumn="0" w:firstRowLastColumn="0" w:lastRowFirstColumn="0" w:lastRowLastColumn="0"/>
              <w:rPr>
                <w:sz w:val="20"/>
                <w:szCs w:val="20"/>
              </w:rPr>
            </w:pPr>
            <w:r w:rsidRPr="00A80E85">
              <w:rPr>
                <w:sz w:val="20"/>
                <w:szCs w:val="20"/>
              </w:rPr>
              <w:t>0.0163</w:t>
            </w:r>
          </w:p>
        </w:tc>
      </w:tr>
      <w:tr w:rsidR="0077241D" w:rsidRPr="00A80E85" w14:paraId="7115E47F" w14:textId="77777777" w:rsidTr="00A80E85">
        <w:tc>
          <w:tcPr>
            <w:cnfStyle w:val="001000000000" w:firstRow="0" w:lastRow="0" w:firstColumn="1" w:lastColumn="0" w:oddVBand="0" w:evenVBand="0" w:oddHBand="0" w:evenHBand="0" w:firstRowFirstColumn="0" w:firstRowLastColumn="0" w:lastRowFirstColumn="0" w:lastRowLastColumn="0"/>
            <w:tcW w:w="2547" w:type="dxa"/>
            <w:vMerge/>
          </w:tcPr>
          <w:p w14:paraId="333D90B7" w14:textId="77777777" w:rsidR="0077241D" w:rsidRPr="00A80E85" w:rsidRDefault="0077241D" w:rsidP="0077241D">
            <w:pPr>
              <w:rPr>
                <w:sz w:val="20"/>
                <w:szCs w:val="20"/>
              </w:rPr>
            </w:pPr>
          </w:p>
        </w:tc>
        <w:tc>
          <w:tcPr>
            <w:tcW w:w="1495" w:type="dxa"/>
            <w:vMerge w:val="restart"/>
          </w:tcPr>
          <w:p w14:paraId="5BE58A1B" w14:textId="4BDAFCB3" w:rsidR="0077241D" w:rsidRPr="00A80E85" w:rsidRDefault="0077241D" w:rsidP="0077241D">
            <w:pPr>
              <w:cnfStyle w:val="000000000000" w:firstRow="0" w:lastRow="0" w:firstColumn="0" w:lastColumn="0" w:oddVBand="0" w:evenVBand="0" w:oddHBand="0" w:evenHBand="0" w:firstRowFirstColumn="0" w:firstRowLastColumn="0" w:lastRowFirstColumn="0" w:lastRowLastColumn="0"/>
              <w:rPr>
                <w:sz w:val="20"/>
                <w:szCs w:val="20"/>
              </w:rPr>
            </w:pPr>
            <w:r w:rsidRPr="00A80E85">
              <w:rPr>
                <w:sz w:val="20"/>
                <w:szCs w:val="20"/>
              </w:rPr>
              <w:t>Secondary endpoint: Proportion of positive pruritus assessment &gt;50% of time</w:t>
            </w:r>
          </w:p>
        </w:tc>
        <w:tc>
          <w:tcPr>
            <w:tcW w:w="1726" w:type="dxa"/>
          </w:tcPr>
          <w:p w14:paraId="0FF00E8B" w14:textId="3B05724A" w:rsidR="0077241D" w:rsidRPr="00A80E85" w:rsidRDefault="0077241D" w:rsidP="0077241D">
            <w:pPr>
              <w:cnfStyle w:val="000000000000" w:firstRow="0" w:lastRow="0" w:firstColumn="0" w:lastColumn="0" w:oddVBand="0" w:evenVBand="0" w:oddHBand="0" w:evenHBand="0" w:firstRowFirstColumn="0" w:firstRowLastColumn="0" w:lastRowFirstColumn="0" w:lastRowLastColumn="0"/>
              <w:rPr>
                <w:sz w:val="20"/>
                <w:szCs w:val="20"/>
              </w:rPr>
            </w:pPr>
            <w:r w:rsidRPr="00A80E85">
              <w:rPr>
                <w:b/>
                <w:bCs/>
                <w:sz w:val="20"/>
                <w:szCs w:val="20"/>
              </w:rPr>
              <w:t>Comparison groups</w:t>
            </w:r>
          </w:p>
        </w:tc>
        <w:tc>
          <w:tcPr>
            <w:tcW w:w="1789" w:type="dxa"/>
          </w:tcPr>
          <w:p w14:paraId="076AB115" w14:textId="5AFE516E" w:rsidR="0077241D" w:rsidRPr="00A80E85" w:rsidRDefault="0077241D" w:rsidP="0077241D">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sidRPr="00A80E85">
              <w:rPr>
                <w:b/>
                <w:bCs/>
                <w:sz w:val="20"/>
                <w:szCs w:val="20"/>
              </w:rPr>
              <w:t>40  µ</w:t>
            </w:r>
            <w:proofErr w:type="gramEnd"/>
            <w:r w:rsidRPr="00A80E85">
              <w:rPr>
                <w:b/>
                <w:bCs/>
                <w:sz w:val="20"/>
                <w:szCs w:val="20"/>
              </w:rPr>
              <w:t>g/kg/day</w:t>
            </w:r>
          </w:p>
        </w:tc>
        <w:tc>
          <w:tcPr>
            <w:tcW w:w="1798" w:type="dxa"/>
          </w:tcPr>
          <w:p w14:paraId="23182A27" w14:textId="6986CCEA" w:rsidR="0077241D" w:rsidRPr="00A80E85" w:rsidRDefault="0077241D" w:rsidP="0077241D">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sidRPr="00A80E85">
              <w:rPr>
                <w:b/>
                <w:bCs/>
                <w:sz w:val="20"/>
                <w:szCs w:val="20"/>
              </w:rPr>
              <w:t>120  µ</w:t>
            </w:r>
            <w:proofErr w:type="gramEnd"/>
            <w:r w:rsidRPr="00A80E85">
              <w:rPr>
                <w:b/>
                <w:bCs/>
                <w:sz w:val="20"/>
                <w:szCs w:val="20"/>
              </w:rPr>
              <w:t>g/kg/day</w:t>
            </w:r>
          </w:p>
        </w:tc>
      </w:tr>
      <w:tr w:rsidR="0077241D" w:rsidRPr="00A80E85" w14:paraId="37439F71" w14:textId="77777777" w:rsidTr="00A80E85">
        <w:tc>
          <w:tcPr>
            <w:cnfStyle w:val="001000000000" w:firstRow="0" w:lastRow="0" w:firstColumn="1" w:lastColumn="0" w:oddVBand="0" w:evenVBand="0" w:oddHBand="0" w:evenHBand="0" w:firstRowFirstColumn="0" w:firstRowLastColumn="0" w:lastRowFirstColumn="0" w:lastRowLastColumn="0"/>
            <w:tcW w:w="2547" w:type="dxa"/>
            <w:vMerge/>
          </w:tcPr>
          <w:p w14:paraId="6E69440A" w14:textId="77777777" w:rsidR="0077241D" w:rsidRPr="00A80E85" w:rsidRDefault="0077241D" w:rsidP="0077241D">
            <w:pPr>
              <w:rPr>
                <w:sz w:val="20"/>
                <w:szCs w:val="20"/>
              </w:rPr>
            </w:pPr>
          </w:p>
        </w:tc>
        <w:tc>
          <w:tcPr>
            <w:tcW w:w="1495" w:type="dxa"/>
            <w:vMerge/>
          </w:tcPr>
          <w:p w14:paraId="576416C3" w14:textId="77777777" w:rsidR="0077241D" w:rsidRPr="00A80E85" w:rsidRDefault="0077241D" w:rsidP="0077241D">
            <w:pPr>
              <w:cnfStyle w:val="000000000000" w:firstRow="0" w:lastRow="0" w:firstColumn="0" w:lastColumn="0" w:oddVBand="0" w:evenVBand="0" w:oddHBand="0" w:evenHBand="0" w:firstRowFirstColumn="0" w:firstRowLastColumn="0" w:lastRowFirstColumn="0" w:lastRowLastColumn="0"/>
              <w:rPr>
                <w:sz w:val="20"/>
                <w:szCs w:val="20"/>
              </w:rPr>
            </w:pPr>
          </w:p>
        </w:tc>
        <w:tc>
          <w:tcPr>
            <w:tcW w:w="1726" w:type="dxa"/>
          </w:tcPr>
          <w:p w14:paraId="35CA1CAB" w14:textId="703A0D2A" w:rsidR="0077241D" w:rsidRPr="00A80E85" w:rsidRDefault="0077241D" w:rsidP="0077241D">
            <w:pPr>
              <w:cnfStyle w:val="000000000000" w:firstRow="0" w:lastRow="0" w:firstColumn="0" w:lastColumn="0" w:oddVBand="0" w:evenVBand="0" w:oddHBand="0" w:evenHBand="0" w:firstRowFirstColumn="0" w:firstRowLastColumn="0" w:lastRowFirstColumn="0" w:lastRowLastColumn="0"/>
              <w:rPr>
                <w:sz w:val="20"/>
                <w:szCs w:val="20"/>
              </w:rPr>
            </w:pPr>
            <w:r w:rsidRPr="00A80E85">
              <w:rPr>
                <w:sz w:val="20"/>
                <w:szCs w:val="20"/>
              </w:rPr>
              <w:t>Proportion Difference Adjusting for Stratification (Odevixibat - Placebo)</w:t>
            </w:r>
          </w:p>
        </w:tc>
        <w:tc>
          <w:tcPr>
            <w:tcW w:w="1789" w:type="dxa"/>
          </w:tcPr>
          <w:p w14:paraId="25BAA031" w14:textId="23F13ED9" w:rsidR="0077241D" w:rsidRPr="00A80E85" w:rsidRDefault="0077241D" w:rsidP="0077241D">
            <w:pPr>
              <w:cnfStyle w:val="000000000000" w:firstRow="0" w:lastRow="0" w:firstColumn="0" w:lastColumn="0" w:oddVBand="0" w:evenVBand="0" w:oddHBand="0" w:evenHBand="0" w:firstRowFirstColumn="0" w:firstRowLastColumn="0" w:lastRowFirstColumn="0" w:lastRowLastColumn="0"/>
              <w:rPr>
                <w:sz w:val="20"/>
                <w:szCs w:val="20"/>
              </w:rPr>
            </w:pPr>
            <w:r w:rsidRPr="00A80E85">
              <w:rPr>
                <w:sz w:val="20"/>
                <w:szCs w:val="20"/>
              </w:rPr>
              <w:t>0.467</w:t>
            </w:r>
          </w:p>
        </w:tc>
        <w:tc>
          <w:tcPr>
            <w:tcW w:w="1798" w:type="dxa"/>
          </w:tcPr>
          <w:p w14:paraId="03A04A00" w14:textId="4ABC427D" w:rsidR="0077241D" w:rsidRPr="00A80E85" w:rsidRDefault="0077241D" w:rsidP="0077241D">
            <w:pPr>
              <w:cnfStyle w:val="000000000000" w:firstRow="0" w:lastRow="0" w:firstColumn="0" w:lastColumn="0" w:oddVBand="0" w:evenVBand="0" w:oddHBand="0" w:evenHBand="0" w:firstRowFirstColumn="0" w:firstRowLastColumn="0" w:lastRowFirstColumn="0" w:lastRowLastColumn="0"/>
              <w:rPr>
                <w:sz w:val="20"/>
                <w:szCs w:val="20"/>
              </w:rPr>
            </w:pPr>
            <w:r w:rsidRPr="00A80E85">
              <w:rPr>
                <w:sz w:val="20"/>
                <w:szCs w:val="20"/>
              </w:rPr>
              <w:t>0.287</w:t>
            </w:r>
          </w:p>
        </w:tc>
      </w:tr>
      <w:tr w:rsidR="0077241D" w:rsidRPr="00A80E85" w14:paraId="10F05B2F" w14:textId="77777777" w:rsidTr="00A80E85">
        <w:tc>
          <w:tcPr>
            <w:cnfStyle w:val="001000000000" w:firstRow="0" w:lastRow="0" w:firstColumn="1" w:lastColumn="0" w:oddVBand="0" w:evenVBand="0" w:oddHBand="0" w:evenHBand="0" w:firstRowFirstColumn="0" w:firstRowLastColumn="0" w:lastRowFirstColumn="0" w:lastRowLastColumn="0"/>
            <w:tcW w:w="2547" w:type="dxa"/>
            <w:vMerge/>
          </w:tcPr>
          <w:p w14:paraId="4D0995B4" w14:textId="77777777" w:rsidR="0077241D" w:rsidRPr="00A80E85" w:rsidRDefault="0077241D" w:rsidP="0077241D">
            <w:pPr>
              <w:rPr>
                <w:sz w:val="20"/>
                <w:szCs w:val="20"/>
              </w:rPr>
            </w:pPr>
          </w:p>
        </w:tc>
        <w:tc>
          <w:tcPr>
            <w:tcW w:w="1495" w:type="dxa"/>
            <w:vMerge/>
          </w:tcPr>
          <w:p w14:paraId="03C0ED31" w14:textId="77777777" w:rsidR="0077241D" w:rsidRPr="00A80E85" w:rsidRDefault="0077241D" w:rsidP="0077241D">
            <w:pPr>
              <w:cnfStyle w:val="000000000000" w:firstRow="0" w:lastRow="0" w:firstColumn="0" w:lastColumn="0" w:oddVBand="0" w:evenVBand="0" w:oddHBand="0" w:evenHBand="0" w:firstRowFirstColumn="0" w:firstRowLastColumn="0" w:lastRowFirstColumn="0" w:lastRowLastColumn="0"/>
              <w:rPr>
                <w:sz w:val="20"/>
                <w:szCs w:val="20"/>
              </w:rPr>
            </w:pPr>
          </w:p>
        </w:tc>
        <w:tc>
          <w:tcPr>
            <w:tcW w:w="1726" w:type="dxa"/>
          </w:tcPr>
          <w:p w14:paraId="1B581944" w14:textId="36977BA6" w:rsidR="0077241D" w:rsidRPr="00A80E85" w:rsidRDefault="0077241D" w:rsidP="0077241D">
            <w:pPr>
              <w:cnfStyle w:val="000000000000" w:firstRow="0" w:lastRow="0" w:firstColumn="0" w:lastColumn="0" w:oddVBand="0" w:evenVBand="0" w:oddHBand="0" w:evenHBand="0" w:firstRowFirstColumn="0" w:firstRowLastColumn="0" w:lastRowFirstColumn="0" w:lastRowLastColumn="0"/>
              <w:rPr>
                <w:sz w:val="20"/>
                <w:szCs w:val="20"/>
              </w:rPr>
            </w:pPr>
            <w:r w:rsidRPr="00A80E85">
              <w:rPr>
                <w:sz w:val="20"/>
                <w:szCs w:val="20"/>
              </w:rPr>
              <w:t>95% CI</w:t>
            </w:r>
            <w:r w:rsidR="00C1756D" w:rsidRPr="00A80E85">
              <w:rPr>
                <w:sz w:val="20"/>
                <w:szCs w:val="20"/>
                <w:vertAlign w:val="superscript"/>
              </w:rPr>
              <w:t>a</w:t>
            </w:r>
          </w:p>
        </w:tc>
        <w:tc>
          <w:tcPr>
            <w:tcW w:w="1789" w:type="dxa"/>
          </w:tcPr>
          <w:p w14:paraId="1DCDFC7A" w14:textId="13C47FDB" w:rsidR="0077241D" w:rsidRPr="00A80E85" w:rsidRDefault="005F7670" w:rsidP="005F7670">
            <w:pPr>
              <w:ind w:left="0"/>
              <w:cnfStyle w:val="000000000000" w:firstRow="0" w:lastRow="0" w:firstColumn="0" w:lastColumn="0" w:oddVBand="0" w:evenVBand="0" w:oddHBand="0" w:evenHBand="0" w:firstRowFirstColumn="0" w:firstRowLastColumn="0" w:lastRowFirstColumn="0" w:lastRowLastColumn="0"/>
              <w:rPr>
                <w:sz w:val="20"/>
                <w:szCs w:val="20"/>
              </w:rPr>
            </w:pPr>
            <w:r w:rsidRPr="00A80E85">
              <w:rPr>
                <w:sz w:val="20"/>
                <w:szCs w:val="20"/>
              </w:rPr>
              <w:t>(0.2290, 0.7045)</w:t>
            </w:r>
          </w:p>
        </w:tc>
        <w:tc>
          <w:tcPr>
            <w:tcW w:w="1798" w:type="dxa"/>
          </w:tcPr>
          <w:p w14:paraId="025BA5B2" w14:textId="7372852C" w:rsidR="0077241D" w:rsidRPr="00A80E85" w:rsidRDefault="005F7670" w:rsidP="005F7670">
            <w:pPr>
              <w:ind w:left="0"/>
              <w:cnfStyle w:val="000000000000" w:firstRow="0" w:lastRow="0" w:firstColumn="0" w:lastColumn="0" w:oddVBand="0" w:evenVBand="0" w:oddHBand="0" w:evenHBand="0" w:firstRowFirstColumn="0" w:firstRowLastColumn="0" w:lastRowFirstColumn="0" w:lastRowLastColumn="0"/>
              <w:rPr>
                <w:sz w:val="20"/>
                <w:szCs w:val="20"/>
              </w:rPr>
            </w:pPr>
            <w:r w:rsidRPr="00A80E85">
              <w:rPr>
                <w:sz w:val="20"/>
                <w:szCs w:val="20"/>
              </w:rPr>
              <w:t>(0.0344, 0.5401)</w:t>
            </w:r>
          </w:p>
        </w:tc>
      </w:tr>
      <w:tr w:rsidR="0077241D" w:rsidRPr="00A80E85" w14:paraId="5343B038" w14:textId="77777777" w:rsidTr="00A80E85">
        <w:tc>
          <w:tcPr>
            <w:cnfStyle w:val="001000000000" w:firstRow="0" w:lastRow="0" w:firstColumn="1" w:lastColumn="0" w:oddVBand="0" w:evenVBand="0" w:oddHBand="0" w:evenHBand="0" w:firstRowFirstColumn="0" w:firstRowLastColumn="0" w:lastRowFirstColumn="0" w:lastRowLastColumn="0"/>
            <w:tcW w:w="2547" w:type="dxa"/>
            <w:vMerge/>
          </w:tcPr>
          <w:p w14:paraId="6FE6D26C" w14:textId="77777777" w:rsidR="0077241D" w:rsidRPr="00A80E85" w:rsidRDefault="0077241D" w:rsidP="0077241D">
            <w:pPr>
              <w:rPr>
                <w:sz w:val="20"/>
                <w:szCs w:val="20"/>
              </w:rPr>
            </w:pPr>
          </w:p>
        </w:tc>
        <w:tc>
          <w:tcPr>
            <w:tcW w:w="1495" w:type="dxa"/>
            <w:vMerge/>
          </w:tcPr>
          <w:p w14:paraId="05235A7F" w14:textId="77777777" w:rsidR="0077241D" w:rsidRPr="00A80E85" w:rsidRDefault="0077241D" w:rsidP="0077241D">
            <w:pPr>
              <w:cnfStyle w:val="000000000000" w:firstRow="0" w:lastRow="0" w:firstColumn="0" w:lastColumn="0" w:oddVBand="0" w:evenVBand="0" w:oddHBand="0" w:evenHBand="0" w:firstRowFirstColumn="0" w:firstRowLastColumn="0" w:lastRowFirstColumn="0" w:lastRowLastColumn="0"/>
              <w:rPr>
                <w:sz w:val="20"/>
                <w:szCs w:val="20"/>
              </w:rPr>
            </w:pPr>
          </w:p>
        </w:tc>
        <w:tc>
          <w:tcPr>
            <w:tcW w:w="1726" w:type="dxa"/>
          </w:tcPr>
          <w:p w14:paraId="385364EC" w14:textId="5F9EAD13" w:rsidR="0077241D" w:rsidRPr="00A80E85" w:rsidRDefault="004742FC" w:rsidP="0077241D">
            <w:pPr>
              <w:cnfStyle w:val="000000000000" w:firstRow="0" w:lastRow="0" w:firstColumn="0" w:lastColumn="0" w:oddVBand="0" w:evenVBand="0" w:oddHBand="0" w:evenHBand="0" w:firstRowFirstColumn="0" w:firstRowLastColumn="0" w:lastRowFirstColumn="0" w:lastRowLastColumn="0"/>
              <w:rPr>
                <w:sz w:val="20"/>
                <w:szCs w:val="20"/>
              </w:rPr>
            </w:pPr>
            <w:r w:rsidRPr="00A80E85">
              <w:rPr>
                <w:sz w:val="20"/>
                <w:szCs w:val="20"/>
              </w:rPr>
              <w:t>One-Sided Unadjusted p-value</w:t>
            </w:r>
            <w:r w:rsidR="009D00D0" w:rsidRPr="00A80E85">
              <w:rPr>
                <w:sz w:val="20"/>
                <w:szCs w:val="20"/>
                <w:vertAlign w:val="superscript"/>
              </w:rPr>
              <w:t>d</w:t>
            </w:r>
          </w:p>
        </w:tc>
        <w:tc>
          <w:tcPr>
            <w:tcW w:w="1789" w:type="dxa"/>
          </w:tcPr>
          <w:p w14:paraId="725380B5" w14:textId="5D3D01AF" w:rsidR="0077241D" w:rsidRPr="00A80E85" w:rsidRDefault="000F0025" w:rsidP="000F0025">
            <w:pPr>
              <w:cnfStyle w:val="000000000000" w:firstRow="0" w:lastRow="0" w:firstColumn="0" w:lastColumn="0" w:oddVBand="0" w:evenVBand="0" w:oddHBand="0" w:evenHBand="0" w:firstRowFirstColumn="0" w:firstRowLastColumn="0" w:lastRowFirstColumn="0" w:lastRowLastColumn="0"/>
              <w:rPr>
                <w:sz w:val="20"/>
                <w:szCs w:val="20"/>
              </w:rPr>
            </w:pPr>
            <w:r w:rsidRPr="00A80E85">
              <w:rPr>
                <w:sz w:val="20"/>
                <w:szCs w:val="20"/>
              </w:rPr>
              <w:t>0.0002</w:t>
            </w:r>
          </w:p>
        </w:tc>
        <w:tc>
          <w:tcPr>
            <w:tcW w:w="1798" w:type="dxa"/>
          </w:tcPr>
          <w:p w14:paraId="087D8AD5" w14:textId="088EA981" w:rsidR="0077241D" w:rsidRPr="00A80E85" w:rsidRDefault="000F0025" w:rsidP="0077241D">
            <w:pPr>
              <w:cnfStyle w:val="000000000000" w:firstRow="0" w:lastRow="0" w:firstColumn="0" w:lastColumn="0" w:oddVBand="0" w:evenVBand="0" w:oddHBand="0" w:evenHBand="0" w:firstRowFirstColumn="0" w:firstRowLastColumn="0" w:lastRowFirstColumn="0" w:lastRowLastColumn="0"/>
              <w:rPr>
                <w:sz w:val="20"/>
                <w:szCs w:val="20"/>
              </w:rPr>
            </w:pPr>
            <w:r w:rsidRPr="00A80E85">
              <w:rPr>
                <w:sz w:val="20"/>
                <w:szCs w:val="20"/>
              </w:rPr>
              <w:t>0.0391</w:t>
            </w:r>
          </w:p>
        </w:tc>
      </w:tr>
    </w:tbl>
    <w:p w14:paraId="0A27707A" w14:textId="78585A26" w:rsidR="002C0B82" w:rsidRDefault="002C0B82" w:rsidP="00AB0428">
      <w:pPr>
        <w:pStyle w:val="TableDescription"/>
        <w:spacing w:before="0"/>
        <w:contextualSpacing/>
      </w:pPr>
      <w:r>
        <w:t>CI: confidence interval</w:t>
      </w:r>
    </w:p>
    <w:p w14:paraId="2612B8E9" w14:textId="4D3E0994" w:rsidR="002C0B82" w:rsidRDefault="002C0B82" w:rsidP="00AB0428">
      <w:pPr>
        <w:pStyle w:val="TableDescription"/>
        <w:spacing w:before="0"/>
        <w:contextualSpacing/>
      </w:pPr>
      <w:r>
        <w:t xml:space="preserve">a. </w:t>
      </w:r>
      <w:r w:rsidR="006D6927" w:rsidRPr="006D6927">
        <w:t>Miettinen-Nurminen (score) CI is reported adjusting for stratification factors</w:t>
      </w:r>
      <w:r w:rsidR="00C26DA6">
        <w:t>.</w:t>
      </w:r>
    </w:p>
    <w:p w14:paraId="2548E4B4" w14:textId="4FFBA063" w:rsidR="00816BD9" w:rsidRDefault="00816BD9" w:rsidP="00AB0428">
      <w:pPr>
        <w:pStyle w:val="TableDescription"/>
        <w:spacing w:before="0"/>
        <w:contextualSpacing/>
      </w:pPr>
      <w:r>
        <w:t xml:space="preserve">b. </w:t>
      </w:r>
      <w:r w:rsidRPr="00816BD9">
        <w:t>The analysis was based on an ANCOVA model with rounded AM baseline score, PM baseline score as covariates, and treatment group and stratification factors (PFIC type and age category) as fixed effects.</w:t>
      </w:r>
    </w:p>
    <w:p w14:paraId="2AEEB4C4" w14:textId="0C840E8D" w:rsidR="001B12EA" w:rsidRDefault="001B12EA" w:rsidP="00AB0428">
      <w:pPr>
        <w:pStyle w:val="TableDescription"/>
        <w:spacing w:before="0"/>
        <w:contextualSpacing/>
      </w:pPr>
      <w:r>
        <w:t xml:space="preserve">c. </w:t>
      </w:r>
      <w:r w:rsidRPr="001B12EA">
        <w:t>For an individual dose, the adjusted p-value is calculated as the maximum value of the unadjusted p-value for odevixibat all doses and the unadjusted p-value for the individual dose.</w:t>
      </w:r>
    </w:p>
    <w:p w14:paraId="12AB9D3D" w14:textId="18F90561" w:rsidR="009D00D0" w:rsidRDefault="009D00D0" w:rsidP="00AB0428">
      <w:pPr>
        <w:pStyle w:val="TableDescription"/>
        <w:spacing w:before="0"/>
        <w:contextualSpacing/>
      </w:pPr>
      <w:r>
        <w:t xml:space="preserve">d. </w:t>
      </w:r>
      <w:r w:rsidR="00E009FC" w:rsidRPr="00E009FC">
        <w:t>Based on the Cochran-Mantel-Haenszel (CMH) test adjusting for stratification factors</w:t>
      </w:r>
      <w:r w:rsidR="00E009FC">
        <w:t>.</w:t>
      </w:r>
    </w:p>
    <w:p w14:paraId="72DC9A91" w14:textId="77777777" w:rsidR="00F96249" w:rsidRDefault="00F96249" w:rsidP="00F96249">
      <w:r>
        <w:lastRenderedPageBreak/>
        <w:t>For the primary endpoint, a closed test procedure was used to compare the proportion of patients who responded (the proportion with at least a 70% reduction in SBA concentration from baseline or reaching a level ≤70 μmol/L (28.6 μg/mL) after 24 weeks) to odevixibat all doses combined with placebo, and then odevixibat 40 μg/kg vs placebo and odevixibat 120 μg/kg vs placebo. The proportion of responders was significantly greater in both odevixibat- treated groups compared to placebo. Overall, 14 of 42 participants in the combined treatment group (10 of 23 participants receiving 40 μg/kg/day odevixibat and four of 19 participants receiving 120 μg/kg/day) were considered responders, compared to no patient on placebo.</w:t>
      </w:r>
    </w:p>
    <w:p w14:paraId="1422A264" w14:textId="77777777" w:rsidR="00F96249" w:rsidRDefault="00F96249" w:rsidP="00F96249">
      <w:r>
        <w:t>Based on Cochran-Mantel-Haenszel test, adjusting only for stratification by PFIC type, the p- values for the respective comparisons were: combined vs placebo 0.0015, 40 μg/kg/day vs placebo 0.0003 and 120 μg/kg/day vs placebo 0.0174). The results in the FAS were supported in the PP population.</w:t>
      </w:r>
    </w:p>
    <w:p w14:paraId="0A3B7124" w14:textId="0073D786" w:rsidR="007376BA" w:rsidRDefault="00F96249" w:rsidP="007376BA">
      <w:r>
        <w:t>The results of the primary endpoint were supported by the secondary endpoint, the proportion of positive</w:t>
      </w:r>
      <w:r w:rsidR="000851BF">
        <w:rPr>
          <w:rStyle w:val="FootnoteReference"/>
        </w:rPr>
        <w:footnoteReference w:id="6"/>
      </w:r>
      <w:r>
        <w:t xml:space="preserve"> </w:t>
      </w:r>
      <w:r w:rsidR="00C70F23">
        <w:t>pruritus</w:t>
      </w:r>
      <w:r>
        <w:t xml:space="preserve"> assessments over the 24-week treatment period based on the ObsRO instrument. The proportion of positive assessments was significantly greater in both odevixibat-</w:t>
      </w:r>
      <w:r w:rsidR="007376BA" w:rsidRPr="007376BA">
        <w:t xml:space="preserve"> </w:t>
      </w:r>
      <w:r w:rsidR="007376BA">
        <w:t>treated groups compared to placebo. In the combined treatment group 53.51±5.0% (mean</w:t>
      </w:r>
      <w:r w:rsidR="00D70391">
        <w:t xml:space="preserve"> </w:t>
      </w:r>
      <w:r w:rsidR="007376BA">
        <w:t>±</w:t>
      </w:r>
      <w:r w:rsidR="00D70391">
        <w:t xml:space="preserve"> </w:t>
      </w:r>
      <w:r w:rsidR="007376BA">
        <w:t>SE) of assessments were positive, compared to 28.7±5.2% in the placebo group (p=0.0019). In the 40 μg/kg/day group 58.3±6.2% of assessments were positive (p=0.0016) and in the 120 μg/kg/day group 47.7±8.1% of assessments were positive (p=0.0016).</w:t>
      </w:r>
    </w:p>
    <w:p w14:paraId="2D660B54" w14:textId="1AF04303" w:rsidR="00B0571D" w:rsidRDefault="007376BA" w:rsidP="007376BA">
      <w:r>
        <w:t xml:space="preserve">Other secondary and exploratory endpoints were generally supportive. In all subgroup analyses (e.g. by age category, hepatic impairment classification, Child-Pugh classification (A and B), BSEP type, use of UDCA and/or rifampicin) odevixibat treatment was superior to placebo. For patients receiving odevixibat, the proportion of SBA responders was higher for patients with PFIC2 (12 of 30 patients, 40.0%) compared to patients with PFIC1 (2 of 12 patients, 16.7%), although the comparison of each group to placebo had widely overlapping confidence intervals. Overall, the responsiveness to treatment of patients with PFIC1 was variable. The SmPC and consequently the Australian PI include advice that the efficacy of odevixibat may be reduced in some patients, and therefore response should be monitored and alternative treatment considered if efficacy is not considered optimal after six months continual treatment. Positive effects on </w:t>
      </w:r>
      <w:r w:rsidR="00C70F23">
        <w:t>pruritus</w:t>
      </w:r>
      <w:r>
        <w:t xml:space="preserve"> were seen in patients with PFIC1 as well as PFIC2.</w:t>
      </w:r>
    </w:p>
    <w:p w14:paraId="33E3DDB7" w14:textId="43F61326" w:rsidR="00B94458" w:rsidRDefault="00B94458" w:rsidP="006C2396">
      <w:pPr>
        <w:pStyle w:val="TableTitle"/>
      </w:pPr>
      <w:r>
        <w:t xml:space="preserve">Table </w:t>
      </w:r>
      <w:r w:rsidR="00FC3ECB">
        <w:t>4</w:t>
      </w:r>
      <w:r>
        <w:t>. Descriptive statistics and estimate variability</w:t>
      </w:r>
    </w:p>
    <w:tbl>
      <w:tblPr>
        <w:tblStyle w:val="TableTGAblue2023"/>
        <w:tblW w:w="8800" w:type="dxa"/>
        <w:tblLook w:val="04A0" w:firstRow="1" w:lastRow="0" w:firstColumn="1" w:lastColumn="0" w:noHBand="0" w:noVBand="1"/>
      </w:tblPr>
      <w:tblGrid>
        <w:gridCol w:w="3235"/>
        <w:gridCol w:w="1491"/>
        <w:gridCol w:w="1917"/>
        <w:gridCol w:w="2157"/>
      </w:tblGrid>
      <w:tr w:rsidR="006C2396" w:rsidRPr="00D01DDB" w14:paraId="53A2257F" w14:textId="77777777" w:rsidTr="005652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vMerge w:val="restart"/>
            <w:shd w:val="clear" w:color="auto" w:fill="DEEAF6"/>
          </w:tcPr>
          <w:p w14:paraId="397475D7" w14:textId="77777777" w:rsidR="006C2396" w:rsidRPr="006C2396" w:rsidRDefault="006C2396" w:rsidP="0092543A">
            <w:pPr>
              <w:rPr>
                <w:szCs w:val="22"/>
              </w:rPr>
            </w:pPr>
          </w:p>
        </w:tc>
        <w:tc>
          <w:tcPr>
            <w:tcW w:w="5565" w:type="dxa"/>
            <w:gridSpan w:val="3"/>
            <w:shd w:val="clear" w:color="auto" w:fill="DEEAF6"/>
          </w:tcPr>
          <w:p w14:paraId="528F043B" w14:textId="08AD7A69" w:rsidR="006C2396" w:rsidRPr="006C2396" w:rsidRDefault="006C2396" w:rsidP="006C2396">
            <w:pPr>
              <w:jc w:val="center"/>
              <w:cnfStyle w:val="100000000000" w:firstRow="1" w:lastRow="0" w:firstColumn="0" w:lastColumn="0" w:oddVBand="0" w:evenVBand="0" w:oddHBand="0" w:evenHBand="0" w:firstRowFirstColumn="0" w:firstRowLastColumn="0" w:lastRowFirstColumn="0" w:lastRowLastColumn="0"/>
              <w:rPr>
                <w:szCs w:val="22"/>
              </w:rPr>
            </w:pPr>
            <w:r w:rsidRPr="006C2396">
              <w:rPr>
                <w:szCs w:val="22"/>
              </w:rPr>
              <w:t>Treatment group</w:t>
            </w:r>
          </w:p>
        </w:tc>
      </w:tr>
      <w:tr w:rsidR="006C2396" w:rsidRPr="00D01DDB" w14:paraId="1467954C" w14:textId="77777777" w:rsidTr="00B94458">
        <w:tc>
          <w:tcPr>
            <w:cnfStyle w:val="001000000000" w:firstRow="0" w:lastRow="0" w:firstColumn="1" w:lastColumn="0" w:oddVBand="0" w:evenVBand="0" w:oddHBand="0" w:evenHBand="0" w:firstRowFirstColumn="0" w:firstRowLastColumn="0" w:lastRowFirstColumn="0" w:lastRowLastColumn="0"/>
            <w:tcW w:w="3235" w:type="dxa"/>
            <w:vMerge/>
            <w:shd w:val="clear" w:color="auto" w:fill="DEEAF6"/>
          </w:tcPr>
          <w:p w14:paraId="09B05B34" w14:textId="25C95B34" w:rsidR="006C2396" w:rsidRPr="006C2396" w:rsidRDefault="006C2396" w:rsidP="0092543A">
            <w:pPr>
              <w:rPr>
                <w:color w:val="263287"/>
              </w:rPr>
            </w:pPr>
          </w:p>
        </w:tc>
        <w:tc>
          <w:tcPr>
            <w:tcW w:w="1491" w:type="dxa"/>
            <w:shd w:val="clear" w:color="auto" w:fill="DEEAF6"/>
          </w:tcPr>
          <w:p w14:paraId="4DA78413" w14:textId="77777777" w:rsidR="006C2396" w:rsidRPr="006C2396" w:rsidRDefault="006C2396" w:rsidP="0092543A">
            <w:pPr>
              <w:cnfStyle w:val="000000000000" w:firstRow="0" w:lastRow="0" w:firstColumn="0" w:lastColumn="0" w:oddVBand="0" w:evenVBand="0" w:oddHBand="0" w:evenHBand="0" w:firstRowFirstColumn="0" w:firstRowLastColumn="0" w:lastRowFirstColumn="0" w:lastRowLastColumn="0"/>
              <w:rPr>
                <w:b/>
                <w:bCs/>
                <w:color w:val="263287"/>
                <w:szCs w:val="22"/>
              </w:rPr>
            </w:pPr>
            <w:r w:rsidRPr="006C2396">
              <w:rPr>
                <w:b/>
                <w:bCs/>
                <w:color w:val="263287"/>
                <w:szCs w:val="22"/>
              </w:rPr>
              <w:t>placebo</w:t>
            </w:r>
          </w:p>
        </w:tc>
        <w:tc>
          <w:tcPr>
            <w:tcW w:w="1917" w:type="dxa"/>
            <w:shd w:val="clear" w:color="auto" w:fill="DEEAF6"/>
          </w:tcPr>
          <w:p w14:paraId="2E82B0DC" w14:textId="77777777" w:rsidR="006C2396" w:rsidRPr="006C2396" w:rsidRDefault="006C2396" w:rsidP="0092543A">
            <w:pPr>
              <w:cnfStyle w:val="000000000000" w:firstRow="0" w:lastRow="0" w:firstColumn="0" w:lastColumn="0" w:oddVBand="0" w:evenVBand="0" w:oddHBand="0" w:evenHBand="0" w:firstRowFirstColumn="0" w:firstRowLastColumn="0" w:lastRowFirstColumn="0" w:lastRowLastColumn="0"/>
              <w:rPr>
                <w:b/>
                <w:bCs/>
                <w:color w:val="263287"/>
                <w:szCs w:val="22"/>
              </w:rPr>
            </w:pPr>
            <w:r w:rsidRPr="006C2396">
              <w:rPr>
                <w:b/>
                <w:bCs/>
                <w:color w:val="263287"/>
                <w:szCs w:val="22"/>
              </w:rPr>
              <w:t>40 µg/kg/day</w:t>
            </w:r>
          </w:p>
        </w:tc>
        <w:tc>
          <w:tcPr>
            <w:tcW w:w="2157" w:type="dxa"/>
            <w:shd w:val="clear" w:color="auto" w:fill="DEEAF6"/>
          </w:tcPr>
          <w:p w14:paraId="66C7A73C" w14:textId="77777777" w:rsidR="006C2396" w:rsidRPr="006C2396" w:rsidRDefault="006C2396" w:rsidP="0092543A">
            <w:pPr>
              <w:cnfStyle w:val="000000000000" w:firstRow="0" w:lastRow="0" w:firstColumn="0" w:lastColumn="0" w:oddVBand="0" w:evenVBand="0" w:oddHBand="0" w:evenHBand="0" w:firstRowFirstColumn="0" w:firstRowLastColumn="0" w:lastRowFirstColumn="0" w:lastRowLastColumn="0"/>
              <w:rPr>
                <w:b/>
                <w:bCs/>
                <w:color w:val="263287"/>
                <w:szCs w:val="22"/>
              </w:rPr>
            </w:pPr>
            <w:r w:rsidRPr="006C2396">
              <w:rPr>
                <w:b/>
                <w:bCs/>
                <w:color w:val="263287"/>
                <w:szCs w:val="22"/>
              </w:rPr>
              <w:t>120 µg/kg/day</w:t>
            </w:r>
          </w:p>
        </w:tc>
      </w:tr>
      <w:tr w:rsidR="000F1EE4" w:rsidRPr="00D01DDB" w14:paraId="5E60AD9C" w14:textId="77777777" w:rsidTr="000F1EE4">
        <w:tc>
          <w:tcPr>
            <w:cnfStyle w:val="001000000000" w:firstRow="0" w:lastRow="0" w:firstColumn="1" w:lastColumn="0" w:oddVBand="0" w:evenVBand="0" w:oddHBand="0" w:evenHBand="0" w:firstRowFirstColumn="0" w:firstRowLastColumn="0" w:lastRowFirstColumn="0" w:lastRowLastColumn="0"/>
            <w:tcW w:w="3235" w:type="dxa"/>
          </w:tcPr>
          <w:p w14:paraId="64D738AF" w14:textId="77777777" w:rsidR="000F1EE4" w:rsidRPr="00D01DDB" w:rsidRDefault="000F1EE4" w:rsidP="0092543A">
            <w:pPr>
              <w:rPr>
                <w:szCs w:val="22"/>
              </w:rPr>
            </w:pPr>
            <w:r>
              <w:rPr>
                <w:szCs w:val="22"/>
              </w:rPr>
              <w:t>Number of subjects</w:t>
            </w:r>
          </w:p>
        </w:tc>
        <w:tc>
          <w:tcPr>
            <w:tcW w:w="1491" w:type="dxa"/>
          </w:tcPr>
          <w:p w14:paraId="2FA674A1" w14:textId="77777777" w:rsidR="000F1EE4" w:rsidRPr="00D01DDB" w:rsidRDefault="000F1EE4" w:rsidP="0092543A">
            <w:pPr>
              <w:cnfStyle w:val="000000000000" w:firstRow="0" w:lastRow="0" w:firstColumn="0" w:lastColumn="0" w:oddVBand="0" w:evenVBand="0" w:oddHBand="0" w:evenHBand="0" w:firstRowFirstColumn="0" w:firstRowLastColumn="0" w:lastRowFirstColumn="0" w:lastRowLastColumn="0"/>
              <w:rPr>
                <w:szCs w:val="22"/>
              </w:rPr>
            </w:pPr>
            <w:r>
              <w:rPr>
                <w:szCs w:val="22"/>
              </w:rPr>
              <w:t>20</w:t>
            </w:r>
          </w:p>
        </w:tc>
        <w:tc>
          <w:tcPr>
            <w:tcW w:w="1917" w:type="dxa"/>
          </w:tcPr>
          <w:p w14:paraId="1FD52346" w14:textId="77777777" w:rsidR="000F1EE4" w:rsidRPr="00D01DDB" w:rsidRDefault="000F1EE4" w:rsidP="0092543A">
            <w:pPr>
              <w:cnfStyle w:val="000000000000" w:firstRow="0" w:lastRow="0" w:firstColumn="0" w:lastColumn="0" w:oddVBand="0" w:evenVBand="0" w:oddHBand="0" w:evenHBand="0" w:firstRowFirstColumn="0" w:firstRowLastColumn="0" w:lastRowFirstColumn="0" w:lastRowLastColumn="0"/>
              <w:rPr>
                <w:szCs w:val="22"/>
              </w:rPr>
            </w:pPr>
            <w:r>
              <w:rPr>
                <w:szCs w:val="22"/>
              </w:rPr>
              <w:t>23</w:t>
            </w:r>
          </w:p>
        </w:tc>
        <w:tc>
          <w:tcPr>
            <w:tcW w:w="2157" w:type="dxa"/>
          </w:tcPr>
          <w:p w14:paraId="4EB705A7" w14:textId="77777777" w:rsidR="000F1EE4" w:rsidRPr="00D01DDB" w:rsidRDefault="000F1EE4" w:rsidP="0092543A">
            <w:pPr>
              <w:cnfStyle w:val="000000000000" w:firstRow="0" w:lastRow="0" w:firstColumn="0" w:lastColumn="0" w:oddVBand="0" w:evenVBand="0" w:oddHBand="0" w:evenHBand="0" w:firstRowFirstColumn="0" w:firstRowLastColumn="0" w:lastRowFirstColumn="0" w:lastRowLastColumn="0"/>
              <w:rPr>
                <w:szCs w:val="22"/>
              </w:rPr>
            </w:pPr>
            <w:r>
              <w:rPr>
                <w:szCs w:val="22"/>
              </w:rPr>
              <w:t>19</w:t>
            </w:r>
          </w:p>
        </w:tc>
      </w:tr>
      <w:tr w:rsidR="000F1EE4" w:rsidRPr="00D01DDB" w14:paraId="32D22B4C" w14:textId="77777777" w:rsidTr="000F1EE4">
        <w:tc>
          <w:tcPr>
            <w:cnfStyle w:val="001000000000" w:firstRow="0" w:lastRow="0" w:firstColumn="1" w:lastColumn="0" w:oddVBand="0" w:evenVBand="0" w:oddHBand="0" w:evenHBand="0" w:firstRowFirstColumn="0" w:firstRowLastColumn="0" w:lastRowFirstColumn="0" w:lastRowLastColumn="0"/>
            <w:tcW w:w="3235" w:type="dxa"/>
          </w:tcPr>
          <w:p w14:paraId="3DF120A0" w14:textId="69E21BBD" w:rsidR="000F1EE4" w:rsidRPr="00D01DDB" w:rsidRDefault="000F1EE4" w:rsidP="0092543A">
            <w:pPr>
              <w:rPr>
                <w:szCs w:val="22"/>
              </w:rPr>
            </w:pPr>
            <w:r>
              <w:rPr>
                <w:szCs w:val="22"/>
              </w:rPr>
              <w:t xml:space="preserve">Proportion of positive </w:t>
            </w:r>
            <w:r w:rsidR="00C70F23">
              <w:rPr>
                <w:szCs w:val="22"/>
              </w:rPr>
              <w:t>pruritus</w:t>
            </w:r>
            <w:r>
              <w:rPr>
                <w:szCs w:val="22"/>
              </w:rPr>
              <w:t xml:space="preserve"> assessment &gt;50% of time (N [%])</w:t>
            </w:r>
          </w:p>
        </w:tc>
        <w:tc>
          <w:tcPr>
            <w:tcW w:w="1491" w:type="dxa"/>
          </w:tcPr>
          <w:p w14:paraId="667D63A1" w14:textId="77777777" w:rsidR="000F1EE4" w:rsidRPr="00D01DDB" w:rsidRDefault="000F1EE4" w:rsidP="0092543A">
            <w:pPr>
              <w:cnfStyle w:val="000000000000" w:firstRow="0" w:lastRow="0" w:firstColumn="0" w:lastColumn="0" w:oddVBand="0" w:evenVBand="0" w:oddHBand="0" w:evenHBand="0" w:firstRowFirstColumn="0" w:firstRowLastColumn="0" w:lastRowFirstColumn="0" w:lastRowLastColumn="0"/>
              <w:rPr>
                <w:szCs w:val="22"/>
              </w:rPr>
            </w:pPr>
            <w:r>
              <w:rPr>
                <w:szCs w:val="22"/>
              </w:rPr>
              <w:t>4 (20.0)</w:t>
            </w:r>
          </w:p>
        </w:tc>
        <w:tc>
          <w:tcPr>
            <w:tcW w:w="1917" w:type="dxa"/>
          </w:tcPr>
          <w:p w14:paraId="7363F898" w14:textId="77777777" w:rsidR="000F1EE4" w:rsidRPr="00D01DDB" w:rsidRDefault="000F1EE4" w:rsidP="0092543A">
            <w:pPr>
              <w:cnfStyle w:val="000000000000" w:firstRow="0" w:lastRow="0" w:firstColumn="0" w:lastColumn="0" w:oddVBand="0" w:evenVBand="0" w:oddHBand="0" w:evenHBand="0" w:firstRowFirstColumn="0" w:firstRowLastColumn="0" w:lastRowFirstColumn="0" w:lastRowLastColumn="0"/>
              <w:rPr>
                <w:szCs w:val="22"/>
              </w:rPr>
            </w:pPr>
            <w:r>
              <w:rPr>
                <w:szCs w:val="22"/>
              </w:rPr>
              <w:t>17 (73.9)</w:t>
            </w:r>
          </w:p>
        </w:tc>
        <w:tc>
          <w:tcPr>
            <w:tcW w:w="2157" w:type="dxa"/>
          </w:tcPr>
          <w:p w14:paraId="5D44C8A4" w14:textId="77777777" w:rsidR="000F1EE4" w:rsidRPr="00D01DDB" w:rsidRDefault="000F1EE4" w:rsidP="0092543A">
            <w:pPr>
              <w:cnfStyle w:val="000000000000" w:firstRow="0" w:lastRow="0" w:firstColumn="0" w:lastColumn="0" w:oddVBand="0" w:evenVBand="0" w:oddHBand="0" w:evenHBand="0" w:firstRowFirstColumn="0" w:firstRowLastColumn="0" w:lastRowFirstColumn="0" w:lastRowLastColumn="0"/>
              <w:rPr>
                <w:szCs w:val="22"/>
              </w:rPr>
            </w:pPr>
            <w:r>
              <w:rPr>
                <w:szCs w:val="22"/>
              </w:rPr>
              <w:t>9 (47.4)</w:t>
            </w:r>
          </w:p>
        </w:tc>
      </w:tr>
      <w:tr w:rsidR="000F1EE4" w:rsidRPr="00D01DDB" w14:paraId="7FF2ADBE" w14:textId="77777777" w:rsidTr="000F1EE4">
        <w:tc>
          <w:tcPr>
            <w:cnfStyle w:val="001000000000" w:firstRow="0" w:lastRow="0" w:firstColumn="1" w:lastColumn="0" w:oddVBand="0" w:evenVBand="0" w:oddHBand="0" w:evenHBand="0" w:firstRowFirstColumn="0" w:firstRowLastColumn="0" w:lastRowFirstColumn="0" w:lastRowLastColumn="0"/>
            <w:tcW w:w="3235" w:type="dxa"/>
          </w:tcPr>
          <w:p w14:paraId="43D3D5C8" w14:textId="77777777" w:rsidR="000F1EE4" w:rsidRPr="00D01DDB" w:rsidRDefault="000F1EE4" w:rsidP="0092543A">
            <w:pPr>
              <w:rPr>
                <w:szCs w:val="22"/>
              </w:rPr>
            </w:pPr>
            <w:r>
              <w:rPr>
                <w:szCs w:val="22"/>
              </w:rPr>
              <w:t>Growth velocity (Z-scores)</w:t>
            </w:r>
          </w:p>
        </w:tc>
        <w:tc>
          <w:tcPr>
            <w:tcW w:w="1491" w:type="dxa"/>
          </w:tcPr>
          <w:p w14:paraId="30BD24F6" w14:textId="77777777" w:rsidR="000F1EE4" w:rsidRPr="00D01DDB" w:rsidRDefault="000F1EE4" w:rsidP="0092543A">
            <w:pPr>
              <w:cnfStyle w:val="000000000000" w:firstRow="0" w:lastRow="0" w:firstColumn="0" w:lastColumn="0" w:oddVBand="0" w:evenVBand="0" w:oddHBand="0" w:evenHBand="0" w:firstRowFirstColumn="0" w:firstRowLastColumn="0" w:lastRowFirstColumn="0" w:lastRowLastColumn="0"/>
              <w:rPr>
                <w:szCs w:val="22"/>
              </w:rPr>
            </w:pPr>
            <w:r>
              <w:rPr>
                <w:szCs w:val="22"/>
              </w:rPr>
              <w:t>-0.16 (0.104)</w:t>
            </w:r>
          </w:p>
        </w:tc>
        <w:tc>
          <w:tcPr>
            <w:tcW w:w="1917" w:type="dxa"/>
          </w:tcPr>
          <w:p w14:paraId="633FB9E5" w14:textId="77777777" w:rsidR="000F1EE4" w:rsidRPr="00D01DDB" w:rsidRDefault="000F1EE4" w:rsidP="0092543A">
            <w:pPr>
              <w:cnfStyle w:val="000000000000" w:firstRow="0" w:lastRow="0" w:firstColumn="0" w:lastColumn="0" w:oddVBand="0" w:evenVBand="0" w:oddHBand="0" w:evenHBand="0" w:firstRowFirstColumn="0" w:firstRowLastColumn="0" w:lastRowFirstColumn="0" w:lastRowLastColumn="0"/>
              <w:rPr>
                <w:szCs w:val="22"/>
              </w:rPr>
            </w:pPr>
            <w:r>
              <w:rPr>
                <w:szCs w:val="22"/>
              </w:rPr>
              <w:t>0.05 (0.105)</w:t>
            </w:r>
          </w:p>
        </w:tc>
        <w:tc>
          <w:tcPr>
            <w:tcW w:w="2157" w:type="dxa"/>
          </w:tcPr>
          <w:p w14:paraId="1ECB7FCD" w14:textId="77777777" w:rsidR="000F1EE4" w:rsidRPr="00D01DDB" w:rsidRDefault="000F1EE4" w:rsidP="0092543A">
            <w:pPr>
              <w:cnfStyle w:val="000000000000" w:firstRow="0" w:lastRow="0" w:firstColumn="0" w:lastColumn="0" w:oddVBand="0" w:evenVBand="0" w:oddHBand="0" w:evenHBand="0" w:firstRowFirstColumn="0" w:firstRowLastColumn="0" w:lastRowFirstColumn="0" w:lastRowLastColumn="0"/>
              <w:rPr>
                <w:szCs w:val="22"/>
              </w:rPr>
            </w:pPr>
            <w:r>
              <w:rPr>
                <w:szCs w:val="22"/>
              </w:rPr>
              <w:t>0.00 (0.163)</w:t>
            </w:r>
          </w:p>
        </w:tc>
      </w:tr>
      <w:tr w:rsidR="000F1EE4" w:rsidRPr="00D01DDB" w14:paraId="0D887AB9" w14:textId="77777777" w:rsidTr="000F1EE4">
        <w:tc>
          <w:tcPr>
            <w:cnfStyle w:val="001000000000" w:firstRow="0" w:lastRow="0" w:firstColumn="1" w:lastColumn="0" w:oddVBand="0" w:evenVBand="0" w:oddHBand="0" w:evenHBand="0" w:firstRowFirstColumn="0" w:firstRowLastColumn="0" w:lastRowFirstColumn="0" w:lastRowLastColumn="0"/>
            <w:tcW w:w="3235" w:type="dxa"/>
          </w:tcPr>
          <w:p w14:paraId="1C003CCC" w14:textId="77777777" w:rsidR="000F1EE4" w:rsidRPr="00D01DDB" w:rsidRDefault="000F1EE4" w:rsidP="0092543A">
            <w:pPr>
              <w:rPr>
                <w:szCs w:val="22"/>
              </w:rPr>
            </w:pPr>
            <w:r>
              <w:rPr>
                <w:szCs w:val="22"/>
              </w:rPr>
              <w:t>PELD/MELD (mean [SE])</w:t>
            </w:r>
          </w:p>
        </w:tc>
        <w:tc>
          <w:tcPr>
            <w:tcW w:w="1491" w:type="dxa"/>
          </w:tcPr>
          <w:p w14:paraId="502931CE" w14:textId="77777777" w:rsidR="000F1EE4" w:rsidRPr="00D01DDB" w:rsidRDefault="000F1EE4" w:rsidP="0092543A">
            <w:pPr>
              <w:cnfStyle w:val="000000000000" w:firstRow="0" w:lastRow="0" w:firstColumn="0" w:lastColumn="0" w:oddVBand="0" w:evenVBand="0" w:oddHBand="0" w:evenHBand="0" w:firstRowFirstColumn="0" w:firstRowLastColumn="0" w:lastRowFirstColumn="0" w:lastRowLastColumn="0"/>
              <w:rPr>
                <w:szCs w:val="22"/>
              </w:rPr>
            </w:pPr>
            <w:r>
              <w:rPr>
                <w:szCs w:val="22"/>
              </w:rPr>
              <w:t>-0.66 (1.14)</w:t>
            </w:r>
          </w:p>
        </w:tc>
        <w:tc>
          <w:tcPr>
            <w:tcW w:w="1917" w:type="dxa"/>
          </w:tcPr>
          <w:p w14:paraId="5768818E" w14:textId="77777777" w:rsidR="000F1EE4" w:rsidRPr="00D01DDB" w:rsidRDefault="000F1EE4" w:rsidP="0092543A">
            <w:pPr>
              <w:cnfStyle w:val="000000000000" w:firstRow="0" w:lastRow="0" w:firstColumn="0" w:lastColumn="0" w:oddVBand="0" w:evenVBand="0" w:oddHBand="0" w:evenHBand="0" w:firstRowFirstColumn="0" w:firstRowLastColumn="0" w:lastRowFirstColumn="0" w:lastRowLastColumn="0"/>
              <w:rPr>
                <w:szCs w:val="22"/>
              </w:rPr>
            </w:pPr>
            <w:r>
              <w:rPr>
                <w:szCs w:val="22"/>
              </w:rPr>
              <w:t>-2.43 (0.98)</w:t>
            </w:r>
          </w:p>
        </w:tc>
        <w:tc>
          <w:tcPr>
            <w:tcW w:w="2157" w:type="dxa"/>
          </w:tcPr>
          <w:p w14:paraId="5F3EF6A1" w14:textId="77777777" w:rsidR="000F1EE4" w:rsidRPr="00D01DDB" w:rsidRDefault="000F1EE4" w:rsidP="0092543A">
            <w:pPr>
              <w:cnfStyle w:val="000000000000" w:firstRow="0" w:lastRow="0" w:firstColumn="0" w:lastColumn="0" w:oddVBand="0" w:evenVBand="0" w:oddHBand="0" w:evenHBand="0" w:firstRowFirstColumn="0" w:firstRowLastColumn="0" w:lastRowFirstColumn="0" w:lastRowLastColumn="0"/>
              <w:rPr>
                <w:szCs w:val="22"/>
              </w:rPr>
            </w:pPr>
            <w:r>
              <w:rPr>
                <w:szCs w:val="22"/>
              </w:rPr>
              <w:t>-1.10 (1.23)</w:t>
            </w:r>
          </w:p>
        </w:tc>
      </w:tr>
      <w:tr w:rsidR="000F1EE4" w:rsidRPr="00D01DDB" w14:paraId="31E560D4" w14:textId="77777777" w:rsidTr="000F1EE4">
        <w:tc>
          <w:tcPr>
            <w:cnfStyle w:val="001000000000" w:firstRow="0" w:lastRow="0" w:firstColumn="1" w:lastColumn="0" w:oddVBand="0" w:evenVBand="0" w:oddHBand="0" w:evenHBand="0" w:firstRowFirstColumn="0" w:firstRowLastColumn="0" w:lastRowFirstColumn="0" w:lastRowLastColumn="0"/>
            <w:tcW w:w="3235" w:type="dxa"/>
          </w:tcPr>
          <w:p w14:paraId="47D8C4D4" w14:textId="77777777" w:rsidR="000F1EE4" w:rsidRPr="00D01DDB" w:rsidRDefault="000F1EE4" w:rsidP="0092543A">
            <w:pPr>
              <w:rPr>
                <w:szCs w:val="22"/>
              </w:rPr>
            </w:pPr>
            <w:r>
              <w:rPr>
                <w:szCs w:val="22"/>
              </w:rPr>
              <w:lastRenderedPageBreak/>
              <w:t xml:space="preserve">APRI score </w:t>
            </w:r>
            <w:r w:rsidRPr="005D7128">
              <w:rPr>
                <w:szCs w:val="22"/>
              </w:rPr>
              <w:t>(mean [SE])</w:t>
            </w:r>
          </w:p>
        </w:tc>
        <w:tc>
          <w:tcPr>
            <w:tcW w:w="1491" w:type="dxa"/>
          </w:tcPr>
          <w:p w14:paraId="6203C6A4" w14:textId="77777777" w:rsidR="000F1EE4" w:rsidRPr="00D01DDB" w:rsidRDefault="000F1EE4" w:rsidP="0092543A">
            <w:pPr>
              <w:cnfStyle w:val="000000000000" w:firstRow="0" w:lastRow="0" w:firstColumn="0" w:lastColumn="0" w:oddVBand="0" w:evenVBand="0" w:oddHBand="0" w:evenHBand="0" w:firstRowFirstColumn="0" w:firstRowLastColumn="0" w:lastRowFirstColumn="0" w:lastRowLastColumn="0"/>
              <w:rPr>
                <w:szCs w:val="22"/>
              </w:rPr>
            </w:pPr>
            <w:r>
              <w:rPr>
                <w:szCs w:val="22"/>
              </w:rPr>
              <w:t>0.038 (0.1343)</w:t>
            </w:r>
          </w:p>
        </w:tc>
        <w:tc>
          <w:tcPr>
            <w:tcW w:w="1917" w:type="dxa"/>
          </w:tcPr>
          <w:p w14:paraId="45E8624F" w14:textId="77777777" w:rsidR="000F1EE4" w:rsidRPr="00D01DDB" w:rsidRDefault="000F1EE4" w:rsidP="0092543A">
            <w:pPr>
              <w:cnfStyle w:val="000000000000" w:firstRow="0" w:lastRow="0" w:firstColumn="0" w:lastColumn="0" w:oddVBand="0" w:evenVBand="0" w:oddHBand="0" w:evenHBand="0" w:firstRowFirstColumn="0" w:firstRowLastColumn="0" w:lastRowFirstColumn="0" w:lastRowLastColumn="0"/>
              <w:rPr>
                <w:szCs w:val="22"/>
              </w:rPr>
            </w:pPr>
            <w:r>
              <w:rPr>
                <w:szCs w:val="22"/>
              </w:rPr>
              <w:t>-0.140 (0.0718)</w:t>
            </w:r>
          </w:p>
        </w:tc>
        <w:tc>
          <w:tcPr>
            <w:tcW w:w="2157" w:type="dxa"/>
          </w:tcPr>
          <w:p w14:paraId="7F105DA4" w14:textId="77777777" w:rsidR="000F1EE4" w:rsidRPr="00D01DDB" w:rsidRDefault="000F1EE4" w:rsidP="0092543A">
            <w:pPr>
              <w:cnfStyle w:val="000000000000" w:firstRow="0" w:lastRow="0" w:firstColumn="0" w:lastColumn="0" w:oddVBand="0" w:evenVBand="0" w:oddHBand="0" w:evenHBand="0" w:firstRowFirstColumn="0" w:firstRowLastColumn="0" w:lastRowFirstColumn="0" w:lastRowLastColumn="0"/>
              <w:rPr>
                <w:szCs w:val="22"/>
              </w:rPr>
            </w:pPr>
            <w:r>
              <w:rPr>
                <w:szCs w:val="22"/>
              </w:rPr>
              <w:t>0.043 (0.2327)</w:t>
            </w:r>
          </w:p>
        </w:tc>
      </w:tr>
    </w:tbl>
    <w:p w14:paraId="6B26FED0" w14:textId="77777777" w:rsidR="00A80E85" w:rsidRDefault="00A80E85" w:rsidP="00A80E85"/>
    <w:p w14:paraId="44CA50AC" w14:textId="4BBEA0AE" w:rsidR="005C3A3C" w:rsidRDefault="005C3A3C" w:rsidP="00A80E85">
      <w:r>
        <w:t>Study A4250-008 was an open-label extension study to evaluate long-term efficacy and safety of 120 μg/kg/day odevixibat in children with PFIC, including two children with benign recurrent intrahepatic cholestasis (BRIC). Enrolments were in two cohorts, Cohort 1 enrolled participants with PFIC1 and PFIC2 who had previously participated in A4250-005, and Cohort 2 enrolled participants with any type of PFIC. The treatment duration was 72 weeks (following an eight week screening period for patients in Cohort 2), with opportunity to continue in an optional extension period, allowing patients to continue on study drug until the drug is commercially available. As of Protocol Amendment 6, patients entering Cohort 2 start treatment at 40 μg/kg/day. Patients not tolerating the 120 μg/kg/day dose after a minimum of one week had the option to down-titrate to 40 μg/kg/day. A total of 114 patients including 56 patients in Cohort 1 and 58 patients in Cohort 2 had received at least one dose of odevixibat in Study A4250-008 at the data cutoff date for the interim report of 31 July 2022. All 114 patients were included in the full analysis set. The interim report supported the findings of the pivotal study, as patients from study A4250-005 who subsequently enrolled in A4250-008 maintained low SBA concentrations for up to 72 additional weeks while taking odevixibat. Furthermore, mean SBA concentrations at 24 weeks, and at up to 72 weeks in patients enrolled in Cohort 2, and in patients who had received placebo in study A4250-005, were significantly reduced from baseline. Fourteen patients in this study underwent surgical intervention (includes 3 patients who underwent biliary diversion surgery and 11 patients who underwent liver transplantation surgery). Five of the 14 patients had their surgery after completing the 72-week treatment period.</w:t>
      </w:r>
    </w:p>
    <w:p w14:paraId="2085AA42" w14:textId="4F34FF94" w:rsidR="005C3A3C" w:rsidRDefault="005C3A3C" w:rsidP="005C3A3C">
      <w:r>
        <w:t xml:space="preserve">The evaluation concluded that odevixibat demonstrated a clear clinically relevant effect on the main symptom of PFIC e.g. reduction of </w:t>
      </w:r>
      <w:r w:rsidR="00C70F23">
        <w:t>pruritus</w:t>
      </w:r>
      <w:r>
        <w:t>. In addition, clinically relevant reductions in SBAs were observed. The data did not yet allow a conclusion that odevixibat could contribute to delays in requirement for surgical biliary diversion or liver transplantation, although improvements in serum transaminases and in liver histopathology (not discussed in this summary) were seen. A long term follow up study is intended to address this question.</w:t>
      </w:r>
    </w:p>
    <w:p w14:paraId="5A9EC3E6" w14:textId="77777777" w:rsidR="005C3A3C" w:rsidRPr="00A80E85" w:rsidRDefault="005C3A3C" w:rsidP="005C3A3C">
      <w:pPr>
        <w:rPr>
          <w:b/>
          <w:bCs/>
        </w:rPr>
      </w:pPr>
      <w:r w:rsidRPr="00A80E85">
        <w:rPr>
          <w:b/>
          <w:bCs/>
        </w:rPr>
        <w:t>Safety</w:t>
      </w:r>
    </w:p>
    <w:p w14:paraId="17CE24CD" w14:textId="77777777" w:rsidR="005C3A3C" w:rsidRDefault="005C3A3C" w:rsidP="005C3A3C">
      <w:r>
        <w:t xml:space="preserve">The exposure data presented with the initial submission to TGA was based on the </w:t>
      </w:r>
      <w:proofErr w:type="gramStart"/>
      <w:r>
        <w:t>24 week</w:t>
      </w:r>
      <w:proofErr w:type="gramEnd"/>
      <w:r>
        <w:t xml:space="preserve"> Study A4250-005; and preliminary data from the </w:t>
      </w:r>
      <w:proofErr w:type="gramStart"/>
      <w:r>
        <w:t>72 week</w:t>
      </w:r>
      <w:proofErr w:type="gramEnd"/>
      <w:r>
        <w:t xml:space="preserve"> extension study A4250-008, which included 53 eligible participants rolled over from Study A4250-005, and a second cohort of 16 patients with PFIC of any type at data cutoff date 15 July 2020. Additional exposure data was provided from participants in dose-finding study A4250-003. An updated summary of safety data included an additional 7 participants enrolled in Study A4250-008 with data cutoff date 4 December 2020.</w:t>
      </w:r>
    </w:p>
    <w:p w14:paraId="5A668292" w14:textId="77777777" w:rsidR="005C3A3C" w:rsidRDefault="005C3A3C" w:rsidP="005C3A3C">
      <w:r>
        <w:t>Based on the original submission across all study participants treated with odevixibat in the Pooled Phase 3 group, the median duration of exposure as of the 4 December 2020 cut-off was</w:t>
      </w:r>
    </w:p>
    <w:p w14:paraId="29ABFA6D" w14:textId="77777777" w:rsidR="005C3A3C" w:rsidRDefault="005C3A3C" w:rsidP="005C3A3C">
      <w:r>
        <w:t>53.1 weeks and ranged from 1 to 128.1 weeks. Overall, 44 (52%) of the 84 patients had received</w:t>
      </w:r>
    </w:p>
    <w:p w14:paraId="45B2E3D7" w14:textId="77777777" w:rsidR="005C3A3C" w:rsidRDefault="005C3A3C" w:rsidP="005C3A3C">
      <w:r>
        <w:t>≥52 weeks of treatment with odevixibat.</w:t>
      </w:r>
    </w:p>
    <w:p w14:paraId="7ADB8A71" w14:textId="77777777" w:rsidR="005C3A3C" w:rsidRDefault="005C3A3C" w:rsidP="005C3A3C">
      <w:r>
        <w:t>In the 4-week dose-finding study A4250-003, the median duration of exposure was 6.1 weeks and ranged from 6 to 13.4 weeks; four patients who received protocol-allowed second courses account for the longer exposure durations. Treatment compliance in this study was 96%.</w:t>
      </w:r>
    </w:p>
    <w:p w14:paraId="535AFB00" w14:textId="77777777" w:rsidR="005C3A3C" w:rsidRDefault="005C3A3C" w:rsidP="005C3A3C">
      <w:r>
        <w:lastRenderedPageBreak/>
        <w:t>In the Pooled Phase 3 group, 71 (84.5%) of 84 patients experienced at least 1 TEAE. In Study A4250-005, the overall incidence of TEAEs was similar in the 40 and 120 μg/kg/day groups (83% and 84%, respectively) and in the placebo group (85%). The overall incidence of TEAEs for patients with PFIC in Study A4250-003, a 4-week uncontrolled Phase 2 study, was 70%.</w:t>
      </w:r>
    </w:p>
    <w:p w14:paraId="645C02D8" w14:textId="77777777" w:rsidR="005C3A3C" w:rsidRDefault="005C3A3C" w:rsidP="005C3A3C">
      <w:r>
        <w:t>Treatment-emergent AEs leading to interruption of study treatment were reported in 21 patients (25%) in the Pooled Phase 3 group, mostly related to patients meeting the protocol criteria for interruption of study drug. In Study A4250-005, treatment interruptions due to TEAEs were more commonly reported among patients who received 120 μg/kg/day (32%) compared with patients who received 40 μg/kg/day (13%) or placebo (5%). No treatment interruptions due to TEAEs were reported in Study A4250-003.</w:t>
      </w:r>
    </w:p>
    <w:p w14:paraId="2A979A28" w14:textId="4FFFEFEC" w:rsidR="005C3A3C" w:rsidRDefault="005C3A3C" w:rsidP="005C3A3C">
      <w:r>
        <w:t xml:space="preserve">A summary of treatment-emergent adverse events (TEAE) in the Phase 3 studies is presented </w:t>
      </w:r>
      <w:r w:rsidR="00FC3ECB">
        <w:t>in Table 5</w:t>
      </w:r>
      <w:r>
        <w:t>. There were no TEAEs of death, the most frequent TEAEs by SOC were gastrointestinal disorders (predominantly diarrhoea and vomiting), infections and infestations (upper respiratory tract infections) and investigations (liver-related including increased bilirubin, ALT, INR). Across all treatment populations, TEAEs assessed as drug-related were reported for 35 (42%) of participants enrolled in A4250-005 or and/or A4250-008, of which none were considered serious.</w:t>
      </w:r>
    </w:p>
    <w:p w14:paraId="3BB5C4B3" w14:textId="63BD9845" w:rsidR="004756C9" w:rsidRDefault="004756C9" w:rsidP="004756C9">
      <w:pPr>
        <w:pStyle w:val="TableTitle"/>
      </w:pPr>
      <w:r>
        <w:t xml:space="preserve">Table </w:t>
      </w:r>
      <w:r w:rsidR="00FC3ECB">
        <w:t>5</w:t>
      </w:r>
      <w:r>
        <w:t>. Treatment-emergent adverse events in the Phase 3 studies</w:t>
      </w:r>
    </w:p>
    <w:p w14:paraId="5E7A482F" w14:textId="6157B34F" w:rsidR="005114D0" w:rsidRDefault="00146569" w:rsidP="005C3A3C">
      <w:r>
        <w:rPr>
          <w:noProof/>
        </w:rPr>
        <w:drawing>
          <wp:inline distT="0" distB="0" distL="0" distR="0" wp14:anchorId="7C86BC1B" wp14:editId="0A69DE5C">
            <wp:extent cx="5503653" cy="4527923"/>
            <wp:effectExtent l="0" t="0" r="1905" b="6350"/>
            <wp:docPr id="1166361032" name="Picture 1" descr="Table 5. Treatment-emergent adverse events in the Phase 3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361032" name="Picture 1" descr="Table 5. Treatment-emergent adverse events in the Phase 3 studies"/>
                    <pic:cNvPicPr/>
                  </pic:nvPicPr>
                  <pic:blipFill>
                    <a:blip r:embed="rId32"/>
                    <a:stretch>
                      <a:fillRect/>
                    </a:stretch>
                  </pic:blipFill>
                  <pic:spPr>
                    <a:xfrm>
                      <a:off x="0" y="0"/>
                      <a:ext cx="5507581" cy="4531154"/>
                    </a:xfrm>
                    <a:prstGeom prst="rect">
                      <a:avLst/>
                    </a:prstGeom>
                  </pic:spPr>
                </pic:pic>
              </a:graphicData>
            </a:graphic>
          </wp:inline>
        </w:drawing>
      </w:r>
    </w:p>
    <w:p w14:paraId="022F6EEA" w14:textId="77777777" w:rsidR="00613ACB" w:rsidRDefault="00613ACB" w:rsidP="00613ACB">
      <w:pPr>
        <w:pStyle w:val="TableDescription"/>
        <w:contextualSpacing/>
      </w:pPr>
      <w:r>
        <w:t xml:space="preserve">AE: adverse event; CRF: case report form; SCS: Summary of Clinical Safety; SUR Safety Update Report; TEAS: treatment-emergent adverse event. </w:t>
      </w:r>
    </w:p>
    <w:p w14:paraId="7697EFD6" w14:textId="77777777" w:rsidR="00613ACB" w:rsidRDefault="00613ACB" w:rsidP="00613ACB">
      <w:pPr>
        <w:pStyle w:val="TableDescription"/>
        <w:contextualSpacing/>
      </w:pPr>
      <w:r w:rsidRPr="00146569">
        <w:rPr>
          <w:vertAlign w:val="superscript"/>
        </w:rPr>
        <w:t>a</w:t>
      </w:r>
      <w:r>
        <w:t xml:space="preserve"> Includes patients who received odevixibat only on Study A4250-005 without going on Study A4250-008, patients who received placebo or odevixibat on Study A4250-005 who went on to receive odevixibat 120 µg/kg/day in Study A4250-008, and patients in Cohort 2 of Study A4250-008. </w:t>
      </w:r>
    </w:p>
    <w:p w14:paraId="70BEB1A4" w14:textId="10F087D7" w:rsidR="00613ACB" w:rsidRDefault="00613ACB" w:rsidP="00613ACB">
      <w:pPr>
        <w:pStyle w:val="TableDescription"/>
        <w:contextualSpacing/>
      </w:pPr>
      <w:r w:rsidRPr="00146569">
        <w:rPr>
          <w:vertAlign w:val="superscript"/>
        </w:rPr>
        <w:t>b</w:t>
      </w:r>
      <w:r>
        <w:t xml:space="preserve"> Liver-related TEAEs and liver decompensation TEAEs were collected and indicated on the AE CRFs. </w:t>
      </w:r>
    </w:p>
    <w:p w14:paraId="38C8DA29" w14:textId="3542A5F2" w:rsidR="00613ACB" w:rsidRDefault="00613ACB" w:rsidP="00613ACB">
      <w:pPr>
        <w:pStyle w:val="TableDescription"/>
        <w:contextualSpacing/>
      </w:pPr>
      <w:r w:rsidRPr="00146569">
        <w:rPr>
          <w:vertAlign w:val="superscript"/>
        </w:rPr>
        <w:t>c</w:t>
      </w:r>
      <w:r>
        <w:t xml:space="preserve"> All deaths are reported whether caused by TEAEs or not (</w:t>
      </w:r>
      <w:r w:rsidR="00146569">
        <w:t>i.</w:t>
      </w:r>
      <w:r>
        <w:t>e.</w:t>
      </w:r>
      <w:r w:rsidR="00146569">
        <w:t>,</w:t>
      </w:r>
      <w:r>
        <w:t xml:space="preserve"> includes deaths that occurred during screening).</w:t>
      </w:r>
    </w:p>
    <w:p w14:paraId="38FAF214" w14:textId="6FA8906C" w:rsidR="00D768D6" w:rsidRDefault="00D768D6" w:rsidP="00D768D6">
      <w:r>
        <w:lastRenderedPageBreak/>
        <w:t xml:space="preserve">The COR </w:t>
      </w:r>
      <w:r w:rsidR="002C1F98">
        <w:t>Evaluator</w:t>
      </w:r>
      <w:r>
        <w:t xml:space="preserve"> noted that it was difficult to separate whether liver-related TEAEs were disease-related or drug-related. Cholestasis and elevated hepatic biochemical parameters, most excursions in ALT, AST, and total bilirubin values were considered by the investigators to be related to the underlying disease. Special attention should be paid to additional monitoring of uptake of fat-soluble food components (among </w:t>
      </w:r>
      <w:proofErr w:type="gramStart"/>
      <w:r>
        <w:t>others</w:t>
      </w:r>
      <w:proofErr w:type="gramEnd"/>
      <w:r>
        <w:t xml:space="preserve"> Vitamins A, D, E, K), interactions with fat- soluble medicinal products, hepatotoxicity, and diarrhoea.</w:t>
      </w:r>
    </w:p>
    <w:p w14:paraId="0E25C62E" w14:textId="0969E296" w:rsidR="00D768D6" w:rsidRDefault="00D768D6" w:rsidP="00D768D6">
      <w:r>
        <w:t xml:space="preserve">The </w:t>
      </w:r>
      <w:r w:rsidR="002C1F98">
        <w:t>Evaluator</w:t>
      </w:r>
      <w:r>
        <w:t xml:space="preserve"> emphasised that the safety database was limited and that further study data were required to establish a robust </w:t>
      </w:r>
      <w:r w:rsidR="004756C9">
        <w:t xml:space="preserve">risk/benefit </w:t>
      </w:r>
      <w:r>
        <w:t>balance for odevixibat. Risks during pregnancy, breast-feeding and in neonates were unknown.</w:t>
      </w:r>
    </w:p>
    <w:p w14:paraId="5A308F2D" w14:textId="30600895" w:rsidR="00D768D6" w:rsidRDefault="00D768D6" w:rsidP="00D768D6">
      <w:r>
        <w:t>Additional safety data was provided with the Interim Study report for A4250-008</w:t>
      </w:r>
      <w:r w:rsidR="00FD4B3E">
        <w:t xml:space="preserve"> (31 July </w:t>
      </w:r>
      <w:r w:rsidR="00FD4B3E" w:rsidRPr="00FD4B3E">
        <w:t>2022 cut</w:t>
      </w:r>
      <w:r w:rsidR="00FD4B3E">
        <w:t>-</w:t>
      </w:r>
      <w:r w:rsidR="00FD4B3E" w:rsidRPr="00FD4B3E">
        <w:t>off</w:t>
      </w:r>
      <w:r w:rsidR="00FD4B3E">
        <w:t>),</w:t>
      </w:r>
      <w:r>
        <w:t xml:space="preserve"> but an updated integrated summary of safety was not requested or provided.</w:t>
      </w:r>
    </w:p>
    <w:p w14:paraId="13F1A198" w14:textId="77777777" w:rsidR="00D768D6" w:rsidRDefault="00D768D6" w:rsidP="00D768D6">
      <w:r>
        <w:t>The median study drug exposure at data cutoff date for the interim report was shorter in participants in Cohort 2 (59 weeks) compared to 116 weeks in patients in Cohort 1 who had received odevixibat 40 or 120 μg/kg/day in Study A4250-005. Exposure times ranged from a minimum of 4.3 weeks to a maximum of 189.3 weeks. Mean and median exposures were similar (84.2 weeks, 78.6 weeks respectively).</w:t>
      </w:r>
    </w:p>
    <w:p w14:paraId="674AF2DE" w14:textId="5BE74B08" w:rsidR="00D768D6" w:rsidRDefault="00D768D6" w:rsidP="00D768D6">
      <w:r>
        <w:t xml:space="preserve"> Overall, by the end of July 2022, 103 (92%) of the 112 participants in study A4250-008 (excluding the two individuals with BRIC) had experienced at least one TEAE during the study including 100% of 21 patients who had received 40 μg/kg/day, 100% of 16 patients who have received 120 μg/kg/day, and 95% of 19 patients who had received placebo in Study A4250-005. In Cohort 2, 86% of 56 participants had experienced at least 1 TEAE. Severe events were reported in 13 participants (12%) overall, including one patient who had received odevixibat 40 μg/kg/day in Study A4250-005, one patient who had received odevixibat 120 μg/kg/day in Study A4250-005, one patient who had received placebo in Study A4250-005 and ten patients in Cohort 2.</w:t>
      </w:r>
    </w:p>
    <w:p w14:paraId="4154202A" w14:textId="77777777" w:rsidR="00D768D6" w:rsidRDefault="00D768D6" w:rsidP="00D768D6">
      <w:r>
        <w:t>Regarding TEAE of special interest, eight (7%) participants experienced nine TEAEs of vitamin D deficiency, five (5%) experienced seven TEAEs of vitamin D decreased, four (4%) experienced four TEAEs of vitamin E deficiency, two (2%) patients experienced two TEAEs of vitamin K deficiency and one (1%) patient experienced two TEAEs of vitamin E decreased. The most frequently reported TEAE of interest was vitamin D deficiency. All TEAE reports of fat-soluble vitamin deficiency/vitamin level decreased were mild to moderate in intensity and most events were assessed as unrelated to study drug.</w:t>
      </w:r>
    </w:p>
    <w:p w14:paraId="5362CC37" w14:textId="77777777" w:rsidR="00D768D6" w:rsidRDefault="00D768D6" w:rsidP="00D768D6">
      <w:r>
        <w:t>The underlying pathophysiology of PFIC is hepatic. Based on this, hepatic adverse events were reviewed and adjudicated by an independent Drug Safety Monitoring Board (DSMB) for the clinical trial. Only one participant, in Cohort 1, was adjudicated by the DSMB as having a hepatic TEAE (increased ALT and increased total bilirubin) related to investigational product.</w:t>
      </w:r>
    </w:p>
    <w:p w14:paraId="10413579" w14:textId="77777777" w:rsidR="00D768D6" w:rsidRDefault="00D768D6" w:rsidP="00D768D6">
      <w:r>
        <w:t>TEAEs assessed by the investigators as treatment-related (drug-related) were reported in 36% of the participants. The incidence of treatment-related TEAEs was comparable in patients who had received 40 μg/kg/day (48%), 120 μg/kg/day (56%) and placebo (37%) in Study A4250- 005, and in Cohort 2 (25%, noting the shorter duration of exposure in the latter two groups). By SOC, treatment related TEAEs were most frequently reported in laboratory investigations, gastrointestinal disorders, and hepatobiliary disorders. By preferred term the most frequently reported treatment related TEAEs were blood bilirubin increased, diarrhoea and serum ALT increased.</w:t>
      </w:r>
    </w:p>
    <w:p w14:paraId="30AD0E1E" w14:textId="77777777" w:rsidR="00D768D6" w:rsidRDefault="00D768D6" w:rsidP="00D768D6">
      <w:r>
        <w:t>One serious treatment related TEAE was reported, an episode of gastroenteritis in one participant. No treatment related deaths have been reported.</w:t>
      </w:r>
    </w:p>
    <w:p w14:paraId="7A036059" w14:textId="77777777" w:rsidR="00D768D6" w:rsidRDefault="00D768D6" w:rsidP="00D768D6">
      <w:r>
        <w:lastRenderedPageBreak/>
        <w:t>Based on the dossier submitted to the EMA, while treatment-emergent adverse events (TEAE) were very common (affecting over 80% of study participants in high dose (120 mcg/kg) odevixibat, low dose (40 mcg/kg) odevixibat and placebo groups in the pivotal study A4250- 005), drug-related TEAEs affected around one in three participants in the active treated groups, of which none were considered severe adverse events, and only one resulted in study treatment discontinuation, in a participant on the higher dose protocol. There were no deaths during any of the reported studies.</w:t>
      </w:r>
    </w:p>
    <w:p w14:paraId="467B9D69" w14:textId="717148BA" w:rsidR="00D768D6" w:rsidRDefault="00D768D6" w:rsidP="00D768D6">
      <w:r>
        <w:t>The most frequently reported TEAEs (≥10% overall) among patients who received odevixibat, with corresponding incidence for patients who received placebo, were diarrhoea (31% vs 5%), pyrexia (29% vs 25%), upper respiratory tract infection (19% vs 15%), vomiting (17% vs 0%),</w:t>
      </w:r>
      <w:r w:rsidR="00877F21">
        <w:t xml:space="preserve"> </w:t>
      </w:r>
      <w:r>
        <w:t>ALT increased (14% vs 5%), and blood bilirubin increased (12% vs 10%).</w:t>
      </w:r>
    </w:p>
    <w:p w14:paraId="0F52A62E" w14:textId="1A4C85C2" w:rsidR="00D768D6" w:rsidRDefault="00D768D6" w:rsidP="00D768D6">
      <w:r>
        <w:t>The additional information from interim study report A4250-008</w:t>
      </w:r>
      <w:r w:rsidR="00FD4B3E">
        <w:t xml:space="preserve"> (31 July 2022 cut-off)</w:t>
      </w:r>
      <w:r>
        <w:t xml:space="preserve"> satisfactorily supplemented the safety data. The key findings from this study supported the initial safety profile of odevixibat in patients with PFIC.</w:t>
      </w:r>
    </w:p>
    <w:p w14:paraId="417F223D" w14:textId="77777777" w:rsidR="00D768D6" w:rsidRDefault="00D768D6" w:rsidP="00A047F8">
      <w:pPr>
        <w:pStyle w:val="Heading5"/>
      </w:pPr>
      <w:r>
        <w:t>Other</w:t>
      </w:r>
    </w:p>
    <w:p w14:paraId="45514A10" w14:textId="77777777" w:rsidR="00D768D6" w:rsidRDefault="00D768D6" w:rsidP="00D768D6">
      <w:r>
        <w:t>Real world evidence (RWE) includes data regarding the usage, or the potential benefits or risks, of a therapeutic good derived from sources other than traditional clinical trials. RWE were included in the submission as post-marketing safety reports, which did not identify any new or concerning safety signals.</w:t>
      </w:r>
    </w:p>
    <w:p w14:paraId="624963C3" w14:textId="252CF814" w:rsidR="00146569" w:rsidRDefault="00D768D6" w:rsidP="00D768D6">
      <w:r>
        <w:t xml:space="preserve">The secondary clinical endpoints of </w:t>
      </w:r>
      <w:r w:rsidR="00C70F23">
        <w:t>pruritus</w:t>
      </w:r>
      <w:r>
        <w:t xml:space="preserve"> assessments and sleep disturbance assessments (the latter not addressed in this overview) were predominantly based on observer reported outcomes (ObsRO), although in older children a similar patient reported outcome assessment tool (PRO) could have been applied. These tools were developed and validated by the European sponsor of the drug (Albireo) with regulatory input from the EMA utilising the PRIME pathway with scientific advice procedures. This tool has not to date been used in the assessment of any other treatment specific to PFIC or more generally of </w:t>
      </w:r>
      <w:r w:rsidR="00C70F23">
        <w:t>pruritus</w:t>
      </w:r>
      <w:r>
        <w:t>.</w:t>
      </w:r>
    </w:p>
    <w:p w14:paraId="2858B006" w14:textId="5C62703D" w:rsidR="00C22214" w:rsidRDefault="00C22214" w:rsidP="00C22214">
      <w:pPr>
        <w:pStyle w:val="Heading3"/>
        <w:rPr>
          <w:lang w:eastAsia="en-AU"/>
        </w:rPr>
      </w:pPr>
      <w:bookmarkStart w:id="37" w:name="_Toc314842514"/>
      <w:bookmarkStart w:id="38" w:name="_Toc103679298"/>
      <w:bookmarkStart w:id="39" w:name="_Toc204158916"/>
      <w:r>
        <w:rPr>
          <w:lang w:eastAsia="en-AU"/>
        </w:rPr>
        <w:t>Risk management plan</w:t>
      </w:r>
      <w:bookmarkEnd w:id="37"/>
      <w:bookmarkEnd w:id="38"/>
      <w:r w:rsidR="00F520F3">
        <w:rPr>
          <w:lang w:eastAsia="en-AU"/>
        </w:rPr>
        <w:t xml:space="preserve"> evaluation summary</w:t>
      </w:r>
      <w:bookmarkEnd w:id="39"/>
    </w:p>
    <w:p w14:paraId="5A02902A" w14:textId="003D73BC" w:rsidR="00A047F8" w:rsidRDefault="00A047F8" w:rsidP="00F960ED">
      <w:pPr>
        <w:rPr>
          <w:szCs w:val="22"/>
        </w:rPr>
      </w:pPr>
      <w:bookmarkStart w:id="40" w:name="_Toc247691531"/>
      <w:bookmarkStart w:id="41" w:name="_Toc314842515"/>
      <w:r w:rsidRPr="00A047F8">
        <w:rPr>
          <w:szCs w:val="22"/>
        </w:rPr>
        <w:t>Ipsen Pty Ltd submitted EU-RMP version 5.0 (dated 26 June 2023; DLP 31 January 2023) and ASA version 1.0 (dated 31 August 2023) in support of this application.</w:t>
      </w:r>
      <w:r w:rsidR="00F960ED">
        <w:rPr>
          <w:szCs w:val="22"/>
        </w:rPr>
        <w:t xml:space="preserve"> </w:t>
      </w:r>
      <w:r w:rsidR="00F960ED" w:rsidRPr="00F960ED">
        <w:rPr>
          <w:szCs w:val="22"/>
        </w:rPr>
        <w:t>The summary of safety concerns in the ASA is consistent with the EU-RMP and is acceptable from an RMP perspective.</w:t>
      </w:r>
      <w:r w:rsidR="00F960ED">
        <w:rPr>
          <w:szCs w:val="22"/>
        </w:rPr>
        <w:t xml:space="preserve"> </w:t>
      </w:r>
      <w:r w:rsidR="00F960ED" w:rsidRPr="00F960ED">
        <w:rPr>
          <w:szCs w:val="22"/>
        </w:rPr>
        <w:t>The sponsor proposes routine and additional pharmacovigilance activities. Additional pharmacovigilance activities include Extension Study A4250-009 and a Prospective registry-based study. This is consistent with the EU-RMP and is acceptable.</w:t>
      </w:r>
      <w:r w:rsidR="00F960ED">
        <w:rPr>
          <w:szCs w:val="22"/>
        </w:rPr>
        <w:t xml:space="preserve"> </w:t>
      </w:r>
      <w:r w:rsidR="00F960ED" w:rsidRPr="00F960ED">
        <w:rPr>
          <w:szCs w:val="22"/>
        </w:rPr>
        <w:t>Routine risk minimisation activities only are proposed. This is acceptable as odevixibat is an oral medicine which will be prescribed by specialists to a small population and is sufficient to manage the proposed safety concerns.</w:t>
      </w:r>
    </w:p>
    <w:p w14:paraId="29E07D39" w14:textId="395E8DC1" w:rsidR="00C665D9" w:rsidRDefault="00C665D9" w:rsidP="00C22214">
      <w:pPr>
        <w:rPr>
          <w:szCs w:val="22"/>
        </w:rPr>
      </w:pPr>
      <w:r>
        <w:rPr>
          <w:szCs w:val="22"/>
        </w:rPr>
        <w:t>S</w:t>
      </w:r>
      <w:r w:rsidR="00C22214" w:rsidRPr="00BD5DBD">
        <w:rPr>
          <w:szCs w:val="22"/>
        </w:rPr>
        <w:t>afety concerns and their associated risk monitoring and mitigation strategies are summarised in</w:t>
      </w:r>
      <w:r w:rsidR="003B149C">
        <w:rPr>
          <w:szCs w:val="22"/>
        </w:rPr>
        <w:t xml:space="preserve"> </w:t>
      </w:r>
      <w:r>
        <w:rPr>
          <w:szCs w:val="22"/>
        </w:rPr>
        <w:t>Table</w:t>
      </w:r>
      <w:r w:rsidR="00FC3ECB">
        <w:rPr>
          <w:szCs w:val="22"/>
        </w:rPr>
        <w:t xml:space="preserve"> 6</w:t>
      </w:r>
      <w:r w:rsidR="008C49C6" w:rsidRPr="003B149C">
        <w:rPr>
          <w:szCs w:val="22"/>
        </w:rPr>
        <w:t>.</w:t>
      </w:r>
      <w:r w:rsidR="0072003B" w:rsidRPr="00BD5DBD">
        <w:rPr>
          <w:szCs w:val="22"/>
        </w:rPr>
        <w:t xml:space="preserve"> </w:t>
      </w:r>
    </w:p>
    <w:p w14:paraId="56B51A93" w14:textId="026E3A68" w:rsidR="006A277A" w:rsidRDefault="00C22214" w:rsidP="00C22214">
      <w:pPr>
        <w:pStyle w:val="TableTitle"/>
      </w:pPr>
      <w:bookmarkStart w:id="42" w:name="_Ref97629131"/>
      <w:r>
        <w:lastRenderedPageBreak/>
        <w:t>Table</w:t>
      </w:r>
      <w:bookmarkEnd w:id="42"/>
      <w:r w:rsidR="00FC3ECB">
        <w:t xml:space="preserve"> 6.</w:t>
      </w:r>
      <w:r>
        <w:t xml:space="preserve"> Summary of safety concerns</w:t>
      </w:r>
    </w:p>
    <w:tbl>
      <w:tblPr>
        <w:tblStyle w:val="TableTGAblue2023"/>
        <w:tblW w:w="8528" w:type="dxa"/>
        <w:tblLayout w:type="fixed"/>
        <w:tblLook w:val="04A0" w:firstRow="1" w:lastRow="0" w:firstColumn="1" w:lastColumn="0" w:noHBand="0" w:noVBand="1"/>
      </w:tblPr>
      <w:tblGrid>
        <w:gridCol w:w="1615"/>
        <w:gridCol w:w="1804"/>
        <w:gridCol w:w="6"/>
        <w:gridCol w:w="1128"/>
        <w:gridCol w:w="6"/>
        <w:gridCol w:w="1412"/>
        <w:gridCol w:w="6"/>
        <w:gridCol w:w="1128"/>
        <w:gridCol w:w="6"/>
        <w:gridCol w:w="1411"/>
        <w:gridCol w:w="6"/>
      </w:tblGrid>
      <w:tr w:rsidR="00B51715" w:rsidRPr="007A1992" w14:paraId="359A0C59" w14:textId="77777777" w:rsidTr="008810DC">
        <w:trPr>
          <w:cnfStyle w:val="100000000000" w:firstRow="1" w:lastRow="0" w:firstColumn="0" w:lastColumn="0" w:oddVBand="0" w:evenVBand="0" w:oddHBand="0"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3425" w:type="dxa"/>
            <w:gridSpan w:val="3"/>
            <w:vMerge w:val="restart"/>
          </w:tcPr>
          <w:p w14:paraId="24B1F090" w14:textId="77777777" w:rsidR="00127A74" w:rsidRPr="00FF0D14" w:rsidRDefault="00127A74" w:rsidP="00127A74">
            <w:pPr>
              <w:rPr>
                <w:szCs w:val="22"/>
              </w:rPr>
            </w:pPr>
            <w:r w:rsidRPr="00FF0D14">
              <w:rPr>
                <w:szCs w:val="22"/>
              </w:rPr>
              <w:t>Summary of safety concerns</w:t>
            </w:r>
          </w:p>
        </w:tc>
        <w:tc>
          <w:tcPr>
            <w:tcW w:w="2552" w:type="dxa"/>
            <w:gridSpan w:val="4"/>
          </w:tcPr>
          <w:p w14:paraId="596694C9" w14:textId="77777777" w:rsidR="00127A74" w:rsidRPr="00FF0D14" w:rsidRDefault="00127A74" w:rsidP="00127A74">
            <w:pPr>
              <w:cnfStyle w:val="100000000000" w:firstRow="1" w:lastRow="0" w:firstColumn="0" w:lastColumn="0" w:oddVBand="0" w:evenVBand="0" w:oddHBand="0" w:evenHBand="0" w:firstRowFirstColumn="0" w:firstRowLastColumn="0" w:lastRowFirstColumn="0" w:lastRowLastColumn="0"/>
              <w:rPr>
                <w:szCs w:val="22"/>
              </w:rPr>
            </w:pPr>
            <w:r w:rsidRPr="00FF0D14">
              <w:rPr>
                <w:szCs w:val="22"/>
              </w:rPr>
              <w:t>Pharmacovigilance</w:t>
            </w:r>
          </w:p>
        </w:tc>
        <w:tc>
          <w:tcPr>
            <w:tcW w:w="2551" w:type="dxa"/>
            <w:gridSpan w:val="4"/>
          </w:tcPr>
          <w:p w14:paraId="4F66CB82" w14:textId="77777777" w:rsidR="00127A74" w:rsidRPr="00FF0D14" w:rsidRDefault="00127A74" w:rsidP="00127A74">
            <w:pPr>
              <w:cnfStyle w:val="100000000000" w:firstRow="1" w:lastRow="0" w:firstColumn="0" w:lastColumn="0" w:oddVBand="0" w:evenVBand="0" w:oddHBand="0" w:evenHBand="0" w:firstRowFirstColumn="0" w:firstRowLastColumn="0" w:lastRowFirstColumn="0" w:lastRowLastColumn="0"/>
              <w:rPr>
                <w:szCs w:val="22"/>
              </w:rPr>
            </w:pPr>
            <w:r w:rsidRPr="00FF0D14">
              <w:rPr>
                <w:szCs w:val="22"/>
              </w:rPr>
              <w:t>Risk minimisation</w:t>
            </w:r>
          </w:p>
        </w:tc>
      </w:tr>
      <w:tr w:rsidR="00127A74" w:rsidRPr="007A1992" w14:paraId="12411E68" w14:textId="77777777" w:rsidTr="008810DC">
        <w:trPr>
          <w:trHeight w:val="150"/>
        </w:trPr>
        <w:tc>
          <w:tcPr>
            <w:cnfStyle w:val="001000000000" w:firstRow="0" w:lastRow="0" w:firstColumn="1" w:lastColumn="0" w:oddVBand="0" w:evenVBand="0" w:oddHBand="0" w:evenHBand="0" w:firstRowFirstColumn="0" w:firstRowLastColumn="0" w:lastRowFirstColumn="0" w:lastRowLastColumn="0"/>
            <w:tcW w:w="3425" w:type="dxa"/>
            <w:gridSpan w:val="3"/>
            <w:vMerge/>
          </w:tcPr>
          <w:p w14:paraId="71D88F2A" w14:textId="77777777" w:rsidR="00127A74" w:rsidRPr="00FF0D14" w:rsidRDefault="00127A74" w:rsidP="00127A74">
            <w:pPr>
              <w:rPr>
                <w:szCs w:val="22"/>
              </w:rPr>
            </w:pPr>
          </w:p>
        </w:tc>
        <w:tc>
          <w:tcPr>
            <w:tcW w:w="1134" w:type="dxa"/>
            <w:gridSpan w:val="2"/>
            <w:shd w:val="clear" w:color="auto" w:fill="DEEAF6"/>
          </w:tcPr>
          <w:p w14:paraId="1BF9407C" w14:textId="77777777" w:rsidR="00127A74" w:rsidRPr="00FF0D14" w:rsidRDefault="00127A74" w:rsidP="00127A74">
            <w:pPr>
              <w:keepNext/>
              <w:cnfStyle w:val="000000000000" w:firstRow="0" w:lastRow="0" w:firstColumn="0" w:lastColumn="0" w:oddVBand="0" w:evenVBand="0" w:oddHBand="0" w:evenHBand="0" w:firstRowFirstColumn="0" w:firstRowLastColumn="0" w:lastRowFirstColumn="0" w:lastRowLastColumn="0"/>
              <w:rPr>
                <w:b/>
                <w:color w:val="263287"/>
                <w:szCs w:val="22"/>
              </w:rPr>
            </w:pPr>
            <w:r w:rsidRPr="00FF0D14">
              <w:rPr>
                <w:b/>
                <w:color w:val="263287"/>
                <w:szCs w:val="22"/>
              </w:rPr>
              <w:t>Routine</w:t>
            </w:r>
          </w:p>
        </w:tc>
        <w:tc>
          <w:tcPr>
            <w:tcW w:w="1418" w:type="dxa"/>
            <w:gridSpan w:val="2"/>
            <w:shd w:val="clear" w:color="auto" w:fill="DEEAF6"/>
          </w:tcPr>
          <w:p w14:paraId="442BA332" w14:textId="77777777" w:rsidR="00127A74" w:rsidRPr="00FF0D14" w:rsidRDefault="00127A74" w:rsidP="00127A74">
            <w:pPr>
              <w:keepNext/>
              <w:cnfStyle w:val="000000000000" w:firstRow="0" w:lastRow="0" w:firstColumn="0" w:lastColumn="0" w:oddVBand="0" w:evenVBand="0" w:oddHBand="0" w:evenHBand="0" w:firstRowFirstColumn="0" w:firstRowLastColumn="0" w:lastRowFirstColumn="0" w:lastRowLastColumn="0"/>
              <w:rPr>
                <w:b/>
                <w:color w:val="263287"/>
                <w:szCs w:val="22"/>
              </w:rPr>
            </w:pPr>
            <w:r w:rsidRPr="00FF0D14">
              <w:rPr>
                <w:b/>
                <w:color w:val="263287"/>
                <w:szCs w:val="22"/>
              </w:rPr>
              <w:t>Additional</w:t>
            </w:r>
          </w:p>
        </w:tc>
        <w:tc>
          <w:tcPr>
            <w:tcW w:w="1134" w:type="dxa"/>
            <w:gridSpan w:val="2"/>
            <w:shd w:val="clear" w:color="auto" w:fill="DEEAF6"/>
          </w:tcPr>
          <w:p w14:paraId="5920A04F" w14:textId="77777777" w:rsidR="00127A74" w:rsidRPr="00FF0D14" w:rsidRDefault="00127A74" w:rsidP="00127A74">
            <w:pPr>
              <w:keepNext/>
              <w:cnfStyle w:val="000000000000" w:firstRow="0" w:lastRow="0" w:firstColumn="0" w:lastColumn="0" w:oddVBand="0" w:evenVBand="0" w:oddHBand="0" w:evenHBand="0" w:firstRowFirstColumn="0" w:firstRowLastColumn="0" w:lastRowFirstColumn="0" w:lastRowLastColumn="0"/>
              <w:rPr>
                <w:b/>
                <w:color w:val="263287"/>
                <w:szCs w:val="22"/>
              </w:rPr>
            </w:pPr>
            <w:r w:rsidRPr="00FF0D14">
              <w:rPr>
                <w:b/>
                <w:color w:val="263287"/>
                <w:szCs w:val="22"/>
              </w:rPr>
              <w:t>Routine</w:t>
            </w:r>
          </w:p>
        </w:tc>
        <w:tc>
          <w:tcPr>
            <w:tcW w:w="1417" w:type="dxa"/>
            <w:gridSpan w:val="2"/>
            <w:shd w:val="clear" w:color="auto" w:fill="DEEAF6"/>
          </w:tcPr>
          <w:p w14:paraId="53B2ED29" w14:textId="77777777" w:rsidR="00127A74" w:rsidRPr="00FF0D14" w:rsidRDefault="00127A74" w:rsidP="00127A74">
            <w:pPr>
              <w:keepNext/>
              <w:cnfStyle w:val="000000000000" w:firstRow="0" w:lastRow="0" w:firstColumn="0" w:lastColumn="0" w:oddVBand="0" w:evenVBand="0" w:oddHBand="0" w:evenHBand="0" w:firstRowFirstColumn="0" w:firstRowLastColumn="0" w:lastRowFirstColumn="0" w:lastRowLastColumn="0"/>
              <w:rPr>
                <w:b/>
                <w:color w:val="263287"/>
                <w:szCs w:val="22"/>
              </w:rPr>
            </w:pPr>
            <w:r w:rsidRPr="00FF0D14">
              <w:rPr>
                <w:b/>
                <w:color w:val="263287"/>
                <w:szCs w:val="22"/>
              </w:rPr>
              <w:t>Additional</w:t>
            </w:r>
          </w:p>
        </w:tc>
      </w:tr>
      <w:tr w:rsidR="00127A74" w:rsidRPr="007A1992" w14:paraId="05599231" w14:textId="77777777" w:rsidTr="008810DC">
        <w:trPr>
          <w:gridAfter w:val="1"/>
          <w:wAfter w:w="6" w:type="dxa"/>
          <w:trHeight w:val="137"/>
        </w:trPr>
        <w:tc>
          <w:tcPr>
            <w:cnfStyle w:val="001000000000" w:firstRow="0" w:lastRow="0" w:firstColumn="1" w:lastColumn="0" w:oddVBand="0" w:evenVBand="0" w:oddHBand="0" w:evenHBand="0" w:firstRowFirstColumn="0" w:firstRowLastColumn="0" w:lastRowFirstColumn="0" w:lastRowLastColumn="0"/>
            <w:tcW w:w="1615" w:type="dxa"/>
          </w:tcPr>
          <w:p w14:paraId="67382D75" w14:textId="77777777" w:rsidR="00127A74" w:rsidRPr="00FF0D14" w:rsidRDefault="00127A74" w:rsidP="00127A74">
            <w:pPr>
              <w:rPr>
                <w:b/>
                <w:bCs/>
                <w:szCs w:val="22"/>
              </w:rPr>
            </w:pPr>
            <w:r w:rsidRPr="00FF0D14">
              <w:rPr>
                <w:b/>
                <w:bCs/>
                <w:szCs w:val="22"/>
              </w:rPr>
              <w:t>Important identified risks</w:t>
            </w:r>
          </w:p>
        </w:tc>
        <w:tc>
          <w:tcPr>
            <w:tcW w:w="1804" w:type="dxa"/>
          </w:tcPr>
          <w:p w14:paraId="7134CBC0" w14:textId="5DF8DA54" w:rsidR="00127A74" w:rsidRPr="00FF0D14" w:rsidRDefault="008730E4" w:rsidP="00127A74">
            <w:pPr>
              <w:cnfStyle w:val="000000000000" w:firstRow="0" w:lastRow="0" w:firstColumn="0" w:lastColumn="0" w:oddVBand="0" w:evenVBand="0" w:oddHBand="0" w:evenHBand="0" w:firstRowFirstColumn="0" w:firstRowLastColumn="0" w:lastRowFirstColumn="0" w:lastRowLastColumn="0"/>
              <w:rPr>
                <w:szCs w:val="22"/>
              </w:rPr>
            </w:pPr>
            <w:r w:rsidRPr="00FF0D14">
              <w:rPr>
                <w:szCs w:val="22"/>
              </w:rPr>
              <w:t>Clinically significant or severe diarrhoea leading to dehydration and electrolyte imbalance</w:t>
            </w:r>
          </w:p>
        </w:tc>
        <w:tc>
          <w:tcPr>
            <w:tcW w:w="1134" w:type="dxa"/>
            <w:gridSpan w:val="2"/>
          </w:tcPr>
          <w:p w14:paraId="11797452" w14:textId="000A5E21" w:rsidR="00127A74" w:rsidRPr="00FF0D14" w:rsidRDefault="00CE3307" w:rsidP="00127A74">
            <w:pPr>
              <w:cnfStyle w:val="000000000000" w:firstRow="0" w:lastRow="0" w:firstColumn="0" w:lastColumn="0" w:oddVBand="0" w:evenVBand="0" w:oddHBand="0" w:evenHBand="0" w:firstRowFirstColumn="0" w:firstRowLastColumn="0" w:lastRowFirstColumn="0" w:lastRowLastColumn="0"/>
              <w:rPr>
                <w:szCs w:val="22"/>
              </w:rPr>
            </w:pPr>
            <w:r w:rsidRPr="00FF0D14">
              <w:rPr>
                <w:rFonts w:ascii="Wingdings" w:hAnsi="Wingdings"/>
                <w:spacing w:val="-10"/>
                <w:szCs w:val="22"/>
              </w:rPr>
              <w:t></w:t>
            </w:r>
          </w:p>
        </w:tc>
        <w:tc>
          <w:tcPr>
            <w:tcW w:w="1418" w:type="dxa"/>
            <w:gridSpan w:val="2"/>
          </w:tcPr>
          <w:p w14:paraId="7B703318" w14:textId="5CAC8F17" w:rsidR="00127A74" w:rsidRPr="00FF0D14" w:rsidRDefault="00CE3307" w:rsidP="00127A74">
            <w:pPr>
              <w:cnfStyle w:val="000000000000" w:firstRow="0" w:lastRow="0" w:firstColumn="0" w:lastColumn="0" w:oddVBand="0" w:evenVBand="0" w:oddHBand="0" w:evenHBand="0" w:firstRowFirstColumn="0" w:firstRowLastColumn="0" w:lastRowFirstColumn="0" w:lastRowLastColumn="0"/>
              <w:rPr>
                <w:szCs w:val="22"/>
              </w:rPr>
            </w:pPr>
            <w:r w:rsidRPr="00FF0D14">
              <w:rPr>
                <w:rFonts w:ascii="Wingdings" w:hAnsi="Wingdings" w:cs="Cambria"/>
                <w:color w:val="auto"/>
                <w:spacing w:val="-10"/>
                <w:szCs w:val="22"/>
                <w:lang w:val="en-US" w:eastAsia="en-US"/>
              </w:rPr>
              <w:t></w:t>
            </w:r>
            <w:r w:rsidR="002D715F" w:rsidRPr="00FF0D14">
              <w:rPr>
                <w:rFonts w:cs="Cambria"/>
                <w:color w:val="auto"/>
                <w:spacing w:val="-10"/>
                <w:szCs w:val="22"/>
                <w:lang w:val="en-US" w:eastAsia="en-US"/>
              </w:rPr>
              <w:t>*</w:t>
            </w:r>
          </w:p>
        </w:tc>
        <w:tc>
          <w:tcPr>
            <w:tcW w:w="1134" w:type="dxa"/>
            <w:gridSpan w:val="2"/>
          </w:tcPr>
          <w:p w14:paraId="1A652099" w14:textId="2C90709A" w:rsidR="00127A74" w:rsidRPr="00FF0D14" w:rsidRDefault="00CE3307" w:rsidP="00127A74">
            <w:pPr>
              <w:cnfStyle w:val="000000000000" w:firstRow="0" w:lastRow="0" w:firstColumn="0" w:lastColumn="0" w:oddVBand="0" w:evenVBand="0" w:oddHBand="0" w:evenHBand="0" w:firstRowFirstColumn="0" w:firstRowLastColumn="0" w:lastRowFirstColumn="0" w:lastRowLastColumn="0"/>
              <w:rPr>
                <w:szCs w:val="22"/>
              </w:rPr>
            </w:pPr>
            <w:r w:rsidRPr="00FF0D14">
              <w:rPr>
                <w:rFonts w:ascii="Wingdings" w:hAnsi="Wingdings"/>
                <w:spacing w:val="-10"/>
                <w:szCs w:val="22"/>
              </w:rPr>
              <w:t></w:t>
            </w:r>
          </w:p>
        </w:tc>
        <w:tc>
          <w:tcPr>
            <w:tcW w:w="1417" w:type="dxa"/>
            <w:gridSpan w:val="2"/>
          </w:tcPr>
          <w:p w14:paraId="34A0513E" w14:textId="029DE64D" w:rsidR="00127A74" w:rsidRPr="00FF0D14" w:rsidRDefault="00FF0D14" w:rsidP="00127A74">
            <w:pPr>
              <w:cnfStyle w:val="000000000000" w:firstRow="0" w:lastRow="0" w:firstColumn="0" w:lastColumn="0" w:oddVBand="0" w:evenVBand="0" w:oddHBand="0" w:evenHBand="0" w:firstRowFirstColumn="0" w:firstRowLastColumn="0" w:lastRowFirstColumn="0" w:lastRowLastColumn="0"/>
              <w:rPr>
                <w:szCs w:val="22"/>
              </w:rPr>
            </w:pPr>
            <w:r w:rsidRPr="00FF0D14">
              <w:rPr>
                <w:spacing w:val="-10"/>
                <w:szCs w:val="22"/>
              </w:rPr>
              <w:t>-</w:t>
            </w:r>
          </w:p>
        </w:tc>
      </w:tr>
      <w:tr w:rsidR="00CE3307" w:rsidRPr="007A1992" w14:paraId="176B93B3" w14:textId="77777777" w:rsidTr="008810DC">
        <w:trPr>
          <w:gridAfter w:val="1"/>
          <w:wAfter w:w="6" w:type="dxa"/>
          <w:trHeight w:val="159"/>
        </w:trPr>
        <w:tc>
          <w:tcPr>
            <w:cnfStyle w:val="001000000000" w:firstRow="0" w:lastRow="0" w:firstColumn="1" w:lastColumn="0" w:oddVBand="0" w:evenVBand="0" w:oddHBand="0" w:evenHBand="0" w:firstRowFirstColumn="0" w:firstRowLastColumn="0" w:lastRowFirstColumn="0" w:lastRowLastColumn="0"/>
            <w:tcW w:w="1615" w:type="dxa"/>
            <w:vMerge w:val="restart"/>
          </w:tcPr>
          <w:p w14:paraId="77F0DB3E" w14:textId="77777777" w:rsidR="00CE3307" w:rsidRPr="00FF0D14" w:rsidRDefault="00CE3307" w:rsidP="00CE3307">
            <w:pPr>
              <w:rPr>
                <w:b/>
                <w:bCs/>
                <w:szCs w:val="22"/>
              </w:rPr>
            </w:pPr>
            <w:r w:rsidRPr="00FF0D14">
              <w:rPr>
                <w:b/>
                <w:bCs/>
                <w:szCs w:val="22"/>
              </w:rPr>
              <w:t>Important potential risks</w:t>
            </w:r>
          </w:p>
        </w:tc>
        <w:tc>
          <w:tcPr>
            <w:tcW w:w="1804" w:type="dxa"/>
          </w:tcPr>
          <w:p w14:paraId="6E17E14A" w14:textId="7BBD90D4" w:rsidR="00CE3307" w:rsidRPr="00FF0D14" w:rsidRDefault="00CE3307" w:rsidP="00CE3307">
            <w:pPr>
              <w:cnfStyle w:val="000000000000" w:firstRow="0" w:lastRow="0" w:firstColumn="0" w:lastColumn="0" w:oddVBand="0" w:evenVBand="0" w:oddHBand="0" w:evenHBand="0" w:firstRowFirstColumn="0" w:firstRowLastColumn="0" w:lastRowFirstColumn="0" w:lastRowLastColumn="0"/>
              <w:rPr>
                <w:szCs w:val="22"/>
              </w:rPr>
            </w:pPr>
            <w:r w:rsidRPr="00FF0D14">
              <w:rPr>
                <w:szCs w:val="22"/>
              </w:rPr>
              <w:t>Hepatotoxicity</w:t>
            </w:r>
          </w:p>
        </w:tc>
        <w:tc>
          <w:tcPr>
            <w:tcW w:w="1134" w:type="dxa"/>
            <w:gridSpan w:val="2"/>
          </w:tcPr>
          <w:p w14:paraId="252AD92F" w14:textId="4876ED02" w:rsidR="00CE3307" w:rsidRPr="00FF0D14" w:rsidRDefault="00CE3307" w:rsidP="00CE3307">
            <w:pPr>
              <w:cnfStyle w:val="000000000000" w:firstRow="0" w:lastRow="0" w:firstColumn="0" w:lastColumn="0" w:oddVBand="0" w:evenVBand="0" w:oddHBand="0" w:evenHBand="0" w:firstRowFirstColumn="0" w:firstRowLastColumn="0" w:lastRowFirstColumn="0" w:lastRowLastColumn="0"/>
              <w:rPr>
                <w:szCs w:val="22"/>
              </w:rPr>
            </w:pPr>
            <w:r w:rsidRPr="00FF0D14">
              <w:rPr>
                <w:rFonts w:ascii="Wingdings" w:hAnsi="Wingdings"/>
                <w:spacing w:val="-10"/>
                <w:szCs w:val="22"/>
              </w:rPr>
              <w:t></w:t>
            </w:r>
          </w:p>
        </w:tc>
        <w:tc>
          <w:tcPr>
            <w:tcW w:w="1418" w:type="dxa"/>
            <w:gridSpan w:val="2"/>
          </w:tcPr>
          <w:p w14:paraId="77DA98F1" w14:textId="55B201B3" w:rsidR="00CE3307" w:rsidRPr="00FF0D14" w:rsidRDefault="00CE3307" w:rsidP="00CE3307">
            <w:pPr>
              <w:cnfStyle w:val="000000000000" w:firstRow="0" w:lastRow="0" w:firstColumn="0" w:lastColumn="0" w:oddVBand="0" w:evenVBand="0" w:oddHBand="0" w:evenHBand="0" w:firstRowFirstColumn="0" w:firstRowLastColumn="0" w:lastRowFirstColumn="0" w:lastRowLastColumn="0"/>
              <w:rPr>
                <w:szCs w:val="22"/>
              </w:rPr>
            </w:pPr>
            <w:r w:rsidRPr="00FF0D14">
              <w:rPr>
                <w:rFonts w:ascii="Wingdings" w:hAnsi="Wingdings" w:cs="Cambria"/>
                <w:color w:val="auto"/>
                <w:spacing w:val="-10"/>
                <w:szCs w:val="22"/>
                <w:lang w:val="en-US" w:eastAsia="en-US"/>
              </w:rPr>
              <w:t></w:t>
            </w:r>
            <w:r w:rsidR="002D715F" w:rsidRPr="00FF0D14">
              <w:rPr>
                <w:rFonts w:cs="Cambria"/>
                <w:color w:val="auto"/>
                <w:spacing w:val="-10"/>
                <w:szCs w:val="22"/>
                <w:lang w:val="en-US" w:eastAsia="en-US"/>
              </w:rPr>
              <w:t>*</w:t>
            </w:r>
          </w:p>
        </w:tc>
        <w:tc>
          <w:tcPr>
            <w:tcW w:w="1134" w:type="dxa"/>
            <w:gridSpan w:val="2"/>
          </w:tcPr>
          <w:p w14:paraId="182A5096" w14:textId="69F7578D" w:rsidR="00CE3307" w:rsidRPr="00FF0D14" w:rsidRDefault="00CE3307" w:rsidP="00CE3307">
            <w:pPr>
              <w:cnfStyle w:val="000000000000" w:firstRow="0" w:lastRow="0" w:firstColumn="0" w:lastColumn="0" w:oddVBand="0" w:evenVBand="0" w:oddHBand="0" w:evenHBand="0" w:firstRowFirstColumn="0" w:firstRowLastColumn="0" w:lastRowFirstColumn="0" w:lastRowLastColumn="0"/>
              <w:rPr>
                <w:szCs w:val="22"/>
              </w:rPr>
            </w:pPr>
            <w:r w:rsidRPr="00FF0D14">
              <w:rPr>
                <w:rFonts w:ascii="Wingdings" w:hAnsi="Wingdings"/>
                <w:spacing w:val="-10"/>
                <w:szCs w:val="22"/>
              </w:rPr>
              <w:t></w:t>
            </w:r>
          </w:p>
        </w:tc>
        <w:tc>
          <w:tcPr>
            <w:tcW w:w="1417" w:type="dxa"/>
            <w:gridSpan w:val="2"/>
          </w:tcPr>
          <w:p w14:paraId="2A6247DC" w14:textId="61FE0E73" w:rsidR="00CE3307" w:rsidRPr="00FF0D14" w:rsidRDefault="00FF0D14" w:rsidP="00CE3307">
            <w:pPr>
              <w:cnfStyle w:val="000000000000" w:firstRow="0" w:lastRow="0" w:firstColumn="0" w:lastColumn="0" w:oddVBand="0" w:evenVBand="0" w:oddHBand="0" w:evenHBand="0" w:firstRowFirstColumn="0" w:firstRowLastColumn="0" w:lastRowFirstColumn="0" w:lastRowLastColumn="0"/>
              <w:rPr>
                <w:szCs w:val="22"/>
              </w:rPr>
            </w:pPr>
            <w:r w:rsidRPr="00FF0D14">
              <w:rPr>
                <w:szCs w:val="22"/>
              </w:rPr>
              <w:t>-</w:t>
            </w:r>
          </w:p>
        </w:tc>
      </w:tr>
      <w:tr w:rsidR="00CE3307" w:rsidRPr="007A1992" w14:paraId="1D3B7AB5" w14:textId="77777777" w:rsidTr="008810DC">
        <w:trPr>
          <w:gridAfter w:val="1"/>
          <w:wAfter w:w="6" w:type="dxa"/>
          <w:trHeight w:val="122"/>
        </w:trPr>
        <w:tc>
          <w:tcPr>
            <w:cnfStyle w:val="001000000000" w:firstRow="0" w:lastRow="0" w:firstColumn="1" w:lastColumn="0" w:oddVBand="0" w:evenVBand="0" w:oddHBand="0" w:evenHBand="0" w:firstRowFirstColumn="0" w:firstRowLastColumn="0" w:lastRowFirstColumn="0" w:lastRowLastColumn="0"/>
            <w:tcW w:w="1615" w:type="dxa"/>
            <w:vMerge/>
          </w:tcPr>
          <w:p w14:paraId="150DE62A" w14:textId="77777777" w:rsidR="00CE3307" w:rsidRPr="00FF0D14" w:rsidRDefault="00CE3307" w:rsidP="00CE3307">
            <w:pPr>
              <w:rPr>
                <w:b/>
                <w:bCs/>
                <w:szCs w:val="22"/>
              </w:rPr>
            </w:pPr>
          </w:p>
        </w:tc>
        <w:tc>
          <w:tcPr>
            <w:tcW w:w="1804" w:type="dxa"/>
          </w:tcPr>
          <w:p w14:paraId="51438C35" w14:textId="5E45FB14" w:rsidR="00CE3307" w:rsidRPr="00FF0D14" w:rsidRDefault="00CE3307" w:rsidP="00CE3307">
            <w:pPr>
              <w:cnfStyle w:val="000000000000" w:firstRow="0" w:lastRow="0" w:firstColumn="0" w:lastColumn="0" w:oddVBand="0" w:evenVBand="0" w:oddHBand="0" w:evenHBand="0" w:firstRowFirstColumn="0" w:firstRowLastColumn="0" w:lastRowFirstColumn="0" w:lastRowLastColumn="0"/>
              <w:rPr>
                <w:szCs w:val="22"/>
              </w:rPr>
            </w:pPr>
            <w:r w:rsidRPr="00FF0D14">
              <w:rPr>
                <w:spacing w:val="-2"/>
                <w:szCs w:val="22"/>
              </w:rPr>
              <w:t>Embryofoetal</w:t>
            </w:r>
            <w:r w:rsidRPr="00FF0D14">
              <w:rPr>
                <w:spacing w:val="8"/>
                <w:szCs w:val="22"/>
              </w:rPr>
              <w:t xml:space="preserve"> </w:t>
            </w:r>
            <w:r w:rsidRPr="00FF0D14">
              <w:rPr>
                <w:spacing w:val="-2"/>
                <w:szCs w:val="22"/>
              </w:rPr>
              <w:t>toxicity</w:t>
            </w:r>
          </w:p>
        </w:tc>
        <w:tc>
          <w:tcPr>
            <w:tcW w:w="1134" w:type="dxa"/>
            <w:gridSpan w:val="2"/>
          </w:tcPr>
          <w:p w14:paraId="2766BAE0" w14:textId="2B4D6CC4" w:rsidR="00CE3307" w:rsidRPr="00FF0D14" w:rsidRDefault="00CE3307" w:rsidP="00CE3307">
            <w:pPr>
              <w:cnfStyle w:val="000000000000" w:firstRow="0" w:lastRow="0" w:firstColumn="0" w:lastColumn="0" w:oddVBand="0" w:evenVBand="0" w:oddHBand="0" w:evenHBand="0" w:firstRowFirstColumn="0" w:firstRowLastColumn="0" w:lastRowFirstColumn="0" w:lastRowLastColumn="0"/>
              <w:rPr>
                <w:szCs w:val="22"/>
              </w:rPr>
            </w:pPr>
            <w:r w:rsidRPr="00FF0D14">
              <w:rPr>
                <w:rFonts w:ascii="Wingdings" w:hAnsi="Wingdings"/>
                <w:spacing w:val="-10"/>
                <w:szCs w:val="22"/>
              </w:rPr>
              <w:t></w:t>
            </w:r>
          </w:p>
        </w:tc>
        <w:tc>
          <w:tcPr>
            <w:tcW w:w="1418" w:type="dxa"/>
            <w:gridSpan w:val="2"/>
          </w:tcPr>
          <w:p w14:paraId="2B1BF340" w14:textId="2684A15A" w:rsidR="00CE3307" w:rsidRPr="00FF0D14" w:rsidRDefault="00B51715" w:rsidP="00CE33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FF0D14">
              <w:rPr>
                <w:rFonts w:asciiTheme="minorHAnsi" w:hAnsiTheme="minorHAnsi" w:cstheme="minorHAnsi"/>
                <w:color w:val="auto"/>
                <w:spacing w:val="-10"/>
                <w:szCs w:val="22"/>
                <w:lang w:val="en-US" w:eastAsia="en-US"/>
              </w:rPr>
              <w:t>-</w:t>
            </w:r>
          </w:p>
        </w:tc>
        <w:tc>
          <w:tcPr>
            <w:tcW w:w="1134" w:type="dxa"/>
            <w:gridSpan w:val="2"/>
          </w:tcPr>
          <w:p w14:paraId="6A4FA9DA" w14:textId="78950D5B" w:rsidR="00CE3307" w:rsidRPr="00FF0D14" w:rsidRDefault="00CE3307" w:rsidP="00CE3307">
            <w:pPr>
              <w:cnfStyle w:val="000000000000" w:firstRow="0" w:lastRow="0" w:firstColumn="0" w:lastColumn="0" w:oddVBand="0" w:evenVBand="0" w:oddHBand="0" w:evenHBand="0" w:firstRowFirstColumn="0" w:firstRowLastColumn="0" w:lastRowFirstColumn="0" w:lastRowLastColumn="0"/>
              <w:rPr>
                <w:szCs w:val="22"/>
              </w:rPr>
            </w:pPr>
            <w:r w:rsidRPr="00FF0D14">
              <w:rPr>
                <w:rFonts w:ascii="Wingdings" w:hAnsi="Wingdings"/>
                <w:spacing w:val="-10"/>
                <w:szCs w:val="22"/>
              </w:rPr>
              <w:t></w:t>
            </w:r>
          </w:p>
        </w:tc>
        <w:tc>
          <w:tcPr>
            <w:tcW w:w="1417" w:type="dxa"/>
            <w:gridSpan w:val="2"/>
          </w:tcPr>
          <w:p w14:paraId="0D33F49A" w14:textId="6A7D4816" w:rsidR="00CE3307" w:rsidRPr="00FF0D14" w:rsidRDefault="00FF0D14" w:rsidP="00CE3307">
            <w:pPr>
              <w:cnfStyle w:val="000000000000" w:firstRow="0" w:lastRow="0" w:firstColumn="0" w:lastColumn="0" w:oddVBand="0" w:evenVBand="0" w:oddHBand="0" w:evenHBand="0" w:firstRowFirstColumn="0" w:firstRowLastColumn="0" w:lastRowFirstColumn="0" w:lastRowLastColumn="0"/>
              <w:rPr>
                <w:szCs w:val="22"/>
              </w:rPr>
            </w:pPr>
            <w:r w:rsidRPr="00FF0D14">
              <w:rPr>
                <w:szCs w:val="22"/>
              </w:rPr>
              <w:t>-</w:t>
            </w:r>
          </w:p>
        </w:tc>
      </w:tr>
      <w:tr w:rsidR="00CE3307" w:rsidRPr="007A1992" w14:paraId="6879DD51" w14:textId="77777777" w:rsidTr="008810DC">
        <w:trPr>
          <w:gridAfter w:val="1"/>
          <w:wAfter w:w="6" w:type="dxa"/>
          <w:trHeight w:val="112"/>
        </w:trPr>
        <w:tc>
          <w:tcPr>
            <w:cnfStyle w:val="001000000000" w:firstRow="0" w:lastRow="0" w:firstColumn="1" w:lastColumn="0" w:oddVBand="0" w:evenVBand="0" w:oddHBand="0" w:evenHBand="0" w:firstRowFirstColumn="0" w:firstRowLastColumn="0" w:lastRowFirstColumn="0" w:lastRowLastColumn="0"/>
            <w:tcW w:w="1615" w:type="dxa"/>
            <w:vMerge/>
          </w:tcPr>
          <w:p w14:paraId="0DDF4587" w14:textId="77777777" w:rsidR="00CE3307" w:rsidRPr="00FF0D14" w:rsidRDefault="00CE3307" w:rsidP="00CE3307">
            <w:pPr>
              <w:rPr>
                <w:b/>
                <w:bCs/>
                <w:szCs w:val="22"/>
              </w:rPr>
            </w:pPr>
          </w:p>
        </w:tc>
        <w:tc>
          <w:tcPr>
            <w:tcW w:w="1804" w:type="dxa"/>
          </w:tcPr>
          <w:p w14:paraId="497B025E" w14:textId="2C8D35A1" w:rsidR="00CE3307" w:rsidRPr="00FF0D14" w:rsidRDefault="00CE3307" w:rsidP="00CE3307">
            <w:pPr>
              <w:cnfStyle w:val="000000000000" w:firstRow="0" w:lastRow="0" w:firstColumn="0" w:lastColumn="0" w:oddVBand="0" w:evenVBand="0" w:oddHBand="0" w:evenHBand="0" w:firstRowFirstColumn="0" w:firstRowLastColumn="0" w:lastRowFirstColumn="0" w:lastRowLastColumn="0"/>
              <w:rPr>
                <w:szCs w:val="22"/>
              </w:rPr>
            </w:pPr>
            <w:r w:rsidRPr="00FF0D14">
              <w:rPr>
                <w:spacing w:val="-2"/>
                <w:szCs w:val="22"/>
              </w:rPr>
              <w:t>Interactions</w:t>
            </w:r>
            <w:r w:rsidRPr="00FF0D14">
              <w:rPr>
                <w:spacing w:val="6"/>
                <w:szCs w:val="22"/>
              </w:rPr>
              <w:t xml:space="preserve"> </w:t>
            </w:r>
            <w:r w:rsidRPr="00FF0D14">
              <w:rPr>
                <w:spacing w:val="-2"/>
                <w:szCs w:val="22"/>
              </w:rPr>
              <w:t>with</w:t>
            </w:r>
            <w:r w:rsidRPr="00FF0D14">
              <w:rPr>
                <w:spacing w:val="7"/>
                <w:szCs w:val="22"/>
              </w:rPr>
              <w:t xml:space="preserve"> </w:t>
            </w:r>
            <w:r w:rsidRPr="00FF0D14">
              <w:rPr>
                <w:spacing w:val="-2"/>
                <w:szCs w:val="22"/>
              </w:rPr>
              <w:t>fat-soluble</w:t>
            </w:r>
            <w:r w:rsidRPr="00FF0D14">
              <w:rPr>
                <w:spacing w:val="7"/>
                <w:szCs w:val="22"/>
              </w:rPr>
              <w:t xml:space="preserve"> </w:t>
            </w:r>
            <w:r w:rsidRPr="00FF0D14">
              <w:rPr>
                <w:spacing w:val="-4"/>
                <w:szCs w:val="22"/>
              </w:rPr>
              <w:t>drugs</w:t>
            </w:r>
          </w:p>
        </w:tc>
        <w:tc>
          <w:tcPr>
            <w:tcW w:w="1134" w:type="dxa"/>
            <w:gridSpan w:val="2"/>
          </w:tcPr>
          <w:p w14:paraId="0F169E14" w14:textId="0EC3C05D" w:rsidR="00CE3307" w:rsidRPr="00FF0D14" w:rsidRDefault="00CE3307" w:rsidP="00CE3307">
            <w:pPr>
              <w:cnfStyle w:val="000000000000" w:firstRow="0" w:lastRow="0" w:firstColumn="0" w:lastColumn="0" w:oddVBand="0" w:evenVBand="0" w:oddHBand="0" w:evenHBand="0" w:firstRowFirstColumn="0" w:firstRowLastColumn="0" w:lastRowFirstColumn="0" w:lastRowLastColumn="0"/>
              <w:rPr>
                <w:szCs w:val="22"/>
              </w:rPr>
            </w:pPr>
            <w:r w:rsidRPr="00FF0D14">
              <w:rPr>
                <w:rFonts w:ascii="Wingdings" w:hAnsi="Wingdings"/>
                <w:spacing w:val="-10"/>
                <w:szCs w:val="22"/>
              </w:rPr>
              <w:t></w:t>
            </w:r>
          </w:p>
        </w:tc>
        <w:tc>
          <w:tcPr>
            <w:tcW w:w="1418" w:type="dxa"/>
            <w:gridSpan w:val="2"/>
          </w:tcPr>
          <w:p w14:paraId="71BB1524" w14:textId="4AA068EC" w:rsidR="00CE3307" w:rsidRPr="00FF0D14" w:rsidRDefault="00CE3307" w:rsidP="00CE3307">
            <w:pPr>
              <w:cnfStyle w:val="000000000000" w:firstRow="0" w:lastRow="0" w:firstColumn="0" w:lastColumn="0" w:oddVBand="0" w:evenVBand="0" w:oddHBand="0" w:evenHBand="0" w:firstRowFirstColumn="0" w:firstRowLastColumn="0" w:lastRowFirstColumn="0" w:lastRowLastColumn="0"/>
              <w:rPr>
                <w:szCs w:val="22"/>
              </w:rPr>
            </w:pPr>
            <w:r w:rsidRPr="00FF0D14">
              <w:rPr>
                <w:rFonts w:ascii="Wingdings" w:hAnsi="Wingdings" w:cs="Cambria"/>
                <w:color w:val="auto"/>
                <w:spacing w:val="-10"/>
                <w:szCs w:val="22"/>
                <w:lang w:val="en-US" w:eastAsia="en-US"/>
              </w:rPr>
              <w:t></w:t>
            </w:r>
            <w:r w:rsidR="002D715F" w:rsidRPr="00FF0D14">
              <w:rPr>
                <w:rFonts w:cs="Cambria"/>
                <w:color w:val="auto"/>
                <w:spacing w:val="-10"/>
                <w:szCs w:val="22"/>
                <w:lang w:val="en-US" w:eastAsia="en-US"/>
              </w:rPr>
              <w:t>*</w:t>
            </w:r>
          </w:p>
        </w:tc>
        <w:tc>
          <w:tcPr>
            <w:tcW w:w="1134" w:type="dxa"/>
            <w:gridSpan w:val="2"/>
          </w:tcPr>
          <w:p w14:paraId="312708E7" w14:textId="4644FD8B" w:rsidR="00CE3307" w:rsidRPr="00FF0D14" w:rsidRDefault="00CE3307" w:rsidP="00CE3307">
            <w:pPr>
              <w:cnfStyle w:val="000000000000" w:firstRow="0" w:lastRow="0" w:firstColumn="0" w:lastColumn="0" w:oddVBand="0" w:evenVBand="0" w:oddHBand="0" w:evenHBand="0" w:firstRowFirstColumn="0" w:firstRowLastColumn="0" w:lastRowFirstColumn="0" w:lastRowLastColumn="0"/>
              <w:rPr>
                <w:szCs w:val="22"/>
              </w:rPr>
            </w:pPr>
            <w:r w:rsidRPr="00FF0D14">
              <w:rPr>
                <w:rFonts w:ascii="Wingdings" w:hAnsi="Wingdings"/>
                <w:spacing w:val="-10"/>
                <w:szCs w:val="22"/>
              </w:rPr>
              <w:t></w:t>
            </w:r>
          </w:p>
        </w:tc>
        <w:tc>
          <w:tcPr>
            <w:tcW w:w="1417" w:type="dxa"/>
            <w:gridSpan w:val="2"/>
          </w:tcPr>
          <w:p w14:paraId="418D6574" w14:textId="63436CED" w:rsidR="00CE3307" w:rsidRPr="00FF0D14" w:rsidRDefault="00FF0D14" w:rsidP="00CE3307">
            <w:pPr>
              <w:cnfStyle w:val="000000000000" w:firstRow="0" w:lastRow="0" w:firstColumn="0" w:lastColumn="0" w:oddVBand="0" w:evenVBand="0" w:oddHBand="0" w:evenHBand="0" w:firstRowFirstColumn="0" w:firstRowLastColumn="0" w:lastRowFirstColumn="0" w:lastRowLastColumn="0"/>
              <w:rPr>
                <w:szCs w:val="22"/>
              </w:rPr>
            </w:pPr>
            <w:r w:rsidRPr="00FF0D14">
              <w:rPr>
                <w:szCs w:val="22"/>
              </w:rPr>
              <w:t>-</w:t>
            </w:r>
          </w:p>
        </w:tc>
      </w:tr>
      <w:tr w:rsidR="00B51715" w:rsidRPr="007A1992" w14:paraId="74C5E610" w14:textId="77777777" w:rsidTr="008810DC">
        <w:trPr>
          <w:gridAfter w:val="1"/>
          <w:wAfter w:w="6" w:type="dxa"/>
          <w:trHeight w:val="178"/>
        </w:trPr>
        <w:tc>
          <w:tcPr>
            <w:cnfStyle w:val="001000000000" w:firstRow="0" w:lastRow="0" w:firstColumn="1" w:lastColumn="0" w:oddVBand="0" w:evenVBand="0" w:oddHBand="0" w:evenHBand="0" w:firstRowFirstColumn="0" w:firstRowLastColumn="0" w:lastRowFirstColumn="0" w:lastRowLastColumn="0"/>
            <w:tcW w:w="1615" w:type="dxa"/>
            <w:vMerge w:val="restart"/>
          </w:tcPr>
          <w:p w14:paraId="262C65E3" w14:textId="77777777" w:rsidR="00B51715" w:rsidRPr="00FF0D14" w:rsidRDefault="00B51715" w:rsidP="00CE3307">
            <w:pPr>
              <w:rPr>
                <w:b/>
                <w:bCs/>
                <w:szCs w:val="22"/>
              </w:rPr>
            </w:pPr>
            <w:r w:rsidRPr="00FF0D14">
              <w:rPr>
                <w:b/>
                <w:bCs/>
                <w:szCs w:val="22"/>
              </w:rPr>
              <w:t>Missing information</w:t>
            </w:r>
          </w:p>
        </w:tc>
        <w:tc>
          <w:tcPr>
            <w:tcW w:w="1804" w:type="dxa"/>
          </w:tcPr>
          <w:p w14:paraId="104D79CD" w14:textId="49A60180" w:rsidR="00B51715" w:rsidRPr="00FF0D14" w:rsidRDefault="00B51715" w:rsidP="00CE3307">
            <w:pPr>
              <w:cnfStyle w:val="000000000000" w:firstRow="0" w:lastRow="0" w:firstColumn="0" w:lastColumn="0" w:oddVBand="0" w:evenVBand="0" w:oddHBand="0" w:evenHBand="0" w:firstRowFirstColumn="0" w:firstRowLastColumn="0" w:lastRowFirstColumn="0" w:lastRowLastColumn="0"/>
              <w:rPr>
                <w:szCs w:val="22"/>
              </w:rPr>
            </w:pPr>
            <w:r w:rsidRPr="00FF0D14">
              <w:rPr>
                <w:szCs w:val="22"/>
              </w:rPr>
              <w:t>Long-term use</w:t>
            </w:r>
          </w:p>
        </w:tc>
        <w:tc>
          <w:tcPr>
            <w:tcW w:w="1134" w:type="dxa"/>
            <w:gridSpan w:val="2"/>
          </w:tcPr>
          <w:p w14:paraId="07467A21" w14:textId="40380474" w:rsidR="00B51715" w:rsidRPr="00FF0D14" w:rsidRDefault="00B51715" w:rsidP="00CE3307">
            <w:pPr>
              <w:cnfStyle w:val="000000000000" w:firstRow="0" w:lastRow="0" w:firstColumn="0" w:lastColumn="0" w:oddVBand="0" w:evenVBand="0" w:oddHBand="0" w:evenHBand="0" w:firstRowFirstColumn="0" w:firstRowLastColumn="0" w:lastRowFirstColumn="0" w:lastRowLastColumn="0"/>
              <w:rPr>
                <w:szCs w:val="22"/>
              </w:rPr>
            </w:pPr>
            <w:r w:rsidRPr="00FF0D14">
              <w:rPr>
                <w:rFonts w:ascii="Wingdings" w:hAnsi="Wingdings"/>
                <w:spacing w:val="-10"/>
                <w:szCs w:val="22"/>
              </w:rPr>
              <w:t></w:t>
            </w:r>
          </w:p>
        </w:tc>
        <w:tc>
          <w:tcPr>
            <w:tcW w:w="1418" w:type="dxa"/>
            <w:gridSpan w:val="2"/>
          </w:tcPr>
          <w:p w14:paraId="35C7F07F" w14:textId="1744B6FB" w:rsidR="00B51715" w:rsidRPr="00FF0D14" w:rsidRDefault="00B51715" w:rsidP="00CE3307">
            <w:pPr>
              <w:cnfStyle w:val="000000000000" w:firstRow="0" w:lastRow="0" w:firstColumn="0" w:lastColumn="0" w:oddVBand="0" w:evenVBand="0" w:oddHBand="0" w:evenHBand="0" w:firstRowFirstColumn="0" w:firstRowLastColumn="0" w:lastRowFirstColumn="0" w:lastRowLastColumn="0"/>
              <w:rPr>
                <w:szCs w:val="22"/>
              </w:rPr>
            </w:pPr>
            <w:r w:rsidRPr="00FF0D14">
              <w:rPr>
                <w:rFonts w:ascii="Wingdings" w:hAnsi="Wingdings" w:cs="Cambria"/>
                <w:color w:val="auto"/>
                <w:spacing w:val="-10"/>
                <w:szCs w:val="22"/>
                <w:lang w:val="en-US" w:eastAsia="en-US"/>
              </w:rPr>
              <w:t></w:t>
            </w:r>
            <w:r w:rsidRPr="00FF0D14">
              <w:rPr>
                <w:rFonts w:cs="Cambria"/>
                <w:color w:val="auto"/>
                <w:spacing w:val="-10"/>
                <w:szCs w:val="22"/>
                <w:lang w:val="en-US" w:eastAsia="en-US"/>
              </w:rPr>
              <w:t>*</w:t>
            </w:r>
          </w:p>
        </w:tc>
        <w:tc>
          <w:tcPr>
            <w:tcW w:w="1134" w:type="dxa"/>
            <w:gridSpan w:val="2"/>
          </w:tcPr>
          <w:p w14:paraId="52620DEE" w14:textId="4AC6B549" w:rsidR="00B51715" w:rsidRPr="00FF0D14" w:rsidRDefault="00FF0D14" w:rsidP="00CE3307">
            <w:pPr>
              <w:cnfStyle w:val="000000000000" w:firstRow="0" w:lastRow="0" w:firstColumn="0" w:lastColumn="0" w:oddVBand="0" w:evenVBand="0" w:oddHBand="0" w:evenHBand="0" w:firstRowFirstColumn="0" w:firstRowLastColumn="0" w:lastRowFirstColumn="0" w:lastRowLastColumn="0"/>
              <w:rPr>
                <w:szCs w:val="22"/>
              </w:rPr>
            </w:pPr>
            <w:r w:rsidRPr="00FF0D14">
              <w:rPr>
                <w:spacing w:val="-10"/>
                <w:szCs w:val="22"/>
              </w:rPr>
              <w:t>-</w:t>
            </w:r>
          </w:p>
        </w:tc>
        <w:tc>
          <w:tcPr>
            <w:tcW w:w="1417" w:type="dxa"/>
            <w:gridSpan w:val="2"/>
          </w:tcPr>
          <w:p w14:paraId="16BD3C7B" w14:textId="56912CE8" w:rsidR="00B51715" w:rsidRPr="00FF0D14" w:rsidRDefault="00FF0D14" w:rsidP="00CE3307">
            <w:pPr>
              <w:cnfStyle w:val="000000000000" w:firstRow="0" w:lastRow="0" w:firstColumn="0" w:lastColumn="0" w:oddVBand="0" w:evenVBand="0" w:oddHBand="0" w:evenHBand="0" w:firstRowFirstColumn="0" w:firstRowLastColumn="0" w:lastRowFirstColumn="0" w:lastRowLastColumn="0"/>
              <w:rPr>
                <w:szCs w:val="22"/>
              </w:rPr>
            </w:pPr>
            <w:r w:rsidRPr="00FF0D14">
              <w:rPr>
                <w:szCs w:val="22"/>
              </w:rPr>
              <w:t>-</w:t>
            </w:r>
          </w:p>
        </w:tc>
      </w:tr>
      <w:tr w:rsidR="00FF0D14" w:rsidRPr="007A1992" w14:paraId="69F654A9" w14:textId="77777777" w:rsidTr="008810DC">
        <w:trPr>
          <w:gridAfter w:val="1"/>
          <w:wAfter w:w="6" w:type="dxa"/>
          <w:trHeight w:val="178"/>
        </w:trPr>
        <w:tc>
          <w:tcPr>
            <w:cnfStyle w:val="001000000000" w:firstRow="0" w:lastRow="0" w:firstColumn="1" w:lastColumn="0" w:oddVBand="0" w:evenVBand="0" w:oddHBand="0" w:evenHBand="0" w:firstRowFirstColumn="0" w:firstRowLastColumn="0" w:lastRowFirstColumn="0" w:lastRowLastColumn="0"/>
            <w:tcW w:w="1615" w:type="dxa"/>
            <w:vMerge/>
          </w:tcPr>
          <w:p w14:paraId="10B7DD5C" w14:textId="77777777" w:rsidR="00FF0D14" w:rsidRPr="00FF0D14" w:rsidRDefault="00FF0D14" w:rsidP="00FF0D14">
            <w:pPr>
              <w:rPr>
                <w:b/>
                <w:bCs/>
                <w:szCs w:val="22"/>
              </w:rPr>
            </w:pPr>
          </w:p>
        </w:tc>
        <w:tc>
          <w:tcPr>
            <w:tcW w:w="1804" w:type="dxa"/>
          </w:tcPr>
          <w:p w14:paraId="78B3C3DF" w14:textId="03B55B80" w:rsidR="00FF0D14" w:rsidRPr="00FF0D14" w:rsidRDefault="00FF0D14" w:rsidP="00FF0D14">
            <w:pPr>
              <w:cnfStyle w:val="000000000000" w:firstRow="0" w:lastRow="0" w:firstColumn="0" w:lastColumn="0" w:oddVBand="0" w:evenVBand="0" w:oddHBand="0" w:evenHBand="0" w:firstRowFirstColumn="0" w:firstRowLastColumn="0" w:lastRowFirstColumn="0" w:lastRowLastColumn="0"/>
              <w:rPr>
                <w:szCs w:val="22"/>
              </w:rPr>
            </w:pPr>
            <w:r w:rsidRPr="00FF0D14">
              <w:rPr>
                <w:szCs w:val="22"/>
              </w:rPr>
              <w:t>Use</w:t>
            </w:r>
            <w:r w:rsidRPr="00FF0D14">
              <w:rPr>
                <w:spacing w:val="-6"/>
                <w:szCs w:val="22"/>
              </w:rPr>
              <w:t xml:space="preserve"> </w:t>
            </w:r>
            <w:r w:rsidRPr="00FF0D14">
              <w:rPr>
                <w:szCs w:val="22"/>
              </w:rPr>
              <w:t>during</w:t>
            </w:r>
            <w:r w:rsidRPr="00FF0D14">
              <w:rPr>
                <w:spacing w:val="-7"/>
                <w:szCs w:val="22"/>
              </w:rPr>
              <w:t xml:space="preserve"> </w:t>
            </w:r>
            <w:r w:rsidRPr="00FF0D14">
              <w:rPr>
                <w:szCs w:val="22"/>
              </w:rPr>
              <w:t>pregnancy</w:t>
            </w:r>
            <w:r w:rsidRPr="00FF0D14">
              <w:rPr>
                <w:spacing w:val="-6"/>
                <w:szCs w:val="22"/>
              </w:rPr>
              <w:t xml:space="preserve"> </w:t>
            </w:r>
            <w:r w:rsidRPr="00FF0D14">
              <w:rPr>
                <w:szCs w:val="22"/>
              </w:rPr>
              <w:t>and</w:t>
            </w:r>
            <w:r w:rsidRPr="00FF0D14">
              <w:rPr>
                <w:spacing w:val="-6"/>
                <w:szCs w:val="22"/>
              </w:rPr>
              <w:t xml:space="preserve"> </w:t>
            </w:r>
            <w:r w:rsidRPr="00FF0D14">
              <w:rPr>
                <w:szCs w:val="22"/>
              </w:rPr>
              <w:t>use</w:t>
            </w:r>
            <w:r w:rsidRPr="00FF0D14">
              <w:rPr>
                <w:spacing w:val="-6"/>
                <w:szCs w:val="22"/>
              </w:rPr>
              <w:t xml:space="preserve"> </w:t>
            </w:r>
            <w:r w:rsidRPr="00FF0D14">
              <w:rPr>
                <w:szCs w:val="22"/>
              </w:rPr>
              <w:t>in</w:t>
            </w:r>
            <w:r w:rsidRPr="00FF0D14">
              <w:rPr>
                <w:spacing w:val="-7"/>
                <w:szCs w:val="22"/>
              </w:rPr>
              <w:t xml:space="preserve"> </w:t>
            </w:r>
            <w:r w:rsidRPr="00FF0D14">
              <w:rPr>
                <w:szCs w:val="22"/>
              </w:rPr>
              <w:t xml:space="preserve">breastfeeding </w:t>
            </w:r>
            <w:r w:rsidRPr="00FF0D14">
              <w:rPr>
                <w:spacing w:val="-2"/>
                <w:szCs w:val="22"/>
              </w:rPr>
              <w:t>women</w:t>
            </w:r>
          </w:p>
        </w:tc>
        <w:tc>
          <w:tcPr>
            <w:tcW w:w="1134" w:type="dxa"/>
            <w:gridSpan w:val="2"/>
          </w:tcPr>
          <w:p w14:paraId="236E3DB8" w14:textId="155A4412" w:rsidR="00FF0D14" w:rsidRPr="00FF0D14" w:rsidRDefault="00FF0D14" w:rsidP="00FF0D14">
            <w:pPr>
              <w:cnfStyle w:val="000000000000" w:firstRow="0" w:lastRow="0" w:firstColumn="0" w:lastColumn="0" w:oddVBand="0" w:evenVBand="0" w:oddHBand="0" w:evenHBand="0" w:firstRowFirstColumn="0" w:firstRowLastColumn="0" w:lastRowFirstColumn="0" w:lastRowLastColumn="0"/>
              <w:rPr>
                <w:rFonts w:ascii="Wingdings" w:hAnsi="Wingdings"/>
                <w:spacing w:val="-10"/>
                <w:szCs w:val="22"/>
              </w:rPr>
            </w:pPr>
            <w:r w:rsidRPr="00FF0D14">
              <w:rPr>
                <w:rFonts w:ascii="Wingdings" w:hAnsi="Wingdings"/>
                <w:spacing w:val="-10"/>
                <w:szCs w:val="22"/>
              </w:rPr>
              <w:t></w:t>
            </w:r>
          </w:p>
        </w:tc>
        <w:tc>
          <w:tcPr>
            <w:tcW w:w="1418" w:type="dxa"/>
            <w:gridSpan w:val="2"/>
          </w:tcPr>
          <w:p w14:paraId="5742917C" w14:textId="0A5F4F2C" w:rsidR="00FF0D14" w:rsidRPr="00FF0D14" w:rsidRDefault="00FF0D14" w:rsidP="00FF0D14">
            <w:pPr>
              <w:cnfStyle w:val="000000000000" w:firstRow="0" w:lastRow="0" w:firstColumn="0" w:lastColumn="0" w:oddVBand="0" w:evenVBand="0" w:oddHBand="0" w:evenHBand="0" w:firstRowFirstColumn="0" w:firstRowLastColumn="0" w:lastRowFirstColumn="0" w:lastRowLastColumn="0"/>
              <w:rPr>
                <w:rFonts w:cs="Cambria"/>
                <w:spacing w:val="-10"/>
                <w:szCs w:val="22"/>
                <w:lang w:val="en-US"/>
              </w:rPr>
            </w:pPr>
            <w:r w:rsidRPr="00FF0D14">
              <w:rPr>
                <w:rFonts w:cs="Cambria"/>
                <w:spacing w:val="-10"/>
                <w:szCs w:val="22"/>
                <w:lang w:val="en-US"/>
              </w:rPr>
              <w:t>-</w:t>
            </w:r>
          </w:p>
        </w:tc>
        <w:tc>
          <w:tcPr>
            <w:tcW w:w="1134" w:type="dxa"/>
            <w:gridSpan w:val="2"/>
          </w:tcPr>
          <w:p w14:paraId="2FD4337D" w14:textId="6655F137" w:rsidR="00FF0D14" w:rsidRPr="00FF0D14" w:rsidRDefault="00FF0D14" w:rsidP="00FF0D14">
            <w:pPr>
              <w:cnfStyle w:val="000000000000" w:firstRow="0" w:lastRow="0" w:firstColumn="0" w:lastColumn="0" w:oddVBand="0" w:evenVBand="0" w:oddHBand="0" w:evenHBand="0" w:firstRowFirstColumn="0" w:firstRowLastColumn="0" w:lastRowFirstColumn="0" w:lastRowLastColumn="0"/>
              <w:rPr>
                <w:rFonts w:ascii="Wingdings" w:hAnsi="Wingdings"/>
                <w:spacing w:val="-10"/>
                <w:szCs w:val="22"/>
              </w:rPr>
            </w:pPr>
            <w:r w:rsidRPr="00FF0D14">
              <w:rPr>
                <w:rFonts w:ascii="Wingdings" w:hAnsi="Wingdings"/>
                <w:spacing w:val="-10"/>
                <w:szCs w:val="22"/>
              </w:rPr>
              <w:t></w:t>
            </w:r>
          </w:p>
        </w:tc>
        <w:tc>
          <w:tcPr>
            <w:tcW w:w="1417" w:type="dxa"/>
            <w:gridSpan w:val="2"/>
          </w:tcPr>
          <w:p w14:paraId="7AC81C65" w14:textId="1A74AECE" w:rsidR="00FF0D14" w:rsidRPr="00FF0D14" w:rsidRDefault="00FF0D14" w:rsidP="00FF0D14">
            <w:pPr>
              <w:cnfStyle w:val="000000000000" w:firstRow="0" w:lastRow="0" w:firstColumn="0" w:lastColumn="0" w:oddVBand="0" w:evenVBand="0" w:oddHBand="0" w:evenHBand="0" w:firstRowFirstColumn="0" w:firstRowLastColumn="0" w:lastRowFirstColumn="0" w:lastRowLastColumn="0"/>
              <w:rPr>
                <w:szCs w:val="22"/>
              </w:rPr>
            </w:pPr>
            <w:r w:rsidRPr="00FF0D14">
              <w:rPr>
                <w:szCs w:val="22"/>
              </w:rPr>
              <w:t>-</w:t>
            </w:r>
          </w:p>
        </w:tc>
      </w:tr>
    </w:tbl>
    <w:p w14:paraId="14037EF0" w14:textId="0D6789F5" w:rsidR="00B51715" w:rsidRDefault="00B51715" w:rsidP="00B51715">
      <w:pPr>
        <w:pStyle w:val="TableDescription"/>
      </w:pPr>
      <w:bookmarkStart w:id="43" w:name="_Toc103679299"/>
      <w:r w:rsidRPr="00B51715">
        <w:t>*Extension Study A4250-008 and Prospective Registry-based Study A4250-019</w:t>
      </w:r>
    </w:p>
    <w:p w14:paraId="74A4F87F" w14:textId="699F0158" w:rsidR="00C22214" w:rsidRDefault="00C22214" w:rsidP="00C22214">
      <w:pPr>
        <w:pStyle w:val="Heading3"/>
      </w:pPr>
      <w:bookmarkStart w:id="44" w:name="_Toc204158917"/>
      <w:r>
        <w:t>Risk-benefit analysis</w:t>
      </w:r>
      <w:bookmarkEnd w:id="40"/>
      <w:bookmarkEnd w:id="41"/>
      <w:bookmarkEnd w:id="43"/>
      <w:bookmarkEnd w:id="44"/>
    </w:p>
    <w:p w14:paraId="573ABBF6" w14:textId="308FE29C" w:rsidR="00CC57B6" w:rsidRDefault="00CC57B6" w:rsidP="00CC57B6">
      <w:r>
        <w:t xml:space="preserve">PFIC is a diagnosis applied to a heterogeneous group of autosomal recessive genetic disorders, all of which result in cholestasis with impaired bile acid secretion and transport. The accumulation of the components of bile within the liver, including bilirubin and bile acids, can lead to portal hypertension, liver failure, cirrhosis, and hepatocellular carcinoma. As hepatic levels of components of bile increase, they are excreted into the systemic circulation leading to the development of jaundice and severe </w:t>
      </w:r>
      <w:r w:rsidR="00C70F23">
        <w:t>pruritus</w:t>
      </w:r>
      <w:r>
        <w:t>.</w:t>
      </w:r>
    </w:p>
    <w:p w14:paraId="0349AA68" w14:textId="77777777" w:rsidR="00CC57B6" w:rsidRDefault="00CC57B6" w:rsidP="00CC57B6">
      <w:r>
        <w:t>The diagnosis of PFIC is suspected in a child (often newborn) with cholestasis of hepatocellular origin and with rapid appearance of liver failure in most cases. Symptoms develop early, especially in the most common type, PFIC2, with a median age at onset of approximately three months; 78% of patients develop jaundice before 12 months of age.</w:t>
      </w:r>
    </w:p>
    <w:p w14:paraId="3C1B09AF" w14:textId="4E791120" w:rsidR="00CC57B6" w:rsidRDefault="00CC57B6" w:rsidP="00CC57B6">
      <w:r>
        <w:t xml:space="preserve">In Australia there is no pharmaceutical treatment approved for the treatment of PFIC. The therapeutic choices are restricted to nonspecific therapy of the clinical symptoms and signs of the disease such as nutritional support, prevention of vitamin deficiencies, and symptomatic treatment of extrahepatic features, including </w:t>
      </w:r>
      <w:r w:rsidR="00C70F23">
        <w:t>pruritus</w:t>
      </w:r>
      <w:r>
        <w:t>. Medical treatment options included off- label use of UDCA, rifampicin, hydroxyzine, antihistamines, and naltrexone, but none of these therapies have proven benefits for the long-term prognosis of patients with PFIC.</w:t>
      </w:r>
    </w:p>
    <w:p w14:paraId="744F575D" w14:textId="3F58919B" w:rsidR="00CC57B6" w:rsidRDefault="00CC57B6" w:rsidP="00CC57B6">
      <w:r>
        <w:t xml:space="preserve">During odevixibat treatment, a significant reduction in SBA concentrations was accompanied by a statistically and clinically significant reduction in </w:t>
      </w:r>
      <w:r w:rsidR="00C70F23">
        <w:t>pruritus</w:t>
      </w:r>
      <w:r>
        <w:t xml:space="preserve"> at both low and high doses, but </w:t>
      </w:r>
      <w:r>
        <w:lastRenderedPageBreak/>
        <w:t>without a clear dose-response effect. Secondary and exploratory endpoints, including improvements in liver transaminases, hepatic function, growth and quality of life measures were supportive. Whether long-term treatment with odevixibat will also delay or diminish the requirement for surgical treatment including biliary diversion and liver transplantation is yet to be seen.</w:t>
      </w:r>
    </w:p>
    <w:p w14:paraId="22D784FF" w14:textId="77777777" w:rsidR="00CC57B6" w:rsidRDefault="00CC57B6" w:rsidP="00CC57B6">
      <w:r>
        <w:t>From a safety perspective, at present there is little evidence that odevixibat is likely to have significant toxic effects. However, signals for unexplained cardiovascular abnormalities in animal models suggest potential embryofetal effects which demand further follow up. In the absence of additional information, odevixibat should not be used during pregnancy or breast- feeding.</w:t>
      </w:r>
    </w:p>
    <w:p w14:paraId="00723F24" w14:textId="77777777" w:rsidR="00CC57B6" w:rsidRDefault="00CC57B6" w:rsidP="00CC57B6">
      <w:pPr>
        <w:pStyle w:val="Heading4"/>
      </w:pPr>
      <w:bookmarkStart w:id="45" w:name="_Toc204158918"/>
      <w:r>
        <w:t>Conclusions</w:t>
      </w:r>
      <w:bookmarkEnd w:id="45"/>
    </w:p>
    <w:p w14:paraId="5567606A" w14:textId="39ECF436" w:rsidR="00CC57B6" w:rsidRPr="00CC57B6" w:rsidRDefault="00CC57B6" w:rsidP="00CC57B6">
      <w:r>
        <w:t>While some uncertainties remain around the long-term safety of odevixibat, this is a treatment that provides a significant benefit to patients with PFIC, particular PFIC2, with some evidence of efficacy in other forms of PFIC.</w:t>
      </w:r>
    </w:p>
    <w:p w14:paraId="307F236C" w14:textId="5BA0D35D" w:rsidR="00C22214" w:rsidRPr="002E238E" w:rsidRDefault="0046285C" w:rsidP="00C22214">
      <w:pPr>
        <w:pStyle w:val="Heading2"/>
      </w:pPr>
      <w:bookmarkStart w:id="46" w:name="_Toc247691532"/>
      <w:bookmarkStart w:id="47" w:name="_Toc314842516"/>
      <w:bookmarkStart w:id="48" w:name="_Toc103679300"/>
      <w:bookmarkStart w:id="49" w:name="_Toc204158919"/>
      <w:r>
        <w:t>Assessment</w:t>
      </w:r>
      <w:r w:rsidR="00190853">
        <w:t xml:space="preserve"> </w:t>
      </w:r>
      <w:r>
        <w:t>o</w:t>
      </w:r>
      <w:r w:rsidR="00C22214">
        <w:t>utcome</w:t>
      </w:r>
      <w:bookmarkEnd w:id="46"/>
      <w:bookmarkEnd w:id="47"/>
      <w:bookmarkEnd w:id="48"/>
      <w:bookmarkEnd w:id="49"/>
    </w:p>
    <w:p w14:paraId="4EF22939" w14:textId="57F1B835" w:rsidR="00C22214" w:rsidRPr="0017005C" w:rsidRDefault="00C22214" w:rsidP="0006104E">
      <w:r w:rsidRPr="0017005C">
        <w:t xml:space="preserve">Based on a review of quality, safety, and efficacy, the TGA </w:t>
      </w:r>
      <w:r w:rsidR="00B46DFB">
        <w:t>decided to</w:t>
      </w:r>
      <w:r w:rsidRPr="0017005C">
        <w:t xml:space="preserve"> regist</w:t>
      </w:r>
      <w:r w:rsidR="00B46DFB">
        <w:t>er</w:t>
      </w:r>
      <w:r w:rsidRPr="0017005C">
        <w:t xml:space="preserve"> </w:t>
      </w:r>
      <w:r w:rsidR="00893229">
        <w:t>BYLVAY</w:t>
      </w:r>
      <w:r w:rsidR="00CC57B6" w:rsidRPr="00CC57B6">
        <w:t xml:space="preserve"> </w:t>
      </w:r>
      <w:r w:rsidR="00CC57B6">
        <w:t>(</w:t>
      </w:r>
      <w:r w:rsidR="00CC57B6" w:rsidRPr="00CC57B6">
        <w:t>odevixibat</w:t>
      </w:r>
      <w:r w:rsidR="00CC57B6">
        <w:t>)</w:t>
      </w:r>
      <w:r w:rsidRPr="0017005C">
        <w:t xml:space="preserve"> for the following indication</w:t>
      </w:r>
      <w:r w:rsidR="00D23D3E">
        <w:t>:</w:t>
      </w:r>
    </w:p>
    <w:p w14:paraId="3B245AB5" w14:textId="54D9D96E" w:rsidR="00C22214" w:rsidRPr="00BD5DBD" w:rsidRDefault="00893229" w:rsidP="00605C05">
      <w:pPr>
        <w:pStyle w:val="Indication"/>
      </w:pPr>
      <w:r>
        <w:t>BYLVAY</w:t>
      </w:r>
      <w:r w:rsidR="0067090B" w:rsidRPr="0067090B">
        <w:t xml:space="preserve"> is indicated for the treatment of progressive familial intrahepatic cholestasis (PFIC) in patients aged 6 months or older</w:t>
      </w:r>
    </w:p>
    <w:p w14:paraId="7A131963" w14:textId="77777777" w:rsidR="00893229" w:rsidRDefault="00854D98" w:rsidP="00893229">
      <w:pPr>
        <w:pStyle w:val="Heading5"/>
      </w:pPr>
      <w:bookmarkStart w:id="50" w:name="_Toc103679301"/>
      <w:r w:rsidRPr="00D23139">
        <w:t>Specific conditions of registration</w:t>
      </w:r>
    </w:p>
    <w:p w14:paraId="6E4AA2C3" w14:textId="2986D999" w:rsidR="00893229" w:rsidRDefault="00893229" w:rsidP="00893229">
      <w:r>
        <w:t>BYLVAY (odevixibat) is to be included in the Black Triangle Scheme. The PI and CMI for BYLVAY must include the black triangle symbol and mandatory accompanying text for five years, which starts from the date of first supply of the product.</w:t>
      </w:r>
    </w:p>
    <w:p w14:paraId="4DC0C229" w14:textId="4D3064BE" w:rsidR="00893229" w:rsidRDefault="00893229" w:rsidP="00893229">
      <w:r>
        <w:t>The BYLVAY EU-Risk Management Plan (RMP) (version 5.0, dated 26 June 2023 data lock point 31 January 2023), with Australian Specific Annex (version 1.0, dated 31 August 2023), included with submission PM-2023-03749-1-1, and any subsequent revisions, as agreed with the TGA will be implemented in Australia.</w:t>
      </w:r>
    </w:p>
    <w:p w14:paraId="76E57476" w14:textId="6485D1D9" w:rsidR="00893229" w:rsidRDefault="00893229" w:rsidP="00893229">
      <w:r>
        <w:t>An obligatory component of risk management plans is routine pharmacovigilance. Routine pharmacovigilance includes the submission of periodic safety update reports (PSURs).</w:t>
      </w:r>
    </w:p>
    <w:p w14:paraId="4CB990CA" w14:textId="77777777" w:rsidR="00893229" w:rsidRDefault="00893229" w:rsidP="00893229">
      <w:r>
        <w:t>Reports are to be provided in line with the current published list of EU reference dates and frequency of submission of PSURs until the period covered by such reports is not less than three years from the date of this approval letter. Each report must be submitted within ninety calendar days of the data lock point for that report.</w:t>
      </w:r>
    </w:p>
    <w:p w14:paraId="0D732DA4" w14:textId="65524757" w:rsidR="00854D98" w:rsidRPr="00D23139" w:rsidRDefault="00893229" w:rsidP="00893229">
      <w: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w:t>
      </w:r>
      <w:r w:rsidR="00854D98" w:rsidRPr="00D23139">
        <w:t xml:space="preserve"> </w:t>
      </w:r>
      <w:bookmarkEnd w:id="50"/>
    </w:p>
    <w:p w14:paraId="0F9C1952" w14:textId="597561E2" w:rsidR="00BA657C" w:rsidRPr="00BA657C" w:rsidRDefault="00BA657C" w:rsidP="00A80E85">
      <w:pPr>
        <w:pStyle w:val="Heading3"/>
      </w:pPr>
      <w:bookmarkStart w:id="51" w:name="_Toc196738290"/>
      <w:r w:rsidRPr="00BA657C">
        <w:t>Product Information and Consumer Medicines Information</w:t>
      </w:r>
      <w:bookmarkEnd w:id="51"/>
    </w:p>
    <w:p w14:paraId="40740B65" w14:textId="53DF49B5" w:rsidR="00C22214" w:rsidRPr="008B4DA3" w:rsidRDefault="004D0933" w:rsidP="00A80E85">
      <w:r w:rsidRPr="004D0933">
        <w:t xml:space="preserve">For the most recent Product Information (PI) and Consumer Medicines Information (CMI), please refer to the TGA </w:t>
      </w:r>
      <w:hyperlink r:id="rId33" w:history="1">
        <w:r w:rsidRPr="004D0933">
          <w:rPr>
            <w:rStyle w:val="Hyperlink"/>
          </w:rPr>
          <w:t>PI/CMI search facility.</w:t>
        </w:r>
      </w:hyperlink>
    </w:p>
    <w:p w14:paraId="53357BF3" w14:textId="276457B5" w:rsidR="00C22214" w:rsidRDefault="00C22214" w:rsidP="00C22214">
      <w:pPr>
        <w:rPr>
          <w:lang w:eastAsia="ja-JP"/>
        </w:rPr>
        <w:sectPr w:rsidR="00C22214" w:rsidSect="007452E8">
          <w:headerReference w:type="default" r:id="rId34"/>
          <w:footerReference w:type="default" r:id="rId35"/>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2"/>
          <w:bookmarkEnd w:id="3"/>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53CB9479" w:rsidR="00F02AEC" w:rsidRDefault="00F02AEC">
            <w:pPr>
              <w:pStyle w:val="Address"/>
              <w:jc w:val="center"/>
              <w:rPr>
                <w:sz w:val="22"/>
                <w:szCs w:val="22"/>
              </w:rPr>
            </w:pPr>
            <w:r w:rsidRPr="00215D48">
              <w:t xml:space="preserve">Email: </w:t>
            </w:r>
            <w:hyperlink r:id="rId36" w:history="1">
              <w:r w:rsidRPr="00215D48">
                <w:rPr>
                  <w:rStyle w:val="Hyperlink"/>
                </w:rPr>
                <w:t>info@tga.gov.au</w:t>
              </w:r>
            </w:hyperlink>
            <w:r w:rsidRPr="00215D48">
              <w:t xml:space="preserve">  Phone: 1800 020 653  Fax: </w:t>
            </w:r>
            <w:r w:rsidRPr="00BA0DFC">
              <w:t>02 6203 1605</w:t>
            </w:r>
          </w:p>
          <w:p w14:paraId="4533D80F" w14:textId="1519D7A3" w:rsidR="00F02AEC" w:rsidRPr="00215D48" w:rsidRDefault="00F02AEC">
            <w:pPr>
              <w:pStyle w:val="Address"/>
              <w:jc w:val="center"/>
              <w:rPr>
                <w:rStyle w:val="Hyperlink"/>
                <w:b/>
                <w:color w:val="auto"/>
                <w:sz w:val="22"/>
              </w:rPr>
            </w:pPr>
            <w:hyperlink r:id="rId37" w:history="1">
              <w:r w:rsidRPr="00C4721A">
                <w:rPr>
                  <w:rStyle w:val="Hyperlink"/>
                  <w:b/>
                </w:rPr>
                <w:t>https://www.tga.gov.au</w:t>
              </w:r>
            </w:hyperlink>
          </w:p>
        </w:tc>
      </w:tr>
    </w:tbl>
    <w:p w14:paraId="788B80FD" w14:textId="77777777" w:rsidR="007452E8" w:rsidRDefault="007452E8"/>
    <w:sectPr w:rsidR="007452E8" w:rsidSect="007452E8">
      <w:headerReference w:type="first" r:id="rId38"/>
      <w:footerReference w:type="first" r:id="rId39"/>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B2F1EA" w14:textId="77777777" w:rsidR="009E5D99" w:rsidRDefault="009E5D99" w:rsidP="00F02AEC">
      <w:pPr>
        <w:spacing w:after="0" w:line="240" w:lineRule="auto"/>
      </w:pPr>
      <w:r>
        <w:separator/>
      </w:r>
    </w:p>
  </w:endnote>
  <w:endnote w:type="continuationSeparator" w:id="0">
    <w:p w14:paraId="1B1D724C" w14:textId="77777777" w:rsidR="009E5D99" w:rsidRDefault="009E5D99" w:rsidP="00F02AEC">
      <w:pPr>
        <w:spacing w:after="0" w:line="240" w:lineRule="auto"/>
      </w:pPr>
      <w:r>
        <w:continuationSeparator/>
      </w:r>
    </w:p>
  </w:endnote>
  <w:endnote w:type="continuationNotice" w:id="1">
    <w:p w14:paraId="20262541" w14:textId="77777777" w:rsidR="009E5D99" w:rsidRDefault="009E5D9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Bahnschrift Light SemiCondensed">
    <w:panose1 w:val="020B0502040204020203"/>
    <w:charset w:val="00"/>
    <w:family w:val="swiss"/>
    <w:pitch w:val="variable"/>
    <w:sig w:usb0="A00002C7"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NewRoman">
    <w:altName w:val="Yu Gothic UI"/>
    <w:panose1 w:val="00000000000000000000"/>
    <w:charset w:val="00"/>
    <w:family w:val="roman"/>
    <w:notTrueType/>
    <w:pitch w:val="default"/>
    <w:sig w:usb0="00000001" w:usb1="08070000" w:usb2="00000010" w:usb3="00000000" w:csb0="00020000"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rsidR="007F1E37">
                <w:fldChar w:fldCharType="begin"/>
              </w:r>
              <w:r w:rsidR="007F1E37">
                <w:instrText xml:space="preserve"> NUMPAGES  </w:instrText>
              </w:r>
              <w:r w:rsidR="007F1E37">
                <w:fldChar w:fldCharType="separate"/>
              </w:r>
              <w:r>
                <w:rPr>
                  <w:noProof/>
                </w:rPr>
                <w:t>2</w:t>
              </w:r>
              <w:r w:rsidR="007F1E37">
                <w:rPr>
                  <w:noProof/>
                </w:rP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24AF7E5A" w14:textId="2EF6BEF0" w:rsidR="00F319F9" w:rsidRPr="00C70F23" w:rsidRDefault="00F319F9" w:rsidP="007452E8">
          <w:pPr>
            <w:pStyle w:val="Footer"/>
          </w:pPr>
          <w:r w:rsidRPr="00C70F23">
            <w:t xml:space="preserve">AusPAR - BYLVAY - </w:t>
          </w:r>
          <w:proofErr w:type="spellStart"/>
          <w:r w:rsidRPr="00C70F23">
            <w:t>odevixibat</w:t>
          </w:r>
          <w:proofErr w:type="spellEnd"/>
          <w:r w:rsidRPr="00C70F23">
            <w:t xml:space="preserve"> - PM-2023-03749-1-1 - Ipsen Pty Ltd - Type A </w:t>
          </w:r>
        </w:p>
        <w:p w14:paraId="3C421323" w14:textId="3FF18C5E" w:rsidR="007452E8" w:rsidRPr="00C70F23" w:rsidRDefault="007452E8" w:rsidP="007452E8">
          <w:pPr>
            <w:pStyle w:val="Footer"/>
          </w:pPr>
          <w:r w:rsidRPr="00C70F23">
            <w:t>Date of Finalisation</w:t>
          </w:r>
          <w:r w:rsidR="00C70F23" w:rsidRPr="00C70F23">
            <w:t xml:space="preserve"> 23 July 2025</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C70F23">
                <w:t xml:space="preserve">Page </w:t>
              </w:r>
              <w:r w:rsidRPr="00C70F23">
                <w:fldChar w:fldCharType="begin"/>
              </w:r>
              <w:r w:rsidRPr="00C70F23">
                <w:instrText xml:space="preserve"> PAGE </w:instrText>
              </w:r>
              <w:r w:rsidRPr="00C70F23">
                <w:fldChar w:fldCharType="separate"/>
              </w:r>
              <w:r w:rsidR="006D6B44" w:rsidRPr="00C70F23">
                <w:rPr>
                  <w:noProof/>
                </w:rPr>
                <w:t>13</w:t>
              </w:r>
              <w:r w:rsidRPr="00C70F23">
                <w:rPr>
                  <w:noProof/>
                </w:rPr>
                <w:fldChar w:fldCharType="end"/>
              </w:r>
              <w:r w:rsidRPr="00C70F23">
                <w:t xml:space="preserve"> of </w:t>
              </w:r>
              <w:r w:rsidR="007F1E37" w:rsidRPr="00C70F23">
                <w:fldChar w:fldCharType="begin"/>
              </w:r>
              <w:r w:rsidR="007F1E37" w:rsidRPr="00C70F23">
                <w:instrText xml:space="preserve"> NUMPAGES  </w:instrText>
              </w:r>
              <w:r w:rsidR="007F1E37" w:rsidRPr="00C70F23">
                <w:fldChar w:fldCharType="separate"/>
              </w:r>
              <w:r w:rsidR="006D6B44" w:rsidRPr="00C70F23">
                <w:rPr>
                  <w:noProof/>
                </w:rPr>
                <w:t>17</w:t>
              </w:r>
              <w:r w:rsidR="007F1E37" w:rsidRPr="00C70F23">
                <w:rPr>
                  <w:noProof/>
                </w:rPr>
                <w:fldChar w:fldCharType="end"/>
              </w:r>
            </w:p>
          </w:sdtContent>
        </w:sdt>
      </w:tc>
    </w:tr>
  </w:tbl>
  <w:p w14:paraId="1A4EDE60" w14:textId="77777777" w:rsidR="007452E8" w:rsidRPr="00826007" w:rsidRDefault="007452E8" w:rsidP="007711B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C9D284" w14:textId="77777777" w:rsidR="009E5D99" w:rsidRDefault="009E5D99" w:rsidP="00F02AEC">
      <w:pPr>
        <w:spacing w:after="0" w:line="240" w:lineRule="auto"/>
      </w:pPr>
      <w:r>
        <w:separator/>
      </w:r>
    </w:p>
  </w:footnote>
  <w:footnote w:type="continuationSeparator" w:id="0">
    <w:p w14:paraId="3874EA12" w14:textId="77777777" w:rsidR="009E5D99" w:rsidRDefault="009E5D99" w:rsidP="00F02AEC">
      <w:pPr>
        <w:spacing w:after="0" w:line="240" w:lineRule="auto"/>
      </w:pPr>
      <w:r>
        <w:continuationSeparator/>
      </w:r>
    </w:p>
  </w:footnote>
  <w:footnote w:type="continuationNotice" w:id="1">
    <w:p w14:paraId="788FD6FC" w14:textId="77777777" w:rsidR="009E5D99" w:rsidRDefault="009E5D99">
      <w:pPr>
        <w:spacing w:after="0" w:line="240" w:lineRule="auto"/>
      </w:pPr>
    </w:p>
  </w:footnote>
  <w:footnote w:id="2">
    <w:p w14:paraId="28487D52" w14:textId="42BC827B" w:rsidR="007E50E2" w:rsidRDefault="007E50E2">
      <w:pPr>
        <w:pStyle w:val="FootnoteText"/>
      </w:pPr>
      <w:r>
        <w:rPr>
          <w:rStyle w:val="FootnoteReference"/>
        </w:rPr>
        <w:footnoteRef/>
      </w:r>
      <w:r>
        <w:t xml:space="preserve"> </w:t>
      </w:r>
      <w:r w:rsidRPr="007E50E2">
        <w:t>A sponsor is a person or company who does one or more of the following: a) exports therapeutic goods from Australia, b) imports therapeutic goods into Australia, c) manufactures therapeutic goods for supply in Australia or d) elsewhere arranges for another party to import, export or manufacture therapeutic goods</w:t>
      </w:r>
    </w:p>
  </w:footnote>
  <w:footnote w:id="3">
    <w:p w14:paraId="4DED10E7" w14:textId="25322C41" w:rsidR="00793CD6" w:rsidRDefault="00793CD6">
      <w:pPr>
        <w:pStyle w:val="FootnoteText"/>
      </w:pPr>
      <w:r>
        <w:rPr>
          <w:rStyle w:val="FootnoteReference"/>
        </w:rPr>
        <w:footnoteRef/>
      </w:r>
      <w:r>
        <w:t xml:space="preserve"> </w:t>
      </w:r>
      <w:r w:rsidRPr="00793CD6">
        <w:t xml:space="preserve">International Conference on Harmonisation of Technical Requirements for Registration of Pharmaceuticals for Human Use. </w:t>
      </w:r>
      <w:hyperlink r:id="rId1" w:history="1">
        <w:r w:rsidRPr="00793CD6">
          <w:rPr>
            <w:rStyle w:val="Hyperlink"/>
          </w:rPr>
          <w:t>ICH M3 (R2) Non-clinical safety studies for the conduct of human clinical trials for pharmaceuticals - Scientific guideline</w:t>
        </w:r>
      </w:hyperlink>
      <w:r w:rsidRPr="00793CD6">
        <w:t>. 2013</w:t>
      </w:r>
    </w:p>
  </w:footnote>
  <w:footnote w:id="4">
    <w:p w14:paraId="6B2D52D3" w14:textId="10BE0F11" w:rsidR="002C1F98" w:rsidRDefault="002C1F98">
      <w:pPr>
        <w:pStyle w:val="FootnoteText"/>
      </w:pPr>
      <w:r>
        <w:rPr>
          <w:rStyle w:val="FootnoteReference"/>
        </w:rPr>
        <w:footnoteRef/>
      </w:r>
      <w:r>
        <w:t xml:space="preserve"> </w:t>
      </w:r>
      <w:r w:rsidRPr="002C1F98">
        <w:t>A "Delegate" refers to a person within the TGA who has been conferred the authority to make decisions about the approval of therapeutic goods for supply in Australia, under section 25 of the Therapeutic Goods Act.</w:t>
      </w:r>
    </w:p>
  </w:footnote>
  <w:footnote w:id="5">
    <w:p w14:paraId="5783B155" w14:textId="736DD471" w:rsidR="00101DBB" w:rsidRDefault="00101DBB">
      <w:pPr>
        <w:pStyle w:val="FootnoteText"/>
      </w:pPr>
      <w:r>
        <w:rPr>
          <w:rStyle w:val="FootnoteReference"/>
        </w:rPr>
        <w:footnoteRef/>
      </w:r>
      <w:r>
        <w:t xml:space="preserve"> </w:t>
      </w:r>
      <w:r w:rsidRPr="00101DBB">
        <w:t xml:space="preserve">Albireo ObsRO is the sponsor-developed observer reported </w:t>
      </w:r>
      <w:r w:rsidR="007C5DAE">
        <w:t>pruritus</w:t>
      </w:r>
      <w:r w:rsidRPr="00101DBB">
        <w:t xml:space="preserve"> outcome reporting tool; Albireo PRO is the related patient-reported </w:t>
      </w:r>
      <w:r w:rsidR="007C5DAE">
        <w:t>pruritus</w:t>
      </w:r>
      <w:r w:rsidRPr="00101DBB">
        <w:t xml:space="preserve"> reporting tool, suitable for use in PFIC patients aged 8 years or older. The PRO asked patients about their itching during the day and night-time hours and the ObsRO asked caregivers about the patient’s scratching and other related behaviours observed during the daytime and night-time hours. The </w:t>
      </w:r>
      <w:r w:rsidR="007C5DAE">
        <w:t>pruritus</w:t>
      </w:r>
      <w:r w:rsidRPr="00101DBB">
        <w:t xml:space="preserve"> assessment was the primary clinical endpoint of the study required by the FDA.</w:t>
      </w:r>
    </w:p>
  </w:footnote>
  <w:footnote w:id="6">
    <w:p w14:paraId="0AB53306" w14:textId="11F6DEEE" w:rsidR="000851BF" w:rsidRDefault="000851BF">
      <w:pPr>
        <w:pStyle w:val="FootnoteText"/>
      </w:pPr>
      <w:r>
        <w:rPr>
          <w:rStyle w:val="FootnoteReference"/>
        </w:rPr>
        <w:footnoteRef/>
      </w:r>
      <w:r>
        <w:t xml:space="preserve"> </w:t>
      </w:r>
      <w:r w:rsidRPr="000851BF">
        <w:t xml:space="preserve">A positive </w:t>
      </w:r>
      <w:r w:rsidR="007C5DAE">
        <w:t>pruritus</w:t>
      </w:r>
      <w:r w:rsidRPr="000851BF">
        <w:t xml:space="preserve"> assessment is defined as a scratching score of ≤1 or at least a 1 point drop from baseline on the Albireo PRO (for children older than 8 years) or the Albireo ObsRO score (for children younger than 8 years). The scratching score was calculated based on an algorithm that considered responses to up to 9 questions, which may have required a rating answer or yes/no answer. The final score ranged from 0 to 4, with calculated scores being rounded to the nearest whole number.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091474"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38802056" w:rsidR="007452E8" w:rsidRDefault="0006693A" w:rsidP="007452E8">
    <w:pPr>
      <w:rPr>
        <w:noProof/>
      </w:rPr>
    </w:pPr>
    <w:r>
      <w:rPr>
        <w:noProof/>
      </w:rPr>
      <w:drawing>
        <wp:inline distT="0" distB="0" distL="0" distR="0" wp14:anchorId="26654E9F" wp14:editId="78E105AB">
          <wp:extent cx="3344545" cy="694055"/>
          <wp:effectExtent l="0" t="0" r="8255" b="0"/>
          <wp:docPr id="1596027861"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27861" name="Picture 2" descr="A black background with a black square&#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44545" cy="694055"/>
                  </a:xfrm>
                  <a:prstGeom prst="rect">
                    <a:avLst/>
                  </a:prstGeom>
                  <a:noFill/>
                  <a:ln>
                    <a:noFill/>
                  </a:ln>
                </pic:spPr>
              </pic:pic>
            </a:graphicData>
          </a:graphic>
        </wp:inline>
      </w:drawing>
    </w:r>
    <w:r w:rsidR="007452E8" w:rsidRPr="002B29B2">
      <w:rPr>
        <w:noProof/>
        <w:lang w:val="en-GB" w:eastAsia="en-GB"/>
      </w:rPr>
      <w:drawing>
        <wp:anchor distT="0" distB="0" distL="114300" distR="114300" simplePos="0" relativeHeight="251658240" behindDoc="0" locked="0" layoutInCell="0" allowOverlap="1" wp14:anchorId="14BBEAC1" wp14:editId="5D9F0498">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2"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5"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6"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7"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8"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9"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11"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num w:numId="1" w16cid:durableId="1032997172">
    <w:abstractNumId w:val="3"/>
  </w:num>
  <w:num w:numId="2" w16cid:durableId="1856573705">
    <w:abstractNumId w:val="0"/>
  </w:num>
  <w:num w:numId="3" w16cid:durableId="357703499">
    <w:abstractNumId w:val="2"/>
  </w:num>
  <w:num w:numId="4" w16cid:durableId="1869176708">
    <w:abstractNumId w:val="9"/>
  </w:num>
  <w:num w:numId="5" w16cid:durableId="1652950129">
    <w:abstractNumId w:val="5"/>
  </w:num>
  <w:num w:numId="6" w16cid:durableId="1053193207">
    <w:abstractNumId w:val="7"/>
  </w:num>
  <w:num w:numId="7" w16cid:durableId="201135927">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8"/>
  </w:num>
  <w:num w:numId="9" w16cid:durableId="173421270">
    <w:abstractNumId w:val="1"/>
  </w:num>
  <w:num w:numId="10" w16cid:durableId="2108043357">
    <w:abstractNumId w:val="4"/>
  </w:num>
  <w:num w:numId="11" w16cid:durableId="1725904230">
    <w:abstractNumId w:val="6"/>
  </w:num>
  <w:num w:numId="12" w16cid:durableId="141579354">
    <w:abstractNumId w:val="10"/>
  </w:num>
  <w:num w:numId="13" w16cid:durableId="283735081">
    <w:abstractNumId w:val="11"/>
  </w:num>
  <w:num w:numId="14" w16cid:durableId="91278629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E6E"/>
    <w:rsid w:val="00004431"/>
    <w:rsid w:val="00005062"/>
    <w:rsid w:val="0001064C"/>
    <w:rsid w:val="000137B5"/>
    <w:rsid w:val="0001384A"/>
    <w:rsid w:val="00021C13"/>
    <w:rsid w:val="00027943"/>
    <w:rsid w:val="00031831"/>
    <w:rsid w:val="00032A0F"/>
    <w:rsid w:val="000354EC"/>
    <w:rsid w:val="00040D8D"/>
    <w:rsid w:val="00042959"/>
    <w:rsid w:val="00046423"/>
    <w:rsid w:val="000477F5"/>
    <w:rsid w:val="000600AB"/>
    <w:rsid w:val="0006104E"/>
    <w:rsid w:val="000640BD"/>
    <w:rsid w:val="00065839"/>
    <w:rsid w:val="00065FDF"/>
    <w:rsid w:val="0006693A"/>
    <w:rsid w:val="00070DFE"/>
    <w:rsid w:val="00071E94"/>
    <w:rsid w:val="00076FBE"/>
    <w:rsid w:val="00077844"/>
    <w:rsid w:val="00083763"/>
    <w:rsid w:val="000851BF"/>
    <w:rsid w:val="00090510"/>
    <w:rsid w:val="00090FDF"/>
    <w:rsid w:val="000917AE"/>
    <w:rsid w:val="00094B81"/>
    <w:rsid w:val="00095C6A"/>
    <w:rsid w:val="000975AA"/>
    <w:rsid w:val="000A28DD"/>
    <w:rsid w:val="000B521E"/>
    <w:rsid w:val="000B6B15"/>
    <w:rsid w:val="000C25A7"/>
    <w:rsid w:val="000C423F"/>
    <w:rsid w:val="000D0A18"/>
    <w:rsid w:val="000D229E"/>
    <w:rsid w:val="000D78EC"/>
    <w:rsid w:val="000D7934"/>
    <w:rsid w:val="000E2434"/>
    <w:rsid w:val="000E2597"/>
    <w:rsid w:val="000E379B"/>
    <w:rsid w:val="000E504E"/>
    <w:rsid w:val="000E5C51"/>
    <w:rsid w:val="000E6746"/>
    <w:rsid w:val="000F0025"/>
    <w:rsid w:val="000F1EE4"/>
    <w:rsid w:val="000F6D53"/>
    <w:rsid w:val="000F7B51"/>
    <w:rsid w:val="00101BEE"/>
    <w:rsid w:val="00101CE6"/>
    <w:rsid w:val="00101DBB"/>
    <w:rsid w:val="00101FB1"/>
    <w:rsid w:val="0010558A"/>
    <w:rsid w:val="001101FF"/>
    <w:rsid w:val="00110740"/>
    <w:rsid w:val="00111989"/>
    <w:rsid w:val="00113F9F"/>
    <w:rsid w:val="00114025"/>
    <w:rsid w:val="0012473C"/>
    <w:rsid w:val="00127A74"/>
    <w:rsid w:val="0013132F"/>
    <w:rsid w:val="00131B1B"/>
    <w:rsid w:val="0013306D"/>
    <w:rsid w:val="00133F91"/>
    <w:rsid w:val="0013528C"/>
    <w:rsid w:val="00143670"/>
    <w:rsid w:val="001442A2"/>
    <w:rsid w:val="00146569"/>
    <w:rsid w:val="001468CA"/>
    <w:rsid w:val="001500A8"/>
    <w:rsid w:val="001506DB"/>
    <w:rsid w:val="00155D85"/>
    <w:rsid w:val="0016315A"/>
    <w:rsid w:val="001659BE"/>
    <w:rsid w:val="00165D28"/>
    <w:rsid w:val="0017005C"/>
    <w:rsid w:val="00175CD8"/>
    <w:rsid w:val="001768BE"/>
    <w:rsid w:val="001818D5"/>
    <w:rsid w:val="00182BD8"/>
    <w:rsid w:val="00183A66"/>
    <w:rsid w:val="00184C59"/>
    <w:rsid w:val="00184E11"/>
    <w:rsid w:val="00185646"/>
    <w:rsid w:val="00187256"/>
    <w:rsid w:val="00190853"/>
    <w:rsid w:val="00193664"/>
    <w:rsid w:val="001A4208"/>
    <w:rsid w:val="001A716C"/>
    <w:rsid w:val="001A76F9"/>
    <w:rsid w:val="001B06FF"/>
    <w:rsid w:val="001B12EA"/>
    <w:rsid w:val="001B1703"/>
    <w:rsid w:val="001B5CA6"/>
    <w:rsid w:val="001C1C2E"/>
    <w:rsid w:val="001C31A1"/>
    <w:rsid w:val="001C3FA2"/>
    <w:rsid w:val="001C5D5D"/>
    <w:rsid w:val="001C5EE2"/>
    <w:rsid w:val="001C7CC0"/>
    <w:rsid w:val="001D0077"/>
    <w:rsid w:val="001E158F"/>
    <w:rsid w:val="001E407B"/>
    <w:rsid w:val="001E4504"/>
    <w:rsid w:val="001E7FC6"/>
    <w:rsid w:val="001F2502"/>
    <w:rsid w:val="001F6EE3"/>
    <w:rsid w:val="001F70A5"/>
    <w:rsid w:val="0020235D"/>
    <w:rsid w:val="0020369B"/>
    <w:rsid w:val="002041E7"/>
    <w:rsid w:val="00207B4D"/>
    <w:rsid w:val="0021007C"/>
    <w:rsid w:val="00210F9B"/>
    <w:rsid w:val="002117B1"/>
    <w:rsid w:val="00217CCE"/>
    <w:rsid w:val="002203B1"/>
    <w:rsid w:val="002227C6"/>
    <w:rsid w:val="002250C2"/>
    <w:rsid w:val="00226F39"/>
    <w:rsid w:val="002334AD"/>
    <w:rsid w:val="00241B60"/>
    <w:rsid w:val="00246487"/>
    <w:rsid w:val="002500B7"/>
    <w:rsid w:val="00256193"/>
    <w:rsid w:val="0025785B"/>
    <w:rsid w:val="00257969"/>
    <w:rsid w:val="00260184"/>
    <w:rsid w:val="00264B66"/>
    <w:rsid w:val="00265CD1"/>
    <w:rsid w:val="002772D1"/>
    <w:rsid w:val="00280048"/>
    <w:rsid w:val="0028489E"/>
    <w:rsid w:val="002848DE"/>
    <w:rsid w:val="0028507D"/>
    <w:rsid w:val="00285DF8"/>
    <w:rsid w:val="00286C95"/>
    <w:rsid w:val="0028794E"/>
    <w:rsid w:val="002935B8"/>
    <w:rsid w:val="0029715C"/>
    <w:rsid w:val="0029733B"/>
    <w:rsid w:val="002A13C1"/>
    <w:rsid w:val="002A44FC"/>
    <w:rsid w:val="002A4A77"/>
    <w:rsid w:val="002A5841"/>
    <w:rsid w:val="002B06B9"/>
    <w:rsid w:val="002B0F0E"/>
    <w:rsid w:val="002B1EDF"/>
    <w:rsid w:val="002B2061"/>
    <w:rsid w:val="002B20F3"/>
    <w:rsid w:val="002B4A7A"/>
    <w:rsid w:val="002B4D05"/>
    <w:rsid w:val="002B5C75"/>
    <w:rsid w:val="002B671E"/>
    <w:rsid w:val="002C0B82"/>
    <w:rsid w:val="002C1232"/>
    <w:rsid w:val="002C1E44"/>
    <w:rsid w:val="002C1F98"/>
    <w:rsid w:val="002C5C92"/>
    <w:rsid w:val="002C5E29"/>
    <w:rsid w:val="002D0478"/>
    <w:rsid w:val="002D51B1"/>
    <w:rsid w:val="002D7127"/>
    <w:rsid w:val="002D715F"/>
    <w:rsid w:val="002E03DA"/>
    <w:rsid w:val="002F116C"/>
    <w:rsid w:val="002F3C5A"/>
    <w:rsid w:val="002F599E"/>
    <w:rsid w:val="003008D8"/>
    <w:rsid w:val="00301D9A"/>
    <w:rsid w:val="00303959"/>
    <w:rsid w:val="00306E72"/>
    <w:rsid w:val="00310D21"/>
    <w:rsid w:val="00312AC3"/>
    <w:rsid w:val="00313D71"/>
    <w:rsid w:val="00314430"/>
    <w:rsid w:val="003163BC"/>
    <w:rsid w:val="00317CE3"/>
    <w:rsid w:val="003212D9"/>
    <w:rsid w:val="0032351A"/>
    <w:rsid w:val="00324B33"/>
    <w:rsid w:val="00326F66"/>
    <w:rsid w:val="00327488"/>
    <w:rsid w:val="0033169F"/>
    <w:rsid w:val="003360A3"/>
    <w:rsid w:val="00336FE1"/>
    <w:rsid w:val="00342D56"/>
    <w:rsid w:val="003456E7"/>
    <w:rsid w:val="00346EC2"/>
    <w:rsid w:val="003477F9"/>
    <w:rsid w:val="00353975"/>
    <w:rsid w:val="0035444D"/>
    <w:rsid w:val="00356D62"/>
    <w:rsid w:val="00363EE3"/>
    <w:rsid w:val="00365743"/>
    <w:rsid w:val="003735F3"/>
    <w:rsid w:val="00373D89"/>
    <w:rsid w:val="00374729"/>
    <w:rsid w:val="00381038"/>
    <w:rsid w:val="00387298"/>
    <w:rsid w:val="00387984"/>
    <w:rsid w:val="003933CB"/>
    <w:rsid w:val="00393E34"/>
    <w:rsid w:val="00395140"/>
    <w:rsid w:val="003A2422"/>
    <w:rsid w:val="003A4814"/>
    <w:rsid w:val="003B149C"/>
    <w:rsid w:val="003C0FDB"/>
    <w:rsid w:val="003C1192"/>
    <w:rsid w:val="003C1E6E"/>
    <w:rsid w:val="003C32BE"/>
    <w:rsid w:val="003C55E2"/>
    <w:rsid w:val="003C63D5"/>
    <w:rsid w:val="003C7AA8"/>
    <w:rsid w:val="003D71A1"/>
    <w:rsid w:val="003E4C3A"/>
    <w:rsid w:val="003E4FBE"/>
    <w:rsid w:val="003F2252"/>
    <w:rsid w:val="0041688F"/>
    <w:rsid w:val="004177B9"/>
    <w:rsid w:val="00417D9A"/>
    <w:rsid w:val="00421D79"/>
    <w:rsid w:val="0042376F"/>
    <w:rsid w:val="004246B8"/>
    <w:rsid w:val="004248F1"/>
    <w:rsid w:val="00433318"/>
    <w:rsid w:val="004411D9"/>
    <w:rsid w:val="00442A56"/>
    <w:rsid w:val="004444B0"/>
    <w:rsid w:val="00446390"/>
    <w:rsid w:val="0044709A"/>
    <w:rsid w:val="00450315"/>
    <w:rsid w:val="0045060B"/>
    <w:rsid w:val="00455F75"/>
    <w:rsid w:val="00456362"/>
    <w:rsid w:val="00460411"/>
    <w:rsid w:val="004626FF"/>
    <w:rsid w:val="0046285C"/>
    <w:rsid w:val="00470A52"/>
    <w:rsid w:val="00471BD5"/>
    <w:rsid w:val="004735FD"/>
    <w:rsid w:val="004742FC"/>
    <w:rsid w:val="004756C9"/>
    <w:rsid w:val="00476CB4"/>
    <w:rsid w:val="00477C4E"/>
    <w:rsid w:val="00477F07"/>
    <w:rsid w:val="00480A4C"/>
    <w:rsid w:val="00481503"/>
    <w:rsid w:val="00481D12"/>
    <w:rsid w:val="004854A6"/>
    <w:rsid w:val="004877B9"/>
    <w:rsid w:val="00491A55"/>
    <w:rsid w:val="00494C3E"/>
    <w:rsid w:val="004960BD"/>
    <w:rsid w:val="0049647C"/>
    <w:rsid w:val="00497DF1"/>
    <w:rsid w:val="004A318E"/>
    <w:rsid w:val="004A45D4"/>
    <w:rsid w:val="004A57E8"/>
    <w:rsid w:val="004A5A16"/>
    <w:rsid w:val="004B3081"/>
    <w:rsid w:val="004B3D5C"/>
    <w:rsid w:val="004B4A09"/>
    <w:rsid w:val="004C41CE"/>
    <w:rsid w:val="004C57C7"/>
    <w:rsid w:val="004C631B"/>
    <w:rsid w:val="004D0933"/>
    <w:rsid w:val="004D1697"/>
    <w:rsid w:val="004D2F00"/>
    <w:rsid w:val="004D31D8"/>
    <w:rsid w:val="004D35D1"/>
    <w:rsid w:val="004D5388"/>
    <w:rsid w:val="004D781C"/>
    <w:rsid w:val="004E7F16"/>
    <w:rsid w:val="004F18EC"/>
    <w:rsid w:val="004F1B5E"/>
    <w:rsid w:val="004F3247"/>
    <w:rsid w:val="00500D68"/>
    <w:rsid w:val="005042C7"/>
    <w:rsid w:val="005114D0"/>
    <w:rsid w:val="00512176"/>
    <w:rsid w:val="00514C13"/>
    <w:rsid w:val="00525534"/>
    <w:rsid w:val="00526B84"/>
    <w:rsid w:val="0053377D"/>
    <w:rsid w:val="00535DFE"/>
    <w:rsid w:val="005373B5"/>
    <w:rsid w:val="00537AB7"/>
    <w:rsid w:val="00543503"/>
    <w:rsid w:val="00543610"/>
    <w:rsid w:val="00545CDB"/>
    <w:rsid w:val="0054669B"/>
    <w:rsid w:val="00557684"/>
    <w:rsid w:val="00560C51"/>
    <w:rsid w:val="005610D1"/>
    <w:rsid w:val="00562C0D"/>
    <w:rsid w:val="00562F42"/>
    <w:rsid w:val="00565739"/>
    <w:rsid w:val="00566A78"/>
    <w:rsid w:val="0056766D"/>
    <w:rsid w:val="00574BAB"/>
    <w:rsid w:val="00575215"/>
    <w:rsid w:val="005775D0"/>
    <w:rsid w:val="00581138"/>
    <w:rsid w:val="005848B4"/>
    <w:rsid w:val="0058575E"/>
    <w:rsid w:val="0058783C"/>
    <w:rsid w:val="005911AE"/>
    <w:rsid w:val="005926E2"/>
    <w:rsid w:val="0059313A"/>
    <w:rsid w:val="005A54EA"/>
    <w:rsid w:val="005B023F"/>
    <w:rsid w:val="005B02A2"/>
    <w:rsid w:val="005B1417"/>
    <w:rsid w:val="005B30A0"/>
    <w:rsid w:val="005B69CF"/>
    <w:rsid w:val="005C3A3C"/>
    <w:rsid w:val="005C3F07"/>
    <w:rsid w:val="005C4B46"/>
    <w:rsid w:val="005C5DC5"/>
    <w:rsid w:val="005D2089"/>
    <w:rsid w:val="005D5F54"/>
    <w:rsid w:val="005D7514"/>
    <w:rsid w:val="005E0FC6"/>
    <w:rsid w:val="005E1A7B"/>
    <w:rsid w:val="005E231F"/>
    <w:rsid w:val="005E42D5"/>
    <w:rsid w:val="005E6F79"/>
    <w:rsid w:val="005F7670"/>
    <w:rsid w:val="00602D6E"/>
    <w:rsid w:val="00605C05"/>
    <w:rsid w:val="00611351"/>
    <w:rsid w:val="0061217D"/>
    <w:rsid w:val="006129AE"/>
    <w:rsid w:val="0061355A"/>
    <w:rsid w:val="00613ACB"/>
    <w:rsid w:val="006277A1"/>
    <w:rsid w:val="00633BD7"/>
    <w:rsid w:val="00634580"/>
    <w:rsid w:val="00634884"/>
    <w:rsid w:val="006351D9"/>
    <w:rsid w:val="00637130"/>
    <w:rsid w:val="00637F0E"/>
    <w:rsid w:val="006423F2"/>
    <w:rsid w:val="006428C5"/>
    <w:rsid w:val="00650234"/>
    <w:rsid w:val="00657879"/>
    <w:rsid w:val="0066044B"/>
    <w:rsid w:val="006630AA"/>
    <w:rsid w:val="00663544"/>
    <w:rsid w:val="00666539"/>
    <w:rsid w:val="006668EA"/>
    <w:rsid w:val="00666911"/>
    <w:rsid w:val="0067090B"/>
    <w:rsid w:val="00675F81"/>
    <w:rsid w:val="0068143E"/>
    <w:rsid w:val="0068507D"/>
    <w:rsid w:val="00691AF2"/>
    <w:rsid w:val="00692B80"/>
    <w:rsid w:val="00692CCD"/>
    <w:rsid w:val="00692D51"/>
    <w:rsid w:val="00694DD7"/>
    <w:rsid w:val="0069636B"/>
    <w:rsid w:val="00697D0E"/>
    <w:rsid w:val="006A0E0B"/>
    <w:rsid w:val="006A1762"/>
    <w:rsid w:val="006A19CE"/>
    <w:rsid w:val="006A1F0B"/>
    <w:rsid w:val="006A277A"/>
    <w:rsid w:val="006A5973"/>
    <w:rsid w:val="006B04F3"/>
    <w:rsid w:val="006B7126"/>
    <w:rsid w:val="006C170D"/>
    <w:rsid w:val="006C2396"/>
    <w:rsid w:val="006C568C"/>
    <w:rsid w:val="006C6B86"/>
    <w:rsid w:val="006D0E86"/>
    <w:rsid w:val="006D4553"/>
    <w:rsid w:val="006D4A35"/>
    <w:rsid w:val="006D6927"/>
    <w:rsid w:val="006D6972"/>
    <w:rsid w:val="006D6B44"/>
    <w:rsid w:val="006E0F71"/>
    <w:rsid w:val="006E27FE"/>
    <w:rsid w:val="00701110"/>
    <w:rsid w:val="00702E91"/>
    <w:rsid w:val="0070330F"/>
    <w:rsid w:val="00703624"/>
    <w:rsid w:val="007046ED"/>
    <w:rsid w:val="007053FE"/>
    <w:rsid w:val="007072A1"/>
    <w:rsid w:val="0071060C"/>
    <w:rsid w:val="00710BC5"/>
    <w:rsid w:val="007121CA"/>
    <w:rsid w:val="0072003B"/>
    <w:rsid w:val="00721059"/>
    <w:rsid w:val="007211E6"/>
    <w:rsid w:val="007220C4"/>
    <w:rsid w:val="007305ED"/>
    <w:rsid w:val="007317CF"/>
    <w:rsid w:val="00732361"/>
    <w:rsid w:val="007357B9"/>
    <w:rsid w:val="00735CEA"/>
    <w:rsid w:val="00736E5C"/>
    <w:rsid w:val="007376BA"/>
    <w:rsid w:val="00741AB9"/>
    <w:rsid w:val="00742D03"/>
    <w:rsid w:val="00744216"/>
    <w:rsid w:val="007452E8"/>
    <w:rsid w:val="00746990"/>
    <w:rsid w:val="00747093"/>
    <w:rsid w:val="00750D70"/>
    <w:rsid w:val="00755CD8"/>
    <w:rsid w:val="007575D0"/>
    <w:rsid w:val="0076118F"/>
    <w:rsid w:val="007662E0"/>
    <w:rsid w:val="00770479"/>
    <w:rsid w:val="00770BE5"/>
    <w:rsid w:val="007711B8"/>
    <w:rsid w:val="0077241D"/>
    <w:rsid w:val="00772EFC"/>
    <w:rsid w:val="00776E9C"/>
    <w:rsid w:val="007816D8"/>
    <w:rsid w:val="00784150"/>
    <w:rsid w:val="00793272"/>
    <w:rsid w:val="00793CD6"/>
    <w:rsid w:val="0079499A"/>
    <w:rsid w:val="00794B64"/>
    <w:rsid w:val="007967C3"/>
    <w:rsid w:val="007A0A33"/>
    <w:rsid w:val="007A554A"/>
    <w:rsid w:val="007A7CFA"/>
    <w:rsid w:val="007B04DE"/>
    <w:rsid w:val="007B0AE6"/>
    <w:rsid w:val="007B6486"/>
    <w:rsid w:val="007C0F0B"/>
    <w:rsid w:val="007C153A"/>
    <w:rsid w:val="007C57BC"/>
    <w:rsid w:val="007C5DAE"/>
    <w:rsid w:val="007D04CA"/>
    <w:rsid w:val="007D0A2B"/>
    <w:rsid w:val="007D12A1"/>
    <w:rsid w:val="007D40E5"/>
    <w:rsid w:val="007D4138"/>
    <w:rsid w:val="007E4178"/>
    <w:rsid w:val="007E4205"/>
    <w:rsid w:val="007E50E2"/>
    <w:rsid w:val="007E6443"/>
    <w:rsid w:val="007E694B"/>
    <w:rsid w:val="007F028E"/>
    <w:rsid w:val="007F0A77"/>
    <w:rsid w:val="007F1E37"/>
    <w:rsid w:val="007F50D3"/>
    <w:rsid w:val="007F6B1F"/>
    <w:rsid w:val="008013F0"/>
    <w:rsid w:val="00802B51"/>
    <w:rsid w:val="00802E50"/>
    <w:rsid w:val="00803926"/>
    <w:rsid w:val="00804897"/>
    <w:rsid w:val="00805031"/>
    <w:rsid w:val="00805564"/>
    <w:rsid w:val="00816BD9"/>
    <w:rsid w:val="00825CED"/>
    <w:rsid w:val="008329DB"/>
    <w:rsid w:val="00832BC7"/>
    <w:rsid w:val="008350B3"/>
    <w:rsid w:val="008361C5"/>
    <w:rsid w:val="0083628F"/>
    <w:rsid w:val="00837AB9"/>
    <w:rsid w:val="00850637"/>
    <w:rsid w:val="00854D98"/>
    <w:rsid w:val="00856CF4"/>
    <w:rsid w:val="0085751E"/>
    <w:rsid w:val="00860B29"/>
    <w:rsid w:val="00861F13"/>
    <w:rsid w:val="008622E8"/>
    <w:rsid w:val="008645EE"/>
    <w:rsid w:val="00867855"/>
    <w:rsid w:val="00870144"/>
    <w:rsid w:val="0087072C"/>
    <w:rsid w:val="00871312"/>
    <w:rsid w:val="00871DFB"/>
    <w:rsid w:val="008730E4"/>
    <w:rsid w:val="00873D7A"/>
    <w:rsid w:val="00877CB3"/>
    <w:rsid w:val="00877F21"/>
    <w:rsid w:val="008804CF"/>
    <w:rsid w:val="008810DC"/>
    <w:rsid w:val="00881714"/>
    <w:rsid w:val="00882979"/>
    <w:rsid w:val="00882D58"/>
    <w:rsid w:val="00882F19"/>
    <w:rsid w:val="008831EC"/>
    <w:rsid w:val="00883D35"/>
    <w:rsid w:val="00884569"/>
    <w:rsid w:val="00887A51"/>
    <w:rsid w:val="0089038A"/>
    <w:rsid w:val="00890D9B"/>
    <w:rsid w:val="00891C6C"/>
    <w:rsid w:val="00893229"/>
    <w:rsid w:val="008934F8"/>
    <w:rsid w:val="00893C93"/>
    <w:rsid w:val="00893CCD"/>
    <w:rsid w:val="008964B3"/>
    <w:rsid w:val="008B1CB5"/>
    <w:rsid w:val="008B2375"/>
    <w:rsid w:val="008C2D69"/>
    <w:rsid w:val="008C49C6"/>
    <w:rsid w:val="008C5E27"/>
    <w:rsid w:val="008C754C"/>
    <w:rsid w:val="008D56C9"/>
    <w:rsid w:val="008D56CA"/>
    <w:rsid w:val="008D6A54"/>
    <w:rsid w:val="008E2585"/>
    <w:rsid w:val="008E2D7A"/>
    <w:rsid w:val="008F3215"/>
    <w:rsid w:val="008F4354"/>
    <w:rsid w:val="008F4A62"/>
    <w:rsid w:val="008F7256"/>
    <w:rsid w:val="008F7E91"/>
    <w:rsid w:val="0090424C"/>
    <w:rsid w:val="00904C78"/>
    <w:rsid w:val="0090605E"/>
    <w:rsid w:val="009108CE"/>
    <w:rsid w:val="00911ACD"/>
    <w:rsid w:val="00915A9F"/>
    <w:rsid w:val="00917462"/>
    <w:rsid w:val="00917A87"/>
    <w:rsid w:val="00930D58"/>
    <w:rsid w:val="00935AAA"/>
    <w:rsid w:val="00935B82"/>
    <w:rsid w:val="00947FF2"/>
    <w:rsid w:val="0095031E"/>
    <w:rsid w:val="00954297"/>
    <w:rsid w:val="00955C51"/>
    <w:rsid w:val="00960A56"/>
    <w:rsid w:val="00966EF1"/>
    <w:rsid w:val="00967223"/>
    <w:rsid w:val="009751F7"/>
    <w:rsid w:val="0098350E"/>
    <w:rsid w:val="00987162"/>
    <w:rsid w:val="00990C12"/>
    <w:rsid w:val="0099404F"/>
    <w:rsid w:val="00996FA5"/>
    <w:rsid w:val="009B2BFB"/>
    <w:rsid w:val="009B3D6A"/>
    <w:rsid w:val="009B40A9"/>
    <w:rsid w:val="009B5662"/>
    <w:rsid w:val="009C1079"/>
    <w:rsid w:val="009C2211"/>
    <w:rsid w:val="009C40E8"/>
    <w:rsid w:val="009C45C5"/>
    <w:rsid w:val="009D00D0"/>
    <w:rsid w:val="009D0565"/>
    <w:rsid w:val="009D36E7"/>
    <w:rsid w:val="009D507F"/>
    <w:rsid w:val="009E5D99"/>
    <w:rsid w:val="009E6858"/>
    <w:rsid w:val="009E6F8C"/>
    <w:rsid w:val="009F405F"/>
    <w:rsid w:val="009F5F16"/>
    <w:rsid w:val="00A01C56"/>
    <w:rsid w:val="00A04127"/>
    <w:rsid w:val="00A047F8"/>
    <w:rsid w:val="00A1383D"/>
    <w:rsid w:val="00A230AB"/>
    <w:rsid w:val="00A26965"/>
    <w:rsid w:val="00A32C50"/>
    <w:rsid w:val="00A358E7"/>
    <w:rsid w:val="00A4380B"/>
    <w:rsid w:val="00A51A2D"/>
    <w:rsid w:val="00A5596B"/>
    <w:rsid w:val="00A60FDF"/>
    <w:rsid w:val="00A632FA"/>
    <w:rsid w:val="00A63C07"/>
    <w:rsid w:val="00A63D9B"/>
    <w:rsid w:val="00A704DC"/>
    <w:rsid w:val="00A756AF"/>
    <w:rsid w:val="00A75D75"/>
    <w:rsid w:val="00A80E85"/>
    <w:rsid w:val="00A87E88"/>
    <w:rsid w:val="00A93DC6"/>
    <w:rsid w:val="00A9411A"/>
    <w:rsid w:val="00AA4A4B"/>
    <w:rsid w:val="00AA6682"/>
    <w:rsid w:val="00AA7003"/>
    <w:rsid w:val="00AA7396"/>
    <w:rsid w:val="00AB0428"/>
    <w:rsid w:val="00AB0613"/>
    <w:rsid w:val="00AB7C5C"/>
    <w:rsid w:val="00AB7CBF"/>
    <w:rsid w:val="00AC605C"/>
    <w:rsid w:val="00AD0111"/>
    <w:rsid w:val="00AD0B68"/>
    <w:rsid w:val="00AD4C72"/>
    <w:rsid w:val="00AD5451"/>
    <w:rsid w:val="00AE1947"/>
    <w:rsid w:val="00AE5B68"/>
    <w:rsid w:val="00AF1C8B"/>
    <w:rsid w:val="00AF299B"/>
    <w:rsid w:val="00AF65BB"/>
    <w:rsid w:val="00AF7E43"/>
    <w:rsid w:val="00B02AE0"/>
    <w:rsid w:val="00B035BA"/>
    <w:rsid w:val="00B03F25"/>
    <w:rsid w:val="00B05326"/>
    <w:rsid w:val="00B0571D"/>
    <w:rsid w:val="00B10527"/>
    <w:rsid w:val="00B13898"/>
    <w:rsid w:val="00B14545"/>
    <w:rsid w:val="00B14E60"/>
    <w:rsid w:val="00B15A74"/>
    <w:rsid w:val="00B17BA2"/>
    <w:rsid w:val="00B269FE"/>
    <w:rsid w:val="00B26DC3"/>
    <w:rsid w:val="00B27E5F"/>
    <w:rsid w:val="00B30B9D"/>
    <w:rsid w:val="00B3581D"/>
    <w:rsid w:val="00B41495"/>
    <w:rsid w:val="00B43BD1"/>
    <w:rsid w:val="00B4574D"/>
    <w:rsid w:val="00B468E1"/>
    <w:rsid w:val="00B46BC0"/>
    <w:rsid w:val="00B46DFB"/>
    <w:rsid w:val="00B5141B"/>
    <w:rsid w:val="00B51715"/>
    <w:rsid w:val="00B55681"/>
    <w:rsid w:val="00B57AAD"/>
    <w:rsid w:val="00B6374E"/>
    <w:rsid w:val="00B6659D"/>
    <w:rsid w:val="00B72B16"/>
    <w:rsid w:val="00B73638"/>
    <w:rsid w:val="00B80408"/>
    <w:rsid w:val="00B81397"/>
    <w:rsid w:val="00B92554"/>
    <w:rsid w:val="00B925DB"/>
    <w:rsid w:val="00B94458"/>
    <w:rsid w:val="00B959E3"/>
    <w:rsid w:val="00B967FF"/>
    <w:rsid w:val="00B974B9"/>
    <w:rsid w:val="00BA1980"/>
    <w:rsid w:val="00BA3F6D"/>
    <w:rsid w:val="00BA4BE6"/>
    <w:rsid w:val="00BA4C0C"/>
    <w:rsid w:val="00BA4FC0"/>
    <w:rsid w:val="00BA61E0"/>
    <w:rsid w:val="00BA657C"/>
    <w:rsid w:val="00BA6909"/>
    <w:rsid w:val="00BA7E42"/>
    <w:rsid w:val="00BA7F7D"/>
    <w:rsid w:val="00BB1C14"/>
    <w:rsid w:val="00BB25A3"/>
    <w:rsid w:val="00BB6847"/>
    <w:rsid w:val="00BB7F8F"/>
    <w:rsid w:val="00BC4AA4"/>
    <w:rsid w:val="00BC5C31"/>
    <w:rsid w:val="00BC716A"/>
    <w:rsid w:val="00BD07DF"/>
    <w:rsid w:val="00BD26F4"/>
    <w:rsid w:val="00BD5DBD"/>
    <w:rsid w:val="00BD5DF6"/>
    <w:rsid w:val="00BE0041"/>
    <w:rsid w:val="00BE46B0"/>
    <w:rsid w:val="00BE640F"/>
    <w:rsid w:val="00BE6D2A"/>
    <w:rsid w:val="00BE77E1"/>
    <w:rsid w:val="00BF25D5"/>
    <w:rsid w:val="00BF4638"/>
    <w:rsid w:val="00BF46DC"/>
    <w:rsid w:val="00BF5130"/>
    <w:rsid w:val="00BF5761"/>
    <w:rsid w:val="00C00844"/>
    <w:rsid w:val="00C0425D"/>
    <w:rsid w:val="00C055A2"/>
    <w:rsid w:val="00C059D0"/>
    <w:rsid w:val="00C07551"/>
    <w:rsid w:val="00C1109F"/>
    <w:rsid w:val="00C12D65"/>
    <w:rsid w:val="00C133AB"/>
    <w:rsid w:val="00C1756D"/>
    <w:rsid w:val="00C17759"/>
    <w:rsid w:val="00C20B56"/>
    <w:rsid w:val="00C22214"/>
    <w:rsid w:val="00C26DA6"/>
    <w:rsid w:val="00C26F72"/>
    <w:rsid w:val="00C309A7"/>
    <w:rsid w:val="00C335AB"/>
    <w:rsid w:val="00C407AB"/>
    <w:rsid w:val="00C46ECF"/>
    <w:rsid w:val="00C51A47"/>
    <w:rsid w:val="00C52B3A"/>
    <w:rsid w:val="00C52B7B"/>
    <w:rsid w:val="00C547CD"/>
    <w:rsid w:val="00C570FF"/>
    <w:rsid w:val="00C57CEA"/>
    <w:rsid w:val="00C60FEC"/>
    <w:rsid w:val="00C61C01"/>
    <w:rsid w:val="00C61D69"/>
    <w:rsid w:val="00C62914"/>
    <w:rsid w:val="00C62B1C"/>
    <w:rsid w:val="00C6574E"/>
    <w:rsid w:val="00C663D1"/>
    <w:rsid w:val="00C665D9"/>
    <w:rsid w:val="00C707FD"/>
    <w:rsid w:val="00C70937"/>
    <w:rsid w:val="00C70AE8"/>
    <w:rsid w:val="00C70F23"/>
    <w:rsid w:val="00C76A94"/>
    <w:rsid w:val="00C76DEB"/>
    <w:rsid w:val="00C77B19"/>
    <w:rsid w:val="00C816C6"/>
    <w:rsid w:val="00C863A7"/>
    <w:rsid w:val="00C912F4"/>
    <w:rsid w:val="00C9156F"/>
    <w:rsid w:val="00C9581A"/>
    <w:rsid w:val="00C96AC5"/>
    <w:rsid w:val="00C97D29"/>
    <w:rsid w:val="00CA449C"/>
    <w:rsid w:val="00CB0550"/>
    <w:rsid w:val="00CB4884"/>
    <w:rsid w:val="00CB6813"/>
    <w:rsid w:val="00CC57B6"/>
    <w:rsid w:val="00CE11BC"/>
    <w:rsid w:val="00CE3307"/>
    <w:rsid w:val="00CF0536"/>
    <w:rsid w:val="00CF6A55"/>
    <w:rsid w:val="00CF6DC6"/>
    <w:rsid w:val="00CF6DCF"/>
    <w:rsid w:val="00D01DDB"/>
    <w:rsid w:val="00D0692F"/>
    <w:rsid w:val="00D078BE"/>
    <w:rsid w:val="00D13F8A"/>
    <w:rsid w:val="00D16F60"/>
    <w:rsid w:val="00D20588"/>
    <w:rsid w:val="00D22981"/>
    <w:rsid w:val="00D23D3E"/>
    <w:rsid w:val="00D31F6D"/>
    <w:rsid w:val="00D3349B"/>
    <w:rsid w:val="00D40798"/>
    <w:rsid w:val="00D424A8"/>
    <w:rsid w:val="00D5129D"/>
    <w:rsid w:val="00D6036F"/>
    <w:rsid w:val="00D614B9"/>
    <w:rsid w:val="00D62877"/>
    <w:rsid w:val="00D63760"/>
    <w:rsid w:val="00D63911"/>
    <w:rsid w:val="00D64CD2"/>
    <w:rsid w:val="00D6703F"/>
    <w:rsid w:val="00D70391"/>
    <w:rsid w:val="00D734EB"/>
    <w:rsid w:val="00D768D6"/>
    <w:rsid w:val="00D82713"/>
    <w:rsid w:val="00D8506B"/>
    <w:rsid w:val="00D86F00"/>
    <w:rsid w:val="00D918D5"/>
    <w:rsid w:val="00D94290"/>
    <w:rsid w:val="00D94C8E"/>
    <w:rsid w:val="00DB1372"/>
    <w:rsid w:val="00DB192C"/>
    <w:rsid w:val="00DB1CF3"/>
    <w:rsid w:val="00DB2B95"/>
    <w:rsid w:val="00DB5425"/>
    <w:rsid w:val="00DB72A6"/>
    <w:rsid w:val="00DC6611"/>
    <w:rsid w:val="00DD1C81"/>
    <w:rsid w:val="00DD5AFB"/>
    <w:rsid w:val="00DD7E46"/>
    <w:rsid w:val="00DE1344"/>
    <w:rsid w:val="00DE4F22"/>
    <w:rsid w:val="00DF4F1F"/>
    <w:rsid w:val="00DF5BFE"/>
    <w:rsid w:val="00E009FC"/>
    <w:rsid w:val="00E032E1"/>
    <w:rsid w:val="00E0523F"/>
    <w:rsid w:val="00E16527"/>
    <w:rsid w:val="00E22701"/>
    <w:rsid w:val="00E232B2"/>
    <w:rsid w:val="00E23E50"/>
    <w:rsid w:val="00E26213"/>
    <w:rsid w:val="00E274DF"/>
    <w:rsid w:val="00E33F71"/>
    <w:rsid w:val="00E34D66"/>
    <w:rsid w:val="00E362C4"/>
    <w:rsid w:val="00E46CC2"/>
    <w:rsid w:val="00E47E0C"/>
    <w:rsid w:val="00E513B9"/>
    <w:rsid w:val="00E51813"/>
    <w:rsid w:val="00E52A4C"/>
    <w:rsid w:val="00E52C0B"/>
    <w:rsid w:val="00E53D3F"/>
    <w:rsid w:val="00E5579B"/>
    <w:rsid w:val="00E57FF4"/>
    <w:rsid w:val="00E679D1"/>
    <w:rsid w:val="00E67C1C"/>
    <w:rsid w:val="00E76C27"/>
    <w:rsid w:val="00E83D80"/>
    <w:rsid w:val="00E918F0"/>
    <w:rsid w:val="00E91F11"/>
    <w:rsid w:val="00E920BB"/>
    <w:rsid w:val="00E927C4"/>
    <w:rsid w:val="00E9706D"/>
    <w:rsid w:val="00EA20AB"/>
    <w:rsid w:val="00EA36E9"/>
    <w:rsid w:val="00EA3AF4"/>
    <w:rsid w:val="00EA5582"/>
    <w:rsid w:val="00EA6592"/>
    <w:rsid w:val="00EA6ADC"/>
    <w:rsid w:val="00EB28EC"/>
    <w:rsid w:val="00EC7499"/>
    <w:rsid w:val="00ED773A"/>
    <w:rsid w:val="00EE4929"/>
    <w:rsid w:val="00EE4B01"/>
    <w:rsid w:val="00EE4F6E"/>
    <w:rsid w:val="00EE7F95"/>
    <w:rsid w:val="00EF3F0B"/>
    <w:rsid w:val="00EF5583"/>
    <w:rsid w:val="00F0231B"/>
    <w:rsid w:val="00F0289D"/>
    <w:rsid w:val="00F02AEC"/>
    <w:rsid w:val="00F0623E"/>
    <w:rsid w:val="00F07572"/>
    <w:rsid w:val="00F11117"/>
    <w:rsid w:val="00F157FC"/>
    <w:rsid w:val="00F176C3"/>
    <w:rsid w:val="00F30AF3"/>
    <w:rsid w:val="00F319F9"/>
    <w:rsid w:val="00F35456"/>
    <w:rsid w:val="00F43CD1"/>
    <w:rsid w:val="00F45AE0"/>
    <w:rsid w:val="00F516A0"/>
    <w:rsid w:val="00F520F3"/>
    <w:rsid w:val="00F54450"/>
    <w:rsid w:val="00F54C2A"/>
    <w:rsid w:val="00F5794B"/>
    <w:rsid w:val="00F60CF2"/>
    <w:rsid w:val="00F61DB3"/>
    <w:rsid w:val="00F637FA"/>
    <w:rsid w:val="00F657B4"/>
    <w:rsid w:val="00F71064"/>
    <w:rsid w:val="00F74561"/>
    <w:rsid w:val="00F7649F"/>
    <w:rsid w:val="00F8083B"/>
    <w:rsid w:val="00F82D1B"/>
    <w:rsid w:val="00F8568E"/>
    <w:rsid w:val="00F865A7"/>
    <w:rsid w:val="00F960ED"/>
    <w:rsid w:val="00F96249"/>
    <w:rsid w:val="00FA0754"/>
    <w:rsid w:val="00FA1BC9"/>
    <w:rsid w:val="00FA1C1E"/>
    <w:rsid w:val="00FA2AAB"/>
    <w:rsid w:val="00FA49C3"/>
    <w:rsid w:val="00FA56AF"/>
    <w:rsid w:val="00FB236E"/>
    <w:rsid w:val="00FB3F7B"/>
    <w:rsid w:val="00FB4C2A"/>
    <w:rsid w:val="00FC2107"/>
    <w:rsid w:val="00FC3ECB"/>
    <w:rsid w:val="00FC48FE"/>
    <w:rsid w:val="00FC6F56"/>
    <w:rsid w:val="00FD3AB7"/>
    <w:rsid w:val="00FD4B3E"/>
    <w:rsid w:val="00FE087C"/>
    <w:rsid w:val="00FE5818"/>
    <w:rsid w:val="00FE68D2"/>
    <w:rsid w:val="00FE79A0"/>
    <w:rsid w:val="00FE7C68"/>
    <w:rsid w:val="00FF0939"/>
    <w:rsid w:val="00FF0D14"/>
    <w:rsid w:val="00FF0EB3"/>
    <w:rsid w:val="03230A99"/>
    <w:rsid w:val="059EE6D7"/>
    <w:rsid w:val="1277AD16"/>
    <w:rsid w:val="158108D8"/>
    <w:rsid w:val="188E26A4"/>
    <w:rsid w:val="1F1D856D"/>
    <w:rsid w:val="21E80714"/>
    <w:rsid w:val="26785D8F"/>
    <w:rsid w:val="3B041470"/>
    <w:rsid w:val="3E58EB4B"/>
    <w:rsid w:val="4126D343"/>
    <w:rsid w:val="466018C4"/>
    <w:rsid w:val="49064553"/>
    <w:rsid w:val="4B1C1B34"/>
    <w:rsid w:val="4C125FEE"/>
    <w:rsid w:val="4D6CBAAE"/>
    <w:rsid w:val="4EAA77B2"/>
    <w:rsid w:val="519BC882"/>
    <w:rsid w:val="56F0C3D7"/>
    <w:rsid w:val="5A3319E3"/>
    <w:rsid w:val="60A4CBBF"/>
    <w:rsid w:val="61160761"/>
    <w:rsid w:val="6506F083"/>
    <w:rsid w:val="69ED3DAB"/>
    <w:rsid w:val="6B290E83"/>
    <w:rsid w:val="6EB71B71"/>
    <w:rsid w:val="786B32DC"/>
    <w:rsid w:val="7C2E1FAE"/>
    <w:rsid w:val="7DC7A38D"/>
    <w:rsid w:val="7F3BAD62"/>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6CB4"/>
    <w:rPr>
      <w:rFonts w:ascii="Cambria" w:hAnsi="Cambria"/>
      <w:sz w:val="22"/>
    </w:rPr>
  </w:style>
  <w:style w:type="paragraph" w:styleId="Heading1">
    <w:name w:val="heading 1"/>
    <w:basedOn w:val="Normal"/>
    <w:next w:val="Normal"/>
    <w:link w:val="Heading1Char"/>
    <w:uiPriority w:val="9"/>
    <w:qFormat/>
    <w:rsid w:val="00B1052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456362"/>
    <w:pPr>
      <w:keepNext/>
      <w:keepLines/>
      <w:spacing w:before="240" w:line="240" w:lineRule="atLeast"/>
      <w:outlineLvl w:val="4"/>
    </w:pPr>
    <w:rPr>
      <w:rFonts w:ascii="Arial" w:eastAsia="Times New Roman" w:hAnsi="Arial" w:cs="Times New Roman"/>
      <w:b/>
      <w:bCs/>
      <w:i/>
      <w:color w:val="001871"/>
      <w:sz w:val="24"/>
      <w:szCs w:val="26"/>
    </w:rPr>
  </w:style>
  <w:style w:type="paragraph" w:styleId="Heading6">
    <w:name w:val="heading 6"/>
    <w:basedOn w:val="Normal"/>
    <w:next w:val="Normal"/>
    <w:link w:val="Heading6Char"/>
    <w:uiPriority w:val="9"/>
    <w:rsid w:val="00456362"/>
    <w:pPr>
      <w:keepNext/>
      <w:keepLines/>
      <w:spacing w:before="240" w:line="240" w:lineRule="atLeast"/>
      <w:outlineLvl w:val="5"/>
    </w:pPr>
    <w:rPr>
      <w:rFonts w:ascii="Arial" w:eastAsia="Times New Roman" w:hAnsi="Arial" w:cs="Times New Roman"/>
      <w:b/>
      <w:bCs/>
      <w:i/>
      <w:color w:val="001871"/>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456362"/>
    <w:rPr>
      <w:rFonts w:ascii="Arial" w:eastAsia="Times New Roman" w:hAnsi="Arial" w:cs="Times New Roman"/>
      <w:b/>
      <w:bCs/>
      <w:i/>
      <w:color w:val="001871"/>
      <w:sz w:val="24"/>
      <w:szCs w:val="26"/>
    </w:rPr>
  </w:style>
  <w:style w:type="character" w:customStyle="1" w:styleId="Heading6Char">
    <w:name w:val="Heading 6 Char"/>
    <w:basedOn w:val="DefaultParagraphFont"/>
    <w:link w:val="Heading6"/>
    <w:uiPriority w:val="9"/>
    <w:rsid w:val="00456362"/>
    <w:rPr>
      <w:rFonts w:ascii="Arial" w:eastAsia="Times New Roman" w:hAnsi="Arial" w:cs="Times New Roman"/>
      <w:b/>
      <w:bCs/>
      <w:i/>
      <w:color w:val="001871"/>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Bahnschrift Light SemiCondensed" w:hAnsi="Bahnschrift Light SemiCondensed"/>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AB0613"/>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uiPriority w:val="34"/>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character" w:customStyle="1" w:styleId="Heading1Char">
    <w:name w:val="Heading 1 Char"/>
    <w:basedOn w:val="DefaultParagraphFont"/>
    <w:link w:val="Heading1"/>
    <w:uiPriority w:val="9"/>
    <w:rsid w:val="00B10527"/>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539077">
      <w:bodyDiv w:val="1"/>
      <w:marLeft w:val="0"/>
      <w:marRight w:val="0"/>
      <w:marTop w:val="0"/>
      <w:marBottom w:val="0"/>
      <w:divBdr>
        <w:top w:val="none" w:sz="0" w:space="0" w:color="auto"/>
        <w:left w:val="none" w:sz="0" w:space="0" w:color="auto"/>
        <w:bottom w:val="none" w:sz="0" w:space="0" w:color="auto"/>
        <w:right w:val="none" w:sz="0" w:space="0" w:color="auto"/>
      </w:divBdr>
      <w:divsChild>
        <w:div w:id="2060548202">
          <w:marLeft w:val="0"/>
          <w:marRight w:val="0"/>
          <w:marTop w:val="0"/>
          <w:marBottom w:val="0"/>
          <w:divBdr>
            <w:top w:val="none" w:sz="0" w:space="0" w:color="auto"/>
            <w:left w:val="none" w:sz="0" w:space="0" w:color="auto"/>
            <w:bottom w:val="none" w:sz="0" w:space="0" w:color="auto"/>
            <w:right w:val="none" w:sz="0" w:space="0" w:color="auto"/>
          </w:divBdr>
        </w:div>
      </w:divsChild>
    </w:div>
    <w:div w:id="239947333">
      <w:bodyDiv w:val="1"/>
      <w:marLeft w:val="0"/>
      <w:marRight w:val="0"/>
      <w:marTop w:val="0"/>
      <w:marBottom w:val="0"/>
      <w:divBdr>
        <w:top w:val="none" w:sz="0" w:space="0" w:color="auto"/>
        <w:left w:val="none" w:sz="0" w:space="0" w:color="auto"/>
        <w:bottom w:val="none" w:sz="0" w:space="0" w:color="auto"/>
        <w:right w:val="none" w:sz="0" w:space="0" w:color="auto"/>
      </w:divBdr>
      <w:divsChild>
        <w:div w:id="319506597">
          <w:marLeft w:val="0"/>
          <w:marRight w:val="0"/>
          <w:marTop w:val="0"/>
          <w:marBottom w:val="0"/>
          <w:divBdr>
            <w:top w:val="none" w:sz="0" w:space="0" w:color="auto"/>
            <w:left w:val="none" w:sz="0" w:space="0" w:color="auto"/>
            <w:bottom w:val="none" w:sz="0" w:space="0" w:color="auto"/>
            <w:right w:val="none" w:sz="0" w:space="0" w:color="auto"/>
          </w:divBdr>
        </w:div>
        <w:div w:id="604311401">
          <w:marLeft w:val="0"/>
          <w:marRight w:val="0"/>
          <w:marTop w:val="0"/>
          <w:marBottom w:val="0"/>
          <w:divBdr>
            <w:top w:val="none" w:sz="0" w:space="0" w:color="auto"/>
            <w:left w:val="none" w:sz="0" w:space="0" w:color="auto"/>
            <w:bottom w:val="none" w:sz="0" w:space="0" w:color="auto"/>
            <w:right w:val="none" w:sz="0" w:space="0" w:color="auto"/>
          </w:divBdr>
          <w:divsChild>
            <w:div w:id="2090344081">
              <w:marLeft w:val="0"/>
              <w:marRight w:val="0"/>
              <w:marTop w:val="0"/>
              <w:marBottom w:val="0"/>
              <w:divBdr>
                <w:top w:val="none" w:sz="0" w:space="0" w:color="auto"/>
                <w:left w:val="none" w:sz="0" w:space="0" w:color="auto"/>
                <w:bottom w:val="none" w:sz="0" w:space="0" w:color="auto"/>
                <w:right w:val="none" w:sz="0" w:space="0" w:color="auto"/>
              </w:divBdr>
              <w:divsChild>
                <w:div w:id="851913768">
                  <w:marLeft w:val="0"/>
                  <w:marRight w:val="0"/>
                  <w:marTop w:val="0"/>
                  <w:marBottom w:val="0"/>
                  <w:divBdr>
                    <w:top w:val="none" w:sz="0" w:space="0" w:color="auto"/>
                    <w:left w:val="none" w:sz="0" w:space="0" w:color="auto"/>
                    <w:bottom w:val="none" w:sz="0" w:space="0" w:color="auto"/>
                    <w:right w:val="none" w:sz="0" w:space="0" w:color="auto"/>
                  </w:divBdr>
                  <w:divsChild>
                    <w:div w:id="207678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686271">
      <w:bodyDiv w:val="1"/>
      <w:marLeft w:val="0"/>
      <w:marRight w:val="0"/>
      <w:marTop w:val="0"/>
      <w:marBottom w:val="0"/>
      <w:divBdr>
        <w:top w:val="none" w:sz="0" w:space="0" w:color="auto"/>
        <w:left w:val="none" w:sz="0" w:space="0" w:color="auto"/>
        <w:bottom w:val="none" w:sz="0" w:space="0" w:color="auto"/>
        <w:right w:val="none" w:sz="0" w:space="0" w:color="auto"/>
      </w:divBdr>
      <w:divsChild>
        <w:div w:id="720133076">
          <w:marLeft w:val="0"/>
          <w:marRight w:val="0"/>
          <w:marTop w:val="0"/>
          <w:marBottom w:val="0"/>
          <w:divBdr>
            <w:top w:val="none" w:sz="0" w:space="0" w:color="auto"/>
            <w:left w:val="none" w:sz="0" w:space="0" w:color="auto"/>
            <w:bottom w:val="none" w:sz="0" w:space="0" w:color="auto"/>
            <w:right w:val="none" w:sz="0" w:space="0" w:color="auto"/>
          </w:divBdr>
        </w:div>
      </w:divsChild>
    </w:div>
    <w:div w:id="605188313">
      <w:bodyDiv w:val="1"/>
      <w:marLeft w:val="0"/>
      <w:marRight w:val="0"/>
      <w:marTop w:val="0"/>
      <w:marBottom w:val="0"/>
      <w:divBdr>
        <w:top w:val="none" w:sz="0" w:space="0" w:color="auto"/>
        <w:left w:val="none" w:sz="0" w:space="0" w:color="auto"/>
        <w:bottom w:val="none" w:sz="0" w:space="0" w:color="auto"/>
        <w:right w:val="none" w:sz="0" w:space="0" w:color="auto"/>
      </w:divBdr>
      <w:divsChild>
        <w:div w:id="999230657">
          <w:marLeft w:val="0"/>
          <w:marRight w:val="0"/>
          <w:marTop w:val="0"/>
          <w:marBottom w:val="0"/>
          <w:divBdr>
            <w:top w:val="none" w:sz="0" w:space="0" w:color="auto"/>
            <w:left w:val="none" w:sz="0" w:space="0" w:color="auto"/>
            <w:bottom w:val="none" w:sz="0" w:space="0" w:color="auto"/>
            <w:right w:val="none" w:sz="0" w:space="0" w:color="auto"/>
          </w:divBdr>
        </w:div>
      </w:divsChild>
    </w:div>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 w:id="1392002215">
      <w:bodyDiv w:val="1"/>
      <w:marLeft w:val="0"/>
      <w:marRight w:val="0"/>
      <w:marTop w:val="0"/>
      <w:marBottom w:val="0"/>
      <w:divBdr>
        <w:top w:val="none" w:sz="0" w:space="0" w:color="auto"/>
        <w:left w:val="none" w:sz="0" w:space="0" w:color="auto"/>
        <w:bottom w:val="none" w:sz="0" w:space="0" w:color="auto"/>
        <w:right w:val="none" w:sz="0" w:space="0" w:color="auto"/>
      </w:divBdr>
    </w:div>
    <w:div w:id="2023434725">
      <w:bodyDiv w:val="1"/>
      <w:marLeft w:val="0"/>
      <w:marRight w:val="0"/>
      <w:marTop w:val="0"/>
      <w:marBottom w:val="0"/>
      <w:divBdr>
        <w:top w:val="none" w:sz="0" w:space="0" w:color="auto"/>
        <w:left w:val="none" w:sz="0" w:space="0" w:color="auto"/>
        <w:bottom w:val="none" w:sz="0" w:space="0" w:color="auto"/>
        <w:right w:val="none" w:sz="0" w:space="0" w:color="auto"/>
      </w:divBdr>
      <w:divsChild>
        <w:div w:id="13652096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tga.gov.au/resources/artg/419590" TargetMode="External"/><Relationship Id="rId26" Type="http://schemas.openxmlformats.org/officeDocument/2006/relationships/hyperlink" Target="https://www.tga.gov.au/how-we-regulate/supply-therapeutic-good-0/supply-prescription-medicine/application-process/prescription-medicines-registration-process" TargetMode="External"/><Relationship Id="rId39"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yperlink" Target="https://www.tga.gov.au/resources/artg/419593" TargetMode="External"/><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tga.copyright@tga.gov.au" TargetMode="External"/><Relationship Id="rId25" Type="http://schemas.openxmlformats.org/officeDocument/2006/relationships/hyperlink" Target="https://www.tga.gov.au/obstetric-drug-information-services" TargetMode="External"/><Relationship Id="rId33" Type="http://schemas.openxmlformats.org/officeDocument/2006/relationships/hyperlink" Target="https://www.ebs.tga.gov.au/" TargetMode="External"/><Relationship Id="rId38"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www.tga.gov.au/australian-public-assessment-report-auspar-guidance" TargetMode="External"/><Relationship Id="rId20" Type="http://schemas.openxmlformats.org/officeDocument/2006/relationships/hyperlink" Target="https://www.tga.gov.au/resources/artg/419591" TargetMode="External"/><Relationship Id="rId29" Type="http://schemas.openxmlformats.org/officeDocument/2006/relationships/hyperlink" Target="https://www.ema.europa.eu/en/application-1-meta-analyses-2-one-pivotal-study-scientific-guideline"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tga.gov.au/products/medicines/find-information-about-medicine/prescribing-medicines-pregnancy-database" TargetMode="External"/><Relationship Id="rId32" Type="http://schemas.openxmlformats.org/officeDocument/2006/relationships/image" Target="media/image5.png"/><Relationship Id="rId37" Type="http://schemas.openxmlformats.org/officeDocument/2006/relationships/hyperlink" Target="https://www.tga.gov.au"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tga.gov.au/" TargetMode="External"/><Relationship Id="rId23" Type="http://schemas.openxmlformats.org/officeDocument/2006/relationships/hyperlink" Target="https://www.ebs.tga.gov.au/" TargetMode="External"/><Relationship Id="rId28" Type="http://schemas.openxmlformats.org/officeDocument/2006/relationships/hyperlink" Target="https://www.ema.europa.eu/en/ich-e11r1-guideline-clinical-investigation-medicinal-products-pediatric-population-scientific-guideline" TargetMode="External"/><Relationship Id="rId36" Type="http://schemas.openxmlformats.org/officeDocument/2006/relationships/hyperlink" Target="mailto:info@tga.gov.au" TargetMode="External"/><Relationship Id="rId10" Type="http://schemas.openxmlformats.org/officeDocument/2006/relationships/endnotes" Target="endnotes.xml"/><Relationship Id="rId19" Type="http://schemas.openxmlformats.org/officeDocument/2006/relationships/hyperlink" Target="https://www.tga.gov.au/resources/artg/419592" TargetMode="External"/><Relationship Id="rId31" Type="http://schemas.microsoft.com/office/2007/relationships/hdphoto" Target="media/hdphoto1.wd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tga.gov.au/black-triangle-scheme" TargetMode="External"/><Relationship Id="rId27" Type="http://schemas.openxmlformats.org/officeDocument/2006/relationships/hyperlink" Target="https://www.ema.europa.eu/en/clinical-trials-small-populations-scientific-guideline" TargetMode="External"/><Relationship Id="rId30" Type="http://schemas.openxmlformats.org/officeDocument/2006/relationships/image" Target="media/image4.png"/><Relationship Id="rId35"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s://www.ema.europa.eu/en/ich-m3-r2-non-clinical-safety-studies-conduct-human-clinical-trials-pharmaceuticals-scientific-guideline"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fae5703a-610b-40f4-8a64-16760a2d79fd" xsi:nil="true"/>
    <lcf76f155ced4ddcb4097134ff3c332f xmlns="bace00c9-5766-43a2-ba28-1825eea1cd61">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A9E629F5A5ECD4E88E23923C7740678" ma:contentTypeVersion="17" ma:contentTypeDescription="Crée un document." ma:contentTypeScope="" ma:versionID="38811933541801dae3886b50c17dfa77">
  <xsd:schema xmlns:xsd="http://www.w3.org/2001/XMLSchema" xmlns:xs="http://www.w3.org/2001/XMLSchema" xmlns:p="http://schemas.microsoft.com/office/2006/metadata/properties" xmlns:ns2="bace00c9-5766-43a2-ba28-1825eea1cd61" xmlns:ns3="fae5703a-610b-40f4-8a64-16760a2d79fd" targetNamespace="http://schemas.microsoft.com/office/2006/metadata/properties" ma:root="true" ma:fieldsID="ed9473024a5a85a96019ac12068c2e3d" ns2:_="" ns3:_="">
    <xsd:import namespace="bace00c9-5766-43a2-ba28-1825eea1cd61"/>
    <xsd:import namespace="fae5703a-610b-40f4-8a64-16760a2d79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ce00c9-5766-43a2-ba28-1825eea1cd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49072c8d-48d9-43cf-8065-2623599aebb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description="" ma:hidden="true" ma:indexed="true" ma:internalName="MediaServiceDateTaken"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e5703a-610b-40f4-8a64-16760a2d79f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d2d5c13-5b34-4c43-a451-5e48da9331e6}" ma:internalName="TaxCatchAll" ma:showField="CatchAllData" ma:web="fae5703a-610b-40f4-8a64-16760a2d79fd">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77662D-4548-4256-B4D8-05A0F720F69B}">
  <ds:schemaRefs>
    <ds:schemaRef ds:uri="http://schemas.microsoft.com/sharepoint/v3/contenttype/forms"/>
  </ds:schemaRefs>
</ds:datastoreItem>
</file>

<file path=customXml/itemProps2.xml><?xml version="1.0" encoding="utf-8"?>
<ds:datastoreItem xmlns:ds="http://schemas.openxmlformats.org/officeDocument/2006/customXml" ds:itemID="{9D1D1444-7CA4-43E8-9A19-49896C8ECE1E}">
  <ds:schemaRefs>
    <ds:schemaRef ds:uri="http://schemas.microsoft.com/office/2006/metadata/properties"/>
    <ds:schemaRef ds:uri="http://schemas.microsoft.com/office/infopath/2007/PartnerControls"/>
    <ds:schemaRef ds:uri="fae5703a-610b-40f4-8a64-16760a2d79fd"/>
    <ds:schemaRef ds:uri="bace00c9-5766-43a2-ba28-1825eea1cd61"/>
  </ds:schemaRefs>
</ds:datastoreItem>
</file>

<file path=customXml/itemProps3.xml><?xml version="1.0" encoding="utf-8"?>
<ds:datastoreItem xmlns:ds="http://schemas.openxmlformats.org/officeDocument/2006/customXml" ds:itemID="{63D01B6F-FED7-4534-9FDC-DD33E3F9A0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ce00c9-5766-43a2-ba28-1825eea1cd61"/>
    <ds:schemaRef ds:uri="fae5703a-610b-40f4-8a64-16760a2d79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8981</Words>
  <Characters>51195</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Australian public assessment report for Bylvay</vt:lpstr>
    </vt:vector>
  </TitlesOfParts>
  <Company>Department of Health, Disability and Ageing</Company>
  <LinksUpToDate>false</LinksUpToDate>
  <CharactersWithSpaces>60056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Bylvay</dc:title>
  <dc:subject>Prescription medicines</dc:subject>
  <dc:creator>Therapeutic Goods Administration</dc:creator>
  <cp:keywords/>
  <dc:description/>
  <cp:lastModifiedBy>LACK, Janet</cp:lastModifiedBy>
  <cp:revision>2</cp:revision>
  <dcterms:created xsi:type="dcterms:W3CDTF">2025-08-04T22:50:00Z</dcterms:created>
  <dcterms:modified xsi:type="dcterms:W3CDTF">2025-08-04T22:50:00Z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0x010100FA9E629F5A5ECD4E88E23923C7740678</vt:lpwstr>
  </property>
  <property fmtid="{D5CDD505-2E9C-101B-9397-08002B2CF9AE}" pid="3" name="MediaServiceImageTags">
    <vt:lpwstr/>
  </property>
</Properties>
</file>